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51B3" w:rsidRPr="001751B3" w:rsidP="001751B3" w14:paraId="17C42A64" w14:textId="77777777">
      <w:pPr>
        <w:rPr>
          <w:bCs/>
        </w:rPr>
      </w:pPr>
    </w:p>
    <w:p w:rsidR="00FE552D" w:rsidRPr="00FE552D" w:rsidP="00FE552D" w14:paraId="5B9AF58D" w14:textId="77777777">
      <w:pPr>
        <w:autoSpaceDE w:val="0"/>
        <w:autoSpaceDN w:val="0"/>
        <w:adjustRightInd w:val="0"/>
        <w:jc w:val="center"/>
        <w:rPr>
          <w:rFonts w:eastAsia="Calibri"/>
          <w:color w:val="000000"/>
        </w:rPr>
      </w:pPr>
      <w:r w:rsidRPr="00FE552D">
        <w:rPr>
          <w:rFonts w:eastAsia="Calibri"/>
          <w:color w:val="000000"/>
        </w:rPr>
        <w:t>Community Development Financial Institutions Fund, Department of the Treasury</w:t>
      </w:r>
    </w:p>
    <w:p w:rsidR="00FE552D" w:rsidRPr="00FE552D" w:rsidP="00FE552D" w14:paraId="62CAF70A" w14:textId="77777777">
      <w:pPr>
        <w:autoSpaceDE w:val="0"/>
        <w:autoSpaceDN w:val="0"/>
        <w:adjustRightInd w:val="0"/>
        <w:jc w:val="center"/>
        <w:rPr>
          <w:rFonts w:eastAsia="Calibri"/>
          <w:color w:val="000000"/>
        </w:rPr>
      </w:pPr>
    </w:p>
    <w:p w:rsidR="00FE552D" w:rsidP="00FE552D" w14:paraId="1F742C27" w14:textId="77777777">
      <w:pPr>
        <w:autoSpaceDE w:val="0"/>
        <w:autoSpaceDN w:val="0"/>
        <w:adjustRightInd w:val="0"/>
        <w:jc w:val="center"/>
        <w:rPr>
          <w:rFonts w:eastAsia="Calibri"/>
          <w:color w:val="000000"/>
        </w:rPr>
      </w:pPr>
      <w:r w:rsidRPr="00FE552D">
        <w:rPr>
          <w:rFonts w:eastAsia="Calibri"/>
          <w:color w:val="000000"/>
        </w:rPr>
        <w:t>Supporting Statement – Part A</w:t>
      </w:r>
    </w:p>
    <w:p w:rsidR="0072791A" w:rsidRPr="00FE552D" w:rsidP="00FE552D" w14:paraId="46CE8EC3" w14:textId="77777777">
      <w:pPr>
        <w:autoSpaceDE w:val="0"/>
        <w:autoSpaceDN w:val="0"/>
        <w:adjustRightInd w:val="0"/>
        <w:jc w:val="center"/>
        <w:rPr>
          <w:rFonts w:eastAsia="Calibri"/>
          <w:color w:val="000000"/>
        </w:rPr>
      </w:pPr>
      <w:r>
        <w:rPr>
          <w:rFonts w:eastAsia="Calibri"/>
          <w:color w:val="000000"/>
        </w:rPr>
        <w:t>Annual Compliance Reports:</w:t>
      </w:r>
    </w:p>
    <w:p w:rsidR="00FE552D" w:rsidRPr="00FE552D" w:rsidP="00FE552D" w14:paraId="7D47AA53" w14:textId="77777777">
      <w:pPr>
        <w:autoSpaceDE w:val="0"/>
        <w:autoSpaceDN w:val="0"/>
        <w:adjustRightInd w:val="0"/>
        <w:jc w:val="center"/>
        <w:rPr>
          <w:rFonts w:eastAsia="Calibri"/>
          <w:color w:val="000000"/>
        </w:rPr>
      </w:pPr>
      <w:r>
        <w:rPr>
          <w:rFonts w:eastAsia="Calibri"/>
          <w:color w:val="000000"/>
        </w:rPr>
        <w:t xml:space="preserve">Performance Progress Report and Financial Statement Audit Report </w:t>
      </w:r>
    </w:p>
    <w:p w:rsidR="00FE552D" w:rsidRPr="00FE552D" w:rsidP="00FE552D" w14:paraId="415E2A0A" w14:textId="77777777">
      <w:pPr>
        <w:autoSpaceDE w:val="0"/>
        <w:autoSpaceDN w:val="0"/>
        <w:adjustRightInd w:val="0"/>
        <w:jc w:val="center"/>
        <w:rPr>
          <w:rFonts w:eastAsia="Calibri"/>
          <w:color w:val="000000"/>
        </w:rPr>
      </w:pPr>
      <w:r w:rsidRPr="00FE552D">
        <w:rPr>
          <w:rFonts w:eastAsia="Calibri"/>
          <w:color w:val="000000"/>
        </w:rPr>
        <w:t>OMB Control Number 1559-0050</w:t>
      </w:r>
    </w:p>
    <w:p w:rsidR="00FE552D" w:rsidRPr="00FE552D" w:rsidP="00FE552D" w14:paraId="547F8D16" w14:textId="77777777">
      <w:pPr>
        <w:autoSpaceDE w:val="0"/>
        <w:autoSpaceDN w:val="0"/>
        <w:adjustRightInd w:val="0"/>
        <w:jc w:val="center"/>
        <w:rPr>
          <w:rFonts w:eastAsia="Calibri"/>
          <w:b/>
          <w:bCs/>
          <w:color w:val="000000"/>
        </w:rPr>
      </w:pPr>
    </w:p>
    <w:p w:rsidR="00FE552D" w:rsidRPr="00FE552D" w:rsidP="00FE552D" w14:paraId="3C545B76" w14:textId="77777777">
      <w:pPr>
        <w:autoSpaceDE w:val="0"/>
        <w:autoSpaceDN w:val="0"/>
        <w:adjustRightInd w:val="0"/>
        <w:jc w:val="center"/>
        <w:rPr>
          <w:rFonts w:eastAsia="Calibri"/>
          <w:b/>
          <w:bCs/>
          <w:color w:val="000000"/>
        </w:rPr>
      </w:pPr>
      <w:r w:rsidRPr="00FE552D">
        <w:rPr>
          <w:rFonts w:eastAsia="Calibri"/>
          <w:b/>
          <w:bCs/>
          <w:color w:val="000000"/>
        </w:rPr>
        <w:t xml:space="preserve">A. Justification </w:t>
      </w:r>
    </w:p>
    <w:p w:rsidR="00FE552D" w:rsidRPr="00FE552D" w:rsidP="00FE552D" w14:paraId="0B4588E0" w14:textId="77777777">
      <w:pPr>
        <w:autoSpaceDE w:val="0"/>
        <w:autoSpaceDN w:val="0"/>
        <w:adjustRightInd w:val="0"/>
        <w:jc w:val="center"/>
        <w:rPr>
          <w:rFonts w:eastAsia="Calibri"/>
          <w:color w:val="000000"/>
        </w:rPr>
      </w:pPr>
    </w:p>
    <w:p w:rsidR="00FE552D" w:rsidRPr="00FE552D" w:rsidP="00FE552D" w14:paraId="05A0A609" w14:textId="77777777">
      <w:pPr>
        <w:autoSpaceDE w:val="0"/>
        <w:autoSpaceDN w:val="0"/>
        <w:adjustRightInd w:val="0"/>
        <w:rPr>
          <w:rFonts w:eastAsia="Calibri"/>
          <w:color w:val="000000"/>
          <w:u w:val="single"/>
        </w:rPr>
      </w:pPr>
      <w:r w:rsidRPr="00FE552D">
        <w:rPr>
          <w:rFonts w:eastAsia="Calibri"/>
          <w:color w:val="000000"/>
          <w:u w:val="single"/>
        </w:rPr>
        <w:t xml:space="preserve">1. Circumstances necessitating collection of information </w:t>
      </w:r>
    </w:p>
    <w:p w:rsidR="00FE552D" w:rsidRPr="00FE552D" w:rsidP="00FE552D" w14:paraId="7F0E64A2" w14:textId="77777777">
      <w:pPr>
        <w:autoSpaceDE w:val="0"/>
        <w:autoSpaceDN w:val="0"/>
        <w:adjustRightInd w:val="0"/>
        <w:rPr>
          <w:rFonts w:eastAsia="Calibri"/>
          <w:color w:val="000000"/>
        </w:rPr>
      </w:pPr>
      <w:r w:rsidRPr="00FE552D">
        <w:rPr>
          <w:rFonts w:eastAsia="Calibri"/>
          <w:color w:val="000000"/>
        </w:rPr>
        <w:t>Recipients of the Community Development Financial Institutions Program (CDFI Program), the CDFI Rapid Response Program (CDFI RRP), the Native American CDFI Assistance Program (NACA Program), and the Small Dollar Loan Program (SDL Program) submit the Performance Progress Report via the CDFI Fund’s AMIS once a year, three (3) months after their Period of Performance end date or fiscal year end. Recipients of the CDFI Program, CDFI RRP, NACA Program, CMF,</w:t>
      </w:r>
      <w:r w:rsidRPr="000406CA" w:rsidR="000406CA">
        <w:rPr>
          <w:rFonts w:eastAsia="Calibri"/>
          <w:color w:val="000000"/>
        </w:rPr>
        <w:t xml:space="preserve"> </w:t>
      </w:r>
      <w:r w:rsidRPr="00FE552D" w:rsidR="000406CA">
        <w:rPr>
          <w:rFonts w:eastAsia="Calibri"/>
          <w:color w:val="000000"/>
        </w:rPr>
        <w:t>and SDL Program</w:t>
      </w:r>
      <w:r w:rsidR="000406CA">
        <w:rPr>
          <w:rFonts w:eastAsia="Calibri"/>
          <w:color w:val="000000"/>
        </w:rPr>
        <w:t>,</w:t>
      </w:r>
      <w:r w:rsidRPr="00FE552D">
        <w:rPr>
          <w:rFonts w:eastAsia="Calibri"/>
          <w:color w:val="000000"/>
        </w:rPr>
        <w:t xml:space="preserve"> </w:t>
      </w:r>
      <w:r w:rsidRPr="00FE552D" w:rsidR="000406CA">
        <w:rPr>
          <w:rFonts w:eastAsia="Calibri"/>
          <w:color w:val="000000"/>
        </w:rPr>
        <w:t>and Allocatees</w:t>
      </w:r>
      <w:r w:rsidR="000406CA">
        <w:rPr>
          <w:rFonts w:eastAsia="Calibri"/>
          <w:color w:val="000000"/>
        </w:rPr>
        <w:t xml:space="preserve"> of the</w:t>
      </w:r>
      <w:r w:rsidRPr="00FE552D" w:rsidR="000406CA">
        <w:rPr>
          <w:rFonts w:eastAsia="Calibri"/>
          <w:color w:val="000000"/>
        </w:rPr>
        <w:t xml:space="preserve"> </w:t>
      </w:r>
      <w:r w:rsidRPr="00FE552D">
        <w:rPr>
          <w:rFonts w:eastAsia="Calibri"/>
          <w:color w:val="000000"/>
        </w:rPr>
        <w:t xml:space="preserve">NMTC Program, also submit the Financial Statement Audit Report via the CDFI Fund’s AMIS once a year, six (6) months after their Period of Performance end date or fiscal year end. Recipients and/or Allocatees respond to the questions by providing numerical figures, “yes” or “no” answers, or narrative responses, as appropriate. These reports are used to determine Recipient and/or Allocatees compliance with their Assistance, Award, and/or Allocation Agreement(s) (“Agreements”). </w:t>
      </w:r>
    </w:p>
    <w:p w:rsidR="00FE552D" w:rsidRPr="00FE552D" w:rsidP="00FE552D" w14:paraId="663791FC" w14:textId="77777777">
      <w:pPr>
        <w:autoSpaceDE w:val="0"/>
        <w:autoSpaceDN w:val="0"/>
        <w:adjustRightInd w:val="0"/>
        <w:rPr>
          <w:rFonts w:eastAsia="Calibri"/>
          <w:color w:val="000000"/>
        </w:rPr>
      </w:pPr>
    </w:p>
    <w:p w:rsidR="00FE552D" w:rsidRPr="00FE552D" w:rsidP="00FE552D" w14:paraId="7CE8698D" w14:textId="77777777">
      <w:pPr>
        <w:autoSpaceDE w:val="0"/>
        <w:autoSpaceDN w:val="0"/>
        <w:adjustRightInd w:val="0"/>
        <w:rPr>
          <w:rFonts w:eastAsia="Calibri"/>
          <w:color w:val="000000"/>
        </w:rPr>
      </w:pPr>
      <w:r w:rsidRPr="00FE552D">
        <w:rPr>
          <w:rFonts w:eastAsia="Calibri"/>
          <w:color w:val="000000"/>
        </w:rPr>
        <w:t>The CDFI Fund received a total of seven (7) comments from two (2) organizations on the Performance Progress Report and Financial Statement Audit Report data collection forms. The recommendations received complimented the current functionality of the data collection forms and provided recommendations for enhancement to the data collection forms.</w:t>
      </w:r>
    </w:p>
    <w:p w:rsidR="00FE552D" w:rsidRPr="00FE552D" w:rsidP="00FE552D" w14:paraId="7B2653D5" w14:textId="77777777">
      <w:pPr>
        <w:autoSpaceDE w:val="0"/>
        <w:autoSpaceDN w:val="0"/>
        <w:adjustRightInd w:val="0"/>
        <w:rPr>
          <w:rFonts w:eastAsia="Calibri"/>
          <w:color w:val="000000"/>
        </w:rPr>
      </w:pPr>
    </w:p>
    <w:p w:rsidR="00FE552D" w:rsidRPr="00FE552D" w:rsidP="00FE552D" w14:paraId="086B1E46" w14:textId="77777777">
      <w:pPr>
        <w:autoSpaceDE w:val="0"/>
        <w:autoSpaceDN w:val="0"/>
        <w:adjustRightInd w:val="0"/>
        <w:rPr>
          <w:rFonts w:eastAsia="Calibri"/>
          <w:color w:val="000000"/>
          <w:u w:val="single"/>
        </w:rPr>
      </w:pPr>
      <w:r w:rsidRPr="00FE552D">
        <w:rPr>
          <w:rFonts w:eastAsia="Calibri"/>
          <w:color w:val="000000"/>
          <w:u w:val="single"/>
        </w:rPr>
        <w:t xml:space="preserve">2. Method of collection and use of data </w:t>
      </w:r>
    </w:p>
    <w:p w:rsidR="00FE552D" w:rsidRPr="00FE552D" w:rsidP="00FE552D" w14:paraId="10751BB4" w14:textId="77777777">
      <w:pPr>
        <w:autoSpaceDE w:val="0"/>
        <w:autoSpaceDN w:val="0"/>
        <w:adjustRightInd w:val="0"/>
        <w:rPr>
          <w:rFonts w:eastAsia="Calibri"/>
          <w:color w:val="000000"/>
        </w:rPr>
      </w:pPr>
      <w:r w:rsidRPr="00FE552D">
        <w:rPr>
          <w:rFonts w:eastAsia="Calibri"/>
          <w:color w:val="000000"/>
        </w:rPr>
        <w:t>The CDFI Fund will collect the Performance Progress Report and Financial Statement Audit Report data on an annual basis according to the Recipient and/or Allocatees’ fiscal year end. The data will be used to determine if a Recipient and/or Allocatee is in compliance with the terms and conditions of its Agreement.</w:t>
      </w:r>
    </w:p>
    <w:p w:rsidR="00FE552D" w:rsidRPr="00FE552D" w:rsidP="00FE552D" w14:paraId="77B48BAC" w14:textId="77777777">
      <w:pPr>
        <w:autoSpaceDE w:val="0"/>
        <w:autoSpaceDN w:val="0"/>
        <w:adjustRightInd w:val="0"/>
        <w:rPr>
          <w:rFonts w:eastAsia="Calibri"/>
          <w:color w:val="000000"/>
        </w:rPr>
      </w:pPr>
    </w:p>
    <w:p w:rsidR="00FE552D" w:rsidRPr="00FE552D" w:rsidP="00FE552D" w14:paraId="645F4A08" w14:textId="77777777">
      <w:pPr>
        <w:autoSpaceDE w:val="0"/>
        <w:autoSpaceDN w:val="0"/>
        <w:adjustRightInd w:val="0"/>
        <w:rPr>
          <w:rFonts w:eastAsia="Calibri"/>
          <w:color w:val="000000"/>
          <w:u w:val="single"/>
        </w:rPr>
      </w:pPr>
      <w:r w:rsidRPr="00FE552D">
        <w:rPr>
          <w:rFonts w:eastAsia="Calibri"/>
          <w:color w:val="000000"/>
          <w:u w:val="single"/>
        </w:rPr>
        <w:t xml:space="preserve">3. Use of Information Technology </w:t>
      </w:r>
    </w:p>
    <w:p w:rsidR="00FE552D" w:rsidRPr="00FE552D" w:rsidP="00FE552D" w14:paraId="36A7FB2F" w14:textId="77777777">
      <w:pPr>
        <w:autoSpaceDE w:val="0"/>
        <w:autoSpaceDN w:val="0"/>
        <w:adjustRightInd w:val="0"/>
        <w:rPr>
          <w:rFonts w:eastAsia="Calibri"/>
          <w:color w:val="000000"/>
        </w:rPr>
      </w:pPr>
      <w:r w:rsidRPr="00FE552D">
        <w:rPr>
          <w:rFonts w:eastAsia="Calibri"/>
          <w:color w:val="000000"/>
        </w:rPr>
        <w:t xml:space="preserve">The CDFI Fund will collect information electronically and/or use online collaboration tools to reduce burden.  </w:t>
      </w:r>
    </w:p>
    <w:p w:rsidR="00FE552D" w:rsidRPr="00FE552D" w:rsidP="00FE552D" w14:paraId="655C1197" w14:textId="77777777">
      <w:pPr>
        <w:autoSpaceDE w:val="0"/>
        <w:autoSpaceDN w:val="0"/>
        <w:adjustRightInd w:val="0"/>
        <w:rPr>
          <w:rFonts w:eastAsia="Calibri"/>
          <w:color w:val="000000"/>
        </w:rPr>
      </w:pPr>
    </w:p>
    <w:p w:rsidR="00FE552D" w:rsidRPr="00FE552D" w:rsidP="00FE552D" w14:paraId="181BADB1" w14:textId="77777777">
      <w:pPr>
        <w:autoSpaceDE w:val="0"/>
        <w:autoSpaceDN w:val="0"/>
        <w:adjustRightInd w:val="0"/>
        <w:rPr>
          <w:rFonts w:eastAsia="Calibri"/>
          <w:color w:val="000000"/>
          <w:u w:val="single"/>
        </w:rPr>
      </w:pPr>
      <w:r w:rsidRPr="00FE552D">
        <w:rPr>
          <w:rFonts w:eastAsia="Calibri"/>
          <w:color w:val="000000"/>
          <w:u w:val="single"/>
        </w:rPr>
        <w:t xml:space="preserve">4. Efforts to identify duplication </w:t>
      </w:r>
    </w:p>
    <w:p w:rsidR="00FE552D" w:rsidRPr="00FE552D" w:rsidP="00FE552D" w14:paraId="78E31EFD" w14:textId="77777777">
      <w:pPr>
        <w:autoSpaceDE w:val="0"/>
        <w:autoSpaceDN w:val="0"/>
        <w:adjustRightInd w:val="0"/>
        <w:rPr>
          <w:rFonts w:eastAsia="Calibri"/>
          <w:color w:val="000000"/>
        </w:rPr>
      </w:pPr>
      <w:r w:rsidRPr="00FE552D">
        <w:rPr>
          <w:rFonts w:eastAsia="Calibri"/>
          <w:color w:val="000000"/>
        </w:rPr>
        <w:t xml:space="preserve">The CDFI Fund has ensured no similar data is gathered or maintained by the CDFI Fund or </w:t>
      </w:r>
      <w:r w:rsidR="008257D6">
        <w:rPr>
          <w:rFonts w:eastAsia="Calibri"/>
          <w:color w:val="000000"/>
        </w:rPr>
        <w:t>is</w:t>
      </w:r>
      <w:r w:rsidRPr="00FE552D">
        <w:rPr>
          <w:rFonts w:eastAsia="Calibri"/>
          <w:color w:val="000000"/>
        </w:rPr>
        <w:t xml:space="preserve"> available from other sources known to the CDFI Fund. All of the information requested is required in order to determine if a Recipient and/or Allocatee is in compliance with the terms and conditions of its Agreement.</w:t>
      </w:r>
    </w:p>
    <w:p w:rsidR="00FE552D" w:rsidRPr="00FE552D" w:rsidP="00FE552D" w14:paraId="3C28B8E3" w14:textId="77777777">
      <w:pPr>
        <w:autoSpaceDE w:val="0"/>
        <w:autoSpaceDN w:val="0"/>
        <w:adjustRightInd w:val="0"/>
        <w:rPr>
          <w:rFonts w:eastAsia="Calibri"/>
          <w:color w:val="000000"/>
        </w:rPr>
      </w:pPr>
    </w:p>
    <w:p w:rsidR="00FE552D" w:rsidRPr="00FE552D" w:rsidP="00FE552D" w14:paraId="0149A261" w14:textId="77777777">
      <w:pPr>
        <w:autoSpaceDE w:val="0"/>
        <w:autoSpaceDN w:val="0"/>
        <w:adjustRightInd w:val="0"/>
        <w:rPr>
          <w:rFonts w:eastAsia="Calibri"/>
          <w:color w:val="000000"/>
          <w:u w:val="single"/>
        </w:rPr>
      </w:pPr>
      <w:r w:rsidRPr="00FE552D">
        <w:rPr>
          <w:rFonts w:eastAsia="Calibri"/>
          <w:color w:val="000000"/>
          <w:u w:val="single"/>
        </w:rPr>
        <w:t xml:space="preserve">5. Impact on small entities </w:t>
      </w:r>
    </w:p>
    <w:p w:rsidR="00FE552D" w:rsidRPr="00FE552D" w:rsidP="00FE552D" w14:paraId="00E7026A" w14:textId="77777777">
      <w:pPr>
        <w:autoSpaceDE w:val="0"/>
        <w:autoSpaceDN w:val="0"/>
        <w:adjustRightInd w:val="0"/>
        <w:rPr>
          <w:rFonts w:eastAsia="Calibri"/>
          <w:color w:val="000000"/>
        </w:rPr>
      </w:pPr>
      <w:r w:rsidRPr="00FE552D">
        <w:rPr>
          <w:rFonts w:eastAsia="Calibri"/>
          <w:color w:val="000000"/>
        </w:rPr>
        <w:t xml:space="preserve">Small business or other small entities may be involved in these efforts; however, the CDFI Fund will minimize the burden on them by using the information collected under this clearance by sampling, asking for readily available information, and using short, easy-to-complete information collection instruments. This collection of information is not expected to have a </w:t>
      </w:r>
      <w:r w:rsidRPr="00FE552D">
        <w:rPr>
          <w:rFonts w:eastAsia="Calibri"/>
          <w:color w:val="000000"/>
        </w:rPr>
        <w:t>significant impact on small entities because the data needed to complete the annual compliance reports is obtained from the standard accounting information that all entities use to complete end of year Financial Statement Audit Reports.</w:t>
      </w:r>
    </w:p>
    <w:p w:rsidR="00FE552D" w:rsidRPr="00FE552D" w:rsidP="00FE552D" w14:paraId="39543F34" w14:textId="77777777">
      <w:pPr>
        <w:autoSpaceDE w:val="0"/>
        <w:autoSpaceDN w:val="0"/>
        <w:adjustRightInd w:val="0"/>
        <w:rPr>
          <w:rFonts w:eastAsia="Calibri"/>
          <w:color w:val="000000"/>
        </w:rPr>
      </w:pPr>
    </w:p>
    <w:p w:rsidR="00FE552D" w:rsidRPr="00FE552D" w:rsidP="00FE552D" w14:paraId="700970AF" w14:textId="77777777">
      <w:pPr>
        <w:autoSpaceDE w:val="0"/>
        <w:autoSpaceDN w:val="0"/>
        <w:adjustRightInd w:val="0"/>
        <w:rPr>
          <w:rFonts w:eastAsia="Calibri"/>
          <w:color w:val="000000"/>
          <w:u w:val="single"/>
        </w:rPr>
      </w:pPr>
      <w:r w:rsidRPr="00FE552D">
        <w:rPr>
          <w:rFonts w:eastAsia="Calibri"/>
          <w:color w:val="000000"/>
          <w:u w:val="single"/>
        </w:rPr>
        <w:t xml:space="preserve">6. Consequences of less frequent collection and obstacles to burden reduction </w:t>
      </w:r>
    </w:p>
    <w:p w:rsidR="00FE552D" w:rsidRPr="00FE552D" w:rsidP="00FE552D" w14:paraId="3534E369" w14:textId="77777777">
      <w:pPr>
        <w:autoSpaceDE w:val="0"/>
        <w:autoSpaceDN w:val="0"/>
        <w:adjustRightInd w:val="0"/>
        <w:rPr>
          <w:rFonts w:eastAsia="Calibri"/>
          <w:color w:val="000000"/>
        </w:rPr>
      </w:pPr>
      <w:r w:rsidRPr="00FE552D">
        <w:rPr>
          <w:rFonts w:eastAsia="Calibri"/>
          <w:color w:val="000000"/>
        </w:rPr>
        <w:t>The CDFI Fund cannot determine Recipient and/or Allocatees’ compliance with their Agreement(s), measure annual performance, or perform program evaluation without this annual collection of this data.</w:t>
      </w:r>
    </w:p>
    <w:p w:rsidR="00FE552D" w:rsidRPr="00FE552D" w:rsidP="00FE552D" w14:paraId="4904F41B" w14:textId="77777777">
      <w:pPr>
        <w:autoSpaceDE w:val="0"/>
        <w:autoSpaceDN w:val="0"/>
        <w:adjustRightInd w:val="0"/>
        <w:rPr>
          <w:rFonts w:eastAsia="Calibri"/>
          <w:color w:val="000000"/>
          <w:u w:val="single"/>
        </w:rPr>
      </w:pPr>
    </w:p>
    <w:p w:rsidR="00FE552D" w:rsidRPr="00FE552D" w:rsidP="00FE552D" w14:paraId="5E159C27" w14:textId="77777777">
      <w:pPr>
        <w:autoSpaceDE w:val="0"/>
        <w:autoSpaceDN w:val="0"/>
        <w:adjustRightInd w:val="0"/>
        <w:rPr>
          <w:rFonts w:eastAsia="Calibri"/>
          <w:color w:val="000000"/>
          <w:u w:val="single"/>
        </w:rPr>
      </w:pPr>
      <w:r w:rsidRPr="00FE552D">
        <w:rPr>
          <w:rFonts w:eastAsia="Calibri"/>
          <w:color w:val="000000"/>
          <w:u w:val="single"/>
        </w:rPr>
        <w:t xml:space="preserve">7. Circumstances requiring special information collection </w:t>
      </w:r>
    </w:p>
    <w:p w:rsidR="00FE552D" w:rsidRPr="00FE552D" w:rsidP="00FE552D" w14:paraId="7E147708" w14:textId="0EABC111">
      <w:pPr>
        <w:autoSpaceDE w:val="0"/>
        <w:autoSpaceDN w:val="0"/>
        <w:adjustRightInd w:val="0"/>
        <w:rPr>
          <w:rFonts w:eastAsia="Calibri"/>
          <w:color w:val="000000"/>
          <w:u w:val="single"/>
        </w:rPr>
      </w:pPr>
      <w:r>
        <w:rPr>
          <w:rFonts w:eastAsia="Calibri"/>
          <w:color w:val="000000"/>
        </w:rPr>
        <w:t>There are no special circumstances.</w:t>
      </w:r>
    </w:p>
    <w:p w:rsidR="00FE552D" w:rsidRPr="00FE552D" w:rsidP="00FE552D" w14:paraId="72275933" w14:textId="77777777">
      <w:pPr>
        <w:autoSpaceDE w:val="0"/>
        <w:autoSpaceDN w:val="0"/>
        <w:adjustRightInd w:val="0"/>
        <w:rPr>
          <w:rFonts w:eastAsia="Calibri"/>
          <w:color w:val="000000"/>
        </w:rPr>
      </w:pPr>
    </w:p>
    <w:p w:rsidR="00FE552D" w:rsidRPr="00FE552D" w:rsidP="00FE552D" w14:paraId="6A95FDEC" w14:textId="77777777">
      <w:pPr>
        <w:autoSpaceDE w:val="0"/>
        <w:autoSpaceDN w:val="0"/>
        <w:adjustRightInd w:val="0"/>
        <w:rPr>
          <w:rFonts w:eastAsia="Calibri"/>
          <w:color w:val="000000"/>
          <w:u w:val="single"/>
        </w:rPr>
      </w:pPr>
      <w:r w:rsidRPr="00FE552D">
        <w:rPr>
          <w:rFonts w:eastAsia="Calibri"/>
          <w:color w:val="000000"/>
          <w:u w:val="single"/>
        </w:rPr>
        <w:t xml:space="preserve">8. Consultation with Persons outside the Agency </w:t>
      </w:r>
    </w:p>
    <w:p w:rsidR="00FE552D" w:rsidRPr="00FE552D" w:rsidP="00FE552D" w14:paraId="173B4571" w14:textId="17970F3B">
      <w:pPr>
        <w:autoSpaceDE w:val="0"/>
        <w:autoSpaceDN w:val="0"/>
        <w:adjustRightInd w:val="0"/>
        <w:rPr>
          <w:rFonts w:eastAsia="Calibri"/>
          <w:color w:val="000000"/>
        </w:rPr>
      </w:pPr>
      <w:r w:rsidRPr="00FE552D">
        <w:rPr>
          <w:rFonts w:eastAsia="Calibri"/>
          <w:color w:val="000000"/>
        </w:rPr>
        <w:t xml:space="preserve">Pursuant to the notice and request for comments published in the </w:t>
      </w:r>
      <w:r w:rsidRPr="0049378A">
        <w:rPr>
          <w:rFonts w:eastAsia="Calibri"/>
          <w:i/>
          <w:iCs/>
          <w:color w:val="000000"/>
        </w:rPr>
        <w:t>Federal Register</w:t>
      </w:r>
      <w:r w:rsidRPr="00FE552D">
        <w:rPr>
          <w:rFonts w:eastAsia="Calibri"/>
          <w:color w:val="000000"/>
        </w:rPr>
        <w:t xml:space="preserve"> on September 26, 2022, at 87 FR 58433, the CDFI Fund received detailed comments on or before November 26, 2022, from 2 organizations responding to the solicitation for a total of 7 unique comments. The recommendations received complimented the current functionality of the data collection forms and provided recommendations for enhancement to the data collection forms.</w:t>
      </w:r>
      <w:r w:rsidR="0049378A">
        <w:rPr>
          <w:rFonts w:eastAsia="Calibri"/>
          <w:color w:val="000000"/>
        </w:rPr>
        <w:t xml:space="preserve"> A response to the comments is included separately with this submission.</w:t>
      </w:r>
    </w:p>
    <w:p w:rsidR="00FE552D" w:rsidRPr="00FE552D" w:rsidP="00FE552D" w14:paraId="57E3B972" w14:textId="77777777">
      <w:pPr>
        <w:autoSpaceDE w:val="0"/>
        <w:autoSpaceDN w:val="0"/>
        <w:adjustRightInd w:val="0"/>
        <w:rPr>
          <w:rFonts w:eastAsia="Calibri"/>
          <w:color w:val="000000"/>
        </w:rPr>
      </w:pPr>
    </w:p>
    <w:p w:rsidR="00FE552D" w:rsidRPr="00FE552D" w:rsidP="00FE552D" w14:paraId="564E297F" w14:textId="77777777">
      <w:pPr>
        <w:autoSpaceDE w:val="0"/>
        <w:autoSpaceDN w:val="0"/>
        <w:adjustRightInd w:val="0"/>
        <w:rPr>
          <w:rFonts w:eastAsia="Calibri"/>
          <w:color w:val="000000"/>
          <w:u w:val="single"/>
        </w:rPr>
      </w:pPr>
      <w:r w:rsidRPr="00FE552D">
        <w:rPr>
          <w:rFonts w:eastAsia="Calibri"/>
          <w:color w:val="000000"/>
          <w:u w:val="single"/>
        </w:rPr>
        <w:t xml:space="preserve">9. Provision of payment to respondents </w:t>
      </w:r>
    </w:p>
    <w:p w:rsidR="00FE552D" w:rsidRPr="00FE552D" w:rsidP="00FE552D" w14:paraId="0F9ADA3C" w14:textId="77777777">
      <w:pPr>
        <w:autoSpaceDE w:val="0"/>
        <w:autoSpaceDN w:val="0"/>
        <w:adjustRightInd w:val="0"/>
        <w:rPr>
          <w:rFonts w:eastAsia="Calibri"/>
          <w:color w:val="000000"/>
        </w:rPr>
      </w:pPr>
      <w:r w:rsidRPr="00FE552D">
        <w:rPr>
          <w:rFonts w:eastAsia="Calibri"/>
          <w:color w:val="000000"/>
        </w:rPr>
        <w:t xml:space="preserve">No payments or gifts will be made to respondents. </w:t>
      </w:r>
    </w:p>
    <w:p w:rsidR="00FE552D" w:rsidRPr="00FE552D" w:rsidP="00FE552D" w14:paraId="42B2F541" w14:textId="77777777">
      <w:pPr>
        <w:autoSpaceDE w:val="0"/>
        <w:autoSpaceDN w:val="0"/>
        <w:adjustRightInd w:val="0"/>
        <w:rPr>
          <w:rFonts w:eastAsia="Calibri"/>
          <w:color w:val="000000"/>
        </w:rPr>
      </w:pPr>
    </w:p>
    <w:p w:rsidR="00FE552D" w:rsidRPr="00FE552D" w:rsidP="00FE552D" w14:paraId="6677A710" w14:textId="77777777">
      <w:pPr>
        <w:autoSpaceDE w:val="0"/>
        <w:autoSpaceDN w:val="0"/>
        <w:adjustRightInd w:val="0"/>
        <w:rPr>
          <w:rFonts w:eastAsia="Calibri"/>
          <w:color w:val="000000"/>
          <w:u w:val="single"/>
        </w:rPr>
      </w:pPr>
      <w:r w:rsidRPr="00FE552D">
        <w:rPr>
          <w:rFonts w:eastAsia="Calibri"/>
          <w:color w:val="000000"/>
          <w:u w:val="single"/>
        </w:rPr>
        <w:t xml:space="preserve">10. Assurance of confidentiality </w:t>
      </w:r>
    </w:p>
    <w:p w:rsidR="00FE552D" w:rsidRPr="00FE552D" w:rsidP="00FE552D" w14:paraId="1750F299" w14:textId="77777777">
      <w:pPr>
        <w:autoSpaceDE w:val="0"/>
        <w:autoSpaceDN w:val="0"/>
        <w:adjustRightInd w:val="0"/>
        <w:rPr>
          <w:rFonts w:eastAsia="Calibri"/>
          <w:color w:val="000000"/>
        </w:rPr>
      </w:pPr>
      <w:r w:rsidRPr="00FE552D">
        <w:rPr>
          <w:rFonts w:eastAsia="Calibri"/>
          <w:color w:val="000000"/>
        </w:rPr>
        <w:t xml:space="preserve">The CDFI Fund is subject to all Federal regulations with respect to confidentiality of information supplied in the annual compliance reports. Access to data submitted in response to this information collection will be limited to Recipients and/or Allocatees, and their designated representatives, CDFI Fund staff and, if applicable, designated contractors who are subject to all Federal regulations and have completed annual privacy and cybersecurity training.  </w:t>
      </w:r>
    </w:p>
    <w:p w:rsidR="00FE552D" w:rsidRPr="00FE552D" w:rsidP="00FE552D" w14:paraId="17778CA2" w14:textId="77777777">
      <w:pPr>
        <w:autoSpaceDE w:val="0"/>
        <w:autoSpaceDN w:val="0"/>
        <w:adjustRightInd w:val="0"/>
        <w:rPr>
          <w:rFonts w:eastAsia="Calibri"/>
          <w:color w:val="000000"/>
        </w:rPr>
      </w:pPr>
    </w:p>
    <w:p w:rsidR="00FE552D" w:rsidRPr="00FE552D" w:rsidP="00FE552D" w14:paraId="605AED67" w14:textId="77777777">
      <w:pPr>
        <w:autoSpaceDE w:val="0"/>
        <w:autoSpaceDN w:val="0"/>
        <w:adjustRightInd w:val="0"/>
        <w:rPr>
          <w:rFonts w:eastAsia="Calibri"/>
          <w:color w:val="000000"/>
          <w:u w:val="single"/>
        </w:rPr>
      </w:pPr>
      <w:r w:rsidRPr="00FE552D">
        <w:rPr>
          <w:rFonts w:eastAsia="Calibri"/>
          <w:color w:val="000000"/>
          <w:u w:val="single"/>
        </w:rPr>
        <w:t>11. Justification of sensitive questions.</w:t>
      </w:r>
    </w:p>
    <w:p w:rsidR="00FE552D" w:rsidRPr="00FE552D" w:rsidP="00FE552D" w14:paraId="1B527E5C" w14:textId="77777777">
      <w:pPr>
        <w:autoSpaceDE w:val="0"/>
        <w:autoSpaceDN w:val="0"/>
        <w:adjustRightInd w:val="0"/>
        <w:rPr>
          <w:rFonts w:eastAsia="Calibri"/>
          <w:color w:val="000000"/>
        </w:rPr>
      </w:pPr>
      <w:r w:rsidRPr="00FE552D">
        <w:rPr>
          <w:rFonts w:eastAsia="Calibri"/>
          <w:color w:val="000000"/>
        </w:rPr>
        <w:t xml:space="preserve">No questions of a sensitive nature will be asked through this information collection. No personally identifiable information will be collected.  </w:t>
      </w:r>
    </w:p>
    <w:p w:rsidR="00FE552D" w:rsidRPr="00FE552D" w:rsidP="00FE552D" w14:paraId="46C63F27" w14:textId="77777777">
      <w:pPr>
        <w:autoSpaceDE w:val="0"/>
        <w:autoSpaceDN w:val="0"/>
        <w:adjustRightInd w:val="0"/>
        <w:rPr>
          <w:rFonts w:eastAsia="Calibri"/>
          <w:color w:val="000000"/>
        </w:rPr>
      </w:pPr>
    </w:p>
    <w:p w:rsidR="00FE552D" w:rsidRPr="00FE552D" w:rsidP="00FE552D" w14:paraId="3E7189B1" w14:textId="77777777">
      <w:pPr>
        <w:autoSpaceDE w:val="0"/>
        <w:autoSpaceDN w:val="0"/>
        <w:adjustRightInd w:val="0"/>
        <w:rPr>
          <w:rFonts w:eastAsia="Calibri"/>
          <w:color w:val="000000"/>
        </w:rPr>
      </w:pPr>
    </w:p>
    <w:p w:rsidR="00FE552D" w:rsidRPr="00FE552D" w:rsidP="00FE552D" w14:paraId="24BC32EE" w14:textId="77777777">
      <w:pPr>
        <w:autoSpaceDE w:val="0"/>
        <w:autoSpaceDN w:val="0"/>
        <w:adjustRightInd w:val="0"/>
        <w:rPr>
          <w:rFonts w:eastAsia="Calibri"/>
          <w:color w:val="000000"/>
          <w:u w:val="single"/>
        </w:rPr>
      </w:pPr>
      <w:r w:rsidRPr="00FE552D">
        <w:rPr>
          <w:rFonts w:eastAsia="Calibri"/>
          <w:color w:val="000000"/>
          <w:u w:val="single"/>
        </w:rPr>
        <w:t>12. Estimate of the hour burden of information collection.</w:t>
      </w:r>
    </w:p>
    <w:p w:rsidR="00FE552D" w:rsidRPr="00FE552D" w:rsidP="00FE552D" w14:paraId="62FA8FF4" w14:textId="77777777">
      <w:pPr>
        <w:autoSpaceDE w:val="0"/>
        <w:autoSpaceDN w:val="0"/>
        <w:adjustRightInd w:val="0"/>
        <w:rPr>
          <w:rFonts w:eastAsia="Calibri"/>
          <w:b/>
          <w:color w:val="000000"/>
        </w:rPr>
      </w:pPr>
    </w:p>
    <w:tbl>
      <w:tblPr>
        <w:tblW w:w="9360" w:type="dxa"/>
        <w:tblLayout w:type="fixed"/>
        <w:tblCellMar>
          <w:left w:w="102" w:type="dxa"/>
          <w:right w:w="102" w:type="dxa"/>
        </w:tblCellMar>
        <w:tblLook w:val="0000"/>
      </w:tblPr>
      <w:tblGrid>
        <w:gridCol w:w="3051"/>
        <w:gridCol w:w="1710"/>
        <w:gridCol w:w="1800"/>
        <w:gridCol w:w="1620"/>
        <w:gridCol w:w="1179"/>
      </w:tblGrid>
      <w:tr w14:paraId="3663BA9D" w14:textId="77777777" w:rsidTr="00043F79">
        <w:tblPrEx>
          <w:tblW w:w="9360" w:type="dxa"/>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FE552D" w:rsidRPr="00FE552D" w:rsidP="00FE552D" w14:paraId="41716606" w14:textId="77777777">
            <w:pPr>
              <w:autoSpaceDE w:val="0"/>
              <w:autoSpaceDN w:val="0"/>
              <w:adjustRightInd w:val="0"/>
              <w:rPr>
                <w:rFonts w:eastAsia="Calibri"/>
                <w:color w:val="000000"/>
              </w:rPr>
            </w:pPr>
            <w:r w:rsidRPr="00FE552D">
              <w:rPr>
                <w:rFonts w:eastAsia="Calibri"/>
                <w:color w:val="000000"/>
              </w:rPr>
              <w:t>Estimated Annual Reporting Burden</w:t>
            </w:r>
          </w:p>
        </w:tc>
      </w:tr>
      <w:tr w14:paraId="7FD7389E" w14:textId="77777777" w:rsidTr="00043F79">
        <w:tblPrEx>
          <w:tblW w:w="9360" w:type="dxa"/>
          <w:tblLayout w:type="fixed"/>
          <w:tblCellMar>
            <w:left w:w="102" w:type="dxa"/>
            <w:right w:w="102" w:type="dxa"/>
          </w:tblCellMar>
          <w:tblLook w:val="0000"/>
        </w:tblPrEx>
        <w:tc>
          <w:tcPr>
            <w:tcW w:w="3051"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2AFAE8FC" w14:textId="77777777">
            <w:pPr>
              <w:autoSpaceDE w:val="0"/>
              <w:autoSpaceDN w:val="0"/>
              <w:adjustRightInd w:val="0"/>
              <w:rPr>
                <w:rFonts w:eastAsia="Calibri"/>
                <w:color w:val="000000"/>
              </w:rPr>
            </w:pPr>
            <w:r w:rsidRPr="00FE552D">
              <w:rPr>
                <w:rFonts w:eastAsia="Calibri"/>
                <w:color w:val="000000"/>
              </w:rPr>
              <w:t>Type of Collection</w:t>
            </w:r>
          </w:p>
        </w:tc>
        <w:tc>
          <w:tcPr>
            <w:tcW w:w="171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76C8DE1D" w14:textId="77777777">
            <w:pPr>
              <w:autoSpaceDE w:val="0"/>
              <w:autoSpaceDN w:val="0"/>
              <w:adjustRightInd w:val="0"/>
              <w:rPr>
                <w:rFonts w:eastAsia="Calibri"/>
                <w:color w:val="000000"/>
              </w:rPr>
            </w:pPr>
            <w:r w:rsidRPr="00FE552D">
              <w:rPr>
                <w:rFonts w:eastAsia="Calibri"/>
                <w:color w:val="000000"/>
              </w:rPr>
              <w:t>Number of Respondents</w:t>
            </w:r>
          </w:p>
        </w:tc>
        <w:tc>
          <w:tcPr>
            <w:tcW w:w="180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12FE052F" w14:textId="77777777">
            <w:pPr>
              <w:autoSpaceDE w:val="0"/>
              <w:autoSpaceDN w:val="0"/>
              <w:adjustRightInd w:val="0"/>
              <w:rPr>
                <w:rFonts w:eastAsia="Calibri"/>
                <w:color w:val="000000"/>
              </w:rPr>
            </w:pPr>
            <w:r w:rsidRPr="00FE552D">
              <w:rPr>
                <w:rFonts w:eastAsia="Calibri"/>
                <w:color w:val="000000"/>
              </w:rPr>
              <w:t>Annual Frequency per Response</w:t>
            </w:r>
          </w:p>
        </w:tc>
        <w:tc>
          <w:tcPr>
            <w:tcW w:w="162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36199F49" w14:textId="77777777">
            <w:pPr>
              <w:autoSpaceDE w:val="0"/>
              <w:autoSpaceDN w:val="0"/>
              <w:adjustRightInd w:val="0"/>
              <w:rPr>
                <w:rFonts w:eastAsia="Calibri"/>
                <w:color w:val="000000"/>
              </w:rPr>
            </w:pPr>
            <w:r w:rsidRPr="00FE552D">
              <w:rPr>
                <w:rFonts w:eastAsia="Calibri"/>
                <w:color w:val="000000"/>
              </w:rPr>
              <w:t>Hours per Response</w:t>
            </w:r>
          </w:p>
        </w:tc>
        <w:tc>
          <w:tcPr>
            <w:tcW w:w="1179" w:type="dxa"/>
            <w:tcBorders>
              <w:top w:val="single" w:sz="7" w:space="0" w:color="000000"/>
              <w:left w:val="single" w:sz="7" w:space="0" w:color="000000"/>
              <w:bottom w:val="single" w:sz="6" w:space="0" w:color="FFFFFF"/>
              <w:right w:val="single" w:sz="7" w:space="0" w:color="000000"/>
            </w:tcBorders>
            <w:vAlign w:val="center"/>
          </w:tcPr>
          <w:p w:rsidR="00FE552D" w:rsidRPr="00FE552D" w:rsidP="00FE552D" w14:paraId="10008ABD" w14:textId="77777777">
            <w:pPr>
              <w:autoSpaceDE w:val="0"/>
              <w:autoSpaceDN w:val="0"/>
              <w:adjustRightInd w:val="0"/>
              <w:rPr>
                <w:rFonts w:eastAsia="Calibri"/>
                <w:color w:val="000000"/>
              </w:rPr>
            </w:pPr>
            <w:r w:rsidRPr="00FE552D">
              <w:rPr>
                <w:rFonts w:eastAsia="Calibri"/>
                <w:color w:val="000000"/>
              </w:rPr>
              <w:t>Total Hours</w:t>
            </w:r>
          </w:p>
        </w:tc>
      </w:tr>
      <w:tr w14:paraId="7B4DCE6B"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EA3FBEE" w14:textId="77777777">
            <w:pPr>
              <w:autoSpaceDE w:val="0"/>
              <w:autoSpaceDN w:val="0"/>
              <w:adjustRightInd w:val="0"/>
              <w:rPr>
                <w:rFonts w:eastAsia="Calibri"/>
                <w:color w:val="000000"/>
              </w:rPr>
            </w:pPr>
            <w:r w:rsidRPr="00FE552D">
              <w:rPr>
                <w:rFonts w:eastAsia="Calibri"/>
                <w:color w:val="000000"/>
              </w:rPr>
              <w:t>CDFI Annual PPR</w:t>
            </w:r>
          </w:p>
        </w:tc>
        <w:tc>
          <w:tcPr>
            <w:tcW w:w="171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404E772" w14:textId="77777777">
            <w:pPr>
              <w:autoSpaceDE w:val="0"/>
              <w:autoSpaceDN w:val="0"/>
              <w:adjustRightInd w:val="0"/>
              <w:rPr>
                <w:rFonts w:eastAsia="Calibri"/>
                <w:color w:val="000000"/>
              </w:rPr>
            </w:pPr>
            <w:r w:rsidRPr="00FE552D">
              <w:rPr>
                <w:rFonts w:eastAsia="Calibri"/>
                <w:color w:val="000000"/>
              </w:rPr>
              <w:t>1,902</w:t>
            </w:r>
          </w:p>
        </w:tc>
        <w:tc>
          <w:tcPr>
            <w:tcW w:w="180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B3008B5" w14:textId="77777777">
            <w:pPr>
              <w:autoSpaceDE w:val="0"/>
              <w:autoSpaceDN w:val="0"/>
              <w:adjustRightInd w:val="0"/>
              <w:rPr>
                <w:rFonts w:eastAsia="Calibri"/>
                <w:color w:val="000000"/>
              </w:rPr>
            </w:pPr>
            <w:r w:rsidRPr="00FE552D">
              <w:rPr>
                <w:rFonts w:eastAsia="Calibri"/>
                <w:color w:val="000000"/>
              </w:rPr>
              <w:t>1</w:t>
            </w:r>
          </w:p>
        </w:tc>
        <w:tc>
          <w:tcPr>
            <w:tcW w:w="162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CCAF12D" w14:textId="77777777">
            <w:pPr>
              <w:autoSpaceDE w:val="0"/>
              <w:autoSpaceDN w:val="0"/>
              <w:adjustRightInd w:val="0"/>
              <w:rPr>
                <w:rFonts w:eastAsia="Calibri"/>
                <w:color w:val="000000"/>
              </w:rPr>
            </w:pPr>
            <w:r w:rsidRPr="00FE552D">
              <w:rPr>
                <w:rFonts w:eastAsia="Calibri"/>
                <w:color w:val="000000"/>
              </w:rPr>
              <w:t>.75</w:t>
            </w:r>
          </w:p>
        </w:tc>
        <w:tc>
          <w:tcPr>
            <w:tcW w:w="1179" w:type="dxa"/>
            <w:tcBorders>
              <w:top w:val="single" w:sz="7" w:space="0" w:color="000000"/>
              <w:left w:val="single" w:sz="7" w:space="0" w:color="000000"/>
              <w:bottom w:val="single" w:sz="7" w:space="0" w:color="000000"/>
              <w:right w:val="single" w:sz="7" w:space="0" w:color="000000"/>
            </w:tcBorders>
            <w:vAlign w:val="center"/>
          </w:tcPr>
          <w:p w:rsidR="00FE552D" w:rsidRPr="00FE552D" w:rsidP="00FE552D" w14:paraId="10933B12" w14:textId="65D81ADD">
            <w:pPr>
              <w:autoSpaceDE w:val="0"/>
              <w:autoSpaceDN w:val="0"/>
              <w:adjustRightInd w:val="0"/>
              <w:rPr>
                <w:rFonts w:eastAsia="Calibri"/>
                <w:color w:val="000000"/>
              </w:rPr>
            </w:pPr>
            <w:r w:rsidRPr="00FE552D">
              <w:rPr>
                <w:rFonts w:eastAsia="Calibri"/>
                <w:color w:val="000000"/>
              </w:rPr>
              <w:t>1,42</w:t>
            </w:r>
            <w:r w:rsidR="00E12F21">
              <w:rPr>
                <w:rFonts w:eastAsia="Calibri"/>
                <w:color w:val="000000"/>
              </w:rPr>
              <w:t>7</w:t>
            </w:r>
          </w:p>
        </w:tc>
      </w:tr>
      <w:tr w14:paraId="100006FD"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2F4D781" w14:textId="77777777">
            <w:pPr>
              <w:autoSpaceDE w:val="0"/>
              <w:autoSpaceDN w:val="0"/>
              <w:adjustRightInd w:val="0"/>
              <w:rPr>
                <w:rFonts w:eastAsia="Calibri"/>
                <w:color w:val="000000"/>
              </w:rPr>
            </w:pPr>
            <w:r w:rsidRPr="00FE552D">
              <w:rPr>
                <w:rFonts w:eastAsia="Calibri"/>
                <w:color w:val="000000"/>
              </w:rPr>
              <w:t>CDFI Annual Financial Statement Audit Report (if applicable)</w:t>
            </w:r>
          </w:p>
        </w:tc>
        <w:tc>
          <w:tcPr>
            <w:tcW w:w="171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35FC5AC9" w14:textId="77777777">
            <w:pPr>
              <w:autoSpaceDE w:val="0"/>
              <w:autoSpaceDN w:val="0"/>
              <w:adjustRightInd w:val="0"/>
              <w:rPr>
                <w:rFonts w:eastAsia="Calibri"/>
                <w:color w:val="000000"/>
              </w:rPr>
            </w:pPr>
            <w:r w:rsidRPr="00FE552D">
              <w:rPr>
                <w:rFonts w:eastAsia="Calibri"/>
                <w:color w:val="000000"/>
              </w:rPr>
              <w:t>428</w:t>
            </w:r>
          </w:p>
        </w:tc>
        <w:tc>
          <w:tcPr>
            <w:tcW w:w="180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2D33B2A7" w14:textId="77777777">
            <w:pPr>
              <w:autoSpaceDE w:val="0"/>
              <w:autoSpaceDN w:val="0"/>
              <w:adjustRightInd w:val="0"/>
              <w:rPr>
                <w:rFonts w:eastAsia="Calibri"/>
                <w:color w:val="000000"/>
              </w:rPr>
            </w:pPr>
            <w:r w:rsidRPr="00FE552D">
              <w:rPr>
                <w:rFonts w:eastAsia="Calibri"/>
                <w:color w:val="000000"/>
              </w:rPr>
              <w:t>1</w:t>
            </w:r>
          </w:p>
        </w:tc>
        <w:tc>
          <w:tcPr>
            <w:tcW w:w="162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33597E25" w14:textId="77777777">
            <w:pPr>
              <w:autoSpaceDE w:val="0"/>
              <w:autoSpaceDN w:val="0"/>
              <w:adjustRightInd w:val="0"/>
              <w:rPr>
                <w:rFonts w:eastAsia="Calibri"/>
                <w:color w:val="000000"/>
              </w:rPr>
            </w:pPr>
            <w:r w:rsidRPr="00FE552D">
              <w:rPr>
                <w:rFonts w:eastAsia="Calibri"/>
                <w:color w:val="000000"/>
              </w:rPr>
              <w:t>.5</w:t>
            </w:r>
          </w:p>
        </w:tc>
        <w:tc>
          <w:tcPr>
            <w:tcW w:w="1179" w:type="dxa"/>
            <w:tcBorders>
              <w:top w:val="single" w:sz="7" w:space="0" w:color="000000"/>
              <w:left w:val="single" w:sz="7" w:space="0" w:color="000000"/>
              <w:bottom w:val="single" w:sz="7" w:space="0" w:color="000000"/>
              <w:right w:val="single" w:sz="7" w:space="0" w:color="000000"/>
            </w:tcBorders>
            <w:vAlign w:val="center"/>
          </w:tcPr>
          <w:p w:rsidR="00FE552D" w:rsidRPr="00FE552D" w:rsidP="00FE552D" w14:paraId="0B49243E" w14:textId="77777777">
            <w:pPr>
              <w:autoSpaceDE w:val="0"/>
              <w:autoSpaceDN w:val="0"/>
              <w:adjustRightInd w:val="0"/>
              <w:rPr>
                <w:rFonts w:eastAsia="Calibri"/>
                <w:color w:val="000000"/>
              </w:rPr>
            </w:pPr>
            <w:r w:rsidRPr="00FE552D">
              <w:rPr>
                <w:rFonts w:eastAsia="Calibri"/>
                <w:color w:val="000000"/>
              </w:rPr>
              <w:t>214</w:t>
            </w:r>
          </w:p>
        </w:tc>
      </w:tr>
      <w:tr w14:paraId="7E2313F1"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6C18CEAE" w14:textId="77777777">
            <w:pPr>
              <w:autoSpaceDE w:val="0"/>
              <w:autoSpaceDN w:val="0"/>
              <w:adjustRightInd w:val="0"/>
              <w:rPr>
                <w:rFonts w:eastAsia="Calibri"/>
                <w:color w:val="000000"/>
              </w:rPr>
            </w:pPr>
            <w:r w:rsidRPr="00FE552D">
              <w:rPr>
                <w:rFonts w:eastAsia="Calibri"/>
                <w:color w:val="000000"/>
              </w:rPr>
              <w:t>CDFI Annual Single Audit Report (if applicable)</w:t>
            </w:r>
          </w:p>
        </w:tc>
        <w:tc>
          <w:tcPr>
            <w:tcW w:w="171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0EBDE0F3" w14:textId="77777777">
            <w:pPr>
              <w:autoSpaceDE w:val="0"/>
              <w:autoSpaceDN w:val="0"/>
              <w:adjustRightInd w:val="0"/>
              <w:rPr>
                <w:rFonts w:eastAsia="Calibri"/>
                <w:color w:val="000000"/>
              </w:rPr>
            </w:pPr>
            <w:r w:rsidRPr="00FE552D">
              <w:rPr>
                <w:rFonts w:eastAsia="Calibri"/>
                <w:color w:val="000000"/>
              </w:rPr>
              <w:t>428</w:t>
            </w:r>
          </w:p>
        </w:tc>
        <w:tc>
          <w:tcPr>
            <w:tcW w:w="180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256B87F2" w14:textId="77777777">
            <w:pPr>
              <w:autoSpaceDE w:val="0"/>
              <w:autoSpaceDN w:val="0"/>
              <w:adjustRightInd w:val="0"/>
              <w:rPr>
                <w:rFonts w:eastAsia="Calibri"/>
                <w:color w:val="000000"/>
              </w:rPr>
            </w:pPr>
            <w:r w:rsidRPr="00FE552D">
              <w:rPr>
                <w:rFonts w:eastAsia="Calibri"/>
                <w:color w:val="000000"/>
              </w:rPr>
              <w:t>1</w:t>
            </w:r>
          </w:p>
        </w:tc>
        <w:tc>
          <w:tcPr>
            <w:tcW w:w="162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294B1533" w14:textId="77777777">
            <w:pPr>
              <w:autoSpaceDE w:val="0"/>
              <w:autoSpaceDN w:val="0"/>
              <w:adjustRightInd w:val="0"/>
              <w:rPr>
                <w:rFonts w:eastAsia="Calibri"/>
                <w:color w:val="000000"/>
              </w:rPr>
            </w:pPr>
            <w:r w:rsidRPr="00FE552D">
              <w:rPr>
                <w:rFonts w:eastAsia="Calibri"/>
                <w:color w:val="000000"/>
              </w:rPr>
              <w:t>.5</w:t>
            </w:r>
          </w:p>
        </w:tc>
        <w:tc>
          <w:tcPr>
            <w:tcW w:w="1179" w:type="dxa"/>
            <w:tcBorders>
              <w:top w:val="single" w:sz="7" w:space="0" w:color="000000"/>
              <w:left w:val="single" w:sz="7" w:space="0" w:color="000000"/>
              <w:bottom w:val="single" w:sz="7" w:space="0" w:color="000000"/>
              <w:right w:val="single" w:sz="7" w:space="0" w:color="000000"/>
            </w:tcBorders>
            <w:vAlign w:val="center"/>
          </w:tcPr>
          <w:p w:rsidR="00FE552D" w:rsidRPr="00FE552D" w:rsidP="00FE552D" w14:paraId="4079078A" w14:textId="77777777">
            <w:pPr>
              <w:autoSpaceDE w:val="0"/>
              <w:autoSpaceDN w:val="0"/>
              <w:adjustRightInd w:val="0"/>
              <w:rPr>
                <w:rFonts w:eastAsia="Calibri"/>
                <w:color w:val="000000"/>
              </w:rPr>
            </w:pPr>
            <w:r w:rsidRPr="00FE552D">
              <w:rPr>
                <w:rFonts w:eastAsia="Calibri"/>
                <w:color w:val="000000"/>
              </w:rPr>
              <w:t>214</w:t>
            </w:r>
          </w:p>
        </w:tc>
      </w:tr>
      <w:tr w14:paraId="75B9D598"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E12F21" w:rsidRPr="006D432B" w:rsidP="00FE552D" w14:paraId="4ACA0864" w14:textId="4C916B87">
            <w:pPr>
              <w:autoSpaceDE w:val="0"/>
              <w:autoSpaceDN w:val="0"/>
              <w:adjustRightInd w:val="0"/>
              <w:rPr>
                <w:rFonts w:eastAsia="Calibri"/>
                <w:b/>
                <w:bCs/>
                <w:color w:val="000000"/>
              </w:rPr>
            </w:pPr>
            <w:r w:rsidRPr="006D432B">
              <w:rPr>
                <w:rFonts w:eastAsia="Calibri"/>
                <w:b/>
                <w:bCs/>
                <w:color w:val="000000"/>
              </w:rPr>
              <w:t>Total</w:t>
            </w:r>
          </w:p>
        </w:tc>
        <w:tc>
          <w:tcPr>
            <w:tcW w:w="1710" w:type="dxa"/>
            <w:tcBorders>
              <w:top w:val="single" w:sz="7" w:space="0" w:color="000000"/>
              <w:left w:val="single" w:sz="7" w:space="0" w:color="000000"/>
              <w:bottom w:val="single" w:sz="7" w:space="0" w:color="000000"/>
              <w:right w:val="single" w:sz="6" w:space="0" w:color="FFFFFF"/>
            </w:tcBorders>
            <w:vAlign w:val="center"/>
          </w:tcPr>
          <w:p w:rsidR="00E12F21" w:rsidRPr="006D432B" w:rsidP="00FE552D" w14:paraId="43B0C882" w14:textId="77777777">
            <w:pPr>
              <w:autoSpaceDE w:val="0"/>
              <w:autoSpaceDN w:val="0"/>
              <w:adjustRightInd w:val="0"/>
              <w:rPr>
                <w:rFonts w:eastAsia="Calibri"/>
                <w:b/>
                <w:bCs/>
                <w:color w:val="000000"/>
              </w:rPr>
            </w:pPr>
          </w:p>
        </w:tc>
        <w:tc>
          <w:tcPr>
            <w:tcW w:w="1800" w:type="dxa"/>
            <w:tcBorders>
              <w:top w:val="single" w:sz="7" w:space="0" w:color="000000"/>
              <w:left w:val="single" w:sz="7" w:space="0" w:color="000000"/>
              <w:bottom w:val="single" w:sz="7" w:space="0" w:color="000000"/>
              <w:right w:val="single" w:sz="6" w:space="0" w:color="FFFFFF"/>
            </w:tcBorders>
            <w:vAlign w:val="center"/>
          </w:tcPr>
          <w:p w:rsidR="00E12F21" w:rsidRPr="006D432B" w:rsidP="00FE552D" w14:paraId="7008F771" w14:textId="77777777">
            <w:pPr>
              <w:autoSpaceDE w:val="0"/>
              <w:autoSpaceDN w:val="0"/>
              <w:adjustRightInd w:val="0"/>
              <w:rPr>
                <w:rFonts w:eastAsia="Calibri"/>
                <w:b/>
                <w:bCs/>
                <w:color w:val="000000"/>
              </w:rPr>
            </w:pPr>
          </w:p>
        </w:tc>
        <w:tc>
          <w:tcPr>
            <w:tcW w:w="1620" w:type="dxa"/>
            <w:tcBorders>
              <w:top w:val="single" w:sz="7" w:space="0" w:color="000000"/>
              <w:left w:val="single" w:sz="7" w:space="0" w:color="000000"/>
              <w:bottom w:val="single" w:sz="7" w:space="0" w:color="000000"/>
              <w:right w:val="single" w:sz="6" w:space="0" w:color="FFFFFF"/>
            </w:tcBorders>
            <w:vAlign w:val="center"/>
          </w:tcPr>
          <w:p w:rsidR="00E12F21" w:rsidRPr="006D432B" w:rsidP="00FE552D" w14:paraId="2309B08D" w14:textId="77777777">
            <w:pPr>
              <w:autoSpaceDE w:val="0"/>
              <w:autoSpaceDN w:val="0"/>
              <w:adjustRightInd w:val="0"/>
              <w:rPr>
                <w:rFonts w:eastAsia="Calibri"/>
                <w:b/>
                <w:bCs/>
                <w:color w:val="000000"/>
              </w:rPr>
            </w:pPr>
          </w:p>
        </w:tc>
        <w:tc>
          <w:tcPr>
            <w:tcW w:w="1179" w:type="dxa"/>
            <w:tcBorders>
              <w:top w:val="single" w:sz="7" w:space="0" w:color="000000"/>
              <w:left w:val="single" w:sz="7" w:space="0" w:color="000000"/>
              <w:bottom w:val="single" w:sz="7" w:space="0" w:color="000000"/>
              <w:right w:val="single" w:sz="7" w:space="0" w:color="000000"/>
            </w:tcBorders>
            <w:vAlign w:val="center"/>
          </w:tcPr>
          <w:p w:rsidR="00E12F21" w:rsidRPr="006D432B" w:rsidP="00FE552D" w14:paraId="45C6C67F" w14:textId="6B994663">
            <w:pPr>
              <w:autoSpaceDE w:val="0"/>
              <w:autoSpaceDN w:val="0"/>
              <w:adjustRightInd w:val="0"/>
              <w:rPr>
                <w:rFonts w:eastAsia="Calibri"/>
                <w:b/>
                <w:bCs/>
                <w:color w:val="000000"/>
              </w:rPr>
            </w:pPr>
            <w:r w:rsidRPr="006D432B">
              <w:rPr>
                <w:rFonts w:eastAsia="Calibri"/>
                <w:b/>
                <w:bCs/>
                <w:color w:val="000000"/>
              </w:rPr>
              <w:t>1,855</w:t>
            </w:r>
          </w:p>
        </w:tc>
      </w:tr>
    </w:tbl>
    <w:p w:rsidR="00FE552D" w:rsidRPr="00FE552D" w:rsidP="00FE552D" w14:paraId="22C10A73" w14:textId="77777777">
      <w:pPr>
        <w:autoSpaceDE w:val="0"/>
        <w:autoSpaceDN w:val="0"/>
        <w:adjustRightInd w:val="0"/>
        <w:rPr>
          <w:rFonts w:eastAsia="Calibri"/>
          <w:color w:val="000000"/>
          <w:u w:val="single"/>
        </w:rPr>
      </w:pPr>
    </w:p>
    <w:p w:rsidR="00F431E5" w:rsidP="00FE552D" w14:paraId="62BAA808" w14:textId="77777777">
      <w:pPr>
        <w:autoSpaceDE w:val="0"/>
        <w:autoSpaceDN w:val="0"/>
        <w:adjustRightInd w:val="0"/>
        <w:rPr>
          <w:rFonts w:eastAsia="Calibri"/>
          <w:color w:val="000000"/>
          <w:u w:val="single"/>
        </w:rPr>
      </w:pPr>
    </w:p>
    <w:p w:rsidR="00FE552D" w:rsidRPr="00FE552D" w:rsidP="00FE552D" w14:paraId="2DCD14F9" w14:textId="77777777">
      <w:pPr>
        <w:autoSpaceDE w:val="0"/>
        <w:autoSpaceDN w:val="0"/>
        <w:adjustRightInd w:val="0"/>
        <w:rPr>
          <w:rFonts w:eastAsia="Calibri"/>
          <w:color w:val="000000"/>
          <w:u w:val="single"/>
        </w:rPr>
      </w:pPr>
      <w:r w:rsidRPr="00FE552D">
        <w:rPr>
          <w:rFonts w:eastAsia="Calibri"/>
          <w:color w:val="000000"/>
          <w:u w:val="single"/>
        </w:rPr>
        <w:t>13. Estimate of total annual cost burden to respondents</w:t>
      </w:r>
    </w:p>
    <w:p w:rsidR="00FE552D" w:rsidP="00FE552D" w14:paraId="2FAA54AC" w14:textId="56BF165E">
      <w:pPr>
        <w:autoSpaceDE w:val="0"/>
        <w:autoSpaceDN w:val="0"/>
        <w:adjustRightInd w:val="0"/>
        <w:rPr>
          <w:rFonts w:eastAsia="Calibri"/>
          <w:color w:val="000000"/>
        </w:rPr>
      </w:pPr>
      <w:r w:rsidRPr="00FE552D">
        <w:rPr>
          <w:rFonts w:eastAsia="Calibri"/>
          <w:color w:val="000000"/>
        </w:rPr>
        <w:t xml:space="preserve">There </w:t>
      </w:r>
      <w:r w:rsidRPr="00FE552D">
        <w:rPr>
          <w:rFonts w:eastAsia="Calibri"/>
          <w:color w:val="000000"/>
        </w:rPr>
        <w:t>are</w:t>
      </w:r>
      <w:r w:rsidRPr="00FE552D">
        <w:rPr>
          <w:rFonts w:eastAsia="Calibri"/>
          <w:color w:val="000000"/>
        </w:rPr>
        <w:t xml:space="preserve"> no additional capital, start-up or ongoing operational, or maintenance costs associated with information collection. </w:t>
      </w:r>
      <w:r w:rsidR="006E3325">
        <w:rPr>
          <w:rFonts w:eastAsia="Calibri"/>
          <w:color w:val="000000"/>
        </w:rPr>
        <w:t>Monetized labor costs are estimated below.</w:t>
      </w:r>
    </w:p>
    <w:p w:rsidR="006E3325" w:rsidP="00FE552D" w14:paraId="532276B5" w14:textId="6C30CDDA">
      <w:pPr>
        <w:autoSpaceDE w:val="0"/>
        <w:autoSpaceDN w:val="0"/>
        <w:adjustRightInd w:val="0"/>
        <w:rPr>
          <w:rFonts w:eastAsia="Calibri"/>
          <w:color w:val="000000"/>
        </w:rPr>
      </w:pPr>
    </w:p>
    <w:p w:rsidR="006E3325" w:rsidRPr="00211A22" w:rsidP="006E3325" w14:paraId="29FF456F" w14:textId="77777777">
      <w:pPr>
        <w:pStyle w:val="Default"/>
        <w:rPr>
          <w:b/>
        </w:rPr>
      </w:pPr>
      <w:r w:rsidRPr="00211A22">
        <w:rPr>
          <w:b/>
        </w:rPr>
        <w:t>CDFI Annual Performance Progress Report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440"/>
        <w:gridCol w:w="1350"/>
        <w:gridCol w:w="1260"/>
        <w:gridCol w:w="1170"/>
        <w:gridCol w:w="810"/>
        <w:gridCol w:w="810"/>
        <w:gridCol w:w="1260"/>
      </w:tblGrid>
      <w:tr w14:paraId="56C9A323" w14:textId="77777777" w:rsidTr="00B118FF">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35" w:type="dxa"/>
            <w:tcBorders>
              <w:bottom w:val="single" w:sz="4" w:space="0" w:color="auto"/>
            </w:tcBorders>
            <w:shd w:val="clear" w:color="auto" w:fill="auto"/>
          </w:tcPr>
          <w:p w:rsidR="006E3325" w:rsidRPr="006E3325" w:rsidP="00714311" w14:paraId="41177736" w14:textId="77777777">
            <w:pPr>
              <w:jc w:val="center"/>
              <w:rPr>
                <w:b/>
                <w:sz w:val="22"/>
                <w:szCs w:val="22"/>
              </w:rPr>
            </w:pPr>
            <w:r w:rsidRPr="006E3325">
              <w:rPr>
                <w:b/>
                <w:sz w:val="22"/>
                <w:szCs w:val="22"/>
              </w:rPr>
              <w:t>Affected Public</w:t>
            </w:r>
          </w:p>
        </w:tc>
        <w:tc>
          <w:tcPr>
            <w:tcW w:w="1440" w:type="dxa"/>
            <w:tcBorders>
              <w:bottom w:val="single" w:sz="4" w:space="0" w:color="auto"/>
            </w:tcBorders>
            <w:shd w:val="clear" w:color="auto" w:fill="auto"/>
          </w:tcPr>
          <w:p w:rsidR="006E3325" w:rsidRPr="006E3325" w:rsidP="00714311" w14:paraId="3C451BD3" w14:textId="77777777">
            <w:pPr>
              <w:jc w:val="center"/>
              <w:rPr>
                <w:b/>
                <w:sz w:val="22"/>
                <w:szCs w:val="22"/>
              </w:rPr>
            </w:pPr>
            <w:r w:rsidRPr="006E3325">
              <w:rPr>
                <w:b/>
                <w:sz w:val="22"/>
                <w:szCs w:val="22"/>
              </w:rPr>
              <w:t xml:space="preserve">Number </w:t>
            </w:r>
          </w:p>
          <w:p w:rsidR="006E3325" w:rsidRPr="006E3325" w:rsidP="00714311" w14:paraId="424932E3" w14:textId="77777777">
            <w:pPr>
              <w:jc w:val="center"/>
              <w:rPr>
                <w:b/>
                <w:sz w:val="22"/>
                <w:szCs w:val="22"/>
              </w:rPr>
            </w:pPr>
            <w:r w:rsidRPr="006E3325">
              <w:rPr>
                <w:b/>
                <w:sz w:val="22"/>
                <w:szCs w:val="22"/>
              </w:rPr>
              <w:t>of Respondents</w:t>
            </w:r>
          </w:p>
        </w:tc>
        <w:tc>
          <w:tcPr>
            <w:tcW w:w="1350" w:type="dxa"/>
            <w:tcBorders>
              <w:bottom w:val="single" w:sz="4" w:space="0" w:color="auto"/>
            </w:tcBorders>
            <w:shd w:val="clear" w:color="auto" w:fill="auto"/>
          </w:tcPr>
          <w:p w:rsidR="006E3325" w:rsidRPr="006E3325" w:rsidP="00714311" w14:paraId="0D320203" w14:textId="77777777">
            <w:pPr>
              <w:jc w:val="center"/>
              <w:rPr>
                <w:b/>
                <w:sz w:val="22"/>
                <w:szCs w:val="22"/>
              </w:rPr>
            </w:pPr>
            <w:r w:rsidRPr="006E3325">
              <w:rPr>
                <w:b/>
                <w:sz w:val="22"/>
                <w:szCs w:val="22"/>
              </w:rPr>
              <w:t>Number of Responses</w:t>
            </w:r>
          </w:p>
          <w:p w:rsidR="006E3325" w:rsidRPr="006E3325" w:rsidP="00714311" w14:paraId="5283F4DF" w14:textId="77777777">
            <w:pPr>
              <w:jc w:val="center"/>
              <w:rPr>
                <w:b/>
                <w:sz w:val="22"/>
                <w:szCs w:val="22"/>
              </w:rPr>
            </w:pPr>
            <w:r w:rsidRPr="006E3325">
              <w:rPr>
                <w:b/>
                <w:sz w:val="22"/>
                <w:szCs w:val="22"/>
              </w:rPr>
              <w:t xml:space="preserve">Per </w:t>
            </w:r>
          </w:p>
          <w:p w:rsidR="006E3325" w:rsidRPr="006E3325" w:rsidP="00714311" w14:paraId="2B55E94D" w14:textId="77777777">
            <w:pPr>
              <w:jc w:val="center"/>
              <w:rPr>
                <w:b/>
                <w:sz w:val="22"/>
                <w:szCs w:val="22"/>
              </w:rPr>
            </w:pPr>
            <w:r w:rsidRPr="006E3325">
              <w:rPr>
                <w:b/>
                <w:sz w:val="22"/>
                <w:szCs w:val="22"/>
              </w:rPr>
              <w:t>Respondent</w:t>
            </w:r>
          </w:p>
        </w:tc>
        <w:tc>
          <w:tcPr>
            <w:tcW w:w="1260" w:type="dxa"/>
            <w:tcBorders>
              <w:bottom w:val="single" w:sz="4" w:space="0" w:color="auto"/>
            </w:tcBorders>
            <w:shd w:val="clear" w:color="auto" w:fill="auto"/>
          </w:tcPr>
          <w:p w:rsidR="006E3325" w:rsidRPr="006E3325" w:rsidP="00714311" w14:paraId="19E40418" w14:textId="77777777">
            <w:pPr>
              <w:jc w:val="center"/>
              <w:rPr>
                <w:b/>
                <w:sz w:val="22"/>
                <w:szCs w:val="22"/>
              </w:rPr>
            </w:pPr>
            <w:r w:rsidRPr="006E3325">
              <w:rPr>
                <w:b/>
                <w:sz w:val="22"/>
                <w:szCs w:val="22"/>
              </w:rPr>
              <w:t xml:space="preserve">Total </w:t>
            </w:r>
          </w:p>
          <w:p w:rsidR="006E3325" w:rsidRPr="006E3325" w:rsidP="00714311" w14:paraId="5B7DCD61" w14:textId="77777777">
            <w:pPr>
              <w:jc w:val="center"/>
              <w:rPr>
                <w:b/>
                <w:sz w:val="22"/>
                <w:szCs w:val="22"/>
              </w:rPr>
            </w:pPr>
            <w:r w:rsidRPr="006E3325">
              <w:rPr>
                <w:b/>
                <w:sz w:val="22"/>
                <w:szCs w:val="22"/>
              </w:rPr>
              <w:t>Annual Responses</w:t>
            </w:r>
          </w:p>
        </w:tc>
        <w:tc>
          <w:tcPr>
            <w:tcW w:w="1170" w:type="dxa"/>
            <w:tcBorders>
              <w:bottom w:val="single" w:sz="4" w:space="0" w:color="auto"/>
            </w:tcBorders>
          </w:tcPr>
          <w:p w:rsidR="006E3325" w:rsidRPr="006E3325" w:rsidP="00714311" w14:paraId="043CF914" w14:textId="77777777">
            <w:pPr>
              <w:jc w:val="center"/>
              <w:rPr>
                <w:b/>
                <w:sz w:val="22"/>
                <w:szCs w:val="22"/>
              </w:rPr>
            </w:pPr>
            <w:r w:rsidRPr="006E3325">
              <w:rPr>
                <w:b/>
                <w:sz w:val="22"/>
                <w:szCs w:val="22"/>
              </w:rPr>
              <w:t xml:space="preserve">Hours </w:t>
            </w:r>
          </w:p>
          <w:p w:rsidR="006E3325" w:rsidRPr="006E3325" w:rsidP="00714311" w14:paraId="322C2AE4" w14:textId="77777777">
            <w:pPr>
              <w:jc w:val="center"/>
              <w:rPr>
                <w:b/>
                <w:sz w:val="22"/>
                <w:szCs w:val="22"/>
              </w:rPr>
            </w:pPr>
            <w:r w:rsidRPr="006E3325">
              <w:rPr>
                <w:b/>
                <w:sz w:val="22"/>
                <w:szCs w:val="22"/>
              </w:rPr>
              <w:t xml:space="preserve">Per </w:t>
            </w:r>
          </w:p>
          <w:p w:rsidR="006E3325" w:rsidRPr="006E3325" w:rsidP="00714311" w14:paraId="63763043" w14:textId="77777777">
            <w:pPr>
              <w:jc w:val="center"/>
              <w:rPr>
                <w:b/>
                <w:sz w:val="22"/>
                <w:szCs w:val="22"/>
              </w:rPr>
            </w:pPr>
            <w:r w:rsidRPr="006E3325">
              <w:rPr>
                <w:b/>
                <w:sz w:val="22"/>
                <w:szCs w:val="22"/>
              </w:rPr>
              <w:t>Response</w:t>
            </w:r>
          </w:p>
        </w:tc>
        <w:tc>
          <w:tcPr>
            <w:tcW w:w="810" w:type="dxa"/>
            <w:tcBorders>
              <w:bottom w:val="single" w:sz="4" w:space="0" w:color="auto"/>
            </w:tcBorders>
          </w:tcPr>
          <w:p w:rsidR="006E3325" w:rsidRPr="006E3325" w:rsidP="00714311" w14:paraId="48266676" w14:textId="77777777">
            <w:pPr>
              <w:jc w:val="center"/>
              <w:rPr>
                <w:b/>
                <w:sz w:val="22"/>
                <w:szCs w:val="22"/>
              </w:rPr>
            </w:pPr>
            <w:r w:rsidRPr="006E3325">
              <w:rPr>
                <w:b/>
                <w:sz w:val="22"/>
                <w:szCs w:val="22"/>
              </w:rPr>
              <w:t xml:space="preserve">Total </w:t>
            </w:r>
          </w:p>
          <w:p w:rsidR="006E3325" w:rsidRPr="006E3325" w:rsidP="00714311" w14:paraId="04359AD5" w14:textId="77777777">
            <w:pPr>
              <w:jc w:val="center"/>
              <w:rPr>
                <w:b/>
                <w:sz w:val="22"/>
                <w:szCs w:val="22"/>
              </w:rPr>
            </w:pPr>
            <w:r w:rsidRPr="006E3325">
              <w:rPr>
                <w:b/>
                <w:sz w:val="22"/>
                <w:szCs w:val="22"/>
              </w:rPr>
              <w:t>Hours</w:t>
            </w:r>
          </w:p>
        </w:tc>
        <w:tc>
          <w:tcPr>
            <w:tcW w:w="810" w:type="dxa"/>
            <w:tcBorders>
              <w:bottom w:val="single" w:sz="4" w:space="0" w:color="auto"/>
            </w:tcBorders>
          </w:tcPr>
          <w:p w:rsidR="006E3325" w:rsidRPr="006E3325" w:rsidP="00714311" w14:paraId="17818851" w14:textId="77777777">
            <w:pPr>
              <w:jc w:val="center"/>
              <w:rPr>
                <w:b/>
                <w:sz w:val="22"/>
                <w:szCs w:val="22"/>
              </w:rPr>
            </w:pPr>
            <w:r w:rsidRPr="006E3325">
              <w:rPr>
                <w:b/>
                <w:sz w:val="22"/>
                <w:szCs w:val="22"/>
              </w:rPr>
              <w:t>Time</w:t>
            </w:r>
          </w:p>
          <w:p w:rsidR="006E3325" w:rsidRPr="006E3325" w:rsidP="00714311" w14:paraId="5F5741F9" w14:textId="77777777">
            <w:pPr>
              <w:jc w:val="center"/>
              <w:rPr>
                <w:b/>
                <w:sz w:val="22"/>
                <w:szCs w:val="22"/>
              </w:rPr>
            </w:pPr>
            <w:r w:rsidRPr="006E3325">
              <w:rPr>
                <w:b/>
                <w:sz w:val="22"/>
                <w:szCs w:val="22"/>
              </w:rPr>
              <w:t>Value</w:t>
            </w:r>
          </w:p>
          <w:p w:rsidR="006E3325" w:rsidRPr="006E3325" w:rsidP="00714311" w14:paraId="318AD04A" w14:textId="77777777">
            <w:pPr>
              <w:jc w:val="center"/>
              <w:rPr>
                <w:b/>
                <w:sz w:val="22"/>
                <w:szCs w:val="22"/>
              </w:rPr>
            </w:pPr>
            <w:r w:rsidRPr="006E3325">
              <w:rPr>
                <w:b/>
                <w:sz w:val="22"/>
                <w:szCs w:val="22"/>
              </w:rPr>
              <w:t>(</w:t>
            </w:r>
            <w:r w:rsidRPr="006E3325">
              <w:rPr>
                <w:b/>
                <w:sz w:val="22"/>
                <w:szCs w:val="22"/>
              </w:rPr>
              <w:t>per</w:t>
            </w:r>
          </w:p>
          <w:p w:rsidR="006E3325" w:rsidRPr="006E3325" w:rsidP="00714311" w14:paraId="356570C3" w14:textId="77777777">
            <w:pPr>
              <w:jc w:val="center"/>
              <w:rPr>
                <w:b/>
                <w:sz w:val="22"/>
                <w:szCs w:val="22"/>
              </w:rPr>
            </w:pPr>
            <w:r w:rsidRPr="006E3325">
              <w:rPr>
                <w:b/>
                <w:sz w:val="22"/>
                <w:szCs w:val="22"/>
              </w:rPr>
              <w:t>Hour)</w:t>
            </w:r>
          </w:p>
        </w:tc>
        <w:tc>
          <w:tcPr>
            <w:tcW w:w="1260" w:type="dxa"/>
            <w:tcBorders>
              <w:bottom w:val="single" w:sz="4" w:space="0" w:color="auto"/>
            </w:tcBorders>
            <w:shd w:val="clear" w:color="auto" w:fill="auto"/>
          </w:tcPr>
          <w:p w:rsidR="006E3325" w:rsidRPr="006E3325" w:rsidP="00714311" w14:paraId="0FA3C66E" w14:textId="77777777">
            <w:pPr>
              <w:jc w:val="center"/>
              <w:rPr>
                <w:b/>
                <w:sz w:val="22"/>
                <w:szCs w:val="22"/>
              </w:rPr>
            </w:pPr>
            <w:r w:rsidRPr="006E3325">
              <w:rPr>
                <w:b/>
                <w:sz w:val="22"/>
                <w:szCs w:val="22"/>
              </w:rPr>
              <w:t>Monetized</w:t>
            </w:r>
          </w:p>
          <w:p w:rsidR="006E3325" w:rsidRPr="006E3325" w:rsidP="00714311" w14:paraId="1900186B" w14:textId="77777777">
            <w:pPr>
              <w:jc w:val="center"/>
              <w:rPr>
                <w:b/>
                <w:sz w:val="22"/>
                <w:szCs w:val="22"/>
              </w:rPr>
            </w:pPr>
            <w:r w:rsidRPr="006E3325">
              <w:rPr>
                <w:b/>
                <w:sz w:val="22"/>
                <w:szCs w:val="22"/>
              </w:rPr>
              <w:t xml:space="preserve">Burden </w:t>
            </w:r>
          </w:p>
          <w:p w:rsidR="006E3325" w:rsidRPr="006E3325" w:rsidP="00714311" w14:paraId="33B58C06" w14:textId="77777777">
            <w:pPr>
              <w:jc w:val="center"/>
              <w:rPr>
                <w:b/>
                <w:sz w:val="22"/>
                <w:szCs w:val="22"/>
              </w:rPr>
            </w:pPr>
            <w:r w:rsidRPr="006E3325">
              <w:rPr>
                <w:b/>
                <w:sz w:val="22"/>
                <w:szCs w:val="22"/>
              </w:rPr>
              <w:t xml:space="preserve">Hours </w:t>
            </w:r>
          </w:p>
        </w:tc>
      </w:tr>
      <w:tr w14:paraId="66BA5C47" w14:textId="77777777" w:rsidTr="00B118FF">
        <w:tblPrEx>
          <w:tblW w:w="9535" w:type="dxa"/>
          <w:jc w:val="center"/>
          <w:tblLayout w:type="fixed"/>
          <w:tblLook w:val="04A0"/>
        </w:tblPrEx>
        <w:trPr>
          <w:jc w:val="center"/>
        </w:trPr>
        <w:tc>
          <w:tcPr>
            <w:tcW w:w="1435" w:type="dxa"/>
            <w:tcBorders>
              <w:bottom w:val="single" w:sz="4" w:space="0" w:color="auto"/>
            </w:tcBorders>
            <w:shd w:val="clear" w:color="auto" w:fill="auto"/>
          </w:tcPr>
          <w:p w:rsidR="006E3325" w:rsidRPr="006E3325" w:rsidP="00714311" w14:paraId="10845135" w14:textId="77777777">
            <w:pPr>
              <w:rPr>
                <w:sz w:val="22"/>
                <w:szCs w:val="22"/>
              </w:rPr>
            </w:pPr>
            <w:r w:rsidRPr="006E3325">
              <w:rPr>
                <w:sz w:val="22"/>
                <w:szCs w:val="22"/>
              </w:rPr>
              <w:t>Private Sector</w:t>
            </w:r>
          </w:p>
        </w:tc>
        <w:tc>
          <w:tcPr>
            <w:tcW w:w="1440" w:type="dxa"/>
            <w:tcBorders>
              <w:bottom w:val="single" w:sz="4" w:space="0" w:color="auto"/>
            </w:tcBorders>
            <w:shd w:val="clear" w:color="auto" w:fill="auto"/>
          </w:tcPr>
          <w:p w:rsidR="006E3325" w:rsidRPr="006E3325" w:rsidP="00714311" w14:paraId="3F2C096A" w14:textId="6A7F140F">
            <w:pPr>
              <w:jc w:val="center"/>
              <w:rPr>
                <w:sz w:val="22"/>
                <w:szCs w:val="22"/>
              </w:rPr>
            </w:pPr>
            <w:r>
              <w:rPr>
                <w:sz w:val="22"/>
                <w:szCs w:val="22"/>
              </w:rPr>
              <w:t>1,</w:t>
            </w:r>
            <w:r w:rsidRPr="006E3325">
              <w:rPr>
                <w:sz w:val="22"/>
                <w:szCs w:val="22"/>
              </w:rPr>
              <w:t>8</w:t>
            </w:r>
            <w:r>
              <w:rPr>
                <w:sz w:val="22"/>
                <w:szCs w:val="22"/>
              </w:rPr>
              <w:t>52</w:t>
            </w:r>
          </w:p>
        </w:tc>
        <w:tc>
          <w:tcPr>
            <w:tcW w:w="1350" w:type="dxa"/>
            <w:tcBorders>
              <w:bottom w:val="single" w:sz="4" w:space="0" w:color="auto"/>
            </w:tcBorders>
            <w:shd w:val="clear" w:color="auto" w:fill="auto"/>
          </w:tcPr>
          <w:p w:rsidR="006E3325" w:rsidRPr="006E3325" w:rsidP="00714311" w14:paraId="1771F2F7" w14:textId="77777777">
            <w:pPr>
              <w:jc w:val="center"/>
              <w:rPr>
                <w:sz w:val="22"/>
                <w:szCs w:val="22"/>
              </w:rPr>
            </w:pPr>
            <w:r w:rsidRPr="006E3325">
              <w:rPr>
                <w:sz w:val="22"/>
                <w:szCs w:val="22"/>
              </w:rPr>
              <w:t>1</w:t>
            </w:r>
          </w:p>
        </w:tc>
        <w:tc>
          <w:tcPr>
            <w:tcW w:w="1260" w:type="dxa"/>
            <w:tcBorders>
              <w:bottom w:val="single" w:sz="4" w:space="0" w:color="auto"/>
            </w:tcBorders>
            <w:shd w:val="clear" w:color="auto" w:fill="auto"/>
          </w:tcPr>
          <w:p w:rsidR="006E3325" w:rsidRPr="006E3325" w:rsidP="00714311" w14:paraId="09829DD7" w14:textId="26ADE152">
            <w:pPr>
              <w:jc w:val="center"/>
              <w:rPr>
                <w:sz w:val="22"/>
                <w:szCs w:val="22"/>
              </w:rPr>
            </w:pPr>
            <w:r>
              <w:rPr>
                <w:sz w:val="22"/>
                <w:szCs w:val="22"/>
              </w:rPr>
              <w:t>1,852</w:t>
            </w:r>
          </w:p>
        </w:tc>
        <w:tc>
          <w:tcPr>
            <w:tcW w:w="1170" w:type="dxa"/>
            <w:tcBorders>
              <w:bottom w:val="single" w:sz="4" w:space="0" w:color="auto"/>
            </w:tcBorders>
          </w:tcPr>
          <w:p w:rsidR="006E3325" w:rsidRPr="006E3325" w:rsidP="00714311" w14:paraId="72EDE5BE" w14:textId="34B729FF">
            <w:pPr>
              <w:jc w:val="center"/>
              <w:rPr>
                <w:sz w:val="22"/>
                <w:szCs w:val="22"/>
              </w:rPr>
            </w:pPr>
            <w:r w:rsidRPr="006E3325">
              <w:rPr>
                <w:sz w:val="22"/>
                <w:szCs w:val="22"/>
              </w:rPr>
              <w:t>.</w:t>
            </w:r>
            <w:r w:rsidR="00B118FF">
              <w:rPr>
                <w:sz w:val="22"/>
                <w:szCs w:val="22"/>
              </w:rPr>
              <w:t>7</w:t>
            </w:r>
            <w:r w:rsidRPr="006E3325">
              <w:rPr>
                <w:sz w:val="22"/>
                <w:szCs w:val="22"/>
              </w:rPr>
              <w:t>5</w:t>
            </w:r>
          </w:p>
        </w:tc>
        <w:tc>
          <w:tcPr>
            <w:tcW w:w="810" w:type="dxa"/>
            <w:tcBorders>
              <w:bottom w:val="single" w:sz="4" w:space="0" w:color="auto"/>
            </w:tcBorders>
          </w:tcPr>
          <w:p w:rsidR="006E3325" w:rsidRPr="006E3325" w:rsidP="00714311" w14:paraId="2B93A369" w14:textId="62C69ACF">
            <w:pPr>
              <w:jc w:val="center"/>
              <w:rPr>
                <w:sz w:val="22"/>
                <w:szCs w:val="22"/>
              </w:rPr>
            </w:pPr>
            <w:r>
              <w:rPr>
                <w:sz w:val="22"/>
                <w:szCs w:val="22"/>
              </w:rPr>
              <w:t>1,389</w:t>
            </w:r>
          </w:p>
        </w:tc>
        <w:tc>
          <w:tcPr>
            <w:tcW w:w="810" w:type="dxa"/>
            <w:tcBorders>
              <w:bottom w:val="single" w:sz="4" w:space="0" w:color="auto"/>
            </w:tcBorders>
          </w:tcPr>
          <w:p w:rsidR="006E3325" w:rsidRPr="006E3325" w:rsidP="00714311" w14:paraId="59F0B082" w14:textId="3393E6DD">
            <w:pPr>
              <w:jc w:val="center"/>
              <w:rPr>
                <w:sz w:val="22"/>
                <w:szCs w:val="22"/>
              </w:rPr>
            </w:pPr>
            <w:r w:rsidRPr="006E3325">
              <w:rPr>
                <w:sz w:val="22"/>
                <w:szCs w:val="22"/>
              </w:rPr>
              <w:t>$</w:t>
            </w:r>
            <w:r w:rsidR="00B118FF">
              <w:rPr>
                <w:sz w:val="22"/>
                <w:szCs w:val="22"/>
              </w:rPr>
              <w:t>52</w:t>
            </w:r>
            <w:r>
              <w:rPr>
                <w:rStyle w:val="FootnoteReference"/>
                <w:sz w:val="22"/>
                <w:szCs w:val="22"/>
              </w:rPr>
              <w:footnoteReference w:id="2"/>
            </w:r>
          </w:p>
        </w:tc>
        <w:tc>
          <w:tcPr>
            <w:tcW w:w="1260" w:type="dxa"/>
            <w:tcBorders>
              <w:bottom w:val="single" w:sz="4" w:space="0" w:color="auto"/>
            </w:tcBorders>
            <w:shd w:val="clear" w:color="auto" w:fill="auto"/>
          </w:tcPr>
          <w:p w:rsidR="006E3325" w:rsidRPr="006E3325" w:rsidP="00714311" w14:paraId="01B0625E" w14:textId="4A0E5DE8">
            <w:pPr>
              <w:jc w:val="center"/>
              <w:rPr>
                <w:sz w:val="22"/>
                <w:szCs w:val="22"/>
              </w:rPr>
            </w:pPr>
            <w:r w:rsidRPr="006E3325">
              <w:rPr>
                <w:sz w:val="22"/>
                <w:szCs w:val="22"/>
              </w:rPr>
              <w:t>$</w:t>
            </w:r>
            <w:r w:rsidR="006D432B">
              <w:rPr>
                <w:sz w:val="22"/>
                <w:szCs w:val="22"/>
              </w:rPr>
              <w:t>72,228</w:t>
            </w:r>
          </w:p>
        </w:tc>
      </w:tr>
      <w:tr w14:paraId="5D62CCB2" w14:textId="77777777" w:rsidTr="00B118FF">
        <w:tblPrEx>
          <w:tblW w:w="9535" w:type="dxa"/>
          <w:jc w:val="center"/>
          <w:tblLayout w:type="fixed"/>
          <w:tblLook w:val="04A0"/>
        </w:tblPrEx>
        <w:trPr>
          <w:jc w:val="center"/>
        </w:trPr>
        <w:tc>
          <w:tcPr>
            <w:tcW w:w="1435" w:type="dxa"/>
            <w:tcBorders>
              <w:top w:val="single" w:sz="4" w:space="0" w:color="auto"/>
              <w:bottom w:val="double" w:sz="4" w:space="0" w:color="auto"/>
            </w:tcBorders>
            <w:shd w:val="clear" w:color="auto" w:fill="auto"/>
          </w:tcPr>
          <w:p w:rsidR="006E3325" w:rsidRPr="006E3325" w:rsidP="00714311" w14:paraId="16730F7A" w14:textId="77777777">
            <w:pPr>
              <w:rPr>
                <w:sz w:val="22"/>
                <w:szCs w:val="22"/>
              </w:rPr>
            </w:pPr>
            <w:r w:rsidRPr="006E3325">
              <w:rPr>
                <w:sz w:val="22"/>
                <w:szCs w:val="22"/>
              </w:rPr>
              <w:t>State, Local, and Tribal Governments</w:t>
            </w:r>
          </w:p>
        </w:tc>
        <w:tc>
          <w:tcPr>
            <w:tcW w:w="1440" w:type="dxa"/>
            <w:tcBorders>
              <w:top w:val="single" w:sz="4" w:space="0" w:color="auto"/>
              <w:bottom w:val="double" w:sz="4" w:space="0" w:color="auto"/>
            </w:tcBorders>
            <w:shd w:val="clear" w:color="auto" w:fill="auto"/>
          </w:tcPr>
          <w:p w:rsidR="006E3325" w:rsidRPr="006E3325" w:rsidP="00714311" w14:paraId="57257337" w14:textId="77777777">
            <w:pPr>
              <w:jc w:val="center"/>
              <w:rPr>
                <w:sz w:val="22"/>
                <w:szCs w:val="22"/>
              </w:rPr>
            </w:pPr>
            <w:r w:rsidRPr="006E3325">
              <w:rPr>
                <w:sz w:val="22"/>
                <w:szCs w:val="22"/>
              </w:rPr>
              <w:t>50</w:t>
            </w:r>
          </w:p>
        </w:tc>
        <w:tc>
          <w:tcPr>
            <w:tcW w:w="1350" w:type="dxa"/>
            <w:tcBorders>
              <w:top w:val="single" w:sz="4" w:space="0" w:color="auto"/>
              <w:bottom w:val="double" w:sz="4" w:space="0" w:color="auto"/>
            </w:tcBorders>
            <w:shd w:val="clear" w:color="auto" w:fill="auto"/>
          </w:tcPr>
          <w:p w:rsidR="006E3325" w:rsidRPr="006E3325" w:rsidP="00714311" w14:paraId="52C1F226" w14:textId="77777777">
            <w:pPr>
              <w:jc w:val="center"/>
              <w:rPr>
                <w:sz w:val="22"/>
                <w:szCs w:val="22"/>
              </w:rPr>
            </w:pPr>
            <w:r w:rsidRPr="006E3325">
              <w:rPr>
                <w:sz w:val="22"/>
                <w:szCs w:val="22"/>
              </w:rPr>
              <w:t>1</w:t>
            </w:r>
          </w:p>
        </w:tc>
        <w:tc>
          <w:tcPr>
            <w:tcW w:w="1260" w:type="dxa"/>
            <w:tcBorders>
              <w:top w:val="single" w:sz="4" w:space="0" w:color="auto"/>
              <w:bottom w:val="double" w:sz="4" w:space="0" w:color="auto"/>
            </w:tcBorders>
            <w:shd w:val="clear" w:color="auto" w:fill="auto"/>
          </w:tcPr>
          <w:p w:rsidR="006E3325" w:rsidRPr="006E3325" w:rsidP="00714311" w14:paraId="75738E98" w14:textId="77777777">
            <w:pPr>
              <w:jc w:val="center"/>
              <w:rPr>
                <w:sz w:val="22"/>
                <w:szCs w:val="22"/>
              </w:rPr>
            </w:pPr>
            <w:r w:rsidRPr="006E3325">
              <w:rPr>
                <w:sz w:val="22"/>
                <w:szCs w:val="22"/>
              </w:rPr>
              <w:t>50</w:t>
            </w:r>
          </w:p>
        </w:tc>
        <w:tc>
          <w:tcPr>
            <w:tcW w:w="1170" w:type="dxa"/>
            <w:tcBorders>
              <w:top w:val="single" w:sz="4" w:space="0" w:color="auto"/>
              <w:bottom w:val="double" w:sz="4" w:space="0" w:color="auto"/>
            </w:tcBorders>
          </w:tcPr>
          <w:p w:rsidR="006E3325" w:rsidRPr="006E3325" w:rsidP="00714311" w14:paraId="6D32418C" w14:textId="71D2DEC5">
            <w:pPr>
              <w:jc w:val="center"/>
              <w:rPr>
                <w:sz w:val="22"/>
                <w:szCs w:val="22"/>
              </w:rPr>
            </w:pPr>
            <w:r w:rsidRPr="006E3325">
              <w:rPr>
                <w:sz w:val="22"/>
                <w:szCs w:val="22"/>
              </w:rPr>
              <w:t>.</w:t>
            </w:r>
            <w:r w:rsidR="00B118FF">
              <w:rPr>
                <w:sz w:val="22"/>
                <w:szCs w:val="22"/>
              </w:rPr>
              <w:t>7</w:t>
            </w:r>
            <w:r w:rsidRPr="006E3325">
              <w:rPr>
                <w:sz w:val="22"/>
                <w:szCs w:val="22"/>
              </w:rPr>
              <w:t>5</w:t>
            </w:r>
          </w:p>
        </w:tc>
        <w:tc>
          <w:tcPr>
            <w:tcW w:w="810" w:type="dxa"/>
            <w:tcBorders>
              <w:top w:val="single" w:sz="4" w:space="0" w:color="auto"/>
              <w:bottom w:val="double" w:sz="4" w:space="0" w:color="auto"/>
            </w:tcBorders>
          </w:tcPr>
          <w:p w:rsidR="006E3325" w:rsidRPr="006E3325" w:rsidP="00714311" w14:paraId="3C097A17" w14:textId="518A36B6">
            <w:pPr>
              <w:jc w:val="center"/>
              <w:rPr>
                <w:sz w:val="22"/>
                <w:szCs w:val="22"/>
              </w:rPr>
            </w:pPr>
            <w:r>
              <w:rPr>
                <w:sz w:val="22"/>
                <w:szCs w:val="22"/>
              </w:rPr>
              <w:t>38</w:t>
            </w:r>
          </w:p>
        </w:tc>
        <w:tc>
          <w:tcPr>
            <w:tcW w:w="810" w:type="dxa"/>
            <w:tcBorders>
              <w:top w:val="single" w:sz="4" w:space="0" w:color="auto"/>
              <w:bottom w:val="double" w:sz="4" w:space="0" w:color="auto"/>
            </w:tcBorders>
          </w:tcPr>
          <w:p w:rsidR="006E3325" w:rsidRPr="006E3325" w:rsidP="00714311" w14:paraId="529DA34A" w14:textId="0CB28913">
            <w:pPr>
              <w:jc w:val="center"/>
              <w:rPr>
                <w:sz w:val="22"/>
                <w:szCs w:val="22"/>
              </w:rPr>
            </w:pPr>
            <w:r w:rsidRPr="006E3325">
              <w:rPr>
                <w:sz w:val="22"/>
                <w:szCs w:val="22"/>
              </w:rPr>
              <w:t>$</w:t>
            </w:r>
            <w:r w:rsidR="00B118FF">
              <w:rPr>
                <w:sz w:val="22"/>
                <w:szCs w:val="22"/>
              </w:rPr>
              <w:t>52</w:t>
            </w:r>
          </w:p>
        </w:tc>
        <w:tc>
          <w:tcPr>
            <w:tcW w:w="1260" w:type="dxa"/>
            <w:tcBorders>
              <w:top w:val="single" w:sz="4" w:space="0" w:color="auto"/>
              <w:bottom w:val="double" w:sz="4" w:space="0" w:color="auto"/>
            </w:tcBorders>
            <w:shd w:val="clear" w:color="auto" w:fill="auto"/>
          </w:tcPr>
          <w:p w:rsidR="006E3325" w:rsidRPr="006E3325" w:rsidP="00714311" w14:paraId="048E2D0C" w14:textId="30491D68">
            <w:pPr>
              <w:jc w:val="center"/>
              <w:rPr>
                <w:sz w:val="22"/>
                <w:szCs w:val="22"/>
              </w:rPr>
            </w:pPr>
            <w:r w:rsidRPr="006E3325">
              <w:rPr>
                <w:sz w:val="22"/>
                <w:szCs w:val="22"/>
              </w:rPr>
              <w:t>$1,</w:t>
            </w:r>
            <w:r w:rsidR="006D432B">
              <w:rPr>
                <w:sz w:val="22"/>
                <w:szCs w:val="22"/>
              </w:rPr>
              <w:t>950</w:t>
            </w:r>
          </w:p>
        </w:tc>
      </w:tr>
      <w:tr w14:paraId="5EBBE026" w14:textId="77777777" w:rsidTr="00B118FF">
        <w:tblPrEx>
          <w:tblW w:w="9535" w:type="dxa"/>
          <w:jc w:val="center"/>
          <w:tblLayout w:type="fixed"/>
          <w:tblLook w:val="04A0"/>
        </w:tblPrEx>
        <w:trPr>
          <w:jc w:val="center"/>
        </w:trPr>
        <w:tc>
          <w:tcPr>
            <w:tcW w:w="1435" w:type="dxa"/>
            <w:tcBorders>
              <w:top w:val="double" w:sz="4" w:space="0" w:color="auto"/>
              <w:bottom w:val="single" w:sz="4" w:space="0" w:color="auto"/>
            </w:tcBorders>
            <w:shd w:val="clear" w:color="auto" w:fill="auto"/>
          </w:tcPr>
          <w:p w:rsidR="006E3325" w:rsidRPr="006E3325" w:rsidP="00714311" w14:paraId="3253B05E" w14:textId="77777777">
            <w:pPr>
              <w:rPr>
                <w:sz w:val="22"/>
                <w:szCs w:val="22"/>
              </w:rPr>
            </w:pPr>
            <w:r w:rsidRPr="006E3325">
              <w:rPr>
                <w:sz w:val="22"/>
                <w:szCs w:val="22"/>
              </w:rPr>
              <w:t>Total</w:t>
            </w:r>
          </w:p>
        </w:tc>
        <w:tc>
          <w:tcPr>
            <w:tcW w:w="1440" w:type="dxa"/>
            <w:tcBorders>
              <w:top w:val="double" w:sz="4" w:space="0" w:color="auto"/>
              <w:bottom w:val="single" w:sz="4" w:space="0" w:color="auto"/>
            </w:tcBorders>
            <w:shd w:val="clear" w:color="auto" w:fill="auto"/>
          </w:tcPr>
          <w:p w:rsidR="006E3325" w:rsidRPr="006E3325" w:rsidP="00714311" w14:paraId="4FA1C89C" w14:textId="7B4D2743">
            <w:pPr>
              <w:jc w:val="center"/>
              <w:rPr>
                <w:sz w:val="22"/>
                <w:szCs w:val="22"/>
              </w:rPr>
            </w:pPr>
            <w:r>
              <w:rPr>
                <w:sz w:val="22"/>
                <w:szCs w:val="22"/>
              </w:rPr>
              <w:t>1,902</w:t>
            </w:r>
          </w:p>
        </w:tc>
        <w:tc>
          <w:tcPr>
            <w:tcW w:w="1350" w:type="dxa"/>
            <w:tcBorders>
              <w:top w:val="double" w:sz="4" w:space="0" w:color="auto"/>
              <w:bottom w:val="single" w:sz="4" w:space="0" w:color="auto"/>
            </w:tcBorders>
            <w:shd w:val="clear" w:color="auto" w:fill="auto"/>
          </w:tcPr>
          <w:p w:rsidR="006E3325" w:rsidRPr="006E3325" w:rsidP="00714311" w14:paraId="0C99E6EF" w14:textId="77777777">
            <w:pPr>
              <w:jc w:val="center"/>
              <w:rPr>
                <w:sz w:val="22"/>
                <w:szCs w:val="22"/>
              </w:rPr>
            </w:pPr>
            <w:r w:rsidRPr="006E3325">
              <w:rPr>
                <w:sz w:val="22"/>
                <w:szCs w:val="22"/>
              </w:rPr>
              <w:t>1</w:t>
            </w:r>
          </w:p>
        </w:tc>
        <w:tc>
          <w:tcPr>
            <w:tcW w:w="1260" w:type="dxa"/>
            <w:tcBorders>
              <w:top w:val="double" w:sz="4" w:space="0" w:color="auto"/>
              <w:bottom w:val="single" w:sz="4" w:space="0" w:color="auto"/>
            </w:tcBorders>
            <w:shd w:val="clear" w:color="auto" w:fill="auto"/>
          </w:tcPr>
          <w:p w:rsidR="006E3325" w:rsidRPr="006E3325" w:rsidP="00714311" w14:paraId="073D25A3" w14:textId="2E1254D7">
            <w:pPr>
              <w:jc w:val="center"/>
              <w:rPr>
                <w:sz w:val="22"/>
                <w:szCs w:val="22"/>
              </w:rPr>
            </w:pPr>
            <w:r>
              <w:rPr>
                <w:sz w:val="22"/>
                <w:szCs w:val="22"/>
              </w:rPr>
              <w:t>1,902</w:t>
            </w:r>
          </w:p>
        </w:tc>
        <w:tc>
          <w:tcPr>
            <w:tcW w:w="1170" w:type="dxa"/>
            <w:tcBorders>
              <w:top w:val="double" w:sz="4" w:space="0" w:color="auto"/>
              <w:bottom w:val="single" w:sz="4" w:space="0" w:color="auto"/>
            </w:tcBorders>
            <w:shd w:val="clear" w:color="auto" w:fill="A6A6A6" w:themeFill="background1" w:themeFillShade="A6"/>
          </w:tcPr>
          <w:p w:rsidR="006E3325" w:rsidRPr="006E3325" w:rsidP="00714311" w14:paraId="4FD98447" w14:textId="77777777">
            <w:pPr>
              <w:jc w:val="center"/>
              <w:rPr>
                <w:sz w:val="22"/>
                <w:szCs w:val="22"/>
              </w:rPr>
            </w:pPr>
          </w:p>
        </w:tc>
        <w:tc>
          <w:tcPr>
            <w:tcW w:w="810" w:type="dxa"/>
            <w:tcBorders>
              <w:top w:val="double" w:sz="4" w:space="0" w:color="auto"/>
              <w:bottom w:val="single" w:sz="4" w:space="0" w:color="auto"/>
            </w:tcBorders>
          </w:tcPr>
          <w:p w:rsidR="006E3325" w:rsidRPr="006E3325" w:rsidP="00714311" w14:paraId="66B47C1F" w14:textId="6D165260">
            <w:pPr>
              <w:jc w:val="center"/>
              <w:rPr>
                <w:sz w:val="22"/>
                <w:szCs w:val="22"/>
              </w:rPr>
            </w:pPr>
            <w:r w:rsidRPr="006D432B">
              <w:rPr>
                <w:sz w:val="22"/>
                <w:szCs w:val="22"/>
              </w:rPr>
              <w:t>1</w:t>
            </w:r>
            <w:r>
              <w:rPr>
                <w:sz w:val="22"/>
                <w:szCs w:val="22"/>
              </w:rPr>
              <w:t>,</w:t>
            </w:r>
            <w:r w:rsidRPr="006D432B">
              <w:rPr>
                <w:sz w:val="22"/>
                <w:szCs w:val="22"/>
              </w:rPr>
              <w:t>427</w:t>
            </w:r>
          </w:p>
        </w:tc>
        <w:tc>
          <w:tcPr>
            <w:tcW w:w="810" w:type="dxa"/>
            <w:tcBorders>
              <w:top w:val="double" w:sz="4" w:space="0" w:color="auto"/>
              <w:bottom w:val="single" w:sz="4" w:space="0" w:color="auto"/>
            </w:tcBorders>
            <w:shd w:val="clear" w:color="auto" w:fill="A6A6A6" w:themeFill="background1" w:themeFillShade="A6"/>
          </w:tcPr>
          <w:p w:rsidR="006E3325" w:rsidRPr="006E3325" w:rsidP="00714311" w14:paraId="350A936B" w14:textId="77777777">
            <w:pPr>
              <w:jc w:val="center"/>
              <w:rPr>
                <w:sz w:val="22"/>
                <w:szCs w:val="22"/>
              </w:rPr>
            </w:pPr>
          </w:p>
        </w:tc>
        <w:tc>
          <w:tcPr>
            <w:tcW w:w="1260" w:type="dxa"/>
            <w:tcBorders>
              <w:top w:val="double" w:sz="4" w:space="0" w:color="auto"/>
              <w:bottom w:val="single" w:sz="4" w:space="0" w:color="auto"/>
            </w:tcBorders>
            <w:shd w:val="clear" w:color="auto" w:fill="auto"/>
          </w:tcPr>
          <w:p w:rsidR="006E3325" w:rsidRPr="006E3325" w:rsidP="00714311" w14:paraId="71C647C2" w14:textId="745F3326">
            <w:pPr>
              <w:jc w:val="center"/>
              <w:rPr>
                <w:sz w:val="22"/>
                <w:szCs w:val="22"/>
              </w:rPr>
            </w:pPr>
            <w:r w:rsidRPr="006E3325">
              <w:rPr>
                <w:sz w:val="22"/>
                <w:szCs w:val="22"/>
              </w:rPr>
              <w:t>$</w:t>
            </w:r>
            <w:r w:rsidRPr="006D432B" w:rsidR="006D432B">
              <w:rPr>
                <w:sz w:val="22"/>
                <w:szCs w:val="22"/>
              </w:rPr>
              <w:t>74</w:t>
            </w:r>
            <w:r w:rsidR="006D432B">
              <w:rPr>
                <w:sz w:val="22"/>
                <w:szCs w:val="22"/>
              </w:rPr>
              <w:t>,</w:t>
            </w:r>
            <w:r w:rsidRPr="006D432B" w:rsidR="006D432B">
              <w:rPr>
                <w:sz w:val="22"/>
                <w:szCs w:val="22"/>
              </w:rPr>
              <w:t>178</w:t>
            </w:r>
          </w:p>
        </w:tc>
      </w:tr>
    </w:tbl>
    <w:p w:rsidR="006E3325" w:rsidP="006E3325" w14:paraId="15237A6F" w14:textId="77777777">
      <w:pPr>
        <w:pStyle w:val="Default"/>
        <w:rPr>
          <w:b/>
        </w:rPr>
      </w:pPr>
    </w:p>
    <w:p w:rsidR="006E3325" w:rsidRPr="004629C3" w:rsidP="006E3325" w14:paraId="0D1CB9C9" w14:textId="77777777">
      <w:pPr>
        <w:pStyle w:val="Default"/>
        <w:rPr>
          <w:b/>
        </w:rPr>
      </w:pPr>
      <w:r w:rsidRPr="004629C3">
        <w:rPr>
          <w:b/>
        </w:rPr>
        <w:t>CDFI Annual Financial Statement Audit Report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440"/>
        <w:gridCol w:w="1350"/>
        <w:gridCol w:w="1260"/>
        <w:gridCol w:w="1170"/>
        <w:gridCol w:w="810"/>
        <w:gridCol w:w="810"/>
        <w:gridCol w:w="1260"/>
      </w:tblGrid>
      <w:tr w14:paraId="1C55F779" w14:textId="77777777" w:rsidTr="00B118FF">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35" w:type="dxa"/>
            <w:tcBorders>
              <w:bottom w:val="single" w:sz="4" w:space="0" w:color="auto"/>
            </w:tcBorders>
            <w:shd w:val="clear" w:color="auto" w:fill="auto"/>
          </w:tcPr>
          <w:p w:rsidR="006E3325" w:rsidRPr="006E3325" w:rsidP="00714311" w14:paraId="2210161C" w14:textId="77777777">
            <w:pPr>
              <w:jc w:val="center"/>
              <w:rPr>
                <w:b/>
                <w:sz w:val="22"/>
                <w:szCs w:val="22"/>
              </w:rPr>
            </w:pPr>
            <w:r w:rsidRPr="006E3325">
              <w:rPr>
                <w:b/>
                <w:sz w:val="22"/>
                <w:szCs w:val="22"/>
              </w:rPr>
              <w:t>Affected Public</w:t>
            </w:r>
          </w:p>
        </w:tc>
        <w:tc>
          <w:tcPr>
            <w:tcW w:w="1440" w:type="dxa"/>
            <w:tcBorders>
              <w:bottom w:val="single" w:sz="4" w:space="0" w:color="auto"/>
            </w:tcBorders>
            <w:shd w:val="clear" w:color="auto" w:fill="auto"/>
          </w:tcPr>
          <w:p w:rsidR="006E3325" w:rsidRPr="006E3325" w:rsidP="00714311" w14:paraId="5E2CEB97" w14:textId="77777777">
            <w:pPr>
              <w:jc w:val="center"/>
              <w:rPr>
                <w:b/>
                <w:sz w:val="22"/>
                <w:szCs w:val="22"/>
              </w:rPr>
            </w:pPr>
            <w:r w:rsidRPr="006E3325">
              <w:rPr>
                <w:b/>
                <w:sz w:val="22"/>
                <w:szCs w:val="22"/>
              </w:rPr>
              <w:t xml:space="preserve">Number </w:t>
            </w:r>
          </w:p>
          <w:p w:rsidR="006E3325" w:rsidRPr="006E3325" w:rsidP="00714311" w14:paraId="7C56DB44" w14:textId="77777777">
            <w:pPr>
              <w:jc w:val="center"/>
              <w:rPr>
                <w:b/>
                <w:sz w:val="22"/>
                <w:szCs w:val="22"/>
              </w:rPr>
            </w:pPr>
            <w:r w:rsidRPr="006E3325">
              <w:rPr>
                <w:b/>
                <w:sz w:val="22"/>
                <w:szCs w:val="22"/>
              </w:rPr>
              <w:t>of Respondents</w:t>
            </w:r>
          </w:p>
        </w:tc>
        <w:tc>
          <w:tcPr>
            <w:tcW w:w="1350" w:type="dxa"/>
            <w:tcBorders>
              <w:bottom w:val="single" w:sz="4" w:space="0" w:color="auto"/>
            </w:tcBorders>
            <w:shd w:val="clear" w:color="auto" w:fill="auto"/>
          </w:tcPr>
          <w:p w:rsidR="006E3325" w:rsidRPr="006E3325" w:rsidP="00714311" w14:paraId="2B26B09F" w14:textId="77777777">
            <w:pPr>
              <w:jc w:val="center"/>
              <w:rPr>
                <w:b/>
                <w:sz w:val="22"/>
                <w:szCs w:val="22"/>
              </w:rPr>
            </w:pPr>
            <w:r w:rsidRPr="006E3325">
              <w:rPr>
                <w:b/>
                <w:sz w:val="22"/>
                <w:szCs w:val="22"/>
              </w:rPr>
              <w:t>Number of Responses</w:t>
            </w:r>
          </w:p>
          <w:p w:rsidR="006E3325" w:rsidRPr="006E3325" w:rsidP="00714311" w14:paraId="0652936A" w14:textId="77777777">
            <w:pPr>
              <w:jc w:val="center"/>
              <w:rPr>
                <w:b/>
                <w:sz w:val="22"/>
                <w:szCs w:val="22"/>
              </w:rPr>
            </w:pPr>
            <w:r w:rsidRPr="006E3325">
              <w:rPr>
                <w:b/>
                <w:sz w:val="22"/>
                <w:szCs w:val="22"/>
              </w:rPr>
              <w:t xml:space="preserve">Per </w:t>
            </w:r>
          </w:p>
          <w:p w:rsidR="006E3325" w:rsidRPr="006E3325" w:rsidP="00714311" w14:paraId="28EE0035" w14:textId="77777777">
            <w:pPr>
              <w:jc w:val="center"/>
              <w:rPr>
                <w:b/>
                <w:sz w:val="22"/>
                <w:szCs w:val="22"/>
              </w:rPr>
            </w:pPr>
            <w:r w:rsidRPr="006E3325">
              <w:rPr>
                <w:b/>
                <w:sz w:val="22"/>
                <w:szCs w:val="22"/>
              </w:rPr>
              <w:t>Respondent</w:t>
            </w:r>
          </w:p>
        </w:tc>
        <w:tc>
          <w:tcPr>
            <w:tcW w:w="1260" w:type="dxa"/>
            <w:tcBorders>
              <w:bottom w:val="single" w:sz="4" w:space="0" w:color="auto"/>
            </w:tcBorders>
            <w:shd w:val="clear" w:color="auto" w:fill="auto"/>
          </w:tcPr>
          <w:p w:rsidR="006E3325" w:rsidRPr="006E3325" w:rsidP="00714311" w14:paraId="4D8ABBA8" w14:textId="77777777">
            <w:pPr>
              <w:jc w:val="center"/>
              <w:rPr>
                <w:b/>
                <w:sz w:val="22"/>
                <w:szCs w:val="22"/>
              </w:rPr>
            </w:pPr>
            <w:r w:rsidRPr="006E3325">
              <w:rPr>
                <w:b/>
                <w:sz w:val="22"/>
                <w:szCs w:val="22"/>
              </w:rPr>
              <w:t xml:space="preserve">Total </w:t>
            </w:r>
          </w:p>
          <w:p w:rsidR="006E3325" w:rsidRPr="006E3325" w:rsidP="00714311" w14:paraId="5E4E0408" w14:textId="77777777">
            <w:pPr>
              <w:jc w:val="center"/>
              <w:rPr>
                <w:b/>
                <w:sz w:val="22"/>
                <w:szCs w:val="22"/>
              </w:rPr>
            </w:pPr>
            <w:r w:rsidRPr="006E3325">
              <w:rPr>
                <w:b/>
                <w:sz w:val="22"/>
                <w:szCs w:val="22"/>
              </w:rPr>
              <w:t>Annual Responses</w:t>
            </w:r>
          </w:p>
        </w:tc>
        <w:tc>
          <w:tcPr>
            <w:tcW w:w="1170" w:type="dxa"/>
            <w:tcBorders>
              <w:bottom w:val="single" w:sz="4" w:space="0" w:color="auto"/>
            </w:tcBorders>
          </w:tcPr>
          <w:p w:rsidR="006E3325" w:rsidRPr="006E3325" w:rsidP="00714311" w14:paraId="71FD853D" w14:textId="77777777">
            <w:pPr>
              <w:jc w:val="center"/>
              <w:rPr>
                <w:b/>
                <w:sz w:val="22"/>
                <w:szCs w:val="22"/>
              </w:rPr>
            </w:pPr>
            <w:r w:rsidRPr="006E3325">
              <w:rPr>
                <w:b/>
                <w:sz w:val="22"/>
                <w:szCs w:val="22"/>
              </w:rPr>
              <w:t xml:space="preserve">Hours </w:t>
            </w:r>
          </w:p>
          <w:p w:rsidR="006E3325" w:rsidRPr="006E3325" w:rsidP="00714311" w14:paraId="25ED694D" w14:textId="77777777">
            <w:pPr>
              <w:jc w:val="center"/>
              <w:rPr>
                <w:b/>
                <w:sz w:val="22"/>
                <w:szCs w:val="22"/>
              </w:rPr>
            </w:pPr>
            <w:r w:rsidRPr="006E3325">
              <w:rPr>
                <w:b/>
                <w:sz w:val="22"/>
                <w:szCs w:val="22"/>
              </w:rPr>
              <w:t xml:space="preserve">Per </w:t>
            </w:r>
          </w:p>
          <w:p w:rsidR="006E3325" w:rsidRPr="006E3325" w:rsidP="00714311" w14:paraId="1FED776E" w14:textId="77777777">
            <w:pPr>
              <w:jc w:val="center"/>
              <w:rPr>
                <w:b/>
                <w:sz w:val="22"/>
                <w:szCs w:val="22"/>
              </w:rPr>
            </w:pPr>
            <w:r w:rsidRPr="006E3325">
              <w:rPr>
                <w:b/>
                <w:sz w:val="22"/>
                <w:szCs w:val="22"/>
              </w:rPr>
              <w:t>Response</w:t>
            </w:r>
          </w:p>
        </w:tc>
        <w:tc>
          <w:tcPr>
            <w:tcW w:w="810" w:type="dxa"/>
            <w:tcBorders>
              <w:bottom w:val="single" w:sz="4" w:space="0" w:color="auto"/>
            </w:tcBorders>
          </w:tcPr>
          <w:p w:rsidR="006E3325" w:rsidRPr="006E3325" w:rsidP="00714311" w14:paraId="740B833C" w14:textId="77777777">
            <w:pPr>
              <w:jc w:val="center"/>
              <w:rPr>
                <w:b/>
                <w:sz w:val="22"/>
                <w:szCs w:val="22"/>
              </w:rPr>
            </w:pPr>
            <w:r w:rsidRPr="006E3325">
              <w:rPr>
                <w:b/>
                <w:sz w:val="22"/>
                <w:szCs w:val="22"/>
              </w:rPr>
              <w:t xml:space="preserve">Total </w:t>
            </w:r>
          </w:p>
          <w:p w:rsidR="006E3325" w:rsidRPr="006E3325" w:rsidP="00714311" w14:paraId="78B6918D" w14:textId="77777777">
            <w:pPr>
              <w:jc w:val="center"/>
              <w:rPr>
                <w:b/>
                <w:sz w:val="22"/>
                <w:szCs w:val="22"/>
              </w:rPr>
            </w:pPr>
            <w:r w:rsidRPr="006E3325">
              <w:rPr>
                <w:b/>
                <w:sz w:val="22"/>
                <w:szCs w:val="22"/>
              </w:rPr>
              <w:t>Hours</w:t>
            </w:r>
          </w:p>
        </w:tc>
        <w:tc>
          <w:tcPr>
            <w:tcW w:w="810" w:type="dxa"/>
            <w:tcBorders>
              <w:bottom w:val="single" w:sz="4" w:space="0" w:color="auto"/>
            </w:tcBorders>
          </w:tcPr>
          <w:p w:rsidR="006E3325" w:rsidRPr="006E3325" w:rsidP="00714311" w14:paraId="0EFAB8B3" w14:textId="77777777">
            <w:pPr>
              <w:jc w:val="center"/>
              <w:rPr>
                <w:b/>
                <w:sz w:val="22"/>
                <w:szCs w:val="22"/>
              </w:rPr>
            </w:pPr>
            <w:r w:rsidRPr="006E3325">
              <w:rPr>
                <w:b/>
                <w:sz w:val="22"/>
                <w:szCs w:val="22"/>
              </w:rPr>
              <w:t>Time</w:t>
            </w:r>
          </w:p>
          <w:p w:rsidR="006E3325" w:rsidRPr="006E3325" w:rsidP="00714311" w14:paraId="438C62D9" w14:textId="77777777">
            <w:pPr>
              <w:jc w:val="center"/>
              <w:rPr>
                <w:b/>
                <w:sz w:val="22"/>
                <w:szCs w:val="22"/>
              </w:rPr>
            </w:pPr>
            <w:r w:rsidRPr="006E3325">
              <w:rPr>
                <w:b/>
                <w:sz w:val="22"/>
                <w:szCs w:val="22"/>
              </w:rPr>
              <w:t>Value</w:t>
            </w:r>
          </w:p>
          <w:p w:rsidR="006E3325" w:rsidRPr="006E3325" w:rsidP="00714311" w14:paraId="7BB90508" w14:textId="77777777">
            <w:pPr>
              <w:jc w:val="center"/>
              <w:rPr>
                <w:b/>
                <w:sz w:val="22"/>
                <w:szCs w:val="22"/>
              </w:rPr>
            </w:pPr>
            <w:r w:rsidRPr="006E3325">
              <w:rPr>
                <w:b/>
                <w:sz w:val="22"/>
                <w:szCs w:val="22"/>
              </w:rPr>
              <w:t>(</w:t>
            </w:r>
            <w:r w:rsidRPr="006E3325">
              <w:rPr>
                <w:b/>
                <w:sz w:val="22"/>
                <w:szCs w:val="22"/>
              </w:rPr>
              <w:t>per</w:t>
            </w:r>
          </w:p>
          <w:p w:rsidR="006E3325" w:rsidRPr="006E3325" w:rsidP="00714311" w14:paraId="0402FAD2" w14:textId="77777777">
            <w:pPr>
              <w:jc w:val="center"/>
              <w:rPr>
                <w:b/>
                <w:sz w:val="22"/>
                <w:szCs w:val="22"/>
              </w:rPr>
            </w:pPr>
            <w:r w:rsidRPr="006E3325">
              <w:rPr>
                <w:b/>
                <w:sz w:val="22"/>
                <w:szCs w:val="22"/>
              </w:rPr>
              <w:t>Hour)</w:t>
            </w:r>
          </w:p>
        </w:tc>
        <w:tc>
          <w:tcPr>
            <w:tcW w:w="1260" w:type="dxa"/>
            <w:tcBorders>
              <w:bottom w:val="single" w:sz="4" w:space="0" w:color="auto"/>
            </w:tcBorders>
            <w:shd w:val="clear" w:color="auto" w:fill="auto"/>
          </w:tcPr>
          <w:p w:rsidR="006E3325" w:rsidRPr="006E3325" w:rsidP="00714311" w14:paraId="015D07F6" w14:textId="77777777">
            <w:pPr>
              <w:jc w:val="center"/>
              <w:rPr>
                <w:b/>
                <w:sz w:val="22"/>
                <w:szCs w:val="22"/>
              </w:rPr>
            </w:pPr>
            <w:r w:rsidRPr="006E3325">
              <w:rPr>
                <w:b/>
                <w:sz w:val="22"/>
                <w:szCs w:val="22"/>
              </w:rPr>
              <w:t>Monetized</w:t>
            </w:r>
          </w:p>
          <w:p w:rsidR="006E3325" w:rsidRPr="006E3325" w:rsidP="00714311" w14:paraId="69070849" w14:textId="77777777">
            <w:pPr>
              <w:jc w:val="center"/>
              <w:rPr>
                <w:b/>
                <w:sz w:val="22"/>
                <w:szCs w:val="22"/>
              </w:rPr>
            </w:pPr>
            <w:r w:rsidRPr="006E3325">
              <w:rPr>
                <w:b/>
                <w:sz w:val="22"/>
                <w:szCs w:val="22"/>
              </w:rPr>
              <w:t xml:space="preserve">Burden </w:t>
            </w:r>
          </w:p>
          <w:p w:rsidR="006E3325" w:rsidRPr="006E3325" w:rsidP="00714311" w14:paraId="4DD5C0E5" w14:textId="77777777">
            <w:pPr>
              <w:jc w:val="center"/>
              <w:rPr>
                <w:b/>
                <w:sz w:val="22"/>
                <w:szCs w:val="22"/>
              </w:rPr>
            </w:pPr>
            <w:r w:rsidRPr="006E3325">
              <w:rPr>
                <w:b/>
                <w:sz w:val="22"/>
                <w:szCs w:val="22"/>
              </w:rPr>
              <w:t xml:space="preserve">Hours </w:t>
            </w:r>
          </w:p>
        </w:tc>
      </w:tr>
      <w:tr w14:paraId="5DC3D864" w14:textId="77777777" w:rsidTr="00B118FF">
        <w:tblPrEx>
          <w:tblW w:w="9535" w:type="dxa"/>
          <w:jc w:val="center"/>
          <w:tblLayout w:type="fixed"/>
          <w:tblLook w:val="04A0"/>
        </w:tblPrEx>
        <w:trPr>
          <w:jc w:val="center"/>
        </w:trPr>
        <w:tc>
          <w:tcPr>
            <w:tcW w:w="1435" w:type="dxa"/>
            <w:tcBorders>
              <w:bottom w:val="single" w:sz="4" w:space="0" w:color="auto"/>
            </w:tcBorders>
            <w:shd w:val="clear" w:color="auto" w:fill="auto"/>
          </w:tcPr>
          <w:p w:rsidR="00B118FF" w:rsidRPr="006E3325" w:rsidP="00B118FF" w14:paraId="29038E1D" w14:textId="77777777">
            <w:pPr>
              <w:rPr>
                <w:sz w:val="22"/>
                <w:szCs w:val="22"/>
              </w:rPr>
            </w:pPr>
            <w:r w:rsidRPr="006E3325">
              <w:rPr>
                <w:sz w:val="22"/>
                <w:szCs w:val="22"/>
              </w:rPr>
              <w:t>Private Sector</w:t>
            </w:r>
          </w:p>
        </w:tc>
        <w:tc>
          <w:tcPr>
            <w:tcW w:w="1440" w:type="dxa"/>
            <w:tcBorders>
              <w:bottom w:val="single" w:sz="4" w:space="0" w:color="auto"/>
            </w:tcBorders>
            <w:shd w:val="clear" w:color="auto" w:fill="auto"/>
          </w:tcPr>
          <w:p w:rsidR="00B118FF" w:rsidRPr="006E3325" w:rsidP="00B118FF" w14:paraId="086FA802" w14:textId="3C182946">
            <w:pPr>
              <w:jc w:val="center"/>
              <w:rPr>
                <w:sz w:val="22"/>
                <w:szCs w:val="22"/>
              </w:rPr>
            </w:pPr>
            <w:r w:rsidRPr="006E3325">
              <w:rPr>
                <w:sz w:val="22"/>
                <w:szCs w:val="22"/>
              </w:rPr>
              <w:t>3</w:t>
            </w:r>
            <w:r>
              <w:rPr>
                <w:sz w:val="22"/>
                <w:szCs w:val="22"/>
              </w:rPr>
              <w:t>78</w:t>
            </w:r>
          </w:p>
        </w:tc>
        <w:tc>
          <w:tcPr>
            <w:tcW w:w="1350" w:type="dxa"/>
            <w:tcBorders>
              <w:bottom w:val="single" w:sz="4" w:space="0" w:color="auto"/>
            </w:tcBorders>
            <w:shd w:val="clear" w:color="auto" w:fill="auto"/>
          </w:tcPr>
          <w:p w:rsidR="00B118FF" w:rsidRPr="006E3325" w:rsidP="00B118FF" w14:paraId="3E8D146B" w14:textId="05CFF3B5">
            <w:pPr>
              <w:jc w:val="center"/>
              <w:rPr>
                <w:sz w:val="22"/>
                <w:szCs w:val="22"/>
              </w:rPr>
            </w:pPr>
            <w:r w:rsidRPr="006E3325">
              <w:rPr>
                <w:sz w:val="22"/>
                <w:szCs w:val="22"/>
              </w:rPr>
              <w:t>1</w:t>
            </w:r>
          </w:p>
        </w:tc>
        <w:tc>
          <w:tcPr>
            <w:tcW w:w="1260" w:type="dxa"/>
            <w:tcBorders>
              <w:bottom w:val="single" w:sz="4" w:space="0" w:color="auto"/>
            </w:tcBorders>
            <w:shd w:val="clear" w:color="auto" w:fill="auto"/>
          </w:tcPr>
          <w:p w:rsidR="00B118FF" w:rsidRPr="006E3325" w:rsidP="00B118FF" w14:paraId="45550F7B" w14:textId="4649D292">
            <w:pPr>
              <w:jc w:val="center"/>
              <w:rPr>
                <w:sz w:val="22"/>
                <w:szCs w:val="22"/>
              </w:rPr>
            </w:pPr>
            <w:r w:rsidRPr="006E3325">
              <w:rPr>
                <w:sz w:val="22"/>
                <w:szCs w:val="22"/>
              </w:rPr>
              <w:t>3</w:t>
            </w:r>
            <w:r>
              <w:rPr>
                <w:sz w:val="22"/>
                <w:szCs w:val="22"/>
              </w:rPr>
              <w:t>78</w:t>
            </w:r>
          </w:p>
        </w:tc>
        <w:tc>
          <w:tcPr>
            <w:tcW w:w="1170" w:type="dxa"/>
            <w:tcBorders>
              <w:bottom w:val="single" w:sz="4" w:space="0" w:color="auto"/>
            </w:tcBorders>
          </w:tcPr>
          <w:p w:rsidR="00B118FF" w:rsidRPr="006E3325" w:rsidP="00B118FF" w14:paraId="6B3FCDE1" w14:textId="7BD28422">
            <w:pPr>
              <w:jc w:val="center"/>
              <w:rPr>
                <w:sz w:val="22"/>
                <w:szCs w:val="22"/>
              </w:rPr>
            </w:pPr>
            <w:r w:rsidRPr="006E3325">
              <w:rPr>
                <w:sz w:val="22"/>
                <w:szCs w:val="22"/>
              </w:rPr>
              <w:t>.5</w:t>
            </w:r>
          </w:p>
        </w:tc>
        <w:tc>
          <w:tcPr>
            <w:tcW w:w="810" w:type="dxa"/>
            <w:tcBorders>
              <w:bottom w:val="single" w:sz="4" w:space="0" w:color="auto"/>
            </w:tcBorders>
          </w:tcPr>
          <w:p w:rsidR="00B118FF" w:rsidRPr="006E3325" w:rsidP="00B118FF" w14:paraId="09CA15AC" w14:textId="3D8FD187">
            <w:pPr>
              <w:jc w:val="center"/>
              <w:rPr>
                <w:sz w:val="22"/>
                <w:szCs w:val="22"/>
              </w:rPr>
            </w:pPr>
            <w:r w:rsidRPr="006E3325">
              <w:rPr>
                <w:sz w:val="22"/>
                <w:szCs w:val="22"/>
              </w:rPr>
              <w:t>1</w:t>
            </w:r>
            <w:r>
              <w:rPr>
                <w:sz w:val="22"/>
                <w:szCs w:val="22"/>
              </w:rPr>
              <w:t>89</w:t>
            </w:r>
          </w:p>
        </w:tc>
        <w:tc>
          <w:tcPr>
            <w:tcW w:w="810" w:type="dxa"/>
            <w:tcBorders>
              <w:bottom w:val="single" w:sz="4" w:space="0" w:color="auto"/>
            </w:tcBorders>
          </w:tcPr>
          <w:p w:rsidR="00B118FF" w:rsidRPr="006E3325" w:rsidP="00B118FF" w14:paraId="28AE0E60" w14:textId="3841434B">
            <w:pPr>
              <w:jc w:val="center"/>
              <w:rPr>
                <w:sz w:val="22"/>
                <w:szCs w:val="22"/>
              </w:rPr>
            </w:pPr>
            <w:r w:rsidRPr="006E3325">
              <w:rPr>
                <w:sz w:val="22"/>
                <w:szCs w:val="22"/>
              </w:rPr>
              <w:t>$</w:t>
            </w:r>
            <w:r>
              <w:rPr>
                <w:sz w:val="22"/>
                <w:szCs w:val="22"/>
              </w:rPr>
              <w:t>52</w:t>
            </w:r>
          </w:p>
        </w:tc>
        <w:tc>
          <w:tcPr>
            <w:tcW w:w="1260" w:type="dxa"/>
            <w:tcBorders>
              <w:bottom w:val="single" w:sz="4" w:space="0" w:color="auto"/>
            </w:tcBorders>
            <w:shd w:val="clear" w:color="auto" w:fill="auto"/>
          </w:tcPr>
          <w:p w:rsidR="00B118FF" w:rsidRPr="006E3325" w:rsidP="00B118FF" w14:paraId="386A36C4" w14:textId="1F8365D8">
            <w:pPr>
              <w:jc w:val="center"/>
              <w:rPr>
                <w:sz w:val="22"/>
                <w:szCs w:val="22"/>
              </w:rPr>
            </w:pPr>
            <w:r w:rsidRPr="006E3325">
              <w:rPr>
                <w:sz w:val="22"/>
                <w:szCs w:val="22"/>
              </w:rPr>
              <w:t>$9,</w:t>
            </w:r>
            <w:r>
              <w:rPr>
                <w:sz w:val="22"/>
                <w:szCs w:val="22"/>
              </w:rPr>
              <w:t>828</w:t>
            </w:r>
          </w:p>
        </w:tc>
      </w:tr>
      <w:tr w14:paraId="4D66C36B" w14:textId="77777777" w:rsidTr="00B118FF">
        <w:tblPrEx>
          <w:tblW w:w="9535" w:type="dxa"/>
          <w:jc w:val="center"/>
          <w:tblLayout w:type="fixed"/>
          <w:tblLook w:val="04A0"/>
        </w:tblPrEx>
        <w:trPr>
          <w:jc w:val="center"/>
        </w:trPr>
        <w:tc>
          <w:tcPr>
            <w:tcW w:w="1435" w:type="dxa"/>
            <w:tcBorders>
              <w:top w:val="single" w:sz="4" w:space="0" w:color="auto"/>
              <w:bottom w:val="double" w:sz="4" w:space="0" w:color="auto"/>
            </w:tcBorders>
            <w:shd w:val="clear" w:color="auto" w:fill="auto"/>
          </w:tcPr>
          <w:p w:rsidR="00B118FF" w:rsidRPr="006E3325" w:rsidP="00B118FF" w14:paraId="3D515057" w14:textId="77777777">
            <w:pPr>
              <w:rPr>
                <w:sz w:val="22"/>
                <w:szCs w:val="22"/>
              </w:rPr>
            </w:pPr>
            <w:r w:rsidRPr="006E3325">
              <w:rPr>
                <w:sz w:val="22"/>
                <w:szCs w:val="22"/>
              </w:rPr>
              <w:t>State, Local, and Tribal Governments</w:t>
            </w:r>
          </w:p>
        </w:tc>
        <w:tc>
          <w:tcPr>
            <w:tcW w:w="1440" w:type="dxa"/>
            <w:tcBorders>
              <w:top w:val="single" w:sz="4" w:space="0" w:color="auto"/>
              <w:bottom w:val="double" w:sz="4" w:space="0" w:color="auto"/>
            </w:tcBorders>
            <w:shd w:val="clear" w:color="auto" w:fill="auto"/>
          </w:tcPr>
          <w:p w:rsidR="00B118FF" w:rsidRPr="006E3325" w:rsidP="00B118FF" w14:paraId="7383F58A" w14:textId="4A43DC5F">
            <w:pPr>
              <w:jc w:val="center"/>
              <w:rPr>
                <w:sz w:val="22"/>
                <w:szCs w:val="22"/>
              </w:rPr>
            </w:pPr>
            <w:r w:rsidRPr="006E3325">
              <w:rPr>
                <w:sz w:val="22"/>
                <w:szCs w:val="22"/>
              </w:rPr>
              <w:t>50</w:t>
            </w:r>
          </w:p>
        </w:tc>
        <w:tc>
          <w:tcPr>
            <w:tcW w:w="1350" w:type="dxa"/>
            <w:tcBorders>
              <w:top w:val="single" w:sz="4" w:space="0" w:color="auto"/>
              <w:bottom w:val="double" w:sz="4" w:space="0" w:color="auto"/>
            </w:tcBorders>
            <w:shd w:val="clear" w:color="auto" w:fill="auto"/>
          </w:tcPr>
          <w:p w:rsidR="00B118FF" w:rsidRPr="006E3325" w:rsidP="00B118FF" w14:paraId="286FAA77" w14:textId="087E2AA0">
            <w:pPr>
              <w:jc w:val="center"/>
              <w:rPr>
                <w:sz w:val="22"/>
                <w:szCs w:val="22"/>
              </w:rPr>
            </w:pPr>
            <w:r w:rsidRPr="006E3325">
              <w:rPr>
                <w:sz w:val="22"/>
                <w:szCs w:val="22"/>
              </w:rPr>
              <w:t>1</w:t>
            </w:r>
          </w:p>
        </w:tc>
        <w:tc>
          <w:tcPr>
            <w:tcW w:w="1260" w:type="dxa"/>
            <w:tcBorders>
              <w:top w:val="single" w:sz="4" w:space="0" w:color="auto"/>
              <w:bottom w:val="double" w:sz="4" w:space="0" w:color="auto"/>
            </w:tcBorders>
            <w:shd w:val="clear" w:color="auto" w:fill="auto"/>
          </w:tcPr>
          <w:p w:rsidR="00B118FF" w:rsidRPr="006E3325" w:rsidP="00B118FF" w14:paraId="5EEB7078" w14:textId="10D3A5FF">
            <w:pPr>
              <w:jc w:val="center"/>
              <w:rPr>
                <w:sz w:val="22"/>
                <w:szCs w:val="22"/>
              </w:rPr>
            </w:pPr>
            <w:r w:rsidRPr="006E3325">
              <w:rPr>
                <w:sz w:val="22"/>
                <w:szCs w:val="22"/>
              </w:rPr>
              <w:t>50</w:t>
            </w:r>
          </w:p>
        </w:tc>
        <w:tc>
          <w:tcPr>
            <w:tcW w:w="1170" w:type="dxa"/>
            <w:tcBorders>
              <w:top w:val="single" w:sz="4" w:space="0" w:color="auto"/>
              <w:bottom w:val="double" w:sz="4" w:space="0" w:color="auto"/>
            </w:tcBorders>
          </w:tcPr>
          <w:p w:rsidR="00B118FF" w:rsidRPr="006E3325" w:rsidP="00B118FF" w14:paraId="09469240" w14:textId="204C168D">
            <w:pPr>
              <w:jc w:val="center"/>
              <w:rPr>
                <w:sz w:val="22"/>
                <w:szCs w:val="22"/>
              </w:rPr>
            </w:pPr>
            <w:r w:rsidRPr="006E3325">
              <w:rPr>
                <w:sz w:val="22"/>
                <w:szCs w:val="22"/>
              </w:rPr>
              <w:t>.5</w:t>
            </w:r>
          </w:p>
        </w:tc>
        <w:tc>
          <w:tcPr>
            <w:tcW w:w="810" w:type="dxa"/>
            <w:tcBorders>
              <w:top w:val="single" w:sz="4" w:space="0" w:color="auto"/>
              <w:bottom w:val="double" w:sz="4" w:space="0" w:color="auto"/>
            </w:tcBorders>
          </w:tcPr>
          <w:p w:rsidR="00B118FF" w:rsidRPr="006E3325" w:rsidP="00B118FF" w14:paraId="73654EE1" w14:textId="6F0A2181">
            <w:pPr>
              <w:jc w:val="center"/>
              <w:rPr>
                <w:sz w:val="22"/>
                <w:szCs w:val="22"/>
              </w:rPr>
            </w:pPr>
            <w:r w:rsidRPr="006E3325">
              <w:rPr>
                <w:sz w:val="22"/>
                <w:szCs w:val="22"/>
              </w:rPr>
              <w:t>25</w:t>
            </w:r>
          </w:p>
        </w:tc>
        <w:tc>
          <w:tcPr>
            <w:tcW w:w="810" w:type="dxa"/>
            <w:tcBorders>
              <w:top w:val="single" w:sz="4" w:space="0" w:color="auto"/>
              <w:bottom w:val="double" w:sz="4" w:space="0" w:color="auto"/>
            </w:tcBorders>
          </w:tcPr>
          <w:p w:rsidR="00B118FF" w:rsidRPr="006E3325" w:rsidP="00B118FF" w14:paraId="108FFF55" w14:textId="3ABF6039">
            <w:pPr>
              <w:jc w:val="center"/>
              <w:rPr>
                <w:sz w:val="22"/>
                <w:szCs w:val="22"/>
              </w:rPr>
            </w:pPr>
            <w:r w:rsidRPr="006E3325">
              <w:rPr>
                <w:sz w:val="22"/>
                <w:szCs w:val="22"/>
              </w:rPr>
              <w:t>$</w:t>
            </w:r>
            <w:r>
              <w:rPr>
                <w:sz w:val="22"/>
                <w:szCs w:val="22"/>
              </w:rPr>
              <w:t>52</w:t>
            </w:r>
          </w:p>
        </w:tc>
        <w:tc>
          <w:tcPr>
            <w:tcW w:w="1260" w:type="dxa"/>
            <w:tcBorders>
              <w:top w:val="single" w:sz="4" w:space="0" w:color="auto"/>
              <w:bottom w:val="double" w:sz="4" w:space="0" w:color="auto"/>
            </w:tcBorders>
            <w:shd w:val="clear" w:color="auto" w:fill="auto"/>
          </w:tcPr>
          <w:p w:rsidR="00B118FF" w:rsidRPr="006E3325" w:rsidP="00B118FF" w14:paraId="7F432170" w14:textId="23758090">
            <w:pPr>
              <w:jc w:val="center"/>
              <w:rPr>
                <w:sz w:val="22"/>
                <w:szCs w:val="22"/>
              </w:rPr>
            </w:pPr>
            <w:r w:rsidRPr="006E3325">
              <w:rPr>
                <w:sz w:val="22"/>
                <w:szCs w:val="22"/>
              </w:rPr>
              <w:t>$1,</w:t>
            </w:r>
            <w:r>
              <w:rPr>
                <w:sz w:val="22"/>
                <w:szCs w:val="22"/>
              </w:rPr>
              <w:t>300</w:t>
            </w:r>
          </w:p>
        </w:tc>
      </w:tr>
      <w:tr w14:paraId="36292517" w14:textId="77777777" w:rsidTr="00B118FF">
        <w:tblPrEx>
          <w:tblW w:w="9535" w:type="dxa"/>
          <w:jc w:val="center"/>
          <w:tblLayout w:type="fixed"/>
          <w:tblLook w:val="04A0"/>
        </w:tblPrEx>
        <w:trPr>
          <w:jc w:val="center"/>
        </w:trPr>
        <w:tc>
          <w:tcPr>
            <w:tcW w:w="1435" w:type="dxa"/>
            <w:tcBorders>
              <w:top w:val="double" w:sz="4" w:space="0" w:color="auto"/>
              <w:bottom w:val="single" w:sz="4" w:space="0" w:color="auto"/>
            </w:tcBorders>
            <w:shd w:val="clear" w:color="auto" w:fill="auto"/>
          </w:tcPr>
          <w:p w:rsidR="00B118FF" w:rsidRPr="006E3325" w:rsidP="00B118FF" w14:paraId="7A63B1EA" w14:textId="77777777">
            <w:pPr>
              <w:rPr>
                <w:sz w:val="22"/>
                <w:szCs w:val="22"/>
              </w:rPr>
            </w:pPr>
            <w:r w:rsidRPr="006E3325">
              <w:rPr>
                <w:sz w:val="22"/>
                <w:szCs w:val="22"/>
              </w:rPr>
              <w:t>Total</w:t>
            </w:r>
          </w:p>
        </w:tc>
        <w:tc>
          <w:tcPr>
            <w:tcW w:w="1440" w:type="dxa"/>
            <w:tcBorders>
              <w:top w:val="double" w:sz="4" w:space="0" w:color="auto"/>
              <w:bottom w:val="single" w:sz="4" w:space="0" w:color="auto"/>
            </w:tcBorders>
            <w:shd w:val="clear" w:color="auto" w:fill="auto"/>
          </w:tcPr>
          <w:p w:rsidR="00B118FF" w:rsidRPr="006E3325" w:rsidP="00B118FF" w14:paraId="5DAD5A3D" w14:textId="249C9A0A">
            <w:pPr>
              <w:jc w:val="center"/>
              <w:rPr>
                <w:sz w:val="22"/>
                <w:szCs w:val="22"/>
              </w:rPr>
            </w:pPr>
            <w:r w:rsidRPr="006E3325">
              <w:rPr>
                <w:sz w:val="22"/>
                <w:szCs w:val="22"/>
              </w:rPr>
              <w:t>4</w:t>
            </w:r>
            <w:r>
              <w:rPr>
                <w:sz w:val="22"/>
                <w:szCs w:val="22"/>
              </w:rPr>
              <w:t>28</w:t>
            </w:r>
          </w:p>
        </w:tc>
        <w:tc>
          <w:tcPr>
            <w:tcW w:w="1350" w:type="dxa"/>
            <w:tcBorders>
              <w:top w:val="double" w:sz="4" w:space="0" w:color="auto"/>
              <w:bottom w:val="single" w:sz="4" w:space="0" w:color="auto"/>
            </w:tcBorders>
            <w:shd w:val="clear" w:color="auto" w:fill="auto"/>
          </w:tcPr>
          <w:p w:rsidR="00B118FF" w:rsidRPr="006E3325" w:rsidP="00B118FF" w14:paraId="5E6BB64B" w14:textId="4F555F1E">
            <w:pPr>
              <w:jc w:val="center"/>
              <w:rPr>
                <w:sz w:val="22"/>
                <w:szCs w:val="22"/>
              </w:rPr>
            </w:pPr>
            <w:r w:rsidRPr="006E3325">
              <w:rPr>
                <w:sz w:val="22"/>
                <w:szCs w:val="22"/>
              </w:rPr>
              <w:t>1</w:t>
            </w:r>
          </w:p>
        </w:tc>
        <w:tc>
          <w:tcPr>
            <w:tcW w:w="1260" w:type="dxa"/>
            <w:tcBorders>
              <w:top w:val="double" w:sz="4" w:space="0" w:color="auto"/>
              <w:bottom w:val="single" w:sz="4" w:space="0" w:color="auto"/>
            </w:tcBorders>
            <w:shd w:val="clear" w:color="auto" w:fill="auto"/>
          </w:tcPr>
          <w:p w:rsidR="00B118FF" w:rsidRPr="006E3325" w:rsidP="00B118FF" w14:paraId="653D36CE" w14:textId="355A7736">
            <w:pPr>
              <w:jc w:val="center"/>
              <w:rPr>
                <w:sz w:val="22"/>
                <w:szCs w:val="22"/>
              </w:rPr>
            </w:pPr>
            <w:r w:rsidRPr="006E3325">
              <w:rPr>
                <w:sz w:val="22"/>
                <w:szCs w:val="22"/>
              </w:rPr>
              <w:t>4</w:t>
            </w:r>
            <w:r>
              <w:rPr>
                <w:sz w:val="22"/>
                <w:szCs w:val="22"/>
              </w:rPr>
              <w:t>28</w:t>
            </w:r>
          </w:p>
        </w:tc>
        <w:tc>
          <w:tcPr>
            <w:tcW w:w="1170" w:type="dxa"/>
            <w:tcBorders>
              <w:top w:val="double" w:sz="4" w:space="0" w:color="auto"/>
              <w:bottom w:val="single" w:sz="4" w:space="0" w:color="auto"/>
            </w:tcBorders>
            <w:shd w:val="clear" w:color="auto" w:fill="A6A6A6" w:themeFill="background1" w:themeFillShade="A6"/>
          </w:tcPr>
          <w:p w:rsidR="00B118FF" w:rsidRPr="006E3325" w:rsidP="00B118FF" w14:paraId="786C7BB0" w14:textId="77777777">
            <w:pPr>
              <w:jc w:val="center"/>
              <w:rPr>
                <w:sz w:val="22"/>
                <w:szCs w:val="22"/>
              </w:rPr>
            </w:pPr>
          </w:p>
        </w:tc>
        <w:tc>
          <w:tcPr>
            <w:tcW w:w="810" w:type="dxa"/>
            <w:tcBorders>
              <w:top w:val="double" w:sz="4" w:space="0" w:color="auto"/>
              <w:bottom w:val="single" w:sz="4" w:space="0" w:color="auto"/>
            </w:tcBorders>
          </w:tcPr>
          <w:p w:rsidR="00B118FF" w:rsidRPr="006E3325" w:rsidP="00B118FF" w14:paraId="74D1FCA1" w14:textId="0598C836">
            <w:pPr>
              <w:jc w:val="center"/>
              <w:rPr>
                <w:sz w:val="22"/>
                <w:szCs w:val="22"/>
              </w:rPr>
            </w:pPr>
            <w:r w:rsidRPr="006E3325">
              <w:rPr>
                <w:sz w:val="22"/>
                <w:szCs w:val="22"/>
              </w:rPr>
              <w:t>21</w:t>
            </w:r>
            <w:r>
              <w:rPr>
                <w:sz w:val="22"/>
                <w:szCs w:val="22"/>
              </w:rPr>
              <w:t>4</w:t>
            </w:r>
          </w:p>
        </w:tc>
        <w:tc>
          <w:tcPr>
            <w:tcW w:w="810" w:type="dxa"/>
            <w:tcBorders>
              <w:top w:val="double" w:sz="4" w:space="0" w:color="auto"/>
              <w:bottom w:val="single" w:sz="4" w:space="0" w:color="auto"/>
            </w:tcBorders>
            <w:shd w:val="clear" w:color="auto" w:fill="A6A6A6" w:themeFill="background1" w:themeFillShade="A6"/>
          </w:tcPr>
          <w:p w:rsidR="00B118FF" w:rsidRPr="006E3325" w:rsidP="00B118FF" w14:paraId="36D5A9B2" w14:textId="77777777">
            <w:pPr>
              <w:jc w:val="center"/>
              <w:rPr>
                <w:sz w:val="22"/>
                <w:szCs w:val="22"/>
              </w:rPr>
            </w:pPr>
          </w:p>
        </w:tc>
        <w:tc>
          <w:tcPr>
            <w:tcW w:w="1260" w:type="dxa"/>
            <w:tcBorders>
              <w:top w:val="double" w:sz="4" w:space="0" w:color="auto"/>
              <w:bottom w:val="single" w:sz="4" w:space="0" w:color="auto"/>
            </w:tcBorders>
            <w:shd w:val="clear" w:color="auto" w:fill="auto"/>
          </w:tcPr>
          <w:p w:rsidR="00B118FF" w:rsidRPr="006E3325" w:rsidP="00B118FF" w14:paraId="3DDBD939" w14:textId="729657C8">
            <w:pPr>
              <w:jc w:val="center"/>
              <w:rPr>
                <w:sz w:val="22"/>
                <w:szCs w:val="22"/>
              </w:rPr>
            </w:pPr>
            <w:r w:rsidRPr="006E3325">
              <w:rPr>
                <w:sz w:val="22"/>
                <w:szCs w:val="22"/>
              </w:rPr>
              <w:t>$1</w:t>
            </w:r>
            <w:r>
              <w:rPr>
                <w:sz w:val="22"/>
                <w:szCs w:val="22"/>
              </w:rPr>
              <w:t>1,128</w:t>
            </w:r>
          </w:p>
        </w:tc>
      </w:tr>
    </w:tbl>
    <w:p w:rsidR="006E3325" w:rsidP="006E3325" w14:paraId="6380C4D6" w14:textId="77777777">
      <w:pPr>
        <w:pStyle w:val="Default"/>
      </w:pPr>
    </w:p>
    <w:p w:rsidR="006E3325" w:rsidRPr="00B118FF" w:rsidP="00B118FF" w14:paraId="5E0C2BA5" w14:textId="2F6C6565">
      <w:pPr>
        <w:rPr>
          <w:rFonts w:eastAsia="Calibri"/>
          <w:b/>
          <w:color w:val="000000"/>
        </w:rPr>
      </w:pPr>
      <w:r w:rsidRPr="00B564C6">
        <w:rPr>
          <w:b/>
        </w:rPr>
        <w:t>CDFI Annual Single Audit Report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440"/>
        <w:gridCol w:w="1350"/>
        <w:gridCol w:w="1260"/>
        <w:gridCol w:w="1170"/>
        <w:gridCol w:w="810"/>
        <w:gridCol w:w="810"/>
        <w:gridCol w:w="1260"/>
      </w:tblGrid>
      <w:tr w14:paraId="7F27A0C0" w14:textId="77777777" w:rsidTr="00714311">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35" w:type="dxa"/>
            <w:tcBorders>
              <w:bottom w:val="single" w:sz="4" w:space="0" w:color="auto"/>
            </w:tcBorders>
            <w:shd w:val="clear" w:color="auto" w:fill="auto"/>
          </w:tcPr>
          <w:p w:rsidR="006E3325" w:rsidRPr="006E3325" w:rsidP="00714311" w14:paraId="13F333FB" w14:textId="77777777">
            <w:pPr>
              <w:jc w:val="center"/>
              <w:rPr>
                <w:b/>
                <w:sz w:val="22"/>
                <w:szCs w:val="22"/>
              </w:rPr>
            </w:pPr>
            <w:r w:rsidRPr="006E3325">
              <w:rPr>
                <w:b/>
                <w:sz w:val="22"/>
                <w:szCs w:val="22"/>
              </w:rPr>
              <w:t>Affected Public</w:t>
            </w:r>
          </w:p>
        </w:tc>
        <w:tc>
          <w:tcPr>
            <w:tcW w:w="1440" w:type="dxa"/>
            <w:tcBorders>
              <w:bottom w:val="single" w:sz="4" w:space="0" w:color="auto"/>
            </w:tcBorders>
            <w:shd w:val="clear" w:color="auto" w:fill="auto"/>
          </w:tcPr>
          <w:p w:rsidR="006E3325" w:rsidRPr="006E3325" w:rsidP="00714311" w14:paraId="741DF242" w14:textId="77777777">
            <w:pPr>
              <w:jc w:val="center"/>
              <w:rPr>
                <w:b/>
                <w:sz w:val="22"/>
                <w:szCs w:val="22"/>
              </w:rPr>
            </w:pPr>
            <w:r w:rsidRPr="006E3325">
              <w:rPr>
                <w:b/>
                <w:sz w:val="22"/>
                <w:szCs w:val="22"/>
              </w:rPr>
              <w:t xml:space="preserve">Number </w:t>
            </w:r>
          </w:p>
          <w:p w:rsidR="006E3325" w:rsidRPr="006E3325" w:rsidP="00714311" w14:paraId="3BE3B228" w14:textId="77777777">
            <w:pPr>
              <w:jc w:val="center"/>
              <w:rPr>
                <w:b/>
                <w:sz w:val="22"/>
                <w:szCs w:val="22"/>
              </w:rPr>
            </w:pPr>
            <w:r w:rsidRPr="006E3325">
              <w:rPr>
                <w:b/>
                <w:sz w:val="22"/>
                <w:szCs w:val="22"/>
              </w:rPr>
              <w:t>of Respondents</w:t>
            </w:r>
          </w:p>
        </w:tc>
        <w:tc>
          <w:tcPr>
            <w:tcW w:w="1350" w:type="dxa"/>
            <w:tcBorders>
              <w:bottom w:val="single" w:sz="4" w:space="0" w:color="auto"/>
            </w:tcBorders>
            <w:shd w:val="clear" w:color="auto" w:fill="auto"/>
          </w:tcPr>
          <w:p w:rsidR="006E3325" w:rsidRPr="006E3325" w:rsidP="00714311" w14:paraId="29367CD4" w14:textId="77777777">
            <w:pPr>
              <w:jc w:val="center"/>
              <w:rPr>
                <w:b/>
                <w:sz w:val="22"/>
                <w:szCs w:val="22"/>
              </w:rPr>
            </w:pPr>
            <w:r w:rsidRPr="006E3325">
              <w:rPr>
                <w:b/>
                <w:sz w:val="22"/>
                <w:szCs w:val="22"/>
              </w:rPr>
              <w:t>Number of Responses</w:t>
            </w:r>
          </w:p>
          <w:p w:rsidR="006E3325" w:rsidRPr="006E3325" w:rsidP="00714311" w14:paraId="2A5F91C1" w14:textId="77777777">
            <w:pPr>
              <w:jc w:val="center"/>
              <w:rPr>
                <w:b/>
                <w:sz w:val="22"/>
                <w:szCs w:val="22"/>
              </w:rPr>
            </w:pPr>
            <w:r w:rsidRPr="006E3325">
              <w:rPr>
                <w:b/>
                <w:sz w:val="22"/>
                <w:szCs w:val="22"/>
              </w:rPr>
              <w:t xml:space="preserve">Per </w:t>
            </w:r>
          </w:p>
          <w:p w:rsidR="006E3325" w:rsidRPr="006E3325" w:rsidP="00714311" w14:paraId="2F67708E" w14:textId="77777777">
            <w:pPr>
              <w:jc w:val="center"/>
              <w:rPr>
                <w:b/>
                <w:sz w:val="22"/>
                <w:szCs w:val="22"/>
              </w:rPr>
            </w:pPr>
            <w:r w:rsidRPr="006E3325">
              <w:rPr>
                <w:b/>
                <w:sz w:val="22"/>
                <w:szCs w:val="22"/>
              </w:rPr>
              <w:t>Respondent</w:t>
            </w:r>
          </w:p>
        </w:tc>
        <w:tc>
          <w:tcPr>
            <w:tcW w:w="1260" w:type="dxa"/>
            <w:tcBorders>
              <w:bottom w:val="single" w:sz="4" w:space="0" w:color="auto"/>
            </w:tcBorders>
            <w:shd w:val="clear" w:color="auto" w:fill="auto"/>
          </w:tcPr>
          <w:p w:rsidR="006E3325" w:rsidRPr="006E3325" w:rsidP="00714311" w14:paraId="2E55D074" w14:textId="77777777">
            <w:pPr>
              <w:jc w:val="center"/>
              <w:rPr>
                <w:b/>
                <w:sz w:val="22"/>
                <w:szCs w:val="22"/>
              </w:rPr>
            </w:pPr>
            <w:r w:rsidRPr="006E3325">
              <w:rPr>
                <w:b/>
                <w:sz w:val="22"/>
                <w:szCs w:val="22"/>
              </w:rPr>
              <w:t xml:space="preserve">Total </w:t>
            </w:r>
          </w:p>
          <w:p w:rsidR="006E3325" w:rsidRPr="006E3325" w:rsidP="00714311" w14:paraId="2D2AB5F4" w14:textId="77777777">
            <w:pPr>
              <w:jc w:val="center"/>
              <w:rPr>
                <w:b/>
                <w:sz w:val="22"/>
                <w:szCs w:val="22"/>
              </w:rPr>
            </w:pPr>
            <w:r w:rsidRPr="006E3325">
              <w:rPr>
                <w:b/>
                <w:sz w:val="22"/>
                <w:szCs w:val="22"/>
              </w:rPr>
              <w:t>Annual Responses</w:t>
            </w:r>
          </w:p>
        </w:tc>
        <w:tc>
          <w:tcPr>
            <w:tcW w:w="1170" w:type="dxa"/>
            <w:tcBorders>
              <w:bottom w:val="single" w:sz="4" w:space="0" w:color="auto"/>
            </w:tcBorders>
          </w:tcPr>
          <w:p w:rsidR="006E3325" w:rsidRPr="006E3325" w:rsidP="00714311" w14:paraId="5A9313E0" w14:textId="77777777">
            <w:pPr>
              <w:jc w:val="center"/>
              <w:rPr>
                <w:b/>
                <w:sz w:val="22"/>
                <w:szCs w:val="22"/>
              </w:rPr>
            </w:pPr>
            <w:r w:rsidRPr="006E3325">
              <w:rPr>
                <w:b/>
                <w:sz w:val="22"/>
                <w:szCs w:val="22"/>
              </w:rPr>
              <w:t xml:space="preserve">Hours </w:t>
            </w:r>
          </w:p>
          <w:p w:rsidR="006E3325" w:rsidRPr="006E3325" w:rsidP="00714311" w14:paraId="576E6818" w14:textId="77777777">
            <w:pPr>
              <w:jc w:val="center"/>
              <w:rPr>
                <w:b/>
                <w:sz w:val="22"/>
                <w:szCs w:val="22"/>
              </w:rPr>
            </w:pPr>
            <w:r w:rsidRPr="006E3325">
              <w:rPr>
                <w:b/>
                <w:sz w:val="22"/>
                <w:szCs w:val="22"/>
              </w:rPr>
              <w:t xml:space="preserve">Per </w:t>
            </w:r>
          </w:p>
          <w:p w:rsidR="006E3325" w:rsidRPr="006E3325" w:rsidP="00714311" w14:paraId="419C33E4" w14:textId="77777777">
            <w:pPr>
              <w:jc w:val="center"/>
              <w:rPr>
                <w:b/>
                <w:sz w:val="22"/>
                <w:szCs w:val="22"/>
              </w:rPr>
            </w:pPr>
            <w:r w:rsidRPr="006E3325">
              <w:rPr>
                <w:b/>
                <w:sz w:val="22"/>
                <w:szCs w:val="22"/>
              </w:rPr>
              <w:t>Response</w:t>
            </w:r>
          </w:p>
        </w:tc>
        <w:tc>
          <w:tcPr>
            <w:tcW w:w="810" w:type="dxa"/>
            <w:tcBorders>
              <w:bottom w:val="single" w:sz="4" w:space="0" w:color="auto"/>
            </w:tcBorders>
          </w:tcPr>
          <w:p w:rsidR="006E3325" w:rsidRPr="006E3325" w:rsidP="00714311" w14:paraId="207F7D22" w14:textId="77777777">
            <w:pPr>
              <w:jc w:val="center"/>
              <w:rPr>
                <w:b/>
                <w:sz w:val="22"/>
                <w:szCs w:val="22"/>
              </w:rPr>
            </w:pPr>
            <w:r w:rsidRPr="006E3325">
              <w:rPr>
                <w:b/>
                <w:sz w:val="22"/>
                <w:szCs w:val="22"/>
              </w:rPr>
              <w:t xml:space="preserve">Total </w:t>
            </w:r>
          </w:p>
          <w:p w:rsidR="006E3325" w:rsidRPr="006E3325" w:rsidP="00714311" w14:paraId="55F049E2" w14:textId="77777777">
            <w:pPr>
              <w:jc w:val="center"/>
              <w:rPr>
                <w:b/>
                <w:sz w:val="22"/>
                <w:szCs w:val="22"/>
              </w:rPr>
            </w:pPr>
            <w:r w:rsidRPr="006E3325">
              <w:rPr>
                <w:b/>
                <w:sz w:val="22"/>
                <w:szCs w:val="22"/>
              </w:rPr>
              <w:t>Hours</w:t>
            </w:r>
          </w:p>
        </w:tc>
        <w:tc>
          <w:tcPr>
            <w:tcW w:w="810" w:type="dxa"/>
            <w:tcBorders>
              <w:bottom w:val="single" w:sz="4" w:space="0" w:color="auto"/>
            </w:tcBorders>
          </w:tcPr>
          <w:p w:rsidR="006E3325" w:rsidRPr="006E3325" w:rsidP="00714311" w14:paraId="7E4F3658" w14:textId="77777777">
            <w:pPr>
              <w:jc w:val="center"/>
              <w:rPr>
                <w:b/>
                <w:sz w:val="22"/>
                <w:szCs w:val="22"/>
              </w:rPr>
            </w:pPr>
            <w:r w:rsidRPr="006E3325">
              <w:rPr>
                <w:b/>
                <w:sz w:val="22"/>
                <w:szCs w:val="22"/>
              </w:rPr>
              <w:t>Time</w:t>
            </w:r>
          </w:p>
          <w:p w:rsidR="006E3325" w:rsidRPr="006E3325" w:rsidP="00714311" w14:paraId="3FE4C69B" w14:textId="77777777">
            <w:pPr>
              <w:jc w:val="center"/>
              <w:rPr>
                <w:b/>
                <w:sz w:val="22"/>
                <w:szCs w:val="22"/>
              </w:rPr>
            </w:pPr>
            <w:r w:rsidRPr="006E3325">
              <w:rPr>
                <w:b/>
                <w:sz w:val="22"/>
                <w:szCs w:val="22"/>
              </w:rPr>
              <w:t>Value</w:t>
            </w:r>
          </w:p>
          <w:p w:rsidR="006E3325" w:rsidRPr="006E3325" w:rsidP="00714311" w14:paraId="46A3ECDE" w14:textId="77777777">
            <w:pPr>
              <w:jc w:val="center"/>
              <w:rPr>
                <w:b/>
                <w:sz w:val="22"/>
                <w:szCs w:val="22"/>
              </w:rPr>
            </w:pPr>
            <w:r w:rsidRPr="006E3325">
              <w:rPr>
                <w:b/>
                <w:sz w:val="22"/>
                <w:szCs w:val="22"/>
              </w:rPr>
              <w:t>(</w:t>
            </w:r>
            <w:r w:rsidRPr="006E3325">
              <w:rPr>
                <w:b/>
                <w:sz w:val="22"/>
                <w:szCs w:val="22"/>
              </w:rPr>
              <w:t>per</w:t>
            </w:r>
          </w:p>
          <w:p w:rsidR="006E3325" w:rsidRPr="006E3325" w:rsidP="00714311" w14:paraId="19C2E235" w14:textId="77777777">
            <w:pPr>
              <w:jc w:val="center"/>
              <w:rPr>
                <w:b/>
                <w:sz w:val="22"/>
                <w:szCs w:val="22"/>
              </w:rPr>
            </w:pPr>
            <w:r w:rsidRPr="006E3325">
              <w:rPr>
                <w:b/>
                <w:sz w:val="22"/>
                <w:szCs w:val="22"/>
              </w:rPr>
              <w:t>Hour)</w:t>
            </w:r>
          </w:p>
        </w:tc>
        <w:tc>
          <w:tcPr>
            <w:tcW w:w="1260" w:type="dxa"/>
            <w:tcBorders>
              <w:bottom w:val="single" w:sz="4" w:space="0" w:color="auto"/>
            </w:tcBorders>
            <w:shd w:val="clear" w:color="auto" w:fill="auto"/>
          </w:tcPr>
          <w:p w:rsidR="006E3325" w:rsidRPr="006E3325" w:rsidP="00714311" w14:paraId="646CD1C2" w14:textId="77777777">
            <w:pPr>
              <w:jc w:val="center"/>
              <w:rPr>
                <w:b/>
                <w:sz w:val="22"/>
                <w:szCs w:val="22"/>
              </w:rPr>
            </w:pPr>
            <w:r w:rsidRPr="006E3325">
              <w:rPr>
                <w:b/>
                <w:sz w:val="22"/>
                <w:szCs w:val="22"/>
              </w:rPr>
              <w:t>Monetized</w:t>
            </w:r>
          </w:p>
          <w:p w:rsidR="006E3325" w:rsidRPr="006E3325" w:rsidP="00714311" w14:paraId="3DB7FCC2" w14:textId="77777777">
            <w:pPr>
              <w:jc w:val="center"/>
              <w:rPr>
                <w:b/>
                <w:sz w:val="22"/>
                <w:szCs w:val="22"/>
              </w:rPr>
            </w:pPr>
            <w:r w:rsidRPr="006E3325">
              <w:rPr>
                <w:b/>
                <w:sz w:val="22"/>
                <w:szCs w:val="22"/>
              </w:rPr>
              <w:t xml:space="preserve">Burden </w:t>
            </w:r>
          </w:p>
          <w:p w:rsidR="006E3325" w:rsidRPr="006E3325" w:rsidP="00714311" w14:paraId="56686CED" w14:textId="77777777">
            <w:pPr>
              <w:jc w:val="center"/>
              <w:rPr>
                <w:b/>
                <w:sz w:val="22"/>
                <w:szCs w:val="22"/>
              </w:rPr>
            </w:pPr>
            <w:r w:rsidRPr="006E3325">
              <w:rPr>
                <w:b/>
                <w:sz w:val="22"/>
                <w:szCs w:val="22"/>
              </w:rPr>
              <w:t xml:space="preserve">Hours </w:t>
            </w:r>
          </w:p>
        </w:tc>
      </w:tr>
      <w:tr w14:paraId="41A2C4F1" w14:textId="77777777" w:rsidTr="00714311">
        <w:tblPrEx>
          <w:tblW w:w="9535" w:type="dxa"/>
          <w:jc w:val="center"/>
          <w:tblLayout w:type="fixed"/>
          <w:tblLook w:val="04A0"/>
        </w:tblPrEx>
        <w:trPr>
          <w:jc w:val="center"/>
        </w:trPr>
        <w:tc>
          <w:tcPr>
            <w:tcW w:w="1435" w:type="dxa"/>
            <w:tcBorders>
              <w:bottom w:val="single" w:sz="4" w:space="0" w:color="auto"/>
            </w:tcBorders>
            <w:shd w:val="clear" w:color="auto" w:fill="auto"/>
          </w:tcPr>
          <w:p w:rsidR="006E3325" w:rsidRPr="006E3325" w:rsidP="00714311" w14:paraId="2E4EF218" w14:textId="77777777">
            <w:pPr>
              <w:rPr>
                <w:sz w:val="22"/>
                <w:szCs w:val="22"/>
              </w:rPr>
            </w:pPr>
            <w:r w:rsidRPr="006E3325">
              <w:rPr>
                <w:sz w:val="22"/>
                <w:szCs w:val="22"/>
              </w:rPr>
              <w:t>Private Sector</w:t>
            </w:r>
          </w:p>
        </w:tc>
        <w:tc>
          <w:tcPr>
            <w:tcW w:w="1440" w:type="dxa"/>
            <w:tcBorders>
              <w:bottom w:val="single" w:sz="4" w:space="0" w:color="auto"/>
            </w:tcBorders>
            <w:shd w:val="clear" w:color="auto" w:fill="auto"/>
          </w:tcPr>
          <w:p w:rsidR="006E3325" w:rsidRPr="006E3325" w:rsidP="00714311" w14:paraId="25AA3E70" w14:textId="5E613394">
            <w:pPr>
              <w:jc w:val="center"/>
              <w:rPr>
                <w:sz w:val="22"/>
                <w:szCs w:val="22"/>
              </w:rPr>
            </w:pPr>
            <w:r w:rsidRPr="006E3325">
              <w:rPr>
                <w:sz w:val="22"/>
                <w:szCs w:val="22"/>
              </w:rPr>
              <w:t>3</w:t>
            </w:r>
            <w:r>
              <w:rPr>
                <w:sz w:val="22"/>
                <w:szCs w:val="22"/>
              </w:rPr>
              <w:t>78</w:t>
            </w:r>
          </w:p>
        </w:tc>
        <w:tc>
          <w:tcPr>
            <w:tcW w:w="1350" w:type="dxa"/>
            <w:tcBorders>
              <w:bottom w:val="single" w:sz="4" w:space="0" w:color="auto"/>
            </w:tcBorders>
            <w:shd w:val="clear" w:color="auto" w:fill="auto"/>
          </w:tcPr>
          <w:p w:rsidR="006E3325" w:rsidRPr="006E3325" w:rsidP="00714311" w14:paraId="0F2A1F9D" w14:textId="77777777">
            <w:pPr>
              <w:jc w:val="center"/>
              <w:rPr>
                <w:sz w:val="22"/>
                <w:szCs w:val="22"/>
              </w:rPr>
            </w:pPr>
            <w:r w:rsidRPr="006E3325">
              <w:rPr>
                <w:sz w:val="22"/>
                <w:szCs w:val="22"/>
              </w:rPr>
              <w:t>1</w:t>
            </w:r>
          </w:p>
        </w:tc>
        <w:tc>
          <w:tcPr>
            <w:tcW w:w="1260" w:type="dxa"/>
            <w:tcBorders>
              <w:bottom w:val="single" w:sz="4" w:space="0" w:color="auto"/>
            </w:tcBorders>
            <w:shd w:val="clear" w:color="auto" w:fill="auto"/>
          </w:tcPr>
          <w:p w:rsidR="006E3325" w:rsidRPr="006E3325" w:rsidP="00714311" w14:paraId="5E0B841A" w14:textId="775D8609">
            <w:pPr>
              <w:jc w:val="center"/>
              <w:rPr>
                <w:sz w:val="22"/>
                <w:szCs w:val="22"/>
              </w:rPr>
            </w:pPr>
            <w:r w:rsidRPr="006E3325">
              <w:rPr>
                <w:sz w:val="22"/>
                <w:szCs w:val="22"/>
              </w:rPr>
              <w:t>3</w:t>
            </w:r>
            <w:r w:rsidR="00B118FF">
              <w:rPr>
                <w:sz w:val="22"/>
                <w:szCs w:val="22"/>
              </w:rPr>
              <w:t>78</w:t>
            </w:r>
          </w:p>
        </w:tc>
        <w:tc>
          <w:tcPr>
            <w:tcW w:w="1170" w:type="dxa"/>
            <w:tcBorders>
              <w:bottom w:val="single" w:sz="4" w:space="0" w:color="auto"/>
            </w:tcBorders>
          </w:tcPr>
          <w:p w:rsidR="006E3325" w:rsidRPr="006E3325" w:rsidP="00714311" w14:paraId="7AD7D0E1" w14:textId="77777777">
            <w:pPr>
              <w:jc w:val="center"/>
              <w:rPr>
                <w:sz w:val="22"/>
                <w:szCs w:val="22"/>
              </w:rPr>
            </w:pPr>
            <w:r w:rsidRPr="006E3325">
              <w:rPr>
                <w:sz w:val="22"/>
                <w:szCs w:val="22"/>
              </w:rPr>
              <w:t>.5</w:t>
            </w:r>
          </w:p>
        </w:tc>
        <w:tc>
          <w:tcPr>
            <w:tcW w:w="810" w:type="dxa"/>
            <w:tcBorders>
              <w:bottom w:val="single" w:sz="4" w:space="0" w:color="auto"/>
            </w:tcBorders>
          </w:tcPr>
          <w:p w:rsidR="006E3325" w:rsidRPr="006E3325" w:rsidP="00714311" w14:paraId="4475361C" w14:textId="72EBE32A">
            <w:pPr>
              <w:jc w:val="center"/>
              <w:rPr>
                <w:sz w:val="22"/>
                <w:szCs w:val="22"/>
              </w:rPr>
            </w:pPr>
            <w:r w:rsidRPr="006E3325">
              <w:rPr>
                <w:sz w:val="22"/>
                <w:szCs w:val="22"/>
              </w:rPr>
              <w:t>1</w:t>
            </w:r>
            <w:r w:rsidR="00B118FF">
              <w:rPr>
                <w:sz w:val="22"/>
                <w:szCs w:val="22"/>
              </w:rPr>
              <w:t>89</w:t>
            </w:r>
          </w:p>
        </w:tc>
        <w:tc>
          <w:tcPr>
            <w:tcW w:w="810" w:type="dxa"/>
            <w:tcBorders>
              <w:bottom w:val="single" w:sz="4" w:space="0" w:color="auto"/>
            </w:tcBorders>
          </w:tcPr>
          <w:p w:rsidR="006E3325" w:rsidRPr="006E3325" w:rsidP="00714311" w14:paraId="5FA99913" w14:textId="5ADB4B97">
            <w:pPr>
              <w:jc w:val="center"/>
              <w:rPr>
                <w:sz w:val="22"/>
                <w:szCs w:val="22"/>
              </w:rPr>
            </w:pPr>
            <w:r w:rsidRPr="006E3325">
              <w:rPr>
                <w:sz w:val="22"/>
                <w:szCs w:val="22"/>
              </w:rPr>
              <w:t>$</w:t>
            </w:r>
            <w:r w:rsidR="00B118FF">
              <w:rPr>
                <w:sz w:val="22"/>
                <w:szCs w:val="22"/>
              </w:rPr>
              <w:t>52</w:t>
            </w:r>
          </w:p>
        </w:tc>
        <w:tc>
          <w:tcPr>
            <w:tcW w:w="1260" w:type="dxa"/>
            <w:tcBorders>
              <w:bottom w:val="single" w:sz="4" w:space="0" w:color="auto"/>
            </w:tcBorders>
            <w:shd w:val="clear" w:color="auto" w:fill="auto"/>
          </w:tcPr>
          <w:p w:rsidR="006E3325" w:rsidRPr="006E3325" w:rsidP="00714311" w14:paraId="086263FE" w14:textId="19BC58D7">
            <w:pPr>
              <w:jc w:val="center"/>
              <w:rPr>
                <w:sz w:val="22"/>
                <w:szCs w:val="22"/>
              </w:rPr>
            </w:pPr>
            <w:r w:rsidRPr="006E3325">
              <w:rPr>
                <w:sz w:val="22"/>
                <w:szCs w:val="22"/>
              </w:rPr>
              <w:t>$9,</w:t>
            </w:r>
            <w:r w:rsidR="00B118FF">
              <w:rPr>
                <w:sz w:val="22"/>
                <w:szCs w:val="22"/>
              </w:rPr>
              <w:t>828</w:t>
            </w:r>
          </w:p>
        </w:tc>
      </w:tr>
      <w:tr w14:paraId="46674CA7" w14:textId="77777777" w:rsidTr="00714311">
        <w:tblPrEx>
          <w:tblW w:w="9535" w:type="dxa"/>
          <w:jc w:val="center"/>
          <w:tblLayout w:type="fixed"/>
          <w:tblLook w:val="04A0"/>
        </w:tblPrEx>
        <w:trPr>
          <w:jc w:val="center"/>
        </w:trPr>
        <w:tc>
          <w:tcPr>
            <w:tcW w:w="1435" w:type="dxa"/>
            <w:tcBorders>
              <w:top w:val="single" w:sz="4" w:space="0" w:color="auto"/>
              <w:bottom w:val="double" w:sz="4" w:space="0" w:color="auto"/>
            </w:tcBorders>
            <w:shd w:val="clear" w:color="auto" w:fill="auto"/>
          </w:tcPr>
          <w:p w:rsidR="006E3325" w:rsidRPr="006E3325" w:rsidP="00714311" w14:paraId="1C6A17D6" w14:textId="77777777">
            <w:pPr>
              <w:rPr>
                <w:sz w:val="22"/>
                <w:szCs w:val="22"/>
              </w:rPr>
            </w:pPr>
            <w:r w:rsidRPr="006E3325">
              <w:rPr>
                <w:sz w:val="22"/>
                <w:szCs w:val="22"/>
              </w:rPr>
              <w:t>State, Local, and Tribal Governments</w:t>
            </w:r>
          </w:p>
        </w:tc>
        <w:tc>
          <w:tcPr>
            <w:tcW w:w="1440" w:type="dxa"/>
            <w:tcBorders>
              <w:top w:val="single" w:sz="4" w:space="0" w:color="auto"/>
              <w:bottom w:val="double" w:sz="4" w:space="0" w:color="auto"/>
            </w:tcBorders>
            <w:shd w:val="clear" w:color="auto" w:fill="auto"/>
          </w:tcPr>
          <w:p w:rsidR="006E3325" w:rsidRPr="006E3325" w:rsidP="00714311" w14:paraId="2D212EC1" w14:textId="77777777">
            <w:pPr>
              <w:jc w:val="center"/>
              <w:rPr>
                <w:sz w:val="22"/>
                <w:szCs w:val="22"/>
              </w:rPr>
            </w:pPr>
            <w:r w:rsidRPr="006E3325">
              <w:rPr>
                <w:sz w:val="22"/>
                <w:szCs w:val="22"/>
              </w:rPr>
              <w:t>50</w:t>
            </w:r>
          </w:p>
        </w:tc>
        <w:tc>
          <w:tcPr>
            <w:tcW w:w="1350" w:type="dxa"/>
            <w:tcBorders>
              <w:top w:val="single" w:sz="4" w:space="0" w:color="auto"/>
              <w:bottom w:val="double" w:sz="4" w:space="0" w:color="auto"/>
            </w:tcBorders>
            <w:shd w:val="clear" w:color="auto" w:fill="auto"/>
          </w:tcPr>
          <w:p w:rsidR="006E3325" w:rsidRPr="006E3325" w:rsidP="00714311" w14:paraId="6D0B7CED" w14:textId="77777777">
            <w:pPr>
              <w:jc w:val="center"/>
              <w:rPr>
                <w:sz w:val="22"/>
                <w:szCs w:val="22"/>
              </w:rPr>
            </w:pPr>
            <w:r w:rsidRPr="006E3325">
              <w:rPr>
                <w:sz w:val="22"/>
                <w:szCs w:val="22"/>
              </w:rPr>
              <w:t>1</w:t>
            </w:r>
          </w:p>
        </w:tc>
        <w:tc>
          <w:tcPr>
            <w:tcW w:w="1260" w:type="dxa"/>
            <w:tcBorders>
              <w:top w:val="single" w:sz="4" w:space="0" w:color="auto"/>
              <w:bottom w:val="double" w:sz="4" w:space="0" w:color="auto"/>
            </w:tcBorders>
            <w:shd w:val="clear" w:color="auto" w:fill="auto"/>
          </w:tcPr>
          <w:p w:rsidR="006E3325" w:rsidRPr="006E3325" w:rsidP="00714311" w14:paraId="6CC46FA1" w14:textId="77777777">
            <w:pPr>
              <w:jc w:val="center"/>
              <w:rPr>
                <w:sz w:val="22"/>
                <w:szCs w:val="22"/>
              </w:rPr>
            </w:pPr>
            <w:r w:rsidRPr="006E3325">
              <w:rPr>
                <w:sz w:val="22"/>
                <w:szCs w:val="22"/>
              </w:rPr>
              <w:t>50</w:t>
            </w:r>
          </w:p>
        </w:tc>
        <w:tc>
          <w:tcPr>
            <w:tcW w:w="1170" w:type="dxa"/>
            <w:tcBorders>
              <w:top w:val="single" w:sz="4" w:space="0" w:color="auto"/>
              <w:bottom w:val="double" w:sz="4" w:space="0" w:color="auto"/>
            </w:tcBorders>
          </w:tcPr>
          <w:p w:rsidR="006E3325" w:rsidRPr="006E3325" w:rsidP="00714311" w14:paraId="46FB641B" w14:textId="77777777">
            <w:pPr>
              <w:jc w:val="center"/>
              <w:rPr>
                <w:sz w:val="22"/>
                <w:szCs w:val="22"/>
              </w:rPr>
            </w:pPr>
            <w:r w:rsidRPr="006E3325">
              <w:rPr>
                <w:sz w:val="22"/>
                <w:szCs w:val="22"/>
              </w:rPr>
              <w:t>.5</w:t>
            </w:r>
          </w:p>
        </w:tc>
        <w:tc>
          <w:tcPr>
            <w:tcW w:w="810" w:type="dxa"/>
            <w:tcBorders>
              <w:top w:val="single" w:sz="4" w:space="0" w:color="auto"/>
              <w:bottom w:val="double" w:sz="4" w:space="0" w:color="auto"/>
            </w:tcBorders>
          </w:tcPr>
          <w:p w:rsidR="006E3325" w:rsidRPr="006E3325" w:rsidP="00714311" w14:paraId="353C39F3" w14:textId="77777777">
            <w:pPr>
              <w:jc w:val="center"/>
              <w:rPr>
                <w:sz w:val="22"/>
                <w:szCs w:val="22"/>
              </w:rPr>
            </w:pPr>
            <w:r w:rsidRPr="006E3325">
              <w:rPr>
                <w:sz w:val="22"/>
                <w:szCs w:val="22"/>
              </w:rPr>
              <w:t>25</w:t>
            </w:r>
          </w:p>
        </w:tc>
        <w:tc>
          <w:tcPr>
            <w:tcW w:w="810" w:type="dxa"/>
            <w:tcBorders>
              <w:top w:val="single" w:sz="4" w:space="0" w:color="auto"/>
              <w:bottom w:val="double" w:sz="4" w:space="0" w:color="auto"/>
            </w:tcBorders>
          </w:tcPr>
          <w:p w:rsidR="006E3325" w:rsidRPr="006E3325" w:rsidP="00714311" w14:paraId="6287E675" w14:textId="29EFB460">
            <w:pPr>
              <w:jc w:val="center"/>
              <w:rPr>
                <w:sz w:val="22"/>
                <w:szCs w:val="22"/>
              </w:rPr>
            </w:pPr>
            <w:r w:rsidRPr="006E3325">
              <w:rPr>
                <w:sz w:val="22"/>
                <w:szCs w:val="22"/>
              </w:rPr>
              <w:t>$</w:t>
            </w:r>
            <w:r w:rsidR="00B118FF">
              <w:rPr>
                <w:sz w:val="22"/>
                <w:szCs w:val="22"/>
              </w:rPr>
              <w:t>52</w:t>
            </w:r>
          </w:p>
        </w:tc>
        <w:tc>
          <w:tcPr>
            <w:tcW w:w="1260" w:type="dxa"/>
            <w:tcBorders>
              <w:top w:val="single" w:sz="4" w:space="0" w:color="auto"/>
              <w:bottom w:val="double" w:sz="4" w:space="0" w:color="auto"/>
            </w:tcBorders>
            <w:shd w:val="clear" w:color="auto" w:fill="auto"/>
          </w:tcPr>
          <w:p w:rsidR="006E3325" w:rsidRPr="006E3325" w:rsidP="00714311" w14:paraId="12A105C7" w14:textId="2166D8C6">
            <w:pPr>
              <w:jc w:val="center"/>
              <w:rPr>
                <w:sz w:val="22"/>
                <w:szCs w:val="22"/>
              </w:rPr>
            </w:pPr>
            <w:r w:rsidRPr="006E3325">
              <w:rPr>
                <w:sz w:val="22"/>
                <w:szCs w:val="22"/>
              </w:rPr>
              <w:t>$1,</w:t>
            </w:r>
            <w:r w:rsidR="00B118FF">
              <w:rPr>
                <w:sz w:val="22"/>
                <w:szCs w:val="22"/>
              </w:rPr>
              <w:t>300</w:t>
            </w:r>
          </w:p>
        </w:tc>
      </w:tr>
      <w:tr w14:paraId="2C66D6B0" w14:textId="77777777" w:rsidTr="00714311">
        <w:tblPrEx>
          <w:tblW w:w="9535" w:type="dxa"/>
          <w:jc w:val="center"/>
          <w:tblLayout w:type="fixed"/>
          <w:tblLook w:val="04A0"/>
        </w:tblPrEx>
        <w:trPr>
          <w:jc w:val="center"/>
        </w:trPr>
        <w:tc>
          <w:tcPr>
            <w:tcW w:w="1435" w:type="dxa"/>
            <w:tcBorders>
              <w:top w:val="double" w:sz="4" w:space="0" w:color="auto"/>
              <w:bottom w:val="single" w:sz="4" w:space="0" w:color="auto"/>
            </w:tcBorders>
            <w:shd w:val="clear" w:color="auto" w:fill="auto"/>
          </w:tcPr>
          <w:p w:rsidR="006E3325" w:rsidRPr="006E3325" w:rsidP="00714311" w14:paraId="03F486B4" w14:textId="77777777">
            <w:pPr>
              <w:rPr>
                <w:sz w:val="22"/>
                <w:szCs w:val="22"/>
              </w:rPr>
            </w:pPr>
            <w:r w:rsidRPr="006E3325">
              <w:rPr>
                <w:sz w:val="22"/>
                <w:szCs w:val="22"/>
              </w:rPr>
              <w:t>Total</w:t>
            </w:r>
          </w:p>
        </w:tc>
        <w:tc>
          <w:tcPr>
            <w:tcW w:w="1440" w:type="dxa"/>
            <w:tcBorders>
              <w:top w:val="double" w:sz="4" w:space="0" w:color="auto"/>
              <w:bottom w:val="single" w:sz="4" w:space="0" w:color="auto"/>
            </w:tcBorders>
            <w:shd w:val="clear" w:color="auto" w:fill="auto"/>
          </w:tcPr>
          <w:p w:rsidR="006E3325" w:rsidRPr="006E3325" w:rsidP="00714311" w14:paraId="56E0474F" w14:textId="397902C0">
            <w:pPr>
              <w:jc w:val="center"/>
              <w:rPr>
                <w:sz w:val="22"/>
                <w:szCs w:val="22"/>
              </w:rPr>
            </w:pPr>
            <w:r w:rsidRPr="006E3325">
              <w:rPr>
                <w:sz w:val="22"/>
                <w:szCs w:val="22"/>
              </w:rPr>
              <w:t>4</w:t>
            </w:r>
            <w:r>
              <w:rPr>
                <w:sz w:val="22"/>
                <w:szCs w:val="22"/>
              </w:rPr>
              <w:t>28</w:t>
            </w:r>
          </w:p>
        </w:tc>
        <w:tc>
          <w:tcPr>
            <w:tcW w:w="1350" w:type="dxa"/>
            <w:tcBorders>
              <w:top w:val="double" w:sz="4" w:space="0" w:color="auto"/>
              <w:bottom w:val="single" w:sz="4" w:space="0" w:color="auto"/>
            </w:tcBorders>
            <w:shd w:val="clear" w:color="auto" w:fill="auto"/>
          </w:tcPr>
          <w:p w:rsidR="006E3325" w:rsidRPr="006E3325" w:rsidP="00714311" w14:paraId="751C8A12" w14:textId="77777777">
            <w:pPr>
              <w:jc w:val="center"/>
              <w:rPr>
                <w:sz w:val="22"/>
                <w:szCs w:val="22"/>
              </w:rPr>
            </w:pPr>
            <w:r w:rsidRPr="006E3325">
              <w:rPr>
                <w:sz w:val="22"/>
                <w:szCs w:val="22"/>
              </w:rPr>
              <w:t>1</w:t>
            </w:r>
          </w:p>
        </w:tc>
        <w:tc>
          <w:tcPr>
            <w:tcW w:w="1260" w:type="dxa"/>
            <w:tcBorders>
              <w:top w:val="double" w:sz="4" w:space="0" w:color="auto"/>
              <w:bottom w:val="single" w:sz="4" w:space="0" w:color="auto"/>
            </w:tcBorders>
            <w:shd w:val="clear" w:color="auto" w:fill="auto"/>
          </w:tcPr>
          <w:p w:rsidR="006E3325" w:rsidRPr="006E3325" w:rsidP="00714311" w14:paraId="62E9D5B7" w14:textId="573D9DA3">
            <w:pPr>
              <w:jc w:val="center"/>
              <w:rPr>
                <w:sz w:val="22"/>
                <w:szCs w:val="22"/>
              </w:rPr>
            </w:pPr>
            <w:r w:rsidRPr="006E3325">
              <w:rPr>
                <w:sz w:val="22"/>
                <w:szCs w:val="22"/>
              </w:rPr>
              <w:t>4</w:t>
            </w:r>
            <w:r w:rsidR="00B118FF">
              <w:rPr>
                <w:sz w:val="22"/>
                <w:szCs w:val="22"/>
              </w:rPr>
              <w:t>28</w:t>
            </w:r>
          </w:p>
        </w:tc>
        <w:tc>
          <w:tcPr>
            <w:tcW w:w="1170" w:type="dxa"/>
            <w:tcBorders>
              <w:top w:val="double" w:sz="4" w:space="0" w:color="auto"/>
              <w:bottom w:val="single" w:sz="4" w:space="0" w:color="auto"/>
            </w:tcBorders>
            <w:shd w:val="clear" w:color="auto" w:fill="A6A6A6" w:themeFill="background1" w:themeFillShade="A6"/>
          </w:tcPr>
          <w:p w:rsidR="006E3325" w:rsidRPr="006E3325" w:rsidP="00714311" w14:paraId="3FB8AD04" w14:textId="77777777">
            <w:pPr>
              <w:jc w:val="center"/>
              <w:rPr>
                <w:sz w:val="22"/>
                <w:szCs w:val="22"/>
              </w:rPr>
            </w:pPr>
          </w:p>
        </w:tc>
        <w:tc>
          <w:tcPr>
            <w:tcW w:w="810" w:type="dxa"/>
            <w:tcBorders>
              <w:top w:val="double" w:sz="4" w:space="0" w:color="auto"/>
              <w:bottom w:val="single" w:sz="4" w:space="0" w:color="auto"/>
            </w:tcBorders>
          </w:tcPr>
          <w:p w:rsidR="006E3325" w:rsidRPr="006E3325" w:rsidP="00714311" w14:paraId="2AD23CA2" w14:textId="1E89E4FA">
            <w:pPr>
              <w:jc w:val="center"/>
              <w:rPr>
                <w:sz w:val="22"/>
                <w:szCs w:val="22"/>
              </w:rPr>
            </w:pPr>
            <w:r w:rsidRPr="006E3325">
              <w:rPr>
                <w:sz w:val="22"/>
                <w:szCs w:val="22"/>
              </w:rPr>
              <w:t>21</w:t>
            </w:r>
            <w:r w:rsidR="00B118FF">
              <w:rPr>
                <w:sz w:val="22"/>
                <w:szCs w:val="22"/>
              </w:rPr>
              <w:t>4</w:t>
            </w:r>
          </w:p>
        </w:tc>
        <w:tc>
          <w:tcPr>
            <w:tcW w:w="810" w:type="dxa"/>
            <w:tcBorders>
              <w:top w:val="double" w:sz="4" w:space="0" w:color="auto"/>
              <w:bottom w:val="single" w:sz="4" w:space="0" w:color="auto"/>
            </w:tcBorders>
            <w:shd w:val="clear" w:color="auto" w:fill="A6A6A6" w:themeFill="background1" w:themeFillShade="A6"/>
          </w:tcPr>
          <w:p w:rsidR="006E3325" w:rsidRPr="006E3325" w:rsidP="00714311" w14:paraId="5E6CE5F2" w14:textId="77777777">
            <w:pPr>
              <w:jc w:val="center"/>
              <w:rPr>
                <w:sz w:val="22"/>
                <w:szCs w:val="22"/>
              </w:rPr>
            </w:pPr>
          </w:p>
        </w:tc>
        <w:tc>
          <w:tcPr>
            <w:tcW w:w="1260" w:type="dxa"/>
            <w:tcBorders>
              <w:top w:val="double" w:sz="4" w:space="0" w:color="auto"/>
              <w:bottom w:val="single" w:sz="4" w:space="0" w:color="auto"/>
            </w:tcBorders>
            <w:shd w:val="clear" w:color="auto" w:fill="auto"/>
          </w:tcPr>
          <w:p w:rsidR="006E3325" w:rsidRPr="006E3325" w:rsidP="00714311" w14:paraId="12BE5F9D" w14:textId="1EA7BBC0">
            <w:pPr>
              <w:jc w:val="center"/>
              <w:rPr>
                <w:sz w:val="22"/>
                <w:szCs w:val="22"/>
              </w:rPr>
            </w:pPr>
            <w:r w:rsidRPr="006E3325">
              <w:rPr>
                <w:sz w:val="22"/>
                <w:szCs w:val="22"/>
              </w:rPr>
              <w:t>$1</w:t>
            </w:r>
            <w:r w:rsidR="00B118FF">
              <w:rPr>
                <w:sz w:val="22"/>
                <w:szCs w:val="22"/>
              </w:rPr>
              <w:t>1,128</w:t>
            </w:r>
          </w:p>
        </w:tc>
      </w:tr>
    </w:tbl>
    <w:p w:rsidR="006E3325" w:rsidRPr="00FE552D" w:rsidP="00FE552D" w14:paraId="275604B4" w14:textId="77777777">
      <w:pPr>
        <w:autoSpaceDE w:val="0"/>
        <w:autoSpaceDN w:val="0"/>
        <w:adjustRightInd w:val="0"/>
        <w:rPr>
          <w:rFonts w:eastAsia="Calibri"/>
          <w:color w:val="000000"/>
        </w:rPr>
      </w:pPr>
    </w:p>
    <w:p w:rsidR="00FE552D" w:rsidRPr="00FE552D" w:rsidP="00FE552D" w14:paraId="347F1783" w14:textId="77777777">
      <w:pPr>
        <w:autoSpaceDE w:val="0"/>
        <w:autoSpaceDN w:val="0"/>
        <w:adjustRightInd w:val="0"/>
        <w:rPr>
          <w:rFonts w:eastAsia="Calibri"/>
          <w:color w:val="000000"/>
          <w:u w:val="single"/>
        </w:rPr>
      </w:pPr>
    </w:p>
    <w:p w:rsidR="00FE552D" w:rsidRPr="00FE552D" w:rsidP="00FE552D" w14:paraId="0AB5CBF1" w14:textId="77777777">
      <w:pPr>
        <w:autoSpaceDE w:val="0"/>
        <w:autoSpaceDN w:val="0"/>
        <w:adjustRightInd w:val="0"/>
        <w:rPr>
          <w:rFonts w:eastAsia="Calibri"/>
          <w:color w:val="000000"/>
          <w:u w:val="single"/>
        </w:rPr>
      </w:pPr>
      <w:r w:rsidRPr="00FE552D">
        <w:rPr>
          <w:rFonts w:eastAsia="Calibri"/>
          <w:color w:val="000000"/>
          <w:u w:val="single"/>
        </w:rPr>
        <w:t xml:space="preserve">14. Estimate of annualized cost to the Government </w:t>
      </w:r>
    </w:p>
    <w:p w:rsidR="0049378A" w:rsidP="0049378A" w14:paraId="5E95A32E" w14:textId="1EDF51C2">
      <w:pPr>
        <w:pStyle w:val="Default"/>
      </w:pPr>
      <w:r>
        <w:t>The three-year staffing costs to the Government are estimated at $226,000 to manage, analyze and clean the data and answer client help desk questions which include half-time staffing for a GS-14 mid-band staff person and two weeks-time for GS-13 mid-band staff person</w:t>
      </w:r>
      <w:r>
        <w:rPr>
          <w:rStyle w:val="FootnoteReference"/>
        </w:rPr>
        <w:footnoteReference w:id="3"/>
      </w:r>
      <w:r>
        <w:t xml:space="preserve">. The contract costs to the Government for the direct annual maintenance and data collection costs for the ACR submitted through maintain the CDFI Fund’s Awards Monitoring Information System (AMIS) are estimated at $360,000.00 for three years.  This cost is paid through a contract to maintain AMIS. </w:t>
      </w:r>
      <w:r>
        <w:t xml:space="preserve">The combined annualized cost is thus approximately $196,000. </w:t>
      </w:r>
    </w:p>
    <w:p w:rsidR="00FE552D" w:rsidRPr="00FE552D" w:rsidP="00FE552D" w14:paraId="5179368C" w14:textId="77777777">
      <w:pPr>
        <w:autoSpaceDE w:val="0"/>
        <w:autoSpaceDN w:val="0"/>
        <w:adjustRightInd w:val="0"/>
        <w:rPr>
          <w:rFonts w:eastAsia="Calibri"/>
          <w:color w:val="000000"/>
        </w:rPr>
      </w:pPr>
    </w:p>
    <w:p w:rsidR="00FE552D" w:rsidRPr="00FE552D" w:rsidP="00FE552D" w14:paraId="322E7F70" w14:textId="77777777">
      <w:pPr>
        <w:autoSpaceDE w:val="0"/>
        <w:autoSpaceDN w:val="0"/>
        <w:adjustRightInd w:val="0"/>
        <w:rPr>
          <w:rFonts w:eastAsia="Calibri"/>
          <w:color w:val="000000"/>
          <w:u w:val="single"/>
        </w:rPr>
      </w:pPr>
      <w:r w:rsidRPr="00FE552D">
        <w:rPr>
          <w:rFonts w:eastAsia="Calibri"/>
          <w:color w:val="000000"/>
          <w:u w:val="single"/>
        </w:rPr>
        <w:t xml:space="preserve">15. Any program changes or adjustments </w:t>
      </w:r>
    </w:p>
    <w:p w:rsidR="00FE552D" w:rsidRPr="00FE552D" w:rsidP="00FE552D" w14:paraId="3CDBB8B7" w14:textId="0A181C90">
      <w:pPr>
        <w:autoSpaceDE w:val="0"/>
        <w:autoSpaceDN w:val="0"/>
        <w:adjustRightInd w:val="0"/>
        <w:rPr>
          <w:rFonts w:eastAsia="Calibri"/>
          <w:color w:val="000000"/>
        </w:rPr>
      </w:pPr>
      <w:r>
        <w:rPr>
          <w:rFonts w:eastAsia="Calibri"/>
          <w:color w:val="000000"/>
        </w:rPr>
        <w:t xml:space="preserve">While there are no substantive changes to the information requirements, the estimated time it takes to complete the Performance Progress Report has been increased from 30 to 45 minutes per response, based on a revised assessment. There is also an </w:t>
      </w:r>
      <w:r w:rsidR="005A2C42">
        <w:rPr>
          <w:rFonts w:eastAsia="Calibri"/>
          <w:color w:val="000000"/>
        </w:rPr>
        <w:t xml:space="preserve">increase in </w:t>
      </w:r>
      <w:r w:rsidR="001A39C7">
        <w:rPr>
          <w:rFonts w:eastAsia="Calibri"/>
          <w:color w:val="000000"/>
        </w:rPr>
        <w:t xml:space="preserve">total burden due to a revised estimate of the </w:t>
      </w:r>
      <w:r w:rsidR="001A39C7">
        <w:rPr>
          <w:rFonts w:eastAsia="Calibri"/>
          <w:color w:val="000000"/>
        </w:rPr>
        <w:t xml:space="preserve">number of PPRs </w:t>
      </w:r>
      <w:r w:rsidR="005A2C42">
        <w:rPr>
          <w:rFonts w:eastAsia="Calibri"/>
          <w:color w:val="000000"/>
        </w:rPr>
        <w:t>being filed based on more recent data, including due to awards made under the Rapid Response Program.</w:t>
      </w:r>
    </w:p>
    <w:p w:rsidR="00FE552D" w:rsidRPr="00FE552D" w:rsidP="00FE552D" w14:paraId="544A13D4" w14:textId="77777777">
      <w:pPr>
        <w:autoSpaceDE w:val="0"/>
        <w:autoSpaceDN w:val="0"/>
        <w:adjustRightInd w:val="0"/>
        <w:rPr>
          <w:rFonts w:eastAsia="Calibri"/>
          <w:color w:val="000000"/>
        </w:rPr>
      </w:pPr>
    </w:p>
    <w:p w:rsidR="00FE552D" w:rsidRPr="00FE552D" w:rsidP="00FE552D" w14:paraId="38E79391" w14:textId="77777777">
      <w:pPr>
        <w:autoSpaceDE w:val="0"/>
        <w:autoSpaceDN w:val="0"/>
        <w:adjustRightInd w:val="0"/>
        <w:rPr>
          <w:rFonts w:eastAsia="Calibri"/>
          <w:color w:val="000000"/>
        </w:rPr>
      </w:pPr>
      <w:r w:rsidRPr="00FE552D">
        <w:rPr>
          <w:rFonts w:eastAsia="Calibri"/>
          <w:color w:val="000000"/>
          <w:u w:val="single"/>
        </w:rPr>
        <w:t xml:space="preserve">16. Plans for information tabulation and publication </w:t>
      </w:r>
    </w:p>
    <w:p w:rsidR="00FE552D" w:rsidRPr="00FE552D" w:rsidP="00FE552D" w14:paraId="2714FC91" w14:textId="77777777">
      <w:pPr>
        <w:autoSpaceDE w:val="0"/>
        <w:autoSpaceDN w:val="0"/>
        <w:adjustRightInd w:val="0"/>
        <w:rPr>
          <w:rFonts w:eastAsia="Calibri"/>
          <w:color w:val="000000"/>
        </w:rPr>
      </w:pPr>
      <w:r w:rsidRPr="00FE552D">
        <w:rPr>
          <w:rFonts w:eastAsia="Calibri"/>
          <w:color w:val="000000"/>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limitations of the qualitative results discussed above. </w:t>
      </w:r>
    </w:p>
    <w:p w:rsidR="00FE552D" w:rsidRPr="00FE552D" w:rsidP="00FE552D" w14:paraId="6B2A06D0" w14:textId="77777777">
      <w:pPr>
        <w:autoSpaceDE w:val="0"/>
        <w:autoSpaceDN w:val="0"/>
        <w:adjustRightInd w:val="0"/>
        <w:rPr>
          <w:rFonts w:eastAsia="Calibri"/>
          <w:color w:val="000000"/>
        </w:rPr>
      </w:pPr>
    </w:p>
    <w:p w:rsidR="00FE552D" w:rsidRPr="00FE552D" w:rsidP="00FE552D" w14:paraId="465445FC" w14:textId="77777777">
      <w:pPr>
        <w:autoSpaceDE w:val="0"/>
        <w:autoSpaceDN w:val="0"/>
        <w:adjustRightInd w:val="0"/>
        <w:rPr>
          <w:rFonts w:eastAsia="Calibri"/>
          <w:color w:val="000000"/>
          <w:u w:val="single"/>
        </w:rPr>
      </w:pPr>
      <w:r w:rsidRPr="00FE552D">
        <w:rPr>
          <w:rFonts w:eastAsia="Calibri"/>
          <w:color w:val="000000"/>
          <w:u w:val="single"/>
        </w:rPr>
        <w:t xml:space="preserve">17. Reasons for not displaying expiration date of OMB approval </w:t>
      </w:r>
    </w:p>
    <w:p w:rsidR="00FE552D" w:rsidRPr="00FE552D" w:rsidP="00FE552D" w14:paraId="2A0DA818" w14:textId="4F948C5E">
      <w:pPr>
        <w:autoSpaceDE w:val="0"/>
        <w:autoSpaceDN w:val="0"/>
        <w:adjustRightInd w:val="0"/>
        <w:rPr>
          <w:rFonts w:eastAsia="Calibri"/>
          <w:color w:val="000000"/>
        </w:rPr>
      </w:pPr>
      <w:r>
        <w:rPr>
          <w:rFonts w:eastAsia="Calibri"/>
          <w:color w:val="000000"/>
        </w:rPr>
        <w:t>The expiration date will be displayed.</w:t>
      </w:r>
    </w:p>
    <w:p w:rsidR="00FE552D" w:rsidRPr="00FE552D" w:rsidP="00FE552D" w14:paraId="68F6687F" w14:textId="77777777">
      <w:pPr>
        <w:autoSpaceDE w:val="0"/>
        <w:autoSpaceDN w:val="0"/>
        <w:adjustRightInd w:val="0"/>
        <w:rPr>
          <w:rFonts w:eastAsia="Calibri"/>
          <w:color w:val="000000"/>
        </w:rPr>
      </w:pPr>
    </w:p>
    <w:p w:rsidR="00FE552D" w:rsidRPr="00FE552D" w:rsidP="00FE552D" w14:paraId="5013D0CA" w14:textId="77777777">
      <w:pPr>
        <w:autoSpaceDE w:val="0"/>
        <w:autoSpaceDN w:val="0"/>
        <w:adjustRightInd w:val="0"/>
        <w:rPr>
          <w:rFonts w:eastAsia="Calibri"/>
          <w:color w:val="000000"/>
          <w:u w:val="single"/>
        </w:rPr>
      </w:pPr>
      <w:r w:rsidRPr="00FE552D">
        <w:rPr>
          <w:rFonts w:eastAsia="Calibri"/>
          <w:color w:val="000000"/>
          <w:u w:val="single"/>
        </w:rPr>
        <w:t xml:space="preserve">18. Explanation of exceptions to certification statement </w:t>
      </w:r>
    </w:p>
    <w:p w:rsidR="00FE552D" w:rsidRPr="00FE552D" w:rsidP="00FE552D" w14:paraId="233DAA81" w14:textId="074D8E36">
      <w:pPr>
        <w:autoSpaceDE w:val="0"/>
        <w:autoSpaceDN w:val="0"/>
        <w:adjustRightInd w:val="0"/>
        <w:rPr>
          <w:rFonts w:eastAsia="Calibri"/>
          <w:color w:val="000000"/>
        </w:rPr>
      </w:pPr>
      <w:r>
        <w:rPr>
          <w:rFonts w:eastAsia="Calibri"/>
          <w:color w:val="000000"/>
        </w:rPr>
        <w:t>There are no exceptions to the certification statement.</w:t>
      </w:r>
    </w:p>
    <w:p w:rsidR="00FE552D" w:rsidRPr="00FE552D" w:rsidP="00FE552D" w14:paraId="0FC2D788" w14:textId="77777777">
      <w:pPr>
        <w:autoSpaceDE w:val="0"/>
        <w:autoSpaceDN w:val="0"/>
        <w:adjustRightInd w:val="0"/>
        <w:rPr>
          <w:rFonts w:eastAsia="Calibri"/>
          <w:b/>
          <w:bCs/>
          <w:color w:val="000000"/>
        </w:rPr>
      </w:pPr>
    </w:p>
    <w:p w:rsidR="00FE552D" w:rsidRPr="00FE552D" w:rsidP="00FE552D" w14:paraId="40D32684" w14:textId="77777777">
      <w:pPr>
        <w:autoSpaceDE w:val="0"/>
        <w:autoSpaceDN w:val="0"/>
        <w:adjustRightInd w:val="0"/>
        <w:rPr>
          <w:rFonts w:eastAsia="Calibri"/>
          <w:b/>
          <w:bCs/>
          <w:color w:val="000000"/>
        </w:rPr>
      </w:pPr>
      <w:r w:rsidRPr="00FE552D">
        <w:rPr>
          <w:rFonts w:eastAsia="Calibri"/>
          <w:b/>
          <w:bCs/>
          <w:color w:val="000000"/>
        </w:rPr>
        <w:t xml:space="preserve">B. Collections of Information Employing Statistical Methods </w:t>
      </w:r>
    </w:p>
    <w:p w:rsidR="00FE552D" w:rsidRPr="00FE552D" w:rsidP="00FE552D" w14:paraId="7F7972F0" w14:textId="2A149E62">
      <w:pPr>
        <w:autoSpaceDE w:val="0"/>
        <w:autoSpaceDN w:val="0"/>
        <w:adjustRightInd w:val="0"/>
        <w:rPr>
          <w:rFonts w:eastAsia="Calibri"/>
          <w:bCs/>
          <w:color w:val="000000"/>
        </w:rPr>
      </w:pPr>
      <w:r w:rsidRPr="00FE552D">
        <w:rPr>
          <w:rFonts w:eastAsia="Calibri"/>
          <w:bCs/>
          <w:color w:val="000000"/>
        </w:rPr>
        <w:t>Not applicable</w:t>
      </w:r>
      <w:r w:rsidR="0049378A">
        <w:rPr>
          <w:rFonts w:eastAsia="Calibri"/>
          <w:bCs/>
          <w:color w:val="000000"/>
        </w:rPr>
        <w:t xml:space="preserve"> as no statistical methods are being used.</w:t>
      </w:r>
    </w:p>
    <w:p w:rsidR="00FE552D" w:rsidRPr="00FE552D" w:rsidP="00FE552D" w14:paraId="713B4AFC" w14:textId="77777777">
      <w:pPr>
        <w:autoSpaceDE w:val="0"/>
        <w:autoSpaceDN w:val="0"/>
        <w:adjustRightInd w:val="0"/>
        <w:rPr>
          <w:rFonts w:eastAsia="Calibri"/>
          <w:color w:val="000000"/>
        </w:rPr>
      </w:pPr>
    </w:p>
    <w:p w:rsidR="00FE552D" w:rsidP="00FE552D" w14:paraId="0AB891AC" w14:textId="77777777">
      <w:pPr>
        <w:autoSpaceDE w:val="0"/>
        <w:autoSpaceDN w:val="0"/>
        <w:adjustRightInd w:val="0"/>
        <w:rPr>
          <w:rFonts w:eastAsia="Calibri"/>
          <w:b/>
          <w:color w:val="000000"/>
        </w:rPr>
      </w:pPr>
    </w:p>
    <w:p w:rsidR="005A5614" w:rsidP="00FE552D" w14:paraId="65B92B27" w14:textId="77777777">
      <w:pPr>
        <w:autoSpaceDE w:val="0"/>
        <w:autoSpaceDN w:val="0"/>
        <w:adjustRightInd w:val="0"/>
        <w:rPr>
          <w:rFonts w:eastAsia="Calibri"/>
          <w:b/>
          <w:color w:val="000000"/>
        </w:rPr>
      </w:pPr>
    </w:p>
    <w:p w:rsidR="005A5614" w:rsidP="00FE552D" w14:paraId="0BB975CD" w14:textId="77777777">
      <w:pPr>
        <w:autoSpaceDE w:val="0"/>
        <w:autoSpaceDN w:val="0"/>
        <w:adjustRightInd w:val="0"/>
        <w:rPr>
          <w:rFonts w:eastAsia="Calibri"/>
          <w:b/>
          <w:color w:val="000000"/>
        </w:rPr>
      </w:pPr>
    </w:p>
    <w:p w:rsidR="005A5614" w:rsidP="00FE552D" w14:paraId="64E8EBE6" w14:textId="77777777">
      <w:pPr>
        <w:autoSpaceDE w:val="0"/>
        <w:autoSpaceDN w:val="0"/>
        <w:adjustRightInd w:val="0"/>
        <w:rPr>
          <w:rFonts w:eastAsia="Calibri"/>
          <w:b/>
          <w:color w:val="000000"/>
        </w:rPr>
      </w:pPr>
    </w:p>
    <w:p w:rsidR="005A5614" w:rsidP="00FE552D" w14:paraId="56AEB9C2" w14:textId="77777777">
      <w:pPr>
        <w:autoSpaceDE w:val="0"/>
        <w:autoSpaceDN w:val="0"/>
        <w:adjustRightInd w:val="0"/>
        <w:rPr>
          <w:rFonts w:eastAsia="Calibri"/>
          <w:b/>
          <w:color w:val="000000"/>
        </w:rPr>
      </w:pPr>
    </w:p>
    <w:p w:rsidR="005A5614" w:rsidP="00FE552D" w14:paraId="08193434" w14:textId="77777777">
      <w:pPr>
        <w:autoSpaceDE w:val="0"/>
        <w:autoSpaceDN w:val="0"/>
        <w:adjustRightInd w:val="0"/>
        <w:rPr>
          <w:rFonts w:eastAsia="Calibri"/>
          <w:b/>
          <w:color w:val="000000"/>
        </w:rPr>
      </w:pPr>
    </w:p>
    <w:p w:rsidR="005A5614" w:rsidP="00FE552D" w14:paraId="49F45182" w14:textId="77777777">
      <w:pPr>
        <w:autoSpaceDE w:val="0"/>
        <w:autoSpaceDN w:val="0"/>
        <w:adjustRightInd w:val="0"/>
        <w:rPr>
          <w:rFonts w:eastAsia="Calibri"/>
          <w:b/>
          <w:color w:val="000000"/>
        </w:rPr>
      </w:pPr>
    </w:p>
    <w:p w:rsidR="005A5614" w:rsidP="00FE552D" w14:paraId="3CE7BEEB" w14:textId="77777777">
      <w:pPr>
        <w:autoSpaceDE w:val="0"/>
        <w:autoSpaceDN w:val="0"/>
        <w:adjustRightInd w:val="0"/>
        <w:rPr>
          <w:rFonts w:eastAsia="Calibri"/>
          <w:b/>
          <w:color w:val="000000"/>
        </w:rPr>
      </w:pPr>
    </w:p>
    <w:p w:rsidR="005A5614" w:rsidP="00FE552D" w14:paraId="21941D48" w14:textId="77777777">
      <w:pPr>
        <w:autoSpaceDE w:val="0"/>
        <w:autoSpaceDN w:val="0"/>
        <w:adjustRightInd w:val="0"/>
        <w:rPr>
          <w:rFonts w:eastAsia="Calibri"/>
          <w:b/>
          <w:color w:val="000000"/>
        </w:rPr>
      </w:pPr>
    </w:p>
    <w:p w:rsidR="005A5614" w:rsidP="00FE552D" w14:paraId="4A3419D0" w14:textId="77777777">
      <w:pPr>
        <w:autoSpaceDE w:val="0"/>
        <w:autoSpaceDN w:val="0"/>
        <w:adjustRightInd w:val="0"/>
        <w:rPr>
          <w:rFonts w:eastAsia="Calibri"/>
          <w:b/>
          <w:color w:val="000000"/>
        </w:rPr>
      </w:pPr>
    </w:p>
    <w:p w:rsidR="005A5614" w:rsidP="00FE552D" w14:paraId="4BCF256A" w14:textId="77777777">
      <w:pPr>
        <w:autoSpaceDE w:val="0"/>
        <w:autoSpaceDN w:val="0"/>
        <w:adjustRightInd w:val="0"/>
        <w:rPr>
          <w:rFonts w:eastAsia="Calibri"/>
          <w:b/>
          <w:color w:val="000000"/>
        </w:rPr>
      </w:pPr>
    </w:p>
    <w:p w:rsidR="005A5614" w:rsidP="00FE552D" w14:paraId="64DB4014" w14:textId="77777777">
      <w:pPr>
        <w:autoSpaceDE w:val="0"/>
        <w:autoSpaceDN w:val="0"/>
        <w:adjustRightInd w:val="0"/>
        <w:rPr>
          <w:rFonts w:eastAsia="Calibri"/>
          <w:b/>
          <w:color w:val="000000"/>
        </w:rPr>
      </w:pPr>
    </w:p>
    <w:p w:rsidR="005A5614" w:rsidP="00FE552D" w14:paraId="4A3620AC" w14:textId="77777777">
      <w:pPr>
        <w:autoSpaceDE w:val="0"/>
        <w:autoSpaceDN w:val="0"/>
        <w:adjustRightInd w:val="0"/>
        <w:rPr>
          <w:rFonts w:eastAsia="Calibri"/>
          <w:b/>
          <w:color w:val="000000"/>
        </w:rPr>
      </w:pPr>
    </w:p>
    <w:p w:rsidR="005A5614" w:rsidP="00FE552D" w14:paraId="1990456C" w14:textId="77777777">
      <w:pPr>
        <w:autoSpaceDE w:val="0"/>
        <w:autoSpaceDN w:val="0"/>
        <w:adjustRightInd w:val="0"/>
        <w:rPr>
          <w:rFonts w:eastAsia="Calibri"/>
          <w:b/>
          <w:color w:val="000000"/>
        </w:rPr>
      </w:pPr>
    </w:p>
    <w:p w:rsidR="005A5614" w:rsidP="00FE552D" w14:paraId="4EC3F908" w14:textId="77777777">
      <w:pPr>
        <w:autoSpaceDE w:val="0"/>
        <w:autoSpaceDN w:val="0"/>
        <w:adjustRightInd w:val="0"/>
        <w:rPr>
          <w:rFonts w:eastAsia="Calibri"/>
          <w:b/>
          <w:color w:val="000000"/>
        </w:rPr>
      </w:pPr>
    </w:p>
    <w:p w:rsidR="005A5614" w:rsidP="00FE552D" w14:paraId="4F35759B" w14:textId="77777777">
      <w:pPr>
        <w:autoSpaceDE w:val="0"/>
        <w:autoSpaceDN w:val="0"/>
        <w:adjustRightInd w:val="0"/>
        <w:rPr>
          <w:rFonts w:eastAsia="Calibri"/>
          <w:b/>
          <w:color w:val="000000"/>
        </w:rPr>
      </w:pPr>
    </w:p>
    <w:p w:rsidR="00FE552D" w:rsidRPr="00FE552D" w:rsidP="00FE552D" w14:paraId="50EDA302" w14:textId="77777777">
      <w:pPr>
        <w:autoSpaceDE w:val="0"/>
        <w:autoSpaceDN w:val="0"/>
        <w:adjustRightInd w:val="0"/>
        <w:rPr>
          <w:rFonts w:eastAsia="Calibri"/>
          <w:color w:val="000000"/>
        </w:rPr>
      </w:pPr>
    </w:p>
    <w:sectPr w:rsidSect="008477E4">
      <w:footerReference w:type="default" r:id="rId11"/>
      <w:pgSz w:w="12240" w:h="15840" w:code="1"/>
      <w:pgMar w:top="1152" w:right="1440" w:bottom="1152"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3DB" w14:paraId="300DBF17" w14:textId="77777777">
    <w:pPr>
      <w:pStyle w:val="Footer"/>
    </w:pPr>
  </w:p>
  <w:p w:rsidR="000553DB" w14:paraId="1A689B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74D6" w14:paraId="47936C8D" w14:textId="77777777">
      <w:r>
        <w:separator/>
      </w:r>
    </w:p>
  </w:footnote>
  <w:footnote w:type="continuationSeparator" w:id="1">
    <w:p w:rsidR="00D674D6" w14:paraId="1FCECADB" w14:textId="77777777">
      <w:r>
        <w:continuationSeparator/>
      </w:r>
    </w:p>
  </w:footnote>
  <w:footnote w:id="2">
    <w:p w:rsidR="006E3325" w:rsidP="006E3325" w14:paraId="0046F0D0" w14:textId="5C90A92E">
      <w:pPr>
        <w:pStyle w:val="FootnoteText"/>
      </w:pPr>
      <w:r>
        <w:rPr>
          <w:rStyle w:val="FootnoteReference"/>
        </w:rPr>
        <w:footnoteRef/>
      </w:r>
      <w:r>
        <w:t xml:space="preserve"> </w:t>
      </w:r>
      <w:r w:rsidRPr="00C077F1">
        <w:t>Bureau of Labor Statis</w:t>
      </w:r>
      <w:r>
        <w:t>tics, Financial Analyst Mean Hourly Wage, May 20</w:t>
      </w:r>
      <w:r w:rsidR="00B118FF">
        <w:t>22</w:t>
      </w:r>
      <w:r w:rsidRPr="00C077F1">
        <w:t xml:space="preserve">, </w:t>
      </w:r>
      <w:hyperlink r:id="rId1" w:history="1">
        <w:r w:rsidRPr="00325683">
          <w:rPr>
            <w:rStyle w:val="Hyperlink"/>
          </w:rPr>
          <w:t>http://www.bls.gov/oes/current/oes1320</w:t>
        </w:r>
        <w:r w:rsidRPr="00325683">
          <w:rPr>
            <w:rStyle w:val="Hyperlink"/>
          </w:rPr>
          <w:t>5</w:t>
        </w:r>
        <w:r w:rsidRPr="00325683">
          <w:rPr>
            <w:rStyle w:val="Hyperlink"/>
          </w:rPr>
          <w:t>1.htm</w:t>
        </w:r>
      </w:hyperlink>
      <w:r>
        <w:t xml:space="preserve">. </w:t>
      </w:r>
      <w:r w:rsidRPr="00C077F1">
        <w:t>Mean H</w:t>
      </w:r>
      <w:r>
        <w:t>ourly Wage was reported as $</w:t>
      </w:r>
      <w:r w:rsidR="00B118FF">
        <w:t>52</w:t>
      </w:r>
      <w:r>
        <w:t>.</w:t>
      </w:r>
      <w:r w:rsidR="00B118FF">
        <w:t>3</w:t>
      </w:r>
      <w:r>
        <w:t>0</w:t>
      </w:r>
      <w:r w:rsidRPr="00C077F1">
        <w:t>. For purposes of this estimate, this figure has been rounded to $</w:t>
      </w:r>
      <w:r w:rsidR="00B118FF">
        <w:t>52.</w:t>
      </w:r>
    </w:p>
  </w:footnote>
  <w:footnote w:id="3">
    <w:p w:rsidR="0049378A" w:rsidP="0049378A" w14:paraId="2DA1FE18" w14:textId="77777777">
      <w:pPr>
        <w:pStyle w:val="FootnoteText"/>
      </w:pPr>
      <w:r>
        <w:rPr>
          <w:rStyle w:val="FootnoteReference"/>
        </w:rPr>
        <w:footnoteRef/>
      </w:r>
      <w:r>
        <w:t xml:space="preserve"> https://www.fedweek.com/pay-tables/2020-gs-pay-table-washington-baltimore-arlington-dc-md-va-wv-pa/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966AFA48"/>
    <w:lvl w:ilvl="0">
      <w:start w:val="0"/>
      <w:numFmt w:val="bullet"/>
      <w:lvlText w:val="*"/>
      <w:lvlJc w:val="left"/>
    </w:lvl>
  </w:abstractNum>
  <w:abstractNum w:abstractNumId="1">
    <w:nsid w:val="00BB2CC9"/>
    <w:multiLevelType w:val="hybridMultilevel"/>
    <w:tmpl w:val="6CB2758E"/>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CC5B44"/>
    <w:multiLevelType w:val="hybridMultilevel"/>
    <w:tmpl w:val="23D4F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6259C6"/>
    <w:multiLevelType w:val="multilevel"/>
    <w:tmpl w:val="C53E5E76"/>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8B0E57"/>
    <w:multiLevelType w:val="hybridMultilevel"/>
    <w:tmpl w:val="98B61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DE0DBE"/>
    <w:multiLevelType w:val="hybridMultilevel"/>
    <w:tmpl w:val="36826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988698C"/>
    <w:multiLevelType w:val="hybridMultilevel"/>
    <w:tmpl w:val="06FC40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8B048C"/>
    <w:multiLevelType w:val="hybridMultilevel"/>
    <w:tmpl w:val="397010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D01146C"/>
    <w:multiLevelType w:val="hybridMultilevel"/>
    <w:tmpl w:val="2F2C12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1592D97"/>
    <w:multiLevelType w:val="hybridMultilevel"/>
    <w:tmpl w:val="5274B62A"/>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FF6707"/>
    <w:multiLevelType w:val="hybridMultilevel"/>
    <w:tmpl w:val="8B9A1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DF66D5"/>
    <w:multiLevelType w:val="multilevel"/>
    <w:tmpl w:val="91EEF9D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7F12D1"/>
    <w:multiLevelType w:val="hybridMultilevel"/>
    <w:tmpl w:val="0D3ACCBA"/>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1574557"/>
    <w:multiLevelType w:val="hybridMultilevel"/>
    <w:tmpl w:val="2A100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7A7D63"/>
    <w:multiLevelType w:val="hybridMultilevel"/>
    <w:tmpl w:val="2828FA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2DF7077"/>
    <w:multiLevelType w:val="hybridMultilevel"/>
    <w:tmpl w:val="4E0EDDDA"/>
    <w:lvl w:ilvl="0">
      <w:start w:val="1"/>
      <w:numFmt w:val="bullet"/>
      <w:pStyle w:val="List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80"/>
        </w:tabs>
        <w:ind w:left="-180" w:hanging="360"/>
      </w:pPr>
      <w:rPr>
        <w:rFonts w:ascii="Symbol" w:hAnsi="Symbol" w:hint="default"/>
      </w:rPr>
    </w:lvl>
    <w:lvl w:ilvl="4" w:tentative="1">
      <w:start w:val="1"/>
      <w:numFmt w:val="bullet"/>
      <w:lvlText w:val="o"/>
      <w:lvlJc w:val="left"/>
      <w:pPr>
        <w:tabs>
          <w:tab w:val="num" w:pos="540"/>
        </w:tabs>
        <w:ind w:left="540" w:hanging="360"/>
      </w:pPr>
      <w:rPr>
        <w:rFonts w:ascii="Courier New" w:hAnsi="Courier New" w:cs="Courier New" w:hint="default"/>
      </w:rPr>
    </w:lvl>
    <w:lvl w:ilvl="5" w:tentative="1">
      <w:start w:val="1"/>
      <w:numFmt w:val="bullet"/>
      <w:lvlText w:val=""/>
      <w:lvlJc w:val="left"/>
      <w:pPr>
        <w:tabs>
          <w:tab w:val="num" w:pos="1260"/>
        </w:tabs>
        <w:ind w:left="1260" w:hanging="360"/>
      </w:pPr>
      <w:rPr>
        <w:rFonts w:ascii="Wingdings" w:hAnsi="Wingdings" w:hint="default"/>
      </w:rPr>
    </w:lvl>
    <w:lvl w:ilvl="6" w:tentative="1">
      <w:start w:val="1"/>
      <w:numFmt w:val="bullet"/>
      <w:lvlText w:val=""/>
      <w:lvlJc w:val="left"/>
      <w:pPr>
        <w:tabs>
          <w:tab w:val="num" w:pos="1980"/>
        </w:tabs>
        <w:ind w:left="1980" w:hanging="360"/>
      </w:pPr>
      <w:rPr>
        <w:rFonts w:ascii="Symbol" w:hAnsi="Symbol" w:hint="default"/>
      </w:rPr>
    </w:lvl>
    <w:lvl w:ilvl="7" w:tentative="1">
      <w:start w:val="1"/>
      <w:numFmt w:val="bullet"/>
      <w:lvlText w:val="o"/>
      <w:lvlJc w:val="left"/>
      <w:pPr>
        <w:tabs>
          <w:tab w:val="num" w:pos="2700"/>
        </w:tabs>
        <w:ind w:left="2700" w:hanging="360"/>
      </w:pPr>
      <w:rPr>
        <w:rFonts w:ascii="Courier New" w:hAnsi="Courier New" w:cs="Courier New" w:hint="default"/>
      </w:rPr>
    </w:lvl>
    <w:lvl w:ilvl="8" w:tentative="1">
      <w:start w:val="1"/>
      <w:numFmt w:val="bullet"/>
      <w:lvlText w:val=""/>
      <w:lvlJc w:val="left"/>
      <w:pPr>
        <w:tabs>
          <w:tab w:val="num" w:pos="3420"/>
        </w:tabs>
        <w:ind w:left="3420" w:hanging="360"/>
      </w:pPr>
      <w:rPr>
        <w:rFonts w:ascii="Wingdings" w:hAnsi="Wingdings" w:hint="default"/>
      </w:rPr>
    </w:lvl>
  </w:abstractNum>
  <w:abstractNum w:abstractNumId="17">
    <w:nsid w:val="25461A0C"/>
    <w:multiLevelType w:val="hybridMultilevel"/>
    <w:tmpl w:val="E7A426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5CC48E1"/>
    <w:multiLevelType w:val="multilevel"/>
    <w:tmpl w:val="3B9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1275CC"/>
    <w:multiLevelType w:val="hybridMultilevel"/>
    <w:tmpl w:val="E6E43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573B85"/>
    <w:multiLevelType w:val="hybridMultilevel"/>
    <w:tmpl w:val="496AED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9FC555A"/>
    <w:multiLevelType w:val="hybridMultilevel"/>
    <w:tmpl w:val="8934FE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706257"/>
    <w:multiLevelType w:val="singleLevel"/>
    <w:tmpl w:val="4858C190"/>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337A07AD"/>
    <w:multiLevelType w:val="hybridMultilevel"/>
    <w:tmpl w:val="E4B809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A07708D"/>
    <w:multiLevelType w:val="hybridMultilevel"/>
    <w:tmpl w:val="8D1842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B53B5F"/>
    <w:multiLevelType w:val="hybridMultilevel"/>
    <w:tmpl w:val="C1823A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E5F75BC"/>
    <w:multiLevelType w:val="hybridMultilevel"/>
    <w:tmpl w:val="F4C6F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C847C0"/>
    <w:multiLevelType w:val="hybridMultilevel"/>
    <w:tmpl w:val="9104E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750F23"/>
    <w:multiLevelType w:val="hybridMultilevel"/>
    <w:tmpl w:val="DCDC6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5062BB2"/>
    <w:multiLevelType w:val="hybridMultilevel"/>
    <w:tmpl w:val="22662A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90C135E"/>
    <w:multiLevelType w:val="hybridMultilevel"/>
    <w:tmpl w:val="614ACF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BDD2895"/>
    <w:multiLevelType w:val="hybridMultilevel"/>
    <w:tmpl w:val="179405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D93521A"/>
    <w:multiLevelType w:val="hybridMultilevel"/>
    <w:tmpl w:val="BEBA7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065636"/>
    <w:multiLevelType w:val="hybridMultilevel"/>
    <w:tmpl w:val="90E051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F373574"/>
    <w:multiLevelType w:val="hybridMultilevel"/>
    <w:tmpl w:val="30E4F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0C0798"/>
    <w:multiLevelType w:val="hybridMultilevel"/>
    <w:tmpl w:val="AE72F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2B07BDF"/>
    <w:multiLevelType w:val="hybridMultilevel"/>
    <w:tmpl w:val="D23E54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5ED3126"/>
    <w:multiLevelType w:val="hybridMultilevel"/>
    <w:tmpl w:val="7A823440"/>
    <w:lvl w:ilvl="0">
      <w:start w:val="1"/>
      <w:numFmt w:val="decimal"/>
      <w:lvlText w:val="(%1)"/>
      <w:lvlJc w:val="left"/>
      <w:pPr>
        <w:ind w:left="2505" w:hanging="1065"/>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C817B3A"/>
    <w:multiLevelType w:val="hybridMultilevel"/>
    <w:tmpl w:val="6EF2CB9E"/>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EB91743"/>
    <w:multiLevelType w:val="hybridMultilevel"/>
    <w:tmpl w:val="1D7A46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0">
    <w:nsid w:val="672B28C3"/>
    <w:multiLevelType w:val="hybridMultilevel"/>
    <w:tmpl w:val="FDE26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79C1807"/>
    <w:multiLevelType w:val="hybridMultilevel"/>
    <w:tmpl w:val="44A01F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FD6310"/>
    <w:multiLevelType w:val="hybridMultilevel"/>
    <w:tmpl w:val="46048F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AED54E5"/>
    <w:multiLevelType w:val="hybridMultilevel"/>
    <w:tmpl w:val="3DC4D1D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23B217C"/>
    <w:multiLevelType w:val="hybridMultilevel"/>
    <w:tmpl w:val="AF528C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50D47C4"/>
    <w:multiLevelType w:val="hybridMultilevel"/>
    <w:tmpl w:val="4904A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590322"/>
    <w:multiLevelType w:val="hybridMultilevel"/>
    <w:tmpl w:val="C49C07B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nsid w:val="7BA379D6"/>
    <w:multiLevelType w:val="hybridMultilevel"/>
    <w:tmpl w:val="97EA8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701469">
    <w:abstractNumId w:val="20"/>
  </w:num>
  <w:num w:numId="2" w16cid:durableId="1262955094">
    <w:abstractNumId w:val="42"/>
  </w:num>
  <w:num w:numId="3" w16cid:durableId="1562130989">
    <w:abstractNumId w:val="15"/>
  </w:num>
  <w:num w:numId="4" w16cid:durableId="216550011">
    <w:abstractNumId w:val="46"/>
  </w:num>
  <w:num w:numId="5" w16cid:durableId="894009207">
    <w:abstractNumId w:val="0"/>
    <w:lvlOverride w:ilvl="0">
      <w:lvl w:ilvl="0">
        <w:start w:val="0"/>
        <w:numFmt w:val="bullet"/>
        <w:lvlText w:val="•"/>
        <w:legacy w:legacy="1" w:legacySpace="0" w:legacyIndent="0"/>
        <w:lvlJc w:val="left"/>
        <w:rPr>
          <w:rFonts w:ascii="Times New Roman" w:hAnsi="Times New Roman" w:cs="Times New Roman" w:hint="default"/>
          <w:sz w:val="40"/>
        </w:rPr>
      </w:lvl>
    </w:lvlOverride>
  </w:num>
  <w:num w:numId="6" w16cid:durableId="1566337792">
    <w:abstractNumId w:val="43"/>
  </w:num>
  <w:num w:numId="7" w16cid:durableId="304314009">
    <w:abstractNumId w:val="44"/>
  </w:num>
  <w:num w:numId="8" w16cid:durableId="1209143520">
    <w:abstractNumId w:val="14"/>
  </w:num>
  <w:num w:numId="9" w16cid:durableId="58142334">
    <w:abstractNumId w:val="33"/>
  </w:num>
  <w:num w:numId="10" w16cid:durableId="215506884">
    <w:abstractNumId w:val="8"/>
  </w:num>
  <w:num w:numId="11" w16cid:durableId="603417204">
    <w:abstractNumId w:val="9"/>
  </w:num>
  <w:num w:numId="12" w16cid:durableId="580062121">
    <w:abstractNumId w:val="29"/>
  </w:num>
  <w:num w:numId="13" w16cid:durableId="742219052">
    <w:abstractNumId w:val="25"/>
  </w:num>
  <w:num w:numId="14" w16cid:durableId="220672711">
    <w:abstractNumId w:val="36"/>
  </w:num>
  <w:num w:numId="15" w16cid:durableId="2095516127">
    <w:abstractNumId w:val="23"/>
  </w:num>
  <w:num w:numId="16" w16cid:durableId="474612595">
    <w:abstractNumId w:val="6"/>
  </w:num>
  <w:num w:numId="17" w16cid:durableId="1292589159">
    <w:abstractNumId w:val="17"/>
  </w:num>
  <w:num w:numId="18" w16cid:durableId="1223256163">
    <w:abstractNumId w:val="30"/>
  </w:num>
  <w:num w:numId="19" w16cid:durableId="67658057">
    <w:abstractNumId w:val="13"/>
  </w:num>
  <w:num w:numId="20" w16cid:durableId="742410448">
    <w:abstractNumId w:val="38"/>
  </w:num>
  <w:num w:numId="21" w16cid:durableId="1820419026">
    <w:abstractNumId w:val="1"/>
  </w:num>
  <w:num w:numId="22" w16cid:durableId="1177113785">
    <w:abstractNumId w:val="4"/>
  </w:num>
  <w:num w:numId="23" w16cid:durableId="1477718913">
    <w:abstractNumId w:val="12"/>
  </w:num>
  <w:num w:numId="24" w16cid:durableId="289478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9112402">
    <w:abstractNumId w:val="10"/>
  </w:num>
  <w:num w:numId="26" w16cid:durableId="1032266905">
    <w:abstractNumId w:val="16"/>
  </w:num>
  <w:num w:numId="27" w16cid:durableId="1848404096">
    <w:abstractNumId w:val="32"/>
  </w:num>
  <w:num w:numId="28" w16cid:durableId="1267078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275909">
    <w:abstractNumId w:val="41"/>
  </w:num>
  <w:num w:numId="30" w16cid:durableId="1973752343">
    <w:abstractNumId w:val="37"/>
  </w:num>
  <w:num w:numId="31" w16cid:durableId="2122870510">
    <w:abstractNumId w:val="31"/>
  </w:num>
  <w:num w:numId="32" w16cid:durableId="1013653905">
    <w:abstractNumId w:val="18"/>
  </w:num>
  <w:num w:numId="33" w16cid:durableId="2108696973">
    <w:abstractNumId w:val="40"/>
  </w:num>
  <w:num w:numId="34" w16cid:durableId="788742218">
    <w:abstractNumId w:val="21"/>
  </w:num>
  <w:num w:numId="35" w16cid:durableId="362824008">
    <w:abstractNumId w:val="7"/>
  </w:num>
  <w:num w:numId="36" w16cid:durableId="1488085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07874">
    <w:abstractNumId w:val="26"/>
  </w:num>
  <w:num w:numId="38" w16cid:durableId="1138575442">
    <w:abstractNumId w:val="22"/>
  </w:num>
  <w:num w:numId="39" w16cid:durableId="805272675">
    <w:abstractNumId w:val="19"/>
  </w:num>
  <w:num w:numId="40" w16cid:durableId="131825371">
    <w:abstractNumId w:val="47"/>
  </w:num>
  <w:num w:numId="41" w16cid:durableId="892617271">
    <w:abstractNumId w:val="39"/>
  </w:num>
  <w:num w:numId="42" w16cid:durableId="897399623">
    <w:abstractNumId w:val="3"/>
  </w:num>
  <w:num w:numId="43" w16cid:durableId="1903979954">
    <w:abstractNumId w:val="24"/>
  </w:num>
  <w:num w:numId="44" w16cid:durableId="278335900">
    <w:abstractNumId w:val="34"/>
  </w:num>
  <w:num w:numId="45" w16cid:durableId="1021054265">
    <w:abstractNumId w:val="2"/>
  </w:num>
  <w:num w:numId="46" w16cid:durableId="767431735">
    <w:abstractNumId w:val="27"/>
  </w:num>
  <w:num w:numId="47" w16cid:durableId="1731729782">
    <w:abstractNumId w:val="5"/>
  </w:num>
  <w:num w:numId="48" w16cid:durableId="2099254712">
    <w:abstractNumId w:val="11"/>
  </w:num>
  <w:num w:numId="49" w16cid:durableId="133564837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65"/>
    <w:rsid w:val="00000D04"/>
    <w:rsid w:val="000045AB"/>
    <w:rsid w:val="00014267"/>
    <w:rsid w:val="00014644"/>
    <w:rsid w:val="000232D6"/>
    <w:rsid w:val="00026251"/>
    <w:rsid w:val="00026E20"/>
    <w:rsid w:val="00032638"/>
    <w:rsid w:val="00037518"/>
    <w:rsid w:val="000406CA"/>
    <w:rsid w:val="000437D8"/>
    <w:rsid w:val="00047196"/>
    <w:rsid w:val="000553DB"/>
    <w:rsid w:val="000553E4"/>
    <w:rsid w:val="00057E35"/>
    <w:rsid w:val="000649E1"/>
    <w:rsid w:val="00064D46"/>
    <w:rsid w:val="00092059"/>
    <w:rsid w:val="00096986"/>
    <w:rsid w:val="000A19E0"/>
    <w:rsid w:val="000A3A67"/>
    <w:rsid w:val="000A508C"/>
    <w:rsid w:val="000A6445"/>
    <w:rsid w:val="000A688D"/>
    <w:rsid w:val="000B4174"/>
    <w:rsid w:val="000B7A99"/>
    <w:rsid w:val="000C3E57"/>
    <w:rsid w:val="000C4750"/>
    <w:rsid w:val="000D086E"/>
    <w:rsid w:val="000D6E89"/>
    <w:rsid w:val="000F3EAF"/>
    <w:rsid w:val="00105F67"/>
    <w:rsid w:val="001140FB"/>
    <w:rsid w:val="0011419A"/>
    <w:rsid w:val="00120867"/>
    <w:rsid w:val="001246AA"/>
    <w:rsid w:val="001251AC"/>
    <w:rsid w:val="001315DE"/>
    <w:rsid w:val="00137541"/>
    <w:rsid w:val="0013785C"/>
    <w:rsid w:val="00160DD4"/>
    <w:rsid w:val="0016395B"/>
    <w:rsid w:val="00170717"/>
    <w:rsid w:val="00170D18"/>
    <w:rsid w:val="00172335"/>
    <w:rsid w:val="0017416C"/>
    <w:rsid w:val="001751B3"/>
    <w:rsid w:val="0017645E"/>
    <w:rsid w:val="00176B44"/>
    <w:rsid w:val="001A39C7"/>
    <w:rsid w:val="001B2812"/>
    <w:rsid w:val="001B7C69"/>
    <w:rsid w:val="001C2F38"/>
    <w:rsid w:val="001C7117"/>
    <w:rsid w:val="001D08F4"/>
    <w:rsid w:val="001D509D"/>
    <w:rsid w:val="001E3350"/>
    <w:rsid w:val="001F0EC0"/>
    <w:rsid w:val="00200254"/>
    <w:rsid w:val="002067C2"/>
    <w:rsid w:val="00211A22"/>
    <w:rsid w:val="00227D3F"/>
    <w:rsid w:val="00230F96"/>
    <w:rsid w:val="00231DBC"/>
    <w:rsid w:val="00242A4E"/>
    <w:rsid w:val="00243457"/>
    <w:rsid w:val="00244741"/>
    <w:rsid w:val="00254D94"/>
    <w:rsid w:val="00255F78"/>
    <w:rsid w:val="002722C6"/>
    <w:rsid w:val="00280F12"/>
    <w:rsid w:val="00283018"/>
    <w:rsid w:val="00286017"/>
    <w:rsid w:val="002A0C37"/>
    <w:rsid w:val="002C1506"/>
    <w:rsid w:val="002C19F7"/>
    <w:rsid w:val="002C38A1"/>
    <w:rsid w:val="002C5466"/>
    <w:rsid w:val="002D456E"/>
    <w:rsid w:val="002E67AF"/>
    <w:rsid w:val="002F0255"/>
    <w:rsid w:val="002F1DA1"/>
    <w:rsid w:val="00314BC8"/>
    <w:rsid w:val="00324325"/>
    <w:rsid w:val="00325683"/>
    <w:rsid w:val="00327AF0"/>
    <w:rsid w:val="00341DEE"/>
    <w:rsid w:val="00353E90"/>
    <w:rsid w:val="00360A5D"/>
    <w:rsid w:val="00367E18"/>
    <w:rsid w:val="0037266D"/>
    <w:rsid w:val="00375E27"/>
    <w:rsid w:val="00376A5E"/>
    <w:rsid w:val="00382386"/>
    <w:rsid w:val="00382C30"/>
    <w:rsid w:val="00387220"/>
    <w:rsid w:val="00393C5D"/>
    <w:rsid w:val="003966F2"/>
    <w:rsid w:val="003A3F4B"/>
    <w:rsid w:val="003C0BF8"/>
    <w:rsid w:val="003C37BC"/>
    <w:rsid w:val="003D51AB"/>
    <w:rsid w:val="003D6AB5"/>
    <w:rsid w:val="003E0A7F"/>
    <w:rsid w:val="00410076"/>
    <w:rsid w:val="00412813"/>
    <w:rsid w:val="00413460"/>
    <w:rsid w:val="00413AC2"/>
    <w:rsid w:val="00413EB7"/>
    <w:rsid w:val="00415569"/>
    <w:rsid w:val="004169B3"/>
    <w:rsid w:val="004172F8"/>
    <w:rsid w:val="00424308"/>
    <w:rsid w:val="00435D0B"/>
    <w:rsid w:val="00435F58"/>
    <w:rsid w:val="0043772C"/>
    <w:rsid w:val="00441D3A"/>
    <w:rsid w:val="0044236D"/>
    <w:rsid w:val="004629C3"/>
    <w:rsid w:val="00464E7E"/>
    <w:rsid w:val="00474371"/>
    <w:rsid w:val="00480095"/>
    <w:rsid w:val="004902D3"/>
    <w:rsid w:val="00492753"/>
    <w:rsid w:val="0049378A"/>
    <w:rsid w:val="00493814"/>
    <w:rsid w:val="00493F48"/>
    <w:rsid w:val="004960B9"/>
    <w:rsid w:val="00496548"/>
    <w:rsid w:val="00496914"/>
    <w:rsid w:val="004A20E8"/>
    <w:rsid w:val="004A26BA"/>
    <w:rsid w:val="004A6655"/>
    <w:rsid w:val="004B1858"/>
    <w:rsid w:val="004C01E2"/>
    <w:rsid w:val="004D1EA5"/>
    <w:rsid w:val="004D264D"/>
    <w:rsid w:val="004D6429"/>
    <w:rsid w:val="004E6072"/>
    <w:rsid w:val="004F7A8C"/>
    <w:rsid w:val="00505918"/>
    <w:rsid w:val="005159E7"/>
    <w:rsid w:val="0051685C"/>
    <w:rsid w:val="005233B0"/>
    <w:rsid w:val="00523FC1"/>
    <w:rsid w:val="005276F3"/>
    <w:rsid w:val="00532DAC"/>
    <w:rsid w:val="0054063A"/>
    <w:rsid w:val="00541A4D"/>
    <w:rsid w:val="0054372B"/>
    <w:rsid w:val="00555B2D"/>
    <w:rsid w:val="00561BD2"/>
    <w:rsid w:val="00570897"/>
    <w:rsid w:val="00570FBF"/>
    <w:rsid w:val="0057205B"/>
    <w:rsid w:val="00583333"/>
    <w:rsid w:val="00585199"/>
    <w:rsid w:val="005950A8"/>
    <w:rsid w:val="00596C1A"/>
    <w:rsid w:val="005A2C42"/>
    <w:rsid w:val="005A5614"/>
    <w:rsid w:val="005C2A25"/>
    <w:rsid w:val="005C5014"/>
    <w:rsid w:val="005C679E"/>
    <w:rsid w:val="005D7909"/>
    <w:rsid w:val="005E3B6B"/>
    <w:rsid w:val="005E6C26"/>
    <w:rsid w:val="005E7E0B"/>
    <w:rsid w:val="005F08BC"/>
    <w:rsid w:val="005F5840"/>
    <w:rsid w:val="006019B0"/>
    <w:rsid w:val="0060657D"/>
    <w:rsid w:val="00610E95"/>
    <w:rsid w:val="00613557"/>
    <w:rsid w:val="00617B63"/>
    <w:rsid w:val="00620BCD"/>
    <w:rsid w:val="0062353C"/>
    <w:rsid w:val="00624186"/>
    <w:rsid w:val="00624680"/>
    <w:rsid w:val="0063777B"/>
    <w:rsid w:val="00653A23"/>
    <w:rsid w:val="00654799"/>
    <w:rsid w:val="006554D0"/>
    <w:rsid w:val="006624C6"/>
    <w:rsid w:val="006644C7"/>
    <w:rsid w:val="006710D9"/>
    <w:rsid w:val="006739DD"/>
    <w:rsid w:val="0068130A"/>
    <w:rsid w:val="006845ED"/>
    <w:rsid w:val="00684A49"/>
    <w:rsid w:val="00692290"/>
    <w:rsid w:val="006A1641"/>
    <w:rsid w:val="006A169A"/>
    <w:rsid w:val="006A4AF7"/>
    <w:rsid w:val="006A7A40"/>
    <w:rsid w:val="006B1B2B"/>
    <w:rsid w:val="006B278A"/>
    <w:rsid w:val="006B48E1"/>
    <w:rsid w:val="006B6CF2"/>
    <w:rsid w:val="006B7186"/>
    <w:rsid w:val="006C01CC"/>
    <w:rsid w:val="006C1832"/>
    <w:rsid w:val="006C3482"/>
    <w:rsid w:val="006C67B4"/>
    <w:rsid w:val="006D1EDC"/>
    <w:rsid w:val="006D432B"/>
    <w:rsid w:val="006E3325"/>
    <w:rsid w:val="006E3EB6"/>
    <w:rsid w:val="006E4390"/>
    <w:rsid w:val="006F2609"/>
    <w:rsid w:val="006F46D3"/>
    <w:rsid w:val="006F5456"/>
    <w:rsid w:val="006F573A"/>
    <w:rsid w:val="00702191"/>
    <w:rsid w:val="00705D65"/>
    <w:rsid w:val="0071027D"/>
    <w:rsid w:val="00714311"/>
    <w:rsid w:val="00715E1B"/>
    <w:rsid w:val="00721535"/>
    <w:rsid w:val="0072182D"/>
    <w:rsid w:val="00721919"/>
    <w:rsid w:val="00723EA7"/>
    <w:rsid w:val="0072791A"/>
    <w:rsid w:val="007366E2"/>
    <w:rsid w:val="007428C9"/>
    <w:rsid w:val="0074423D"/>
    <w:rsid w:val="00746067"/>
    <w:rsid w:val="0074721D"/>
    <w:rsid w:val="00751592"/>
    <w:rsid w:val="0075706F"/>
    <w:rsid w:val="0076517E"/>
    <w:rsid w:val="007659E7"/>
    <w:rsid w:val="007748ED"/>
    <w:rsid w:val="00777D73"/>
    <w:rsid w:val="00781A5E"/>
    <w:rsid w:val="00793D62"/>
    <w:rsid w:val="007961ED"/>
    <w:rsid w:val="007A4897"/>
    <w:rsid w:val="007A5D80"/>
    <w:rsid w:val="007B0A28"/>
    <w:rsid w:val="007B0AC5"/>
    <w:rsid w:val="007B2735"/>
    <w:rsid w:val="007B34EA"/>
    <w:rsid w:val="007B3DBB"/>
    <w:rsid w:val="007B7E9C"/>
    <w:rsid w:val="007C1CB4"/>
    <w:rsid w:val="007C2CB4"/>
    <w:rsid w:val="007C5425"/>
    <w:rsid w:val="007C55E6"/>
    <w:rsid w:val="007D32DA"/>
    <w:rsid w:val="007D4D1E"/>
    <w:rsid w:val="007E4C5F"/>
    <w:rsid w:val="007F20CC"/>
    <w:rsid w:val="007F2BF3"/>
    <w:rsid w:val="007F43D1"/>
    <w:rsid w:val="007F73E3"/>
    <w:rsid w:val="008045A1"/>
    <w:rsid w:val="008153C4"/>
    <w:rsid w:val="00817F5C"/>
    <w:rsid w:val="008257D6"/>
    <w:rsid w:val="0084478C"/>
    <w:rsid w:val="008477E4"/>
    <w:rsid w:val="008514C8"/>
    <w:rsid w:val="00853B03"/>
    <w:rsid w:val="008562D8"/>
    <w:rsid w:val="00856620"/>
    <w:rsid w:val="0085743A"/>
    <w:rsid w:val="00862485"/>
    <w:rsid w:val="00862500"/>
    <w:rsid w:val="00865A13"/>
    <w:rsid w:val="008660D6"/>
    <w:rsid w:val="00876707"/>
    <w:rsid w:val="00876830"/>
    <w:rsid w:val="00876D65"/>
    <w:rsid w:val="00887E5A"/>
    <w:rsid w:val="00896E42"/>
    <w:rsid w:val="008A1DFE"/>
    <w:rsid w:val="008A551A"/>
    <w:rsid w:val="008B261D"/>
    <w:rsid w:val="008B6800"/>
    <w:rsid w:val="008C31A7"/>
    <w:rsid w:val="008C4314"/>
    <w:rsid w:val="008C49AF"/>
    <w:rsid w:val="008D295D"/>
    <w:rsid w:val="008D700F"/>
    <w:rsid w:val="008E52BB"/>
    <w:rsid w:val="008E71EA"/>
    <w:rsid w:val="009070DD"/>
    <w:rsid w:val="00907903"/>
    <w:rsid w:val="009210ED"/>
    <w:rsid w:val="009233D7"/>
    <w:rsid w:val="00923B7C"/>
    <w:rsid w:val="009326E4"/>
    <w:rsid w:val="0094095E"/>
    <w:rsid w:val="00943FE8"/>
    <w:rsid w:val="00947275"/>
    <w:rsid w:val="00950872"/>
    <w:rsid w:val="009640A7"/>
    <w:rsid w:val="00974252"/>
    <w:rsid w:val="00983B57"/>
    <w:rsid w:val="009A2202"/>
    <w:rsid w:val="009A3134"/>
    <w:rsid w:val="009C218A"/>
    <w:rsid w:val="009C6BDF"/>
    <w:rsid w:val="009D1868"/>
    <w:rsid w:val="009D291C"/>
    <w:rsid w:val="009D79C5"/>
    <w:rsid w:val="009E0E89"/>
    <w:rsid w:val="009E38AF"/>
    <w:rsid w:val="009E6ECA"/>
    <w:rsid w:val="009F2150"/>
    <w:rsid w:val="009F4F9D"/>
    <w:rsid w:val="009F5566"/>
    <w:rsid w:val="009F569F"/>
    <w:rsid w:val="009F5A90"/>
    <w:rsid w:val="00A10C3B"/>
    <w:rsid w:val="00A15758"/>
    <w:rsid w:val="00A25516"/>
    <w:rsid w:val="00A30036"/>
    <w:rsid w:val="00A3323C"/>
    <w:rsid w:val="00A4751B"/>
    <w:rsid w:val="00A57F08"/>
    <w:rsid w:val="00A66679"/>
    <w:rsid w:val="00A7178A"/>
    <w:rsid w:val="00A76874"/>
    <w:rsid w:val="00A8220B"/>
    <w:rsid w:val="00A87F01"/>
    <w:rsid w:val="00A905F1"/>
    <w:rsid w:val="00A9498C"/>
    <w:rsid w:val="00AA59B2"/>
    <w:rsid w:val="00AB4458"/>
    <w:rsid w:val="00AB5E99"/>
    <w:rsid w:val="00AB6F76"/>
    <w:rsid w:val="00AB76FE"/>
    <w:rsid w:val="00AC14AD"/>
    <w:rsid w:val="00AC6F80"/>
    <w:rsid w:val="00AD1B47"/>
    <w:rsid w:val="00AE0066"/>
    <w:rsid w:val="00AE1202"/>
    <w:rsid w:val="00AF4592"/>
    <w:rsid w:val="00B01142"/>
    <w:rsid w:val="00B03195"/>
    <w:rsid w:val="00B118FF"/>
    <w:rsid w:val="00B155E7"/>
    <w:rsid w:val="00B16127"/>
    <w:rsid w:val="00B40D94"/>
    <w:rsid w:val="00B45CA0"/>
    <w:rsid w:val="00B47830"/>
    <w:rsid w:val="00B506C7"/>
    <w:rsid w:val="00B564C6"/>
    <w:rsid w:val="00B56DB2"/>
    <w:rsid w:val="00B578BE"/>
    <w:rsid w:val="00B70971"/>
    <w:rsid w:val="00B75324"/>
    <w:rsid w:val="00B83FCF"/>
    <w:rsid w:val="00B96323"/>
    <w:rsid w:val="00BA0F8B"/>
    <w:rsid w:val="00BB3C7F"/>
    <w:rsid w:val="00BB5950"/>
    <w:rsid w:val="00BC1079"/>
    <w:rsid w:val="00BD331E"/>
    <w:rsid w:val="00BE516F"/>
    <w:rsid w:val="00BE781A"/>
    <w:rsid w:val="00BF4C35"/>
    <w:rsid w:val="00C07579"/>
    <w:rsid w:val="00C077F1"/>
    <w:rsid w:val="00C07C91"/>
    <w:rsid w:val="00C1439C"/>
    <w:rsid w:val="00C150B2"/>
    <w:rsid w:val="00C20FC3"/>
    <w:rsid w:val="00C21BF9"/>
    <w:rsid w:val="00C244AE"/>
    <w:rsid w:val="00C25C6D"/>
    <w:rsid w:val="00C30FA3"/>
    <w:rsid w:val="00C36DA8"/>
    <w:rsid w:val="00C41E10"/>
    <w:rsid w:val="00C441FD"/>
    <w:rsid w:val="00C460E5"/>
    <w:rsid w:val="00C54B85"/>
    <w:rsid w:val="00C5669A"/>
    <w:rsid w:val="00C61A11"/>
    <w:rsid w:val="00C61B1D"/>
    <w:rsid w:val="00C6791E"/>
    <w:rsid w:val="00C70B33"/>
    <w:rsid w:val="00C728E3"/>
    <w:rsid w:val="00C85B0C"/>
    <w:rsid w:val="00C86EAE"/>
    <w:rsid w:val="00C979D6"/>
    <w:rsid w:val="00CA323D"/>
    <w:rsid w:val="00CB1CB3"/>
    <w:rsid w:val="00CB2BE6"/>
    <w:rsid w:val="00CB6B9E"/>
    <w:rsid w:val="00CC21B9"/>
    <w:rsid w:val="00CC62E4"/>
    <w:rsid w:val="00CD022D"/>
    <w:rsid w:val="00CD2DF4"/>
    <w:rsid w:val="00CF0888"/>
    <w:rsid w:val="00D00AF2"/>
    <w:rsid w:val="00D113A6"/>
    <w:rsid w:val="00D11DEA"/>
    <w:rsid w:val="00D13836"/>
    <w:rsid w:val="00D148B1"/>
    <w:rsid w:val="00D21053"/>
    <w:rsid w:val="00D24EAA"/>
    <w:rsid w:val="00D2739C"/>
    <w:rsid w:val="00D30029"/>
    <w:rsid w:val="00D34852"/>
    <w:rsid w:val="00D35377"/>
    <w:rsid w:val="00D45449"/>
    <w:rsid w:val="00D53F1A"/>
    <w:rsid w:val="00D57D4A"/>
    <w:rsid w:val="00D62924"/>
    <w:rsid w:val="00D63AF6"/>
    <w:rsid w:val="00D674D6"/>
    <w:rsid w:val="00D74052"/>
    <w:rsid w:val="00D81EB9"/>
    <w:rsid w:val="00D82392"/>
    <w:rsid w:val="00D85376"/>
    <w:rsid w:val="00D938E5"/>
    <w:rsid w:val="00DB31AB"/>
    <w:rsid w:val="00DB4A88"/>
    <w:rsid w:val="00DC0016"/>
    <w:rsid w:val="00DD4701"/>
    <w:rsid w:val="00DF2C07"/>
    <w:rsid w:val="00E06DAD"/>
    <w:rsid w:val="00E12D76"/>
    <w:rsid w:val="00E12F21"/>
    <w:rsid w:val="00E150E6"/>
    <w:rsid w:val="00E15B5A"/>
    <w:rsid w:val="00E1724F"/>
    <w:rsid w:val="00E22C04"/>
    <w:rsid w:val="00E25E46"/>
    <w:rsid w:val="00E31EC4"/>
    <w:rsid w:val="00E326C4"/>
    <w:rsid w:val="00E36910"/>
    <w:rsid w:val="00E36AD6"/>
    <w:rsid w:val="00E54150"/>
    <w:rsid w:val="00E56419"/>
    <w:rsid w:val="00E5737F"/>
    <w:rsid w:val="00E629BB"/>
    <w:rsid w:val="00E634E8"/>
    <w:rsid w:val="00E643A6"/>
    <w:rsid w:val="00E65315"/>
    <w:rsid w:val="00E73A77"/>
    <w:rsid w:val="00E745EA"/>
    <w:rsid w:val="00E803B8"/>
    <w:rsid w:val="00E8266B"/>
    <w:rsid w:val="00E844A5"/>
    <w:rsid w:val="00E91575"/>
    <w:rsid w:val="00E9241F"/>
    <w:rsid w:val="00E94216"/>
    <w:rsid w:val="00E94A8F"/>
    <w:rsid w:val="00E97CDE"/>
    <w:rsid w:val="00EA1115"/>
    <w:rsid w:val="00EA50B4"/>
    <w:rsid w:val="00EA617A"/>
    <w:rsid w:val="00EA73BA"/>
    <w:rsid w:val="00EB1182"/>
    <w:rsid w:val="00EC15FE"/>
    <w:rsid w:val="00EC6BB4"/>
    <w:rsid w:val="00EC7922"/>
    <w:rsid w:val="00ED14E7"/>
    <w:rsid w:val="00ED408E"/>
    <w:rsid w:val="00ED70C0"/>
    <w:rsid w:val="00EE3929"/>
    <w:rsid w:val="00EF7A51"/>
    <w:rsid w:val="00F0127C"/>
    <w:rsid w:val="00F17609"/>
    <w:rsid w:val="00F20BED"/>
    <w:rsid w:val="00F2268F"/>
    <w:rsid w:val="00F25C8A"/>
    <w:rsid w:val="00F34BBD"/>
    <w:rsid w:val="00F431E5"/>
    <w:rsid w:val="00F551ED"/>
    <w:rsid w:val="00F73BDE"/>
    <w:rsid w:val="00F811E6"/>
    <w:rsid w:val="00F81A37"/>
    <w:rsid w:val="00F82F64"/>
    <w:rsid w:val="00F87964"/>
    <w:rsid w:val="00F94C24"/>
    <w:rsid w:val="00F95467"/>
    <w:rsid w:val="00FA188F"/>
    <w:rsid w:val="00FA3C2A"/>
    <w:rsid w:val="00FA6535"/>
    <w:rsid w:val="00FA7EBB"/>
    <w:rsid w:val="00FB3B83"/>
    <w:rsid w:val="00FC0466"/>
    <w:rsid w:val="00FC32FE"/>
    <w:rsid w:val="00FC4933"/>
    <w:rsid w:val="00FC57EE"/>
    <w:rsid w:val="00FE0621"/>
    <w:rsid w:val="00FE103E"/>
    <w:rsid w:val="00FE2CF4"/>
    <w:rsid w:val="00FE552D"/>
    <w:rsid w:val="00FF72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2DB894"/>
  <w15:docId w15:val="{9DF54F76-DF34-49F1-96CA-FEDFFCB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C04"/>
    <w:rPr>
      <w:sz w:val="24"/>
      <w:szCs w:val="24"/>
    </w:rPr>
  </w:style>
  <w:style w:type="paragraph" w:styleId="Heading1">
    <w:name w:val="heading 1"/>
    <w:basedOn w:val="Normal"/>
    <w:next w:val="Normal"/>
    <w:link w:val="Heading1Char"/>
    <w:qFormat/>
    <w:rsid w:val="00E94A8F"/>
    <w:pPr>
      <w:keepNext/>
      <w:outlineLvl w:val="0"/>
    </w:pPr>
    <w:rPr>
      <w:u w:val="single"/>
    </w:rPr>
  </w:style>
  <w:style w:type="paragraph" w:styleId="Heading2">
    <w:name w:val="heading 2"/>
    <w:basedOn w:val="Normal"/>
    <w:next w:val="Normal"/>
    <w:link w:val="Heading2Char"/>
    <w:qFormat/>
    <w:rsid w:val="00E94A8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link w:val="FootnoteTextChar"/>
    <w:uiPriority w:val="99"/>
    <w:rsid w:val="00E9241F"/>
    <w:rPr>
      <w:sz w:val="20"/>
      <w:szCs w:val="20"/>
    </w:rPr>
  </w:style>
  <w:style w:type="character" w:styleId="FootnoteReference">
    <w:name w:val="footnote reference"/>
    <w:uiPriority w:val="99"/>
    <w:rsid w:val="00E9241F"/>
    <w:rPr>
      <w:vertAlign w:val="superscript"/>
    </w:rPr>
  </w:style>
  <w:style w:type="character" w:styleId="Hyperlink">
    <w:name w:val="Hyperlink"/>
    <w:rsid w:val="007961ED"/>
    <w:rPr>
      <w:color w:val="0000FF"/>
      <w:u w:val="single"/>
    </w:rPr>
  </w:style>
  <w:style w:type="character" w:customStyle="1" w:styleId="HeaderChar">
    <w:name w:val="Header Char"/>
    <w:link w:val="Header"/>
    <w:uiPriority w:val="99"/>
    <w:rsid w:val="00464E7E"/>
    <w:rPr>
      <w:snapToGrid w:val="0"/>
      <w:sz w:val="24"/>
    </w:rPr>
  </w:style>
  <w:style w:type="character" w:customStyle="1" w:styleId="Heading1Char">
    <w:name w:val="Heading 1 Char"/>
    <w:link w:val="Heading1"/>
    <w:rsid w:val="00E94A8F"/>
    <w:rPr>
      <w:sz w:val="24"/>
      <w:szCs w:val="24"/>
      <w:u w:val="single"/>
    </w:rPr>
  </w:style>
  <w:style w:type="character" w:customStyle="1" w:styleId="Heading2Char">
    <w:name w:val="Heading 2 Char"/>
    <w:link w:val="Heading2"/>
    <w:rsid w:val="00E94A8F"/>
    <w:rPr>
      <w:b/>
      <w:bCs/>
      <w:sz w:val="24"/>
      <w:szCs w:val="24"/>
    </w:rPr>
  </w:style>
  <w:style w:type="paragraph" w:styleId="PlainText">
    <w:name w:val="Plain Text"/>
    <w:basedOn w:val="Normal"/>
    <w:link w:val="PlainTextChar"/>
    <w:uiPriority w:val="99"/>
    <w:unhideWhenUsed/>
    <w:rsid w:val="001251AC"/>
    <w:pPr>
      <w:overflowPunct w:val="0"/>
      <w:autoSpaceDE w:val="0"/>
      <w:autoSpaceDN w:val="0"/>
    </w:pPr>
    <w:rPr>
      <w:rFonts w:ascii="Courier New" w:eastAsia="Calibri" w:hAnsi="Courier New" w:cs="Courier New"/>
      <w:sz w:val="20"/>
      <w:szCs w:val="20"/>
    </w:rPr>
  </w:style>
  <w:style w:type="character" w:customStyle="1" w:styleId="PlainTextChar">
    <w:name w:val="Plain Text Char"/>
    <w:link w:val="PlainText"/>
    <w:uiPriority w:val="99"/>
    <w:rsid w:val="001251AC"/>
    <w:rPr>
      <w:rFonts w:ascii="Courier New" w:eastAsia="Calibri" w:hAnsi="Courier New" w:cs="Courier New"/>
    </w:rPr>
  </w:style>
  <w:style w:type="paragraph" w:styleId="ListParagraph">
    <w:name w:val="List Paragraph"/>
    <w:basedOn w:val="Normal"/>
    <w:uiPriority w:val="34"/>
    <w:qFormat/>
    <w:rsid w:val="001251AC"/>
    <w:pPr>
      <w:ind w:left="720"/>
    </w:pPr>
    <w:rPr>
      <w:rFonts w:eastAsia="Calibri"/>
    </w:rPr>
  </w:style>
  <w:style w:type="character" w:customStyle="1" w:styleId="FooterChar">
    <w:name w:val="Footer Char"/>
    <w:link w:val="Footer"/>
    <w:uiPriority w:val="99"/>
    <w:rsid w:val="00A10C3B"/>
    <w:rPr>
      <w:sz w:val="24"/>
    </w:rPr>
  </w:style>
  <w:style w:type="character" w:styleId="CommentReference">
    <w:name w:val="annotation reference"/>
    <w:uiPriority w:val="99"/>
    <w:rsid w:val="002C38A1"/>
    <w:rPr>
      <w:sz w:val="16"/>
      <w:szCs w:val="16"/>
    </w:rPr>
  </w:style>
  <w:style w:type="paragraph" w:styleId="CommentText">
    <w:name w:val="annotation text"/>
    <w:basedOn w:val="Normal"/>
    <w:link w:val="CommentTextChar"/>
    <w:rsid w:val="002C38A1"/>
    <w:rPr>
      <w:sz w:val="20"/>
      <w:szCs w:val="20"/>
    </w:rPr>
  </w:style>
  <w:style w:type="character" w:customStyle="1" w:styleId="CommentTextChar">
    <w:name w:val="Comment Text Char"/>
    <w:basedOn w:val="DefaultParagraphFont"/>
    <w:link w:val="CommentText"/>
    <w:rsid w:val="002C38A1"/>
  </w:style>
  <w:style w:type="paragraph" w:styleId="CommentSubject">
    <w:name w:val="annotation subject"/>
    <w:basedOn w:val="CommentText"/>
    <w:next w:val="CommentText"/>
    <w:link w:val="CommentSubjectChar"/>
    <w:rsid w:val="002C38A1"/>
    <w:rPr>
      <w:b/>
      <w:bCs/>
    </w:rPr>
  </w:style>
  <w:style w:type="character" w:customStyle="1" w:styleId="CommentSubjectChar">
    <w:name w:val="Comment Subject Char"/>
    <w:link w:val="CommentSubject"/>
    <w:rsid w:val="002C38A1"/>
    <w:rPr>
      <w:b/>
      <w:bCs/>
    </w:rPr>
  </w:style>
  <w:style w:type="paragraph" w:styleId="ListBullet">
    <w:name w:val="List Bullet"/>
    <w:basedOn w:val="Normal"/>
    <w:rsid w:val="00EC6BB4"/>
    <w:pPr>
      <w:numPr>
        <w:numId w:val="26"/>
      </w:numPr>
    </w:pPr>
  </w:style>
  <w:style w:type="paragraph" w:styleId="NoSpacing">
    <w:name w:val="No Spacing"/>
    <w:uiPriority w:val="1"/>
    <w:qFormat/>
    <w:rsid w:val="002D456E"/>
    <w:rPr>
      <w:rFonts w:ascii="Calibri" w:eastAsia="Calibri" w:hAnsi="Calibri"/>
      <w:sz w:val="22"/>
      <w:szCs w:val="22"/>
    </w:rPr>
  </w:style>
  <w:style w:type="paragraph" w:customStyle="1" w:styleId="body">
    <w:name w:val="body"/>
    <w:basedOn w:val="Normal"/>
    <w:rsid w:val="002D456E"/>
    <w:pPr>
      <w:spacing w:before="100" w:beforeAutospacing="1" w:after="100" w:afterAutospacing="1" w:line="225" w:lineRule="atLeast"/>
    </w:pPr>
    <w:rPr>
      <w:rFonts w:ascii="Verdana" w:hAnsi="Verdana"/>
      <w:color w:val="112E7C"/>
      <w:sz w:val="18"/>
      <w:szCs w:val="18"/>
    </w:rPr>
  </w:style>
  <w:style w:type="character" w:customStyle="1" w:styleId="FootnoteTextChar">
    <w:name w:val="Footnote Text Char"/>
    <w:link w:val="FootnoteText"/>
    <w:uiPriority w:val="99"/>
    <w:rsid w:val="002D456E"/>
  </w:style>
  <w:style w:type="character" w:customStyle="1" w:styleId="A1">
    <w:name w:val="A1"/>
    <w:uiPriority w:val="99"/>
    <w:rsid w:val="002D456E"/>
    <w:rPr>
      <w:rFonts w:cs="DIN"/>
      <w:color w:val="FFC609"/>
      <w:sz w:val="26"/>
      <w:szCs w:val="26"/>
    </w:rPr>
  </w:style>
  <w:style w:type="paragraph" w:customStyle="1" w:styleId="Default">
    <w:name w:val="Default"/>
    <w:rsid w:val="00286017"/>
    <w:pPr>
      <w:autoSpaceDE w:val="0"/>
      <w:autoSpaceDN w:val="0"/>
      <w:adjustRightInd w:val="0"/>
    </w:pPr>
    <w:rPr>
      <w:rFonts w:eastAsia="Calibri"/>
      <w:color w:val="000000"/>
      <w:sz w:val="24"/>
      <w:szCs w:val="24"/>
    </w:rPr>
  </w:style>
  <w:style w:type="paragraph" w:customStyle="1" w:styleId="CM13">
    <w:name w:val="CM13"/>
    <w:basedOn w:val="Default"/>
    <w:next w:val="Default"/>
    <w:uiPriority w:val="99"/>
    <w:rsid w:val="00286017"/>
    <w:rPr>
      <w:color w:val="auto"/>
    </w:rPr>
  </w:style>
  <w:style w:type="character" w:styleId="FollowedHyperlink">
    <w:name w:val="FollowedHyperlink"/>
    <w:basedOn w:val="DefaultParagraphFont"/>
    <w:semiHidden/>
    <w:unhideWhenUsed/>
    <w:rsid w:val="009C6BDF"/>
    <w:rPr>
      <w:color w:val="800080" w:themeColor="followedHyperlink"/>
      <w:u w:val="single"/>
    </w:rPr>
  </w:style>
  <w:style w:type="table" w:styleId="TableGrid">
    <w:name w:val="Table Grid"/>
    <w:basedOn w:val="TableNormal"/>
    <w:uiPriority w:val="59"/>
    <w:rsid w:val="007F73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73E3"/>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F73E3"/>
    <w:rPr>
      <w:rFonts w:ascii="Calibri" w:eastAsia="Calibri" w:hAnsi="Calibri"/>
    </w:rPr>
  </w:style>
  <w:style w:type="character" w:styleId="EndnoteReference">
    <w:name w:val="endnote reference"/>
    <w:basedOn w:val="DefaultParagraphFont"/>
    <w:uiPriority w:val="99"/>
    <w:semiHidden/>
    <w:unhideWhenUsed/>
    <w:rsid w:val="007F7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1320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6D08E575EE617941B4B6CC65B7893EE6" ma:contentTypeVersion="12" ma:contentTypeDescription="A Microsoft InfoPath Form Template." ma:contentTypeScope="" ma:versionID="544f18adc792b118126a8842cb68581a">
  <xsd:schema xmlns:xsd="http://www.w3.org/2001/XMLSchema" xmlns:xs="http://www.w3.org/2001/XMLSchema" xmlns:p="http://schemas.microsoft.com/office/2006/metadata/properties" xmlns:ns2="fba0f8d4-a3cd-4f8a-b8df-5edc3efff554" xmlns:ns3="52222ef0-b167-44f5-92f7-438fda0857cd" targetNamespace="http://schemas.microsoft.com/office/2006/metadata/properties" ma:root="true" ma:fieldsID="7830ae97856be061b42d2ec124e2cc23" ns2:_="" ns3:_="">
    <xsd:import namespace="fba0f8d4-a3cd-4f8a-b8df-5edc3efff554"/>
    <xsd:import namespace="52222ef0-b167-44f5-92f7-438fda0857cd"/>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0f8d4-a3cd-4f8a-b8df-5edc3efff554" elementFormDefault="qualified">
    <xsd:import namespace="http://schemas.microsoft.com/office/2006/documentManagement/types"/>
    <xsd:import namespace="http://schemas.microsoft.com/office/infopath/2007/PartnerControls"/>
    <xsd:element name="FormName" ma:index="7" nillable="true" ma:displayName="Form Name" ma:internalName="FormName">
      <xsd:simpleType>
        <xsd:restriction base="dms:Text"/>
      </xsd:simpleType>
    </xsd:element>
    <xsd:element name="FormCategory" ma:index="8" nillable="true" ma:displayName="Form Category" ma:internalName="FormCategory">
      <xsd:simpleType>
        <xsd:restriction base="dms:Text"/>
      </xsd:simpleType>
    </xsd:element>
    <xsd:element name="FormVersion" ma:index="9" nillable="true" ma:displayName="Form Version" ma:internalName="FormVersion">
      <xsd:simpleType>
        <xsd:restriction base="dms:Text"/>
      </xsd:simpleType>
    </xsd:element>
    <xsd:element name="FormId" ma:index="10" nillable="true" ma:displayName="Form ID" ma:internalName="FormId">
      <xsd:simpleType>
        <xsd:restriction base="dms:Text"/>
      </xsd:simpleType>
    </xsd:element>
    <xsd:element name="FormLocale" ma:index="11" nillable="true" ma:displayName="Form Locale" ma:internalName="FormLocale">
      <xsd:simpleType>
        <xsd:restriction base="dms:Text"/>
      </xsd:simpleType>
    </xsd:element>
    <xsd:element name="FormDescription" ma:index="12" nillable="true" ma:displayName="Form Description" ma:internalName="FormDescription">
      <xsd:simpleType>
        <xsd:restriction base="dms:Text"/>
      </xsd:simpleType>
    </xsd:element>
    <xsd:element name="CustomContentTypeId" ma:index="13" nillable="true" ma:displayName="Content Type ID" ma:hidden="true" ma:internalName="CustomContentTypeId">
      <xsd:simpleType>
        <xsd:restriction base="dms:Text"/>
      </xsd:simpleType>
    </xsd:element>
    <xsd:element name="ShowInCatalog" ma:index="14" nillable="true" ma:displayName="Show in Catalog" ma:default="TRUE" ma:internalName="ShowInCata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58c94b6-0c1f-4fd9-98f4-f8d13a80f1e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DOCDFI-380-3</_dlc_DocId>
    <_dlc_DocIdUrl xmlns="52222ef0-b167-44f5-92f7-438fda0857cd">
      <Url>https://my.treasury.gov/collab/CDFI/_layouts/DocIdRedir.aspx?ID=DOCDFI-380-3</Url>
      <Description>DOCDFI-380-3</Description>
    </_dlc_DocIdUrl>
    <CustomContentTypeId xmlns="fba0f8d4-a3cd-4f8a-b8df-5edc3efff554" xsi:nil="true"/>
    <FormDescription xmlns="fba0f8d4-a3cd-4f8a-b8df-5edc3efff554" xsi:nil="true"/>
    <FormName xmlns="fba0f8d4-a3cd-4f8a-b8df-5edc3efff554">Approval Cover Memo Template</FormName>
    <FormVersion xmlns="fba0f8d4-a3cd-4f8a-b8df-5edc3efff554" xsi:nil="true"/>
    <FormLocale xmlns="fba0f8d4-a3cd-4f8a-b8df-5edc3efff554" xsi:nil="true"/>
    <FormId xmlns="fba0f8d4-a3cd-4f8a-b8df-5edc3efff554" xsi:nil="true"/>
    <ShowInCatalog xmlns="fba0f8d4-a3cd-4f8a-b8df-5edc3efff554">true</ShowInCatalog>
    <FormCategory xmlns="fba0f8d4-a3cd-4f8a-b8df-5edc3efff55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B5CD2-F066-49CB-B927-EB671A5DA569}">
  <ds:schemaRefs>
    <ds:schemaRef ds:uri="http://schemas.microsoft.com/sharepoint/events"/>
  </ds:schemaRefs>
</ds:datastoreItem>
</file>

<file path=customXml/itemProps2.xml><?xml version="1.0" encoding="utf-8"?>
<ds:datastoreItem xmlns:ds="http://schemas.openxmlformats.org/officeDocument/2006/customXml" ds:itemID="{4FDFE31C-DA39-44DB-8CC7-048824CA1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0f8d4-a3cd-4f8a-b8df-5edc3efff554"/>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0D11F-21E0-4AAC-A1A6-75E2A6E3C60C}">
  <ds:schemaRefs>
    <ds:schemaRef ds:uri="Microsoft.SharePoint.Taxonomy.ContentTypeSync"/>
  </ds:schemaRefs>
</ds:datastoreItem>
</file>

<file path=customXml/itemProps4.xml><?xml version="1.0" encoding="utf-8"?>
<ds:datastoreItem xmlns:ds="http://schemas.openxmlformats.org/officeDocument/2006/customXml" ds:itemID="{AC60AC90-4C2B-431A-8E47-E384766DA381}">
  <ds:schemaRefs>
    <ds:schemaRef ds:uri="fba0f8d4-a3cd-4f8a-b8df-5edc3efff554"/>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2222ef0-b167-44f5-92f7-438fda0857cd"/>
    <ds:schemaRef ds:uri="http://purl.org/dc/dcmitype/"/>
  </ds:schemaRefs>
</ds:datastoreItem>
</file>

<file path=customXml/itemProps5.xml><?xml version="1.0" encoding="utf-8"?>
<ds:datastoreItem xmlns:ds="http://schemas.openxmlformats.org/officeDocument/2006/customXml" ds:itemID="{A737D7AF-64D5-4FC1-A3AA-805FAACFA538}">
  <ds:schemaRefs>
    <ds:schemaRef ds:uri="http://schemas.openxmlformats.org/officeDocument/2006/bibliography"/>
  </ds:schemaRefs>
</ds:datastoreItem>
</file>

<file path=customXml/itemProps6.xml><?xml version="1.0" encoding="utf-8"?>
<ds:datastoreItem xmlns:ds="http://schemas.openxmlformats.org/officeDocument/2006/customXml" ds:itemID="{F0F0C2F3-DECB-4D5C-8CAD-C17732F99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1270</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Approval Cover Memo Template</vt:lpstr>
    </vt:vector>
  </TitlesOfParts>
  <Company>U.S. Treasury Department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Cover Memo Template</dc:title>
  <dc:creator>MLENNON</dc:creator>
  <cp:lastModifiedBy>Clark, Spencer</cp:lastModifiedBy>
  <cp:revision>5</cp:revision>
  <cp:lastPrinted>2013-11-26T15:07:00Z</cp:lastPrinted>
  <dcterms:created xsi:type="dcterms:W3CDTF">2023-01-22T22:16:00Z</dcterms:created>
  <dcterms:modified xsi:type="dcterms:W3CDTF">2023-04-28T21:22:00Z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0x010100F8EF98760CBA4A94994F13BA881038FA006D08E575EE617941B4B6CC65B7893EE6</vt:lpwstr>
  </property>
  <property fmtid="{D5CDD505-2E9C-101B-9397-08002B2CF9AE}" pid="3" name="_dlc_DocIdItemGuid">
    <vt:lpwstr>cc28ee11-2bbc-4476-961b-9ba7e7713bfa</vt:lpwstr>
  </property>
</Properties>
</file>