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9A7" w:rsidRPr="00CA3E8C" w:rsidP="008B1675" w14:paraId="5C7CF6AE" w14:textId="54F4A051">
      <w:pPr>
        <w:pStyle w:val="Title"/>
        <w:spacing w:line="276" w:lineRule="auto"/>
        <w:ind w:firstLine="720"/>
        <w:contextualSpacing/>
        <w:jc w:val="right"/>
        <w:rPr>
          <w:color w:val="000000" w:themeColor="text1"/>
          <w:sz w:val="28"/>
          <w:szCs w:val="28"/>
        </w:rPr>
      </w:pPr>
      <w:r>
        <w:rPr>
          <w:color w:val="000000" w:themeColor="text1"/>
          <w:sz w:val="28"/>
          <w:szCs w:val="28"/>
        </w:rPr>
        <w:t>July 1</w:t>
      </w:r>
      <w:r w:rsidR="00231F3E">
        <w:rPr>
          <w:color w:val="000000" w:themeColor="text1"/>
          <w:sz w:val="28"/>
          <w:szCs w:val="28"/>
        </w:rPr>
        <w:t>6</w:t>
      </w:r>
      <w:r w:rsidR="0028316E">
        <w:rPr>
          <w:color w:val="000000" w:themeColor="text1"/>
          <w:sz w:val="28"/>
          <w:szCs w:val="28"/>
        </w:rPr>
        <w:t>, 202</w:t>
      </w:r>
      <w:r w:rsidR="008666F4">
        <w:rPr>
          <w:color w:val="000000" w:themeColor="text1"/>
          <w:sz w:val="28"/>
          <w:szCs w:val="28"/>
        </w:rPr>
        <w:t>4</w:t>
      </w:r>
    </w:p>
    <w:p w:rsidR="001A69A7" w:rsidRPr="00CA3E8C" w:rsidP="007B48AE" w14:paraId="41105CE2" w14:textId="77777777">
      <w:pPr>
        <w:pStyle w:val="Title"/>
        <w:spacing w:line="276" w:lineRule="auto"/>
        <w:contextualSpacing/>
        <w:rPr>
          <w:color w:val="000000" w:themeColor="text1"/>
          <w:sz w:val="28"/>
          <w:szCs w:val="28"/>
        </w:rPr>
      </w:pPr>
    </w:p>
    <w:p w:rsidR="000A6018" w:rsidRPr="00CA3E8C" w:rsidP="007B48AE" w14:paraId="2BC8249E" w14:textId="77777777">
      <w:pPr>
        <w:pStyle w:val="Title"/>
        <w:spacing w:line="276" w:lineRule="auto"/>
        <w:contextualSpacing/>
        <w:rPr>
          <w:color w:val="000000" w:themeColor="text1"/>
          <w:szCs w:val="32"/>
        </w:rPr>
      </w:pPr>
      <w:r w:rsidRPr="00CA3E8C">
        <w:rPr>
          <w:color w:val="000000" w:themeColor="text1"/>
          <w:szCs w:val="32"/>
        </w:rPr>
        <w:t xml:space="preserve">Supporting Statement for </w:t>
      </w:r>
    </w:p>
    <w:p w:rsidR="00842E74" w:rsidRPr="00CA3E8C" w:rsidP="007B48AE" w14:paraId="3831850F" w14:textId="77777777">
      <w:pPr>
        <w:pStyle w:val="Title"/>
        <w:spacing w:line="276" w:lineRule="auto"/>
        <w:contextualSpacing/>
        <w:rPr>
          <w:color w:val="000000" w:themeColor="text1"/>
          <w:szCs w:val="32"/>
        </w:rPr>
      </w:pPr>
      <w:r w:rsidRPr="00CA3E8C">
        <w:rPr>
          <w:color w:val="000000" w:themeColor="text1"/>
          <w:szCs w:val="32"/>
        </w:rPr>
        <w:t>Paperwork Reduction Act Submissions</w:t>
      </w:r>
    </w:p>
    <w:p w:rsidR="00842E74" w:rsidRPr="00CA3E8C" w:rsidP="007B48AE" w14:paraId="5ECA6B1C" w14:textId="77777777">
      <w:pPr>
        <w:tabs>
          <w:tab w:val="left" w:pos="-720"/>
        </w:tabs>
        <w:suppressAutoHyphens/>
        <w:spacing w:line="276" w:lineRule="auto"/>
        <w:contextualSpacing/>
        <w:rPr>
          <w:b/>
          <w:color w:val="000000" w:themeColor="text1"/>
          <w:sz w:val="28"/>
          <w:szCs w:val="28"/>
        </w:rPr>
      </w:pPr>
    </w:p>
    <w:p w:rsidR="00842E74" w:rsidRPr="00CA3E8C" w:rsidP="007B48AE" w14:paraId="167C0923" w14:textId="77777777">
      <w:pPr>
        <w:tabs>
          <w:tab w:val="left" w:pos="-720"/>
        </w:tabs>
        <w:suppressAutoHyphens/>
        <w:spacing w:line="276" w:lineRule="auto"/>
        <w:contextualSpacing/>
        <w:rPr>
          <w:b/>
          <w:color w:val="000000" w:themeColor="text1"/>
          <w:sz w:val="28"/>
          <w:szCs w:val="28"/>
        </w:rPr>
      </w:pPr>
      <w:r w:rsidRPr="00CA3E8C">
        <w:rPr>
          <w:b/>
          <w:color w:val="000000" w:themeColor="text1"/>
          <w:sz w:val="28"/>
          <w:szCs w:val="28"/>
        </w:rPr>
        <w:t>OMB Control Number:  1660</w:t>
      </w:r>
      <w:r w:rsidRPr="00CA3E8C" w:rsidR="0046431C">
        <w:rPr>
          <w:b/>
          <w:color w:val="000000" w:themeColor="text1"/>
          <w:sz w:val="28"/>
          <w:szCs w:val="28"/>
        </w:rPr>
        <w:t xml:space="preserve"> </w:t>
      </w:r>
      <w:r w:rsidRPr="00CA3E8C">
        <w:rPr>
          <w:b/>
          <w:color w:val="000000" w:themeColor="text1"/>
          <w:sz w:val="28"/>
          <w:szCs w:val="28"/>
        </w:rPr>
        <w:t>-</w:t>
      </w:r>
      <w:r w:rsidRPr="00CA3E8C" w:rsidR="0046431C">
        <w:rPr>
          <w:b/>
          <w:color w:val="000000" w:themeColor="text1"/>
          <w:sz w:val="28"/>
          <w:szCs w:val="28"/>
        </w:rPr>
        <w:t xml:space="preserve"> </w:t>
      </w:r>
      <w:r w:rsidRPr="00CA3E8C" w:rsidR="00B9413A">
        <w:rPr>
          <w:b/>
          <w:color w:val="000000" w:themeColor="text1"/>
          <w:sz w:val="28"/>
          <w:szCs w:val="28"/>
        </w:rPr>
        <w:t>0023</w:t>
      </w:r>
    </w:p>
    <w:p w:rsidR="00842E74" w:rsidRPr="00CA3E8C" w:rsidP="007B48AE" w14:paraId="2F772FC6" w14:textId="77777777">
      <w:pPr>
        <w:tabs>
          <w:tab w:val="left" w:pos="-720"/>
        </w:tabs>
        <w:suppressAutoHyphens/>
        <w:spacing w:line="276" w:lineRule="auto"/>
        <w:contextualSpacing/>
        <w:rPr>
          <w:b/>
          <w:color w:val="000000" w:themeColor="text1"/>
          <w:sz w:val="28"/>
          <w:szCs w:val="28"/>
        </w:rPr>
      </w:pPr>
    </w:p>
    <w:p w:rsidR="00842E74" w:rsidRPr="00CA3E8C" w:rsidP="007B48AE" w14:paraId="0A709148" w14:textId="41E89168">
      <w:pPr>
        <w:tabs>
          <w:tab w:val="left" w:pos="-720"/>
        </w:tabs>
        <w:suppressAutoHyphens/>
        <w:spacing w:line="276" w:lineRule="auto"/>
        <w:contextualSpacing/>
        <w:rPr>
          <w:b/>
          <w:color w:val="000000" w:themeColor="text1"/>
          <w:sz w:val="28"/>
          <w:szCs w:val="28"/>
        </w:rPr>
      </w:pPr>
      <w:r w:rsidRPr="00CA3E8C">
        <w:rPr>
          <w:b/>
          <w:color w:val="000000" w:themeColor="text1"/>
          <w:sz w:val="28"/>
          <w:szCs w:val="28"/>
        </w:rPr>
        <w:t xml:space="preserve">Title: </w:t>
      </w:r>
      <w:r w:rsidR="004D2E74">
        <w:rPr>
          <w:b/>
          <w:color w:val="000000" w:themeColor="text1"/>
          <w:sz w:val="28"/>
          <w:szCs w:val="28"/>
        </w:rPr>
        <w:t xml:space="preserve"> </w:t>
      </w:r>
      <w:r w:rsidR="003E00DC">
        <w:rPr>
          <w:b/>
          <w:color w:val="000000" w:themeColor="text1"/>
          <w:sz w:val="28"/>
          <w:szCs w:val="28"/>
        </w:rPr>
        <w:t>National Flood Insurance Program (</w:t>
      </w:r>
      <w:r w:rsidR="00E83715">
        <w:rPr>
          <w:b/>
          <w:color w:val="000000" w:themeColor="text1"/>
          <w:sz w:val="28"/>
          <w:szCs w:val="28"/>
        </w:rPr>
        <w:t>NFIP</w:t>
      </w:r>
      <w:r w:rsidR="003E00DC">
        <w:rPr>
          <w:b/>
          <w:color w:val="000000" w:themeColor="text1"/>
          <w:sz w:val="28"/>
          <w:szCs w:val="28"/>
        </w:rPr>
        <w:t>)</w:t>
      </w:r>
      <w:r w:rsidR="00E83715">
        <w:rPr>
          <w:b/>
          <w:color w:val="000000" w:themeColor="text1"/>
          <w:sz w:val="28"/>
          <w:szCs w:val="28"/>
        </w:rPr>
        <w:t xml:space="preserve"> Compliance Audit Reports</w:t>
      </w:r>
    </w:p>
    <w:p w:rsidR="00842E74" w:rsidRPr="00CA3E8C" w:rsidP="007B48AE" w14:paraId="1B821C2C" w14:textId="77777777">
      <w:pPr>
        <w:tabs>
          <w:tab w:val="left" w:pos="-720"/>
        </w:tabs>
        <w:suppressAutoHyphens/>
        <w:spacing w:line="276" w:lineRule="auto"/>
        <w:contextualSpacing/>
        <w:rPr>
          <w:b/>
          <w:color w:val="000000" w:themeColor="text1"/>
          <w:sz w:val="28"/>
          <w:szCs w:val="28"/>
        </w:rPr>
      </w:pPr>
    </w:p>
    <w:p w:rsidR="00E306EB" w:rsidRPr="00CA3E8C" w:rsidP="007B48AE" w14:paraId="370D3CDE" w14:textId="77777777">
      <w:pPr>
        <w:tabs>
          <w:tab w:val="left" w:pos="-720"/>
        </w:tabs>
        <w:suppressAutoHyphens/>
        <w:spacing w:line="276" w:lineRule="auto"/>
        <w:contextualSpacing/>
        <w:rPr>
          <w:b/>
          <w:color w:val="000000" w:themeColor="text1"/>
          <w:sz w:val="28"/>
          <w:szCs w:val="28"/>
        </w:rPr>
      </w:pPr>
      <w:r w:rsidRPr="00CA3E8C">
        <w:rPr>
          <w:b/>
          <w:color w:val="000000" w:themeColor="text1"/>
          <w:sz w:val="28"/>
          <w:szCs w:val="28"/>
        </w:rPr>
        <w:t xml:space="preserve">Form Number(s):  </w:t>
      </w:r>
    </w:p>
    <w:p w:rsidR="00E306EB" w:rsidRPr="007B48AE" w:rsidP="007B48AE" w14:paraId="14B71E16" w14:textId="46869F71">
      <w:pPr>
        <w:pStyle w:val="ListParagraph"/>
        <w:numPr>
          <w:ilvl w:val="0"/>
          <w:numId w:val="16"/>
        </w:numPr>
        <w:tabs>
          <w:tab w:val="left" w:pos="-720"/>
        </w:tabs>
        <w:suppressAutoHyphens/>
        <w:spacing w:line="276" w:lineRule="auto"/>
        <w:rPr>
          <w:b/>
          <w:color w:val="000000" w:themeColor="text1"/>
          <w:sz w:val="26"/>
          <w:szCs w:val="26"/>
        </w:rPr>
      </w:pPr>
      <w:r w:rsidRPr="007B48AE">
        <w:rPr>
          <w:b/>
          <w:color w:val="000000" w:themeColor="text1"/>
          <w:sz w:val="26"/>
          <w:szCs w:val="26"/>
        </w:rPr>
        <w:t xml:space="preserve">FEMA Form </w:t>
      </w:r>
      <w:r w:rsidRPr="007B48AE">
        <w:rPr>
          <w:b/>
          <w:color w:val="000000" w:themeColor="text1"/>
          <w:sz w:val="26"/>
          <w:szCs w:val="26"/>
        </w:rPr>
        <w:t xml:space="preserve">FF-206-FY-21-141 (formerly </w:t>
      </w:r>
      <w:r w:rsidRPr="007B48AE" w:rsidR="00B9413A">
        <w:rPr>
          <w:b/>
          <w:color w:val="000000" w:themeColor="text1"/>
          <w:sz w:val="26"/>
          <w:szCs w:val="26"/>
        </w:rPr>
        <w:t>086-0-28</w:t>
      </w:r>
      <w:r w:rsidRPr="007B48AE" w:rsidR="00C7288F">
        <w:rPr>
          <w:b/>
          <w:color w:val="000000" w:themeColor="text1"/>
          <w:sz w:val="26"/>
          <w:szCs w:val="26"/>
        </w:rPr>
        <w:t>(E)</w:t>
      </w:r>
      <w:r w:rsidRPr="007B48AE">
        <w:rPr>
          <w:b/>
          <w:color w:val="000000" w:themeColor="text1"/>
          <w:sz w:val="26"/>
          <w:szCs w:val="26"/>
        </w:rPr>
        <w:t>), Community Assistance Visit (CAV) Report</w:t>
      </w:r>
      <w:r w:rsidRPr="007B48AE" w:rsidR="00B42378">
        <w:rPr>
          <w:b/>
          <w:color w:val="000000" w:themeColor="text1"/>
          <w:sz w:val="26"/>
          <w:szCs w:val="26"/>
        </w:rPr>
        <w:t xml:space="preserve">; </w:t>
      </w:r>
      <w:r w:rsidRPr="007B48AE">
        <w:rPr>
          <w:b/>
          <w:color w:val="000000" w:themeColor="text1"/>
          <w:sz w:val="26"/>
          <w:szCs w:val="26"/>
        </w:rPr>
        <w:t>and</w:t>
      </w:r>
    </w:p>
    <w:p w:rsidR="003E6A29" w:rsidRPr="003E6A29" w:rsidP="003E6A29" w14:paraId="43611D4B" w14:textId="4C386CDA">
      <w:pPr>
        <w:pStyle w:val="ListParagraph"/>
        <w:numPr>
          <w:ilvl w:val="0"/>
          <w:numId w:val="16"/>
        </w:numPr>
        <w:tabs>
          <w:tab w:val="left" w:pos="-720"/>
        </w:tabs>
        <w:suppressAutoHyphens/>
        <w:spacing w:line="276" w:lineRule="auto"/>
        <w:rPr>
          <w:color w:val="000000" w:themeColor="text1"/>
          <w:sz w:val="26"/>
          <w:szCs w:val="26"/>
        </w:rPr>
      </w:pPr>
      <w:r w:rsidRPr="007B48AE">
        <w:rPr>
          <w:b/>
          <w:color w:val="000000" w:themeColor="text1"/>
          <w:sz w:val="26"/>
          <w:szCs w:val="26"/>
        </w:rPr>
        <w:t>FEMA Form</w:t>
      </w:r>
      <w:r w:rsidRPr="007B48AE" w:rsidR="00F84096">
        <w:rPr>
          <w:b/>
          <w:color w:val="000000" w:themeColor="text1"/>
          <w:sz w:val="26"/>
          <w:szCs w:val="26"/>
        </w:rPr>
        <w:t xml:space="preserve"> </w:t>
      </w:r>
      <w:r w:rsidRPr="007B48AE" w:rsidR="00E306EB">
        <w:rPr>
          <w:b/>
          <w:color w:val="000000" w:themeColor="text1"/>
          <w:sz w:val="26"/>
          <w:szCs w:val="26"/>
        </w:rPr>
        <w:t xml:space="preserve">FF-206-FY-21-142 (formerly </w:t>
      </w:r>
      <w:r w:rsidRPr="007B48AE" w:rsidR="00B9413A">
        <w:rPr>
          <w:b/>
          <w:color w:val="000000" w:themeColor="text1"/>
          <w:sz w:val="26"/>
          <w:szCs w:val="26"/>
        </w:rPr>
        <w:t>086-0-29</w:t>
      </w:r>
      <w:r w:rsidRPr="007B48AE" w:rsidR="00C7288F">
        <w:rPr>
          <w:b/>
          <w:color w:val="000000" w:themeColor="text1"/>
          <w:sz w:val="26"/>
          <w:szCs w:val="26"/>
        </w:rPr>
        <w:t>(E)</w:t>
      </w:r>
      <w:r w:rsidRPr="007B48AE" w:rsidR="00E306EB">
        <w:rPr>
          <w:b/>
          <w:color w:val="000000" w:themeColor="text1"/>
          <w:sz w:val="26"/>
          <w:szCs w:val="26"/>
        </w:rPr>
        <w:t>), Community Assistance Contact (CAC) Report</w:t>
      </w:r>
      <w:r w:rsidRPr="007B48AE" w:rsidR="003E00DC">
        <w:rPr>
          <w:b/>
          <w:color w:val="000000" w:themeColor="text1"/>
          <w:sz w:val="26"/>
          <w:szCs w:val="26"/>
        </w:rPr>
        <w:t>; and</w:t>
      </w:r>
    </w:p>
    <w:p w:rsidR="00E83715" w:rsidRPr="003E6A29" w:rsidP="003E6A29" w14:paraId="72048C9A" w14:textId="391DB2CC">
      <w:pPr>
        <w:pStyle w:val="ListParagraph"/>
        <w:numPr>
          <w:ilvl w:val="0"/>
          <w:numId w:val="16"/>
        </w:numPr>
        <w:tabs>
          <w:tab w:val="left" w:pos="-720"/>
        </w:tabs>
        <w:suppressAutoHyphens/>
        <w:spacing w:line="276" w:lineRule="auto"/>
        <w:rPr>
          <w:color w:val="000000" w:themeColor="text1"/>
          <w:sz w:val="26"/>
          <w:szCs w:val="26"/>
        </w:rPr>
      </w:pPr>
      <w:r w:rsidRPr="003E6A29">
        <w:rPr>
          <w:b/>
          <w:color w:val="000000" w:themeColor="text1"/>
          <w:sz w:val="26"/>
          <w:szCs w:val="26"/>
        </w:rPr>
        <w:t xml:space="preserve">FEMA Form </w:t>
      </w:r>
      <w:r w:rsidRPr="003E6A29" w:rsidR="003E00DC">
        <w:rPr>
          <w:b/>
          <w:sz w:val="26"/>
          <w:szCs w:val="26"/>
        </w:rPr>
        <w:t>FF-206-FY-2</w:t>
      </w:r>
      <w:r w:rsidRPr="003E6A29" w:rsidR="0028316E">
        <w:rPr>
          <w:b/>
          <w:sz w:val="26"/>
          <w:szCs w:val="26"/>
        </w:rPr>
        <w:t>4</w:t>
      </w:r>
      <w:r w:rsidRPr="003E6A29" w:rsidR="003E00DC">
        <w:rPr>
          <w:b/>
          <w:sz w:val="26"/>
          <w:szCs w:val="26"/>
        </w:rPr>
        <w:t>-</w:t>
      </w:r>
      <w:r w:rsidRPr="003E6A29" w:rsidR="0028316E">
        <w:rPr>
          <w:b/>
          <w:sz w:val="26"/>
          <w:szCs w:val="26"/>
        </w:rPr>
        <w:t>100</w:t>
      </w:r>
      <w:r w:rsidRPr="003E6A29">
        <w:rPr>
          <w:b/>
          <w:color w:val="000000" w:themeColor="text1"/>
          <w:sz w:val="26"/>
          <w:szCs w:val="26"/>
        </w:rPr>
        <w:t xml:space="preserve">, </w:t>
      </w:r>
      <w:r w:rsidRPr="003E6A29" w:rsidR="003E00DC">
        <w:rPr>
          <w:b/>
          <w:color w:val="000000" w:themeColor="text1"/>
          <w:sz w:val="26"/>
          <w:szCs w:val="26"/>
        </w:rPr>
        <w:t>National Flood Insurance Program (</w:t>
      </w:r>
      <w:r w:rsidRPr="003E6A29">
        <w:rPr>
          <w:b/>
          <w:color w:val="000000" w:themeColor="text1"/>
          <w:sz w:val="26"/>
          <w:szCs w:val="26"/>
        </w:rPr>
        <w:t>NFIP</w:t>
      </w:r>
      <w:r w:rsidRPr="003E6A29" w:rsidR="003E00DC">
        <w:rPr>
          <w:b/>
          <w:color w:val="000000" w:themeColor="text1"/>
          <w:sz w:val="26"/>
          <w:szCs w:val="26"/>
        </w:rPr>
        <w:t>)</w:t>
      </w:r>
      <w:r w:rsidRPr="003E6A29">
        <w:rPr>
          <w:b/>
          <w:color w:val="000000" w:themeColor="text1"/>
          <w:sz w:val="26"/>
          <w:szCs w:val="26"/>
        </w:rPr>
        <w:t xml:space="preserve"> Compliance Audit Report</w:t>
      </w:r>
      <w:r w:rsidRPr="003E6A29" w:rsidR="003E00DC">
        <w:rPr>
          <w:b/>
          <w:color w:val="000000" w:themeColor="text1"/>
          <w:sz w:val="26"/>
          <w:szCs w:val="26"/>
        </w:rPr>
        <w:t>.</w:t>
      </w:r>
    </w:p>
    <w:p w:rsidR="00842E74" w:rsidRPr="00CA3E8C" w:rsidP="007B48AE" w14:paraId="5E49CB2B" w14:textId="77777777">
      <w:pPr>
        <w:tabs>
          <w:tab w:val="left" w:pos="-720"/>
        </w:tabs>
        <w:suppressAutoHyphens/>
        <w:spacing w:line="276" w:lineRule="auto"/>
        <w:contextualSpacing/>
        <w:rPr>
          <w:color w:val="000000" w:themeColor="text1"/>
        </w:rPr>
      </w:pPr>
    </w:p>
    <w:p w:rsidR="00842E74" w:rsidRPr="007B48AE" w:rsidP="007B48AE" w14:paraId="500429A1" w14:textId="26FD4095">
      <w:pPr>
        <w:pStyle w:val="Heading1"/>
        <w:tabs>
          <w:tab w:val="left" w:pos="3204"/>
        </w:tabs>
        <w:spacing w:line="276" w:lineRule="auto"/>
        <w:contextualSpacing/>
        <w:rPr>
          <w:szCs w:val="28"/>
        </w:rPr>
      </w:pPr>
      <w:r w:rsidRPr="007B48AE">
        <w:rPr>
          <w:szCs w:val="28"/>
        </w:rPr>
        <w:t>General Instructions</w:t>
      </w:r>
      <w:r w:rsidRPr="007B48AE" w:rsidR="00CA5BB5">
        <w:rPr>
          <w:szCs w:val="28"/>
        </w:rPr>
        <w:tab/>
        <w:t xml:space="preserve"> </w:t>
      </w:r>
    </w:p>
    <w:p w:rsidR="00842E74" w:rsidRPr="008B72DE" w:rsidP="007B48AE" w14:paraId="4ABDECBD" w14:textId="77777777">
      <w:pPr>
        <w:tabs>
          <w:tab w:val="left" w:pos="-720"/>
        </w:tabs>
        <w:suppressAutoHyphens/>
        <w:spacing w:line="276" w:lineRule="auto"/>
        <w:contextualSpacing/>
      </w:pPr>
    </w:p>
    <w:p w:rsidR="00842E74" w:rsidRPr="00CA3E8C" w:rsidP="007B48AE" w14:paraId="732FF409" w14:textId="3E272F70">
      <w:pPr>
        <w:tabs>
          <w:tab w:val="left" w:pos="-720"/>
        </w:tabs>
        <w:suppressAutoHyphens/>
        <w:spacing w:line="276" w:lineRule="auto"/>
        <w:contextualSpacing/>
      </w:pPr>
      <w:r w:rsidRPr="00CA3E8C">
        <w:t>A Supporting Statement, including the text of the notice to the public required by 5 CFR 1320.5(a)(</w:t>
      </w:r>
      <w:r w:rsidR="00E65A0F">
        <w:t>1</w:t>
      </w:r>
      <w:r w:rsidRPr="008B72DE">
        <w:t>)(iv) and its actual or estimated date of publication in the Federal Register, must accompany each request for approval of a collection of information.  The Supporting Statement must be prepared in the format described below, and must contain the informati</w:t>
      </w:r>
      <w:r w:rsidRPr="00CA3E8C">
        <w:t>on specified in Section A below.  If an item is not applicable</w:t>
      </w:r>
      <w:r w:rsidRPr="00CA3E8C" w:rsidR="00327DDB">
        <w:t xml:space="preserve">, provide a brief explanation. </w:t>
      </w:r>
      <w:r w:rsidRPr="00CA3E8C" w:rsidR="0000174D">
        <w:t xml:space="preserve"> </w:t>
      </w:r>
      <w:r w:rsidRPr="00CA3E8C">
        <w:t>When Item 17 or the OMB Form 83-I is checked “Yes”, Section B of the Supporting Statement must be completed.  OMB reserves the right to require the submission of additional information with respect to any request for approval.</w:t>
      </w:r>
    </w:p>
    <w:p w:rsidR="00842E74" w:rsidRPr="00CA3E8C" w:rsidP="007B48AE" w14:paraId="11B1F442" w14:textId="77777777">
      <w:pPr>
        <w:tabs>
          <w:tab w:val="left" w:pos="-720"/>
        </w:tabs>
        <w:suppressAutoHyphens/>
        <w:spacing w:line="276" w:lineRule="auto"/>
        <w:contextualSpacing/>
      </w:pPr>
    </w:p>
    <w:p w:rsidR="00842E74" w:rsidRPr="00CA3E8C" w:rsidP="007B48AE" w14:paraId="72F44C88" w14:textId="77777777">
      <w:pPr>
        <w:pStyle w:val="Heading1"/>
        <w:spacing w:line="276" w:lineRule="auto"/>
        <w:contextualSpacing/>
        <w:rPr>
          <w:szCs w:val="28"/>
        </w:rPr>
      </w:pPr>
      <w:r w:rsidRPr="00CA3E8C">
        <w:rPr>
          <w:szCs w:val="28"/>
        </w:rPr>
        <w:t>Specific Instructions</w:t>
      </w:r>
    </w:p>
    <w:p w:rsidR="00842E74" w:rsidRPr="00CA3E8C" w:rsidP="007B48AE" w14:paraId="21290554" w14:textId="77777777">
      <w:pPr>
        <w:tabs>
          <w:tab w:val="left" w:pos="-720"/>
        </w:tabs>
        <w:suppressAutoHyphens/>
        <w:spacing w:line="276" w:lineRule="auto"/>
        <w:contextualSpacing/>
        <w:rPr>
          <w:sz w:val="28"/>
          <w:szCs w:val="28"/>
        </w:rPr>
      </w:pPr>
    </w:p>
    <w:p w:rsidR="00842E74" w:rsidRPr="00CA3E8C" w:rsidP="007B48AE" w14:paraId="3DBE2E2C" w14:textId="77777777">
      <w:pPr>
        <w:pStyle w:val="Heading1"/>
        <w:spacing w:line="276" w:lineRule="auto"/>
        <w:contextualSpacing/>
        <w:rPr>
          <w:szCs w:val="28"/>
        </w:rPr>
      </w:pPr>
      <w:r w:rsidRPr="005A0904">
        <w:rPr>
          <w:szCs w:val="28"/>
        </w:rPr>
        <w:t>A.  Justification</w:t>
      </w:r>
    </w:p>
    <w:p w:rsidR="00842E74" w:rsidRPr="006A4AF3" w:rsidP="006A4AF3" w14:paraId="43FE32D7" w14:textId="77777777">
      <w:pPr>
        <w:spacing w:line="276" w:lineRule="auto"/>
        <w:contextualSpacing/>
      </w:pPr>
    </w:p>
    <w:p w:rsidR="00232C69" w:rsidRPr="006A4AF3" w:rsidP="006A4AF3" w14:paraId="09F12851" w14:textId="13A84ED9">
      <w:pPr>
        <w:numPr>
          <w:ilvl w:val="0"/>
          <w:numId w:val="10"/>
        </w:numPr>
        <w:spacing w:line="276" w:lineRule="auto"/>
        <w:contextualSpacing/>
        <w:rPr>
          <w:b/>
          <w:bCs/>
        </w:rPr>
      </w:pPr>
      <w:r w:rsidRPr="006A4AF3">
        <w:rPr>
          <w:b/>
          <w:bCs/>
        </w:rPr>
        <w:fldChar w:fldCharType="begin"/>
      </w:r>
      <w:r w:rsidRPr="006A4AF3" w:rsidR="00842E74">
        <w:rPr>
          <w:b/>
          <w:bCs/>
        </w:rPr>
        <w:instrText>ADVANCE \R 0.95</w:instrText>
      </w:r>
      <w:r w:rsidRPr="006A4AF3">
        <w:rPr>
          <w:b/>
          <w:bCs/>
        </w:rPr>
        <w:fldChar w:fldCharType="end"/>
      </w:r>
      <w:r w:rsidRPr="006A4AF3" w:rsidR="00F270A0">
        <w:rPr>
          <w:b/>
          <w:bCs/>
        </w:rPr>
        <w:t xml:space="preserve">1.  </w:t>
      </w:r>
      <w:r w:rsidRPr="006A4AF3" w:rsidR="00842E74">
        <w:rPr>
          <w:b/>
          <w:bCs/>
        </w:rPr>
        <w:t xml:space="preserve">Explain the circumstances that make the collection of information necessary. </w:t>
      </w:r>
    </w:p>
    <w:p w:rsidR="00842E74" w:rsidRPr="006A4AF3" w:rsidP="006A4AF3" w14:paraId="03A46679" w14:textId="77777777">
      <w:pPr>
        <w:spacing w:line="276" w:lineRule="auto"/>
        <w:contextualSpacing/>
        <w:rPr>
          <w:b/>
          <w:bCs/>
        </w:rPr>
      </w:pPr>
      <w:r w:rsidRPr="006A4AF3">
        <w:rPr>
          <w:b/>
          <w:bCs/>
        </w:rPr>
        <w:t>Identify any legal</w:t>
      </w:r>
      <w:r w:rsidRPr="006A4AF3" w:rsidR="006A4787">
        <w:rPr>
          <w:b/>
          <w:bCs/>
        </w:rPr>
        <w:t xml:space="preserve"> </w:t>
      </w:r>
      <w:r w:rsidRPr="006A4AF3">
        <w:rPr>
          <w:b/>
          <w:bCs/>
        </w:rPr>
        <w:t xml:space="preserve">or administrative requirements that necessitate the collection.  Attach a copy of the appropriate section of each statute and regulation mandating </w:t>
      </w:r>
      <w:r w:rsidRPr="006A4AF3">
        <w:rPr>
          <w:b/>
          <w:bCs/>
        </w:rPr>
        <w:t xml:space="preserve">or authorizing the collection of information.  Provide a detailed description of the nature and source of the information to be collected.   </w:t>
      </w:r>
    </w:p>
    <w:p w:rsidR="00842E74" w:rsidRPr="006A4AF3" w:rsidP="006A4AF3" w14:paraId="54FBE887" w14:textId="77777777">
      <w:pPr>
        <w:spacing w:line="276" w:lineRule="auto"/>
        <w:contextualSpacing/>
        <w:rPr>
          <w:spacing w:val="-3"/>
          <w:u w:val="single"/>
        </w:rPr>
      </w:pPr>
    </w:p>
    <w:p w:rsidR="00B9413A" w:rsidRPr="006A4AF3" w:rsidP="006A4AF3" w14:paraId="5F146233" w14:textId="3D79C25C">
      <w:pPr>
        <w:spacing w:line="276" w:lineRule="auto"/>
        <w:contextualSpacing/>
        <w:rPr>
          <w:color w:val="000000" w:themeColor="text1"/>
        </w:rPr>
      </w:pPr>
      <w:r w:rsidRPr="006A4AF3">
        <w:t>T</w:t>
      </w:r>
      <w:r w:rsidRPr="006A4AF3" w:rsidR="013B2F86">
        <w:t xml:space="preserve">he National Flood Insurance Program (NFIP), codified as 42 U.S.C. 4001, </w:t>
      </w:r>
      <w:r w:rsidRPr="006A4AF3" w:rsidR="013B2F86">
        <w:rPr>
          <w:i/>
          <w:iCs/>
        </w:rPr>
        <w:t>et se</w:t>
      </w:r>
      <w:r w:rsidRPr="006A4AF3" w:rsidR="6C1B82F9">
        <w:rPr>
          <w:i/>
          <w:iCs/>
        </w:rPr>
        <w:t>q</w:t>
      </w:r>
      <w:r w:rsidRPr="006A4AF3" w:rsidR="013B2F86">
        <w:t>., is authorized by Public Law 90-448</w:t>
      </w:r>
      <w:r w:rsidRPr="006A4AF3" w:rsidR="314B8E10">
        <w:t xml:space="preserve"> </w:t>
      </w:r>
      <w:r w:rsidRPr="006A4AF3" w:rsidR="013B2F86">
        <w:t>(1968) and expanded by Public Law 93-234 (1973)</w:t>
      </w:r>
      <w:r w:rsidRPr="006A4AF3">
        <w:t>.  The Department of Homeland Security’s Federal Emergency Management Agency (FEMA) administers the NFIP, and a major objective of the NFIP is to assure that participating communities are achieving the flood loss reduction objectives</w:t>
      </w:r>
      <w:r w:rsidRPr="006A4AF3" w:rsidR="451E910E">
        <w:t xml:space="preserve"> through implementation and enforcement of adequate land use and control measures</w:t>
      </w:r>
      <w:r w:rsidRPr="006A4AF3">
        <w:t xml:space="preserve">. </w:t>
      </w:r>
      <w:r w:rsidRPr="006A4AF3" w:rsidR="3DED0A30">
        <w:t xml:space="preserve"> </w:t>
      </w:r>
      <w:r w:rsidRPr="006A4AF3" w:rsidR="451E910E">
        <w:t xml:space="preserve">Sections 1315 and 1361 provide the basis for </w:t>
      </w:r>
      <w:r w:rsidRPr="006A4AF3">
        <w:t>FE</w:t>
      </w:r>
      <w:r w:rsidRPr="006A4AF3" w:rsidR="451E910E">
        <w:t xml:space="preserve">MA’s </w:t>
      </w:r>
      <w:r w:rsidRPr="006A4AF3" w:rsidR="013B2F86">
        <w:t>process to evaluate how well communities are implementing their f</w:t>
      </w:r>
      <w:r w:rsidRPr="006A4AF3" w:rsidR="459EEA46">
        <w:t>loodplain management programs</w:t>
      </w:r>
      <w:r w:rsidRPr="006A4AF3" w:rsidR="770B5841">
        <w:t xml:space="preserve">.  </w:t>
      </w:r>
      <w:r w:rsidRPr="006A4AF3" w:rsidR="73C02DB7">
        <w:t xml:space="preserve">44 CFR </w:t>
      </w:r>
      <w:r w:rsidRPr="006A4AF3" w:rsidR="770B5841">
        <w:t xml:space="preserve">59.22 directs the respondent to submit evidence of the corrective and preventive measures taken to meet </w:t>
      </w:r>
      <w:r w:rsidRPr="006A4AF3" w:rsidR="770B5841">
        <w:rPr>
          <w:color w:val="000000" w:themeColor="text1"/>
        </w:rPr>
        <w:t>the flood loss reduction objectives</w:t>
      </w:r>
      <w:r w:rsidRPr="006A4AF3" w:rsidR="459EEA46">
        <w:rPr>
          <w:color w:val="000000" w:themeColor="text1"/>
        </w:rPr>
        <w:t>.</w:t>
      </w:r>
    </w:p>
    <w:p w:rsidR="00235349" w:rsidRPr="006A4AF3" w:rsidP="006A4AF3" w14:paraId="2C083298" w14:textId="77777777">
      <w:pPr>
        <w:spacing w:line="276" w:lineRule="auto"/>
        <w:contextualSpacing/>
        <w:rPr>
          <w:color w:val="000000" w:themeColor="text1"/>
        </w:rPr>
      </w:pPr>
    </w:p>
    <w:p w:rsidR="00235349" w:rsidRPr="006A4AF3" w:rsidP="006A4AF3" w14:paraId="5189B28E" w14:textId="3E6C4B48">
      <w:pPr>
        <w:spacing w:line="276" w:lineRule="auto"/>
        <w:contextualSpacing/>
      </w:pPr>
      <w:r w:rsidRPr="006A4AF3">
        <w:rPr>
          <w:color w:val="000000" w:themeColor="text1"/>
        </w:rPr>
        <w:t>Historically, t</w:t>
      </w:r>
      <w:r w:rsidRPr="006A4AF3">
        <w:rPr>
          <w:color w:val="000000" w:themeColor="text1"/>
        </w:rPr>
        <w:t>he two key methods FEMA use</w:t>
      </w:r>
      <w:r w:rsidRPr="006A4AF3">
        <w:rPr>
          <w:color w:val="000000" w:themeColor="text1"/>
        </w:rPr>
        <w:t>d</w:t>
      </w:r>
      <w:r w:rsidRPr="006A4AF3">
        <w:rPr>
          <w:color w:val="000000" w:themeColor="text1"/>
        </w:rPr>
        <w:t xml:space="preserve"> in determining community assistance needs </w:t>
      </w:r>
      <w:r w:rsidRPr="006A4AF3">
        <w:rPr>
          <w:color w:val="000000" w:themeColor="text1"/>
        </w:rPr>
        <w:t xml:space="preserve">were </w:t>
      </w:r>
      <w:r w:rsidRPr="006A4AF3">
        <w:rPr>
          <w:color w:val="000000" w:themeColor="text1"/>
        </w:rPr>
        <w:t xml:space="preserve">through the </w:t>
      </w:r>
      <w:r w:rsidRPr="006A4AF3">
        <w:t>Community Assistance Contact (CAC) and Community Assistance Visit (CAV), which serve to provide a systematic means of monitoring community NFIP compliance.  Through the CAC and CAV, FEMA can also determine to what extent communities are achieving the flood loss reduction objectives of the NFIP.  By providing assistance to communities, the CAC and CAV also serve to enhance FEMA’s goals of reducing future flood losses, thereby achieving the cost-containment objective of the NFIP.</w:t>
      </w:r>
      <w:r w:rsidRPr="006A4AF3">
        <w:t xml:space="preserve"> </w:t>
      </w:r>
    </w:p>
    <w:p w:rsidR="00E83715" w:rsidRPr="006A4AF3" w:rsidP="006A4AF3" w14:paraId="3AAECC8C" w14:textId="2BCE4C2C">
      <w:pPr>
        <w:spacing w:line="276" w:lineRule="auto"/>
        <w:contextualSpacing/>
      </w:pPr>
    </w:p>
    <w:p w:rsidR="00E83715" w:rsidRPr="006A4AF3" w:rsidP="006A4AF3" w14:paraId="4A30DF1F" w14:textId="52C47999">
      <w:pPr>
        <w:spacing w:line="276" w:lineRule="auto"/>
        <w:contextualSpacing/>
      </w:pPr>
      <w:bookmarkStart w:id="0" w:name="_Hlk141973125"/>
      <w:r w:rsidRPr="006A4AF3">
        <w:t xml:space="preserve">FEMA is moving away from CAV and CAC reports to the newly designed process of NFIP </w:t>
      </w:r>
      <w:r w:rsidRPr="006A4AF3" w:rsidR="0026668E">
        <w:t>Compliance</w:t>
      </w:r>
      <w:r w:rsidRPr="006A4AF3">
        <w:t xml:space="preserve"> Audits</w:t>
      </w:r>
      <w:r w:rsidRPr="006A4AF3" w:rsidR="0026668E">
        <w:t xml:space="preserve"> in response to a report issued on </w:t>
      </w:r>
      <w:r w:rsidRPr="006A4AF3">
        <w:t>May 5, 2020</w:t>
      </w:r>
      <w:r w:rsidRPr="006A4AF3" w:rsidR="003E00DC">
        <w:t>,</w:t>
      </w:r>
      <w:r w:rsidRPr="006A4AF3">
        <w:t xml:space="preserve"> </w:t>
      </w:r>
      <w:r w:rsidRPr="006A4AF3" w:rsidR="0026668E">
        <w:t xml:space="preserve">by </w:t>
      </w:r>
      <w:r w:rsidRPr="006A4AF3">
        <w:t xml:space="preserve">the Government Accounting Office (GAO) entitled “National Flood Insurance Program: FEMA Can Improve Community Oversight and Data Sharing”. </w:t>
      </w:r>
      <w:r w:rsidRPr="006A4AF3" w:rsidR="003E00DC">
        <w:t xml:space="preserve"> </w:t>
      </w:r>
      <w:r w:rsidRPr="006A4AF3">
        <w:t xml:space="preserve">This report was based on a study conducted by the GAO and gave several recommendations including the following: </w:t>
      </w:r>
      <w:r w:rsidRPr="00D726A2">
        <w:rPr>
          <w:color w:val="2E2E2E"/>
          <w:spacing w:val="7"/>
          <w:shd w:val="clear" w:color="auto" w:fill="FFFFFF"/>
        </w:rPr>
        <w:t xml:space="preserve">assess different approaches for ensuring compliance with NFIP </w:t>
      </w:r>
      <w:r w:rsidRPr="006A4AF3" w:rsidR="0026668E">
        <w:rPr>
          <w:color w:val="2E2E2E"/>
          <w:spacing w:val="7"/>
          <w:shd w:val="clear" w:color="auto" w:fill="FFFFFF"/>
        </w:rPr>
        <w:t>requirements and</w:t>
      </w:r>
      <w:r w:rsidRPr="006A4AF3">
        <w:rPr>
          <w:color w:val="2E2E2E"/>
          <w:spacing w:val="7"/>
          <w:shd w:val="clear" w:color="auto" w:fill="FFFFFF"/>
        </w:rPr>
        <w:t xml:space="preserve"> </w:t>
      </w:r>
      <w:r w:rsidRPr="00D726A2">
        <w:rPr>
          <w:color w:val="2E2E2E"/>
          <w:spacing w:val="7"/>
          <w:shd w:val="clear" w:color="auto" w:fill="FFFFFF"/>
        </w:rPr>
        <w:t>ensure data on community visits are up-to-date and complete</w:t>
      </w:r>
      <w:r w:rsidRPr="006A4AF3">
        <w:rPr>
          <w:color w:val="2E2E2E"/>
          <w:spacing w:val="7"/>
          <w:shd w:val="clear" w:color="auto" w:fill="FFFFFF"/>
        </w:rPr>
        <w:t xml:space="preserve">. </w:t>
      </w:r>
      <w:r w:rsidRPr="006A4AF3" w:rsidR="003E00DC">
        <w:rPr>
          <w:color w:val="2E2E2E"/>
          <w:spacing w:val="7"/>
          <w:shd w:val="clear" w:color="auto" w:fill="FFFFFF"/>
        </w:rPr>
        <w:t xml:space="preserve"> </w:t>
      </w:r>
      <w:r w:rsidRPr="006A4AF3" w:rsidR="0026668E">
        <w:rPr>
          <w:color w:val="2E2E2E"/>
          <w:spacing w:val="7"/>
          <w:shd w:val="clear" w:color="auto" w:fill="FFFFFF"/>
        </w:rPr>
        <w:t xml:space="preserve">While the new NFIP Compliance Audit process </w:t>
      </w:r>
      <w:r w:rsidR="006E3F5C">
        <w:rPr>
          <w:color w:val="2E2E2E"/>
          <w:spacing w:val="7"/>
          <w:shd w:val="clear" w:color="auto" w:fill="FFFFFF"/>
        </w:rPr>
        <w:t>aligns with</w:t>
      </w:r>
      <w:r w:rsidRPr="006A4AF3" w:rsidR="006E3F5C">
        <w:rPr>
          <w:color w:val="2E2E2E"/>
          <w:spacing w:val="7"/>
          <w:shd w:val="clear" w:color="auto" w:fill="FFFFFF"/>
        </w:rPr>
        <w:t xml:space="preserve"> </w:t>
      </w:r>
      <w:r w:rsidRPr="006A4AF3" w:rsidR="0026668E">
        <w:rPr>
          <w:color w:val="2E2E2E"/>
          <w:spacing w:val="7"/>
          <w:shd w:val="clear" w:color="auto" w:fill="FFFFFF"/>
        </w:rPr>
        <w:t xml:space="preserve">the old CAV and CAC processes, it is more organized, more consistent, more transparent, and allows for better documentation. </w:t>
      </w:r>
      <w:r w:rsidRPr="006A4AF3" w:rsidR="003E00DC">
        <w:rPr>
          <w:color w:val="2E2E2E"/>
          <w:spacing w:val="7"/>
          <w:shd w:val="clear" w:color="auto" w:fill="FFFFFF"/>
        </w:rPr>
        <w:t xml:space="preserve"> </w:t>
      </w:r>
      <w:r w:rsidRPr="006A4AF3" w:rsidR="0026668E">
        <w:rPr>
          <w:color w:val="2E2E2E"/>
          <w:spacing w:val="7"/>
          <w:shd w:val="clear" w:color="auto" w:fill="FFFFFF"/>
        </w:rPr>
        <w:t xml:space="preserve">The main efficiency gained in the new </w:t>
      </w:r>
      <w:r w:rsidRPr="48F7C67D" w:rsidR="47EDE006">
        <w:rPr>
          <w:color w:val="2E2E2E"/>
        </w:rPr>
        <w:t>process</w:t>
      </w:r>
      <w:r w:rsidRPr="006A4AF3" w:rsidR="0026668E">
        <w:rPr>
          <w:color w:val="2E2E2E"/>
          <w:spacing w:val="7"/>
          <w:shd w:val="clear" w:color="auto" w:fill="FFFFFF"/>
        </w:rPr>
        <w:t xml:space="preserve"> is that it’s a progressive audit which allows for varying depths of investigation based on the community’s needs</w:t>
      </w:r>
      <w:r w:rsidRPr="006A4AF3" w:rsidR="00814597">
        <w:rPr>
          <w:color w:val="2E2E2E"/>
          <w:spacing w:val="7"/>
          <w:shd w:val="clear" w:color="auto" w:fill="FFFFFF"/>
        </w:rPr>
        <w:t xml:space="preserve">. </w:t>
      </w:r>
      <w:r w:rsidRPr="006A4AF3" w:rsidR="003E00DC">
        <w:rPr>
          <w:color w:val="2E2E2E"/>
          <w:spacing w:val="7"/>
          <w:shd w:val="clear" w:color="auto" w:fill="FFFFFF"/>
        </w:rPr>
        <w:t xml:space="preserve"> </w:t>
      </w:r>
      <w:r w:rsidRPr="006A4AF3" w:rsidR="00814597">
        <w:rPr>
          <w:color w:val="000000" w:themeColor="text1"/>
        </w:rPr>
        <w:t xml:space="preserve">Also new is a compliance score. </w:t>
      </w:r>
      <w:r w:rsidRPr="006A4AF3" w:rsidR="003E00DC">
        <w:rPr>
          <w:color w:val="000000" w:themeColor="text1"/>
        </w:rPr>
        <w:t xml:space="preserve"> </w:t>
      </w:r>
      <w:r w:rsidRPr="006A4AF3" w:rsidR="00814597">
        <w:rPr>
          <w:color w:val="000000" w:themeColor="text1"/>
        </w:rPr>
        <w:t xml:space="preserve">These two improvements will allow FEMA to better utilize limited resources to achieve </w:t>
      </w:r>
      <w:r w:rsidRPr="006A4AF3" w:rsidR="00EA0921">
        <w:rPr>
          <w:color w:val="000000" w:themeColor="text1"/>
        </w:rPr>
        <w:t>increased</w:t>
      </w:r>
      <w:r w:rsidRPr="006A4AF3" w:rsidR="00814597">
        <w:rPr>
          <w:color w:val="000000" w:themeColor="text1"/>
        </w:rPr>
        <w:t xml:space="preserve"> community </w:t>
      </w:r>
      <w:r w:rsidRPr="006A4AF3" w:rsidR="00EA0921">
        <w:rPr>
          <w:color w:val="000000" w:themeColor="text1"/>
        </w:rPr>
        <w:t>compliance</w:t>
      </w:r>
      <w:r w:rsidRPr="006A4AF3" w:rsidR="00814597">
        <w:rPr>
          <w:color w:val="000000" w:themeColor="text1"/>
        </w:rPr>
        <w:t>.</w:t>
      </w:r>
      <w:r w:rsidRPr="006A4AF3" w:rsidR="0026668E">
        <w:rPr>
          <w:color w:val="2E2E2E"/>
          <w:spacing w:val="7"/>
          <w:shd w:val="clear" w:color="auto" w:fill="FFFFFF"/>
        </w:rPr>
        <w:t xml:space="preserve"> </w:t>
      </w:r>
    </w:p>
    <w:bookmarkEnd w:id="0"/>
    <w:p w:rsidR="00391F0C" w14:paraId="1F2B8719" w14:textId="77777777">
      <w:pPr>
        <w:spacing w:line="276" w:lineRule="auto"/>
        <w:contextualSpacing/>
      </w:pPr>
    </w:p>
    <w:p w:rsidR="004D2E74" w:rsidRPr="00A409C5" w14:paraId="70955F05" w14:textId="309DE561">
      <w:pPr>
        <w:spacing w:line="276" w:lineRule="auto"/>
        <w:contextualSpacing/>
      </w:pPr>
      <w:r>
        <w:t>FEMA is changing the name of this collection</w:t>
      </w:r>
      <w:r w:rsidR="00391F0C">
        <w:t xml:space="preserve"> </w:t>
      </w:r>
      <w:r w:rsidR="006E3F5C">
        <w:t xml:space="preserve">to </w:t>
      </w:r>
      <w:r>
        <w:t xml:space="preserve">match the upcoming transition from the CAC and CAV reports to the NFIP Compliance Audits, and added the NFIP Compliance </w:t>
      </w:r>
      <w:r>
        <w:t xml:space="preserve">Audit as an instrument to this collection.  The CAC and CAV reports will remain as </w:t>
      </w:r>
      <w:r w:rsidRPr="00A409C5">
        <w:t>instruments in this collection as FEMA transitions to the NFIP Compliance Audits over the next few years.</w:t>
      </w:r>
    </w:p>
    <w:p w:rsidR="00B9413A" w:rsidRPr="00435D69" w:rsidP="006A4AF3" w14:paraId="2A93DA6A" w14:textId="6A5AC7FE">
      <w:pPr>
        <w:spacing w:line="276" w:lineRule="auto"/>
        <w:contextualSpacing/>
        <w:rPr>
          <w:spacing w:val="-3"/>
        </w:rPr>
      </w:pPr>
    </w:p>
    <w:p w:rsidR="008666F4" w:rsidRPr="00435D69" w:rsidP="006A4AF3" w14:paraId="37B74500" w14:textId="359B693A">
      <w:pPr>
        <w:spacing w:line="276" w:lineRule="auto"/>
        <w:contextualSpacing/>
      </w:pPr>
      <w:r w:rsidRPr="00435D69">
        <w:rPr>
          <w:spacing w:val="-3"/>
        </w:rPr>
        <w:t xml:space="preserve">FEMA is also adding </w:t>
      </w:r>
      <w:r w:rsidR="00F71F75">
        <w:t>the collection of information from NFIP-participating communities in order</w:t>
      </w:r>
      <w:r w:rsidR="000020FC">
        <w:t xml:space="preserve"> to</w:t>
      </w:r>
      <w:r w:rsidR="00F71F75">
        <w:t xml:space="preserve"> comply with the Endangered Species Act.</w:t>
      </w:r>
      <w:r w:rsidRPr="0018064A" w:rsidR="00F71F75">
        <w:rPr>
          <w:color w:val="000000" w:themeColor="text1"/>
        </w:rPr>
        <w:t xml:space="preserve"> </w:t>
      </w:r>
      <w:r w:rsidR="00F71F75">
        <w:rPr>
          <w:color w:val="000000" w:themeColor="text1"/>
        </w:rPr>
        <w:t xml:space="preserve"> The information may include the impact of the proposed development on the natural floodplain functions, the amount of fill, compensatory storage information, the amount of impervious surface, the area in which clearing/grading may occur, the number of trees removed, and other information related to </w:t>
      </w:r>
      <w:r w:rsidRPr="00435D69" w:rsidR="5976A1BC">
        <w:rPr>
          <w:spacing w:val="-3"/>
        </w:rPr>
        <w:t>hydraulic connections.</w:t>
      </w:r>
    </w:p>
    <w:p w:rsidR="008666F4" w:rsidRPr="00435D69" w:rsidP="006A4AF3" w14:paraId="401D1960" w14:textId="77777777">
      <w:pPr>
        <w:spacing w:line="276" w:lineRule="auto"/>
        <w:contextualSpacing/>
        <w:rPr>
          <w:spacing w:val="-3"/>
        </w:rPr>
      </w:pPr>
    </w:p>
    <w:p w:rsidR="00842E74" w:rsidRPr="006A4AF3" w:rsidP="006A4AF3" w14:paraId="052ECC69" w14:textId="77777777">
      <w:pPr>
        <w:spacing w:line="276" w:lineRule="auto"/>
        <w:contextualSpacing/>
        <w:rPr>
          <w:b/>
          <w:bCs/>
          <w:spacing w:val="-3"/>
        </w:rPr>
      </w:pPr>
      <w:r w:rsidRPr="006A4AF3">
        <w:rPr>
          <w:b/>
          <w:bCs/>
        </w:rPr>
        <w:fldChar w:fldCharType="begin"/>
      </w:r>
      <w:r w:rsidRPr="006A4AF3">
        <w:rPr>
          <w:b/>
          <w:bCs/>
        </w:rPr>
        <w:instrText>ADVANCE \R 0.95</w:instrText>
      </w:r>
      <w:r w:rsidRPr="006A4AF3">
        <w:rPr>
          <w:b/>
          <w:bCs/>
        </w:rPr>
        <w:fldChar w:fldCharType="end"/>
      </w:r>
      <w:r w:rsidRPr="006A4AF3">
        <w:rPr>
          <w:b/>
          <w:bCs/>
        </w:rPr>
        <w:t xml:space="preserve">2.  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       </w:t>
      </w:r>
    </w:p>
    <w:p w:rsidR="00842E74" w:rsidRPr="006A4AF3" w:rsidP="006A4AF3" w14:paraId="6F647896" w14:textId="77777777">
      <w:pPr>
        <w:spacing w:line="276" w:lineRule="auto"/>
        <w:contextualSpacing/>
      </w:pPr>
    </w:p>
    <w:p w:rsidR="00235349" w:rsidRPr="006A4AF3" w:rsidP="006A4AF3" w14:paraId="7C730547" w14:textId="5FF366B6">
      <w:pPr>
        <w:spacing w:line="276" w:lineRule="auto"/>
        <w:contextualSpacing/>
      </w:pPr>
      <w:r w:rsidRPr="006A4AF3">
        <w:rPr>
          <w:b/>
        </w:rPr>
        <w:t xml:space="preserve">FEMA Form FF-206-FY-21-141 (formerly 086-0-28(E), </w:t>
      </w:r>
      <w:r w:rsidRPr="006A4AF3">
        <w:rPr>
          <w:b/>
        </w:rPr>
        <w:t xml:space="preserve">Community </w:t>
      </w:r>
      <w:r w:rsidRPr="006A4AF3" w:rsidR="0007118F">
        <w:rPr>
          <w:b/>
        </w:rPr>
        <w:t xml:space="preserve">Assistance </w:t>
      </w:r>
      <w:r w:rsidRPr="006A4AF3">
        <w:rPr>
          <w:b/>
        </w:rPr>
        <w:t>Visit</w:t>
      </w:r>
      <w:r w:rsidRPr="006A4AF3" w:rsidR="003E00DC">
        <w:rPr>
          <w:b/>
        </w:rPr>
        <w:t xml:space="preserve"> (CAV)</w:t>
      </w:r>
      <w:r w:rsidRPr="006A4AF3">
        <w:rPr>
          <w:b/>
        </w:rPr>
        <w:t xml:space="preserve"> Report</w:t>
      </w:r>
      <w:r w:rsidRPr="006A4AF3">
        <w:t xml:space="preserve"> is a </w:t>
      </w:r>
      <w:r w:rsidRPr="006A4AF3" w:rsidR="00D447C4">
        <w:t>report based on a CAV which is recorded in the Community Information System (CIS)</w:t>
      </w:r>
      <w:r w:rsidRPr="006A4AF3" w:rsidR="00C4319D">
        <w:t xml:space="preserve">. </w:t>
      </w:r>
      <w:r w:rsidRPr="006A4AF3">
        <w:t xml:space="preserve"> </w:t>
      </w:r>
      <w:r w:rsidRPr="006A4AF3" w:rsidR="00C4319D">
        <w:t>CIS</w:t>
      </w:r>
      <w:r w:rsidRPr="006A4AF3" w:rsidR="00166713">
        <w:t xml:space="preserve"> is an online </w:t>
      </w:r>
      <w:r w:rsidRPr="006A4AF3" w:rsidR="00D447C4">
        <w:t>database</w:t>
      </w:r>
      <w:r w:rsidRPr="006A4AF3" w:rsidR="00166713">
        <w:t xml:space="preserve"> </w:t>
      </w:r>
      <w:r w:rsidRPr="006A4AF3" w:rsidR="00C4319D">
        <w:t>and the official system of record</w:t>
      </w:r>
      <w:r w:rsidRPr="006A4AF3" w:rsidR="006C5C3B">
        <w:t xml:space="preserve"> for many NFIP activities</w:t>
      </w:r>
      <w:r w:rsidRPr="006A4AF3" w:rsidR="00166713">
        <w:t xml:space="preserve">. </w:t>
      </w:r>
      <w:r w:rsidRPr="006A4AF3">
        <w:t xml:space="preserve"> </w:t>
      </w:r>
      <w:r w:rsidRPr="006A4AF3" w:rsidR="006C5C3B">
        <w:t xml:space="preserve">A CAV is a </w:t>
      </w:r>
      <w:r w:rsidRPr="006A4AF3">
        <w:t>scheduled visit to a NFIP community for the purposes of conducting a comprehensive assessment of the community’s floodplain management program, to assist the community in understanding the NFIP and its requirements and implementing effective flood loss r</w:t>
      </w:r>
      <w:r w:rsidRPr="006A4AF3" w:rsidR="009F3EE4">
        <w:t xml:space="preserve">eduction measures.  The </w:t>
      </w:r>
      <w:r w:rsidRPr="006A4AF3">
        <w:t>CAV</w:t>
      </w:r>
      <w:r w:rsidRPr="006A4AF3" w:rsidR="009F3EE4">
        <w:t xml:space="preserve"> Report provides a simplified method to notate what, if any, problems exist with a community’s floodplain management process, what actions the community might need to undertake to correct the problem(s), and how FEMA can possibly assist in any corrective action</w:t>
      </w:r>
      <w:r w:rsidRPr="006A4AF3" w:rsidR="009F002E">
        <w:t>.</w:t>
      </w:r>
      <w:r w:rsidRPr="006A4AF3" w:rsidR="00DE17C4">
        <w:t xml:space="preserve"> </w:t>
      </w:r>
      <w:r w:rsidRPr="006A4AF3" w:rsidR="003E00DC">
        <w:t xml:space="preserve"> </w:t>
      </w:r>
      <w:r w:rsidRPr="006A4AF3" w:rsidR="00723D65">
        <w:t>Over the next few years FEMA will be phasing out the use of the CAV Report as we plan to transition to the new NFIP Compliance Audit</w:t>
      </w:r>
      <w:r w:rsidRPr="006A4AF3" w:rsidR="00B6754E">
        <w:t xml:space="preserve"> </w:t>
      </w:r>
      <w:r w:rsidRPr="006A4AF3" w:rsidR="00C37EEC">
        <w:t xml:space="preserve">process </w:t>
      </w:r>
      <w:r w:rsidRPr="006A4AF3" w:rsidR="00B6754E">
        <w:t xml:space="preserve">by July 1, </w:t>
      </w:r>
      <w:r w:rsidRPr="006A4AF3" w:rsidR="006E3F5C">
        <w:t>202</w:t>
      </w:r>
      <w:r w:rsidR="006E3F5C">
        <w:t>5</w:t>
      </w:r>
      <w:r w:rsidRPr="006A4AF3" w:rsidR="00B6754E">
        <w:t xml:space="preserve">. </w:t>
      </w:r>
      <w:r w:rsidRPr="006A4AF3" w:rsidR="003E00DC">
        <w:t xml:space="preserve"> </w:t>
      </w:r>
      <w:r w:rsidRPr="006A4AF3" w:rsidR="00B6754E">
        <w:t xml:space="preserve">CAVs started or </w:t>
      </w:r>
      <w:r w:rsidRPr="006A4AF3" w:rsidR="00946EF4">
        <w:t>otherwise</w:t>
      </w:r>
      <w:r w:rsidRPr="006A4AF3" w:rsidR="00B6754E">
        <w:t xml:space="preserve"> in </w:t>
      </w:r>
      <w:r w:rsidRPr="006A4AF3" w:rsidR="00946EF4">
        <w:t>progress</w:t>
      </w:r>
      <w:r w:rsidRPr="006A4AF3" w:rsidR="00B6754E">
        <w:t xml:space="preserve"> before the transition will have to continue</w:t>
      </w:r>
      <w:r w:rsidRPr="006A4AF3" w:rsidR="005A2658">
        <w:t xml:space="preserve"> within the old process until all issues are officially resolved and the CAV can be closed. </w:t>
      </w:r>
      <w:r w:rsidRPr="006A4AF3" w:rsidR="003E00DC">
        <w:t xml:space="preserve"> </w:t>
      </w:r>
      <w:r w:rsidRPr="006A4AF3" w:rsidR="00A80845">
        <w:t>After all CAV</w:t>
      </w:r>
      <w:r w:rsidRPr="006A4AF3" w:rsidR="00ED44E4">
        <w:t>s</w:t>
      </w:r>
      <w:r w:rsidRPr="006A4AF3" w:rsidR="00A80845">
        <w:t xml:space="preserve"> have been closed and the Agency fully transitions to the new process, the CAV Reports will continue to be housed in the CIS database for historical reference. </w:t>
      </w:r>
    </w:p>
    <w:p w:rsidR="00235349" w:rsidRPr="006A4AF3" w:rsidP="006A4AF3" w14:paraId="639E7F7C" w14:textId="77777777">
      <w:pPr>
        <w:spacing w:line="276" w:lineRule="auto"/>
        <w:contextualSpacing/>
      </w:pPr>
    </w:p>
    <w:p w:rsidR="002721D4" w:rsidRPr="006A4AF3" w:rsidP="006A4AF3" w14:paraId="683695D0" w14:textId="17B833E1">
      <w:pPr>
        <w:spacing w:line="276" w:lineRule="auto"/>
        <w:contextualSpacing/>
      </w:pPr>
      <w:r w:rsidRPr="006A4AF3">
        <w:rPr>
          <w:b/>
        </w:rPr>
        <w:t xml:space="preserve">FEMA Form FF-206-FY-21-142 (formerly 086-0-29(E)), </w:t>
      </w:r>
      <w:r w:rsidRPr="006A4AF3" w:rsidR="00235349">
        <w:rPr>
          <w:b/>
        </w:rPr>
        <w:t xml:space="preserve">Community </w:t>
      </w:r>
      <w:r w:rsidRPr="006A4AF3" w:rsidR="0007118F">
        <w:rPr>
          <w:b/>
        </w:rPr>
        <w:t xml:space="preserve">Assistance </w:t>
      </w:r>
      <w:r w:rsidRPr="006A4AF3" w:rsidR="00235349">
        <w:rPr>
          <w:b/>
        </w:rPr>
        <w:t xml:space="preserve">Contact </w:t>
      </w:r>
      <w:r w:rsidRPr="006A4AF3" w:rsidR="003E00DC">
        <w:rPr>
          <w:b/>
        </w:rPr>
        <w:t xml:space="preserve">(CAC) </w:t>
      </w:r>
      <w:r w:rsidRPr="006A4AF3" w:rsidR="00235349">
        <w:rPr>
          <w:b/>
        </w:rPr>
        <w:t>Report</w:t>
      </w:r>
      <w:r w:rsidRPr="006A4AF3" w:rsidR="00235349">
        <w:t xml:space="preserve"> </w:t>
      </w:r>
      <w:r w:rsidRPr="006A4AF3" w:rsidR="009F3EE4">
        <w:t xml:space="preserve">is a </w:t>
      </w:r>
      <w:r w:rsidRPr="006A4AF3" w:rsidR="001D56BB">
        <w:t xml:space="preserve">report based on a CAC which is recorded in CIS. </w:t>
      </w:r>
      <w:r w:rsidRPr="006A4AF3" w:rsidR="003E00DC">
        <w:t xml:space="preserve"> </w:t>
      </w:r>
      <w:r w:rsidRPr="006A4AF3" w:rsidR="001D56BB">
        <w:t xml:space="preserve">A CAC is </w:t>
      </w:r>
      <w:r w:rsidRPr="006A4AF3" w:rsidR="00B71ECE">
        <w:t xml:space="preserve">a </w:t>
      </w:r>
      <w:r w:rsidRPr="006A4AF3" w:rsidR="009F3EE4">
        <w:t xml:space="preserve">brief </w:t>
      </w:r>
      <w:r w:rsidRPr="006A4AF3" w:rsidR="008B4776">
        <w:t xml:space="preserve">call or </w:t>
      </w:r>
      <w:r w:rsidRPr="006A4AF3" w:rsidR="009F3EE4">
        <w:t xml:space="preserve">visit with a NFIP community for the purpose of establishing or reestablishing contact to determine if program-related problems exist and to offer assistance.  </w:t>
      </w:r>
      <w:r w:rsidRPr="006A4AF3" w:rsidR="003C6333">
        <w:t xml:space="preserve">The </w:t>
      </w:r>
      <w:r w:rsidRPr="006A4AF3">
        <w:t>CAC</w:t>
      </w:r>
      <w:r w:rsidRPr="006A4AF3" w:rsidR="003C6333">
        <w:t xml:space="preserve"> Report provides the actions that the community will take, if required, to resolve any minor issues with their floodplain management processes, and </w:t>
      </w:r>
      <w:r w:rsidRPr="006A4AF3" w:rsidR="003C6333">
        <w:t xml:space="preserve">the report also will determine if a full </w:t>
      </w:r>
      <w:r w:rsidRPr="006A4AF3" w:rsidR="007C32FA">
        <w:t>CAV</w:t>
      </w:r>
      <w:r w:rsidRPr="006A4AF3" w:rsidR="003C6333">
        <w:t xml:space="preserve"> is required.</w:t>
      </w:r>
      <w:r w:rsidRPr="006A4AF3">
        <w:t xml:space="preserve"> </w:t>
      </w:r>
      <w:r w:rsidRPr="006A4AF3" w:rsidR="003E00DC">
        <w:t xml:space="preserve"> </w:t>
      </w:r>
      <w:r w:rsidRPr="006A4AF3">
        <w:t xml:space="preserve">Over the next few years FEMA will be phasing out the use of the CAC Report as we plan to transition to the new NFIP Compliance Audit process by July 1, </w:t>
      </w:r>
      <w:r w:rsidRPr="006A4AF3" w:rsidR="006E3F5C">
        <w:t>202</w:t>
      </w:r>
      <w:r w:rsidR="006E3F5C">
        <w:t>5</w:t>
      </w:r>
      <w:r w:rsidRPr="006A4AF3">
        <w:t xml:space="preserve">. </w:t>
      </w:r>
      <w:r w:rsidRPr="006A4AF3" w:rsidR="003E00DC">
        <w:t xml:space="preserve"> </w:t>
      </w:r>
      <w:r w:rsidRPr="006A4AF3">
        <w:t xml:space="preserve">CACs started or otherwise in progress before the transition will have to continue within the old process until all issues are officially resolved and the CAC can be closed. </w:t>
      </w:r>
      <w:r w:rsidRPr="006A4AF3" w:rsidR="003E00DC">
        <w:t xml:space="preserve"> </w:t>
      </w:r>
      <w:r w:rsidRPr="006A4AF3">
        <w:t xml:space="preserve">After all CACs have been closed and the Agency fully transitions to the new process, the CAC Reports will continue to be housed in the CIS database for historical reference. </w:t>
      </w:r>
    </w:p>
    <w:p w:rsidR="00F02B4F" w:rsidRPr="006A4AF3" w:rsidP="006A4AF3" w14:paraId="5C8A5726" w14:textId="3165BB7A">
      <w:pPr>
        <w:spacing w:line="276" w:lineRule="auto"/>
        <w:contextualSpacing/>
      </w:pPr>
    </w:p>
    <w:p w:rsidR="00F02B4F" w:rsidRPr="006A4AF3" w:rsidP="006A4AF3" w14:paraId="26D5F8A9" w14:textId="697E4D88">
      <w:pPr>
        <w:spacing w:line="276" w:lineRule="auto"/>
        <w:contextualSpacing/>
      </w:pPr>
      <w:r w:rsidRPr="006A4AF3">
        <w:rPr>
          <w:b/>
        </w:rPr>
        <w:t>FEMA</w:t>
      </w:r>
      <w:r w:rsidRPr="006A4AF3" w:rsidR="00160A64">
        <w:rPr>
          <w:b/>
        </w:rPr>
        <w:t xml:space="preserve"> </w:t>
      </w:r>
      <w:r w:rsidRPr="00D726A2" w:rsidR="00160A64">
        <w:rPr>
          <w:b/>
          <w:color w:val="000000" w:themeColor="text1"/>
        </w:rPr>
        <w:t>Form</w:t>
      </w:r>
      <w:r w:rsidRPr="00D726A2" w:rsidR="003E00DC">
        <w:rPr>
          <w:b/>
          <w:color w:val="000000" w:themeColor="text1"/>
        </w:rPr>
        <w:t xml:space="preserve"> </w:t>
      </w:r>
      <w:r w:rsidRPr="00D726A2" w:rsidR="003E6A29">
        <w:rPr>
          <w:b/>
          <w:color w:val="000000" w:themeColor="text1"/>
        </w:rPr>
        <w:t>FF-206-FY-24-100</w:t>
      </w:r>
      <w:r w:rsidRPr="00D726A2" w:rsidR="003E00DC">
        <w:rPr>
          <w:b/>
          <w:color w:val="000000" w:themeColor="text1"/>
        </w:rPr>
        <w:t>,</w:t>
      </w:r>
      <w:r w:rsidRPr="00D726A2">
        <w:rPr>
          <w:b/>
          <w:color w:val="000000" w:themeColor="text1"/>
        </w:rPr>
        <w:t xml:space="preserve"> </w:t>
      </w:r>
      <w:r w:rsidRPr="00D726A2" w:rsidR="003E00DC">
        <w:rPr>
          <w:b/>
          <w:color w:val="000000" w:themeColor="text1"/>
        </w:rPr>
        <w:t xml:space="preserve">National </w:t>
      </w:r>
      <w:r w:rsidRPr="006A4AF3" w:rsidR="003E00DC">
        <w:rPr>
          <w:b/>
        </w:rPr>
        <w:t>Flood Insurance Program (</w:t>
      </w:r>
      <w:r w:rsidRPr="006A4AF3" w:rsidR="00160A64">
        <w:rPr>
          <w:b/>
        </w:rPr>
        <w:t>NFIP</w:t>
      </w:r>
      <w:r w:rsidRPr="006A4AF3" w:rsidR="003E00DC">
        <w:rPr>
          <w:b/>
        </w:rPr>
        <w:t>)</w:t>
      </w:r>
      <w:r w:rsidRPr="006A4AF3" w:rsidR="00160A64">
        <w:rPr>
          <w:b/>
        </w:rPr>
        <w:t xml:space="preserve"> Compliance Audit Report</w:t>
      </w:r>
      <w:r w:rsidRPr="006A4AF3">
        <w:t xml:space="preserve"> is a report based on </w:t>
      </w:r>
      <w:r w:rsidRPr="006A4AF3" w:rsidR="0033301E">
        <w:t xml:space="preserve">the new NFIP Compliance Audit process </w:t>
      </w:r>
      <w:r w:rsidRPr="006A4AF3">
        <w:t xml:space="preserve">which </w:t>
      </w:r>
      <w:r w:rsidRPr="006A4AF3" w:rsidR="0033301E">
        <w:t>will be</w:t>
      </w:r>
      <w:r w:rsidRPr="006A4AF3">
        <w:t xml:space="preserve"> recorded in</w:t>
      </w:r>
      <w:r w:rsidRPr="006A4AF3" w:rsidR="00F24A92">
        <w:t xml:space="preserve"> </w:t>
      </w:r>
      <w:r w:rsidRPr="006A4AF3">
        <w:t>CIS</w:t>
      </w:r>
      <w:r w:rsidRPr="006A4AF3" w:rsidR="00F24A92">
        <w:t xml:space="preserve">. </w:t>
      </w:r>
      <w:r w:rsidRPr="006A4AF3" w:rsidR="003E00DC">
        <w:t xml:space="preserve"> </w:t>
      </w:r>
      <w:r w:rsidRPr="006A4AF3" w:rsidR="00F24A92">
        <w:t xml:space="preserve">An NFIP Compliance Audit is </w:t>
      </w:r>
      <w:r w:rsidRPr="006A4AF3" w:rsidR="00A46230">
        <w:t xml:space="preserve">a </w:t>
      </w:r>
      <w:r w:rsidRPr="006A4AF3" w:rsidR="000D4368">
        <w:t xml:space="preserve">progressive audit of a community’s floodplain </w:t>
      </w:r>
      <w:r w:rsidRPr="006A4AF3" w:rsidR="00145DD4">
        <w:t xml:space="preserve">management </w:t>
      </w:r>
      <w:r w:rsidRPr="006A4AF3" w:rsidR="000D4368">
        <w:t xml:space="preserve">program. </w:t>
      </w:r>
      <w:r w:rsidRPr="006A4AF3" w:rsidR="003E00DC">
        <w:t xml:space="preserve"> </w:t>
      </w:r>
      <w:r w:rsidRPr="006A4AF3" w:rsidR="000D4368">
        <w:t xml:space="preserve">It consists of a </w:t>
      </w:r>
      <w:r w:rsidRPr="006A4AF3" w:rsidR="000A0380">
        <w:t xml:space="preserve">community Self-Assessment, a full ordinance review, and a diagnostic assessment. </w:t>
      </w:r>
      <w:r w:rsidRPr="006A4AF3" w:rsidR="003E00DC">
        <w:t xml:space="preserve"> </w:t>
      </w:r>
      <w:r w:rsidRPr="006A4AF3" w:rsidR="000A0380">
        <w:t>If the community</w:t>
      </w:r>
      <w:r w:rsidRPr="006A4AF3" w:rsidR="00D26A0D">
        <w:t xml:space="preserve"> scores </w:t>
      </w:r>
      <w:r w:rsidR="006E3F5C">
        <w:t>below a certain threshold</w:t>
      </w:r>
      <w:r w:rsidRPr="006A4AF3" w:rsidR="006E3F5C">
        <w:t xml:space="preserve"> </w:t>
      </w:r>
      <w:r w:rsidRPr="006A4AF3" w:rsidR="00D26A0D">
        <w:t xml:space="preserve">on this assessment, indicating a poor </w:t>
      </w:r>
      <w:r w:rsidRPr="006A4AF3" w:rsidR="00145DD4">
        <w:t>floodplain</w:t>
      </w:r>
      <w:r w:rsidRPr="006A4AF3" w:rsidR="00D26A0D">
        <w:t xml:space="preserve"> management program, the auditor </w:t>
      </w:r>
      <w:r w:rsidRPr="006A4AF3" w:rsidR="00561C4C">
        <w:t xml:space="preserve">can delve </w:t>
      </w:r>
      <w:r w:rsidRPr="006A4AF3" w:rsidR="0039098B">
        <w:t xml:space="preserve">deeper into the community’s program </w:t>
      </w:r>
      <w:r w:rsidRPr="006A4AF3" w:rsidR="00561C4C">
        <w:t>with an enhanced community assistance visit or a full evaluation</w:t>
      </w:r>
      <w:r w:rsidRPr="006A4AF3" w:rsidR="001E0562">
        <w:t xml:space="preserve">. </w:t>
      </w:r>
      <w:r w:rsidRPr="006A4AF3" w:rsidR="003E00DC">
        <w:t xml:space="preserve"> </w:t>
      </w:r>
      <w:r w:rsidRPr="006A4AF3">
        <w:t xml:space="preserve">The </w:t>
      </w:r>
      <w:r w:rsidRPr="006A4AF3" w:rsidR="00DD0751">
        <w:t>NFIP Compliance Audit</w:t>
      </w:r>
      <w:r w:rsidRPr="006A4AF3">
        <w:t xml:space="preserve"> Report provides a </w:t>
      </w:r>
      <w:r w:rsidRPr="006A4AF3" w:rsidR="00DD0751">
        <w:t>score</w:t>
      </w:r>
      <w:r w:rsidRPr="006A4AF3">
        <w:t xml:space="preserve"> to </w:t>
      </w:r>
      <w:r w:rsidR="00AF26CF">
        <w:t>reflect</w:t>
      </w:r>
      <w:r w:rsidRPr="006A4AF3" w:rsidR="00AF26CF">
        <w:t xml:space="preserve"> </w:t>
      </w:r>
      <w:r w:rsidRPr="006A4AF3">
        <w:t xml:space="preserve">what, if any, problems exist with a community’s floodplain management </w:t>
      </w:r>
      <w:r w:rsidR="00AF26CF">
        <w:t>program</w:t>
      </w:r>
      <w:r w:rsidRPr="006A4AF3">
        <w:t>.</w:t>
      </w:r>
    </w:p>
    <w:p w:rsidR="00CC6286" w:rsidRPr="006A4AF3" w:rsidP="006A4AF3" w14:paraId="1D6474A8" w14:textId="77777777">
      <w:pPr>
        <w:spacing w:line="276" w:lineRule="auto"/>
        <w:contextualSpacing/>
      </w:pPr>
    </w:p>
    <w:p w:rsidR="00CC6286" w:rsidRPr="006A4AF3" w:rsidP="006A4AF3" w14:paraId="31DC02DC" w14:textId="2D7156DD">
      <w:pPr>
        <w:spacing w:line="276" w:lineRule="auto"/>
        <w:contextualSpacing/>
      </w:pPr>
      <w:r>
        <w:t xml:space="preserve">Information sharing occurs between </w:t>
      </w:r>
      <w:r w:rsidRPr="006A4AF3">
        <w:t xml:space="preserve">FEMA </w:t>
      </w:r>
      <w:r>
        <w:t>and</w:t>
      </w:r>
      <w:r w:rsidRPr="006A4AF3">
        <w:t xml:space="preserve"> the State partners, who collect the information for FEMA under an annual cooperative agreement</w:t>
      </w:r>
      <w:r>
        <w:t xml:space="preserve">, </w:t>
      </w:r>
      <w:r w:rsidR="00E626B9">
        <w:t>through different tabs and fields</w:t>
      </w:r>
      <w:r>
        <w:t xml:space="preserve"> in CIS</w:t>
      </w:r>
      <w:r w:rsidRPr="006A4AF3">
        <w:t xml:space="preserve">.  </w:t>
      </w:r>
    </w:p>
    <w:p w:rsidR="002026B2" w:rsidRPr="006A4AF3" w:rsidP="006A4AF3" w14:paraId="5A1AB9B8" w14:textId="4E53AF65">
      <w:pPr>
        <w:spacing w:line="276" w:lineRule="auto"/>
        <w:contextualSpacing/>
      </w:pPr>
    </w:p>
    <w:p w:rsidR="002026B2" w:rsidRPr="006A4AF3" w:rsidP="006A4AF3" w14:paraId="74C36444" w14:textId="513C7D8F">
      <w:pPr>
        <w:spacing w:line="276" w:lineRule="auto"/>
        <w:contextualSpacing/>
        <w:rPr>
          <w:color w:val="000000" w:themeColor="text1"/>
        </w:rPr>
      </w:pPr>
      <w:r w:rsidRPr="006A4AF3">
        <w:t xml:space="preserve">The Floodplain Management Division at FEMA Headquarters is currently undergoing a redesign of NFIP compliance, including CACs and CAVs. </w:t>
      </w:r>
      <w:r w:rsidRPr="006A4AF3" w:rsidR="003E00DC">
        <w:t xml:space="preserve"> </w:t>
      </w:r>
      <w:r w:rsidRPr="006A4AF3">
        <w:t xml:space="preserve">Many changes are proposed, including doing away with the terms CAC and CAV and introducing the terms Diagnostic Evaluation and Full Evaluation in their place. </w:t>
      </w:r>
      <w:r w:rsidRPr="006A4AF3" w:rsidR="00E306EB">
        <w:t xml:space="preserve"> </w:t>
      </w:r>
      <w:r w:rsidRPr="006A4AF3">
        <w:t xml:space="preserve">The auditor will ask a predetermined set of questions and the answers will be recorded in a spreadsheet and uploaded into what is currently called the CAV Report and CAC Report in CIS. </w:t>
      </w:r>
      <w:r w:rsidRPr="006A4AF3" w:rsidR="00E306EB">
        <w:t xml:space="preserve"> </w:t>
      </w:r>
      <w:r w:rsidRPr="006A4AF3">
        <w:t xml:space="preserve">This redesign is not expected to be finalized and in use until after </w:t>
      </w:r>
      <w:r w:rsidRPr="006A4AF3" w:rsidR="00AA3320">
        <w:t>this collection’s current expiration date</w:t>
      </w:r>
      <w:r w:rsidR="00E626B9">
        <w:t xml:space="preserve"> and </w:t>
      </w:r>
      <w:r w:rsidR="002E0ED2">
        <w:t>is being coordinated to</w:t>
      </w:r>
      <w:r w:rsidR="00E626B9">
        <w:t xml:space="preserve"> align with the redesign capabilities of CIS</w:t>
      </w:r>
      <w:r w:rsidRPr="006A4AF3">
        <w:t>.</w:t>
      </w:r>
    </w:p>
    <w:p w:rsidR="00235349" w:rsidP="006A4AF3" w14:paraId="606683BE" w14:textId="77777777">
      <w:pPr>
        <w:spacing w:line="276" w:lineRule="auto"/>
        <w:contextualSpacing/>
        <w:rPr>
          <w:color w:val="000000" w:themeColor="text1"/>
        </w:rPr>
      </w:pPr>
    </w:p>
    <w:p w:rsidR="00017D60" w:rsidRPr="006A4AF3" w:rsidP="00017D60" w14:paraId="6B4C83D8" w14:textId="77777777">
      <w:pPr>
        <w:spacing w:line="276" w:lineRule="auto"/>
        <w:contextualSpacing/>
        <w:rPr>
          <w:color w:val="000000" w:themeColor="text1"/>
        </w:rPr>
      </w:pPr>
      <w:r w:rsidRPr="006A4AF3">
        <w:rPr>
          <w:color w:val="000000" w:themeColor="text1"/>
        </w:rPr>
        <w:t xml:space="preserve">A </w:t>
      </w:r>
      <w:r>
        <w:rPr>
          <w:color w:val="000000" w:themeColor="text1"/>
        </w:rPr>
        <w:t>decrease</w:t>
      </w:r>
      <w:r w:rsidRPr="006A4AF3">
        <w:rPr>
          <w:color w:val="000000" w:themeColor="text1"/>
        </w:rPr>
        <w:t xml:space="preserve"> of </w:t>
      </w:r>
      <w:r>
        <w:t xml:space="preserve">11,998 </w:t>
      </w:r>
      <w:r w:rsidRPr="006A4AF3">
        <w:rPr>
          <w:bCs/>
          <w:color w:val="000000" w:themeColor="text1"/>
        </w:rPr>
        <w:t xml:space="preserve">burden </w:t>
      </w:r>
      <w:r w:rsidRPr="006A4AF3">
        <w:rPr>
          <w:color w:val="000000" w:themeColor="text1"/>
        </w:rPr>
        <w:t>hours has been recognized and included as an update to the collection</w:t>
      </w:r>
      <w:r>
        <w:rPr>
          <w:color w:val="000000" w:themeColor="text1"/>
        </w:rPr>
        <w:t xml:space="preserve"> due to the redesign of this information collection to an electronic audit system</w:t>
      </w:r>
      <w:r w:rsidRPr="006A4AF3">
        <w:rPr>
          <w:color w:val="000000" w:themeColor="text1"/>
        </w:rPr>
        <w:t xml:space="preserve">.  </w:t>
      </w:r>
    </w:p>
    <w:p w:rsidR="00017D60" w:rsidRPr="006A4AF3" w:rsidP="006A4AF3" w14:paraId="62B21A9F" w14:textId="77777777">
      <w:pPr>
        <w:spacing w:line="276" w:lineRule="auto"/>
        <w:contextualSpacing/>
        <w:rPr>
          <w:color w:val="000000" w:themeColor="text1"/>
        </w:rPr>
      </w:pPr>
    </w:p>
    <w:p w:rsidR="00842E74" w:rsidRPr="006A4AF3" w:rsidP="006A4AF3" w14:paraId="57D8F759" w14:textId="77777777">
      <w:pPr>
        <w:spacing w:line="276" w:lineRule="auto"/>
        <w:contextualSpacing/>
        <w:rPr>
          <w:b/>
          <w:bCs/>
        </w:rPr>
      </w:pPr>
      <w:r w:rsidRPr="006A4AF3">
        <w:rPr>
          <w:b/>
          <w:bCs/>
          <w:color w:val="000000" w:themeColor="text1"/>
        </w:rPr>
        <w:fldChar w:fldCharType="begin"/>
      </w:r>
      <w:r w:rsidRPr="006A4AF3">
        <w:rPr>
          <w:b/>
          <w:bCs/>
          <w:color w:val="000000" w:themeColor="text1"/>
        </w:rPr>
        <w:instrText>ADVANCE \R 0.95</w:instrText>
      </w:r>
      <w:r w:rsidRPr="006A4AF3">
        <w:rPr>
          <w:b/>
          <w:bCs/>
          <w:color w:val="000000" w:themeColor="text1"/>
        </w:rPr>
        <w:fldChar w:fldCharType="end"/>
      </w:r>
      <w:r w:rsidRPr="006A4AF3">
        <w:rPr>
          <w:b/>
          <w:bCs/>
          <w:color w:val="000000" w:themeColor="text1"/>
        </w:rPr>
        <w:t xml:space="preserve">3.  Describe whether, and to what extent, the collection of information involves the use of automated, electronic, mechanical, or other technological collection techniques or other forms of information technology, e.g., permitting </w:t>
      </w:r>
      <w:r w:rsidRPr="006A4AF3" w:rsidR="00BF4DF2">
        <w:rPr>
          <w:b/>
          <w:bCs/>
          <w:color w:val="000000" w:themeColor="text1"/>
        </w:rPr>
        <w:tab/>
      </w:r>
      <w:r w:rsidRPr="006A4AF3">
        <w:rPr>
          <w:b/>
          <w:bCs/>
          <w:color w:val="000000" w:themeColor="text1"/>
        </w:rPr>
        <w:t>electronic submission of responses</w:t>
      </w:r>
      <w:r w:rsidRPr="006A4AF3">
        <w:rPr>
          <w:b/>
          <w:bCs/>
        </w:rPr>
        <w:t xml:space="preserve">, and the basis for the decision for adopting this means of </w:t>
      </w:r>
      <w:r w:rsidRPr="006A4AF3">
        <w:rPr>
          <w:b/>
          <w:bCs/>
        </w:rPr>
        <w:t>collection.  Also describe any consideration of using</w:t>
      </w:r>
      <w:r w:rsidRPr="006A4AF3" w:rsidR="006A4787">
        <w:rPr>
          <w:b/>
          <w:bCs/>
        </w:rPr>
        <w:t xml:space="preserve"> </w:t>
      </w:r>
      <w:r w:rsidRPr="006A4AF3">
        <w:rPr>
          <w:b/>
          <w:bCs/>
        </w:rPr>
        <w:t>information technology to reduce burden.</w:t>
      </w:r>
    </w:p>
    <w:p w:rsidR="00842E74" w:rsidRPr="006A4AF3" w:rsidP="006A4AF3" w14:paraId="3995FDAE" w14:textId="77777777">
      <w:pPr>
        <w:spacing w:line="276" w:lineRule="auto"/>
        <w:contextualSpacing/>
      </w:pPr>
    </w:p>
    <w:p w:rsidR="009D7985" w:rsidRPr="006A4AF3" w:rsidP="006A4AF3" w14:paraId="765CFB51" w14:textId="271F27CE">
      <w:pPr>
        <w:spacing w:line="276" w:lineRule="auto"/>
        <w:contextualSpacing/>
      </w:pPr>
      <w:r w:rsidRPr="006A4AF3">
        <w:t xml:space="preserve">FEMA has converted </w:t>
      </w:r>
      <w:r w:rsidRPr="006A4AF3" w:rsidR="00085321">
        <w:t xml:space="preserve">FEMA </w:t>
      </w:r>
      <w:r w:rsidRPr="006A4AF3">
        <w:t xml:space="preserve">Forms </w:t>
      </w:r>
      <w:r w:rsidRPr="006A4AF3" w:rsidR="00085321">
        <w:t xml:space="preserve">FF-206-FY-21-141 (formerly </w:t>
      </w:r>
      <w:r w:rsidRPr="006A4AF3">
        <w:t>086-0-28(E)</w:t>
      </w:r>
      <w:r w:rsidRPr="006A4AF3" w:rsidR="00085321">
        <w:t>)</w:t>
      </w:r>
      <w:r w:rsidRPr="006A4AF3">
        <w:t xml:space="preserve"> and </w:t>
      </w:r>
      <w:r w:rsidRPr="006A4AF3" w:rsidR="00085321">
        <w:t xml:space="preserve">FF-206-FY-21-142 (formerly </w:t>
      </w:r>
      <w:r w:rsidRPr="006A4AF3">
        <w:t>086-029(E)</w:t>
      </w:r>
      <w:r w:rsidRPr="006A4AF3" w:rsidR="00085321">
        <w:t>)</w:t>
      </w:r>
      <w:r w:rsidRPr="006A4AF3">
        <w:t xml:space="preserve"> into </w:t>
      </w:r>
      <w:r w:rsidRPr="006A4AF3" w:rsidR="08F5F60C">
        <w:t xml:space="preserve">an </w:t>
      </w:r>
      <w:r w:rsidRPr="006A4AF3">
        <w:t>o</w:t>
      </w:r>
      <w:r w:rsidRPr="006A4AF3" w:rsidR="00B24A57">
        <w:t xml:space="preserve">n-line </w:t>
      </w:r>
      <w:r w:rsidRPr="006A4AF3" w:rsidR="005402F8">
        <w:t>database</w:t>
      </w:r>
      <w:r w:rsidRPr="006A4AF3" w:rsidR="00662B9B">
        <w:t xml:space="preserve"> (DHS Integrated Security and Access Control System)</w:t>
      </w:r>
      <w:r w:rsidRPr="006A4AF3" w:rsidR="00085321">
        <w:t xml:space="preserve"> called</w:t>
      </w:r>
      <w:r w:rsidRPr="006A4AF3" w:rsidR="005402F8">
        <w:t xml:space="preserve"> the Community Information System</w:t>
      </w:r>
      <w:r w:rsidRPr="006A4AF3" w:rsidR="00085321">
        <w:t xml:space="preserve"> (CIS)</w:t>
      </w:r>
      <w:r w:rsidRPr="006A4AF3" w:rsidR="005402F8">
        <w:t>.  The CIS allows f</w:t>
      </w:r>
      <w:r w:rsidRPr="006A4AF3" w:rsidR="00993B00">
        <w:t xml:space="preserve">or </w:t>
      </w:r>
      <w:r w:rsidRPr="006A4AF3" w:rsidR="005402F8">
        <w:t xml:space="preserve">direct </w:t>
      </w:r>
      <w:r w:rsidRPr="006A4AF3" w:rsidR="002D5B3F">
        <w:t xml:space="preserve">entry of </w:t>
      </w:r>
      <w:r w:rsidRPr="006A4AF3" w:rsidR="005402F8">
        <w:t xml:space="preserve">the </w:t>
      </w:r>
      <w:r w:rsidRPr="006A4AF3" w:rsidR="002D5B3F">
        <w:t>information</w:t>
      </w:r>
      <w:r w:rsidRPr="006A4AF3" w:rsidR="00993B00">
        <w:t xml:space="preserve"> </w:t>
      </w:r>
      <w:r w:rsidRPr="006A4AF3" w:rsidR="004757E5">
        <w:t xml:space="preserve">into </w:t>
      </w:r>
      <w:r w:rsidRPr="006A4AF3" w:rsidR="005402F8">
        <w:t xml:space="preserve">the on-line </w:t>
      </w:r>
      <w:r w:rsidRPr="006A4AF3" w:rsidR="00EB40C8">
        <w:t>Account and Password Protected system</w:t>
      </w:r>
      <w:r w:rsidRPr="006A4AF3" w:rsidR="00E215F4">
        <w:t xml:space="preserve"> at URL</w:t>
      </w:r>
      <w:r w:rsidRPr="006A4AF3" w:rsidR="00E306EB">
        <w:t>:</w:t>
      </w:r>
      <w:r w:rsidRPr="006A4AF3" w:rsidR="00E215F4">
        <w:t xml:space="preserve"> </w:t>
      </w:r>
      <w:hyperlink r:id="rId9">
        <w:r w:rsidR="00D726A2">
          <w:rPr>
            <w:rStyle w:val="Hyperlink"/>
          </w:rPr>
          <w:t>https://sso.fema.net/cis/homepage.action</w:t>
        </w:r>
      </w:hyperlink>
      <w:r w:rsidRPr="006A4AF3" w:rsidR="00627D78">
        <w:t xml:space="preserve">. </w:t>
      </w:r>
    </w:p>
    <w:p w:rsidR="00627D78" w:rsidRPr="006A4AF3" w:rsidP="006A4AF3" w14:paraId="783FFBA1" w14:textId="49A53504">
      <w:pPr>
        <w:spacing w:line="276" w:lineRule="auto"/>
        <w:contextualSpacing/>
        <w:rPr>
          <w:color w:val="000000" w:themeColor="text1"/>
        </w:rPr>
      </w:pPr>
    </w:p>
    <w:p w:rsidR="00627D78" w:rsidRPr="006A4AF3" w:rsidP="006A4AF3" w14:paraId="61EFB916" w14:textId="505D2ED3">
      <w:pPr>
        <w:spacing w:line="276" w:lineRule="auto"/>
        <w:contextualSpacing/>
        <w:rPr>
          <w:rFonts w:eastAsia="Calibri"/>
          <w:color w:val="000000" w:themeColor="text1"/>
        </w:rPr>
      </w:pPr>
      <w:r w:rsidRPr="006A4AF3">
        <w:rPr>
          <w:color w:val="000000" w:themeColor="text1"/>
        </w:rPr>
        <w:t xml:space="preserve">The CIS </w:t>
      </w:r>
      <w:r w:rsidRPr="006A4AF3" w:rsidR="009923C5">
        <w:rPr>
          <w:color w:val="000000" w:themeColor="text1"/>
        </w:rPr>
        <w:t>database</w:t>
      </w:r>
      <w:r w:rsidRPr="006A4AF3">
        <w:rPr>
          <w:color w:val="000000" w:themeColor="text1"/>
        </w:rPr>
        <w:t xml:space="preserve"> is currently being redesigned to accommodate all the recent programmatic </w:t>
      </w:r>
      <w:r w:rsidRPr="006A4AF3" w:rsidR="009923C5">
        <w:rPr>
          <w:color w:val="000000" w:themeColor="text1"/>
        </w:rPr>
        <w:t>changes</w:t>
      </w:r>
      <w:r w:rsidRPr="006A4AF3">
        <w:rPr>
          <w:color w:val="000000" w:themeColor="text1"/>
        </w:rPr>
        <w:t xml:space="preserve"> at FEMA including the transition from CAVs and CACs to </w:t>
      </w:r>
      <w:r w:rsidRPr="006A4AF3" w:rsidR="0061078D">
        <w:rPr>
          <w:color w:val="000000" w:themeColor="text1"/>
        </w:rPr>
        <w:t xml:space="preserve">the new NFIP Compliance Audit process. </w:t>
      </w:r>
      <w:r w:rsidRPr="006A4AF3" w:rsidR="003E00DC">
        <w:rPr>
          <w:color w:val="000000" w:themeColor="text1"/>
        </w:rPr>
        <w:t xml:space="preserve"> </w:t>
      </w:r>
      <w:r w:rsidRPr="006A4AF3" w:rsidR="0067479E">
        <w:rPr>
          <w:color w:val="000000" w:themeColor="text1"/>
        </w:rPr>
        <w:t xml:space="preserve">It will not be </w:t>
      </w:r>
      <w:r w:rsidR="00E626B9">
        <w:rPr>
          <w:color w:val="000000" w:themeColor="text1"/>
        </w:rPr>
        <w:t>implemented</w:t>
      </w:r>
      <w:r w:rsidRPr="006A4AF3" w:rsidR="00E626B9">
        <w:rPr>
          <w:color w:val="000000" w:themeColor="text1"/>
        </w:rPr>
        <w:t xml:space="preserve"> </w:t>
      </w:r>
      <w:r w:rsidRPr="006A4AF3" w:rsidR="0067479E">
        <w:rPr>
          <w:color w:val="000000" w:themeColor="text1"/>
        </w:rPr>
        <w:t xml:space="preserve">until after the submittal of this PRA documentation. </w:t>
      </w:r>
    </w:p>
    <w:p w:rsidR="008028EA" w:rsidP="00D726A2" w14:paraId="1E840923" w14:textId="67C7AA0A">
      <w:pPr>
        <w:spacing w:line="276" w:lineRule="auto"/>
        <w:contextualSpacing/>
        <w:rPr>
          <w:color w:val="000000" w:themeColor="text1"/>
        </w:rPr>
      </w:pPr>
    </w:p>
    <w:p w:rsidR="004B038D" w:rsidP="0019159F" w14:paraId="77608853" w14:textId="7589685D">
      <w:pPr>
        <w:spacing w:line="276" w:lineRule="auto"/>
        <w:contextualSpacing/>
        <w:rPr>
          <w:color w:val="000000" w:themeColor="text1"/>
        </w:rPr>
      </w:pPr>
      <w:r w:rsidRPr="00571CA5">
        <w:rPr>
          <w:color w:val="000000" w:themeColor="text1"/>
        </w:rPr>
        <w:t xml:space="preserve">The usability testing helps DHS programs and service teams make sure what they build actually helps the people and organizations the Department serves, per Executive Order 14058. </w:t>
      </w:r>
      <w:r w:rsidR="009E714A">
        <w:rPr>
          <w:color w:val="000000" w:themeColor="text1"/>
        </w:rPr>
        <w:t xml:space="preserve"> </w:t>
      </w:r>
      <w:r w:rsidRPr="00571CA5">
        <w:rPr>
          <w:color w:val="000000" w:themeColor="text1"/>
        </w:rPr>
        <w:t xml:space="preserve">Usability testing is a method used to learn how easy or difficult it is for people to use a service by observing them completing “real life” tasks within the service. </w:t>
      </w:r>
      <w:r w:rsidR="009E714A">
        <w:rPr>
          <w:color w:val="000000" w:themeColor="text1"/>
        </w:rPr>
        <w:t xml:space="preserve"> </w:t>
      </w:r>
      <w:r w:rsidRPr="00571CA5">
        <w:rPr>
          <w:color w:val="000000" w:themeColor="text1"/>
        </w:rPr>
        <w:t xml:space="preserve">The goal is to identify your users’ pain points and create solutions that are user-focused to produce a service that is easy to use.  Ten state partner staff and two regional FEMA staff, across 7 states in 15 communities were engaged. </w:t>
      </w:r>
      <w:r w:rsidRPr="00571CA5" w:rsidR="0019159F">
        <w:rPr>
          <w:color w:val="000000" w:themeColor="text1"/>
        </w:rPr>
        <w:t xml:space="preserve"> They all had familiarity with the process in general and the opportunity to take approximately six hours of training.  </w:t>
      </w:r>
    </w:p>
    <w:p w:rsidR="004B038D" w:rsidP="0019159F" w14:paraId="2181148E" w14:textId="77777777">
      <w:pPr>
        <w:spacing w:line="276" w:lineRule="auto"/>
        <w:contextualSpacing/>
        <w:rPr>
          <w:color w:val="000000" w:themeColor="text1"/>
        </w:rPr>
      </w:pPr>
    </w:p>
    <w:p w:rsidR="00270ECE" w:rsidP="0019159F" w14:paraId="006EA6CC" w14:textId="75BD082B">
      <w:pPr>
        <w:spacing w:line="276" w:lineRule="auto"/>
        <w:contextualSpacing/>
        <w:rPr>
          <w:color w:val="000000" w:themeColor="text1"/>
        </w:rPr>
      </w:pPr>
      <w:r w:rsidRPr="00571CA5">
        <w:rPr>
          <w:color w:val="000000" w:themeColor="text1"/>
        </w:rPr>
        <w:t xml:space="preserve">Most participants found </w:t>
      </w:r>
      <w:r w:rsidR="00FC4B30">
        <w:rPr>
          <w:color w:val="000000" w:themeColor="text1"/>
        </w:rPr>
        <w:t>the instrument</w:t>
      </w:r>
      <w:r w:rsidRPr="00571CA5">
        <w:rPr>
          <w:color w:val="000000" w:themeColor="text1"/>
        </w:rPr>
        <w:t xml:space="preserve"> relatively easy to use, as it is a simple Excel spreadsheet and prompts are given.  Most comments were of a minor nature involving how we asked a question. </w:t>
      </w:r>
      <w:r w:rsidR="009E714A">
        <w:rPr>
          <w:color w:val="000000" w:themeColor="text1"/>
        </w:rPr>
        <w:t xml:space="preserve"> </w:t>
      </w:r>
      <w:r w:rsidRPr="00571CA5">
        <w:rPr>
          <w:color w:val="000000" w:themeColor="text1"/>
        </w:rPr>
        <w:t xml:space="preserve">We took suggestions on how to better word many of our questions. </w:t>
      </w:r>
      <w:r w:rsidR="009E714A">
        <w:rPr>
          <w:color w:val="000000" w:themeColor="text1"/>
        </w:rPr>
        <w:t xml:space="preserve"> </w:t>
      </w:r>
      <w:r w:rsidRPr="00571CA5">
        <w:rPr>
          <w:color w:val="000000" w:themeColor="text1"/>
        </w:rPr>
        <w:t xml:space="preserve">A few comments were more substantive like some participants wanted to include higher standards in the score. </w:t>
      </w:r>
      <w:r w:rsidR="004B038D">
        <w:rPr>
          <w:color w:val="000000" w:themeColor="text1"/>
        </w:rPr>
        <w:t xml:space="preserve"> </w:t>
      </w:r>
      <w:r w:rsidRPr="00571CA5">
        <w:rPr>
          <w:color w:val="000000" w:themeColor="text1"/>
        </w:rPr>
        <w:t>However</w:t>
      </w:r>
      <w:r w:rsidR="009B3B16">
        <w:rPr>
          <w:color w:val="000000" w:themeColor="text1"/>
        </w:rPr>
        <w:t>,</w:t>
      </w:r>
      <w:r w:rsidRPr="00571CA5">
        <w:rPr>
          <w:color w:val="000000" w:themeColor="text1"/>
        </w:rPr>
        <w:t xml:space="preserve"> the FEMA Leadership voted not to include those at this time. </w:t>
      </w:r>
      <w:r w:rsidR="009E714A">
        <w:rPr>
          <w:color w:val="000000" w:themeColor="text1"/>
        </w:rPr>
        <w:t xml:space="preserve"> </w:t>
      </w:r>
      <w:r w:rsidRPr="00571CA5">
        <w:rPr>
          <w:color w:val="000000" w:themeColor="text1"/>
        </w:rPr>
        <w:t xml:space="preserve">Some participants wanted to score the ordinance review and the as-built violations found. </w:t>
      </w:r>
      <w:r w:rsidR="009E714A">
        <w:rPr>
          <w:color w:val="000000" w:themeColor="text1"/>
        </w:rPr>
        <w:t xml:space="preserve"> </w:t>
      </w:r>
      <w:r w:rsidRPr="00571CA5">
        <w:rPr>
          <w:color w:val="000000" w:themeColor="text1"/>
        </w:rPr>
        <w:t>We could not accommodate this request at this time as it is out of our budget for this contract cycle. It will be reconsidered in the near future.</w:t>
      </w:r>
      <w:r w:rsidRPr="00571CA5" w:rsidR="004B038D">
        <w:rPr>
          <w:color w:val="000000" w:themeColor="text1"/>
        </w:rPr>
        <w:t xml:space="preserve">  Approximately 97% of the 450 comments given have already been incorporated into the Tools. </w:t>
      </w:r>
      <w:r w:rsidR="009E714A">
        <w:rPr>
          <w:color w:val="000000" w:themeColor="text1"/>
        </w:rPr>
        <w:t xml:space="preserve"> </w:t>
      </w:r>
      <w:r w:rsidRPr="00571CA5" w:rsidR="004B038D">
        <w:rPr>
          <w:color w:val="000000" w:themeColor="text1"/>
        </w:rPr>
        <w:t xml:space="preserve">After implementation of the new process and tools starting July 1, 2025, we will collect user feedback and update the tools as needed on a yearly basis if we can obtain contracting resources to do so. </w:t>
      </w:r>
      <w:r w:rsidR="009E714A">
        <w:rPr>
          <w:color w:val="000000" w:themeColor="text1"/>
        </w:rPr>
        <w:t xml:space="preserve"> </w:t>
      </w:r>
      <w:r w:rsidRPr="00571CA5" w:rsidR="004B038D">
        <w:rPr>
          <w:color w:val="000000" w:themeColor="text1"/>
        </w:rPr>
        <w:t>Otherwise</w:t>
      </w:r>
      <w:r w:rsidR="009B3B16">
        <w:rPr>
          <w:color w:val="000000" w:themeColor="text1"/>
        </w:rPr>
        <w:t>,</w:t>
      </w:r>
      <w:r w:rsidRPr="00571CA5" w:rsidR="004B038D">
        <w:rPr>
          <w:color w:val="000000" w:themeColor="text1"/>
        </w:rPr>
        <w:t xml:space="preserve"> the comments will be incorporated every three years as per the new policy-update cycle.</w:t>
      </w:r>
    </w:p>
    <w:p w:rsidR="00D625AA" w:rsidP="0019159F" w14:paraId="2DB2E630" w14:textId="77777777">
      <w:pPr>
        <w:spacing w:line="276" w:lineRule="auto"/>
        <w:contextualSpacing/>
        <w:rPr>
          <w:color w:val="000000" w:themeColor="text1"/>
        </w:rPr>
      </w:pPr>
    </w:p>
    <w:p w:rsidR="00D625AA" w:rsidRPr="00571CA5" w:rsidP="00571CA5" w14:paraId="34E78E63" w14:textId="39A562B0">
      <w:pPr>
        <w:spacing w:line="276" w:lineRule="auto"/>
        <w:contextualSpacing/>
        <w:rPr>
          <w:color w:val="000000" w:themeColor="text1"/>
        </w:rPr>
      </w:pPr>
      <w:r>
        <w:rPr>
          <w:color w:val="000000" w:themeColor="text1"/>
        </w:rPr>
        <w:t xml:space="preserve">A document discussing our usability testing efforts </w:t>
      </w:r>
      <w:r w:rsidR="0087065D">
        <w:rPr>
          <w:color w:val="000000" w:themeColor="text1"/>
        </w:rPr>
        <w:t>more thoroughly is included as a supplemental document with this revision request.</w:t>
      </w:r>
    </w:p>
    <w:p w:rsidR="00270ECE" w:rsidRPr="006A4AF3" w:rsidP="006A4AF3" w14:paraId="150FCCA9" w14:textId="77777777">
      <w:pPr>
        <w:spacing w:line="276" w:lineRule="auto"/>
        <w:contextualSpacing/>
        <w:rPr>
          <w:rFonts w:eastAsia="Calibri"/>
          <w:color w:val="000000" w:themeColor="text1"/>
        </w:rPr>
      </w:pPr>
    </w:p>
    <w:p w:rsidR="00842E74" w:rsidRPr="006A4AF3" w:rsidP="006A4AF3" w14:paraId="29BA958B" w14:textId="77777777">
      <w:pPr>
        <w:spacing w:line="276" w:lineRule="auto"/>
        <w:contextualSpacing/>
        <w:rPr>
          <w:b/>
          <w:bCs/>
          <w:color w:val="000000" w:themeColor="text1"/>
        </w:rPr>
      </w:pPr>
      <w:r w:rsidRPr="006A4AF3">
        <w:rPr>
          <w:color w:val="000000" w:themeColor="text1"/>
        </w:rPr>
        <w:fldChar w:fldCharType="begin"/>
      </w:r>
      <w:r w:rsidRPr="006A4AF3">
        <w:rPr>
          <w:color w:val="000000" w:themeColor="text1"/>
        </w:rPr>
        <w:instrText>ADVANCE \R 0.95</w:instrText>
      </w:r>
      <w:r w:rsidRPr="006A4AF3">
        <w:rPr>
          <w:color w:val="000000" w:themeColor="text1"/>
        </w:rPr>
        <w:fldChar w:fldCharType="end"/>
      </w:r>
      <w:r w:rsidRPr="006A4AF3">
        <w:rPr>
          <w:b/>
          <w:bCs/>
          <w:color w:val="000000" w:themeColor="text1"/>
        </w:rPr>
        <w:t xml:space="preserve">4.  Describe efforts to identify duplication.  Show specifically why any similar information already available cannot be used or modified for use for the purposes described in Item 2 above.  </w:t>
      </w:r>
    </w:p>
    <w:p w:rsidR="00842E74" w:rsidRPr="006A4AF3" w:rsidP="006A4AF3" w14:paraId="7607CDD5" w14:textId="77777777">
      <w:pPr>
        <w:spacing w:line="276" w:lineRule="auto"/>
        <w:contextualSpacing/>
        <w:rPr>
          <w:color w:val="000000" w:themeColor="text1"/>
        </w:rPr>
      </w:pPr>
      <w:r w:rsidRPr="006A4AF3">
        <w:rPr>
          <w:color w:val="000000" w:themeColor="text1"/>
        </w:rPr>
        <w:fldChar w:fldCharType="begin"/>
      </w:r>
      <w:r w:rsidRPr="006A4AF3">
        <w:rPr>
          <w:color w:val="000000" w:themeColor="text1"/>
        </w:rPr>
        <w:instrText>ADVANCE \R 0.95</w:instrText>
      </w:r>
      <w:r w:rsidRPr="006A4AF3">
        <w:rPr>
          <w:color w:val="000000" w:themeColor="text1"/>
        </w:rPr>
        <w:fldChar w:fldCharType="end"/>
      </w:r>
    </w:p>
    <w:p w:rsidR="003C6333" w:rsidRPr="006A4AF3" w:rsidP="006A4AF3" w14:paraId="24706A81" w14:textId="341B0C59">
      <w:pPr>
        <w:spacing w:line="276" w:lineRule="auto"/>
        <w:contextualSpacing/>
        <w:rPr>
          <w:color w:val="000000" w:themeColor="text1"/>
        </w:rPr>
      </w:pPr>
      <w:r w:rsidRPr="006A4AF3">
        <w:rPr>
          <w:color w:val="000000" w:themeColor="text1"/>
        </w:rPr>
        <w:t xml:space="preserve">Some of the </w:t>
      </w:r>
      <w:r w:rsidRPr="006A4AF3" w:rsidR="34DFFB5C">
        <w:rPr>
          <w:color w:val="000000" w:themeColor="text1"/>
        </w:rPr>
        <w:t xml:space="preserve">information collected is </w:t>
      </w:r>
      <w:r w:rsidRPr="006A4AF3" w:rsidR="730888BC">
        <w:rPr>
          <w:color w:val="000000" w:themeColor="text1"/>
        </w:rPr>
        <w:t xml:space="preserve">currently </w:t>
      </w:r>
      <w:r w:rsidRPr="006A4AF3" w:rsidR="34DFFB5C">
        <w:rPr>
          <w:color w:val="000000" w:themeColor="text1"/>
        </w:rPr>
        <w:t xml:space="preserve">duplicated by </w:t>
      </w:r>
      <w:r w:rsidRPr="006A4AF3" w:rsidR="7DD4C59C">
        <w:rPr>
          <w:color w:val="000000" w:themeColor="text1"/>
        </w:rPr>
        <w:t>an</w:t>
      </w:r>
      <w:r w:rsidRPr="006A4AF3" w:rsidR="34DFFB5C">
        <w:rPr>
          <w:color w:val="000000" w:themeColor="text1"/>
        </w:rPr>
        <w:t>other means</w:t>
      </w:r>
      <w:r w:rsidRPr="006A4AF3" w:rsidR="7DD4C59C">
        <w:rPr>
          <w:color w:val="000000" w:themeColor="text1"/>
        </w:rPr>
        <w:t xml:space="preserve"> </w:t>
      </w:r>
      <w:r w:rsidRPr="006A4AF3" w:rsidR="17622FC1">
        <w:rPr>
          <w:color w:val="000000" w:themeColor="text1"/>
        </w:rPr>
        <w:t>(</w:t>
      </w:r>
      <w:r w:rsidRPr="006A4AF3" w:rsidR="7DD4C59C">
        <w:rPr>
          <w:color w:val="000000" w:themeColor="text1"/>
        </w:rPr>
        <w:t>National Violations Tracker)</w:t>
      </w:r>
      <w:r w:rsidRPr="006A4AF3" w:rsidR="19D8234F">
        <w:rPr>
          <w:color w:val="000000" w:themeColor="text1"/>
        </w:rPr>
        <w:t xml:space="preserve">, but in future </w:t>
      </w:r>
      <w:r w:rsidRPr="006A4AF3" w:rsidR="16177096">
        <w:rPr>
          <w:color w:val="000000" w:themeColor="text1"/>
        </w:rPr>
        <w:t xml:space="preserve">iterations of the CIS, </w:t>
      </w:r>
      <w:r w:rsidRPr="006A4AF3" w:rsidR="0007390E">
        <w:t>we hope to automate</w:t>
      </w:r>
      <w:r w:rsidR="005D0957">
        <w:t xml:space="preserve"> some of</w:t>
      </w:r>
      <w:r w:rsidRPr="006A4AF3" w:rsidR="0007390E">
        <w:t xml:space="preserve"> this process and therefore eliminate duplication of efforts.</w:t>
      </w:r>
      <w:r w:rsidRPr="006A4AF3" w:rsidR="16177096">
        <w:rPr>
          <w:color w:val="000000" w:themeColor="text1"/>
        </w:rPr>
        <w:t xml:space="preserve"> </w:t>
      </w:r>
      <w:r w:rsidRPr="006A4AF3" w:rsidR="34DFFB5C">
        <w:rPr>
          <w:color w:val="000000" w:themeColor="text1"/>
        </w:rPr>
        <w:t xml:space="preserve">  </w:t>
      </w:r>
    </w:p>
    <w:p w:rsidR="003C6333" w:rsidRPr="006A4AF3" w:rsidP="006A4AF3" w14:paraId="07B28FBD" w14:textId="77777777">
      <w:pPr>
        <w:spacing w:line="276" w:lineRule="auto"/>
        <w:contextualSpacing/>
        <w:rPr>
          <w:color w:val="000000" w:themeColor="text1"/>
        </w:rPr>
      </w:pPr>
    </w:p>
    <w:p w:rsidR="00842E74" w:rsidRPr="006A4AF3" w:rsidP="006A4AF3" w14:paraId="6840F3F7" w14:textId="77777777">
      <w:pPr>
        <w:tabs>
          <w:tab w:val="left" w:pos="360"/>
        </w:tabs>
        <w:spacing w:line="276" w:lineRule="auto"/>
        <w:contextualSpacing/>
        <w:rPr>
          <w:b/>
          <w:bCs/>
        </w:rPr>
      </w:pPr>
      <w:r w:rsidRPr="006A4AF3">
        <w:rPr>
          <w:b/>
          <w:bCs/>
        </w:rPr>
        <w:t xml:space="preserve">5.  </w:t>
      </w:r>
      <w:r w:rsidRPr="006A4AF3" w:rsidR="00BF4DF2">
        <w:rPr>
          <w:b/>
          <w:bCs/>
        </w:rPr>
        <w:tab/>
      </w:r>
      <w:r w:rsidRPr="006A4AF3">
        <w:rPr>
          <w:b/>
          <w:bCs/>
        </w:rPr>
        <w:t>If the collection of information impacts small businesses or other small entities (Item 5 of OMB Form 83-I), describe any methods used to minimize.</w:t>
      </w:r>
    </w:p>
    <w:p w:rsidR="00842E74" w:rsidRPr="006A4AF3" w:rsidP="006A4AF3" w14:paraId="1EDC2E50" w14:textId="77777777">
      <w:pPr>
        <w:spacing w:line="276" w:lineRule="auto"/>
        <w:contextualSpacing/>
        <w:rPr>
          <w:color w:val="000000" w:themeColor="text1"/>
          <w:spacing w:val="-3"/>
        </w:rPr>
      </w:pPr>
    </w:p>
    <w:p w:rsidR="003C6333" w:rsidRPr="006A4AF3" w:rsidP="006A4AF3" w14:paraId="7FE975E5" w14:textId="66602B1D">
      <w:pPr>
        <w:spacing w:line="276" w:lineRule="auto"/>
        <w:contextualSpacing/>
        <w:rPr>
          <w:color w:val="000000" w:themeColor="text1"/>
        </w:rPr>
      </w:pPr>
      <w:r w:rsidRPr="006A4AF3">
        <w:rPr>
          <w:color w:val="000000" w:themeColor="text1"/>
        </w:rPr>
        <w:t>This information collection does not have an impact on small businesses or other small entities</w:t>
      </w:r>
      <w:r w:rsidRPr="006A4AF3" w:rsidR="43932270">
        <w:rPr>
          <w:color w:val="000000" w:themeColor="text1"/>
        </w:rPr>
        <w:t xml:space="preserve">, </w:t>
      </w:r>
      <w:r w:rsidRPr="006A4AF3" w:rsidR="034A5B1A">
        <w:rPr>
          <w:color w:val="000000" w:themeColor="text1"/>
        </w:rPr>
        <w:t>because most if not all</w:t>
      </w:r>
      <w:r w:rsidRPr="006A4AF3" w:rsidR="43932270">
        <w:rPr>
          <w:color w:val="000000" w:themeColor="text1"/>
        </w:rPr>
        <w:t xml:space="preserve"> State NFIP Coordinating Offices</w:t>
      </w:r>
      <w:r w:rsidRPr="006A4AF3" w:rsidR="034A5B1A">
        <w:rPr>
          <w:color w:val="000000" w:themeColor="text1"/>
        </w:rPr>
        <w:t xml:space="preserve"> are part of larger </w:t>
      </w:r>
      <w:r w:rsidRPr="006A4AF3" w:rsidR="0F0CDD30">
        <w:rPr>
          <w:color w:val="000000" w:themeColor="text1"/>
        </w:rPr>
        <w:t>state agencies</w:t>
      </w:r>
      <w:r w:rsidRPr="006A4AF3" w:rsidR="3D3180BE">
        <w:rPr>
          <w:color w:val="000000" w:themeColor="text1"/>
        </w:rPr>
        <w:t>, which under a cooperative agreement with FEMA, collect data and enter it into the CIS</w:t>
      </w:r>
      <w:r w:rsidRPr="006A4AF3" w:rsidR="2DBFF8CD">
        <w:rPr>
          <w:color w:val="000000" w:themeColor="text1"/>
        </w:rPr>
        <w:t xml:space="preserve"> </w:t>
      </w:r>
      <w:r w:rsidR="005D0957">
        <w:rPr>
          <w:color w:val="000000" w:themeColor="text1"/>
        </w:rPr>
        <w:t xml:space="preserve">either </w:t>
      </w:r>
      <w:r w:rsidRPr="006A4AF3" w:rsidR="2DBFF8CD">
        <w:rPr>
          <w:color w:val="000000" w:themeColor="text1"/>
        </w:rPr>
        <w:t xml:space="preserve">as </w:t>
      </w:r>
      <w:r w:rsidR="005D0957">
        <w:rPr>
          <w:color w:val="000000" w:themeColor="text1"/>
        </w:rPr>
        <w:t xml:space="preserve">a </w:t>
      </w:r>
      <w:r w:rsidRPr="006A4AF3" w:rsidR="2DBFF8CD">
        <w:rPr>
          <w:color w:val="000000" w:themeColor="text1"/>
        </w:rPr>
        <w:t>CAV Report</w:t>
      </w:r>
      <w:r w:rsidRPr="006A4AF3" w:rsidR="00455F48">
        <w:rPr>
          <w:color w:val="000000" w:themeColor="text1"/>
        </w:rPr>
        <w:t xml:space="preserve">, </w:t>
      </w:r>
      <w:r w:rsidRPr="006A4AF3" w:rsidR="2DBFF8CD">
        <w:rPr>
          <w:color w:val="000000" w:themeColor="text1"/>
        </w:rPr>
        <w:t>CAC Report</w:t>
      </w:r>
      <w:r w:rsidRPr="006A4AF3" w:rsidR="00455F48">
        <w:rPr>
          <w:color w:val="000000" w:themeColor="text1"/>
        </w:rPr>
        <w:t xml:space="preserve">, </w:t>
      </w:r>
      <w:r w:rsidR="005D0957">
        <w:rPr>
          <w:color w:val="000000" w:themeColor="text1"/>
        </w:rPr>
        <w:t>or</w:t>
      </w:r>
      <w:r w:rsidRPr="006A4AF3" w:rsidR="00455F48">
        <w:rPr>
          <w:color w:val="000000" w:themeColor="text1"/>
        </w:rPr>
        <w:t xml:space="preserve"> NFIP Compliance Audit Report</w:t>
      </w:r>
      <w:r w:rsidRPr="006A4AF3" w:rsidR="2DBFF8CD">
        <w:rPr>
          <w:color w:val="000000" w:themeColor="text1"/>
        </w:rPr>
        <w:t>.</w:t>
      </w:r>
    </w:p>
    <w:p w:rsidR="004B3431" w:rsidRPr="006A4AF3" w:rsidP="006A4AF3" w14:paraId="3A5CD34B" w14:textId="77777777">
      <w:pPr>
        <w:spacing w:line="276" w:lineRule="auto"/>
        <w:contextualSpacing/>
        <w:rPr>
          <w:color w:val="000000" w:themeColor="text1"/>
          <w:spacing w:val="-3"/>
        </w:rPr>
      </w:pPr>
    </w:p>
    <w:p w:rsidR="00842E74" w:rsidRPr="006A4AF3" w:rsidP="006A4AF3" w14:paraId="1622BCE4" w14:textId="77777777">
      <w:pPr>
        <w:spacing w:line="276" w:lineRule="auto"/>
        <w:contextualSpacing/>
        <w:rPr>
          <w:b/>
          <w:bCs/>
          <w:color w:val="000000" w:themeColor="text1"/>
        </w:rPr>
      </w:pPr>
      <w:r w:rsidRPr="006A4AF3">
        <w:rPr>
          <w:b/>
          <w:bCs/>
          <w:color w:val="000000" w:themeColor="text1"/>
        </w:rPr>
        <w:fldChar w:fldCharType="begin"/>
      </w:r>
      <w:r w:rsidRPr="006A4AF3">
        <w:rPr>
          <w:b/>
          <w:bCs/>
          <w:color w:val="000000" w:themeColor="text1"/>
        </w:rPr>
        <w:instrText>ADVANCE \R 0.95</w:instrText>
      </w:r>
      <w:r w:rsidRPr="006A4AF3">
        <w:rPr>
          <w:b/>
          <w:bCs/>
          <w:color w:val="000000" w:themeColor="text1"/>
        </w:rPr>
        <w:fldChar w:fldCharType="end"/>
      </w:r>
      <w:r w:rsidRPr="006A4AF3">
        <w:rPr>
          <w:b/>
          <w:bCs/>
          <w:color w:val="000000" w:themeColor="text1"/>
        </w:rPr>
        <w:t>6.  Describe the consequence to Federal/FEMA program or policy activities if the collection of information is not conducted, or is conducted less frequently</w:t>
      </w:r>
      <w:r w:rsidRPr="006A4AF3" w:rsidR="009F46CE">
        <w:rPr>
          <w:b/>
          <w:bCs/>
          <w:color w:val="000000" w:themeColor="text1"/>
        </w:rPr>
        <w:t xml:space="preserve"> </w:t>
      </w:r>
      <w:r w:rsidRPr="006A4AF3">
        <w:rPr>
          <w:b/>
          <w:bCs/>
          <w:color w:val="000000" w:themeColor="text1"/>
        </w:rPr>
        <w:t xml:space="preserve">as well as any technical or legal obstacles to reducing burden.  </w:t>
      </w:r>
    </w:p>
    <w:p w:rsidR="00842E74" w:rsidRPr="006A4AF3" w:rsidP="006A4AF3" w14:paraId="4DB525BC" w14:textId="77777777">
      <w:pPr>
        <w:spacing w:line="276" w:lineRule="auto"/>
        <w:contextualSpacing/>
        <w:rPr>
          <w:color w:val="000000" w:themeColor="text1"/>
          <w:spacing w:val="-3"/>
        </w:rPr>
      </w:pPr>
    </w:p>
    <w:p w:rsidR="008768B8" w:rsidRPr="006A4AF3" w:rsidP="006A4AF3" w14:paraId="39756BE6" w14:textId="1262DFFD">
      <w:pPr>
        <w:spacing w:line="276" w:lineRule="auto"/>
        <w:contextualSpacing/>
      </w:pPr>
      <w:r w:rsidRPr="006A4AF3">
        <w:t>If the information discussed above is not collected, FEMA would not know the extent to which approximately 2</w:t>
      </w:r>
      <w:r w:rsidRPr="006A4AF3" w:rsidR="7EC8EAC1">
        <w:t>2</w:t>
      </w:r>
      <w:r w:rsidRPr="006A4AF3">
        <w:t>,</w:t>
      </w:r>
      <w:r w:rsidRPr="006A4AF3" w:rsidR="00455F48">
        <w:t>6</w:t>
      </w:r>
      <w:r w:rsidRPr="006A4AF3">
        <w:t>00 communities participating in the NFIP are adhering to the obligation of implementing a floodplain management program as agreed to when joining the NFIP.  The core of this agreement is that FEMA, as a requirement under the National  Flood Insurance Act, will provide flood insurance coverage if communities adopt and  enforce floodplain management regulations.</w:t>
      </w:r>
    </w:p>
    <w:p w:rsidR="008768B8" w:rsidRPr="006A4AF3" w:rsidP="006A4AF3" w14:paraId="68B91EC9" w14:textId="77777777">
      <w:pPr>
        <w:spacing w:line="276" w:lineRule="auto"/>
        <w:contextualSpacing/>
        <w:rPr>
          <w:spacing w:val="-3"/>
        </w:rPr>
      </w:pPr>
    </w:p>
    <w:p w:rsidR="005E18FC" w:rsidRPr="006A4AF3" w:rsidP="006A4AF3" w14:paraId="4BF83F81" w14:textId="71B23BDC">
      <w:pPr>
        <w:spacing w:line="276" w:lineRule="auto"/>
        <w:contextualSpacing/>
        <w:rPr>
          <w:b/>
          <w:bCs/>
        </w:rPr>
      </w:pPr>
      <w:r w:rsidRPr="006A4AF3">
        <w:rPr>
          <w:b/>
          <w:bCs/>
        </w:rPr>
        <w:t xml:space="preserve">7.  </w:t>
      </w:r>
      <w:r w:rsidRPr="006A4AF3">
        <w:rPr>
          <w:b/>
          <w:bCs/>
        </w:rPr>
        <w:t>Explain any special circumstances that would cause an information collection to be conducted in a manner (</w:t>
      </w:r>
      <w:r w:rsidRPr="006A4AF3">
        <w:rPr>
          <w:b/>
          <w:bCs/>
          <w:i/>
          <w:iCs/>
        </w:rPr>
        <w:t>See</w:t>
      </w:r>
      <w:r w:rsidRPr="006A4AF3">
        <w:rPr>
          <w:b/>
          <w:bCs/>
        </w:rPr>
        <w:t xml:space="preserve"> 5 CFR 1320.5(d)(2)):</w:t>
      </w:r>
    </w:p>
    <w:p w:rsidR="005E18FC" w:rsidRPr="006A4AF3" w:rsidP="006A4AF3" w14:paraId="0DA90A83" w14:textId="77777777">
      <w:pPr>
        <w:spacing w:line="276" w:lineRule="auto"/>
        <w:contextualSpacing/>
      </w:pPr>
    </w:p>
    <w:p w:rsidR="005E18FC" w:rsidRPr="006A4AF3" w:rsidP="006A4AF3" w14:paraId="2905047B" w14:textId="77777777">
      <w:pPr>
        <w:pStyle w:val="ListParagraph"/>
        <w:numPr>
          <w:ilvl w:val="1"/>
          <w:numId w:val="22"/>
        </w:numPr>
        <w:spacing w:line="276" w:lineRule="auto"/>
        <w:ind w:left="720"/>
        <w:rPr>
          <w:b/>
          <w:bCs/>
        </w:rPr>
      </w:pPr>
      <w:r w:rsidRPr="006A4AF3">
        <w:rPr>
          <w:b/>
          <w:bCs/>
        </w:rPr>
        <w:t>Requiring respondents to report information to the agency more often than quarterly.</w:t>
      </w:r>
    </w:p>
    <w:p w:rsidR="005E18FC" w:rsidRPr="006A4AF3" w:rsidP="006A4AF3" w14:paraId="4089A1B3" w14:textId="77777777">
      <w:pPr>
        <w:spacing w:line="276" w:lineRule="auto"/>
        <w:contextualSpacing/>
      </w:pPr>
    </w:p>
    <w:p w:rsidR="005E18FC" w:rsidRPr="006A4AF3" w:rsidP="006A4AF3" w14:paraId="7B0D20A6" w14:textId="0A687296">
      <w:pPr>
        <w:spacing w:line="276" w:lineRule="auto"/>
        <w:contextualSpacing/>
      </w:pPr>
      <w:r w:rsidRPr="006A4AF3">
        <w:rPr>
          <w:color w:val="000000" w:themeColor="text1"/>
        </w:rPr>
        <w:t>This information collection does not require respondents to report information more than quarterly.</w:t>
      </w:r>
    </w:p>
    <w:p w:rsidR="005E18FC" w:rsidRPr="006A4AF3" w:rsidP="006A4AF3" w14:paraId="41AA6B3A" w14:textId="77777777">
      <w:pPr>
        <w:spacing w:line="276" w:lineRule="auto"/>
        <w:contextualSpacing/>
      </w:pPr>
    </w:p>
    <w:p w:rsidR="005E18FC" w:rsidRPr="006A4AF3" w:rsidP="006A4AF3" w14:paraId="41E071B4" w14:textId="77777777">
      <w:pPr>
        <w:pStyle w:val="ListParagraph"/>
        <w:numPr>
          <w:ilvl w:val="1"/>
          <w:numId w:val="22"/>
        </w:numPr>
        <w:spacing w:line="276" w:lineRule="auto"/>
        <w:ind w:left="720"/>
        <w:rPr>
          <w:b/>
          <w:bCs/>
        </w:rPr>
      </w:pPr>
      <w:r w:rsidRPr="006A4AF3">
        <w:rPr>
          <w:b/>
          <w:bCs/>
        </w:rPr>
        <w:t>Requiring respondents to prepare a written response to a collection of information in fewer than 30 days after receipt of it.</w:t>
      </w:r>
    </w:p>
    <w:p w:rsidR="005E18FC" w:rsidRPr="006A4AF3" w:rsidP="006A4AF3" w14:paraId="5A76D3DD" w14:textId="77777777">
      <w:pPr>
        <w:spacing w:line="276" w:lineRule="auto"/>
        <w:contextualSpacing/>
      </w:pPr>
    </w:p>
    <w:p w:rsidR="005E18FC" w:rsidRPr="006A4AF3" w:rsidP="006A4AF3" w14:paraId="1BAABE72" w14:textId="03D60DA9">
      <w:pPr>
        <w:spacing w:line="276" w:lineRule="auto"/>
        <w:contextualSpacing/>
      </w:pPr>
      <w:r w:rsidRPr="006A4AF3">
        <w:rPr>
          <w:color w:val="000000" w:themeColor="text1"/>
        </w:rPr>
        <w:t>This information collection does not require respondents to prepare a written response in fewer than 30 days after receipt of it.</w:t>
      </w:r>
    </w:p>
    <w:p w:rsidR="005E18FC" w:rsidRPr="006A4AF3" w:rsidP="006A4AF3" w14:paraId="0058EA3E" w14:textId="77777777">
      <w:pPr>
        <w:spacing w:line="276" w:lineRule="auto"/>
        <w:contextualSpacing/>
      </w:pPr>
    </w:p>
    <w:p w:rsidR="005E18FC" w:rsidRPr="006A4AF3" w:rsidP="006A4AF3" w14:paraId="6E1F034B" w14:textId="77777777">
      <w:pPr>
        <w:pStyle w:val="ListParagraph"/>
        <w:numPr>
          <w:ilvl w:val="1"/>
          <w:numId w:val="22"/>
        </w:numPr>
        <w:spacing w:line="276" w:lineRule="auto"/>
        <w:ind w:left="720"/>
        <w:rPr>
          <w:b/>
          <w:bCs/>
        </w:rPr>
      </w:pPr>
      <w:r w:rsidRPr="006A4AF3">
        <w:rPr>
          <w:b/>
          <w:bCs/>
        </w:rPr>
        <w:t>Requiring respondents to submit more than an original and two copies of any document.</w:t>
      </w:r>
    </w:p>
    <w:p w:rsidR="005E18FC" w:rsidRPr="006A4AF3" w:rsidP="006A4AF3" w14:paraId="36CE4BFC" w14:textId="77777777">
      <w:pPr>
        <w:spacing w:line="276" w:lineRule="auto"/>
        <w:contextualSpacing/>
      </w:pPr>
    </w:p>
    <w:p w:rsidR="005E18FC" w:rsidRPr="006A4AF3" w:rsidP="006A4AF3" w14:paraId="2345CE74" w14:textId="27C03FDB">
      <w:pPr>
        <w:spacing w:line="276" w:lineRule="auto"/>
        <w:contextualSpacing/>
      </w:pPr>
      <w:r w:rsidRPr="006A4AF3">
        <w:rPr>
          <w:color w:val="000000" w:themeColor="text1"/>
        </w:rPr>
        <w:t>This information collection does not require respondents to submit more than an original and two copies of any document.</w:t>
      </w:r>
    </w:p>
    <w:p w:rsidR="005E18FC" w:rsidRPr="006A4AF3" w:rsidP="006A4AF3" w14:paraId="480DEBB1" w14:textId="77777777">
      <w:pPr>
        <w:spacing w:line="276" w:lineRule="auto"/>
        <w:contextualSpacing/>
      </w:pPr>
    </w:p>
    <w:p w:rsidR="005E18FC" w:rsidRPr="006A4AF3" w:rsidP="006A4AF3" w14:paraId="5917BDF1" w14:textId="77777777">
      <w:pPr>
        <w:pStyle w:val="ListParagraph"/>
        <w:numPr>
          <w:ilvl w:val="1"/>
          <w:numId w:val="22"/>
        </w:numPr>
        <w:spacing w:line="276" w:lineRule="auto"/>
        <w:ind w:left="720"/>
        <w:rPr>
          <w:b/>
          <w:bCs/>
        </w:rPr>
      </w:pPr>
      <w:r w:rsidRPr="006A4AF3">
        <w:rPr>
          <w:b/>
          <w:bCs/>
        </w:rPr>
        <w:t>Requiring respondents to retain records, other than health, medical, government contract, grant-in-aid, or tax records for more than three years.</w:t>
      </w:r>
    </w:p>
    <w:p w:rsidR="005E18FC" w:rsidRPr="006A4AF3" w:rsidP="006A4AF3" w14:paraId="7EDE9BD1" w14:textId="77777777">
      <w:pPr>
        <w:spacing w:line="276" w:lineRule="auto"/>
        <w:contextualSpacing/>
      </w:pPr>
    </w:p>
    <w:p w:rsidR="005E18FC" w:rsidRPr="006A4AF3" w:rsidP="006A4AF3" w14:paraId="3D0C95E4" w14:textId="490E5A84">
      <w:pPr>
        <w:spacing w:line="276" w:lineRule="auto"/>
        <w:contextualSpacing/>
        <w:rPr>
          <w:color w:val="000000" w:themeColor="text1"/>
        </w:rPr>
      </w:pPr>
      <w:r>
        <w:rPr>
          <w:color w:val="000000" w:themeColor="text1"/>
        </w:rPr>
        <w:t>This information collection does require respondents to retain certain permanent records, according to FEMA’s Records Disposition Schedule FIA 14-1</w:t>
      </w:r>
      <w:r w:rsidRPr="006A4AF3">
        <w:rPr>
          <w:color w:val="000000" w:themeColor="text1"/>
        </w:rPr>
        <w:t>.</w:t>
      </w:r>
    </w:p>
    <w:p w:rsidR="005E18FC" w:rsidRPr="006A4AF3" w:rsidP="006A4AF3" w14:paraId="26DF1423" w14:textId="77777777">
      <w:pPr>
        <w:spacing w:line="276" w:lineRule="auto"/>
        <w:contextualSpacing/>
      </w:pPr>
    </w:p>
    <w:p w:rsidR="005E18FC" w:rsidRPr="006A4AF3" w:rsidP="006A4AF3" w14:paraId="5714410E" w14:textId="77777777">
      <w:pPr>
        <w:pStyle w:val="ListParagraph"/>
        <w:numPr>
          <w:ilvl w:val="1"/>
          <w:numId w:val="22"/>
        </w:numPr>
        <w:spacing w:line="276" w:lineRule="auto"/>
        <w:ind w:left="720"/>
        <w:rPr>
          <w:b/>
          <w:bCs/>
        </w:rPr>
      </w:pPr>
      <w:r w:rsidRPr="006A4AF3">
        <w:rPr>
          <w:b/>
          <w:bCs/>
        </w:rPr>
        <w:t>In connection with a statistical survey, that is not designed to produce valid and reliable results that can be generalized to the universe of study.</w:t>
      </w:r>
    </w:p>
    <w:p w:rsidR="005E18FC" w:rsidRPr="006A4AF3" w:rsidP="006A4AF3" w14:paraId="3F1094B9" w14:textId="77777777">
      <w:pPr>
        <w:spacing w:line="276" w:lineRule="auto"/>
        <w:contextualSpacing/>
      </w:pPr>
    </w:p>
    <w:p w:rsidR="005E18FC" w:rsidRPr="006A4AF3" w:rsidP="006A4AF3" w14:paraId="7A26407D" w14:textId="59E17D78">
      <w:pPr>
        <w:spacing w:line="276" w:lineRule="auto"/>
        <w:contextualSpacing/>
        <w:rPr>
          <w:color w:val="000000" w:themeColor="text1"/>
        </w:rPr>
      </w:pPr>
      <w:r w:rsidRPr="006A4AF3">
        <w:rPr>
          <w:color w:val="000000" w:themeColor="text1"/>
        </w:rPr>
        <w:t>This information collection does not include a statistical survey.</w:t>
      </w:r>
    </w:p>
    <w:p w:rsidR="005E18FC" w:rsidRPr="006A4AF3" w:rsidP="006A4AF3" w14:paraId="2884FFF6" w14:textId="77777777">
      <w:pPr>
        <w:spacing w:line="276" w:lineRule="auto"/>
        <w:contextualSpacing/>
      </w:pPr>
    </w:p>
    <w:p w:rsidR="005E18FC" w:rsidRPr="006A4AF3" w:rsidP="006A4AF3" w14:paraId="115C4049" w14:textId="77777777">
      <w:pPr>
        <w:pStyle w:val="ListParagraph"/>
        <w:numPr>
          <w:ilvl w:val="1"/>
          <w:numId w:val="22"/>
        </w:numPr>
        <w:spacing w:line="276" w:lineRule="auto"/>
        <w:ind w:left="720"/>
        <w:rPr>
          <w:b/>
          <w:bCs/>
        </w:rPr>
      </w:pPr>
      <w:r w:rsidRPr="006A4AF3">
        <w:rPr>
          <w:b/>
          <w:bCs/>
        </w:rPr>
        <w:t>Requiring the use of a statistical data classification that has not been reviewed and approved by OMB.</w:t>
      </w:r>
    </w:p>
    <w:p w:rsidR="005E18FC" w:rsidRPr="006A4AF3" w:rsidP="006A4AF3" w14:paraId="1B1AE1AD" w14:textId="77777777">
      <w:pPr>
        <w:spacing w:line="276" w:lineRule="auto"/>
        <w:contextualSpacing/>
      </w:pPr>
    </w:p>
    <w:p w:rsidR="005E18FC" w:rsidRPr="006A4AF3" w:rsidP="006A4AF3" w14:paraId="71506351" w14:textId="3BAFBCE6">
      <w:pPr>
        <w:spacing w:line="276" w:lineRule="auto"/>
        <w:contextualSpacing/>
        <w:rPr>
          <w:color w:val="000000" w:themeColor="text1"/>
        </w:rPr>
      </w:pPr>
      <w:r w:rsidRPr="006A4AF3">
        <w:rPr>
          <w:color w:val="000000" w:themeColor="text1"/>
        </w:rPr>
        <w:t>This information collection does not use a statistical data classification that has not been reviewed and approved by OMB.</w:t>
      </w:r>
    </w:p>
    <w:p w:rsidR="005E18FC" w:rsidRPr="006A4AF3" w:rsidP="006A4AF3" w14:paraId="33FF007B" w14:textId="77777777">
      <w:pPr>
        <w:spacing w:line="276" w:lineRule="auto"/>
        <w:contextualSpacing/>
      </w:pPr>
    </w:p>
    <w:p w:rsidR="005E18FC" w:rsidRPr="006A4AF3" w:rsidP="006A4AF3" w14:paraId="58C23172" w14:textId="77777777">
      <w:pPr>
        <w:pStyle w:val="ListParagraph"/>
        <w:numPr>
          <w:ilvl w:val="1"/>
          <w:numId w:val="22"/>
        </w:numPr>
        <w:spacing w:line="276" w:lineRule="auto"/>
        <w:ind w:left="720"/>
        <w:rPr>
          <w:b/>
          <w:bCs/>
        </w:rPr>
      </w:pPr>
      <w:r w:rsidRPr="006A4AF3">
        <w:rPr>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5E18FC" w:rsidRPr="006A4AF3" w:rsidP="006A4AF3" w14:paraId="2CEFB62F" w14:textId="77777777">
      <w:pPr>
        <w:spacing w:line="276" w:lineRule="auto"/>
        <w:contextualSpacing/>
      </w:pPr>
    </w:p>
    <w:p w:rsidR="005E18FC" w:rsidRPr="006A4AF3" w:rsidP="006A4AF3" w14:paraId="032D05C4" w14:textId="6EE97480">
      <w:pPr>
        <w:spacing w:line="276" w:lineRule="auto"/>
        <w:contextualSpacing/>
        <w:rPr>
          <w:color w:val="000000" w:themeColor="text1"/>
        </w:rPr>
      </w:pPr>
      <w:r w:rsidRPr="006A4AF3">
        <w:rPr>
          <w:color w:val="000000" w:themeColor="text1"/>
        </w:rPr>
        <w:t xml:space="preserve">This information collection does not include a pledge of confidentiality that is not supported by established authorities or policies.  </w:t>
      </w:r>
    </w:p>
    <w:p w:rsidR="005E18FC" w:rsidRPr="006A4AF3" w:rsidP="006A4AF3" w14:paraId="7142D7C3" w14:textId="77777777">
      <w:pPr>
        <w:spacing w:line="276" w:lineRule="auto"/>
        <w:contextualSpacing/>
      </w:pPr>
    </w:p>
    <w:p w:rsidR="005E18FC" w:rsidRPr="006A4AF3" w:rsidP="006A4AF3" w14:paraId="2C5C5073" w14:textId="77777777">
      <w:pPr>
        <w:pStyle w:val="ListParagraph"/>
        <w:numPr>
          <w:ilvl w:val="1"/>
          <w:numId w:val="22"/>
        </w:numPr>
        <w:spacing w:line="276" w:lineRule="auto"/>
        <w:ind w:left="720"/>
        <w:rPr>
          <w:b/>
          <w:bCs/>
        </w:rPr>
      </w:pPr>
      <w:r w:rsidRPr="006A4AF3">
        <w:rPr>
          <w:b/>
          <w:bCs/>
        </w:rPr>
        <w:t>Requiring respondents to submit proprietary trade secret, or other confidential information unless the agency can demonstrate that it has instituted procedures to protect the information’s confidentiality to the extent permitted by law.</w:t>
      </w:r>
    </w:p>
    <w:p w:rsidR="005E18FC" w:rsidRPr="006A4AF3" w:rsidP="006A4AF3" w14:paraId="6C8718E0" w14:textId="77777777">
      <w:pPr>
        <w:spacing w:line="276" w:lineRule="auto"/>
        <w:contextualSpacing/>
      </w:pPr>
    </w:p>
    <w:p w:rsidR="005E18FC" w:rsidRPr="006A4AF3" w:rsidP="006A4AF3" w14:paraId="15D2460F" w14:textId="2F4FEEA9">
      <w:pPr>
        <w:spacing w:line="276" w:lineRule="auto"/>
        <w:contextualSpacing/>
        <w:rPr>
          <w:color w:val="000000" w:themeColor="text1"/>
        </w:rPr>
      </w:pPr>
      <w:r w:rsidRPr="006A4AF3">
        <w:rPr>
          <w:color w:val="000000" w:themeColor="text1"/>
        </w:rPr>
        <w:t>This information collection does not require respondents to submit trade secrets or other confidential information.</w:t>
      </w:r>
    </w:p>
    <w:p w:rsidR="005E18FC" w:rsidRPr="006A4AF3" w:rsidP="006A4AF3" w14:paraId="3ED66A84" w14:textId="77777777">
      <w:pPr>
        <w:spacing w:line="276" w:lineRule="auto"/>
        <w:contextualSpacing/>
      </w:pPr>
    </w:p>
    <w:p w:rsidR="00842E74" w:rsidRPr="006A4AF3" w:rsidP="006A4AF3" w14:paraId="2B9ACE04" w14:textId="77777777">
      <w:pPr>
        <w:spacing w:line="276" w:lineRule="auto"/>
        <w:contextualSpacing/>
        <w:jc w:val="both"/>
        <w:rPr>
          <w:b/>
          <w:bCs/>
        </w:rPr>
      </w:pPr>
      <w:r w:rsidRPr="006A4AF3">
        <w:rPr>
          <w:b/>
          <w:bCs/>
        </w:rPr>
        <w:fldChar w:fldCharType="begin"/>
      </w:r>
      <w:r w:rsidRPr="006A4AF3">
        <w:rPr>
          <w:b/>
          <w:bCs/>
        </w:rPr>
        <w:instrText>ADVANCE \R 0.95</w:instrText>
      </w:r>
      <w:r w:rsidRPr="006A4AF3">
        <w:rPr>
          <w:b/>
          <w:bCs/>
        </w:rPr>
        <w:fldChar w:fldCharType="end"/>
      </w:r>
      <w:r w:rsidRPr="006A4AF3">
        <w:rPr>
          <w:b/>
          <w:bCs/>
        </w:rPr>
        <w:t xml:space="preserve">8.  Federal Register Notice: </w:t>
      </w:r>
    </w:p>
    <w:p w:rsidR="00842E74" w:rsidRPr="006A4AF3" w:rsidP="006A4AF3" w14:paraId="6CDE27A6" w14:textId="77777777">
      <w:pPr>
        <w:spacing w:line="276" w:lineRule="auto"/>
        <w:contextualSpacing/>
        <w:rPr>
          <w:b/>
          <w:bCs/>
        </w:rPr>
      </w:pPr>
      <w:r w:rsidRPr="006A4AF3">
        <w:rPr>
          <w:b/>
          <w:bCs/>
        </w:rPr>
        <w:fldChar w:fldCharType="begin"/>
      </w:r>
      <w:r w:rsidRPr="006A4AF3">
        <w:rPr>
          <w:b/>
          <w:bCs/>
        </w:rPr>
        <w:instrText>ADVANCE \R 0.95</w:instrText>
      </w:r>
      <w:r w:rsidRPr="006A4AF3">
        <w:rPr>
          <w:b/>
          <w:bCs/>
        </w:rPr>
        <w:fldChar w:fldCharType="end"/>
      </w:r>
    </w:p>
    <w:p w:rsidR="00842E74" w:rsidRPr="006A4AF3" w:rsidP="006A4AF3" w14:paraId="21A3EDFD" w14:textId="77777777">
      <w:pPr>
        <w:spacing w:line="276" w:lineRule="auto"/>
        <w:contextualSpacing/>
        <w:rPr>
          <w:b/>
          <w:bCs/>
          <w:color w:val="000000" w:themeColor="text1"/>
        </w:rPr>
      </w:pPr>
      <w:r w:rsidRPr="006A4AF3">
        <w:rPr>
          <w:b/>
          <w:bCs/>
        </w:rPr>
        <w:fldChar w:fldCharType="begin"/>
      </w:r>
      <w:r w:rsidRPr="006A4AF3">
        <w:rPr>
          <w:b/>
          <w:bCs/>
        </w:rPr>
        <w:instrText>ADVANCE \R 0.95</w:instrText>
      </w:r>
      <w:r w:rsidRPr="006A4AF3">
        <w:rPr>
          <w:b/>
          <w:bCs/>
        </w:rPr>
        <w:fldChar w:fldCharType="end"/>
      </w:r>
      <w:r w:rsidRPr="006A4AF3">
        <w:rPr>
          <w:b/>
          <w:bCs/>
        </w:rPr>
        <w:t xml:space="preserve">            a.   Provide a copy and identify the date and page number of publication in the Federal Register of the agency’s notice soliciting comments on the </w:t>
      </w:r>
      <w:r w:rsidRPr="006A4AF3" w:rsidR="00920A21">
        <w:rPr>
          <w:b/>
          <w:bCs/>
        </w:rPr>
        <w:tab/>
      </w:r>
      <w:r w:rsidRPr="006A4AF3">
        <w:rPr>
          <w:b/>
          <w:bCs/>
        </w:rPr>
        <w:t>information collection prior to submission to OMB.  Summarize public</w:t>
      </w:r>
      <w:r w:rsidRPr="006A4AF3" w:rsidR="00232C69">
        <w:rPr>
          <w:b/>
          <w:bCs/>
        </w:rPr>
        <w:t xml:space="preserve"> </w:t>
      </w:r>
      <w:r w:rsidRPr="006A4AF3">
        <w:rPr>
          <w:b/>
          <w:bCs/>
        </w:rPr>
        <w:t xml:space="preserve">comments received in </w:t>
      </w:r>
      <w:r w:rsidRPr="006A4AF3">
        <w:rPr>
          <w:b/>
          <w:bCs/>
          <w:color w:val="000000" w:themeColor="text1"/>
        </w:rPr>
        <w:t>response to that notice and describe actions taken by</w:t>
      </w:r>
      <w:r w:rsidRPr="006A4AF3" w:rsidR="00232C69">
        <w:rPr>
          <w:b/>
          <w:bCs/>
          <w:color w:val="000000" w:themeColor="text1"/>
        </w:rPr>
        <w:t xml:space="preserve"> </w:t>
      </w:r>
      <w:r w:rsidRPr="006A4AF3">
        <w:rPr>
          <w:b/>
          <w:bCs/>
          <w:color w:val="000000" w:themeColor="text1"/>
        </w:rPr>
        <w:t>the agency in response to these comments.  Specifically address comments</w:t>
      </w:r>
      <w:r w:rsidRPr="006A4AF3" w:rsidR="00232C69">
        <w:rPr>
          <w:b/>
          <w:bCs/>
          <w:color w:val="000000" w:themeColor="text1"/>
        </w:rPr>
        <w:t xml:space="preserve"> </w:t>
      </w:r>
      <w:r w:rsidRPr="006A4AF3">
        <w:rPr>
          <w:b/>
          <w:bCs/>
          <w:color w:val="000000" w:themeColor="text1"/>
        </w:rPr>
        <w:t>received on cost and hour burden.</w:t>
      </w:r>
    </w:p>
    <w:p w:rsidR="00F270A0" w:rsidRPr="006A4AF3" w:rsidP="006A4AF3" w14:paraId="1F5AA0E9" w14:textId="77777777">
      <w:pPr>
        <w:spacing w:line="276" w:lineRule="auto"/>
        <w:contextualSpacing/>
        <w:rPr>
          <w:color w:val="000000" w:themeColor="text1"/>
        </w:rPr>
      </w:pPr>
      <w:r w:rsidRPr="006A4AF3">
        <w:rPr>
          <w:color w:val="000000" w:themeColor="text1"/>
        </w:rPr>
        <w:fldChar w:fldCharType="begin"/>
      </w:r>
      <w:r w:rsidRPr="006A4AF3" w:rsidR="00842E74">
        <w:rPr>
          <w:color w:val="000000" w:themeColor="text1"/>
        </w:rPr>
        <w:instrText>ADVANCE \R 0.95</w:instrText>
      </w:r>
      <w:r w:rsidRPr="006A4AF3">
        <w:rPr>
          <w:color w:val="000000" w:themeColor="text1"/>
        </w:rPr>
        <w:fldChar w:fldCharType="end"/>
      </w:r>
    </w:p>
    <w:p w:rsidR="00F270A0" w:rsidRPr="008C0BA2" w:rsidP="006A4AF3" w14:paraId="7676D23E" w14:textId="5EDD6A32">
      <w:pPr>
        <w:spacing w:line="276" w:lineRule="auto"/>
        <w:contextualSpacing/>
        <w:rPr>
          <w:color w:val="000000"/>
        </w:rPr>
      </w:pPr>
      <w:r w:rsidRPr="006A4AF3">
        <w:rPr>
          <w:color w:val="000000"/>
        </w:rPr>
        <w:t>A 60-day Federal Register Notice inviting public comments was published on</w:t>
      </w:r>
      <w:r w:rsidRPr="008C0BA2">
        <w:rPr>
          <w:color w:val="000000"/>
        </w:rPr>
        <w:t xml:space="preserve"> </w:t>
      </w:r>
      <w:r w:rsidRPr="008C0BA2" w:rsidR="0008138B">
        <w:rPr>
          <w:color w:val="000000"/>
        </w:rPr>
        <w:t xml:space="preserve">March 28, 2024, at </w:t>
      </w:r>
      <w:r w:rsidRPr="008C0BA2" w:rsidR="00E10E38">
        <w:rPr>
          <w:color w:val="000000"/>
        </w:rPr>
        <w:t>89 FR 21534</w:t>
      </w:r>
      <w:r w:rsidRPr="008C0BA2">
        <w:rPr>
          <w:color w:val="000000"/>
        </w:rPr>
        <w:t xml:space="preserve">.  </w:t>
      </w:r>
      <w:r w:rsidRPr="00685C8F">
        <w:rPr>
          <w:color w:val="000000"/>
        </w:rPr>
        <w:t>No comments were received</w:t>
      </w:r>
      <w:r w:rsidRPr="008C0BA2">
        <w:rPr>
          <w:color w:val="000000"/>
        </w:rPr>
        <w:t>.</w:t>
      </w:r>
    </w:p>
    <w:p w:rsidR="00F270A0" w:rsidRPr="006A4AF3" w:rsidP="006A4AF3" w14:paraId="476C8F55" w14:textId="77777777">
      <w:pPr>
        <w:spacing w:line="276" w:lineRule="auto"/>
        <w:contextualSpacing/>
      </w:pPr>
    </w:p>
    <w:p w:rsidR="00F270A0" w:rsidRPr="00571CA5" w:rsidP="006A4AF3" w14:paraId="2AC37EA1" w14:textId="161E9C7E">
      <w:pPr>
        <w:spacing w:line="276" w:lineRule="auto"/>
        <w:contextualSpacing/>
        <w:rPr>
          <w:color w:val="000000"/>
        </w:rPr>
      </w:pPr>
      <w:r w:rsidRPr="006A4AF3">
        <w:rPr>
          <w:color w:val="000000"/>
        </w:rPr>
        <w:t>A 30-day Federal Register Notice inviting public comments was published o</w:t>
      </w:r>
      <w:r w:rsidRPr="00571CA5">
        <w:rPr>
          <w:color w:val="000000"/>
        </w:rPr>
        <w:t xml:space="preserve">n </w:t>
      </w:r>
      <w:r w:rsidRPr="00571CA5" w:rsidR="00D92B8E">
        <w:rPr>
          <w:color w:val="000000"/>
        </w:rPr>
        <w:t>July 16, 2024, at 89 FR 57921</w:t>
      </w:r>
      <w:r w:rsidRPr="00571CA5">
        <w:rPr>
          <w:color w:val="000000"/>
        </w:rPr>
        <w:t xml:space="preserve">.  </w:t>
      </w:r>
      <w:r w:rsidR="00FB55A4">
        <w:rPr>
          <w:color w:val="000000"/>
        </w:rPr>
        <w:t xml:space="preserve">The public comment </w:t>
      </w:r>
      <w:r w:rsidR="0036416A">
        <w:rPr>
          <w:color w:val="000000"/>
        </w:rPr>
        <w:t>period is open until August 15, 2024</w:t>
      </w:r>
      <w:r w:rsidRPr="00571CA5">
        <w:rPr>
          <w:color w:val="000000"/>
        </w:rPr>
        <w:t>.</w:t>
      </w:r>
    </w:p>
    <w:p w:rsidR="00F270A0" w:rsidRPr="00571CA5" w:rsidP="006A4AF3" w14:paraId="28DDBCA8" w14:textId="77777777">
      <w:pPr>
        <w:spacing w:line="276" w:lineRule="auto"/>
        <w:contextualSpacing/>
        <w:rPr>
          <w:color w:val="000000"/>
        </w:rPr>
      </w:pPr>
    </w:p>
    <w:p w:rsidR="00842E74" w:rsidRPr="006A4AF3" w:rsidP="006A4AF3" w14:paraId="2B324DFE" w14:textId="41AF128F">
      <w:pPr>
        <w:spacing w:line="276" w:lineRule="auto"/>
        <w:contextualSpacing/>
        <w:rPr>
          <w:b/>
          <w:bCs/>
        </w:rPr>
      </w:pPr>
      <w:r w:rsidRPr="006A4AF3">
        <w:rPr>
          <w:color w:val="000000" w:themeColor="text1"/>
        </w:rPr>
        <w:fldChar w:fldCharType="begin"/>
      </w:r>
      <w:r w:rsidRPr="006A4AF3">
        <w:rPr>
          <w:color w:val="000000" w:themeColor="text1"/>
        </w:rPr>
        <w:instrText>ADVANCE \R 0.95</w:instrText>
      </w:r>
      <w:r w:rsidRPr="006A4AF3">
        <w:rPr>
          <w:color w:val="000000" w:themeColor="text1"/>
        </w:rPr>
        <w:fldChar w:fldCharType="end"/>
      </w:r>
      <w:r w:rsidRPr="006A4AF3">
        <w:rPr>
          <w:color w:val="000000" w:themeColor="text1"/>
        </w:rPr>
        <w:tab/>
      </w:r>
      <w:r w:rsidRPr="006A4AF3">
        <w:rPr>
          <w:b/>
          <w:bCs/>
          <w:color w:val="000000" w:themeColor="text1"/>
        </w:rPr>
        <w:t xml:space="preserve">b.  </w:t>
      </w:r>
      <w:r w:rsidRPr="006A4AF3">
        <w:rPr>
          <w:b/>
          <w:bCs/>
        </w:rPr>
        <w:t xml:space="preserve">Describe efforts to consult with persons outside the agency to obtain their views on the availability of data, frequency of collection, the clarity of </w:t>
      </w:r>
      <w:r w:rsidRPr="006A4AF3" w:rsidR="00232C69">
        <w:rPr>
          <w:b/>
          <w:bCs/>
        </w:rPr>
        <w:t>ins</w:t>
      </w:r>
      <w:r w:rsidRPr="006A4AF3">
        <w:rPr>
          <w:b/>
          <w:bCs/>
        </w:rPr>
        <w:t>tructions and recordkeeping, disclosure, or reporting format (if any), and on the data elements to be recorded, disclosed, or reported.</w:t>
      </w:r>
    </w:p>
    <w:p w:rsidR="0098231F" w:rsidRPr="006A4AF3" w:rsidP="006A4AF3" w14:paraId="43E6D986" w14:textId="77777777">
      <w:pPr>
        <w:tabs>
          <w:tab w:val="left" w:pos="360"/>
        </w:tabs>
        <w:spacing w:line="276" w:lineRule="auto"/>
        <w:contextualSpacing/>
        <w:rPr>
          <w:b/>
          <w:bCs/>
        </w:rPr>
      </w:pPr>
    </w:p>
    <w:p w:rsidR="00B71832" w:rsidRPr="006A4AF3" w:rsidP="006A4AF3" w14:paraId="2F2A0345" w14:textId="2A2CBFFF">
      <w:pPr>
        <w:tabs>
          <w:tab w:val="left" w:pos="360"/>
        </w:tabs>
        <w:spacing w:line="276" w:lineRule="auto"/>
        <w:contextualSpacing/>
      </w:pPr>
      <w:r w:rsidRPr="006A4AF3">
        <w:t xml:space="preserve">FEMA regularly </w:t>
      </w:r>
      <w:r w:rsidRPr="006A4AF3" w:rsidR="6D792C2D">
        <w:t>receives</w:t>
      </w:r>
      <w:r w:rsidRPr="006A4AF3">
        <w:t xml:space="preserve"> input </w:t>
      </w:r>
      <w:r w:rsidRPr="006A4AF3" w:rsidR="00D30D5D">
        <w:t xml:space="preserve">from State officials involved with floodplain management </w:t>
      </w:r>
      <w:r w:rsidRPr="006A4AF3">
        <w:t xml:space="preserve">on the information collected </w:t>
      </w:r>
      <w:r w:rsidRPr="006A4AF3" w:rsidR="37A0FE43">
        <w:t>during CAC</w:t>
      </w:r>
      <w:r w:rsidRPr="006A4AF3" w:rsidR="1D6B5A5D">
        <w:t>s</w:t>
      </w:r>
      <w:r w:rsidRPr="006A4AF3" w:rsidR="37A0FE43">
        <w:t xml:space="preserve"> and CAV</w:t>
      </w:r>
      <w:r w:rsidRPr="006A4AF3" w:rsidR="1D6B5A5D">
        <w:t>s</w:t>
      </w:r>
      <w:r w:rsidRPr="006A4AF3" w:rsidR="00645CA2">
        <w:t xml:space="preserve">, and will regularly </w:t>
      </w:r>
      <w:r w:rsidRPr="006A4AF3" w:rsidR="00677048">
        <w:t xml:space="preserve">receive input on the information </w:t>
      </w:r>
      <w:r w:rsidRPr="006A4AF3" w:rsidR="00D30D5D">
        <w:t>collected</w:t>
      </w:r>
      <w:r w:rsidRPr="006A4AF3" w:rsidR="00677048">
        <w:t xml:space="preserve"> </w:t>
      </w:r>
      <w:r w:rsidRPr="006A4AF3" w:rsidR="00D30D5D">
        <w:t>during</w:t>
      </w:r>
      <w:r w:rsidRPr="006A4AF3" w:rsidR="00677048">
        <w:t xml:space="preserve"> the NFIP Compliance Audit process after </w:t>
      </w:r>
      <w:r w:rsidRPr="006A4AF3" w:rsidR="00D30D5D">
        <w:t xml:space="preserve">implementation, which is </w:t>
      </w:r>
      <w:r w:rsidRPr="006A4AF3" w:rsidR="00677048">
        <w:t xml:space="preserve">proposed for July 1, </w:t>
      </w:r>
      <w:r w:rsidRPr="006A4AF3" w:rsidR="00E626B9">
        <w:t>202</w:t>
      </w:r>
      <w:r w:rsidR="00E626B9">
        <w:t>5</w:t>
      </w:r>
      <w:r w:rsidRPr="006A4AF3" w:rsidR="7EC8EAC1">
        <w:t xml:space="preserve">.  </w:t>
      </w:r>
      <w:r w:rsidRPr="006A4AF3" w:rsidR="3D24763E">
        <w:t>As mentioned above, FEMA</w:t>
      </w:r>
      <w:r w:rsidRPr="006A4AF3" w:rsidR="003E00DC">
        <w:t>’s</w:t>
      </w:r>
      <w:r w:rsidRPr="006A4AF3" w:rsidR="3D24763E">
        <w:t xml:space="preserve"> Floodplain Management Division is redesigning </w:t>
      </w:r>
      <w:r w:rsidRPr="006A4AF3" w:rsidR="1F84FD23">
        <w:t xml:space="preserve">aspects of the </w:t>
      </w:r>
      <w:r w:rsidRPr="006A4AF3" w:rsidR="3D24763E">
        <w:t xml:space="preserve">NFIP Compliance </w:t>
      </w:r>
      <w:r w:rsidRPr="006A4AF3" w:rsidR="1F84FD23">
        <w:t xml:space="preserve">process </w:t>
      </w:r>
      <w:r w:rsidRPr="006A4AF3" w:rsidR="3D24763E">
        <w:t>through a Compliance C</w:t>
      </w:r>
      <w:r w:rsidRPr="006A4AF3" w:rsidR="3EE34C8A">
        <w:t>o</w:t>
      </w:r>
      <w:r w:rsidRPr="006A4AF3" w:rsidR="3D24763E">
        <w:t>mmittee</w:t>
      </w:r>
      <w:r w:rsidRPr="006A4AF3" w:rsidR="3EE34C8A">
        <w:t xml:space="preserve"> </w:t>
      </w:r>
      <w:r w:rsidRPr="006A4AF3" w:rsidR="1F84FD23">
        <w:t>which consists</w:t>
      </w:r>
      <w:r w:rsidRPr="006A4AF3" w:rsidR="3EE34C8A">
        <w:t xml:space="preserve"> of </w:t>
      </w:r>
      <w:r w:rsidRPr="006A4AF3" w:rsidR="1F84FD23">
        <w:t>representatives from each FEMA Regional Office</w:t>
      </w:r>
      <w:r w:rsidRPr="006A4AF3" w:rsidR="602D764F">
        <w:t xml:space="preserve">, a </w:t>
      </w:r>
      <w:r w:rsidRPr="006A4AF3" w:rsidR="3D24763E">
        <w:t>Floodplain Management Division</w:t>
      </w:r>
      <w:r w:rsidRPr="006A4AF3" w:rsidR="7C91B217">
        <w:t xml:space="preserve"> </w:t>
      </w:r>
      <w:r w:rsidRPr="006A4AF3" w:rsidR="602D764F">
        <w:t xml:space="preserve">project manager, and a Regional FEMA </w:t>
      </w:r>
      <w:r w:rsidRPr="006A4AF3" w:rsidR="253F5BD3">
        <w:t>Floodplain</w:t>
      </w:r>
      <w:r w:rsidRPr="006A4AF3" w:rsidR="602D764F">
        <w:t xml:space="preserve"> Management &amp; </w:t>
      </w:r>
      <w:r w:rsidRPr="006A4AF3" w:rsidR="253F5BD3">
        <w:t>Insurance Branch Chief</w:t>
      </w:r>
      <w:r w:rsidRPr="006A4AF3" w:rsidR="602D764F">
        <w:t xml:space="preserve"> Sponsor.</w:t>
      </w:r>
      <w:r w:rsidRPr="006A4AF3" w:rsidR="253F5BD3">
        <w:t xml:space="preserve"> </w:t>
      </w:r>
      <w:r w:rsidRPr="006A4AF3" w:rsidR="33DCC9A2">
        <w:t xml:space="preserve"> </w:t>
      </w:r>
      <w:r w:rsidRPr="006A4AF3" w:rsidR="21318926">
        <w:t xml:space="preserve">This Committee regularly provides feedback </w:t>
      </w:r>
      <w:r w:rsidRPr="006A4AF3" w:rsidR="599371A0">
        <w:t>on the information collected for the new proposed NFIP Compliance Redesign</w:t>
      </w:r>
      <w:r w:rsidRPr="006A4AF3" w:rsidR="6FF7ED39">
        <w:t xml:space="preserve"> that will eventually replace the current CAC and CAV Reports</w:t>
      </w:r>
      <w:r w:rsidRPr="006A4AF3" w:rsidR="599371A0">
        <w:t xml:space="preserve">. </w:t>
      </w:r>
      <w:r w:rsidRPr="006A4AF3" w:rsidR="33DCC9A2">
        <w:t xml:space="preserve"> </w:t>
      </w:r>
      <w:r w:rsidRPr="006A4AF3" w:rsidR="006F7B54">
        <w:t>T</w:t>
      </w:r>
      <w:r w:rsidRPr="006A4AF3" w:rsidR="1F217FA5">
        <w:t xml:space="preserve">he process </w:t>
      </w:r>
      <w:r w:rsidRPr="006A4AF3" w:rsidR="006F7B54">
        <w:t xml:space="preserve">was </w:t>
      </w:r>
      <w:r w:rsidRPr="006A4AF3" w:rsidR="1F217FA5">
        <w:t>piloted in</w:t>
      </w:r>
      <w:r w:rsidRPr="006A4AF3" w:rsidR="002403C0">
        <w:t xml:space="preserve"> the</w:t>
      </w:r>
      <w:r w:rsidRPr="006A4AF3" w:rsidR="1F217FA5">
        <w:t xml:space="preserve"> summer of 2022, </w:t>
      </w:r>
      <w:r w:rsidRPr="006A4AF3" w:rsidR="003E5CE1">
        <w:t xml:space="preserve">and </w:t>
      </w:r>
      <w:r w:rsidRPr="006A4AF3" w:rsidR="003E00DC">
        <w:t>seven (</w:t>
      </w:r>
      <w:r w:rsidRPr="006A4AF3" w:rsidR="1F217FA5">
        <w:t>7</w:t>
      </w:r>
      <w:r w:rsidRPr="006A4AF3" w:rsidR="003E00DC">
        <w:t>)</w:t>
      </w:r>
      <w:r w:rsidRPr="006A4AF3" w:rsidR="1F217FA5">
        <w:t xml:space="preserve"> volunteer states provide</w:t>
      </w:r>
      <w:r w:rsidRPr="006A4AF3" w:rsidR="0079779A">
        <w:t>d</w:t>
      </w:r>
      <w:r w:rsidRPr="006A4AF3" w:rsidR="1F217FA5">
        <w:t xml:space="preserve"> feedback</w:t>
      </w:r>
      <w:r w:rsidRPr="006A4AF3" w:rsidR="0079779A">
        <w:t xml:space="preserve"> a</w:t>
      </w:r>
      <w:r w:rsidRPr="006A4AF3" w:rsidR="003E00DC">
        <w:t>f</w:t>
      </w:r>
      <w:r w:rsidRPr="006A4AF3" w:rsidR="0079779A">
        <w:t>terwards</w:t>
      </w:r>
      <w:r w:rsidRPr="006A4AF3" w:rsidR="1F217FA5">
        <w:t xml:space="preserve">. </w:t>
      </w:r>
      <w:r w:rsidRPr="006A4AF3" w:rsidR="33DCC9A2">
        <w:t xml:space="preserve"> </w:t>
      </w:r>
      <w:r w:rsidRPr="006A4AF3" w:rsidR="03637FF6">
        <w:t>Feedback was collected after presentations at every Regional C</w:t>
      </w:r>
      <w:r w:rsidRPr="006A4AF3" w:rsidR="00F415CC">
        <w:t>ommunity Assistance Program (C</w:t>
      </w:r>
      <w:r w:rsidRPr="006A4AF3" w:rsidR="03637FF6">
        <w:t>AP</w:t>
      </w:r>
      <w:r w:rsidRPr="006A4AF3" w:rsidR="00F415CC">
        <w:t>)</w:t>
      </w:r>
      <w:r w:rsidRPr="006A4AF3" w:rsidR="03637FF6">
        <w:t xml:space="preserve"> Conference, the A</w:t>
      </w:r>
      <w:r w:rsidRPr="006A4AF3" w:rsidR="003E222C">
        <w:t>ssociation of State Floodplain Managers (A</w:t>
      </w:r>
      <w:r w:rsidRPr="006A4AF3" w:rsidR="03637FF6">
        <w:t>SFPM</w:t>
      </w:r>
      <w:r w:rsidRPr="006A4AF3" w:rsidR="003E222C">
        <w:t>)</w:t>
      </w:r>
      <w:r w:rsidRPr="006A4AF3" w:rsidR="03637FF6">
        <w:t xml:space="preserve"> Conference, Hazard Mitigation Workshop, and other venues. </w:t>
      </w:r>
      <w:r w:rsidRPr="006A4AF3" w:rsidR="33DCC9A2">
        <w:t xml:space="preserve"> </w:t>
      </w:r>
      <w:r w:rsidRPr="006A4AF3" w:rsidR="6C5EA1D1">
        <w:t xml:space="preserve">Through these </w:t>
      </w:r>
      <w:r w:rsidRPr="006A4AF3" w:rsidR="55E214AF">
        <w:t>engagements</w:t>
      </w:r>
      <w:r w:rsidRPr="006A4AF3" w:rsidR="6C5EA1D1">
        <w:t>, policy issues on the process are discussed and, when appropriate, incorporated into future year</w:t>
      </w:r>
      <w:r w:rsidRPr="006A4AF3" w:rsidR="00EEE922">
        <w:t>s’</w:t>
      </w:r>
      <w:r w:rsidRPr="006A4AF3" w:rsidR="6C5EA1D1">
        <w:t xml:space="preserve"> guidance.</w:t>
      </w:r>
    </w:p>
    <w:p w:rsidR="002C4012" w:rsidRPr="006A4AF3" w:rsidP="006A4AF3" w14:paraId="7C3755A3" w14:textId="77777777">
      <w:pPr>
        <w:spacing w:line="276" w:lineRule="auto"/>
        <w:contextualSpacing/>
        <w:rPr>
          <w:b/>
        </w:rPr>
      </w:pPr>
    </w:p>
    <w:p w:rsidR="00842E74" w:rsidRPr="006A4AF3" w:rsidP="006A4AF3" w14:paraId="71DD3936" w14:textId="77777777">
      <w:pPr>
        <w:tabs>
          <w:tab w:val="left" w:pos="360"/>
        </w:tabs>
        <w:spacing w:line="276" w:lineRule="auto"/>
        <w:contextualSpacing/>
        <w:rPr>
          <w:b/>
          <w:bCs/>
        </w:rPr>
      </w:pPr>
      <w:r w:rsidRPr="006A4AF3">
        <w:rPr>
          <w:b/>
          <w:bCs/>
        </w:rPr>
        <w:tab/>
      </w:r>
      <w:r w:rsidRPr="006A4AF3" w:rsidR="00920A21">
        <w:rPr>
          <w:b/>
          <w:bCs/>
        </w:rPr>
        <w:tab/>
      </w:r>
      <w:r w:rsidRPr="006A4AF3">
        <w:rPr>
          <w:b/>
          <w:bCs/>
        </w:rPr>
        <w:t xml:space="preserve">c. Describe consultations with representatives of those from whom information is to be obtained or those who must compile records. </w:t>
      </w:r>
      <w:r w:rsidRPr="006A4AF3" w:rsidR="0000174D">
        <w:rPr>
          <w:b/>
          <w:bCs/>
        </w:rPr>
        <w:t xml:space="preserve"> </w:t>
      </w:r>
      <w:r w:rsidRPr="006A4AF3">
        <w:rPr>
          <w:b/>
          <w:bCs/>
        </w:rPr>
        <w:t>Consultation should occur at least once every three years, even if the collection of information activities is the same as in prior periods.  There may</w:t>
      </w:r>
      <w:r w:rsidRPr="006A4AF3" w:rsidR="00232C69">
        <w:rPr>
          <w:b/>
          <w:bCs/>
        </w:rPr>
        <w:t xml:space="preserve"> </w:t>
      </w:r>
      <w:r w:rsidRPr="006A4AF3">
        <w:rPr>
          <w:b/>
          <w:bCs/>
        </w:rPr>
        <w:t xml:space="preserve">be circumstances that may preclude consultation in a specific situation. </w:t>
      </w:r>
      <w:r w:rsidRPr="006A4AF3" w:rsidR="0000174D">
        <w:rPr>
          <w:b/>
          <w:bCs/>
        </w:rPr>
        <w:t xml:space="preserve"> </w:t>
      </w:r>
      <w:r w:rsidRPr="006A4AF3">
        <w:rPr>
          <w:b/>
          <w:bCs/>
        </w:rPr>
        <w:t>These circumstances should be explained.</w:t>
      </w:r>
    </w:p>
    <w:p w:rsidR="00842E74" w:rsidRPr="006A4AF3" w:rsidP="006A4AF3" w14:paraId="4EE8B524" w14:textId="7467BEFA">
      <w:pPr>
        <w:spacing w:line="276" w:lineRule="auto"/>
        <w:contextualSpacing/>
      </w:pPr>
    </w:p>
    <w:p w:rsidR="00E551E0" w:rsidRPr="006A4AF3" w:rsidP="006A4AF3" w14:paraId="507A0EE7" w14:textId="26B08401">
      <w:pPr>
        <w:spacing w:line="276" w:lineRule="auto"/>
        <w:contextualSpacing/>
        <w:rPr>
          <w:color w:val="000000" w:themeColor="text1"/>
        </w:rPr>
      </w:pPr>
      <w:r w:rsidRPr="006A4AF3">
        <w:rPr>
          <w:color w:val="000000" w:themeColor="text1"/>
        </w:rPr>
        <w:t>The NFIP is a voluntary program</w:t>
      </w:r>
      <w:r w:rsidRPr="006A4AF3" w:rsidR="00F5434A">
        <w:rPr>
          <w:color w:val="000000" w:themeColor="text1"/>
        </w:rPr>
        <w:t xml:space="preserve"> in which a community agrees to periodic audits of their program through the CAV and CAC process</w:t>
      </w:r>
      <w:r w:rsidRPr="006A4AF3" w:rsidR="00F01B92">
        <w:rPr>
          <w:color w:val="000000" w:themeColor="text1"/>
        </w:rPr>
        <w:t>, and soon through the NFIP Compliance Audit process</w:t>
      </w:r>
      <w:r w:rsidRPr="006A4AF3" w:rsidR="002E66E9">
        <w:rPr>
          <w:color w:val="000000" w:themeColor="text1"/>
        </w:rPr>
        <w:t>.</w:t>
      </w:r>
    </w:p>
    <w:p w:rsidR="009252A6" w:rsidRPr="006A4AF3" w:rsidP="006A4AF3" w14:paraId="6B9A83A9" w14:textId="21B9CE6D">
      <w:pPr>
        <w:spacing w:line="276" w:lineRule="auto"/>
        <w:contextualSpacing/>
        <w:rPr>
          <w:color w:val="000000" w:themeColor="text1"/>
        </w:rPr>
      </w:pPr>
    </w:p>
    <w:p w:rsidR="00842E74" w:rsidRPr="006A4AF3" w:rsidP="006A4AF3" w14:paraId="45E6B585" w14:textId="77777777">
      <w:pPr>
        <w:spacing w:line="276" w:lineRule="auto"/>
        <w:contextualSpacing/>
        <w:rPr>
          <w:b/>
          <w:bCs/>
        </w:rPr>
      </w:pPr>
      <w:r w:rsidRPr="006A4AF3">
        <w:rPr>
          <w:b/>
          <w:bCs/>
          <w:color w:val="FF0000"/>
        </w:rPr>
        <w:fldChar w:fldCharType="begin"/>
      </w:r>
      <w:r w:rsidRPr="006A4AF3">
        <w:rPr>
          <w:b/>
          <w:bCs/>
          <w:color w:val="FF0000"/>
        </w:rPr>
        <w:instrText>ADVANCE \R 0.95</w:instrText>
      </w:r>
      <w:r w:rsidRPr="006A4AF3">
        <w:rPr>
          <w:b/>
          <w:bCs/>
          <w:color w:val="FF0000"/>
        </w:rPr>
        <w:fldChar w:fldCharType="end"/>
      </w:r>
      <w:r w:rsidRPr="006A4AF3">
        <w:rPr>
          <w:b/>
          <w:bCs/>
        </w:rPr>
        <w:t>9.  Explain any decision to provide any payment or gift to respondents, other than remuneration of contractors or grantees.</w:t>
      </w:r>
    </w:p>
    <w:p w:rsidR="00842E74" w:rsidRPr="006A4AF3" w:rsidP="006A4AF3" w14:paraId="3ECE7BD2" w14:textId="77777777">
      <w:pPr>
        <w:spacing w:line="276" w:lineRule="auto"/>
        <w:contextualSpacing/>
      </w:pPr>
    </w:p>
    <w:p w:rsidR="008768B8" w:rsidRPr="006A4AF3" w:rsidP="006A4AF3" w14:paraId="1270EC3A" w14:textId="77777777">
      <w:pPr>
        <w:spacing w:line="276" w:lineRule="auto"/>
        <w:contextualSpacing/>
      </w:pPr>
      <w:r w:rsidRPr="006A4AF3">
        <w:t>FEMA does not provide payments or gifts to respondents in exchange for a benefit sought.</w:t>
      </w:r>
    </w:p>
    <w:p w:rsidR="008768B8" w:rsidRPr="006A4AF3" w:rsidP="006A4AF3" w14:paraId="112324BF" w14:textId="77777777">
      <w:pPr>
        <w:spacing w:line="276" w:lineRule="auto"/>
        <w:contextualSpacing/>
      </w:pPr>
    </w:p>
    <w:p w:rsidR="00842E74" w:rsidRPr="006A4AF3" w:rsidP="006A4AF3" w14:paraId="0C45654B" w14:textId="77777777">
      <w:pPr>
        <w:tabs>
          <w:tab w:val="left" w:pos="360"/>
        </w:tabs>
        <w:spacing w:line="276" w:lineRule="auto"/>
        <w:contextualSpacing/>
        <w:rPr>
          <w:b/>
          <w:bCs/>
        </w:rPr>
      </w:pPr>
      <w:r w:rsidRPr="006A4AF3">
        <w:rPr>
          <w:b/>
          <w:bCs/>
        </w:rPr>
        <w:t xml:space="preserve">10.  </w:t>
      </w:r>
      <w:r w:rsidRPr="006A4AF3">
        <w:rPr>
          <w:b/>
          <w:bCs/>
        </w:rPr>
        <w:t>Describe any assurance of confidentiality provided to respondents</w:t>
      </w:r>
      <w:r w:rsidRPr="006A4AF3" w:rsidR="0094233D">
        <w:rPr>
          <w:b/>
          <w:bCs/>
        </w:rPr>
        <w:t xml:space="preserve">. </w:t>
      </w:r>
      <w:r w:rsidRPr="006A4AF3">
        <w:rPr>
          <w:b/>
          <w:bCs/>
        </w:rPr>
        <w:t xml:space="preserve"> </w:t>
      </w:r>
      <w:r w:rsidRPr="006A4AF3" w:rsidR="0094233D">
        <w:rPr>
          <w:b/>
          <w:bCs/>
        </w:rPr>
        <w:t xml:space="preserve">Present </w:t>
      </w:r>
      <w:r w:rsidRPr="006A4AF3">
        <w:rPr>
          <w:b/>
          <w:bCs/>
        </w:rPr>
        <w:t xml:space="preserve">the basis for the assurance in statute, regulation, or agency policy.  </w:t>
      </w:r>
    </w:p>
    <w:p w:rsidR="008F101C" w:rsidRPr="006A4AF3" w:rsidP="006A4AF3" w14:paraId="5D4BA0AC" w14:textId="77777777">
      <w:pPr>
        <w:tabs>
          <w:tab w:val="left" w:pos="360"/>
        </w:tabs>
        <w:spacing w:line="276" w:lineRule="auto"/>
        <w:contextualSpacing/>
        <w:rPr>
          <w:color w:val="000000" w:themeColor="text1"/>
        </w:rPr>
      </w:pPr>
      <w:r w:rsidRPr="006A4AF3">
        <w:rPr>
          <w:color w:val="FF0000"/>
        </w:rPr>
        <w:fldChar w:fldCharType="begin"/>
      </w:r>
      <w:r w:rsidRPr="006A4AF3" w:rsidR="00842E74">
        <w:rPr>
          <w:color w:val="FF0000"/>
        </w:rPr>
        <w:instrText>ADVANCE \R 0.95</w:instrText>
      </w:r>
      <w:r w:rsidRPr="006A4AF3">
        <w:rPr>
          <w:color w:val="FF0000"/>
        </w:rPr>
        <w:fldChar w:fldCharType="end"/>
      </w:r>
    </w:p>
    <w:p w:rsidR="003410EC" w:rsidP="006A4AF3" w14:paraId="7E94201F" w14:textId="0BB47FAB">
      <w:pPr>
        <w:tabs>
          <w:tab w:val="left" w:pos="360"/>
        </w:tabs>
        <w:spacing w:line="276" w:lineRule="auto"/>
        <w:contextualSpacing/>
        <w:rPr>
          <w:color w:val="000000" w:themeColor="text1"/>
        </w:rPr>
      </w:pPr>
      <w:r w:rsidRPr="006A4AF3">
        <w:rPr>
          <w:color w:val="000000" w:themeColor="text1"/>
        </w:rPr>
        <w:t>A</w:t>
      </w:r>
      <w:r w:rsidRPr="006A4AF3" w:rsidR="008B72DE">
        <w:rPr>
          <w:color w:val="000000" w:themeColor="text1"/>
        </w:rPr>
        <w:t xml:space="preserve">n </w:t>
      </w:r>
      <w:r w:rsidRPr="006A4AF3">
        <w:rPr>
          <w:color w:val="000000" w:themeColor="text1"/>
        </w:rPr>
        <w:t xml:space="preserve">Privacy Threshold Analysis (PTA) </w:t>
      </w:r>
      <w:r w:rsidR="00071B3C">
        <w:rPr>
          <w:color w:val="000000" w:themeColor="text1"/>
        </w:rPr>
        <w:t>was approved by the Department of Homeland Security on January 2, 2024</w:t>
      </w:r>
      <w:r w:rsidRPr="006A4AF3" w:rsidR="00A77931">
        <w:rPr>
          <w:color w:val="000000" w:themeColor="text1"/>
        </w:rPr>
        <w:t xml:space="preserve">.  </w:t>
      </w:r>
    </w:p>
    <w:p w:rsidR="00071B3C" w:rsidP="006A4AF3" w14:paraId="39C1FD8A" w14:textId="14CA7627">
      <w:pPr>
        <w:tabs>
          <w:tab w:val="left" w:pos="360"/>
        </w:tabs>
        <w:spacing w:line="276" w:lineRule="auto"/>
        <w:contextualSpacing/>
        <w:rPr>
          <w:color w:val="000000" w:themeColor="text1"/>
        </w:rPr>
      </w:pPr>
    </w:p>
    <w:p w:rsidR="00071B3C" w:rsidP="006A4AF3" w14:paraId="36236479" w14:textId="0F5822FB">
      <w:pPr>
        <w:tabs>
          <w:tab w:val="left" w:pos="360"/>
        </w:tabs>
        <w:spacing w:line="276" w:lineRule="auto"/>
        <w:contextualSpacing/>
        <w:rPr>
          <w:color w:val="000000" w:themeColor="text1"/>
        </w:rPr>
      </w:pPr>
      <w:r>
        <w:rPr>
          <w:color w:val="000000" w:themeColor="text1"/>
        </w:rPr>
        <w:t>Privacy Impact Assessment (PIA) coverage is provided by several existing PIAs:</w:t>
      </w:r>
    </w:p>
    <w:p w:rsidR="00071B3C" w:rsidP="00071B3C" w14:paraId="4342A916" w14:textId="50DE109B">
      <w:pPr>
        <w:pStyle w:val="ListParagraph"/>
        <w:numPr>
          <w:ilvl w:val="0"/>
          <w:numId w:val="27"/>
        </w:numPr>
        <w:tabs>
          <w:tab w:val="left" w:pos="360"/>
        </w:tabs>
        <w:spacing w:line="276" w:lineRule="auto"/>
        <w:rPr>
          <w:color w:val="000000" w:themeColor="text1"/>
        </w:rPr>
      </w:pPr>
      <w:r w:rsidRPr="2758D50F">
        <w:rPr>
          <w:color w:val="000000" w:themeColor="text1"/>
        </w:rPr>
        <w:t>DHS/FEMA/PIA-011 – National Flood Insurance Program</w:t>
      </w:r>
      <w:r w:rsidR="00760E80">
        <w:rPr>
          <w:color w:val="000000" w:themeColor="text1"/>
        </w:rPr>
        <w:t xml:space="preserve"> </w:t>
      </w:r>
      <w:r w:rsidRPr="2758D50F" w:rsidR="00760E80">
        <w:rPr>
          <w:color w:val="000000" w:themeColor="text1"/>
        </w:rPr>
        <w:t>(NFIP)</w:t>
      </w:r>
      <w:r w:rsidRPr="2758D50F" w:rsidR="044FE6FE">
        <w:rPr>
          <w:color w:val="000000" w:themeColor="text1"/>
        </w:rPr>
        <w:t xml:space="preserve"> Information Technology Systems</w:t>
      </w:r>
      <w:r w:rsidRPr="2758D50F">
        <w:rPr>
          <w:color w:val="000000" w:themeColor="text1"/>
        </w:rPr>
        <w:t>;</w:t>
      </w:r>
    </w:p>
    <w:p w:rsidR="00071B3C" w:rsidP="00071B3C" w14:paraId="03386246" w14:textId="4DC38A5C">
      <w:pPr>
        <w:pStyle w:val="ListParagraph"/>
        <w:numPr>
          <w:ilvl w:val="0"/>
          <w:numId w:val="27"/>
        </w:numPr>
        <w:tabs>
          <w:tab w:val="left" w:pos="360"/>
        </w:tabs>
        <w:spacing w:line="276" w:lineRule="auto"/>
        <w:rPr>
          <w:color w:val="000000" w:themeColor="text1"/>
        </w:rPr>
      </w:pPr>
      <w:r>
        <w:rPr>
          <w:color w:val="000000" w:themeColor="text1"/>
        </w:rPr>
        <w:t>DHS/FEMA/PIA-050 – National Flood Insurance Program (NFIP) PIVOT System;</w:t>
      </w:r>
    </w:p>
    <w:p w:rsidR="00071B3C" w:rsidP="00071B3C" w14:paraId="67E318BE" w14:textId="26243D3C">
      <w:pPr>
        <w:pStyle w:val="ListParagraph"/>
        <w:numPr>
          <w:ilvl w:val="0"/>
          <w:numId w:val="27"/>
        </w:numPr>
        <w:tabs>
          <w:tab w:val="left" w:pos="360"/>
        </w:tabs>
        <w:spacing w:line="276" w:lineRule="auto"/>
        <w:rPr>
          <w:color w:val="000000" w:themeColor="text1"/>
        </w:rPr>
      </w:pPr>
      <w:r>
        <w:rPr>
          <w:color w:val="000000" w:themeColor="text1"/>
        </w:rPr>
        <w:t>DHS/FEMA/PIA-045 – Hazard Mitigation Planning and Flood Mapping Products and Services Support Systems; and</w:t>
      </w:r>
    </w:p>
    <w:p w:rsidR="00071B3C" w:rsidRPr="00435D69" w:rsidP="00435D69" w14:paraId="700BDAD9" w14:textId="3648C47E">
      <w:pPr>
        <w:pStyle w:val="ListParagraph"/>
        <w:numPr>
          <w:ilvl w:val="0"/>
          <w:numId w:val="27"/>
        </w:numPr>
        <w:tabs>
          <w:tab w:val="left" w:pos="360"/>
        </w:tabs>
        <w:spacing w:line="276" w:lineRule="auto"/>
        <w:rPr>
          <w:color w:val="000000" w:themeColor="text1"/>
        </w:rPr>
      </w:pPr>
      <w:r>
        <w:rPr>
          <w:color w:val="000000" w:themeColor="text1"/>
        </w:rPr>
        <w:t>DHS/FEMA/PIA-052 – Grants Management Modernization (GMM).</w:t>
      </w:r>
    </w:p>
    <w:p w:rsidR="003410EC" w:rsidP="006A4AF3" w14:paraId="7AB111C1" w14:textId="4D2D4119">
      <w:pPr>
        <w:tabs>
          <w:tab w:val="left" w:pos="360"/>
        </w:tabs>
        <w:spacing w:line="276" w:lineRule="auto"/>
        <w:contextualSpacing/>
        <w:rPr>
          <w:color w:val="000000" w:themeColor="text1"/>
        </w:rPr>
      </w:pPr>
    </w:p>
    <w:p w:rsidR="00071B3C" w:rsidP="006A4AF3" w14:paraId="5C272A88" w14:textId="50ED1C22">
      <w:pPr>
        <w:tabs>
          <w:tab w:val="left" w:pos="360"/>
        </w:tabs>
        <w:spacing w:line="276" w:lineRule="auto"/>
        <w:contextualSpacing/>
        <w:rPr>
          <w:color w:val="000000" w:themeColor="text1"/>
        </w:rPr>
      </w:pPr>
      <w:r>
        <w:rPr>
          <w:color w:val="000000" w:themeColor="text1"/>
        </w:rPr>
        <w:t>System of Record Notification (SORN) coverage is provided by several existing SORNs:</w:t>
      </w:r>
    </w:p>
    <w:p w:rsidR="00071B3C" w:rsidP="00071B3C" w14:paraId="335D2C94" w14:textId="5326E43A">
      <w:pPr>
        <w:pStyle w:val="ListParagraph"/>
        <w:numPr>
          <w:ilvl w:val="0"/>
          <w:numId w:val="27"/>
        </w:numPr>
        <w:tabs>
          <w:tab w:val="left" w:pos="360"/>
        </w:tabs>
        <w:spacing w:line="276" w:lineRule="auto"/>
        <w:rPr>
          <w:color w:val="000000" w:themeColor="text1"/>
        </w:rPr>
      </w:pPr>
      <w:r>
        <w:rPr>
          <w:color w:val="000000" w:themeColor="text1"/>
        </w:rPr>
        <w:t>DHS/FEMA-003 – National Flood Insurance Program Files (79 FR 28747, May 19, 2014);</w:t>
      </w:r>
    </w:p>
    <w:p w:rsidR="00071B3C" w:rsidP="00071B3C" w14:paraId="7D8251E0" w14:textId="71D79A6D">
      <w:pPr>
        <w:pStyle w:val="ListParagraph"/>
        <w:numPr>
          <w:ilvl w:val="0"/>
          <w:numId w:val="27"/>
        </w:numPr>
        <w:tabs>
          <w:tab w:val="left" w:pos="360"/>
        </w:tabs>
        <w:spacing w:line="276" w:lineRule="auto"/>
        <w:rPr>
          <w:color w:val="000000" w:themeColor="text1"/>
        </w:rPr>
      </w:pPr>
      <w:r>
        <w:rPr>
          <w:color w:val="000000" w:themeColor="text1"/>
        </w:rPr>
        <w:t>DHS/ALL-004 – General Information Technology Access Account Records System (GITAARS) (77 FR 70792, November 27, 2012); and</w:t>
      </w:r>
    </w:p>
    <w:p w:rsidR="00071B3C" w:rsidRPr="00435D69" w:rsidP="00435D69" w14:paraId="76D89B27" w14:textId="7E17EEA2">
      <w:pPr>
        <w:pStyle w:val="ListParagraph"/>
        <w:numPr>
          <w:ilvl w:val="0"/>
          <w:numId w:val="27"/>
        </w:numPr>
        <w:tabs>
          <w:tab w:val="left" w:pos="360"/>
        </w:tabs>
        <w:spacing w:line="276" w:lineRule="auto"/>
        <w:rPr>
          <w:color w:val="000000" w:themeColor="text1"/>
        </w:rPr>
      </w:pPr>
      <w:r>
        <w:rPr>
          <w:color w:val="000000" w:themeColor="text1"/>
        </w:rPr>
        <w:t>DHS/FEMA-014 – Hazard Mitigation Planning and Flood Mapping Products and Services Records System of Records (86 FR 1988, January 11, 2021).</w:t>
      </w:r>
    </w:p>
    <w:p w:rsidR="00071B3C" w:rsidRPr="006A4AF3" w:rsidP="006A4AF3" w14:paraId="071B5686" w14:textId="77777777">
      <w:pPr>
        <w:tabs>
          <w:tab w:val="left" w:pos="360"/>
        </w:tabs>
        <w:spacing w:line="276" w:lineRule="auto"/>
        <w:contextualSpacing/>
        <w:rPr>
          <w:color w:val="000000" w:themeColor="text1"/>
        </w:rPr>
      </w:pPr>
    </w:p>
    <w:p w:rsidR="003410EC" w:rsidRPr="006A4AF3" w:rsidP="006A4AF3" w14:paraId="760305FB" w14:textId="77777777">
      <w:pPr>
        <w:tabs>
          <w:tab w:val="left" w:pos="360"/>
        </w:tabs>
        <w:spacing w:line="276" w:lineRule="auto"/>
        <w:contextualSpacing/>
        <w:rPr>
          <w:color w:val="000000" w:themeColor="text1"/>
        </w:rPr>
      </w:pPr>
      <w:r w:rsidRPr="006A4AF3">
        <w:rPr>
          <w:color w:val="000000" w:themeColor="text1"/>
        </w:rPr>
        <w:t xml:space="preserve">There are no assurances of confidentiality provided to the respondents for this information collection. </w:t>
      </w:r>
    </w:p>
    <w:p w:rsidR="003410EC" w:rsidRPr="006A4AF3" w:rsidP="006A4AF3" w14:paraId="6D096B89" w14:textId="77777777">
      <w:pPr>
        <w:tabs>
          <w:tab w:val="left" w:pos="360"/>
        </w:tabs>
        <w:spacing w:line="276" w:lineRule="auto"/>
        <w:contextualSpacing/>
        <w:rPr>
          <w:color w:val="000000" w:themeColor="text1"/>
        </w:rPr>
      </w:pPr>
    </w:p>
    <w:p w:rsidR="00842E74" w:rsidRPr="006A4AF3" w:rsidP="006A4AF3" w14:paraId="7196A126" w14:textId="77777777">
      <w:pPr>
        <w:tabs>
          <w:tab w:val="left" w:pos="360"/>
        </w:tabs>
        <w:spacing w:line="276" w:lineRule="auto"/>
        <w:contextualSpacing/>
        <w:rPr>
          <w:b/>
          <w:bCs/>
        </w:rPr>
      </w:pPr>
      <w:r w:rsidRPr="006A4AF3">
        <w:rPr>
          <w:b/>
          <w:bCs/>
        </w:rPr>
        <w:t xml:space="preserve">11.  Provide additional justification for any question </w:t>
      </w:r>
      <w:r w:rsidRPr="006A4AF3" w:rsidR="000E0572">
        <w:rPr>
          <w:b/>
          <w:bCs/>
        </w:rPr>
        <w:t>of</w:t>
      </w:r>
      <w:r w:rsidRPr="006A4AF3">
        <w:rPr>
          <w:b/>
          <w:bCs/>
        </w:rPr>
        <w:t xml:space="preserve"> </w:t>
      </w:r>
      <w:r w:rsidRPr="006A4AF3" w:rsidR="000E0572">
        <w:rPr>
          <w:b/>
          <w:bCs/>
        </w:rPr>
        <w:t xml:space="preserve">a </w:t>
      </w:r>
      <w:r w:rsidRPr="006A4AF3">
        <w:rPr>
          <w:b/>
          <w:bCs/>
        </w:rPr>
        <w:t xml:space="preserve">sensitive </w:t>
      </w:r>
      <w:r w:rsidRPr="006A4AF3" w:rsidR="000E0572">
        <w:rPr>
          <w:b/>
          <w:bCs/>
        </w:rPr>
        <w:t>nature</w:t>
      </w:r>
      <w:r w:rsidRPr="006A4AF3">
        <w:rPr>
          <w:b/>
          <w:bCs/>
        </w:rPr>
        <w:t xml:space="preserve"> </w:t>
      </w:r>
      <w:r w:rsidRPr="006A4AF3" w:rsidR="000E0572">
        <w:rPr>
          <w:b/>
          <w:bCs/>
        </w:rPr>
        <w:t>(</w:t>
      </w:r>
      <w:r w:rsidRPr="006A4AF3">
        <w:rPr>
          <w:b/>
          <w:bCs/>
        </w:rPr>
        <w:t>such as sexual behavior and attitudes, religious beliefs and other matters that are commonly considered private</w:t>
      </w:r>
      <w:r w:rsidRPr="006A4AF3" w:rsidR="000E0572">
        <w:rPr>
          <w:b/>
          <w:bCs/>
        </w:rPr>
        <w:t>)</w:t>
      </w:r>
      <w:r w:rsidRPr="006A4AF3">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2E74" w:rsidRPr="006A4AF3" w:rsidP="006A4AF3" w14:paraId="3AB113A9" w14:textId="77777777">
      <w:pPr>
        <w:spacing w:line="276" w:lineRule="auto"/>
        <w:contextualSpacing/>
      </w:pPr>
    </w:p>
    <w:p w:rsidR="008768B8" w:rsidRPr="006A4AF3" w:rsidP="006A4AF3" w14:paraId="364C00C1" w14:textId="017C54C1">
      <w:pPr>
        <w:spacing w:line="276" w:lineRule="auto"/>
        <w:contextualSpacing/>
      </w:pPr>
      <w:r w:rsidRPr="006A4AF3">
        <w:t xml:space="preserve">There are no questions of </w:t>
      </w:r>
      <w:r w:rsidRPr="006A4AF3" w:rsidR="5E624238">
        <w:t xml:space="preserve">a </w:t>
      </w:r>
      <w:r w:rsidRPr="006A4AF3">
        <w:t>sensitive nature.</w:t>
      </w:r>
    </w:p>
    <w:p w:rsidR="004B3431" w:rsidRPr="006A4AF3" w:rsidP="006A4AF3" w14:paraId="1CC5B519" w14:textId="77777777">
      <w:pPr>
        <w:spacing w:line="276" w:lineRule="auto"/>
        <w:contextualSpacing/>
      </w:pPr>
    </w:p>
    <w:p w:rsidR="00842E74" w:rsidRPr="006A4AF3" w:rsidP="006A4AF3" w14:paraId="67C13069" w14:textId="6B521AE2">
      <w:pPr>
        <w:spacing w:line="276" w:lineRule="auto"/>
        <w:contextualSpacing/>
        <w:rPr>
          <w:b/>
          <w:bCs/>
        </w:rPr>
      </w:pPr>
      <w:r w:rsidRPr="006A4AF3">
        <w:rPr>
          <w:b/>
          <w:bCs/>
        </w:rPr>
        <w:fldChar w:fldCharType="begin"/>
      </w:r>
      <w:r w:rsidRPr="006A4AF3">
        <w:rPr>
          <w:b/>
          <w:bCs/>
        </w:rPr>
        <w:instrText>ADVANCE \R 0.95</w:instrText>
      </w:r>
      <w:r w:rsidRPr="006A4AF3">
        <w:rPr>
          <w:b/>
          <w:bCs/>
        </w:rPr>
        <w:fldChar w:fldCharType="end"/>
      </w:r>
      <w:r w:rsidRPr="006A4AF3">
        <w:rPr>
          <w:b/>
          <w:bCs/>
        </w:rPr>
        <w:fldChar w:fldCharType="begin"/>
      </w:r>
      <w:r w:rsidRPr="006A4AF3">
        <w:rPr>
          <w:b/>
          <w:bCs/>
        </w:rPr>
        <w:instrText>ADVANCE \R 0.95</w:instrText>
      </w:r>
      <w:r w:rsidRPr="006A4AF3">
        <w:rPr>
          <w:b/>
          <w:bCs/>
        </w:rPr>
        <w:fldChar w:fldCharType="end"/>
      </w:r>
      <w:r w:rsidRPr="006A4AF3">
        <w:rPr>
          <w:b/>
          <w:bCs/>
        </w:rPr>
        <w:t xml:space="preserve">12. </w:t>
      </w:r>
      <w:r w:rsidRPr="006A4AF3" w:rsidR="00763992">
        <w:rPr>
          <w:b/>
          <w:bCs/>
        </w:rPr>
        <w:t xml:space="preserve"> </w:t>
      </w:r>
      <w:r w:rsidRPr="006A4AF3">
        <w:rPr>
          <w:b/>
          <w:bCs/>
        </w:rPr>
        <w:t>Provide estimates of the hour burden of the collection of information.  The statement should:</w:t>
      </w:r>
    </w:p>
    <w:p w:rsidR="00842E74" w:rsidRPr="006A4AF3" w:rsidP="006A4AF3" w14:paraId="796B0C0D" w14:textId="57E66767">
      <w:pPr>
        <w:spacing w:line="276" w:lineRule="auto"/>
        <w:contextualSpacing/>
        <w:rPr>
          <w:b/>
          <w:bCs/>
        </w:rPr>
      </w:pPr>
      <w:r w:rsidRPr="006A4AF3">
        <w:rPr>
          <w:b/>
          <w:bCs/>
        </w:rPr>
        <w:fldChar w:fldCharType="begin"/>
      </w:r>
      <w:r w:rsidRPr="006A4AF3">
        <w:rPr>
          <w:b/>
          <w:bCs/>
        </w:rPr>
        <w:instrText>ADVANCE \R 0.95</w:instrText>
      </w:r>
      <w:r w:rsidRPr="006A4AF3">
        <w:rPr>
          <w:b/>
          <w:bCs/>
        </w:rPr>
        <w:fldChar w:fldCharType="end"/>
      </w:r>
      <w:r w:rsidRPr="006A4AF3">
        <w:rPr>
          <w:b/>
          <w:bCs/>
        </w:rPr>
        <w:t xml:space="preserve"> </w:t>
      </w:r>
    </w:p>
    <w:p w:rsidR="00842E74" w:rsidRPr="006A4AF3" w:rsidP="006A4AF3" w14:paraId="1ABA3BBF" w14:textId="3D3E2A91">
      <w:pPr>
        <w:spacing w:line="276" w:lineRule="auto"/>
        <w:contextualSpacing/>
        <w:rPr>
          <w:b/>
          <w:bCs/>
        </w:rPr>
      </w:pPr>
      <w:r w:rsidRPr="006A4AF3">
        <w:rPr>
          <w:b/>
          <w:bCs/>
        </w:rPr>
        <w:fldChar w:fldCharType="begin"/>
      </w:r>
      <w:r w:rsidRPr="006A4AF3">
        <w:rPr>
          <w:b/>
          <w:bCs/>
        </w:rPr>
        <w:instrText>ADVANCE \R 0.95</w:instrText>
      </w:r>
      <w:r w:rsidRPr="006A4AF3">
        <w:rPr>
          <w:b/>
          <w:bCs/>
        </w:rPr>
        <w:fldChar w:fldCharType="end"/>
      </w:r>
      <w:r w:rsidR="00920A21">
        <w:tab/>
      </w:r>
      <w:r w:rsidRPr="006A4AF3" w:rsidR="008A2DEE">
        <w:rPr>
          <w:b/>
          <w:bCs/>
        </w:rPr>
        <w:t xml:space="preserve">a. </w:t>
      </w:r>
      <w:r w:rsidRPr="006A4AF3">
        <w:rPr>
          <w:b/>
          <w:bCs/>
        </w:rPr>
        <w:t>Indicate the number of respondents, frequency of response, annual hour burden, and an explanation of how the burden was estimated</w:t>
      </w:r>
      <w:r w:rsidRPr="006A4AF3" w:rsidR="00FD6C8B">
        <w:rPr>
          <w:b/>
          <w:bCs/>
        </w:rPr>
        <w:t xml:space="preserve"> for each collection instrument (separately list each instrument and describe information as requested)</w:t>
      </w:r>
      <w:r w:rsidRPr="006A4AF3">
        <w:rPr>
          <w:b/>
          <w:bCs/>
        </w:rPr>
        <w:t xml:space="preserve">.  </w:t>
      </w:r>
      <w:r w:rsidRPr="006A4AF3" w:rsidR="00884B9C">
        <w:rPr>
          <w:b/>
          <w:bCs/>
        </w:rPr>
        <w:t>Unless directed</w:t>
      </w:r>
      <w:r w:rsidRPr="006A4AF3">
        <w:rPr>
          <w:b/>
          <w:bCs/>
        </w:rPr>
        <w:t xml:space="preserve"> to do so, agencies should not conduct special surveys to obtain</w:t>
      </w:r>
      <w:r w:rsidRPr="006A4AF3" w:rsidR="00232C69">
        <w:rPr>
          <w:b/>
          <w:bCs/>
        </w:rPr>
        <w:t xml:space="preserve"> </w:t>
      </w:r>
      <w:r w:rsidRPr="006A4AF3">
        <w:rPr>
          <w:b/>
          <w:bCs/>
        </w:rPr>
        <w:t xml:space="preserve">information on which to base hour burden </w:t>
      </w:r>
      <w:r w:rsidRPr="006A4AF3" w:rsidR="00763992">
        <w:rPr>
          <w:b/>
          <w:bCs/>
        </w:rPr>
        <w:t>estimates.  Consultation with a</w:t>
      </w:r>
      <w:r w:rsidRPr="006A4AF3" w:rsidR="00FD6C8B">
        <w:rPr>
          <w:b/>
          <w:bCs/>
        </w:rPr>
        <w:t xml:space="preserve"> </w:t>
      </w:r>
      <w:r w:rsidRPr="006A4AF3">
        <w:rPr>
          <w:b/>
          <w:bCs/>
        </w:rPr>
        <w:t>sample (fewer than 10) of potential respondents is desired.  If the hour</w:t>
      </w:r>
      <w:r w:rsidRPr="346CFA81" w:rsidR="41E0EE5F">
        <w:rPr>
          <w:b/>
          <w:bCs/>
        </w:rPr>
        <w:t xml:space="preserve"> </w:t>
      </w:r>
      <w:r w:rsidR="00920A21">
        <w:tab/>
      </w:r>
      <w:r w:rsidRPr="006A4AF3">
        <w:rPr>
          <w:b/>
          <w:bCs/>
        </w:rPr>
        <w:t>burden on respondents is expected to vary widely because of differences in</w:t>
      </w:r>
      <w:r w:rsidRPr="006A4AF3" w:rsidR="00232C69">
        <w:rPr>
          <w:b/>
          <w:bCs/>
        </w:rPr>
        <w:t xml:space="preserve"> </w:t>
      </w:r>
      <w:r w:rsidRPr="006A4AF3">
        <w:rPr>
          <w:b/>
          <w:bCs/>
        </w:rPr>
        <w:t>activity, size, or complexity, show the range of estimated hour burden, and explain the reasons for the variance.  Generally, estimates should not include</w:t>
      </w:r>
      <w:r w:rsidRPr="006A4AF3" w:rsidR="00232C69">
        <w:rPr>
          <w:b/>
          <w:bCs/>
        </w:rPr>
        <w:t xml:space="preserve"> </w:t>
      </w:r>
      <w:r w:rsidRPr="006A4AF3">
        <w:rPr>
          <w:b/>
          <w:bCs/>
        </w:rPr>
        <w:t>burden hours for customary and usual business practices.</w:t>
      </w:r>
    </w:p>
    <w:p w:rsidR="003C59C1" w:rsidRPr="006A4AF3" w:rsidP="006A4AF3" w14:paraId="68C7DA71" w14:textId="77777777">
      <w:pPr>
        <w:spacing w:line="276" w:lineRule="auto"/>
        <w:contextualSpacing/>
        <w:rPr>
          <w:bCs/>
          <w:color w:val="000000" w:themeColor="text1"/>
        </w:rPr>
      </w:pPr>
    </w:p>
    <w:p w:rsidR="006F7A56" w:rsidRPr="006A4AF3" w:rsidP="006A4AF3" w14:paraId="1BCD79D2" w14:textId="0E6D5326">
      <w:pPr>
        <w:spacing w:line="276" w:lineRule="auto"/>
        <w:contextualSpacing/>
        <w:rPr>
          <w:bCs/>
          <w:color w:val="000000" w:themeColor="text1"/>
        </w:rPr>
      </w:pPr>
      <w:r w:rsidRPr="006A4AF3">
        <w:rPr>
          <w:b/>
        </w:rPr>
        <w:t>FEMA Form FF-206-FY-21-141 (formerly 086-0-28(E)</w:t>
      </w:r>
      <w:r w:rsidRPr="006A4AF3" w:rsidR="00152FFE">
        <w:rPr>
          <w:b/>
        </w:rPr>
        <w:t>)</w:t>
      </w:r>
      <w:r w:rsidRPr="006A4AF3">
        <w:rPr>
          <w:b/>
        </w:rPr>
        <w:t xml:space="preserve">, Community Assistance Visit </w:t>
      </w:r>
      <w:r w:rsidRPr="006A4AF3" w:rsidR="003E00DC">
        <w:rPr>
          <w:b/>
        </w:rPr>
        <w:t xml:space="preserve">(CAV) </w:t>
      </w:r>
      <w:r w:rsidRPr="006A4AF3">
        <w:rPr>
          <w:b/>
        </w:rPr>
        <w:t>Report</w:t>
      </w:r>
      <w:r w:rsidRPr="006A4AF3">
        <w:t xml:space="preserve"> </w:t>
      </w:r>
      <w:r w:rsidRPr="006A4AF3">
        <w:rPr>
          <w:bCs/>
          <w:color w:val="000000" w:themeColor="text1"/>
        </w:rPr>
        <w:t>is estimat</w:t>
      </w:r>
      <w:r w:rsidRPr="006A4AF3" w:rsidR="00364442">
        <w:rPr>
          <w:bCs/>
          <w:color w:val="000000" w:themeColor="text1"/>
        </w:rPr>
        <w:t xml:space="preserve">ed </w:t>
      </w:r>
      <w:r w:rsidRPr="006A4AF3">
        <w:rPr>
          <w:bCs/>
          <w:color w:val="000000" w:themeColor="text1"/>
        </w:rPr>
        <w:t xml:space="preserve">to have </w:t>
      </w:r>
      <w:r w:rsidRPr="006A4AF3" w:rsidR="000E3D43">
        <w:rPr>
          <w:bCs/>
          <w:color w:val="000000" w:themeColor="text1"/>
        </w:rPr>
        <w:t>1</w:t>
      </w:r>
      <w:r w:rsidRPr="006A4AF3" w:rsidR="00BD1B17">
        <w:rPr>
          <w:bCs/>
          <w:color w:val="000000" w:themeColor="text1"/>
        </w:rPr>
        <w:t xml:space="preserve"> </w:t>
      </w:r>
      <w:r w:rsidRPr="006A4AF3">
        <w:rPr>
          <w:bCs/>
          <w:color w:val="000000" w:themeColor="text1"/>
        </w:rPr>
        <w:t>respondent times</w:t>
      </w:r>
      <w:r w:rsidRPr="006A4AF3">
        <w:rPr>
          <w:bCs/>
          <w:color w:val="000000" w:themeColor="text1"/>
        </w:rPr>
        <w:t xml:space="preserve"> </w:t>
      </w:r>
      <w:r w:rsidRPr="006A4AF3" w:rsidR="00BF06BF">
        <w:rPr>
          <w:bCs/>
          <w:color w:val="000000" w:themeColor="text1"/>
        </w:rPr>
        <w:t xml:space="preserve">1 </w:t>
      </w:r>
      <w:r w:rsidRPr="006A4AF3">
        <w:rPr>
          <w:bCs/>
          <w:color w:val="000000" w:themeColor="text1"/>
        </w:rPr>
        <w:t xml:space="preserve">response per year for </w:t>
      </w:r>
      <w:r w:rsidRPr="006A4AF3" w:rsidR="005679CD">
        <w:rPr>
          <w:bCs/>
          <w:color w:val="000000" w:themeColor="text1"/>
        </w:rPr>
        <w:t>1</w:t>
      </w:r>
      <w:r w:rsidRPr="006A4AF3" w:rsidR="00BF06BF">
        <w:rPr>
          <w:bCs/>
          <w:color w:val="000000" w:themeColor="text1"/>
        </w:rPr>
        <w:t xml:space="preserve"> </w:t>
      </w:r>
      <w:r w:rsidRPr="006A4AF3">
        <w:rPr>
          <w:bCs/>
          <w:color w:val="000000" w:themeColor="text1"/>
        </w:rPr>
        <w:t>total annual</w:t>
      </w:r>
      <w:r w:rsidRPr="006A4AF3" w:rsidR="00BF06BF">
        <w:rPr>
          <w:bCs/>
          <w:color w:val="000000" w:themeColor="text1"/>
        </w:rPr>
        <w:t xml:space="preserve"> response </w:t>
      </w:r>
      <w:r w:rsidRPr="006A4AF3">
        <w:rPr>
          <w:bCs/>
          <w:color w:val="000000" w:themeColor="text1"/>
        </w:rPr>
        <w:t>(</w:t>
      </w:r>
      <w:r w:rsidRPr="006A4AF3" w:rsidR="005679CD">
        <w:rPr>
          <w:bCs/>
          <w:color w:val="000000" w:themeColor="text1"/>
        </w:rPr>
        <w:t xml:space="preserve">1 </w:t>
      </w:r>
      <w:r w:rsidR="00020156">
        <w:rPr>
          <w:bCs/>
          <w:color w:val="000000" w:themeColor="text1"/>
        </w:rPr>
        <w:t>×</w:t>
      </w:r>
      <w:r w:rsidRPr="006A4AF3">
        <w:rPr>
          <w:bCs/>
          <w:color w:val="000000" w:themeColor="text1"/>
        </w:rPr>
        <w:t xml:space="preserve"> 1 = </w:t>
      </w:r>
      <w:r w:rsidRPr="006A4AF3" w:rsidR="005679CD">
        <w:rPr>
          <w:bCs/>
          <w:color w:val="000000" w:themeColor="text1"/>
        </w:rPr>
        <w:t>1</w:t>
      </w:r>
      <w:r w:rsidRPr="006A4AF3">
        <w:rPr>
          <w:bCs/>
          <w:color w:val="000000" w:themeColor="text1"/>
        </w:rPr>
        <w:t>)</w:t>
      </w:r>
      <w:r w:rsidRPr="006A4AF3" w:rsidR="00BF06BF">
        <w:rPr>
          <w:bCs/>
          <w:color w:val="000000" w:themeColor="text1"/>
        </w:rPr>
        <w:t xml:space="preserve">. </w:t>
      </w:r>
      <w:r w:rsidRPr="006A4AF3" w:rsidR="00C030F4">
        <w:rPr>
          <w:bCs/>
          <w:color w:val="000000" w:themeColor="text1"/>
        </w:rPr>
        <w:t xml:space="preserve"> </w:t>
      </w:r>
      <w:r w:rsidRPr="006A4AF3" w:rsidR="00E02D07">
        <w:rPr>
          <w:bCs/>
          <w:color w:val="000000" w:themeColor="text1"/>
        </w:rPr>
        <w:t xml:space="preserve">It </w:t>
      </w:r>
      <w:r w:rsidRPr="006A4AF3" w:rsidR="003E5114">
        <w:rPr>
          <w:bCs/>
          <w:color w:val="000000" w:themeColor="text1"/>
        </w:rPr>
        <w:t>is</w:t>
      </w:r>
      <w:r w:rsidRPr="006A4AF3">
        <w:rPr>
          <w:bCs/>
          <w:color w:val="000000" w:themeColor="text1"/>
        </w:rPr>
        <w:t xml:space="preserve"> estimated </w:t>
      </w:r>
      <w:r w:rsidRPr="006A4AF3" w:rsidR="003E5114">
        <w:rPr>
          <w:bCs/>
          <w:color w:val="000000" w:themeColor="text1"/>
        </w:rPr>
        <w:t xml:space="preserve">that each response will require </w:t>
      </w:r>
      <w:r w:rsidRPr="006A4AF3" w:rsidR="005B3D2F">
        <w:rPr>
          <w:bCs/>
          <w:color w:val="000000" w:themeColor="text1"/>
        </w:rPr>
        <w:t>1</w:t>
      </w:r>
      <w:r w:rsidRPr="006A4AF3">
        <w:rPr>
          <w:bCs/>
          <w:color w:val="000000" w:themeColor="text1"/>
        </w:rPr>
        <w:t xml:space="preserve"> </w:t>
      </w:r>
      <w:r w:rsidRPr="006A4AF3" w:rsidR="003E5114">
        <w:rPr>
          <w:bCs/>
          <w:color w:val="000000" w:themeColor="text1"/>
        </w:rPr>
        <w:t xml:space="preserve">burden </w:t>
      </w:r>
      <w:r w:rsidRPr="006A4AF3">
        <w:rPr>
          <w:bCs/>
          <w:color w:val="000000" w:themeColor="text1"/>
        </w:rPr>
        <w:t xml:space="preserve">hour </w:t>
      </w:r>
      <w:r w:rsidRPr="006A4AF3" w:rsidR="003E5114">
        <w:rPr>
          <w:bCs/>
          <w:color w:val="000000" w:themeColor="text1"/>
        </w:rPr>
        <w:t xml:space="preserve">to complete, therefore </w:t>
      </w:r>
      <w:r w:rsidRPr="006A4AF3" w:rsidR="005B3D2F">
        <w:rPr>
          <w:bCs/>
          <w:color w:val="000000" w:themeColor="text1"/>
        </w:rPr>
        <w:t>1</w:t>
      </w:r>
      <w:r w:rsidRPr="006A4AF3" w:rsidR="003E5114">
        <w:rPr>
          <w:bCs/>
          <w:color w:val="000000" w:themeColor="text1"/>
        </w:rPr>
        <w:t xml:space="preserve"> response times </w:t>
      </w:r>
      <w:r w:rsidRPr="006A4AF3" w:rsidR="005B3D2F">
        <w:rPr>
          <w:bCs/>
          <w:color w:val="000000" w:themeColor="text1"/>
        </w:rPr>
        <w:t>1</w:t>
      </w:r>
      <w:r w:rsidRPr="006A4AF3" w:rsidR="003E5114">
        <w:rPr>
          <w:bCs/>
          <w:color w:val="000000" w:themeColor="text1"/>
        </w:rPr>
        <w:t xml:space="preserve"> hour equals </w:t>
      </w:r>
      <w:r w:rsidRPr="006A4AF3" w:rsidR="005B3D2F">
        <w:rPr>
          <w:bCs/>
          <w:color w:val="000000" w:themeColor="text1"/>
        </w:rPr>
        <w:t>1</w:t>
      </w:r>
      <w:r w:rsidRPr="006A4AF3" w:rsidR="003E5114">
        <w:rPr>
          <w:bCs/>
          <w:color w:val="000000" w:themeColor="text1"/>
        </w:rPr>
        <w:t xml:space="preserve"> total annual burden hour (</w:t>
      </w:r>
      <w:r w:rsidRPr="006A4AF3" w:rsidR="003D5D6F">
        <w:rPr>
          <w:bCs/>
          <w:color w:val="000000" w:themeColor="text1"/>
        </w:rPr>
        <w:t>1</w:t>
      </w:r>
      <w:r w:rsidRPr="006A4AF3" w:rsidR="003E5114">
        <w:rPr>
          <w:bCs/>
          <w:color w:val="000000" w:themeColor="text1"/>
        </w:rPr>
        <w:t xml:space="preserve"> </w:t>
      </w:r>
      <w:r w:rsidR="0017564D">
        <w:rPr>
          <w:bCs/>
          <w:color w:val="000000" w:themeColor="text1"/>
        </w:rPr>
        <w:t>×</w:t>
      </w:r>
      <w:r w:rsidRPr="006A4AF3" w:rsidR="003E5114">
        <w:rPr>
          <w:bCs/>
          <w:color w:val="000000" w:themeColor="text1"/>
        </w:rPr>
        <w:t xml:space="preserve"> </w:t>
      </w:r>
      <w:r w:rsidRPr="006A4AF3" w:rsidR="003D5D6F">
        <w:rPr>
          <w:bCs/>
          <w:color w:val="000000" w:themeColor="text1"/>
        </w:rPr>
        <w:t>1</w:t>
      </w:r>
      <w:r w:rsidRPr="006A4AF3" w:rsidR="003E5114">
        <w:rPr>
          <w:bCs/>
          <w:color w:val="000000" w:themeColor="text1"/>
        </w:rPr>
        <w:t xml:space="preserve"> = </w:t>
      </w:r>
      <w:r w:rsidRPr="006A4AF3" w:rsidR="003D5D6F">
        <w:rPr>
          <w:bCs/>
          <w:color w:val="000000" w:themeColor="text1"/>
        </w:rPr>
        <w:t>1</w:t>
      </w:r>
      <w:r w:rsidRPr="006A4AF3" w:rsidR="003E5114">
        <w:rPr>
          <w:bCs/>
          <w:color w:val="000000" w:themeColor="text1"/>
        </w:rPr>
        <w:t>)</w:t>
      </w:r>
    </w:p>
    <w:p w:rsidR="006F7A56" w:rsidRPr="006A4AF3" w:rsidP="006A4AF3" w14:paraId="34C7245D" w14:textId="77777777">
      <w:pPr>
        <w:spacing w:line="276" w:lineRule="auto"/>
        <w:contextualSpacing/>
        <w:rPr>
          <w:bCs/>
          <w:color w:val="000000" w:themeColor="text1"/>
        </w:rPr>
      </w:pPr>
    </w:p>
    <w:p w:rsidR="006F7A56" w:rsidRPr="006A4AF3" w:rsidP="006A4AF3" w14:paraId="3CCDD584" w14:textId="2348F32D">
      <w:pPr>
        <w:spacing w:line="276" w:lineRule="auto"/>
        <w:contextualSpacing/>
        <w:rPr>
          <w:bCs/>
        </w:rPr>
      </w:pPr>
      <w:r w:rsidRPr="006A4AF3">
        <w:rPr>
          <w:b/>
        </w:rPr>
        <w:t xml:space="preserve">FEMA Form FF-206-FY-21-142 (formerly 086-0-29(E)), Community Assistance Contact </w:t>
      </w:r>
      <w:r w:rsidRPr="006A4AF3" w:rsidR="003E00DC">
        <w:rPr>
          <w:b/>
        </w:rPr>
        <w:t xml:space="preserve">(CAC) </w:t>
      </w:r>
      <w:r w:rsidRPr="006A4AF3">
        <w:rPr>
          <w:b/>
        </w:rPr>
        <w:t>Report</w:t>
      </w:r>
      <w:r w:rsidRPr="006A4AF3">
        <w:t xml:space="preserve"> </w:t>
      </w:r>
      <w:r w:rsidRPr="006A4AF3" w:rsidR="001519BC">
        <w:rPr>
          <w:bCs/>
          <w:color w:val="000000" w:themeColor="text1"/>
        </w:rPr>
        <w:t xml:space="preserve">is estimated </w:t>
      </w:r>
      <w:r w:rsidRPr="006A4AF3" w:rsidR="003E5114">
        <w:rPr>
          <w:bCs/>
          <w:color w:val="000000" w:themeColor="text1"/>
        </w:rPr>
        <w:t xml:space="preserve">to have </w:t>
      </w:r>
      <w:r w:rsidRPr="006A4AF3" w:rsidR="00DF4AA3">
        <w:rPr>
          <w:bCs/>
          <w:color w:val="000000" w:themeColor="text1"/>
        </w:rPr>
        <w:t>1</w:t>
      </w:r>
      <w:r w:rsidRPr="006A4AF3" w:rsidR="001519BC">
        <w:rPr>
          <w:bCs/>
          <w:color w:val="000000" w:themeColor="text1"/>
        </w:rPr>
        <w:t xml:space="preserve"> </w:t>
      </w:r>
      <w:r w:rsidRPr="006A4AF3" w:rsidR="003E5114">
        <w:rPr>
          <w:bCs/>
          <w:color w:val="000000" w:themeColor="text1"/>
        </w:rPr>
        <w:t>respondent times</w:t>
      </w:r>
      <w:r w:rsidRPr="006A4AF3" w:rsidR="001519BC">
        <w:rPr>
          <w:bCs/>
          <w:color w:val="000000" w:themeColor="text1"/>
        </w:rPr>
        <w:t xml:space="preserve"> </w:t>
      </w:r>
      <w:r w:rsidRPr="006A4AF3" w:rsidR="00DF4AA3">
        <w:rPr>
          <w:bCs/>
          <w:color w:val="000000" w:themeColor="text1"/>
        </w:rPr>
        <w:t>1</w:t>
      </w:r>
      <w:r w:rsidRPr="006A4AF3" w:rsidR="001519BC">
        <w:rPr>
          <w:bCs/>
          <w:color w:val="000000" w:themeColor="text1"/>
        </w:rPr>
        <w:t xml:space="preserve"> </w:t>
      </w:r>
      <w:r w:rsidRPr="006A4AF3" w:rsidR="003E5114">
        <w:rPr>
          <w:bCs/>
          <w:color w:val="000000" w:themeColor="text1"/>
        </w:rPr>
        <w:t>response per year</w:t>
      </w:r>
      <w:r w:rsidRPr="006A4AF3" w:rsidR="001519BC">
        <w:rPr>
          <w:bCs/>
          <w:color w:val="000000" w:themeColor="text1"/>
        </w:rPr>
        <w:t xml:space="preserve"> for 1</w:t>
      </w:r>
      <w:r w:rsidRPr="006A4AF3" w:rsidR="003E5114">
        <w:rPr>
          <w:bCs/>
          <w:color w:val="000000" w:themeColor="text1"/>
        </w:rPr>
        <w:t xml:space="preserve"> total annual response (</w:t>
      </w:r>
      <w:r w:rsidRPr="006A4AF3" w:rsidR="00DF4AA3">
        <w:rPr>
          <w:bCs/>
          <w:color w:val="000000" w:themeColor="text1"/>
        </w:rPr>
        <w:t>1</w:t>
      </w:r>
      <w:r w:rsidRPr="006A4AF3" w:rsidR="003E5114">
        <w:rPr>
          <w:bCs/>
          <w:color w:val="000000" w:themeColor="text1"/>
        </w:rPr>
        <w:t xml:space="preserve"> </w:t>
      </w:r>
      <w:r w:rsidR="00D31F39">
        <w:rPr>
          <w:bCs/>
          <w:color w:val="000000" w:themeColor="text1"/>
        </w:rPr>
        <w:t>×</w:t>
      </w:r>
      <w:r w:rsidRPr="006A4AF3" w:rsidR="003E5114">
        <w:rPr>
          <w:bCs/>
          <w:color w:val="000000" w:themeColor="text1"/>
        </w:rPr>
        <w:t xml:space="preserve"> </w:t>
      </w:r>
      <w:r w:rsidRPr="006A4AF3" w:rsidR="00DF4AA3">
        <w:rPr>
          <w:bCs/>
          <w:color w:val="000000" w:themeColor="text1"/>
        </w:rPr>
        <w:t>1</w:t>
      </w:r>
      <w:r w:rsidRPr="006A4AF3" w:rsidR="003E5114">
        <w:rPr>
          <w:bCs/>
          <w:color w:val="000000" w:themeColor="text1"/>
        </w:rPr>
        <w:t xml:space="preserve"> = 1)</w:t>
      </w:r>
      <w:r w:rsidRPr="006A4AF3" w:rsidR="001519BC">
        <w:rPr>
          <w:bCs/>
          <w:color w:val="000000" w:themeColor="text1"/>
        </w:rPr>
        <w:t xml:space="preserve">. </w:t>
      </w:r>
      <w:r w:rsidRPr="006A4AF3" w:rsidR="00C030F4">
        <w:rPr>
          <w:bCs/>
          <w:color w:val="000000" w:themeColor="text1"/>
        </w:rPr>
        <w:t xml:space="preserve"> </w:t>
      </w:r>
      <w:r w:rsidRPr="006A4AF3" w:rsidR="001519BC">
        <w:rPr>
          <w:bCs/>
          <w:color w:val="000000" w:themeColor="text1"/>
        </w:rPr>
        <w:t xml:space="preserve">It </w:t>
      </w:r>
      <w:r w:rsidRPr="006A4AF3" w:rsidR="003E5114">
        <w:rPr>
          <w:bCs/>
          <w:color w:val="000000" w:themeColor="text1"/>
        </w:rPr>
        <w:t>is</w:t>
      </w:r>
      <w:r w:rsidRPr="006A4AF3" w:rsidR="001519BC">
        <w:rPr>
          <w:bCs/>
          <w:color w:val="000000" w:themeColor="text1"/>
        </w:rPr>
        <w:t xml:space="preserve"> </w:t>
      </w:r>
      <w:r w:rsidRPr="006A4AF3" w:rsidR="001519BC">
        <w:rPr>
          <w:bCs/>
        </w:rPr>
        <w:t xml:space="preserve">estimated </w:t>
      </w:r>
      <w:r w:rsidRPr="006A4AF3" w:rsidR="003E5114">
        <w:rPr>
          <w:bCs/>
        </w:rPr>
        <w:t xml:space="preserve">that each response will require </w:t>
      </w:r>
      <w:r w:rsidRPr="006A4AF3" w:rsidR="00C7104A">
        <w:rPr>
          <w:bCs/>
        </w:rPr>
        <w:t>1</w:t>
      </w:r>
      <w:r w:rsidRPr="006A4AF3" w:rsidR="001519BC">
        <w:rPr>
          <w:bCs/>
        </w:rPr>
        <w:t xml:space="preserve"> </w:t>
      </w:r>
      <w:r w:rsidRPr="006A4AF3" w:rsidR="003E5114">
        <w:rPr>
          <w:bCs/>
        </w:rPr>
        <w:t xml:space="preserve">burden </w:t>
      </w:r>
      <w:r w:rsidRPr="006A4AF3" w:rsidR="001519BC">
        <w:rPr>
          <w:bCs/>
        </w:rPr>
        <w:t xml:space="preserve">hour </w:t>
      </w:r>
      <w:r w:rsidRPr="006A4AF3" w:rsidR="003E5114">
        <w:rPr>
          <w:bCs/>
        </w:rPr>
        <w:t xml:space="preserve">to complete, therefore 1 </w:t>
      </w:r>
      <w:r w:rsidRPr="006A4AF3" w:rsidR="0047652B">
        <w:rPr>
          <w:bCs/>
        </w:rPr>
        <w:t xml:space="preserve">response </w:t>
      </w:r>
      <w:r w:rsidRPr="006A4AF3" w:rsidR="003E5114">
        <w:rPr>
          <w:bCs/>
        </w:rPr>
        <w:t xml:space="preserve">times </w:t>
      </w:r>
      <w:r w:rsidRPr="006A4AF3" w:rsidR="00C7104A">
        <w:rPr>
          <w:bCs/>
        </w:rPr>
        <w:t>1</w:t>
      </w:r>
      <w:r w:rsidRPr="006A4AF3" w:rsidR="003E5114">
        <w:rPr>
          <w:bCs/>
        </w:rPr>
        <w:t xml:space="preserve"> hour</w:t>
      </w:r>
      <w:r w:rsidRPr="006A4AF3" w:rsidR="0080373E">
        <w:rPr>
          <w:bCs/>
        </w:rPr>
        <w:t xml:space="preserve"> </w:t>
      </w:r>
      <w:r w:rsidRPr="006A4AF3" w:rsidR="003E5114">
        <w:rPr>
          <w:bCs/>
        </w:rPr>
        <w:t xml:space="preserve">equals </w:t>
      </w:r>
      <w:r w:rsidRPr="006A4AF3" w:rsidR="0080373E">
        <w:rPr>
          <w:bCs/>
        </w:rPr>
        <w:t>1</w:t>
      </w:r>
      <w:r w:rsidRPr="006A4AF3" w:rsidR="001519BC">
        <w:rPr>
          <w:bCs/>
        </w:rPr>
        <w:t xml:space="preserve"> </w:t>
      </w:r>
      <w:r w:rsidRPr="006A4AF3" w:rsidR="003E5114">
        <w:rPr>
          <w:bCs/>
        </w:rPr>
        <w:t xml:space="preserve">total annual burden </w:t>
      </w:r>
      <w:r w:rsidRPr="006A4AF3" w:rsidR="001519BC">
        <w:rPr>
          <w:bCs/>
        </w:rPr>
        <w:t>hour</w:t>
      </w:r>
      <w:r w:rsidRPr="006A4AF3" w:rsidR="003E5114">
        <w:rPr>
          <w:bCs/>
        </w:rPr>
        <w:t xml:space="preserve"> (1 </w:t>
      </w:r>
      <w:r w:rsidR="00D31F39">
        <w:rPr>
          <w:bCs/>
          <w:color w:val="000000" w:themeColor="text1"/>
        </w:rPr>
        <w:t>×</w:t>
      </w:r>
      <w:r w:rsidRPr="006A4AF3" w:rsidR="003E5114">
        <w:rPr>
          <w:bCs/>
        </w:rPr>
        <w:t xml:space="preserve"> </w:t>
      </w:r>
      <w:r w:rsidRPr="006A4AF3" w:rsidR="0080373E">
        <w:rPr>
          <w:bCs/>
        </w:rPr>
        <w:t>1</w:t>
      </w:r>
      <w:r w:rsidRPr="006A4AF3" w:rsidR="003E5114">
        <w:rPr>
          <w:bCs/>
        </w:rPr>
        <w:t xml:space="preserve"> = </w:t>
      </w:r>
      <w:r w:rsidRPr="006A4AF3" w:rsidR="00A5160B">
        <w:rPr>
          <w:bCs/>
        </w:rPr>
        <w:t>1</w:t>
      </w:r>
      <w:r w:rsidRPr="006A4AF3" w:rsidR="003E00DC">
        <w:rPr>
          <w:bCs/>
        </w:rPr>
        <w:t>)</w:t>
      </w:r>
      <w:r w:rsidRPr="006A4AF3" w:rsidR="001519BC">
        <w:rPr>
          <w:bCs/>
        </w:rPr>
        <w:t>.</w:t>
      </w:r>
    </w:p>
    <w:p w:rsidR="005C1036" w:rsidRPr="006A4AF3" w:rsidP="006A4AF3" w14:paraId="791A80B9" w14:textId="60214158">
      <w:pPr>
        <w:spacing w:line="276" w:lineRule="auto"/>
        <w:contextualSpacing/>
        <w:rPr>
          <w:bCs/>
        </w:rPr>
      </w:pPr>
    </w:p>
    <w:p w:rsidR="005C1036" w:rsidRPr="006A4AF3" w:rsidP="006A4AF3" w14:paraId="76D4A7EE" w14:textId="25B1388C">
      <w:pPr>
        <w:spacing w:line="276" w:lineRule="auto"/>
        <w:contextualSpacing/>
        <w:rPr>
          <w:bCs/>
        </w:rPr>
      </w:pPr>
      <w:r w:rsidRPr="00D726A2">
        <w:rPr>
          <w:b/>
          <w:color w:val="000000" w:themeColor="text1"/>
        </w:rPr>
        <w:t xml:space="preserve">FEMA </w:t>
      </w:r>
      <w:r w:rsidRPr="00D726A2" w:rsidR="003E6A29">
        <w:rPr>
          <w:b/>
          <w:color w:val="000000" w:themeColor="text1"/>
        </w:rPr>
        <w:t>FF-206-FY-24-100</w:t>
      </w:r>
      <w:r w:rsidRPr="00D726A2">
        <w:rPr>
          <w:b/>
          <w:color w:val="000000" w:themeColor="text1"/>
        </w:rPr>
        <w:t xml:space="preserve">, </w:t>
      </w:r>
      <w:r w:rsidRPr="00D726A2" w:rsidR="003E00DC">
        <w:rPr>
          <w:b/>
          <w:color w:val="000000" w:themeColor="text1"/>
        </w:rPr>
        <w:t xml:space="preserve">National </w:t>
      </w:r>
      <w:r w:rsidRPr="006A4AF3" w:rsidR="003E00DC">
        <w:rPr>
          <w:b/>
        </w:rPr>
        <w:t>Flood Insurance Program (</w:t>
      </w:r>
      <w:r w:rsidRPr="006A4AF3" w:rsidR="00C8654A">
        <w:rPr>
          <w:b/>
        </w:rPr>
        <w:t>NFIP</w:t>
      </w:r>
      <w:r w:rsidRPr="006A4AF3" w:rsidR="003E00DC">
        <w:rPr>
          <w:b/>
        </w:rPr>
        <w:t>)</w:t>
      </w:r>
      <w:r w:rsidRPr="006A4AF3" w:rsidR="00C8654A">
        <w:rPr>
          <w:b/>
        </w:rPr>
        <w:t xml:space="preserve"> Compliance Audit</w:t>
      </w:r>
      <w:r w:rsidRPr="006A4AF3">
        <w:rPr>
          <w:b/>
        </w:rPr>
        <w:t xml:space="preserve"> Report</w:t>
      </w:r>
      <w:r w:rsidRPr="006A4AF3">
        <w:t xml:space="preserve"> </w:t>
      </w:r>
      <w:r w:rsidRPr="006A4AF3">
        <w:rPr>
          <w:bCs/>
          <w:color w:val="000000" w:themeColor="text1"/>
        </w:rPr>
        <w:t xml:space="preserve">is estimated to have </w:t>
      </w:r>
      <w:r w:rsidRPr="006A4AF3" w:rsidR="007C4082">
        <w:rPr>
          <w:bCs/>
          <w:color w:val="000000" w:themeColor="text1"/>
        </w:rPr>
        <w:t>100</w:t>
      </w:r>
      <w:r w:rsidRPr="006A4AF3">
        <w:rPr>
          <w:bCs/>
          <w:color w:val="000000" w:themeColor="text1"/>
        </w:rPr>
        <w:t xml:space="preserve"> respondent</w:t>
      </w:r>
      <w:r w:rsidRPr="006A4AF3" w:rsidR="00C61812">
        <w:rPr>
          <w:bCs/>
          <w:color w:val="000000" w:themeColor="text1"/>
        </w:rPr>
        <w:t>s</w:t>
      </w:r>
      <w:r w:rsidRPr="006A4AF3">
        <w:rPr>
          <w:bCs/>
          <w:color w:val="000000" w:themeColor="text1"/>
        </w:rPr>
        <w:t xml:space="preserve"> times </w:t>
      </w:r>
      <w:r w:rsidRPr="006A4AF3" w:rsidR="00E35B89">
        <w:rPr>
          <w:bCs/>
          <w:color w:val="000000" w:themeColor="text1"/>
        </w:rPr>
        <w:t>4</w:t>
      </w:r>
      <w:r w:rsidRPr="006A4AF3" w:rsidR="00C61812">
        <w:rPr>
          <w:bCs/>
          <w:color w:val="000000" w:themeColor="text1"/>
        </w:rPr>
        <w:t>0</w:t>
      </w:r>
      <w:r w:rsidRPr="006A4AF3">
        <w:rPr>
          <w:bCs/>
          <w:color w:val="000000" w:themeColor="text1"/>
        </w:rPr>
        <w:t xml:space="preserve"> response</w:t>
      </w:r>
      <w:r w:rsidRPr="006A4AF3" w:rsidR="00C61812">
        <w:rPr>
          <w:bCs/>
          <w:color w:val="000000" w:themeColor="text1"/>
        </w:rPr>
        <w:t>s</w:t>
      </w:r>
      <w:r w:rsidRPr="006A4AF3">
        <w:rPr>
          <w:bCs/>
          <w:color w:val="000000" w:themeColor="text1"/>
        </w:rPr>
        <w:t xml:space="preserve"> per year for </w:t>
      </w:r>
      <w:r w:rsidRPr="006A4AF3" w:rsidR="00E35B89">
        <w:rPr>
          <w:bCs/>
          <w:color w:val="000000" w:themeColor="text1"/>
        </w:rPr>
        <w:t>4</w:t>
      </w:r>
      <w:r w:rsidR="006938C6">
        <w:rPr>
          <w:bCs/>
          <w:color w:val="000000" w:themeColor="text1"/>
        </w:rPr>
        <w:t>,</w:t>
      </w:r>
      <w:r w:rsidRPr="006A4AF3" w:rsidR="00E35B89">
        <w:rPr>
          <w:bCs/>
          <w:color w:val="000000" w:themeColor="text1"/>
        </w:rPr>
        <w:t>00</w:t>
      </w:r>
      <w:r w:rsidR="00AC10C4">
        <w:rPr>
          <w:bCs/>
          <w:color w:val="000000" w:themeColor="text1"/>
        </w:rPr>
        <w:t>0</w:t>
      </w:r>
      <w:r w:rsidRPr="006A4AF3">
        <w:rPr>
          <w:bCs/>
          <w:color w:val="000000" w:themeColor="text1"/>
        </w:rPr>
        <w:t xml:space="preserve"> </w:t>
      </w:r>
      <w:r w:rsidRPr="006A4AF3">
        <w:rPr>
          <w:bCs/>
          <w:color w:val="000000" w:themeColor="text1"/>
        </w:rPr>
        <w:t>total annual responses (1</w:t>
      </w:r>
      <w:r w:rsidRPr="006A4AF3" w:rsidR="00636255">
        <w:rPr>
          <w:bCs/>
          <w:color w:val="000000" w:themeColor="text1"/>
        </w:rPr>
        <w:t>00</w:t>
      </w:r>
      <w:r w:rsidRPr="006A4AF3">
        <w:rPr>
          <w:bCs/>
          <w:color w:val="000000" w:themeColor="text1"/>
        </w:rPr>
        <w:t xml:space="preserve"> </w:t>
      </w:r>
      <w:r w:rsidR="00AC10C4">
        <w:rPr>
          <w:bCs/>
          <w:color w:val="000000" w:themeColor="text1"/>
        </w:rPr>
        <w:t>×</w:t>
      </w:r>
      <w:r w:rsidRPr="006A4AF3">
        <w:rPr>
          <w:bCs/>
          <w:color w:val="000000" w:themeColor="text1"/>
        </w:rPr>
        <w:t xml:space="preserve"> </w:t>
      </w:r>
      <w:r w:rsidRPr="006A4AF3" w:rsidR="00E35B89">
        <w:rPr>
          <w:bCs/>
          <w:color w:val="000000" w:themeColor="text1"/>
        </w:rPr>
        <w:t>4</w:t>
      </w:r>
      <w:r w:rsidRPr="006A4AF3" w:rsidR="00636255">
        <w:rPr>
          <w:bCs/>
          <w:color w:val="000000" w:themeColor="text1"/>
        </w:rPr>
        <w:t>0</w:t>
      </w:r>
      <w:r w:rsidRPr="006A4AF3">
        <w:rPr>
          <w:bCs/>
          <w:color w:val="000000" w:themeColor="text1"/>
        </w:rPr>
        <w:t xml:space="preserve"> = </w:t>
      </w:r>
      <w:r w:rsidRPr="006A4AF3" w:rsidR="00E35B89">
        <w:rPr>
          <w:bCs/>
          <w:color w:val="000000" w:themeColor="text1"/>
        </w:rPr>
        <w:t>4</w:t>
      </w:r>
      <w:r w:rsidR="00AC10C4">
        <w:rPr>
          <w:bCs/>
          <w:color w:val="000000" w:themeColor="text1"/>
        </w:rPr>
        <w:t>,</w:t>
      </w:r>
      <w:r w:rsidRPr="006A4AF3" w:rsidR="00636255">
        <w:rPr>
          <w:bCs/>
          <w:color w:val="000000" w:themeColor="text1"/>
        </w:rPr>
        <w:t>00</w:t>
      </w:r>
      <w:r w:rsidR="00AC10C4">
        <w:rPr>
          <w:bCs/>
          <w:color w:val="000000" w:themeColor="text1"/>
        </w:rPr>
        <w:t>0</w:t>
      </w:r>
      <w:r w:rsidRPr="006A4AF3">
        <w:rPr>
          <w:bCs/>
          <w:color w:val="000000" w:themeColor="text1"/>
        </w:rPr>
        <w:t>).  It is estimated that each response will require 1</w:t>
      </w:r>
      <w:r w:rsidRPr="006A4AF3" w:rsidR="00F07019">
        <w:rPr>
          <w:bCs/>
          <w:color w:val="000000" w:themeColor="text1"/>
        </w:rPr>
        <w:t>2</w:t>
      </w:r>
      <w:r w:rsidRPr="006A4AF3">
        <w:rPr>
          <w:bCs/>
          <w:color w:val="000000" w:themeColor="text1"/>
        </w:rPr>
        <w:t xml:space="preserve"> burden hour</w:t>
      </w:r>
      <w:r w:rsidRPr="006A4AF3" w:rsidR="00F07019">
        <w:rPr>
          <w:bCs/>
          <w:color w:val="000000" w:themeColor="text1"/>
        </w:rPr>
        <w:t xml:space="preserve">s </w:t>
      </w:r>
      <w:r w:rsidRPr="006A4AF3">
        <w:rPr>
          <w:bCs/>
          <w:color w:val="000000" w:themeColor="text1"/>
        </w:rPr>
        <w:t xml:space="preserve">to complete, therefore </w:t>
      </w:r>
      <w:r w:rsidR="00F162AA">
        <w:rPr>
          <w:bCs/>
          <w:color w:val="000000" w:themeColor="text1"/>
        </w:rPr>
        <w:t>4,000</w:t>
      </w:r>
      <w:r w:rsidRPr="006A4AF3" w:rsidR="00F162AA">
        <w:rPr>
          <w:bCs/>
          <w:color w:val="000000" w:themeColor="text1"/>
        </w:rPr>
        <w:t xml:space="preserve"> </w:t>
      </w:r>
      <w:r w:rsidRPr="006A4AF3">
        <w:rPr>
          <w:bCs/>
          <w:color w:val="000000" w:themeColor="text1"/>
        </w:rPr>
        <w:t>response</w:t>
      </w:r>
      <w:r w:rsidRPr="006A4AF3" w:rsidR="00797DA5">
        <w:rPr>
          <w:bCs/>
          <w:color w:val="000000" w:themeColor="text1"/>
        </w:rPr>
        <w:t>s</w:t>
      </w:r>
      <w:r w:rsidRPr="006A4AF3">
        <w:rPr>
          <w:bCs/>
          <w:color w:val="000000" w:themeColor="text1"/>
        </w:rPr>
        <w:t xml:space="preserve"> times 1</w:t>
      </w:r>
      <w:r w:rsidRPr="006A4AF3" w:rsidR="00797DA5">
        <w:rPr>
          <w:bCs/>
          <w:color w:val="000000" w:themeColor="text1"/>
        </w:rPr>
        <w:t>2</w:t>
      </w:r>
      <w:r w:rsidRPr="006A4AF3">
        <w:rPr>
          <w:bCs/>
          <w:color w:val="000000" w:themeColor="text1"/>
        </w:rPr>
        <w:t xml:space="preserve"> hour</w:t>
      </w:r>
      <w:r w:rsidRPr="006A4AF3" w:rsidR="00F001F4">
        <w:rPr>
          <w:bCs/>
          <w:color w:val="000000" w:themeColor="text1"/>
        </w:rPr>
        <w:t>s</w:t>
      </w:r>
      <w:r w:rsidRPr="006A4AF3">
        <w:rPr>
          <w:bCs/>
          <w:color w:val="000000" w:themeColor="text1"/>
        </w:rPr>
        <w:t xml:space="preserve"> equals </w:t>
      </w:r>
      <w:r w:rsidR="00380D44">
        <w:rPr>
          <w:bCs/>
          <w:color w:val="000000" w:themeColor="text1"/>
        </w:rPr>
        <w:t>48,000</w:t>
      </w:r>
      <w:r w:rsidRPr="006A4AF3">
        <w:rPr>
          <w:bCs/>
          <w:color w:val="000000" w:themeColor="text1"/>
        </w:rPr>
        <w:t xml:space="preserve"> total annual burden hour</w:t>
      </w:r>
      <w:r w:rsidRPr="006A4AF3" w:rsidR="009F349D">
        <w:rPr>
          <w:bCs/>
          <w:color w:val="000000" w:themeColor="text1"/>
        </w:rPr>
        <w:t>s</w:t>
      </w:r>
      <w:r w:rsidRPr="006A4AF3">
        <w:rPr>
          <w:bCs/>
          <w:color w:val="000000" w:themeColor="text1"/>
        </w:rPr>
        <w:t xml:space="preserve"> (</w:t>
      </w:r>
      <w:r w:rsidRPr="006A4AF3" w:rsidR="00F71A2D">
        <w:rPr>
          <w:bCs/>
          <w:color w:val="000000" w:themeColor="text1"/>
        </w:rPr>
        <w:t>4</w:t>
      </w:r>
      <w:r w:rsidR="000A0A18">
        <w:rPr>
          <w:bCs/>
          <w:color w:val="000000" w:themeColor="text1"/>
        </w:rPr>
        <w:t>,</w:t>
      </w:r>
      <w:r w:rsidRPr="006A4AF3" w:rsidR="00F001F4">
        <w:rPr>
          <w:bCs/>
          <w:color w:val="000000" w:themeColor="text1"/>
        </w:rPr>
        <w:t>00</w:t>
      </w:r>
      <w:r w:rsidR="000A0A18">
        <w:rPr>
          <w:bCs/>
          <w:color w:val="000000" w:themeColor="text1"/>
        </w:rPr>
        <w:t>0</w:t>
      </w:r>
      <w:r w:rsidRPr="006A4AF3">
        <w:rPr>
          <w:bCs/>
          <w:color w:val="000000" w:themeColor="text1"/>
        </w:rPr>
        <w:t xml:space="preserve"> </w:t>
      </w:r>
      <w:r w:rsidR="000A0A18">
        <w:rPr>
          <w:bCs/>
          <w:color w:val="000000" w:themeColor="text1"/>
        </w:rPr>
        <w:t>×</w:t>
      </w:r>
      <w:r w:rsidRPr="006A4AF3">
        <w:rPr>
          <w:bCs/>
          <w:color w:val="000000" w:themeColor="text1"/>
        </w:rPr>
        <w:t xml:space="preserve"> 1</w:t>
      </w:r>
      <w:r w:rsidRPr="006A4AF3" w:rsidR="00F001F4">
        <w:rPr>
          <w:bCs/>
          <w:color w:val="000000" w:themeColor="text1"/>
        </w:rPr>
        <w:t>2</w:t>
      </w:r>
      <w:r w:rsidRPr="006A4AF3">
        <w:rPr>
          <w:bCs/>
          <w:color w:val="000000" w:themeColor="text1"/>
        </w:rPr>
        <w:t xml:space="preserve"> = </w:t>
      </w:r>
      <w:r w:rsidR="000A0A18">
        <w:rPr>
          <w:bCs/>
          <w:color w:val="000000" w:themeColor="text1"/>
        </w:rPr>
        <w:t>48,000</w:t>
      </w:r>
      <w:r w:rsidRPr="006A4AF3">
        <w:rPr>
          <w:bCs/>
          <w:color w:val="000000" w:themeColor="text1"/>
        </w:rPr>
        <w:t>)</w:t>
      </w:r>
    </w:p>
    <w:p w:rsidR="001519BC" w:rsidRPr="006A4AF3" w:rsidP="006A4AF3" w14:paraId="2789A656" w14:textId="25D6D932">
      <w:pPr>
        <w:spacing w:line="276" w:lineRule="auto"/>
        <w:contextualSpacing/>
        <w:rPr>
          <w:bCs/>
          <w:color w:val="000000" w:themeColor="text1"/>
        </w:rPr>
      </w:pPr>
    </w:p>
    <w:p w:rsidR="003C59C1" w:rsidRPr="006A4AF3" w:rsidP="000015DD" w14:paraId="40E434F7" w14:textId="5E53612D">
      <w:pPr>
        <w:spacing w:line="276" w:lineRule="auto"/>
        <w:contextualSpacing/>
        <w:rPr>
          <w:color w:val="000000" w:themeColor="text1"/>
        </w:rPr>
      </w:pPr>
      <w:r>
        <w:rPr>
          <w:bCs/>
          <w:color w:val="000000" w:themeColor="text1"/>
        </w:rPr>
        <w:t>T</w:t>
      </w:r>
      <w:r w:rsidRPr="006A4AF3">
        <w:rPr>
          <w:bCs/>
          <w:color w:val="000000" w:themeColor="text1"/>
        </w:rPr>
        <w:t xml:space="preserve">he previous </w:t>
      </w:r>
      <w:r>
        <w:rPr>
          <w:bCs/>
          <w:color w:val="000000" w:themeColor="text1"/>
        </w:rPr>
        <w:t xml:space="preserve">estimate of </w:t>
      </w:r>
      <w:r w:rsidRPr="006A4AF3">
        <w:rPr>
          <w:bCs/>
          <w:color w:val="000000" w:themeColor="text1"/>
        </w:rPr>
        <w:t xml:space="preserve">burden hours </w:t>
      </w:r>
      <w:r>
        <w:rPr>
          <w:bCs/>
          <w:color w:val="000000" w:themeColor="text1"/>
        </w:rPr>
        <w:t>included</w:t>
      </w:r>
      <w:r w:rsidRPr="006A4AF3">
        <w:rPr>
          <w:bCs/>
          <w:color w:val="000000" w:themeColor="text1"/>
        </w:rPr>
        <w:t xml:space="preserve"> the time </w:t>
      </w:r>
      <w:r>
        <w:rPr>
          <w:bCs/>
          <w:color w:val="000000" w:themeColor="text1"/>
        </w:rPr>
        <w:t xml:space="preserve">burden required </w:t>
      </w:r>
      <w:r w:rsidRPr="006A4AF3">
        <w:rPr>
          <w:bCs/>
          <w:color w:val="000000" w:themeColor="text1"/>
        </w:rPr>
        <w:t xml:space="preserve">to </w:t>
      </w:r>
      <w:r>
        <w:rPr>
          <w:bCs/>
          <w:color w:val="000000" w:themeColor="text1"/>
        </w:rPr>
        <w:t>perform</w:t>
      </w:r>
      <w:r w:rsidRPr="006A4AF3">
        <w:rPr>
          <w:bCs/>
          <w:color w:val="000000" w:themeColor="text1"/>
        </w:rPr>
        <w:t xml:space="preserve"> CAV and CAC audits and </w:t>
      </w:r>
      <w:r>
        <w:rPr>
          <w:bCs/>
          <w:color w:val="000000" w:themeColor="text1"/>
        </w:rPr>
        <w:t>provide</w:t>
      </w:r>
      <w:r w:rsidRPr="006A4AF3">
        <w:rPr>
          <w:bCs/>
          <w:color w:val="000000" w:themeColor="text1"/>
        </w:rPr>
        <w:t xml:space="preserve"> technical assistance and follow up.  </w:t>
      </w:r>
      <w:r>
        <w:rPr>
          <w:bCs/>
          <w:color w:val="000000" w:themeColor="text1"/>
        </w:rPr>
        <w:t>T</w:t>
      </w:r>
      <w:r w:rsidRPr="006A4AF3">
        <w:rPr>
          <w:bCs/>
          <w:color w:val="000000" w:themeColor="text1"/>
        </w:rPr>
        <w:t>he new NFIP Compliance Audit process separates the audit from the follow</w:t>
      </w:r>
      <w:r w:rsidR="007532E9">
        <w:rPr>
          <w:bCs/>
          <w:color w:val="000000" w:themeColor="text1"/>
        </w:rPr>
        <w:t xml:space="preserve"> </w:t>
      </w:r>
      <w:r w:rsidRPr="006A4AF3">
        <w:rPr>
          <w:bCs/>
          <w:color w:val="000000" w:themeColor="text1"/>
        </w:rPr>
        <w:t>up process</w:t>
      </w:r>
      <w:r>
        <w:rPr>
          <w:bCs/>
          <w:color w:val="000000" w:themeColor="text1"/>
        </w:rPr>
        <w:t xml:space="preserve">.  </w:t>
      </w:r>
      <w:r w:rsidR="00EB4C7D">
        <w:rPr>
          <w:bCs/>
          <w:color w:val="000000" w:themeColor="text1"/>
        </w:rPr>
        <w:t xml:space="preserve">Based on this, </w:t>
      </w:r>
      <w:r>
        <w:rPr>
          <w:bCs/>
          <w:color w:val="000000" w:themeColor="text1"/>
        </w:rPr>
        <w:t xml:space="preserve">FEMA anticipates having sufficient data to conduct usability testing after implementing </w:t>
      </w:r>
      <w:r w:rsidRPr="006A4AF3">
        <w:rPr>
          <w:bCs/>
          <w:color w:val="000000" w:themeColor="text1"/>
        </w:rPr>
        <w:t xml:space="preserve">the NFIP Compliance Audit process by </w:t>
      </w:r>
      <w:r w:rsidR="001D3CB9">
        <w:rPr>
          <w:bCs/>
          <w:color w:val="000000" w:themeColor="text1"/>
        </w:rPr>
        <w:t>Summer of</w:t>
      </w:r>
      <w:r w:rsidRPr="006A4AF3">
        <w:rPr>
          <w:bCs/>
          <w:color w:val="000000" w:themeColor="text1"/>
        </w:rPr>
        <w:t xml:space="preserve"> 202</w:t>
      </w:r>
      <w:r>
        <w:rPr>
          <w:bCs/>
          <w:color w:val="000000" w:themeColor="text1"/>
        </w:rPr>
        <w:t>5.</w:t>
      </w:r>
    </w:p>
    <w:p w:rsidR="003C59C1" w:rsidRPr="006A4AF3" w:rsidP="006A4AF3" w14:paraId="3E570E6F" w14:textId="77777777">
      <w:pPr>
        <w:spacing w:line="276" w:lineRule="auto"/>
        <w:contextualSpacing/>
        <w:rPr>
          <w:bCs/>
          <w:color w:val="000000" w:themeColor="text1"/>
        </w:rPr>
      </w:pPr>
    </w:p>
    <w:p w:rsidR="00842E74" w:rsidRPr="006A4AF3" w:rsidP="006A4AF3" w14:paraId="3F850929" w14:textId="77777777">
      <w:pPr>
        <w:spacing w:line="276" w:lineRule="auto"/>
        <w:contextualSpacing/>
        <w:rPr>
          <w:b/>
          <w:bCs/>
          <w:color w:val="000000" w:themeColor="text1"/>
        </w:rPr>
      </w:pPr>
      <w:r w:rsidRPr="006A4AF3">
        <w:rPr>
          <w:color w:val="000000" w:themeColor="text1"/>
        </w:rPr>
        <w:fldChar w:fldCharType="begin"/>
      </w:r>
      <w:r w:rsidRPr="006A4AF3">
        <w:rPr>
          <w:color w:val="000000" w:themeColor="text1"/>
        </w:rPr>
        <w:instrText>ADVANCE \R 0.95</w:instrText>
      </w:r>
      <w:r w:rsidRPr="006A4AF3">
        <w:rPr>
          <w:color w:val="000000" w:themeColor="text1"/>
        </w:rPr>
        <w:fldChar w:fldCharType="end"/>
      </w:r>
      <w:r w:rsidRPr="006A4AF3">
        <w:rPr>
          <w:color w:val="000000" w:themeColor="text1"/>
        </w:rPr>
        <w:tab/>
      </w:r>
      <w:r w:rsidRPr="006A4AF3">
        <w:rPr>
          <w:b/>
          <w:bCs/>
          <w:color w:val="000000" w:themeColor="text1"/>
        </w:rPr>
        <w:t>b.  If this request for approval covers more than one form, provide separate hour burden estimates for each form and aggregate the hour burdens in Item 13 of OMB Form 83-I.</w:t>
      </w:r>
    </w:p>
    <w:p w:rsidR="00842E74" w:rsidRPr="006A4AF3" w:rsidP="006A4AF3" w14:paraId="6DBD4C6C" w14:textId="5E1EE3E2">
      <w:pPr>
        <w:spacing w:line="276" w:lineRule="auto"/>
        <w:contextualSpacing/>
        <w:rPr>
          <w:color w:val="000000" w:themeColor="text1"/>
        </w:rPr>
      </w:pPr>
    </w:p>
    <w:p w:rsidR="00085321" w:rsidRPr="006A4AF3" w:rsidP="006A4AF3" w14:paraId="62193E39" w14:textId="0879D61E">
      <w:pPr>
        <w:spacing w:line="276" w:lineRule="auto"/>
        <w:contextualSpacing/>
        <w:rPr>
          <w:color w:val="000000" w:themeColor="text1"/>
        </w:rPr>
      </w:pPr>
      <w:r w:rsidRPr="006A4AF3">
        <w:rPr>
          <w:color w:val="000000" w:themeColor="text1"/>
        </w:rPr>
        <w:t>Please see our response to 12a</w:t>
      </w:r>
      <w:r w:rsidRPr="006A4AF3" w:rsidR="008B1675">
        <w:rPr>
          <w:color w:val="000000" w:themeColor="text1"/>
        </w:rPr>
        <w:t xml:space="preserve"> above</w:t>
      </w:r>
      <w:r w:rsidRPr="006A4AF3">
        <w:rPr>
          <w:color w:val="000000" w:themeColor="text1"/>
        </w:rPr>
        <w:t xml:space="preserve"> and 12c</w:t>
      </w:r>
      <w:r w:rsidRPr="006A4AF3" w:rsidR="008B1675">
        <w:rPr>
          <w:color w:val="000000" w:themeColor="text1"/>
        </w:rPr>
        <w:t xml:space="preserve"> below</w:t>
      </w:r>
      <w:r w:rsidRPr="006A4AF3">
        <w:rPr>
          <w:color w:val="000000" w:themeColor="text1"/>
        </w:rPr>
        <w:t>.</w:t>
      </w:r>
    </w:p>
    <w:p w:rsidR="007A0214" w:rsidRPr="00C94895" w:rsidP="00C94895" w14:paraId="295555DC" w14:textId="77777777">
      <w:pPr>
        <w:spacing w:line="276" w:lineRule="auto"/>
        <w:rPr>
          <w:b/>
          <w:bCs/>
        </w:rPr>
      </w:pPr>
      <w:r w:rsidRPr="00C94895">
        <w:rPr>
          <w:b/>
          <w:bCs/>
          <w:color w:val="000000" w:themeColor="text1"/>
        </w:rPr>
        <w:tab/>
      </w:r>
    </w:p>
    <w:p w:rsidR="007A0214" w:rsidRPr="000A4936" w:rsidP="00C94895" w14:paraId="4521FB72" w14:textId="6057A2FD">
      <w:pPr>
        <w:pStyle w:val="ListParagraph"/>
        <w:spacing w:line="276" w:lineRule="auto"/>
        <w:ind w:left="0" w:firstLine="720"/>
        <w:rPr>
          <w:b/>
          <w:bCs/>
        </w:rPr>
      </w:pPr>
      <w:r>
        <w:rPr>
          <w:b/>
          <w:bCs/>
        </w:rPr>
        <w:t xml:space="preserve">c.  </w:t>
      </w:r>
      <w:r w:rsidRPr="000A4936">
        <w:rPr>
          <w:b/>
          <w:bCs/>
        </w:rPr>
        <w:t>Provide an estimate of annualized cost to respondents for the hour</w:t>
      </w:r>
      <w:r w:rsidR="00114EC2">
        <w:rPr>
          <w:b/>
          <w:bCs/>
        </w:rPr>
        <w:t xml:space="preserve"> </w:t>
      </w:r>
      <w:r w:rsidRPr="000A4936">
        <w:rPr>
          <w:b/>
          <w:bCs/>
        </w:rPr>
        <w:t>burdens for collections of information, identifying and using appropriate wage rate categories.  NOTE: The wage-rate category for each respondent must be multiplied by 1.45 (1.61 for State and local government employees)</w:t>
      </w:r>
      <w:r w:rsidRPr="000A4936">
        <w:rPr>
          <w:rStyle w:val="FootnoteReference"/>
          <w:b/>
          <w:bCs/>
        </w:rPr>
        <w:t xml:space="preserve"> </w:t>
      </w:r>
      <w:r>
        <w:rPr>
          <w:rStyle w:val="FootnoteReference"/>
          <w:b/>
          <w:bCs/>
        </w:rPr>
        <w:footnoteReference w:id="3"/>
      </w:r>
      <w:r w:rsidRPr="000A4936">
        <w:rPr>
          <w:b/>
          <w:bCs/>
        </w:rPr>
        <w:t xml:space="preserve"> and this total should be entered in the cell for “Avg. Hourly Wage Rate.”  The cost to the respondents of contracting out to paying outside parties for information collection activities should not be included here.  Instead this cost should be included in Item 13.</w:t>
      </w:r>
    </w:p>
    <w:p w:rsidR="00470004" w:rsidP="006A4AF3" w14:paraId="39B0B436" w14:textId="77777777">
      <w:pPr>
        <w:spacing w:line="276" w:lineRule="auto"/>
        <w:contextualSpacing/>
        <w:rPr>
          <w:b/>
          <w:bCs/>
          <w:color w:val="000000" w:themeColor="text1"/>
        </w:rPr>
      </w:pPr>
    </w:p>
    <w:p w:rsidR="003B7F4A" w14:paraId="72DE1BFC" w14:textId="5D978DA0">
      <w:pPr>
        <w:rPr>
          <w:b/>
          <w:bCs/>
          <w:color w:val="000000" w:themeColor="text1"/>
        </w:rPr>
      </w:pPr>
      <w:r>
        <w:rPr>
          <w:b/>
          <w:bCs/>
          <w:color w:val="000000" w:themeColor="text1"/>
        </w:rPr>
        <w:br w:type="page"/>
      </w:r>
    </w:p>
    <w:p w:rsidR="003B7F4A" w:rsidP="006A4AF3" w14:paraId="1A210A7E" w14:textId="77777777">
      <w:pPr>
        <w:spacing w:line="276" w:lineRule="auto"/>
        <w:contextualSpacing/>
        <w:rPr>
          <w:b/>
          <w:bCs/>
          <w:color w:val="000000" w:themeColor="text1"/>
        </w:rPr>
      </w:pPr>
    </w:p>
    <w:tbl>
      <w:tblPr>
        <w:tblStyle w:val="TableGrid"/>
        <w:tblW w:w="9817" w:type="dxa"/>
        <w:jc w:val="center"/>
        <w:tblLayout w:type="fixed"/>
        <w:tblLook w:val="04A0"/>
      </w:tblPr>
      <w:tblGrid>
        <w:gridCol w:w="1223"/>
        <w:gridCol w:w="1747"/>
        <w:gridCol w:w="859"/>
        <w:gridCol w:w="1166"/>
        <w:gridCol w:w="1065"/>
        <w:gridCol w:w="986"/>
        <w:gridCol w:w="816"/>
        <w:gridCol w:w="789"/>
        <w:gridCol w:w="1166"/>
      </w:tblGrid>
      <w:tr w14:paraId="6E6EF1B8" w14:textId="77777777" w:rsidTr="00C94895">
        <w:tblPrEx>
          <w:tblW w:w="9817" w:type="dxa"/>
          <w:jc w:val="center"/>
          <w:tblLayout w:type="fixed"/>
          <w:tblLook w:val="04A0"/>
        </w:tblPrEx>
        <w:trPr>
          <w:jc w:val="center"/>
        </w:trPr>
        <w:tc>
          <w:tcPr>
            <w:tcW w:w="9817" w:type="dxa"/>
            <w:gridSpan w:val="9"/>
            <w:shd w:val="clear" w:color="auto" w:fill="9CC2E5" w:themeFill="accent1" w:themeFillTint="99"/>
          </w:tcPr>
          <w:p w:rsidR="006D00EF" w:rsidRPr="00C54100" w:rsidP="00540D41" w14:paraId="272C6D6F" w14:textId="77777777">
            <w:pPr>
              <w:jc w:val="center"/>
              <w:rPr>
                <w:rFonts w:eastAsia="Calibri"/>
                <w:b/>
                <w:sz w:val="20"/>
                <w:szCs w:val="20"/>
              </w:rPr>
            </w:pPr>
            <w:r w:rsidRPr="00C54100">
              <w:rPr>
                <w:rFonts w:eastAsia="Calibri"/>
                <w:b/>
                <w:sz w:val="20"/>
                <w:szCs w:val="20"/>
              </w:rPr>
              <w:t>Estimated Annualized Burden Hours and Costs</w:t>
            </w:r>
          </w:p>
        </w:tc>
      </w:tr>
      <w:tr w14:paraId="5E039928" w14:textId="77777777" w:rsidTr="00C94895">
        <w:tblPrEx>
          <w:tblW w:w="9817" w:type="dxa"/>
          <w:jc w:val="center"/>
          <w:tblLayout w:type="fixed"/>
          <w:tblLook w:val="04A0"/>
        </w:tblPrEx>
        <w:trPr>
          <w:jc w:val="center"/>
        </w:trPr>
        <w:tc>
          <w:tcPr>
            <w:tcW w:w="1223" w:type="dxa"/>
            <w:shd w:val="clear" w:color="auto" w:fill="9CC2E5" w:themeFill="accent1" w:themeFillTint="99"/>
            <w:vAlign w:val="center"/>
          </w:tcPr>
          <w:p w:rsidR="00BE1B26" w:rsidRPr="005E2BB2" w:rsidP="00587724" w14:paraId="313C1B1A" w14:textId="77777777">
            <w:pPr>
              <w:jc w:val="center"/>
              <w:rPr>
                <w:rFonts w:eastAsia="Calibri"/>
                <w:sz w:val="20"/>
                <w:szCs w:val="20"/>
              </w:rPr>
            </w:pPr>
            <w:r w:rsidRPr="005E2BB2">
              <w:rPr>
                <w:sz w:val="20"/>
                <w:szCs w:val="20"/>
              </w:rPr>
              <w:t>Type of Respondent</w:t>
            </w:r>
          </w:p>
        </w:tc>
        <w:tc>
          <w:tcPr>
            <w:tcW w:w="1747" w:type="dxa"/>
            <w:shd w:val="clear" w:color="auto" w:fill="9CC2E5" w:themeFill="accent1" w:themeFillTint="99"/>
            <w:vAlign w:val="center"/>
          </w:tcPr>
          <w:p w:rsidR="00BE1B26" w:rsidRPr="005E2BB2" w:rsidP="00587724" w14:paraId="69E886A4" w14:textId="77777777">
            <w:pPr>
              <w:jc w:val="center"/>
              <w:rPr>
                <w:rFonts w:eastAsia="Calibri"/>
                <w:sz w:val="20"/>
                <w:szCs w:val="20"/>
              </w:rPr>
            </w:pPr>
            <w:r w:rsidRPr="005E2BB2">
              <w:rPr>
                <w:rFonts w:eastAsia="Calibri"/>
                <w:sz w:val="20"/>
                <w:szCs w:val="20"/>
              </w:rPr>
              <w:t>Form Name / Form No.</w:t>
            </w:r>
          </w:p>
        </w:tc>
        <w:tc>
          <w:tcPr>
            <w:tcW w:w="859" w:type="dxa"/>
            <w:shd w:val="clear" w:color="auto" w:fill="9CC2E5" w:themeFill="accent1" w:themeFillTint="99"/>
            <w:vAlign w:val="center"/>
          </w:tcPr>
          <w:p w:rsidR="00BE1B26" w:rsidRPr="005E2BB2" w:rsidP="00587724" w14:paraId="18822563" w14:textId="77777777">
            <w:pPr>
              <w:jc w:val="center"/>
              <w:rPr>
                <w:rFonts w:eastAsia="Calibri"/>
                <w:sz w:val="20"/>
                <w:szCs w:val="20"/>
              </w:rPr>
            </w:pPr>
            <w:r w:rsidRPr="005E2BB2">
              <w:rPr>
                <w:rFonts w:eastAsia="Calibri"/>
                <w:sz w:val="20"/>
                <w:szCs w:val="20"/>
              </w:rPr>
              <w:t>No. of Respondents</w:t>
            </w:r>
          </w:p>
        </w:tc>
        <w:tc>
          <w:tcPr>
            <w:tcW w:w="1166" w:type="dxa"/>
            <w:shd w:val="clear" w:color="auto" w:fill="9CC2E5" w:themeFill="accent1" w:themeFillTint="99"/>
            <w:vAlign w:val="center"/>
          </w:tcPr>
          <w:p w:rsidR="00BE1B26" w:rsidRPr="005E2BB2" w:rsidP="00587724" w14:paraId="53E0F857" w14:textId="77777777">
            <w:pPr>
              <w:jc w:val="center"/>
              <w:rPr>
                <w:rFonts w:eastAsia="Calibri"/>
                <w:sz w:val="20"/>
                <w:szCs w:val="20"/>
              </w:rPr>
            </w:pPr>
            <w:r w:rsidRPr="005E2BB2">
              <w:rPr>
                <w:rFonts w:eastAsia="Calibri"/>
                <w:sz w:val="20"/>
                <w:szCs w:val="20"/>
              </w:rPr>
              <w:t>No. of Responses per Respondent</w:t>
            </w:r>
          </w:p>
        </w:tc>
        <w:tc>
          <w:tcPr>
            <w:tcW w:w="1065" w:type="dxa"/>
            <w:shd w:val="clear" w:color="auto" w:fill="9CC2E5" w:themeFill="accent1" w:themeFillTint="99"/>
            <w:vAlign w:val="center"/>
          </w:tcPr>
          <w:p w:rsidR="00BE1B26" w:rsidRPr="005E2BB2" w:rsidP="00587724" w14:paraId="78A41657" w14:textId="77777777">
            <w:pPr>
              <w:jc w:val="center"/>
              <w:rPr>
                <w:rFonts w:eastAsia="Calibri"/>
                <w:sz w:val="20"/>
                <w:szCs w:val="20"/>
              </w:rPr>
            </w:pPr>
            <w:r w:rsidRPr="005E2BB2">
              <w:rPr>
                <w:rFonts w:eastAsia="Calibri"/>
                <w:sz w:val="20"/>
                <w:szCs w:val="20"/>
              </w:rPr>
              <w:t>Total No. of Responses</w:t>
            </w:r>
          </w:p>
        </w:tc>
        <w:tc>
          <w:tcPr>
            <w:tcW w:w="986" w:type="dxa"/>
            <w:shd w:val="clear" w:color="auto" w:fill="9CC2E5" w:themeFill="accent1" w:themeFillTint="99"/>
            <w:vAlign w:val="center"/>
          </w:tcPr>
          <w:p w:rsidR="00BE1B26" w:rsidRPr="005E2BB2" w:rsidP="00587724" w14:paraId="49FA07A8" w14:textId="77777777">
            <w:pPr>
              <w:jc w:val="center"/>
              <w:rPr>
                <w:rFonts w:eastAsia="Calibri"/>
                <w:sz w:val="20"/>
                <w:szCs w:val="20"/>
              </w:rPr>
            </w:pPr>
            <w:r w:rsidRPr="005E2BB2">
              <w:rPr>
                <w:rFonts w:eastAsia="Calibri"/>
                <w:sz w:val="20"/>
                <w:szCs w:val="20"/>
              </w:rPr>
              <w:t>Avg. Burden per Response (in hours)</w:t>
            </w:r>
          </w:p>
        </w:tc>
        <w:tc>
          <w:tcPr>
            <w:tcW w:w="816" w:type="dxa"/>
            <w:shd w:val="clear" w:color="auto" w:fill="9CC2E5" w:themeFill="accent1" w:themeFillTint="99"/>
            <w:vAlign w:val="center"/>
          </w:tcPr>
          <w:p w:rsidR="00BE1B26" w:rsidRPr="005E2BB2" w:rsidP="00587724" w14:paraId="1804A235" w14:textId="77777777">
            <w:pPr>
              <w:jc w:val="center"/>
              <w:rPr>
                <w:rFonts w:eastAsia="Calibri"/>
                <w:sz w:val="20"/>
                <w:szCs w:val="20"/>
              </w:rPr>
            </w:pPr>
            <w:r w:rsidRPr="005E2BB2">
              <w:rPr>
                <w:rFonts w:eastAsia="Calibri"/>
                <w:sz w:val="20"/>
                <w:szCs w:val="20"/>
              </w:rPr>
              <w:t>Total Annual Burden (in hours)</w:t>
            </w:r>
          </w:p>
        </w:tc>
        <w:tc>
          <w:tcPr>
            <w:tcW w:w="789" w:type="dxa"/>
            <w:shd w:val="clear" w:color="auto" w:fill="9CC2E5" w:themeFill="accent1" w:themeFillTint="99"/>
            <w:vAlign w:val="center"/>
          </w:tcPr>
          <w:p w:rsidR="00BE1B26" w:rsidRPr="005E2BB2" w:rsidP="00587724" w14:paraId="04CF8D7F" w14:textId="77777777">
            <w:pPr>
              <w:jc w:val="center"/>
              <w:rPr>
                <w:rFonts w:eastAsia="Calibri"/>
                <w:sz w:val="20"/>
                <w:szCs w:val="20"/>
              </w:rPr>
            </w:pPr>
            <w:r w:rsidRPr="005E2BB2">
              <w:rPr>
                <w:rFonts w:eastAsia="Calibri"/>
                <w:sz w:val="20"/>
                <w:szCs w:val="20"/>
              </w:rPr>
              <w:t>Avg. Hourly Wage Rate</w:t>
            </w:r>
          </w:p>
        </w:tc>
        <w:tc>
          <w:tcPr>
            <w:tcW w:w="1166" w:type="dxa"/>
            <w:shd w:val="clear" w:color="auto" w:fill="9CC2E5" w:themeFill="accent1" w:themeFillTint="99"/>
            <w:vAlign w:val="center"/>
          </w:tcPr>
          <w:p w:rsidR="00BE1B26" w:rsidRPr="005E2BB2" w:rsidP="00587724" w14:paraId="2973E421" w14:textId="77777777">
            <w:pPr>
              <w:jc w:val="center"/>
              <w:rPr>
                <w:rFonts w:eastAsia="Calibri"/>
                <w:sz w:val="20"/>
                <w:szCs w:val="20"/>
              </w:rPr>
            </w:pPr>
            <w:r w:rsidRPr="005E2BB2">
              <w:rPr>
                <w:rFonts w:eastAsia="Calibri"/>
                <w:sz w:val="20"/>
                <w:szCs w:val="20"/>
              </w:rPr>
              <w:t>Total Annual Respondent Cost</w:t>
            </w:r>
          </w:p>
        </w:tc>
      </w:tr>
      <w:tr w14:paraId="1C256D02" w14:textId="77777777" w:rsidTr="00C94895">
        <w:tblPrEx>
          <w:tblW w:w="9817" w:type="dxa"/>
          <w:jc w:val="center"/>
          <w:tblLayout w:type="fixed"/>
          <w:tblLook w:val="04A0"/>
        </w:tblPrEx>
        <w:trPr>
          <w:jc w:val="center"/>
        </w:trPr>
        <w:tc>
          <w:tcPr>
            <w:tcW w:w="1223" w:type="dxa"/>
            <w:vAlign w:val="center"/>
          </w:tcPr>
          <w:p w:rsidR="00693993" w:rsidRPr="00CD45D1" w:rsidP="00C94895" w14:paraId="4D0E8599" w14:textId="77777777">
            <w:pPr>
              <w:jc w:val="center"/>
              <w:rPr>
                <w:color w:val="000000"/>
                <w:sz w:val="20"/>
                <w:szCs w:val="20"/>
              </w:rPr>
            </w:pPr>
            <w:r w:rsidRPr="00CD45D1">
              <w:rPr>
                <w:color w:val="000000" w:themeColor="text1"/>
                <w:sz w:val="20"/>
                <w:szCs w:val="20"/>
              </w:rPr>
              <w:t>State, Local, or Tribal Government</w:t>
            </w:r>
          </w:p>
          <w:p w:rsidR="00693993" w:rsidRPr="00CD45D1" w:rsidP="00C94895" w14:paraId="4B178532" w14:textId="77777777">
            <w:pPr>
              <w:jc w:val="center"/>
              <w:rPr>
                <w:sz w:val="20"/>
                <w:szCs w:val="20"/>
              </w:rPr>
            </w:pPr>
          </w:p>
        </w:tc>
        <w:tc>
          <w:tcPr>
            <w:tcW w:w="1747" w:type="dxa"/>
            <w:vAlign w:val="center"/>
          </w:tcPr>
          <w:p w:rsidR="00693993" w:rsidRPr="00CD45D1" w:rsidP="00C94895" w14:paraId="605DBE0E" w14:textId="29ED0155">
            <w:pPr>
              <w:rPr>
                <w:rFonts w:eastAsia="Calibri"/>
                <w:sz w:val="20"/>
                <w:szCs w:val="20"/>
              </w:rPr>
            </w:pPr>
            <w:r w:rsidRPr="00CD45D1">
              <w:rPr>
                <w:color w:val="000000" w:themeColor="text1"/>
                <w:sz w:val="20"/>
                <w:szCs w:val="20"/>
              </w:rPr>
              <w:t>Community Assistance Visit (CAV) Report / FEMA Form FF-206-FY-21-141 (formerly 086-0-28 (E))</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93993" w:rsidRPr="00CD45D1" w:rsidP="00C94895" w14:paraId="075118B3" w14:textId="0C7BD3FF">
            <w:pPr>
              <w:jc w:val="center"/>
              <w:rPr>
                <w:rFonts w:eastAsia="Calibri"/>
                <w:sz w:val="20"/>
                <w:szCs w:val="20"/>
              </w:rPr>
            </w:pPr>
            <w:r w:rsidRPr="00CD45D1">
              <w:rPr>
                <w:color w:val="000000"/>
                <w:sz w:val="20"/>
                <w:szCs w:val="20"/>
              </w:rPr>
              <w:t>1</w:t>
            </w:r>
          </w:p>
        </w:tc>
        <w:tc>
          <w:tcPr>
            <w:tcW w:w="1166" w:type="dxa"/>
            <w:tcBorders>
              <w:top w:val="single" w:sz="4" w:space="0" w:color="auto"/>
              <w:left w:val="nil"/>
              <w:bottom w:val="single" w:sz="4" w:space="0" w:color="auto"/>
              <w:right w:val="single" w:sz="4" w:space="0" w:color="auto"/>
            </w:tcBorders>
            <w:shd w:val="clear" w:color="auto" w:fill="auto"/>
            <w:vAlign w:val="center"/>
          </w:tcPr>
          <w:p w:rsidR="00693993" w:rsidRPr="00CD45D1" w:rsidP="00C94895" w14:paraId="4D2D36EF" w14:textId="72B3A705">
            <w:pPr>
              <w:jc w:val="center"/>
              <w:rPr>
                <w:rFonts w:eastAsia="Calibri"/>
                <w:sz w:val="20"/>
                <w:szCs w:val="20"/>
              </w:rPr>
            </w:pPr>
            <w:r w:rsidRPr="00CD45D1">
              <w:rPr>
                <w:color w:val="000000"/>
                <w:sz w:val="20"/>
                <w:szCs w:val="20"/>
              </w:rPr>
              <w:t>1</w:t>
            </w:r>
          </w:p>
        </w:tc>
        <w:tc>
          <w:tcPr>
            <w:tcW w:w="1065" w:type="dxa"/>
            <w:tcBorders>
              <w:top w:val="single" w:sz="4" w:space="0" w:color="auto"/>
              <w:left w:val="nil"/>
              <w:bottom w:val="single" w:sz="4" w:space="0" w:color="auto"/>
              <w:right w:val="single" w:sz="4" w:space="0" w:color="auto"/>
            </w:tcBorders>
            <w:shd w:val="clear" w:color="auto" w:fill="auto"/>
            <w:vAlign w:val="center"/>
          </w:tcPr>
          <w:p w:rsidR="00693993" w:rsidRPr="00CD45D1" w:rsidP="00C94895" w14:paraId="5AA15999" w14:textId="31ECA475">
            <w:pPr>
              <w:jc w:val="center"/>
              <w:rPr>
                <w:rFonts w:eastAsia="Calibri"/>
                <w:sz w:val="20"/>
                <w:szCs w:val="20"/>
              </w:rPr>
            </w:pPr>
            <w:r w:rsidRPr="00CD45D1">
              <w:rPr>
                <w:color w:val="000000"/>
                <w:sz w:val="20"/>
                <w:szCs w:val="20"/>
              </w:rPr>
              <w:t>1</w:t>
            </w:r>
          </w:p>
        </w:tc>
        <w:tc>
          <w:tcPr>
            <w:tcW w:w="986" w:type="dxa"/>
            <w:tcBorders>
              <w:top w:val="single" w:sz="4" w:space="0" w:color="auto"/>
              <w:left w:val="nil"/>
              <w:bottom w:val="single" w:sz="4" w:space="0" w:color="auto"/>
              <w:right w:val="single" w:sz="4" w:space="0" w:color="auto"/>
            </w:tcBorders>
            <w:shd w:val="clear" w:color="auto" w:fill="auto"/>
            <w:vAlign w:val="center"/>
          </w:tcPr>
          <w:p w:rsidR="00693993" w:rsidRPr="00CD45D1" w:rsidP="00C94895" w14:paraId="7AF71633" w14:textId="179726A5">
            <w:pPr>
              <w:jc w:val="center"/>
              <w:rPr>
                <w:rFonts w:eastAsia="Calibri"/>
                <w:sz w:val="20"/>
                <w:szCs w:val="20"/>
              </w:rPr>
            </w:pPr>
            <w:r w:rsidRPr="00CD45D1">
              <w:rPr>
                <w:color w:val="000000"/>
                <w:sz w:val="20"/>
                <w:szCs w:val="20"/>
              </w:rPr>
              <w:t>1</w:t>
            </w:r>
          </w:p>
        </w:tc>
        <w:tc>
          <w:tcPr>
            <w:tcW w:w="816" w:type="dxa"/>
            <w:tcBorders>
              <w:top w:val="single" w:sz="4" w:space="0" w:color="auto"/>
              <w:left w:val="nil"/>
              <w:bottom w:val="single" w:sz="4" w:space="0" w:color="auto"/>
              <w:right w:val="single" w:sz="4" w:space="0" w:color="auto"/>
            </w:tcBorders>
            <w:shd w:val="clear" w:color="auto" w:fill="auto"/>
            <w:vAlign w:val="center"/>
          </w:tcPr>
          <w:p w:rsidR="00693993" w:rsidRPr="00CD45D1" w:rsidP="00C94895" w14:paraId="741B97A3" w14:textId="7E36772D">
            <w:pPr>
              <w:jc w:val="center"/>
              <w:rPr>
                <w:rFonts w:eastAsia="Calibri"/>
                <w:sz w:val="20"/>
                <w:szCs w:val="20"/>
              </w:rPr>
            </w:pPr>
            <w:r w:rsidRPr="00CD45D1">
              <w:rPr>
                <w:color w:val="000000"/>
                <w:sz w:val="20"/>
                <w:szCs w:val="20"/>
              </w:rPr>
              <w:t>1</w:t>
            </w:r>
          </w:p>
        </w:tc>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693993" w:rsidRPr="00CD45D1" w:rsidP="00C94895" w14:paraId="619544D2" w14:textId="5E6DDFCA">
            <w:pPr>
              <w:jc w:val="center"/>
              <w:rPr>
                <w:rFonts w:eastAsia="Calibri"/>
                <w:sz w:val="20"/>
                <w:szCs w:val="20"/>
              </w:rPr>
            </w:pPr>
            <w:r>
              <w:rPr>
                <w:color w:val="000000"/>
                <w:sz w:val="20"/>
                <w:szCs w:val="20"/>
              </w:rPr>
              <w:t>$49.20</w:t>
            </w:r>
          </w:p>
        </w:tc>
        <w:tc>
          <w:tcPr>
            <w:tcW w:w="1166" w:type="dxa"/>
            <w:tcBorders>
              <w:top w:val="single" w:sz="4" w:space="0" w:color="auto"/>
              <w:left w:val="nil"/>
              <w:bottom w:val="single" w:sz="4" w:space="0" w:color="auto"/>
              <w:right w:val="single" w:sz="4" w:space="0" w:color="auto"/>
            </w:tcBorders>
            <w:shd w:val="clear" w:color="auto" w:fill="auto"/>
            <w:vAlign w:val="center"/>
          </w:tcPr>
          <w:p w:rsidR="00693993" w:rsidRPr="00CD45D1" w:rsidP="00C94895" w14:paraId="367E08D4" w14:textId="382F2692">
            <w:pPr>
              <w:jc w:val="center"/>
              <w:rPr>
                <w:rFonts w:eastAsia="Calibri"/>
                <w:sz w:val="20"/>
                <w:szCs w:val="20"/>
              </w:rPr>
            </w:pPr>
            <w:r>
              <w:rPr>
                <w:color w:val="000000"/>
                <w:sz w:val="20"/>
                <w:szCs w:val="20"/>
              </w:rPr>
              <w:t>$49</w:t>
            </w:r>
          </w:p>
        </w:tc>
      </w:tr>
      <w:tr w14:paraId="4CF348B2" w14:textId="77777777" w:rsidTr="00C94895">
        <w:tblPrEx>
          <w:tblW w:w="9817" w:type="dxa"/>
          <w:jc w:val="center"/>
          <w:tblLayout w:type="fixed"/>
          <w:tblLook w:val="04A0"/>
        </w:tblPrEx>
        <w:trPr>
          <w:jc w:val="center"/>
        </w:trPr>
        <w:tc>
          <w:tcPr>
            <w:tcW w:w="1223" w:type="dxa"/>
            <w:vAlign w:val="center"/>
          </w:tcPr>
          <w:p w:rsidR="00693993" w:rsidRPr="00CD45D1" w:rsidP="00C94895" w14:paraId="62D39DD9" w14:textId="765E70DE">
            <w:pPr>
              <w:jc w:val="center"/>
              <w:rPr>
                <w:sz w:val="20"/>
                <w:szCs w:val="20"/>
              </w:rPr>
            </w:pPr>
            <w:r w:rsidRPr="00CD45D1">
              <w:rPr>
                <w:color w:val="000000" w:themeColor="text1"/>
                <w:sz w:val="20"/>
                <w:szCs w:val="20"/>
              </w:rPr>
              <w:t>State, Local, or Tribal Government</w:t>
            </w:r>
          </w:p>
        </w:tc>
        <w:tc>
          <w:tcPr>
            <w:tcW w:w="1747" w:type="dxa"/>
            <w:vAlign w:val="center"/>
          </w:tcPr>
          <w:p w:rsidR="00693993" w:rsidRPr="00CD45D1" w:rsidP="00C94895" w14:paraId="6B5B698B" w14:textId="5E8E64EF">
            <w:pPr>
              <w:rPr>
                <w:rFonts w:eastAsia="Calibri"/>
                <w:sz w:val="20"/>
                <w:szCs w:val="20"/>
              </w:rPr>
            </w:pPr>
            <w:bookmarkStart w:id="1" w:name="RANGE!B4"/>
            <w:r w:rsidRPr="00CD45D1">
              <w:rPr>
                <w:color w:val="000000" w:themeColor="text1"/>
                <w:sz w:val="20"/>
                <w:szCs w:val="20"/>
              </w:rPr>
              <w:t>Community Assistance Contact (CAC) Report / FEMA Form FF-206-FY-21-142 (formerly 086-0-29 (E))t</w:t>
            </w:r>
            <w:bookmarkEnd w:id="1"/>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693993" w:rsidRPr="00CD45D1" w:rsidP="00C94895" w14:paraId="2CECDFED" w14:textId="60957E49">
            <w:pPr>
              <w:jc w:val="center"/>
              <w:rPr>
                <w:rFonts w:eastAsia="Calibri"/>
                <w:sz w:val="20"/>
                <w:szCs w:val="20"/>
              </w:rPr>
            </w:pPr>
            <w:r w:rsidRPr="00CD45D1">
              <w:rPr>
                <w:color w:val="000000"/>
                <w:sz w:val="20"/>
                <w:szCs w:val="20"/>
              </w:rPr>
              <w:t>1</w:t>
            </w:r>
          </w:p>
        </w:tc>
        <w:tc>
          <w:tcPr>
            <w:tcW w:w="1166" w:type="dxa"/>
            <w:tcBorders>
              <w:top w:val="single" w:sz="4" w:space="0" w:color="auto"/>
              <w:left w:val="nil"/>
              <w:bottom w:val="single" w:sz="4" w:space="0" w:color="auto"/>
              <w:right w:val="single" w:sz="4" w:space="0" w:color="auto"/>
            </w:tcBorders>
            <w:shd w:val="clear" w:color="auto" w:fill="auto"/>
            <w:vAlign w:val="center"/>
          </w:tcPr>
          <w:p w:rsidR="00693993" w:rsidRPr="00CD45D1" w:rsidP="00C94895" w14:paraId="16574644" w14:textId="4E736F13">
            <w:pPr>
              <w:jc w:val="center"/>
              <w:rPr>
                <w:rFonts w:eastAsia="Calibri"/>
                <w:sz w:val="20"/>
                <w:szCs w:val="20"/>
              </w:rPr>
            </w:pPr>
            <w:r w:rsidRPr="00CD45D1">
              <w:rPr>
                <w:color w:val="000000"/>
                <w:sz w:val="20"/>
                <w:szCs w:val="20"/>
              </w:rPr>
              <w:t>1</w:t>
            </w:r>
          </w:p>
        </w:tc>
        <w:tc>
          <w:tcPr>
            <w:tcW w:w="1065" w:type="dxa"/>
            <w:tcBorders>
              <w:top w:val="single" w:sz="4" w:space="0" w:color="auto"/>
              <w:left w:val="nil"/>
              <w:bottom w:val="single" w:sz="4" w:space="0" w:color="auto"/>
              <w:right w:val="single" w:sz="4" w:space="0" w:color="auto"/>
            </w:tcBorders>
            <w:shd w:val="clear" w:color="auto" w:fill="auto"/>
            <w:vAlign w:val="center"/>
          </w:tcPr>
          <w:p w:rsidR="00693993" w:rsidRPr="00CD45D1" w:rsidP="00C94895" w14:paraId="2D2F56E7" w14:textId="31A4F9A3">
            <w:pPr>
              <w:jc w:val="center"/>
              <w:rPr>
                <w:rFonts w:eastAsia="Calibri"/>
                <w:sz w:val="20"/>
                <w:szCs w:val="20"/>
              </w:rPr>
            </w:pPr>
            <w:r w:rsidRPr="00CD45D1">
              <w:rPr>
                <w:color w:val="000000"/>
                <w:sz w:val="20"/>
                <w:szCs w:val="20"/>
              </w:rPr>
              <w:t>1</w:t>
            </w:r>
          </w:p>
        </w:tc>
        <w:tc>
          <w:tcPr>
            <w:tcW w:w="986" w:type="dxa"/>
            <w:tcBorders>
              <w:top w:val="single" w:sz="4" w:space="0" w:color="auto"/>
              <w:left w:val="nil"/>
              <w:bottom w:val="single" w:sz="4" w:space="0" w:color="auto"/>
              <w:right w:val="single" w:sz="4" w:space="0" w:color="auto"/>
            </w:tcBorders>
            <w:shd w:val="clear" w:color="auto" w:fill="auto"/>
            <w:vAlign w:val="center"/>
          </w:tcPr>
          <w:p w:rsidR="00693993" w:rsidRPr="00CD45D1" w:rsidP="00C94895" w14:paraId="0C25983D" w14:textId="67F863D0">
            <w:pPr>
              <w:jc w:val="center"/>
              <w:rPr>
                <w:rFonts w:eastAsia="Calibri"/>
                <w:sz w:val="20"/>
                <w:szCs w:val="20"/>
              </w:rPr>
            </w:pPr>
            <w:r w:rsidRPr="00CD45D1">
              <w:rPr>
                <w:color w:val="000000"/>
                <w:sz w:val="20"/>
                <w:szCs w:val="20"/>
              </w:rPr>
              <w:t>1</w:t>
            </w:r>
          </w:p>
        </w:tc>
        <w:tc>
          <w:tcPr>
            <w:tcW w:w="816" w:type="dxa"/>
            <w:tcBorders>
              <w:top w:val="single" w:sz="4" w:space="0" w:color="auto"/>
              <w:left w:val="nil"/>
              <w:bottom w:val="single" w:sz="4" w:space="0" w:color="auto"/>
              <w:right w:val="single" w:sz="4" w:space="0" w:color="auto"/>
            </w:tcBorders>
            <w:shd w:val="clear" w:color="auto" w:fill="auto"/>
            <w:vAlign w:val="center"/>
          </w:tcPr>
          <w:p w:rsidR="00693993" w:rsidRPr="00CD45D1" w:rsidP="00C94895" w14:paraId="194E181B" w14:textId="63DAC2BE">
            <w:pPr>
              <w:jc w:val="center"/>
              <w:rPr>
                <w:rFonts w:eastAsia="Calibri"/>
                <w:sz w:val="20"/>
                <w:szCs w:val="20"/>
              </w:rPr>
            </w:pPr>
            <w:r w:rsidRPr="00CD45D1">
              <w:rPr>
                <w:color w:val="000000"/>
                <w:sz w:val="20"/>
                <w:szCs w:val="20"/>
              </w:rPr>
              <w:t>1</w:t>
            </w:r>
          </w:p>
        </w:tc>
        <w:tc>
          <w:tcPr>
            <w:tcW w:w="789" w:type="dxa"/>
            <w:tcBorders>
              <w:top w:val="nil"/>
              <w:left w:val="single" w:sz="4" w:space="0" w:color="auto"/>
              <w:bottom w:val="single" w:sz="4" w:space="0" w:color="auto"/>
              <w:right w:val="single" w:sz="4" w:space="0" w:color="auto"/>
            </w:tcBorders>
            <w:shd w:val="clear" w:color="000000" w:fill="FFFFFF"/>
            <w:vAlign w:val="center"/>
          </w:tcPr>
          <w:p w:rsidR="00693993" w:rsidRPr="00CD45D1" w:rsidP="00C94895" w14:paraId="63FF8345" w14:textId="2109A85A">
            <w:pPr>
              <w:jc w:val="center"/>
              <w:rPr>
                <w:rFonts w:eastAsia="Calibri"/>
                <w:sz w:val="20"/>
                <w:szCs w:val="20"/>
              </w:rPr>
            </w:pPr>
            <w:r>
              <w:rPr>
                <w:color w:val="000000"/>
                <w:sz w:val="20"/>
                <w:szCs w:val="20"/>
              </w:rPr>
              <w:t>$49.20</w:t>
            </w:r>
          </w:p>
        </w:tc>
        <w:tc>
          <w:tcPr>
            <w:tcW w:w="1166" w:type="dxa"/>
            <w:tcBorders>
              <w:top w:val="nil"/>
              <w:left w:val="nil"/>
              <w:bottom w:val="single" w:sz="4" w:space="0" w:color="auto"/>
              <w:right w:val="single" w:sz="4" w:space="0" w:color="auto"/>
            </w:tcBorders>
            <w:shd w:val="clear" w:color="auto" w:fill="auto"/>
            <w:vAlign w:val="center"/>
          </w:tcPr>
          <w:p w:rsidR="00693993" w:rsidRPr="00CD45D1" w:rsidP="00C94895" w14:paraId="5C5BE87F" w14:textId="0A8C38C6">
            <w:pPr>
              <w:jc w:val="center"/>
              <w:rPr>
                <w:rFonts w:eastAsia="Calibri"/>
                <w:sz w:val="20"/>
                <w:szCs w:val="20"/>
              </w:rPr>
            </w:pPr>
            <w:r>
              <w:rPr>
                <w:color w:val="000000"/>
                <w:sz w:val="20"/>
                <w:szCs w:val="20"/>
              </w:rPr>
              <w:t>$49</w:t>
            </w:r>
          </w:p>
        </w:tc>
      </w:tr>
      <w:tr w14:paraId="27E73CC4" w14:textId="77777777" w:rsidTr="00C94895">
        <w:tblPrEx>
          <w:tblW w:w="9817" w:type="dxa"/>
          <w:jc w:val="center"/>
          <w:tblLayout w:type="fixed"/>
          <w:tblLook w:val="04A0"/>
        </w:tblPrEx>
        <w:trPr>
          <w:jc w:val="center"/>
        </w:trPr>
        <w:tc>
          <w:tcPr>
            <w:tcW w:w="1223" w:type="dxa"/>
            <w:vAlign w:val="center"/>
          </w:tcPr>
          <w:p w:rsidR="00693993" w:rsidRPr="00CD45D1" w:rsidP="00C94895" w14:paraId="2C38B878" w14:textId="201CEB90">
            <w:pPr>
              <w:jc w:val="center"/>
              <w:rPr>
                <w:sz w:val="20"/>
                <w:szCs w:val="20"/>
              </w:rPr>
            </w:pPr>
            <w:r w:rsidRPr="00CD45D1">
              <w:rPr>
                <w:color w:val="000000" w:themeColor="text1"/>
                <w:sz w:val="20"/>
                <w:szCs w:val="20"/>
              </w:rPr>
              <w:t>State, Local, or Tribal Government</w:t>
            </w:r>
          </w:p>
        </w:tc>
        <w:tc>
          <w:tcPr>
            <w:tcW w:w="1747" w:type="dxa"/>
            <w:vAlign w:val="center"/>
          </w:tcPr>
          <w:p w:rsidR="00693993" w:rsidRPr="00CD45D1" w:rsidP="00C94895" w14:paraId="1709AB56" w14:textId="329EA42B">
            <w:pPr>
              <w:rPr>
                <w:rFonts w:eastAsia="Calibri"/>
                <w:sz w:val="20"/>
                <w:szCs w:val="20"/>
              </w:rPr>
            </w:pPr>
            <w:r w:rsidRPr="00CD45D1">
              <w:rPr>
                <w:color w:val="000000" w:themeColor="text1"/>
                <w:sz w:val="20"/>
                <w:szCs w:val="20"/>
              </w:rPr>
              <w:t>National Flood Insurance Program (NFIP) Compliance Audit Report / FEMA Form FF-206-FY-24-100</w:t>
            </w:r>
          </w:p>
        </w:tc>
        <w:tc>
          <w:tcPr>
            <w:tcW w:w="859" w:type="dxa"/>
            <w:tcBorders>
              <w:top w:val="nil"/>
              <w:left w:val="single" w:sz="4" w:space="0" w:color="auto"/>
              <w:bottom w:val="single" w:sz="4" w:space="0" w:color="auto"/>
              <w:right w:val="single" w:sz="4" w:space="0" w:color="auto"/>
            </w:tcBorders>
            <w:shd w:val="clear" w:color="auto" w:fill="auto"/>
            <w:vAlign w:val="center"/>
          </w:tcPr>
          <w:p w:rsidR="00693993" w:rsidRPr="00CD45D1" w:rsidP="00C94895" w14:paraId="68FED09D" w14:textId="5A6C728B">
            <w:pPr>
              <w:jc w:val="center"/>
              <w:rPr>
                <w:sz w:val="20"/>
                <w:szCs w:val="20"/>
              </w:rPr>
            </w:pPr>
            <w:r w:rsidRPr="00CD45D1">
              <w:rPr>
                <w:color w:val="000000"/>
                <w:sz w:val="20"/>
                <w:szCs w:val="20"/>
              </w:rPr>
              <w:t>100</w:t>
            </w:r>
          </w:p>
        </w:tc>
        <w:tc>
          <w:tcPr>
            <w:tcW w:w="1166" w:type="dxa"/>
            <w:tcBorders>
              <w:top w:val="nil"/>
              <w:left w:val="nil"/>
              <w:bottom w:val="single" w:sz="4" w:space="0" w:color="auto"/>
              <w:right w:val="single" w:sz="4" w:space="0" w:color="auto"/>
            </w:tcBorders>
            <w:shd w:val="clear" w:color="auto" w:fill="auto"/>
            <w:vAlign w:val="center"/>
          </w:tcPr>
          <w:p w:rsidR="00693993" w:rsidRPr="00CD45D1" w:rsidP="00C94895" w14:paraId="12961717" w14:textId="1F9B12DB">
            <w:pPr>
              <w:jc w:val="center"/>
              <w:rPr>
                <w:sz w:val="20"/>
                <w:szCs w:val="20"/>
              </w:rPr>
            </w:pPr>
            <w:r w:rsidRPr="00CD45D1">
              <w:rPr>
                <w:color w:val="000000"/>
                <w:sz w:val="20"/>
                <w:szCs w:val="20"/>
              </w:rPr>
              <w:t>40</w:t>
            </w:r>
          </w:p>
        </w:tc>
        <w:tc>
          <w:tcPr>
            <w:tcW w:w="1065" w:type="dxa"/>
            <w:tcBorders>
              <w:top w:val="nil"/>
              <w:left w:val="nil"/>
              <w:bottom w:val="single" w:sz="4" w:space="0" w:color="auto"/>
              <w:right w:val="single" w:sz="4" w:space="0" w:color="auto"/>
            </w:tcBorders>
            <w:shd w:val="clear" w:color="auto" w:fill="auto"/>
            <w:vAlign w:val="center"/>
          </w:tcPr>
          <w:p w:rsidR="00693993" w:rsidRPr="00CD45D1" w:rsidP="00C94895" w14:paraId="23009118" w14:textId="17EE9993">
            <w:pPr>
              <w:jc w:val="center"/>
              <w:rPr>
                <w:sz w:val="20"/>
                <w:szCs w:val="20"/>
              </w:rPr>
            </w:pPr>
            <w:r w:rsidRPr="00CD45D1">
              <w:rPr>
                <w:color w:val="000000"/>
                <w:sz w:val="20"/>
                <w:szCs w:val="20"/>
              </w:rPr>
              <w:t>4,000</w:t>
            </w:r>
          </w:p>
        </w:tc>
        <w:tc>
          <w:tcPr>
            <w:tcW w:w="986" w:type="dxa"/>
            <w:tcBorders>
              <w:top w:val="nil"/>
              <w:left w:val="nil"/>
              <w:bottom w:val="single" w:sz="4" w:space="0" w:color="auto"/>
              <w:right w:val="single" w:sz="4" w:space="0" w:color="auto"/>
            </w:tcBorders>
            <w:shd w:val="clear" w:color="auto" w:fill="auto"/>
            <w:vAlign w:val="center"/>
          </w:tcPr>
          <w:p w:rsidR="00693993" w:rsidRPr="00CD45D1" w:rsidP="00C94895" w14:paraId="67CB00FC" w14:textId="13EDB319">
            <w:pPr>
              <w:jc w:val="center"/>
              <w:rPr>
                <w:sz w:val="20"/>
                <w:szCs w:val="20"/>
              </w:rPr>
            </w:pPr>
            <w:r w:rsidRPr="00CD45D1">
              <w:rPr>
                <w:color w:val="000000"/>
                <w:sz w:val="20"/>
                <w:szCs w:val="20"/>
              </w:rPr>
              <w:t>12</w:t>
            </w:r>
          </w:p>
        </w:tc>
        <w:tc>
          <w:tcPr>
            <w:tcW w:w="816" w:type="dxa"/>
            <w:tcBorders>
              <w:top w:val="nil"/>
              <w:left w:val="nil"/>
              <w:bottom w:val="single" w:sz="4" w:space="0" w:color="auto"/>
              <w:right w:val="single" w:sz="4" w:space="0" w:color="auto"/>
            </w:tcBorders>
            <w:shd w:val="clear" w:color="auto" w:fill="auto"/>
            <w:vAlign w:val="center"/>
          </w:tcPr>
          <w:p w:rsidR="00693993" w:rsidRPr="00CD45D1" w:rsidP="00C94895" w14:paraId="71F1B762" w14:textId="46D6D832">
            <w:pPr>
              <w:jc w:val="center"/>
              <w:rPr>
                <w:sz w:val="20"/>
                <w:szCs w:val="20"/>
              </w:rPr>
            </w:pPr>
            <w:r w:rsidRPr="00CD45D1">
              <w:rPr>
                <w:color w:val="000000"/>
                <w:sz w:val="20"/>
                <w:szCs w:val="20"/>
              </w:rPr>
              <w:t>48,000</w:t>
            </w:r>
          </w:p>
        </w:tc>
        <w:tc>
          <w:tcPr>
            <w:tcW w:w="789" w:type="dxa"/>
            <w:tcBorders>
              <w:top w:val="nil"/>
              <w:left w:val="single" w:sz="4" w:space="0" w:color="auto"/>
              <w:bottom w:val="single" w:sz="4" w:space="0" w:color="auto"/>
              <w:right w:val="single" w:sz="4" w:space="0" w:color="auto"/>
            </w:tcBorders>
            <w:shd w:val="clear" w:color="000000" w:fill="FFFFFF"/>
            <w:vAlign w:val="center"/>
          </w:tcPr>
          <w:p w:rsidR="00693993" w:rsidRPr="00CD45D1" w:rsidP="00C94895" w14:paraId="611523C2" w14:textId="37865CFE">
            <w:pPr>
              <w:jc w:val="center"/>
              <w:rPr>
                <w:sz w:val="20"/>
                <w:szCs w:val="20"/>
              </w:rPr>
            </w:pPr>
            <w:r>
              <w:rPr>
                <w:color w:val="000000"/>
                <w:sz w:val="20"/>
                <w:szCs w:val="20"/>
              </w:rPr>
              <w:t>$49.20</w:t>
            </w:r>
          </w:p>
        </w:tc>
        <w:tc>
          <w:tcPr>
            <w:tcW w:w="1166" w:type="dxa"/>
            <w:tcBorders>
              <w:top w:val="nil"/>
              <w:left w:val="nil"/>
              <w:bottom w:val="single" w:sz="4" w:space="0" w:color="auto"/>
              <w:right w:val="single" w:sz="4" w:space="0" w:color="auto"/>
            </w:tcBorders>
            <w:shd w:val="clear" w:color="auto" w:fill="auto"/>
            <w:vAlign w:val="center"/>
          </w:tcPr>
          <w:p w:rsidR="00693993" w:rsidRPr="00CD45D1" w:rsidP="00C94895" w14:paraId="0309BEBE" w14:textId="38AA45C7">
            <w:pPr>
              <w:jc w:val="center"/>
              <w:rPr>
                <w:sz w:val="20"/>
                <w:szCs w:val="20"/>
              </w:rPr>
            </w:pPr>
            <w:r>
              <w:rPr>
                <w:color w:val="000000"/>
                <w:sz w:val="20"/>
                <w:szCs w:val="20"/>
              </w:rPr>
              <w:t>$2,361,600</w:t>
            </w:r>
          </w:p>
        </w:tc>
      </w:tr>
      <w:tr w14:paraId="169ECDEE" w14:textId="77777777" w:rsidTr="00C94895">
        <w:tblPrEx>
          <w:tblW w:w="9817" w:type="dxa"/>
          <w:jc w:val="center"/>
          <w:tblLayout w:type="fixed"/>
          <w:tblLook w:val="04A0"/>
        </w:tblPrEx>
        <w:trPr>
          <w:jc w:val="center"/>
        </w:trPr>
        <w:tc>
          <w:tcPr>
            <w:tcW w:w="1223" w:type="dxa"/>
            <w:shd w:val="clear" w:color="auto" w:fill="FFFFFF" w:themeFill="background1"/>
            <w:vAlign w:val="center"/>
          </w:tcPr>
          <w:p w:rsidR="00BE1B26" w:rsidRPr="00CD45D1" w:rsidP="009C7B2B" w14:paraId="6D12F874" w14:textId="77777777">
            <w:pPr>
              <w:jc w:val="right"/>
              <w:rPr>
                <w:rFonts w:eastAsia="Calibri"/>
                <w:b/>
                <w:bCs/>
                <w:color w:val="000000" w:themeColor="text1"/>
                <w:sz w:val="20"/>
                <w:szCs w:val="20"/>
              </w:rPr>
            </w:pPr>
            <w:r w:rsidRPr="00CD45D1">
              <w:rPr>
                <w:rFonts w:eastAsia="Calibri"/>
                <w:b/>
                <w:bCs/>
                <w:color w:val="000000" w:themeColor="text1"/>
                <w:sz w:val="20"/>
                <w:szCs w:val="20"/>
              </w:rPr>
              <w:t>Total</w:t>
            </w:r>
          </w:p>
        </w:tc>
        <w:tc>
          <w:tcPr>
            <w:tcW w:w="1747" w:type="dxa"/>
            <w:shd w:val="clear" w:color="auto" w:fill="000000" w:themeFill="text1"/>
            <w:vAlign w:val="center"/>
          </w:tcPr>
          <w:p w:rsidR="00BE1B26" w:rsidRPr="00CD45D1" w:rsidP="009C7B2B" w14:paraId="0BD27567" w14:textId="77777777">
            <w:pPr>
              <w:jc w:val="right"/>
              <w:rPr>
                <w:rFonts w:eastAsia="Calibri"/>
                <w:b/>
                <w:bCs/>
                <w:color w:val="000000" w:themeColor="text1"/>
                <w:sz w:val="20"/>
                <w:szCs w:val="20"/>
              </w:rPr>
            </w:pPr>
          </w:p>
        </w:tc>
        <w:tc>
          <w:tcPr>
            <w:tcW w:w="859" w:type="dxa"/>
            <w:vAlign w:val="center"/>
          </w:tcPr>
          <w:p w:rsidR="00BE1B26" w:rsidRPr="00C94895" w:rsidP="00C94895" w14:paraId="23EE9C41" w14:textId="2E91331B">
            <w:pPr>
              <w:jc w:val="center"/>
              <w:rPr>
                <w:rFonts w:eastAsia="Calibri"/>
                <w:b/>
                <w:bCs/>
                <w:sz w:val="20"/>
                <w:szCs w:val="20"/>
              </w:rPr>
            </w:pPr>
            <w:r w:rsidRPr="00C94895">
              <w:rPr>
                <w:rFonts w:eastAsia="Calibri"/>
                <w:b/>
                <w:bCs/>
                <w:sz w:val="20"/>
                <w:szCs w:val="20"/>
              </w:rPr>
              <w:t>102</w:t>
            </w:r>
          </w:p>
        </w:tc>
        <w:tc>
          <w:tcPr>
            <w:tcW w:w="1166" w:type="dxa"/>
            <w:shd w:val="clear" w:color="auto" w:fill="000000"/>
            <w:vAlign w:val="center"/>
          </w:tcPr>
          <w:p w:rsidR="00BE1B26" w:rsidRPr="00C94895" w:rsidP="00C94895" w14:paraId="13ED270F" w14:textId="77777777">
            <w:pPr>
              <w:jc w:val="center"/>
              <w:rPr>
                <w:rFonts w:eastAsia="Calibri"/>
                <w:b/>
                <w:bCs/>
                <w:sz w:val="20"/>
                <w:szCs w:val="20"/>
              </w:rPr>
            </w:pPr>
          </w:p>
        </w:tc>
        <w:tc>
          <w:tcPr>
            <w:tcW w:w="1065" w:type="dxa"/>
            <w:vAlign w:val="center"/>
          </w:tcPr>
          <w:p w:rsidR="00BE1B26" w:rsidRPr="00C94895" w:rsidP="00C94895" w14:paraId="0C001BD5" w14:textId="43C9D0CB">
            <w:pPr>
              <w:jc w:val="center"/>
              <w:rPr>
                <w:rFonts w:eastAsia="Calibri"/>
                <w:b/>
                <w:bCs/>
                <w:sz w:val="20"/>
                <w:szCs w:val="20"/>
              </w:rPr>
            </w:pPr>
            <w:r w:rsidRPr="00C94895">
              <w:rPr>
                <w:rFonts w:eastAsia="Calibri"/>
                <w:b/>
                <w:bCs/>
                <w:sz w:val="20"/>
                <w:szCs w:val="20"/>
              </w:rPr>
              <w:t>4,002</w:t>
            </w:r>
          </w:p>
        </w:tc>
        <w:tc>
          <w:tcPr>
            <w:tcW w:w="986" w:type="dxa"/>
            <w:shd w:val="clear" w:color="auto" w:fill="000000"/>
            <w:vAlign w:val="center"/>
          </w:tcPr>
          <w:p w:rsidR="00BE1B26" w:rsidRPr="00C94895" w:rsidP="00C94895" w14:paraId="7B386263" w14:textId="77777777">
            <w:pPr>
              <w:jc w:val="center"/>
              <w:rPr>
                <w:rFonts w:eastAsia="Calibri"/>
                <w:b/>
                <w:bCs/>
                <w:sz w:val="20"/>
                <w:szCs w:val="20"/>
              </w:rPr>
            </w:pPr>
          </w:p>
        </w:tc>
        <w:tc>
          <w:tcPr>
            <w:tcW w:w="816" w:type="dxa"/>
            <w:vAlign w:val="center"/>
          </w:tcPr>
          <w:p w:rsidR="00BE1B26" w:rsidRPr="00C94895" w:rsidP="00C94895" w14:paraId="3D237005" w14:textId="2B160B9E">
            <w:pPr>
              <w:jc w:val="center"/>
              <w:rPr>
                <w:rFonts w:eastAsia="Calibri"/>
                <w:b/>
                <w:bCs/>
                <w:sz w:val="20"/>
                <w:szCs w:val="20"/>
              </w:rPr>
            </w:pPr>
            <w:r w:rsidRPr="00C94895">
              <w:rPr>
                <w:rFonts w:eastAsia="Calibri"/>
                <w:b/>
                <w:bCs/>
                <w:sz w:val="20"/>
                <w:szCs w:val="20"/>
              </w:rPr>
              <w:t>48,002</w:t>
            </w:r>
          </w:p>
        </w:tc>
        <w:tc>
          <w:tcPr>
            <w:tcW w:w="789" w:type="dxa"/>
            <w:shd w:val="clear" w:color="auto" w:fill="000000"/>
            <w:vAlign w:val="center"/>
          </w:tcPr>
          <w:p w:rsidR="00BE1B26" w:rsidRPr="00C94895" w:rsidP="00C94895" w14:paraId="138D33A1" w14:textId="77777777">
            <w:pPr>
              <w:jc w:val="center"/>
              <w:rPr>
                <w:rFonts w:eastAsia="Calibri"/>
                <w:b/>
                <w:bCs/>
                <w:sz w:val="20"/>
                <w:szCs w:val="20"/>
              </w:rPr>
            </w:pPr>
          </w:p>
        </w:tc>
        <w:tc>
          <w:tcPr>
            <w:tcW w:w="1166" w:type="dxa"/>
            <w:vAlign w:val="center"/>
          </w:tcPr>
          <w:p w:rsidR="00BE1B26" w:rsidRPr="00C94895" w:rsidP="00C94895" w14:paraId="2B0269BA" w14:textId="6C7026F1">
            <w:pPr>
              <w:jc w:val="center"/>
              <w:rPr>
                <w:rFonts w:eastAsia="Calibri"/>
                <w:b/>
                <w:bCs/>
                <w:sz w:val="20"/>
                <w:szCs w:val="20"/>
              </w:rPr>
            </w:pPr>
            <w:r w:rsidRPr="00C94895">
              <w:rPr>
                <w:b/>
                <w:bCs/>
                <w:sz w:val="20"/>
                <w:szCs w:val="20"/>
              </w:rPr>
              <w:t>$</w:t>
            </w:r>
            <w:r w:rsidRPr="00C94895" w:rsidR="00693993">
              <w:rPr>
                <w:b/>
                <w:bCs/>
                <w:sz w:val="20"/>
                <w:szCs w:val="20"/>
              </w:rPr>
              <w:t>2,361,</w:t>
            </w:r>
            <w:r w:rsidRPr="00C94895" w:rsidR="00D35AD6">
              <w:rPr>
                <w:b/>
                <w:bCs/>
                <w:sz w:val="20"/>
                <w:szCs w:val="20"/>
              </w:rPr>
              <w:t>698</w:t>
            </w:r>
          </w:p>
        </w:tc>
      </w:tr>
    </w:tbl>
    <w:p w:rsidR="008B72DE" w:rsidRPr="006A4AF3" w:rsidP="009222C1" w14:paraId="78714BF1" w14:textId="77777777">
      <w:pPr>
        <w:spacing w:line="276" w:lineRule="auto"/>
        <w:contextualSpacing/>
        <w:rPr>
          <w:b/>
          <w:bCs/>
          <w:color w:val="000000" w:themeColor="text1"/>
        </w:rPr>
      </w:pPr>
    </w:p>
    <w:p w:rsidR="005F1347" w:rsidRPr="00AD6EF4" w:rsidP="005F1347" w14:paraId="3924989C" w14:textId="767A5614">
      <w:pPr>
        <w:tabs>
          <w:tab w:val="left" w:pos="-720"/>
        </w:tabs>
        <w:suppressAutoHyphens/>
      </w:pPr>
      <w:r w:rsidRPr="00AD6EF4">
        <w:rPr>
          <w:b/>
        </w:rPr>
        <w:t>Instruction for Wage-rate category multiplier:  Take each non-loaded “Avg. Hourly Wage Rate” from the BLS website table and multiply that number by 1.</w:t>
      </w:r>
      <w:r>
        <w:rPr>
          <w:b/>
        </w:rPr>
        <w:t>61</w:t>
      </w:r>
      <w:r w:rsidRPr="00AD6EF4">
        <w:rPr>
          <w:b/>
        </w:rPr>
        <w:t>.  For example, a non-loaded BLS table wage rate of $42.51 would be multiplied by 1.</w:t>
      </w:r>
      <w:r w:rsidR="00E769DE">
        <w:rPr>
          <w:b/>
        </w:rPr>
        <w:t>61</w:t>
      </w:r>
      <w:r w:rsidRPr="00AD6EF4">
        <w:rPr>
          <w:b/>
        </w:rPr>
        <w:t>, and the entry for the “Avg. Hourly Wage Rate” would be $6</w:t>
      </w:r>
      <w:r w:rsidR="000764F2">
        <w:rPr>
          <w:b/>
        </w:rPr>
        <w:t>8.44</w:t>
      </w:r>
      <w:r w:rsidRPr="00AD6EF4">
        <w:rPr>
          <w:b/>
        </w:rPr>
        <w:t>.</w:t>
      </w:r>
    </w:p>
    <w:p w:rsidR="008B72DE" w:rsidRPr="006A4AF3" w:rsidP="007B48AE" w14:paraId="57B15340" w14:textId="77777777">
      <w:pPr>
        <w:tabs>
          <w:tab w:val="left" w:pos="-720"/>
        </w:tabs>
        <w:suppressAutoHyphens/>
        <w:spacing w:line="276" w:lineRule="auto"/>
        <w:contextualSpacing/>
      </w:pPr>
    </w:p>
    <w:p w:rsidR="00936E2C" w:rsidRPr="006A4AF3" w:rsidP="007B48AE" w14:paraId="2B6D7E5B" w14:textId="37B8B539">
      <w:pPr>
        <w:tabs>
          <w:tab w:val="left" w:pos="-720"/>
        </w:tabs>
        <w:suppressAutoHyphens/>
        <w:spacing w:line="276" w:lineRule="auto"/>
        <w:contextualSpacing/>
      </w:pPr>
      <w:r w:rsidRPr="006A4AF3">
        <w:t>According to the U.S. Department of Labor, Bureau of Labor Statistics, the May 202</w:t>
      </w:r>
      <w:r w:rsidR="00600E66">
        <w:t>3</w:t>
      </w:r>
      <w:r w:rsidRPr="006A4AF3">
        <w:t xml:space="preserve"> Occupational Employment and Wage Estimates mean wage rate for Community and Social Service Occupations (SOC 21-0000)</w:t>
      </w:r>
      <w:r w:rsidR="00600E66">
        <w:t xml:space="preserve"> in the local government</w:t>
      </w:r>
      <w:r w:rsidRPr="006A4AF3">
        <w:t xml:space="preserve"> is </w:t>
      </w:r>
      <w:r w:rsidRPr="006A4AF3" w:rsidR="002D50D1">
        <w:t>$</w:t>
      </w:r>
      <w:r w:rsidR="00600E66">
        <w:t xml:space="preserve">30.56 </w:t>
      </w:r>
      <w:r w:rsidRPr="006A4AF3">
        <w:t>per hour.</w:t>
      </w:r>
      <w:r>
        <w:rPr>
          <w:rStyle w:val="FootnoteReference"/>
        </w:rPr>
        <w:footnoteReference w:id="4"/>
      </w:r>
      <w:r w:rsidR="00777FB2">
        <w:t xml:space="preserve"> </w:t>
      </w:r>
      <w:r w:rsidRPr="006A4AF3">
        <w:t xml:space="preserve">  Including the wage rate </w:t>
      </w:r>
      <w:r w:rsidRPr="006A4AF3">
        <w:t>multiplier of 1.61, the fully-loaded wage rate is $</w:t>
      </w:r>
      <w:r w:rsidRPr="006A4AF3" w:rsidR="00BB24D6">
        <w:t>4</w:t>
      </w:r>
      <w:r w:rsidR="00CF4D8C">
        <w:t>9.20</w:t>
      </w:r>
      <w:r w:rsidRPr="006A4AF3">
        <w:t xml:space="preserve"> per hour.  Therefore, the</w:t>
      </w:r>
      <w:r w:rsidRPr="006A4AF3">
        <w:t xml:space="preserve"> </w:t>
      </w:r>
      <w:r w:rsidRPr="006A4AF3">
        <w:t>burden hour cost is estimated to be $</w:t>
      </w:r>
      <w:r w:rsidR="00885334">
        <w:t>2,</w:t>
      </w:r>
      <w:r w:rsidR="001A3B71">
        <w:t>361,698</w:t>
      </w:r>
      <w:r w:rsidRPr="006A4AF3" w:rsidR="000F0763">
        <w:t xml:space="preserve"> </w:t>
      </w:r>
      <w:r w:rsidRPr="006A4AF3">
        <w:t>annually ($</w:t>
      </w:r>
      <w:r w:rsidR="001A3B71">
        <w:t>49.20</w:t>
      </w:r>
      <w:r w:rsidRPr="006A4AF3">
        <w:t xml:space="preserve"> </w:t>
      </w:r>
      <w:r w:rsidR="00DD18A1">
        <w:t>×</w:t>
      </w:r>
      <w:r w:rsidR="0033634B">
        <w:t xml:space="preserve"> </w:t>
      </w:r>
      <w:r w:rsidR="00442BDA">
        <w:t>48,002</w:t>
      </w:r>
      <w:r w:rsidRPr="006A4AF3">
        <w:t>).</w:t>
      </w:r>
    </w:p>
    <w:p w:rsidR="008B7FAC" w:rsidRPr="006A4AF3" w:rsidP="007B48AE" w14:paraId="6C25DC47" w14:textId="7B4C5EFC">
      <w:pPr>
        <w:tabs>
          <w:tab w:val="left" w:pos="-720"/>
        </w:tabs>
        <w:suppressAutoHyphens/>
        <w:spacing w:line="276" w:lineRule="auto"/>
        <w:contextualSpacing/>
        <w:rPr>
          <w:rFonts w:eastAsia="Calibri" w:cs="Arial"/>
        </w:rPr>
      </w:pPr>
    </w:p>
    <w:p w:rsidR="003E5114" w:rsidRPr="006A4AF3" w:rsidP="007B48AE" w14:paraId="0D0CACA6" w14:textId="1DC255BE">
      <w:pPr>
        <w:spacing w:line="276" w:lineRule="auto"/>
        <w:contextualSpacing/>
        <w:rPr>
          <w:b/>
          <w:bCs/>
        </w:rPr>
      </w:pPr>
      <w:r w:rsidRPr="006A4AF3">
        <w:rPr>
          <w:b/>
          <w:bCs/>
          <w:color w:val="000000" w:themeColor="text1"/>
        </w:rPr>
        <w:t xml:space="preserve">13.  </w:t>
      </w:r>
      <w:r w:rsidRPr="006A4AF3">
        <w:rPr>
          <w:b/>
          <w:bCs/>
        </w:rPr>
        <w:t xml:space="preserve">Provide an estimate of the total annual cost burden to respondents or recordkeepers resulting from the collection of information.  The cost of purchasing or contracting out information collection services should be a part of this cost </w:t>
      </w:r>
      <w:r w:rsidRPr="006A4AF3">
        <w:rPr>
          <w:b/>
          <w:bCs/>
        </w:rPr>
        <w:t>burden estimate.  (Do not include the cost of any hour burden shown in Items 12 and 14.)</w:t>
      </w:r>
    </w:p>
    <w:p w:rsidR="003E5114" w:rsidP="007B48AE" w14:paraId="3A481EC4" w14:textId="0AA70A6D">
      <w:pPr>
        <w:spacing w:line="276" w:lineRule="auto"/>
        <w:contextualSpacing/>
      </w:pPr>
    </w:p>
    <w:tbl>
      <w:tblPr>
        <w:tblStyle w:val="TableGrid1"/>
        <w:tblW w:w="0" w:type="auto"/>
        <w:jc w:val="center"/>
        <w:tblLook w:val="04A0"/>
      </w:tblPr>
      <w:tblGrid>
        <w:gridCol w:w="1835"/>
        <w:gridCol w:w="1618"/>
        <w:gridCol w:w="1971"/>
        <w:gridCol w:w="1618"/>
        <w:gridCol w:w="1588"/>
      </w:tblGrid>
      <w:tr w14:paraId="69DFF714" w14:textId="77777777" w:rsidTr="00C94895">
        <w:tblPrEx>
          <w:tblW w:w="0" w:type="auto"/>
          <w:jc w:val="center"/>
          <w:tblLook w:val="04A0"/>
        </w:tblPrEx>
        <w:trPr>
          <w:jc w:val="center"/>
        </w:trPr>
        <w:tc>
          <w:tcPr>
            <w:tcW w:w="9350" w:type="dxa"/>
            <w:gridSpan w:val="5"/>
            <w:shd w:val="clear" w:color="auto" w:fill="9CC2E5" w:themeFill="accent1" w:themeFillTint="99"/>
          </w:tcPr>
          <w:p w:rsidR="00D21AE4" w:rsidRPr="008D1279" w:rsidP="00540D41" w14:paraId="5C3EA229" w14:textId="77777777">
            <w:pPr>
              <w:keepNext/>
              <w:jc w:val="center"/>
              <w:rPr>
                <w:rFonts w:ascii="Times New Roman" w:eastAsia="Calibri" w:hAnsi="Times New Roman" w:cs="Times New Roman"/>
                <w:b/>
                <w:sz w:val="20"/>
                <w:szCs w:val="20"/>
              </w:rPr>
            </w:pPr>
            <w:bookmarkStart w:id="2" w:name="_Hlk30754312"/>
            <w:r w:rsidRPr="008D1279">
              <w:rPr>
                <w:rFonts w:ascii="Times New Roman" w:eastAsia="Calibri" w:hAnsi="Times New Roman" w:cs="Times New Roman"/>
                <w:b/>
                <w:sz w:val="20"/>
                <w:szCs w:val="20"/>
              </w:rPr>
              <w:t>Annual Cost Burden to Respondents or Recordkeepers</w:t>
            </w:r>
          </w:p>
        </w:tc>
      </w:tr>
      <w:tr w14:paraId="0447F12A" w14:textId="77777777" w:rsidTr="00C94895">
        <w:tblPrEx>
          <w:tblW w:w="0" w:type="auto"/>
          <w:jc w:val="center"/>
          <w:tblLook w:val="04A0"/>
        </w:tblPrEx>
        <w:trPr>
          <w:jc w:val="center"/>
        </w:trPr>
        <w:tc>
          <w:tcPr>
            <w:tcW w:w="1866" w:type="dxa"/>
            <w:shd w:val="clear" w:color="auto" w:fill="9CC2E5" w:themeFill="accent1" w:themeFillTint="99"/>
            <w:vAlign w:val="center"/>
          </w:tcPr>
          <w:p w:rsidR="00D21AE4" w:rsidRPr="008D1279" w:rsidP="00540D41" w14:paraId="5016A197"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Data Collection Activity/Instrument</w:t>
            </w:r>
          </w:p>
        </w:tc>
        <w:tc>
          <w:tcPr>
            <w:tcW w:w="1839" w:type="dxa"/>
            <w:shd w:val="clear" w:color="auto" w:fill="9CC2E5" w:themeFill="accent1" w:themeFillTint="99"/>
            <w:vAlign w:val="center"/>
          </w:tcPr>
          <w:p w:rsidR="00D21AE4" w:rsidRPr="008D1279" w:rsidP="00540D41" w14:paraId="0F420A34" w14:textId="77777777">
            <w:pPr>
              <w:keepNext/>
              <w:rPr>
                <w:rFonts w:ascii="Times New Roman" w:eastAsia="Calibri" w:hAnsi="Times New Roman" w:cs="Times New Roman"/>
                <w:sz w:val="20"/>
                <w:szCs w:val="20"/>
              </w:rPr>
            </w:pPr>
            <w:r w:rsidRPr="2DE15F52">
              <w:rPr>
                <w:rFonts w:ascii="Times New Roman" w:eastAsia="Calibri" w:hAnsi="Times New Roman" w:cs="Times New Roman"/>
                <w:sz w:val="20"/>
                <w:szCs w:val="20"/>
              </w:rPr>
              <w:t>*Annual Capital Start-Up Cost (investments in overhead, equipment, and other one-time expenditures)</w:t>
            </w:r>
          </w:p>
        </w:tc>
        <w:tc>
          <w:tcPr>
            <w:tcW w:w="1971" w:type="dxa"/>
            <w:shd w:val="clear" w:color="auto" w:fill="9CC2E5" w:themeFill="accent1" w:themeFillTint="99"/>
            <w:vAlign w:val="center"/>
          </w:tcPr>
          <w:p w:rsidR="00D21AE4" w:rsidRPr="008D1279" w:rsidP="00540D41" w14:paraId="738E3964"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Operations and Maintenance Costs (such as recordkeeping, technical/professional services, etc.)</w:t>
            </w:r>
          </w:p>
        </w:tc>
        <w:tc>
          <w:tcPr>
            <w:tcW w:w="1839" w:type="dxa"/>
            <w:shd w:val="clear" w:color="auto" w:fill="9CC2E5" w:themeFill="accent1" w:themeFillTint="99"/>
            <w:vAlign w:val="center"/>
          </w:tcPr>
          <w:p w:rsidR="00D21AE4" w:rsidRPr="008D1279" w:rsidP="00540D41" w14:paraId="323C9CA0"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Non-Labor Cost (expenditures on training, travel, and other resources)</w:t>
            </w:r>
          </w:p>
        </w:tc>
        <w:tc>
          <w:tcPr>
            <w:tcW w:w="1835" w:type="dxa"/>
            <w:shd w:val="clear" w:color="auto" w:fill="9CC2E5" w:themeFill="accent1" w:themeFillTint="99"/>
            <w:vAlign w:val="center"/>
          </w:tcPr>
          <w:p w:rsidR="00D21AE4" w:rsidRPr="008D1279" w:rsidP="00540D41" w14:paraId="5A518429"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Total Annual Cost to Respondents</w:t>
            </w:r>
          </w:p>
        </w:tc>
      </w:tr>
      <w:tr w14:paraId="5F0AB95C" w14:textId="77777777" w:rsidTr="00C94895">
        <w:tblPrEx>
          <w:tblW w:w="0" w:type="auto"/>
          <w:jc w:val="center"/>
          <w:tblLook w:val="04A0"/>
        </w:tblPrEx>
        <w:trPr>
          <w:jc w:val="center"/>
        </w:trPr>
        <w:tc>
          <w:tcPr>
            <w:tcW w:w="1866" w:type="dxa"/>
          </w:tcPr>
          <w:p w:rsidR="00D21AE4" w:rsidRPr="008D1279" w:rsidP="00540D41" w14:paraId="56FB8AAF"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[Form Name/#]</w:t>
            </w:r>
          </w:p>
        </w:tc>
        <w:tc>
          <w:tcPr>
            <w:tcW w:w="1839" w:type="dxa"/>
            <w:vAlign w:val="center"/>
          </w:tcPr>
          <w:p w:rsidR="00D21AE4" w:rsidRPr="008D1279" w:rsidP="00540D41" w14:paraId="0B043EC8" w14:textId="77777777">
            <w:pPr>
              <w:keepNext/>
              <w:jc w:val="right"/>
              <w:rPr>
                <w:rFonts w:ascii="Times New Roman" w:eastAsia="Calibri" w:hAnsi="Times New Roman" w:cs="Times New Roman"/>
                <w:sz w:val="20"/>
                <w:szCs w:val="20"/>
              </w:rPr>
            </w:pPr>
          </w:p>
        </w:tc>
        <w:tc>
          <w:tcPr>
            <w:tcW w:w="1971" w:type="dxa"/>
            <w:vAlign w:val="center"/>
          </w:tcPr>
          <w:p w:rsidR="00D21AE4" w:rsidRPr="008D1279" w:rsidP="00540D41" w14:paraId="3CE94504" w14:textId="77777777">
            <w:pPr>
              <w:keepNext/>
              <w:jc w:val="right"/>
              <w:rPr>
                <w:rFonts w:ascii="Times New Roman" w:eastAsia="Calibri" w:hAnsi="Times New Roman" w:cs="Times New Roman"/>
                <w:sz w:val="20"/>
                <w:szCs w:val="20"/>
              </w:rPr>
            </w:pPr>
          </w:p>
        </w:tc>
        <w:tc>
          <w:tcPr>
            <w:tcW w:w="1839" w:type="dxa"/>
            <w:vAlign w:val="center"/>
          </w:tcPr>
          <w:p w:rsidR="00D21AE4" w:rsidRPr="008D1279" w:rsidP="00540D41" w14:paraId="5C09736F" w14:textId="77777777">
            <w:pPr>
              <w:keepNext/>
              <w:jc w:val="right"/>
              <w:rPr>
                <w:rFonts w:ascii="Times New Roman" w:eastAsia="Calibri" w:hAnsi="Times New Roman" w:cs="Times New Roman"/>
                <w:sz w:val="20"/>
                <w:szCs w:val="20"/>
              </w:rPr>
            </w:pPr>
          </w:p>
        </w:tc>
        <w:tc>
          <w:tcPr>
            <w:tcW w:w="1835" w:type="dxa"/>
            <w:vAlign w:val="center"/>
          </w:tcPr>
          <w:p w:rsidR="00D21AE4" w:rsidRPr="008D1279" w:rsidP="00540D41" w14:paraId="719E4003" w14:textId="77777777">
            <w:pPr>
              <w:keepNext/>
              <w:jc w:val="right"/>
              <w:rPr>
                <w:rFonts w:ascii="Times New Roman" w:eastAsia="Calibri" w:hAnsi="Times New Roman" w:cs="Times New Roman"/>
                <w:sz w:val="20"/>
                <w:szCs w:val="20"/>
              </w:rPr>
            </w:pPr>
          </w:p>
        </w:tc>
      </w:tr>
      <w:tr w14:paraId="6F59B0F8" w14:textId="77777777" w:rsidTr="00C94895">
        <w:tblPrEx>
          <w:tblW w:w="0" w:type="auto"/>
          <w:jc w:val="center"/>
          <w:tblLook w:val="04A0"/>
        </w:tblPrEx>
        <w:trPr>
          <w:jc w:val="center"/>
        </w:trPr>
        <w:tc>
          <w:tcPr>
            <w:tcW w:w="1866" w:type="dxa"/>
          </w:tcPr>
          <w:p w:rsidR="00D21AE4" w:rsidRPr="008D1279" w:rsidP="00540D41" w14:paraId="3975EB71" w14:textId="77777777">
            <w:pPr>
              <w:keepNext/>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839" w:type="dxa"/>
            <w:vAlign w:val="center"/>
          </w:tcPr>
          <w:p w:rsidR="00D21AE4" w:rsidRPr="008D1279" w:rsidP="00540D41" w14:paraId="7BD632E7"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971" w:type="dxa"/>
            <w:vAlign w:val="center"/>
          </w:tcPr>
          <w:p w:rsidR="00D21AE4" w:rsidRPr="008D1279" w:rsidP="00540D41" w14:paraId="636BB47D"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39" w:type="dxa"/>
            <w:vAlign w:val="center"/>
          </w:tcPr>
          <w:p w:rsidR="00D21AE4" w:rsidRPr="008D1279" w:rsidP="00540D41" w14:paraId="35F800E5"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35" w:type="dxa"/>
            <w:vAlign w:val="center"/>
          </w:tcPr>
          <w:p w:rsidR="00D21AE4" w:rsidRPr="008D1279" w:rsidP="00540D41" w14:paraId="064710BC"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tbl>
    <w:p w:rsidR="003E5114" w:rsidRPr="007B48AE" w:rsidP="007B48AE" w14:paraId="7177B5CC" w14:textId="77777777">
      <w:pPr>
        <w:spacing w:line="276" w:lineRule="auto"/>
      </w:pPr>
      <w:bookmarkStart w:id="3" w:name="_MON_1464598729"/>
      <w:bookmarkEnd w:id="2"/>
      <w:bookmarkEnd w:id="3"/>
    </w:p>
    <w:p w:rsidR="003E5114" w:rsidRPr="007B48AE" w:rsidP="007B48AE" w14:paraId="7BD12376" w14:textId="77777777">
      <w:pPr>
        <w:pStyle w:val="ListParagraph"/>
        <w:spacing w:line="276" w:lineRule="auto"/>
        <w:rPr>
          <w:b/>
          <w:bCs/>
        </w:rPr>
      </w:pPr>
      <w:r w:rsidRPr="007B48AE">
        <w:rPr>
          <w:b/>
          <w:bCs/>
        </w:rPr>
        <w:t>The cost estimates should be split into two components:</w:t>
      </w:r>
    </w:p>
    <w:p w:rsidR="003E5114" w:rsidRPr="007B48AE" w:rsidP="007B48AE" w14:paraId="214A530A" w14:textId="77777777">
      <w:pPr>
        <w:spacing w:line="276" w:lineRule="auto"/>
        <w:contextualSpacing/>
      </w:pPr>
    </w:p>
    <w:p w:rsidR="003E5114" w:rsidRPr="007B48AE" w:rsidP="007B48AE" w14:paraId="3B607323" w14:textId="77777777">
      <w:pPr>
        <w:pStyle w:val="ListParagraph"/>
        <w:numPr>
          <w:ilvl w:val="1"/>
          <w:numId w:val="25"/>
        </w:numPr>
        <w:spacing w:line="276" w:lineRule="auto"/>
        <w:ind w:left="720"/>
      </w:pPr>
      <w:r w:rsidRPr="007B48AE">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rsidRPr="007B48AE">
        <w:t>.</w:t>
      </w:r>
    </w:p>
    <w:p w:rsidR="003E5114" w:rsidRPr="007B48AE" w:rsidP="007B48AE" w14:paraId="7E2DCAA5" w14:textId="0176BCEA">
      <w:pPr>
        <w:spacing w:line="276" w:lineRule="auto"/>
        <w:contextualSpacing/>
      </w:pPr>
    </w:p>
    <w:p w:rsidR="003E5114" w:rsidRPr="007B48AE" w:rsidP="007B48AE" w14:paraId="4339FD74" w14:textId="0E891E2E">
      <w:pPr>
        <w:spacing w:line="276" w:lineRule="auto"/>
        <w:contextualSpacing/>
      </w:pPr>
      <w:r w:rsidRPr="007B48AE">
        <w:t>There are no operation or maintenance costs associated with this collection.</w:t>
      </w:r>
    </w:p>
    <w:p w:rsidR="003E5114" w:rsidRPr="007B48AE" w:rsidP="007B48AE" w14:paraId="215D417B" w14:textId="77777777">
      <w:pPr>
        <w:spacing w:line="276" w:lineRule="auto"/>
        <w:contextualSpacing/>
      </w:pPr>
    </w:p>
    <w:p w:rsidR="003E5114" w:rsidRPr="007B48AE" w:rsidP="007B48AE" w14:paraId="3DC42057" w14:textId="11A5D498">
      <w:pPr>
        <w:pStyle w:val="ListParagraph"/>
        <w:numPr>
          <w:ilvl w:val="1"/>
          <w:numId w:val="25"/>
        </w:numPr>
        <w:spacing w:line="276" w:lineRule="auto"/>
        <w:ind w:left="720"/>
        <w:rPr>
          <w:b/>
          <w:bCs/>
        </w:rPr>
      </w:pPr>
      <w:r w:rsidRPr="007B48AE">
        <w:rPr>
          <w:b/>
          <w:bCs/>
        </w:rPr>
        <w:t>Capital and Start-Up Cost should include, among other items, preparations for collecting information such as purchasing computers and software, monitoring sampling, drilling and testing equipment, and record storge facilities.</w:t>
      </w:r>
    </w:p>
    <w:p w:rsidR="003E5114" w:rsidRPr="007B48AE" w:rsidP="007B48AE" w14:paraId="21D97495" w14:textId="73D07D12">
      <w:pPr>
        <w:spacing w:line="276" w:lineRule="auto"/>
        <w:contextualSpacing/>
      </w:pPr>
    </w:p>
    <w:p w:rsidR="003E5114" w:rsidRPr="007B48AE" w:rsidP="007B48AE" w14:paraId="205AFDFF" w14:textId="019D4D31">
      <w:pPr>
        <w:spacing w:line="276" w:lineRule="auto"/>
        <w:contextualSpacing/>
      </w:pPr>
      <w:r w:rsidRPr="007B48AE">
        <w:t>There are no capital or start-up costs associated with this collection.</w:t>
      </w:r>
    </w:p>
    <w:p w:rsidR="003E5114" w:rsidRPr="007B48AE" w:rsidP="007B48AE" w14:paraId="18CA09BB" w14:textId="77777777">
      <w:pPr>
        <w:spacing w:line="276" w:lineRule="auto"/>
        <w:contextualSpacing/>
      </w:pPr>
    </w:p>
    <w:p w:rsidR="00842E74" w:rsidRPr="007B48AE" w:rsidP="007B48AE" w14:paraId="5DC6A138" w14:textId="47E4A565">
      <w:pPr>
        <w:spacing w:line="276" w:lineRule="auto"/>
        <w:contextualSpacing/>
        <w:rPr>
          <w:color w:val="000000" w:themeColor="text1"/>
        </w:rPr>
      </w:pPr>
      <w:r w:rsidRPr="007B48AE">
        <w:rPr>
          <w:b/>
          <w:bCs/>
          <w:color w:val="000000" w:themeColor="text1"/>
        </w:rPr>
        <w:t xml:space="preserve">14. Provide estimates of annualized cost to the </w:t>
      </w:r>
      <w:r w:rsidR="00C030F4">
        <w:rPr>
          <w:b/>
          <w:bCs/>
          <w:color w:val="000000" w:themeColor="text1"/>
        </w:rPr>
        <w:t>F</w:t>
      </w:r>
      <w:r w:rsidRPr="007B48AE">
        <w:rPr>
          <w:b/>
          <w:bCs/>
          <w:color w:val="000000" w:themeColor="text1"/>
        </w:rPr>
        <w:t xml:space="preserve">ederal </w:t>
      </w:r>
      <w:r w:rsidR="00C030F4">
        <w:rPr>
          <w:b/>
          <w:bCs/>
          <w:color w:val="000000" w:themeColor="text1"/>
        </w:rPr>
        <w:t>G</w:t>
      </w:r>
      <w:r w:rsidRPr="007B48AE">
        <w:rPr>
          <w:b/>
          <w:bCs/>
          <w:color w:val="000000" w:themeColor="text1"/>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E0303F" w14:paraId="7DD96B5B" w14:textId="740A2EEB">
      <w:pPr>
        <w:rPr>
          <w:b/>
          <w:bCs/>
        </w:rPr>
      </w:pPr>
      <w:r>
        <w:rPr>
          <w:b/>
          <w:bCs/>
        </w:rPr>
        <w:br w:type="page"/>
      </w:r>
    </w:p>
    <w:p w:rsidR="00934767" w:rsidP="00D726A2" w14:paraId="45B6E661" w14:textId="77777777">
      <w:pPr>
        <w:spacing w:line="276" w:lineRule="auto"/>
        <w:contextualSpacing/>
        <w:rPr>
          <w:b/>
          <w:bCs/>
        </w:rPr>
      </w:pPr>
    </w:p>
    <w:tbl>
      <w:tblPr>
        <w:tblStyle w:val="TableGrid2"/>
        <w:tblW w:w="9085" w:type="dxa"/>
        <w:jc w:val="center"/>
        <w:tblLayout w:type="fixed"/>
        <w:tblLook w:val="04A0"/>
      </w:tblPr>
      <w:tblGrid>
        <w:gridCol w:w="7375"/>
        <w:gridCol w:w="1710"/>
      </w:tblGrid>
      <w:tr w14:paraId="609BA11E" w14:textId="77777777" w:rsidTr="00C94895">
        <w:tblPrEx>
          <w:tblW w:w="9085" w:type="dxa"/>
          <w:jc w:val="center"/>
          <w:tblLayout w:type="fixed"/>
          <w:tblLook w:val="04A0"/>
        </w:tblPrEx>
        <w:trPr>
          <w:jc w:val="center"/>
        </w:trPr>
        <w:tc>
          <w:tcPr>
            <w:tcW w:w="9085" w:type="dxa"/>
            <w:gridSpan w:val="2"/>
            <w:shd w:val="clear" w:color="auto" w:fill="9CC2E5" w:themeFill="accent1" w:themeFillTint="99"/>
          </w:tcPr>
          <w:p w:rsidR="00FB61EE" w:rsidRPr="006044D5" w:rsidP="00540D41" w14:paraId="2C44A5DC" w14:textId="77777777">
            <w:pPr>
              <w:jc w:val="center"/>
              <w:rPr>
                <w:rFonts w:ascii="Times New Roman" w:eastAsia="Calibri" w:hAnsi="Times New Roman" w:cs="Times New Roman"/>
                <w:b/>
                <w:sz w:val="20"/>
                <w:szCs w:val="20"/>
              </w:rPr>
            </w:pPr>
            <w:bookmarkStart w:id="4" w:name="_Hlk51849777"/>
            <w:r w:rsidRPr="006044D5">
              <w:rPr>
                <w:rFonts w:ascii="Times New Roman" w:eastAsia="Calibri" w:hAnsi="Times New Roman" w:cs="Times New Roman"/>
                <w:b/>
                <w:sz w:val="20"/>
                <w:szCs w:val="20"/>
              </w:rPr>
              <w:t>Annual Cost to the Federal Government</w:t>
            </w:r>
          </w:p>
        </w:tc>
      </w:tr>
      <w:tr w14:paraId="4B40B65E" w14:textId="77777777" w:rsidTr="00C94895">
        <w:tblPrEx>
          <w:tblW w:w="9085" w:type="dxa"/>
          <w:jc w:val="center"/>
          <w:tblLayout w:type="fixed"/>
          <w:tblLook w:val="04A0"/>
        </w:tblPrEx>
        <w:trPr>
          <w:jc w:val="center"/>
        </w:trPr>
        <w:tc>
          <w:tcPr>
            <w:tcW w:w="7375" w:type="dxa"/>
            <w:shd w:val="clear" w:color="auto" w:fill="9CC2E5" w:themeFill="accent1" w:themeFillTint="99"/>
          </w:tcPr>
          <w:p w:rsidR="00FB61EE" w:rsidRPr="00C94895" w:rsidP="00540D41" w14:paraId="4D80DE94" w14:textId="77777777">
            <w:pPr>
              <w:jc w:val="center"/>
              <w:rPr>
                <w:rFonts w:ascii="Times New Roman" w:eastAsia="Calibri" w:hAnsi="Times New Roman" w:cs="Times New Roman"/>
                <w:sz w:val="18"/>
                <w:szCs w:val="18"/>
              </w:rPr>
            </w:pPr>
            <w:r w:rsidRPr="00C94895">
              <w:rPr>
                <w:rFonts w:ascii="Times New Roman" w:eastAsia="Calibri" w:hAnsi="Times New Roman" w:cs="Times New Roman"/>
                <w:sz w:val="18"/>
                <w:szCs w:val="18"/>
              </w:rPr>
              <w:t>Item</w:t>
            </w:r>
          </w:p>
        </w:tc>
        <w:tc>
          <w:tcPr>
            <w:tcW w:w="1710" w:type="dxa"/>
            <w:shd w:val="clear" w:color="auto" w:fill="9CC2E5" w:themeFill="accent1" w:themeFillTint="99"/>
          </w:tcPr>
          <w:p w:rsidR="00FB61EE" w:rsidRPr="00C94895" w:rsidP="00540D41" w14:paraId="63E7B612" w14:textId="77777777">
            <w:pPr>
              <w:jc w:val="center"/>
              <w:rPr>
                <w:rFonts w:ascii="Times New Roman" w:eastAsia="Calibri" w:hAnsi="Times New Roman" w:cs="Times New Roman"/>
                <w:sz w:val="18"/>
                <w:szCs w:val="18"/>
              </w:rPr>
            </w:pPr>
            <w:r w:rsidRPr="00C94895">
              <w:rPr>
                <w:rFonts w:ascii="Times New Roman" w:eastAsia="Calibri" w:hAnsi="Times New Roman" w:cs="Times New Roman"/>
                <w:sz w:val="18"/>
                <w:szCs w:val="18"/>
              </w:rPr>
              <w:t>Cost ($)</w:t>
            </w:r>
          </w:p>
        </w:tc>
      </w:tr>
      <w:tr w14:paraId="1E1E2A10" w14:textId="77777777" w:rsidTr="00C94895">
        <w:tblPrEx>
          <w:tblW w:w="9085" w:type="dxa"/>
          <w:jc w:val="center"/>
          <w:tblLayout w:type="fixed"/>
          <w:tblLook w:val="04A0"/>
        </w:tblPrEx>
        <w:trPr>
          <w:jc w:val="center"/>
        </w:trPr>
        <w:tc>
          <w:tcPr>
            <w:tcW w:w="7375" w:type="dxa"/>
          </w:tcPr>
          <w:p w:rsidR="00FB61EE" w:rsidRPr="00C94895" w:rsidP="00FB61EE" w14:paraId="3430BDD6" w14:textId="0675113C">
            <w:pPr>
              <w:rPr>
                <w:rFonts w:ascii="Times New Roman" w:eastAsia="Calibri" w:hAnsi="Times New Roman" w:cs="Times New Roman"/>
                <w:sz w:val="18"/>
                <w:szCs w:val="18"/>
              </w:rPr>
            </w:pPr>
            <w:r w:rsidRPr="00C94895">
              <w:rPr>
                <w:rFonts w:ascii="Times New Roman" w:eastAsia="Calibri" w:hAnsi="Times New Roman" w:cs="Times New Roman"/>
                <w:b/>
                <w:bCs/>
                <w:sz w:val="18"/>
                <w:szCs w:val="18"/>
              </w:rPr>
              <w:t>Contract Costs</w:t>
            </w:r>
            <w:r w:rsidRPr="00C94895">
              <w:rPr>
                <w:rFonts w:ascii="Times New Roman" w:eastAsia="Calibri" w:hAnsi="Times New Roman" w:cs="Times New Roman"/>
                <w:sz w:val="18"/>
                <w:szCs w:val="18"/>
              </w:rPr>
              <w:t>:</w:t>
            </w:r>
          </w:p>
        </w:tc>
        <w:tc>
          <w:tcPr>
            <w:tcW w:w="1710" w:type="dxa"/>
            <w:vAlign w:val="center"/>
          </w:tcPr>
          <w:p w:rsidR="00FB61EE" w:rsidRPr="00C94895" w:rsidP="00540D41" w14:paraId="4CEF946E" w14:textId="47799C65">
            <w:pPr>
              <w:jc w:val="right"/>
              <w:rPr>
                <w:rFonts w:ascii="Times New Roman" w:eastAsia="Calibri" w:hAnsi="Times New Roman" w:cs="Times New Roman"/>
                <w:sz w:val="18"/>
                <w:szCs w:val="18"/>
              </w:rPr>
            </w:pPr>
            <w:r w:rsidRPr="00C94895">
              <w:rPr>
                <w:rFonts w:ascii="Times New Roman" w:eastAsia="Calibri" w:hAnsi="Times New Roman" w:cs="Times New Roman"/>
                <w:sz w:val="18"/>
                <w:szCs w:val="18"/>
              </w:rPr>
              <w:t>$0</w:t>
            </w:r>
          </w:p>
        </w:tc>
      </w:tr>
      <w:tr w14:paraId="4F33FA5C" w14:textId="77777777" w:rsidTr="00C94895">
        <w:tblPrEx>
          <w:tblW w:w="9085" w:type="dxa"/>
          <w:jc w:val="center"/>
          <w:tblLayout w:type="fixed"/>
          <w:tblLook w:val="04A0"/>
        </w:tblPrEx>
        <w:trPr>
          <w:jc w:val="center"/>
        </w:trPr>
        <w:tc>
          <w:tcPr>
            <w:tcW w:w="7375" w:type="dxa"/>
          </w:tcPr>
          <w:p w:rsidR="00FB61EE" w:rsidRPr="00C94895" w:rsidP="00540D41" w14:paraId="06406316" w14:textId="58CA3E47">
            <w:pPr>
              <w:rPr>
                <w:rFonts w:ascii="Times New Roman" w:eastAsia="Calibri" w:hAnsi="Times New Roman" w:cs="Times New Roman"/>
                <w:sz w:val="18"/>
                <w:szCs w:val="18"/>
              </w:rPr>
            </w:pPr>
            <w:r w:rsidRPr="00C94895">
              <w:rPr>
                <w:rFonts w:ascii="Times New Roman" w:eastAsia="Calibri" w:hAnsi="Times New Roman" w:cs="Times New Roman"/>
                <w:b/>
                <w:bCs/>
                <w:sz w:val="18"/>
                <w:szCs w:val="18"/>
              </w:rPr>
              <w:t>Staff Salaries</w:t>
            </w:r>
            <w:r w:rsidRPr="00C94895">
              <w:rPr>
                <w:rFonts w:ascii="Times New Roman" w:eastAsia="Calibri" w:hAnsi="Times New Roman" w:cs="Times New Roman"/>
                <w:sz w:val="18"/>
                <w:szCs w:val="18"/>
              </w:rPr>
              <w:t>:</w:t>
            </w:r>
            <w:r w:rsidRPr="00C94895" w:rsidR="004C3D9C">
              <w:rPr>
                <w:rFonts w:ascii="Times New Roman" w:eastAsia="Calibri" w:hAnsi="Times New Roman" w:cs="Times New Roman"/>
                <w:sz w:val="18"/>
                <w:szCs w:val="18"/>
                <w:vertAlign w:val="superscript"/>
              </w:rPr>
              <w:t>1</w:t>
            </w:r>
            <w:r w:rsidRPr="00C94895">
              <w:rPr>
                <w:rFonts w:ascii="Times New Roman" w:eastAsia="Calibri" w:hAnsi="Times New Roman" w:cs="Times New Roman"/>
                <w:sz w:val="18"/>
                <w:szCs w:val="18"/>
              </w:rPr>
              <w:t xml:space="preserve"> </w:t>
            </w:r>
          </w:p>
          <w:p w:rsidR="00D5240C" w:rsidRPr="00C94895" w:rsidP="00D5240C" w14:paraId="5CF81557" w14:textId="49081F25">
            <w:pPr>
              <w:rPr>
                <w:rFonts w:ascii="Times New Roman" w:eastAsia="Calibri" w:hAnsi="Times New Roman" w:cs="Times New Roman"/>
                <w:sz w:val="18"/>
                <w:szCs w:val="18"/>
              </w:rPr>
            </w:pPr>
            <w:r w:rsidRPr="00C94895">
              <w:rPr>
                <w:rFonts w:ascii="Times New Roman" w:eastAsia="Calibri" w:hAnsi="Times New Roman" w:cs="Times New Roman"/>
                <w:sz w:val="18"/>
                <w:szCs w:val="18"/>
              </w:rPr>
              <w:t xml:space="preserve">35 GS-12, </w:t>
            </w:r>
            <w:r w:rsidRPr="00C94895" w:rsidR="00AC6544">
              <w:rPr>
                <w:rFonts w:ascii="Times New Roman" w:eastAsia="Calibri" w:hAnsi="Times New Roman" w:cs="Times New Roman"/>
                <w:sz w:val="18"/>
                <w:szCs w:val="18"/>
              </w:rPr>
              <w:t>S</w:t>
            </w:r>
            <w:r w:rsidRPr="00C94895">
              <w:rPr>
                <w:rFonts w:ascii="Times New Roman" w:eastAsia="Calibri" w:hAnsi="Times New Roman" w:cs="Times New Roman"/>
                <w:sz w:val="18"/>
                <w:szCs w:val="18"/>
              </w:rPr>
              <w:t>tep 5 employees spending approximately 35% of time annually performing the community contacts and visits; monitoring, reviewing, writing</w:t>
            </w:r>
            <w:r w:rsidRPr="00C94895" w:rsidR="002566E6">
              <w:rPr>
                <w:rFonts w:ascii="Times New Roman" w:eastAsia="Calibri" w:hAnsi="Times New Roman" w:cs="Times New Roman"/>
                <w:sz w:val="18"/>
                <w:szCs w:val="18"/>
              </w:rPr>
              <w:t>,</w:t>
            </w:r>
            <w:r w:rsidRPr="00C94895">
              <w:rPr>
                <w:rFonts w:ascii="Times New Roman" w:eastAsia="Calibri" w:hAnsi="Times New Roman" w:cs="Times New Roman"/>
                <w:sz w:val="18"/>
                <w:szCs w:val="18"/>
              </w:rPr>
              <w:t xml:space="preserve"> and approving the reports for this data collection. </w:t>
            </w:r>
          </w:p>
          <w:p w:rsidR="00D5240C" w:rsidRPr="00C94895" w:rsidP="00D5240C" w14:paraId="34579049" w14:textId="77777777">
            <w:pPr>
              <w:rPr>
                <w:rFonts w:ascii="Times New Roman" w:eastAsia="Calibri" w:hAnsi="Times New Roman" w:cs="Times New Roman"/>
                <w:sz w:val="18"/>
                <w:szCs w:val="18"/>
              </w:rPr>
            </w:pPr>
          </w:p>
          <w:p w:rsidR="00FB61EE" w:rsidRPr="00C94895" w:rsidP="00D5240C" w14:paraId="1C92E09B" w14:textId="4BC13EC5">
            <w:pPr>
              <w:rPr>
                <w:rFonts w:ascii="Times New Roman" w:eastAsia="Calibri" w:hAnsi="Times New Roman" w:cs="Times New Roman"/>
                <w:sz w:val="18"/>
                <w:szCs w:val="18"/>
                <w:vertAlign w:val="superscript"/>
              </w:rPr>
            </w:pPr>
            <w:r w:rsidRPr="00C94895">
              <w:rPr>
                <w:rFonts w:ascii="Times New Roman" w:eastAsia="Calibri" w:hAnsi="Times New Roman" w:cs="Times New Roman"/>
                <w:sz w:val="18"/>
                <w:szCs w:val="18"/>
              </w:rPr>
              <w:t>GS 12, Step 5 [35 × $112,425 × 0.35 × 1.45 = $1,996,949]</w:t>
            </w:r>
            <w:r w:rsidRPr="00C94895" w:rsidR="00576081">
              <w:rPr>
                <w:rFonts w:ascii="Times New Roman" w:eastAsia="Calibri" w:hAnsi="Times New Roman" w:cs="Times New Roman"/>
                <w:sz w:val="18"/>
                <w:szCs w:val="18"/>
                <w:vertAlign w:val="superscript"/>
              </w:rPr>
              <w:t>2</w:t>
            </w:r>
          </w:p>
        </w:tc>
        <w:tc>
          <w:tcPr>
            <w:tcW w:w="1710" w:type="dxa"/>
            <w:vAlign w:val="center"/>
          </w:tcPr>
          <w:p w:rsidR="00FB61EE" w:rsidRPr="00C94895" w:rsidP="00540D41" w14:paraId="49BF6935" w14:textId="6244A5D9">
            <w:pPr>
              <w:jc w:val="right"/>
              <w:rPr>
                <w:rFonts w:ascii="Times New Roman" w:eastAsia="Calibri" w:hAnsi="Times New Roman" w:cs="Times New Roman"/>
                <w:sz w:val="18"/>
                <w:szCs w:val="18"/>
              </w:rPr>
            </w:pPr>
            <w:r w:rsidRPr="00C94895">
              <w:rPr>
                <w:rFonts w:ascii="Times New Roman" w:eastAsia="Calibri" w:hAnsi="Times New Roman" w:cs="Times New Roman"/>
                <w:sz w:val="18"/>
                <w:szCs w:val="18"/>
              </w:rPr>
              <w:t>$</w:t>
            </w:r>
            <w:r w:rsidRPr="00C94895" w:rsidR="00592BD8">
              <w:rPr>
                <w:rFonts w:ascii="Times New Roman" w:eastAsia="Calibri" w:hAnsi="Times New Roman" w:cs="Times New Roman"/>
                <w:sz w:val="18"/>
                <w:szCs w:val="18"/>
              </w:rPr>
              <w:t>1,996,949</w:t>
            </w:r>
          </w:p>
        </w:tc>
      </w:tr>
      <w:tr w14:paraId="3D6297D9" w14:textId="77777777" w:rsidTr="00C94895">
        <w:tblPrEx>
          <w:tblW w:w="9085" w:type="dxa"/>
          <w:jc w:val="center"/>
          <w:tblLayout w:type="fixed"/>
          <w:tblLook w:val="04A0"/>
        </w:tblPrEx>
        <w:trPr>
          <w:jc w:val="center"/>
        </w:trPr>
        <w:tc>
          <w:tcPr>
            <w:tcW w:w="7375" w:type="dxa"/>
          </w:tcPr>
          <w:p w:rsidR="00FB61EE" w:rsidRPr="00C94895" w:rsidP="00540D41" w14:paraId="181868AD" w14:textId="094DDBDA">
            <w:pPr>
              <w:rPr>
                <w:rFonts w:ascii="Times New Roman" w:eastAsia="Calibri" w:hAnsi="Times New Roman" w:cs="Times New Roman"/>
                <w:sz w:val="18"/>
                <w:szCs w:val="18"/>
              </w:rPr>
            </w:pPr>
            <w:r w:rsidRPr="00C94895">
              <w:rPr>
                <w:rFonts w:ascii="Times New Roman" w:eastAsia="Calibri" w:hAnsi="Times New Roman" w:cs="Times New Roman"/>
                <w:b/>
                <w:bCs/>
                <w:sz w:val="18"/>
                <w:szCs w:val="18"/>
              </w:rPr>
              <w:t>Facilities</w:t>
            </w:r>
            <w:r w:rsidRPr="00C94895">
              <w:rPr>
                <w:rFonts w:ascii="Times New Roman" w:eastAsia="Calibri" w:hAnsi="Times New Roman" w:cs="Times New Roman"/>
                <w:sz w:val="18"/>
                <w:szCs w:val="18"/>
              </w:rPr>
              <w:t xml:space="preserve"> </w:t>
            </w:r>
            <w:r w:rsidRPr="00C94895" w:rsidR="00B30F67">
              <w:rPr>
                <w:rFonts w:ascii="Times New Roman" w:hAnsi="Times New Roman" w:cs="Times New Roman"/>
                <w:color w:val="000000" w:themeColor="text1"/>
                <w:sz w:val="18"/>
                <w:szCs w:val="18"/>
              </w:rPr>
              <w:t>[work occurs in the field, at telework locations, and inside federal facilities that are already rented]</w:t>
            </w:r>
          </w:p>
        </w:tc>
        <w:tc>
          <w:tcPr>
            <w:tcW w:w="1710" w:type="dxa"/>
            <w:vAlign w:val="center"/>
          </w:tcPr>
          <w:p w:rsidR="00FB61EE" w:rsidRPr="00C94895" w:rsidP="00540D41" w14:paraId="7B7472BC" w14:textId="77777777">
            <w:pPr>
              <w:jc w:val="right"/>
              <w:rPr>
                <w:rFonts w:ascii="Times New Roman" w:eastAsia="Calibri" w:hAnsi="Times New Roman" w:cs="Times New Roman"/>
                <w:sz w:val="18"/>
                <w:szCs w:val="18"/>
              </w:rPr>
            </w:pPr>
            <w:r w:rsidRPr="00C94895">
              <w:rPr>
                <w:rFonts w:ascii="Times New Roman" w:eastAsia="Calibri" w:hAnsi="Times New Roman" w:cs="Times New Roman"/>
                <w:sz w:val="18"/>
                <w:szCs w:val="18"/>
              </w:rPr>
              <w:t>$0</w:t>
            </w:r>
          </w:p>
        </w:tc>
      </w:tr>
      <w:tr w14:paraId="43D239A4" w14:textId="77777777" w:rsidTr="00C94895">
        <w:tblPrEx>
          <w:tblW w:w="9085" w:type="dxa"/>
          <w:jc w:val="center"/>
          <w:tblLayout w:type="fixed"/>
          <w:tblLook w:val="04A0"/>
        </w:tblPrEx>
        <w:trPr>
          <w:jc w:val="center"/>
        </w:trPr>
        <w:tc>
          <w:tcPr>
            <w:tcW w:w="7375" w:type="dxa"/>
          </w:tcPr>
          <w:p w:rsidR="00FB61EE" w:rsidRPr="00C94895" w:rsidP="00540D41" w14:paraId="0A683BEC" w14:textId="51CB48FD">
            <w:pPr>
              <w:rPr>
                <w:rFonts w:ascii="Times New Roman" w:eastAsia="Calibri" w:hAnsi="Times New Roman" w:cs="Times New Roman"/>
                <w:sz w:val="18"/>
                <w:szCs w:val="18"/>
              </w:rPr>
            </w:pPr>
            <w:r w:rsidRPr="00C94895">
              <w:rPr>
                <w:rFonts w:ascii="Times New Roman" w:eastAsia="Calibri" w:hAnsi="Times New Roman" w:cs="Times New Roman"/>
                <w:sz w:val="18"/>
                <w:szCs w:val="18"/>
              </w:rPr>
              <w:t xml:space="preserve">Computer Hardware and Software </w:t>
            </w:r>
            <w:r w:rsidRPr="00C94895" w:rsidR="001C1826">
              <w:rPr>
                <w:rFonts w:ascii="Times New Roman" w:hAnsi="Times New Roman" w:cs="Times New Roman"/>
                <w:color w:val="000000" w:themeColor="text1"/>
                <w:sz w:val="18"/>
                <w:szCs w:val="18"/>
              </w:rPr>
              <w:t>Five percent of total floodplain management database [$1,290,000 × 0.05 = $64,500]</w:t>
            </w:r>
          </w:p>
        </w:tc>
        <w:tc>
          <w:tcPr>
            <w:tcW w:w="1710" w:type="dxa"/>
            <w:vAlign w:val="center"/>
          </w:tcPr>
          <w:p w:rsidR="00FB61EE" w:rsidRPr="00C94895" w:rsidP="00540D41" w14:paraId="5BCF8946" w14:textId="1F8A3D47">
            <w:pPr>
              <w:jc w:val="right"/>
              <w:rPr>
                <w:rFonts w:ascii="Times New Roman" w:eastAsia="Calibri" w:hAnsi="Times New Roman" w:cs="Times New Roman"/>
                <w:sz w:val="18"/>
                <w:szCs w:val="18"/>
              </w:rPr>
            </w:pPr>
            <w:r w:rsidRPr="00C94895">
              <w:rPr>
                <w:rFonts w:ascii="Times New Roman" w:eastAsia="Calibri" w:hAnsi="Times New Roman" w:cs="Times New Roman"/>
                <w:sz w:val="18"/>
                <w:szCs w:val="18"/>
              </w:rPr>
              <w:t>$</w:t>
            </w:r>
            <w:r w:rsidRPr="00C94895" w:rsidR="002625F8">
              <w:rPr>
                <w:rFonts w:ascii="Times New Roman" w:eastAsia="Calibri" w:hAnsi="Times New Roman" w:cs="Times New Roman"/>
                <w:sz w:val="18"/>
                <w:szCs w:val="18"/>
              </w:rPr>
              <w:t>64,500</w:t>
            </w:r>
          </w:p>
        </w:tc>
      </w:tr>
      <w:tr w14:paraId="65178081" w14:textId="77777777" w:rsidTr="00C94895">
        <w:tblPrEx>
          <w:tblW w:w="9085" w:type="dxa"/>
          <w:jc w:val="center"/>
          <w:tblLayout w:type="fixed"/>
          <w:tblLook w:val="04A0"/>
        </w:tblPrEx>
        <w:trPr>
          <w:jc w:val="center"/>
        </w:trPr>
        <w:tc>
          <w:tcPr>
            <w:tcW w:w="7375" w:type="dxa"/>
          </w:tcPr>
          <w:p w:rsidR="00FB61EE" w:rsidRPr="00C94895" w:rsidP="00540D41" w14:paraId="72FA220A" w14:textId="7C7C2487">
            <w:pPr>
              <w:rPr>
                <w:rFonts w:ascii="Times New Roman" w:eastAsia="Calibri" w:hAnsi="Times New Roman" w:cs="Times New Roman"/>
                <w:sz w:val="18"/>
                <w:szCs w:val="18"/>
              </w:rPr>
            </w:pPr>
            <w:r w:rsidRPr="00C94895">
              <w:rPr>
                <w:rFonts w:ascii="Times New Roman" w:eastAsia="Calibri" w:hAnsi="Times New Roman" w:cs="Times New Roman"/>
                <w:b/>
                <w:bCs/>
                <w:sz w:val="18"/>
                <w:szCs w:val="18"/>
              </w:rPr>
              <w:t>Equipment Maintenance</w:t>
            </w:r>
            <w:r w:rsidRPr="00C94895" w:rsidR="006D7507">
              <w:rPr>
                <w:rFonts w:ascii="Times New Roman" w:eastAsia="Calibri" w:hAnsi="Times New Roman" w:cs="Times New Roman"/>
                <w:b/>
                <w:bCs/>
                <w:sz w:val="18"/>
                <w:szCs w:val="18"/>
              </w:rPr>
              <w:t>:</w:t>
            </w:r>
            <w:r w:rsidRPr="00C94895">
              <w:rPr>
                <w:rFonts w:ascii="Times New Roman" w:eastAsia="Calibri" w:hAnsi="Times New Roman" w:cs="Times New Roman"/>
                <w:sz w:val="18"/>
                <w:szCs w:val="18"/>
              </w:rPr>
              <w:t xml:space="preserve"> </w:t>
            </w:r>
            <w:r w:rsidRPr="00C94895" w:rsidR="00ED5010">
              <w:rPr>
                <w:rFonts w:ascii="Times New Roman" w:hAnsi="Times New Roman" w:cs="Times New Roman"/>
                <w:color w:val="000000" w:themeColor="text1"/>
                <w:sz w:val="18"/>
                <w:szCs w:val="18"/>
              </w:rPr>
              <w:t>Five percent of sum of all equipment costs estimated in each region’s spend plan [$68,800 × 0.05 = $3,440]</w:t>
            </w:r>
          </w:p>
        </w:tc>
        <w:tc>
          <w:tcPr>
            <w:tcW w:w="1710" w:type="dxa"/>
            <w:vAlign w:val="center"/>
          </w:tcPr>
          <w:p w:rsidR="00FB61EE" w:rsidRPr="00C94895" w:rsidP="00540D41" w14:paraId="00F8D532" w14:textId="64EA569A">
            <w:pPr>
              <w:jc w:val="right"/>
              <w:rPr>
                <w:rFonts w:ascii="Times New Roman" w:eastAsia="Calibri" w:hAnsi="Times New Roman" w:cs="Times New Roman"/>
                <w:sz w:val="18"/>
                <w:szCs w:val="18"/>
              </w:rPr>
            </w:pPr>
            <w:r w:rsidRPr="00C94895">
              <w:rPr>
                <w:rFonts w:ascii="Times New Roman" w:eastAsia="Calibri" w:hAnsi="Times New Roman" w:cs="Times New Roman"/>
                <w:sz w:val="18"/>
                <w:szCs w:val="18"/>
              </w:rPr>
              <w:t>$</w:t>
            </w:r>
            <w:r w:rsidRPr="00C94895" w:rsidR="0095782B">
              <w:rPr>
                <w:rFonts w:ascii="Times New Roman" w:eastAsia="Calibri" w:hAnsi="Times New Roman" w:cs="Times New Roman"/>
                <w:sz w:val="18"/>
                <w:szCs w:val="18"/>
              </w:rPr>
              <w:t>3,440</w:t>
            </w:r>
          </w:p>
        </w:tc>
      </w:tr>
      <w:tr w14:paraId="2AF333F3" w14:textId="77777777" w:rsidTr="00C94895">
        <w:tblPrEx>
          <w:tblW w:w="9085" w:type="dxa"/>
          <w:jc w:val="center"/>
          <w:tblLayout w:type="fixed"/>
          <w:tblLook w:val="04A0"/>
        </w:tblPrEx>
        <w:trPr>
          <w:jc w:val="center"/>
        </w:trPr>
        <w:tc>
          <w:tcPr>
            <w:tcW w:w="7375" w:type="dxa"/>
          </w:tcPr>
          <w:p w:rsidR="00FB61EE" w:rsidRPr="00C94895" w:rsidP="00540D41" w14:paraId="51A9CE8C" w14:textId="12F0F1EF">
            <w:pPr>
              <w:rPr>
                <w:rFonts w:ascii="Times New Roman" w:eastAsia="Calibri" w:hAnsi="Times New Roman" w:cs="Times New Roman"/>
                <w:sz w:val="18"/>
                <w:szCs w:val="18"/>
              </w:rPr>
            </w:pPr>
            <w:r w:rsidRPr="00C94895">
              <w:rPr>
                <w:rFonts w:ascii="Times New Roman" w:eastAsia="Calibri" w:hAnsi="Times New Roman" w:cs="Times New Roman"/>
                <w:b/>
                <w:bCs/>
                <w:sz w:val="18"/>
                <w:szCs w:val="18"/>
              </w:rPr>
              <w:t>Travel</w:t>
            </w:r>
            <w:r w:rsidRPr="00C94895" w:rsidR="000C36C4">
              <w:rPr>
                <w:rFonts w:ascii="Times New Roman" w:eastAsia="Calibri" w:hAnsi="Times New Roman" w:cs="Times New Roman"/>
                <w:sz w:val="18"/>
                <w:szCs w:val="18"/>
                <w:vertAlign w:val="superscript"/>
              </w:rPr>
              <w:t>3</w:t>
            </w:r>
            <w:r w:rsidRPr="00C94895">
              <w:rPr>
                <w:rFonts w:ascii="Times New Roman" w:eastAsia="Calibri" w:hAnsi="Times New Roman" w:cs="Times New Roman"/>
                <w:sz w:val="18"/>
                <w:szCs w:val="18"/>
              </w:rPr>
              <w:t xml:space="preserve"> </w:t>
            </w:r>
            <w:r w:rsidRPr="00C94895" w:rsidR="000C36C4">
              <w:rPr>
                <w:rFonts w:ascii="Times New Roman" w:hAnsi="Times New Roman" w:cs="Times New Roman"/>
                <w:color w:val="000000" w:themeColor="text1"/>
                <w:sz w:val="18"/>
                <w:szCs w:val="18"/>
              </w:rPr>
              <w:t>[sum of all CAV/CAC related travel estimated in Regions’ spend plan for FY24]</w:t>
            </w:r>
          </w:p>
        </w:tc>
        <w:tc>
          <w:tcPr>
            <w:tcW w:w="1710" w:type="dxa"/>
            <w:vAlign w:val="center"/>
          </w:tcPr>
          <w:p w:rsidR="00FB61EE" w:rsidRPr="00C94895" w:rsidP="00540D41" w14:paraId="7A65B58F" w14:textId="5ADEBAAF">
            <w:pPr>
              <w:jc w:val="right"/>
              <w:rPr>
                <w:rFonts w:ascii="Times New Roman" w:eastAsia="Calibri" w:hAnsi="Times New Roman" w:cs="Times New Roman"/>
                <w:sz w:val="18"/>
                <w:szCs w:val="18"/>
              </w:rPr>
            </w:pPr>
            <w:r w:rsidRPr="00C94895">
              <w:rPr>
                <w:rFonts w:ascii="Times New Roman" w:eastAsia="Calibri" w:hAnsi="Times New Roman" w:cs="Times New Roman"/>
                <w:sz w:val="18"/>
                <w:szCs w:val="18"/>
              </w:rPr>
              <w:t>$</w:t>
            </w:r>
            <w:r w:rsidRPr="00C94895" w:rsidR="000C36C4">
              <w:rPr>
                <w:rFonts w:ascii="Times New Roman" w:eastAsia="Calibri" w:hAnsi="Times New Roman" w:cs="Times New Roman"/>
                <w:sz w:val="18"/>
                <w:szCs w:val="18"/>
              </w:rPr>
              <w:t>151,667</w:t>
            </w:r>
          </w:p>
        </w:tc>
      </w:tr>
      <w:tr w14:paraId="4E867E0C" w14:textId="77777777" w:rsidTr="00C94895">
        <w:tblPrEx>
          <w:tblW w:w="9085" w:type="dxa"/>
          <w:jc w:val="center"/>
          <w:tblLayout w:type="fixed"/>
          <w:tblLook w:val="04A0"/>
        </w:tblPrEx>
        <w:trPr>
          <w:jc w:val="center"/>
        </w:trPr>
        <w:tc>
          <w:tcPr>
            <w:tcW w:w="7375" w:type="dxa"/>
          </w:tcPr>
          <w:p w:rsidR="004C629F" w:rsidRPr="00C94895" w:rsidP="004C629F" w14:paraId="14117693" w14:textId="58C586DB">
            <w:pPr>
              <w:rPr>
                <w:rFonts w:ascii="Times New Roman" w:eastAsia="Calibri" w:hAnsi="Times New Roman" w:cs="Times New Roman"/>
                <w:sz w:val="18"/>
                <w:szCs w:val="18"/>
              </w:rPr>
            </w:pPr>
            <w:r w:rsidRPr="00C94895">
              <w:rPr>
                <w:rFonts w:ascii="Times New Roman" w:hAnsi="Times New Roman" w:cs="Times New Roman"/>
                <w:b/>
                <w:bCs/>
                <w:color w:val="000000" w:themeColor="text1"/>
                <w:sz w:val="18"/>
                <w:szCs w:val="18"/>
              </w:rPr>
              <w:t>Printing</w:t>
            </w:r>
            <w:r w:rsidRPr="00C94895">
              <w:rPr>
                <w:rFonts w:ascii="Times New Roman" w:hAnsi="Times New Roman" w:cs="Times New Roman"/>
                <w:color w:val="000000" w:themeColor="text1"/>
                <w:sz w:val="18"/>
                <w:szCs w:val="18"/>
              </w:rPr>
              <w:t xml:space="preserve"> [mostly emailed]</w:t>
            </w:r>
          </w:p>
        </w:tc>
        <w:tc>
          <w:tcPr>
            <w:tcW w:w="1710" w:type="dxa"/>
          </w:tcPr>
          <w:p w:rsidR="004C629F" w:rsidRPr="00C94895" w:rsidP="004C629F" w14:paraId="7CFE9AD3" w14:textId="2CD36157">
            <w:pPr>
              <w:jc w:val="right"/>
              <w:rPr>
                <w:rFonts w:ascii="Times New Roman" w:eastAsia="Calibri" w:hAnsi="Times New Roman" w:cs="Times New Roman"/>
                <w:sz w:val="18"/>
                <w:szCs w:val="18"/>
              </w:rPr>
            </w:pPr>
            <w:r w:rsidRPr="00C94895">
              <w:rPr>
                <w:rFonts w:ascii="Times New Roman" w:hAnsi="Times New Roman" w:cs="Times New Roman"/>
                <w:color w:val="000000" w:themeColor="text1"/>
                <w:sz w:val="18"/>
                <w:szCs w:val="18"/>
              </w:rPr>
              <w:t>$0</w:t>
            </w:r>
          </w:p>
        </w:tc>
      </w:tr>
      <w:tr w14:paraId="05E784D6" w14:textId="77777777" w:rsidTr="00C94895">
        <w:tblPrEx>
          <w:tblW w:w="9085" w:type="dxa"/>
          <w:jc w:val="center"/>
          <w:tblLayout w:type="fixed"/>
          <w:tblLook w:val="04A0"/>
        </w:tblPrEx>
        <w:trPr>
          <w:jc w:val="center"/>
        </w:trPr>
        <w:tc>
          <w:tcPr>
            <w:tcW w:w="7375" w:type="dxa"/>
          </w:tcPr>
          <w:p w:rsidR="004C629F" w:rsidRPr="00C94895" w:rsidP="004C629F" w14:paraId="5F27567B" w14:textId="444A2205">
            <w:pPr>
              <w:rPr>
                <w:rFonts w:ascii="Times New Roman" w:eastAsia="Calibri" w:hAnsi="Times New Roman" w:cs="Times New Roman"/>
                <w:sz w:val="18"/>
                <w:szCs w:val="18"/>
              </w:rPr>
            </w:pPr>
            <w:r w:rsidRPr="00C94895">
              <w:rPr>
                <w:rFonts w:ascii="Times New Roman" w:hAnsi="Times New Roman" w:cs="Times New Roman"/>
                <w:b/>
                <w:bCs/>
                <w:color w:val="000000" w:themeColor="text1"/>
                <w:sz w:val="18"/>
                <w:szCs w:val="18"/>
              </w:rPr>
              <w:t>Postage</w:t>
            </w:r>
            <w:r w:rsidRPr="00C94895">
              <w:rPr>
                <w:rFonts w:ascii="Times New Roman" w:hAnsi="Times New Roman" w:cs="Times New Roman"/>
                <w:color w:val="000000" w:themeColor="text1"/>
                <w:sz w:val="18"/>
                <w:szCs w:val="18"/>
              </w:rPr>
              <w:t xml:space="preserve"> [mostly emailed]</w:t>
            </w:r>
          </w:p>
        </w:tc>
        <w:tc>
          <w:tcPr>
            <w:tcW w:w="1710" w:type="dxa"/>
          </w:tcPr>
          <w:p w:rsidR="004C629F" w:rsidRPr="00C94895" w:rsidP="004C629F" w14:paraId="032D8F85" w14:textId="6B07E45E">
            <w:pPr>
              <w:jc w:val="right"/>
              <w:rPr>
                <w:rFonts w:ascii="Times New Roman" w:eastAsia="Calibri" w:hAnsi="Times New Roman" w:cs="Times New Roman"/>
                <w:sz w:val="18"/>
                <w:szCs w:val="18"/>
              </w:rPr>
            </w:pPr>
            <w:r w:rsidRPr="00C94895">
              <w:rPr>
                <w:rFonts w:ascii="Times New Roman" w:hAnsi="Times New Roman" w:cs="Times New Roman"/>
                <w:color w:val="000000" w:themeColor="text1"/>
                <w:sz w:val="18"/>
                <w:szCs w:val="18"/>
              </w:rPr>
              <w:t>$0</w:t>
            </w:r>
          </w:p>
        </w:tc>
      </w:tr>
      <w:tr w14:paraId="1220B68F" w14:textId="77777777" w:rsidTr="00C94895">
        <w:tblPrEx>
          <w:tblW w:w="9085" w:type="dxa"/>
          <w:jc w:val="center"/>
          <w:tblLayout w:type="fixed"/>
          <w:tblLook w:val="04A0"/>
        </w:tblPrEx>
        <w:trPr>
          <w:jc w:val="center"/>
        </w:trPr>
        <w:tc>
          <w:tcPr>
            <w:tcW w:w="7375" w:type="dxa"/>
          </w:tcPr>
          <w:p w:rsidR="004C629F" w:rsidRPr="00C94895" w:rsidP="004C629F" w14:paraId="1E88D3AB" w14:textId="28D0E016">
            <w:pPr>
              <w:rPr>
                <w:rFonts w:ascii="Times New Roman" w:eastAsia="Calibri" w:hAnsi="Times New Roman" w:cs="Times New Roman"/>
                <w:b/>
                <w:bCs/>
                <w:sz w:val="18"/>
                <w:szCs w:val="18"/>
              </w:rPr>
            </w:pPr>
            <w:r w:rsidRPr="00C94895">
              <w:rPr>
                <w:rFonts w:ascii="Times New Roman" w:hAnsi="Times New Roman" w:cs="Times New Roman"/>
                <w:b/>
                <w:bCs/>
                <w:color w:val="000000" w:themeColor="text1"/>
                <w:sz w:val="18"/>
                <w:szCs w:val="18"/>
              </w:rPr>
              <w:t>Other</w:t>
            </w:r>
          </w:p>
        </w:tc>
        <w:tc>
          <w:tcPr>
            <w:tcW w:w="1710" w:type="dxa"/>
          </w:tcPr>
          <w:p w:rsidR="004C629F" w:rsidRPr="00C94895" w:rsidP="004C629F" w14:paraId="022CF787" w14:textId="7031823B">
            <w:pPr>
              <w:jc w:val="right"/>
              <w:rPr>
                <w:rFonts w:ascii="Times New Roman" w:eastAsia="Calibri" w:hAnsi="Times New Roman" w:cs="Times New Roman"/>
                <w:sz w:val="18"/>
                <w:szCs w:val="18"/>
              </w:rPr>
            </w:pPr>
            <w:r w:rsidRPr="00C94895">
              <w:rPr>
                <w:rFonts w:ascii="Times New Roman" w:hAnsi="Times New Roman" w:cs="Times New Roman"/>
                <w:color w:val="000000" w:themeColor="text1"/>
                <w:sz w:val="18"/>
                <w:szCs w:val="18"/>
              </w:rPr>
              <w:t>$0</w:t>
            </w:r>
          </w:p>
        </w:tc>
      </w:tr>
      <w:tr w14:paraId="1C43163B" w14:textId="77777777" w:rsidTr="00C94895">
        <w:tblPrEx>
          <w:tblW w:w="9085" w:type="dxa"/>
          <w:jc w:val="center"/>
          <w:tblLayout w:type="fixed"/>
          <w:tblLook w:val="04A0"/>
        </w:tblPrEx>
        <w:trPr>
          <w:jc w:val="center"/>
        </w:trPr>
        <w:tc>
          <w:tcPr>
            <w:tcW w:w="7375" w:type="dxa"/>
          </w:tcPr>
          <w:p w:rsidR="004C629F" w:rsidRPr="00C94895" w:rsidP="004C629F" w14:paraId="4F1CB4A3" w14:textId="77777777">
            <w:pPr>
              <w:rPr>
                <w:rFonts w:ascii="Times New Roman" w:eastAsia="Calibri" w:hAnsi="Times New Roman" w:cs="Times New Roman"/>
                <w:b/>
                <w:sz w:val="18"/>
                <w:szCs w:val="18"/>
              </w:rPr>
            </w:pPr>
            <w:r w:rsidRPr="00C94895">
              <w:rPr>
                <w:rFonts w:ascii="Times New Roman" w:eastAsia="Calibri" w:hAnsi="Times New Roman" w:cs="Times New Roman"/>
                <w:b/>
                <w:sz w:val="18"/>
                <w:szCs w:val="18"/>
              </w:rPr>
              <w:t>Total</w:t>
            </w:r>
          </w:p>
        </w:tc>
        <w:tc>
          <w:tcPr>
            <w:tcW w:w="1710" w:type="dxa"/>
            <w:vAlign w:val="center"/>
          </w:tcPr>
          <w:p w:rsidR="004C629F" w:rsidRPr="00C94895" w:rsidP="004C629F" w14:paraId="1B4AB65F" w14:textId="55A0BEE2">
            <w:pPr>
              <w:jc w:val="right"/>
              <w:rPr>
                <w:rFonts w:ascii="Times New Roman" w:eastAsia="Calibri" w:hAnsi="Times New Roman" w:cs="Times New Roman"/>
                <w:b/>
                <w:bCs/>
                <w:sz w:val="18"/>
                <w:szCs w:val="18"/>
              </w:rPr>
            </w:pPr>
            <w:r w:rsidRPr="00C94895">
              <w:rPr>
                <w:rFonts w:ascii="Times New Roman" w:eastAsia="Calibri" w:hAnsi="Times New Roman" w:cs="Times New Roman"/>
                <w:b/>
                <w:bCs/>
                <w:sz w:val="18"/>
                <w:szCs w:val="18"/>
              </w:rPr>
              <w:t>$</w:t>
            </w:r>
            <w:r w:rsidRPr="00C94895" w:rsidR="003825B2">
              <w:rPr>
                <w:rFonts w:ascii="Times New Roman" w:eastAsia="Calibri" w:hAnsi="Times New Roman" w:cs="Times New Roman"/>
                <w:b/>
                <w:bCs/>
                <w:sz w:val="18"/>
                <w:szCs w:val="18"/>
              </w:rPr>
              <w:t>2,216,556</w:t>
            </w:r>
          </w:p>
        </w:tc>
      </w:tr>
      <w:tr w14:paraId="14BB9FD9" w14:textId="77777777" w:rsidTr="00C94895">
        <w:tblPrEx>
          <w:tblW w:w="9085" w:type="dxa"/>
          <w:jc w:val="center"/>
          <w:tblLayout w:type="fixed"/>
          <w:tblLook w:val="04A0"/>
        </w:tblPrEx>
        <w:trPr>
          <w:jc w:val="center"/>
        </w:trPr>
        <w:tc>
          <w:tcPr>
            <w:tcW w:w="9085" w:type="dxa"/>
            <w:gridSpan w:val="2"/>
          </w:tcPr>
          <w:p w:rsidR="004C629F" w:rsidRPr="00C94895" w:rsidP="004C629F" w14:paraId="54B8A65B" w14:textId="77777777">
            <w:pPr>
              <w:rPr>
                <w:rFonts w:ascii="Times New Roman" w:eastAsia="Calibri" w:hAnsi="Times New Roman" w:cs="Times New Roman"/>
                <w:sz w:val="18"/>
                <w:szCs w:val="18"/>
              </w:rPr>
            </w:pPr>
            <w:r w:rsidRPr="00C94895">
              <w:rPr>
                <w:rFonts w:ascii="Times New Roman" w:eastAsia="Calibri" w:hAnsi="Times New Roman" w:cs="Times New Roman"/>
                <w:sz w:val="18"/>
                <w:szCs w:val="18"/>
                <w:vertAlign w:val="superscript"/>
              </w:rPr>
              <w:t>1</w:t>
            </w:r>
            <w:r w:rsidRPr="00C94895">
              <w:rPr>
                <w:rFonts w:ascii="Times New Roman" w:eastAsia="Calibri" w:hAnsi="Times New Roman" w:cs="Times New Roman"/>
                <w:sz w:val="18"/>
                <w:szCs w:val="18"/>
              </w:rPr>
              <w:t xml:space="preserve"> Office of Personnel Management 2024 Pay and Leave Tables for the Washington-Baltimore-Arlington, DC-MD-VA-WV-PA locality.  Available online at </w:t>
            </w:r>
            <w:hyperlink r:id="rId10" w:history="1">
              <w:r w:rsidRPr="00C94895">
                <w:rPr>
                  <w:rStyle w:val="Hyperlink"/>
                  <w:rFonts w:ascii="Times New Roman" w:eastAsia="Calibri" w:hAnsi="Times New Roman" w:cs="Times New Roman"/>
                  <w:sz w:val="18"/>
                  <w:szCs w:val="18"/>
                </w:rPr>
                <w:t>https://www.opm.gov/policy-data-oversight/pay-leave/salaries-wages/salary-tables/pdf/2024/DCB.pdf</w:t>
              </w:r>
            </w:hyperlink>
            <w:r w:rsidRPr="00C94895">
              <w:rPr>
                <w:rFonts w:ascii="Times New Roman" w:eastAsia="Calibri" w:hAnsi="Times New Roman" w:cs="Times New Roman"/>
                <w:sz w:val="18"/>
                <w:szCs w:val="18"/>
              </w:rPr>
              <w:t>.  Accessed January 2, 2024.</w:t>
            </w:r>
          </w:p>
          <w:p w:rsidR="004C629F" w:rsidRPr="00C94895" w:rsidP="004C629F" w14:paraId="16E6EA2D" w14:textId="77777777">
            <w:pPr>
              <w:rPr>
                <w:rFonts w:ascii="Times New Roman" w:eastAsia="Calibri" w:hAnsi="Times New Roman" w:cs="Times New Roman"/>
                <w:sz w:val="18"/>
                <w:szCs w:val="18"/>
              </w:rPr>
            </w:pPr>
            <w:r w:rsidRPr="00C94895">
              <w:rPr>
                <w:rFonts w:ascii="Times New Roman" w:eastAsia="Calibri" w:hAnsi="Times New Roman" w:cs="Times New Roman"/>
                <w:sz w:val="18"/>
                <w:szCs w:val="18"/>
                <w:vertAlign w:val="superscript"/>
              </w:rPr>
              <w:t>2</w:t>
            </w:r>
            <w:r w:rsidRPr="00C94895">
              <w:rPr>
                <w:rFonts w:ascii="Times New Roman" w:eastAsia="Calibri" w:hAnsi="Times New Roman" w:cs="Times New Roman"/>
                <w:sz w:val="18"/>
                <w:szCs w:val="18"/>
              </w:rPr>
              <w:t xml:space="preserve"> Wage rate includes a 1.45 multiplier to reflect the fully-loaded wage rate.</w:t>
            </w:r>
          </w:p>
          <w:p w:rsidR="00455A32" w:rsidRPr="00C94895" w:rsidP="00C94895" w14:paraId="4AD2D17E" w14:textId="579E8E6C">
            <w:pPr>
              <w:tabs>
                <w:tab w:val="left" w:pos="360"/>
              </w:tabs>
              <w:rPr>
                <w:rFonts w:ascii="Times New Roman" w:eastAsia="Calibri" w:hAnsi="Times New Roman" w:cs="Times New Roman"/>
                <w:sz w:val="18"/>
                <w:szCs w:val="18"/>
              </w:rPr>
            </w:pPr>
            <w:r w:rsidRPr="00C94895">
              <w:rPr>
                <w:rFonts w:ascii="Times New Roman" w:hAnsi="Times New Roman" w:cs="Times New Roman"/>
                <w:sz w:val="18"/>
                <w:szCs w:val="18"/>
                <w:vertAlign w:val="superscript"/>
              </w:rPr>
              <w:t>3</w:t>
            </w:r>
            <w:r w:rsidRPr="00C94895">
              <w:rPr>
                <w:rFonts w:ascii="Times New Roman" w:hAnsi="Times New Roman" w:cs="Times New Roman"/>
                <w:sz w:val="18"/>
                <w:szCs w:val="18"/>
              </w:rPr>
              <w:t xml:space="preserve"> For CAV/CAC related travel, FEMA used the average travel expenses for FY24-FY26</w:t>
            </w:r>
            <w:r w:rsidRPr="00C94895" w:rsidR="00225D8F">
              <w:rPr>
                <w:rFonts w:ascii="Times New Roman" w:hAnsi="Times New Roman" w:cs="Times New Roman"/>
                <w:sz w:val="18"/>
                <w:szCs w:val="18"/>
              </w:rPr>
              <w:t xml:space="preserve">.  </w:t>
            </w:r>
            <w:r w:rsidRPr="00C94895">
              <w:rPr>
                <w:rFonts w:ascii="Times New Roman" w:hAnsi="Times New Roman" w:cs="Times New Roman"/>
                <w:sz w:val="18"/>
                <w:szCs w:val="18"/>
              </w:rPr>
              <w:t>FEMA estimated travel expenses of $5,000 for FY24, $225,000 of travel expenses for FY25, and $225,000 of travel expenses for FY26.</w:t>
            </w:r>
          </w:p>
        </w:tc>
      </w:tr>
      <w:bookmarkEnd w:id="4"/>
    </w:tbl>
    <w:p w:rsidR="0087685D" w:rsidRPr="00CA3E8C" w:rsidP="007B48AE" w14:paraId="74E1981E" w14:textId="77777777">
      <w:pPr>
        <w:tabs>
          <w:tab w:val="left" w:pos="360"/>
        </w:tabs>
        <w:spacing w:line="276" w:lineRule="auto"/>
        <w:contextualSpacing/>
        <w:rPr>
          <w:b/>
          <w:bCs/>
          <w:color w:val="000000" w:themeColor="text1"/>
        </w:rPr>
      </w:pPr>
    </w:p>
    <w:p w:rsidR="005E21C2" w:rsidRPr="00CA3E8C" w:rsidP="007B48AE" w14:paraId="53BF99B5" w14:textId="1B28E806">
      <w:pPr>
        <w:spacing w:line="276" w:lineRule="auto"/>
        <w:contextualSpacing/>
        <w:rPr>
          <w:b/>
          <w:color w:val="000000" w:themeColor="text1"/>
        </w:rPr>
      </w:pPr>
      <w:r w:rsidRPr="00CA3E8C">
        <w:rPr>
          <w:color w:val="000000" w:themeColor="text1"/>
        </w:rPr>
        <w:fldChar w:fldCharType="begin"/>
      </w:r>
      <w:r w:rsidRPr="00CA3E8C" w:rsidR="00842E74">
        <w:rPr>
          <w:color w:val="000000" w:themeColor="text1"/>
        </w:rPr>
        <w:instrText>ADVANCE \R 0.95</w:instrText>
      </w:r>
      <w:r w:rsidRPr="00CA3E8C">
        <w:rPr>
          <w:color w:val="000000" w:themeColor="text1"/>
        </w:rPr>
        <w:fldChar w:fldCharType="end"/>
      </w:r>
      <w:r w:rsidRPr="00CA3E8C">
        <w:rPr>
          <w:color w:val="000000" w:themeColor="text1"/>
        </w:rPr>
        <w:fldChar w:fldCharType="begin"/>
      </w:r>
      <w:r w:rsidRPr="00CA3E8C" w:rsidR="00677CAD">
        <w:rPr>
          <w:color w:val="000000" w:themeColor="text1"/>
        </w:rPr>
        <w:instrText>ADVANCE \R 0.95</w:instrText>
      </w:r>
      <w:r w:rsidRPr="00CA3E8C">
        <w:rPr>
          <w:color w:val="000000" w:themeColor="text1"/>
        </w:rPr>
        <w:fldChar w:fldCharType="end"/>
      </w:r>
      <w:r w:rsidRPr="00CA3E8C">
        <w:rPr>
          <w:b/>
          <w:color w:val="000000" w:themeColor="text1"/>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E21C2" w:rsidRPr="00CA3E8C" w:rsidP="007B48AE" w14:paraId="78788F57" w14:textId="77062D91">
      <w:pPr>
        <w:pStyle w:val="NormalWeb"/>
        <w:spacing w:line="276" w:lineRule="auto"/>
        <w:contextualSpacing/>
        <w:rPr>
          <w:i/>
          <w:color w:val="000000" w:themeColor="text1"/>
          <w:sz w:val="20"/>
          <w:szCs w:val="20"/>
        </w:rPr>
      </w:pPr>
      <w:r w:rsidRPr="00CA3E8C">
        <w:rPr>
          <w:i/>
          <w:color w:val="000000" w:themeColor="text1"/>
          <w:sz w:val="20"/>
          <w:szCs w:val="20"/>
        </w:rPr>
        <w:t xml:space="preserve">A </w:t>
      </w:r>
      <w:r w:rsidR="008B1675">
        <w:rPr>
          <w:b/>
          <w:bCs/>
          <w:i/>
          <w:color w:val="000000" w:themeColor="text1"/>
          <w:sz w:val="20"/>
          <w:szCs w:val="20"/>
        </w:rPr>
        <w:t>“</w:t>
      </w:r>
      <w:r w:rsidRPr="00CA3E8C">
        <w:rPr>
          <w:b/>
          <w:bCs/>
          <w:i/>
          <w:color w:val="000000" w:themeColor="text1"/>
          <w:sz w:val="20"/>
          <w:szCs w:val="20"/>
        </w:rPr>
        <w:t>Program increase</w:t>
      </w:r>
      <w:r w:rsidR="008B1675">
        <w:rPr>
          <w:b/>
          <w:bCs/>
          <w:i/>
          <w:color w:val="000000" w:themeColor="text1"/>
          <w:sz w:val="20"/>
          <w:szCs w:val="20"/>
        </w:rPr>
        <w:t>”</w:t>
      </w:r>
      <w:r w:rsidRPr="00CA3E8C">
        <w:rPr>
          <w:i/>
          <w:color w:val="000000" w:themeColor="text1"/>
          <w:sz w:val="20"/>
          <w:szCs w:val="20"/>
        </w:rPr>
        <w:t xml:space="preserve"> is an additional burden resulting from a</w:t>
      </w:r>
      <w:r w:rsidRPr="00CA3E8C" w:rsidR="005926EA">
        <w:rPr>
          <w:i/>
          <w:color w:val="000000" w:themeColor="text1"/>
          <w:sz w:val="20"/>
          <w:szCs w:val="20"/>
        </w:rPr>
        <w:t xml:space="preserve"> </w:t>
      </w:r>
      <w:r w:rsidR="008B1675">
        <w:rPr>
          <w:i/>
          <w:color w:val="000000" w:themeColor="text1"/>
          <w:sz w:val="20"/>
          <w:szCs w:val="20"/>
        </w:rPr>
        <w:t>F</w:t>
      </w:r>
      <w:r w:rsidRPr="00CA3E8C" w:rsidR="005926EA">
        <w:rPr>
          <w:i/>
          <w:color w:val="000000" w:themeColor="text1"/>
          <w:sz w:val="20"/>
          <w:szCs w:val="20"/>
        </w:rPr>
        <w:t xml:space="preserve">ederal </w:t>
      </w:r>
      <w:r w:rsidR="008B1675">
        <w:rPr>
          <w:i/>
          <w:color w:val="000000" w:themeColor="text1"/>
          <w:sz w:val="20"/>
          <w:szCs w:val="20"/>
        </w:rPr>
        <w:t>G</w:t>
      </w:r>
      <w:r w:rsidRPr="00CA3E8C" w:rsidR="005926EA">
        <w:rPr>
          <w:i/>
          <w:color w:val="000000" w:themeColor="text1"/>
          <w:sz w:val="20"/>
          <w:szCs w:val="20"/>
        </w:rPr>
        <w:t>overnment regulatory</w:t>
      </w:r>
      <w:r w:rsidRPr="00CA3E8C">
        <w:rPr>
          <w:i/>
          <w:color w:val="000000" w:themeColor="text1"/>
          <w:sz w:val="20"/>
          <w:szCs w:val="20"/>
        </w:rPr>
        <w:t xml:space="preserve"> action or directive</w:t>
      </w:r>
      <w:r w:rsidRPr="00CA3E8C" w:rsidR="005926EA">
        <w:rPr>
          <w:i/>
          <w:color w:val="000000" w:themeColor="text1"/>
          <w:sz w:val="20"/>
          <w:szCs w:val="20"/>
        </w:rPr>
        <w:t>.</w:t>
      </w:r>
      <w:r w:rsidRPr="00CA3E8C" w:rsidR="0000174D">
        <w:rPr>
          <w:i/>
          <w:color w:val="000000" w:themeColor="text1"/>
          <w:sz w:val="20"/>
          <w:szCs w:val="20"/>
        </w:rPr>
        <w:t xml:space="preserve"> </w:t>
      </w:r>
      <w:r w:rsidRPr="00CA3E8C">
        <w:rPr>
          <w:i/>
          <w:color w:val="000000" w:themeColor="text1"/>
          <w:sz w:val="20"/>
          <w:szCs w:val="20"/>
        </w:rPr>
        <w:t xml:space="preserve"> (e.g., an increase in sample size or coverage, amount of information, reporting frequency, or expanded use of an</w:t>
      </w:r>
      <w:r w:rsidRPr="00CA3E8C" w:rsidR="00A643EA">
        <w:rPr>
          <w:i/>
          <w:color w:val="000000" w:themeColor="text1"/>
          <w:sz w:val="20"/>
          <w:szCs w:val="20"/>
        </w:rPr>
        <w:t xml:space="preserve"> </w:t>
      </w:r>
      <w:r w:rsidRPr="00CA3E8C">
        <w:rPr>
          <w:i/>
          <w:color w:val="000000" w:themeColor="text1"/>
          <w:sz w:val="20"/>
          <w:szCs w:val="20"/>
        </w:rPr>
        <w:t>existing form</w:t>
      </w:r>
      <w:r w:rsidRPr="00CA3E8C" w:rsidR="0000174D">
        <w:rPr>
          <w:i/>
          <w:color w:val="000000" w:themeColor="text1"/>
          <w:sz w:val="20"/>
          <w:szCs w:val="20"/>
        </w:rPr>
        <w:t xml:space="preserve">).  </w:t>
      </w:r>
      <w:r w:rsidRPr="00CA3E8C">
        <w:rPr>
          <w:i/>
          <w:color w:val="000000" w:themeColor="text1"/>
          <w:sz w:val="20"/>
          <w:szCs w:val="20"/>
        </w:rPr>
        <w:t>This also includes previously in-use</w:t>
      </w:r>
      <w:r w:rsidRPr="00CA3E8C" w:rsidR="00A643EA">
        <w:rPr>
          <w:i/>
          <w:color w:val="000000" w:themeColor="text1"/>
          <w:sz w:val="20"/>
          <w:szCs w:val="20"/>
        </w:rPr>
        <w:t xml:space="preserve"> </w:t>
      </w:r>
      <w:r w:rsidRPr="00CA3E8C">
        <w:rPr>
          <w:i/>
          <w:color w:val="000000" w:themeColor="text1"/>
          <w:sz w:val="20"/>
          <w:szCs w:val="20"/>
        </w:rPr>
        <w:t>and unapproved information collections discovered during the ICB process, or during the fiscal</w:t>
      </w:r>
      <w:r w:rsidRPr="00CA3E8C" w:rsidR="005926EA">
        <w:rPr>
          <w:i/>
          <w:color w:val="000000" w:themeColor="text1"/>
          <w:sz w:val="20"/>
          <w:szCs w:val="20"/>
        </w:rPr>
        <w:t xml:space="preserve"> y</w:t>
      </w:r>
      <w:r w:rsidRPr="00CA3E8C">
        <w:rPr>
          <w:i/>
          <w:color w:val="000000" w:themeColor="text1"/>
          <w:sz w:val="20"/>
          <w:szCs w:val="20"/>
        </w:rPr>
        <w:t xml:space="preserve">ear, which will be in use during the next fiscal year. </w:t>
      </w:r>
    </w:p>
    <w:p w:rsidR="005E21C2" w:rsidRPr="00CA3E8C" w:rsidP="007B48AE" w14:paraId="441FED99" w14:textId="606F55E9">
      <w:pPr>
        <w:pStyle w:val="NormalWeb"/>
        <w:spacing w:line="276" w:lineRule="auto"/>
        <w:contextualSpacing/>
        <w:rPr>
          <w:i/>
          <w:color w:val="000000" w:themeColor="text1"/>
          <w:sz w:val="20"/>
          <w:szCs w:val="20"/>
        </w:rPr>
      </w:pPr>
      <w:r w:rsidRPr="00CA3E8C">
        <w:rPr>
          <w:i/>
          <w:color w:val="000000" w:themeColor="text1"/>
          <w:sz w:val="20"/>
          <w:szCs w:val="20"/>
        </w:rPr>
        <w:t xml:space="preserve">A </w:t>
      </w:r>
      <w:r w:rsidR="008B1675">
        <w:rPr>
          <w:b/>
          <w:bCs/>
          <w:i/>
          <w:color w:val="000000" w:themeColor="text1"/>
          <w:sz w:val="20"/>
          <w:szCs w:val="20"/>
        </w:rPr>
        <w:t>“</w:t>
      </w:r>
      <w:r w:rsidRPr="00CA3E8C">
        <w:rPr>
          <w:b/>
          <w:bCs/>
          <w:i/>
          <w:color w:val="000000" w:themeColor="text1"/>
          <w:sz w:val="20"/>
          <w:szCs w:val="20"/>
        </w:rPr>
        <w:t>Program decrease</w:t>
      </w:r>
      <w:r w:rsidR="008B1675">
        <w:rPr>
          <w:b/>
          <w:bCs/>
          <w:i/>
          <w:color w:val="000000" w:themeColor="text1"/>
          <w:sz w:val="20"/>
          <w:szCs w:val="20"/>
        </w:rPr>
        <w:t>”</w:t>
      </w:r>
      <w:r w:rsidRPr="00CA3E8C">
        <w:rPr>
          <w:b/>
          <w:bCs/>
          <w:i/>
          <w:color w:val="000000" w:themeColor="text1"/>
          <w:sz w:val="20"/>
          <w:szCs w:val="20"/>
        </w:rPr>
        <w:t xml:space="preserve">, </w:t>
      </w:r>
      <w:r w:rsidRPr="00CA3E8C">
        <w:rPr>
          <w:i/>
          <w:color w:val="000000" w:themeColor="text1"/>
          <w:sz w:val="20"/>
          <w:szCs w:val="20"/>
        </w:rPr>
        <w:t xml:space="preserve">is a reduction in burden because of: (1) the </w:t>
      </w:r>
      <w:r w:rsidRPr="00CA3E8C" w:rsidR="00A643EA">
        <w:rPr>
          <w:i/>
          <w:color w:val="000000" w:themeColor="text1"/>
          <w:sz w:val="20"/>
          <w:szCs w:val="20"/>
        </w:rPr>
        <w:t xml:space="preserve">discontinuation of an </w:t>
      </w:r>
      <w:r w:rsidRPr="00CA3E8C">
        <w:rPr>
          <w:i/>
          <w:color w:val="000000" w:themeColor="text1"/>
          <w:sz w:val="20"/>
          <w:szCs w:val="20"/>
        </w:rPr>
        <w:t>information collection; or (2) a change in an existing</w:t>
      </w:r>
      <w:r w:rsidRPr="00CA3E8C" w:rsidR="00A643EA">
        <w:rPr>
          <w:i/>
          <w:color w:val="000000" w:themeColor="text1"/>
          <w:sz w:val="20"/>
          <w:szCs w:val="20"/>
        </w:rPr>
        <w:t xml:space="preserve"> </w:t>
      </w:r>
      <w:r w:rsidRPr="00CA3E8C">
        <w:rPr>
          <w:i/>
          <w:color w:val="000000" w:themeColor="text1"/>
          <w:sz w:val="20"/>
          <w:szCs w:val="20"/>
        </w:rPr>
        <w:t xml:space="preserve">information collection by a Federal </w:t>
      </w:r>
      <w:r w:rsidR="00C030F4">
        <w:rPr>
          <w:i/>
          <w:color w:val="000000" w:themeColor="text1"/>
          <w:sz w:val="20"/>
          <w:szCs w:val="20"/>
        </w:rPr>
        <w:t>A</w:t>
      </w:r>
      <w:r w:rsidRPr="00CA3E8C">
        <w:rPr>
          <w:i/>
          <w:color w:val="000000" w:themeColor="text1"/>
          <w:sz w:val="20"/>
          <w:szCs w:val="20"/>
        </w:rPr>
        <w:t>gency</w:t>
      </w:r>
      <w:r w:rsidRPr="00CA3E8C" w:rsidR="00A643EA">
        <w:rPr>
          <w:i/>
          <w:color w:val="000000" w:themeColor="text1"/>
          <w:sz w:val="20"/>
          <w:szCs w:val="20"/>
        </w:rPr>
        <w:t xml:space="preserve"> </w:t>
      </w:r>
      <w:r w:rsidRPr="00CA3E8C">
        <w:rPr>
          <w:i/>
          <w:color w:val="000000" w:themeColor="text1"/>
          <w:sz w:val="20"/>
          <w:szCs w:val="20"/>
        </w:rPr>
        <w:t xml:space="preserve">(e.g., the use of sampling (or smaller samples), a decrease in the amount of information requested (fewer questions), or a decrease in reporting frequency). </w:t>
      </w:r>
    </w:p>
    <w:p w:rsidR="009F144F" w:rsidP="007B48AE" w14:paraId="17EADD21" w14:textId="4DA658FF">
      <w:pPr>
        <w:pStyle w:val="NormalWeb"/>
        <w:spacing w:line="276" w:lineRule="auto"/>
        <w:contextualSpacing/>
        <w:rPr>
          <w:i/>
          <w:color w:val="000000" w:themeColor="text1"/>
          <w:sz w:val="20"/>
          <w:szCs w:val="20"/>
        </w:rPr>
      </w:pPr>
      <w:r w:rsidRPr="007B48AE">
        <w:rPr>
          <w:bCs/>
          <w:i/>
          <w:color w:val="000000" w:themeColor="text1"/>
          <w:sz w:val="20"/>
          <w:szCs w:val="20"/>
        </w:rPr>
        <w:t>An</w:t>
      </w:r>
      <w:r w:rsidRPr="007B48AE" w:rsidR="005E21C2">
        <w:rPr>
          <w:bCs/>
          <w:i/>
          <w:color w:val="000000" w:themeColor="text1"/>
          <w:sz w:val="20"/>
          <w:szCs w:val="20"/>
        </w:rPr>
        <w:t xml:space="preserve"> </w:t>
      </w:r>
      <w:r>
        <w:rPr>
          <w:b/>
          <w:bCs/>
          <w:i/>
          <w:color w:val="000000" w:themeColor="text1"/>
          <w:sz w:val="20"/>
          <w:szCs w:val="20"/>
        </w:rPr>
        <w:t>“</w:t>
      </w:r>
      <w:r w:rsidRPr="00CA3E8C" w:rsidR="005E21C2">
        <w:rPr>
          <w:b/>
          <w:bCs/>
          <w:i/>
          <w:color w:val="000000" w:themeColor="text1"/>
          <w:sz w:val="20"/>
          <w:szCs w:val="20"/>
        </w:rPr>
        <w:t>Adjustment</w:t>
      </w:r>
      <w:r>
        <w:rPr>
          <w:b/>
          <w:bCs/>
          <w:i/>
          <w:color w:val="000000" w:themeColor="text1"/>
          <w:sz w:val="20"/>
          <w:szCs w:val="20"/>
        </w:rPr>
        <w:t>”</w:t>
      </w:r>
      <w:r w:rsidRPr="00CA3E8C" w:rsidR="005E21C2">
        <w:rPr>
          <w:i/>
          <w:color w:val="000000" w:themeColor="text1"/>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434E9C" w14:paraId="06A29EA3" w14:textId="6B2A34D8">
      <w:pPr>
        <w:rPr>
          <w:i/>
          <w:color w:val="000000" w:themeColor="text1"/>
          <w:sz w:val="20"/>
          <w:szCs w:val="20"/>
        </w:rPr>
      </w:pPr>
      <w:r>
        <w:rPr>
          <w:i/>
          <w:color w:val="000000" w:themeColor="text1"/>
          <w:sz w:val="20"/>
          <w:szCs w:val="20"/>
        </w:rPr>
        <w:br w:type="page"/>
      </w:r>
    </w:p>
    <w:tbl>
      <w:tblPr>
        <w:tblStyle w:val="TableGrid"/>
        <w:tblW w:w="9815" w:type="dxa"/>
        <w:jc w:val="center"/>
        <w:tblLook w:val="04A0"/>
      </w:tblPr>
      <w:tblGrid>
        <w:gridCol w:w="2581"/>
        <w:gridCol w:w="1627"/>
        <w:gridCol w:w="905"/>
        <w:gridCol w:w="1078"/>
        <w:gridCol w:w="1431"/>
        <w:gridCol w:w="1150"/>
        <w:gridCol w:w="1043"/>
      </w:tblGrid>
      <w:tr w14:paraId="0E6FF001" w14:textId="77777777" w:rsidTr="00C94895">
        <w:tblPrEx>
          <w:tblW w:w="9815" w:type="dxa"/>
          <w:jc w:val="center"/>
          <w:tblLook w:val="04A0"/>
        </w:tblPrEx>
        <w:trPr>
          <w:jc w:val="center"/>
        </w:trPr>
        <w:tc>
          <w:tcPr>
            <w:tcW w:w="9815" w:type="dxa"/>
            <w:gridSpan w:val="7"/>
            <w:shd w:val="clear" w:color="auto" w:fill="9CC2E5" w:themeFill="accent1" w:themeFillTint="99"/>
          </w:tcPr>
          <w:p w:rsidR="00AB3E13" w:rsidRPr="008D1279" w:rsidP="00540D41" w14:paraId="4537F2F1" w14:textId="77777777">
            <w:pPr>
              <w:jc w:val="center"/>
              <w:rPr>
                <w:b/>
                <w:sz w:val="20"/>
                <w:szCs w:val="20"/>
              </w:rPr>
            </w:pPr>
            <w:bookmarkStart w:id="5" w:name="_Hlk23326361"/>
            <w:r w:rsidRPr="008D1279">
              <w:rPr>
                <w:b/>
                <w:sz w:val="20"/>
                <w:szCs w:val="20"/>
              </w:rPr>
              <w:t>Itemized Changes in Annual Burden Hours</w:t>
            </w:r>
          </w:p>
        </w:tc>
      </w:tr>
      <w:tr w14:paraId="75B38F4B" w14:textId="77777777" w:rsidTr="00C94895">
        <w:tblPrEx>
          <w:tblW w:w="9815" w:type="dxa"/>
          <w:jc w:val="center"/>
          <w:tblLook w:val="04A0"/>
        </w:tblPrEx>
        <w:trPr>
          <w:jc w:val="center"/>
        </w:trPr>
        <w:tc>
          <w:tcPr>
            <w:tcW w:w="2581" w:type="dxa"/>
            <w:shd w:val="clear" w:color="auto" w:fill="9CC2E5" w:themeFill="accent1" w:themeFillTint="99"/>
          </w:tcPr>
          <w:p w:rsidR="00AB3E13" w:rsidRPr="00C94895" w:rsidP="00540D41" w14:paraId="775711C7" w14:textId="77777777">
            <w:pPr>
              <w:rPr>
                <w:sz w:val="18"/>
                <w:szCs w:val="18"/>
              </w:rPr>
            </w:pPr>
            <w:r w:rsidRPr="00C94895">
              <w:rPr>
                <w:sz w:val="18"/>
                <w:szCs w:val="18"/>
              </w:rPr>
              <w:t>Data Collection Activity/Instrument</w:t>
            </w:r>
          </w:p>
        </w:tc>
        <w:tc>
          <w:tcPr>
            <w:tcW w:w="1627" w:type="dxa"/>
            <w:shd w:val="clear" w:color="auto" w:fill="9CC2E5" w:themeFill="accent1" w:themeFillTint="99"/>
          </w:tcPr>
          <w:p w:rsidR="00AB3E13" w:rsidRPr="00C94895" w:rsidP="00540D41" w14:paraId="62520111" w14:textId="77777777">
            <w:pPr>
              <w:rPr>
                <w:sz w:val="18"/>
                <w:szCs w:val="18"/>
              </w:rPr>
            </w:pPr>
            <w:r w:rsidRPr="00C94895">
              <w:rPr>
                <w:sz w:val="18"/>
                <w:szCs w:val="18"/>
              </w:rPr>
              <w:t>Program Change (hours currently on OMB inventory)</w:t>
            </w:r>
          </w:p>
        </w:tc>
        <w:tc>
          <w:tcPr>
            <w:tcW w:w="905" w:type="dxa"/>
            <w:shd w:val="clear" w:color="auto" w:fill="9CC2E5" w:themeFill="accent1" w:themeFillTint="99"/>
          </w:tcPr>
          <w:p w:rsidR="00AB3E13" w:rsidRPr="00C94895" w:rsidP="00540D41" w14:paraId="7EFFDA17" w14:textId="77777777">
            <w:pPr>
              <w:rPr>
                <w:sz w:val="18"/>
                <w:szCs w:val="18"/>
              </w:rPr>
            </w:pPr>
            <w:r w:rsidRPr="00C94895">
              <w:rPr>
                <w:sz w:val="18"/>
                <w:szCs w:val="18"/>
              </w:rPr>
              <w:t>Program Change (new)</w:t>
            </w:r>
          </w:p>
        </w:tc>
        <w:tc>
          <w:tcPr>
            <w:tcW w:w="1078" w:type="dxa"/>
            <w:shd w:val="clear" w:color="auto" w:fill="9CC2E5" w:themeFill="accent1" w:themeFillTint="99"/>
          </w:tcPr>
          <w:p w:rsidR="00AB3E13" w:rsidRPr="00C94895" w:rsidP="00540D41" w14:paraId="385E9A4B" w14:textId="77777777">
            <w:pPr>
              <w:rPr>
                <w:sz w:val="18"/>
                <w:szCs w:val="18"/>
              </w:rPr>
            </w:pPr>
            <w:r w:rsidRPr="00C94895">
              <w:rPr>
                <w:sz w:val="18"/>
                <w:szCs w:val="18"/>
              </w:rPr>
              <w:t>Difference</w:t>
            </w:r>
          </w:p>
        </w:tc>
        <w:tc>
          <w:tcPr>
            <w:tcW w:w="1431" w:type="dxa"/>
            <w:shd w:val="clear" w:color="auto" w:fill="9CC2E5" w:themeFill="accent1" w:themeFillTint="99"/>
          </w:tcPr>
          <w:p w:rsidR="00AB3E13" w:rsidRPr="00C94895" w:rsidP="00540D41" w14:paraId="2052057E" w14:textId="77777777">
            <w:pPr>
              <w:rPr>
                <w:sz w:val="18"/>
                <w:szCs w:val="18"/>
              </w:rPr>
            </w:pPr>
            <w:r w:rsidRPr="00C94895">
              <w:rPr>
                <w:sz w:val="18"/>
                <w:szCs w:val="18"/>
              </w:rPr>
              <w:t>Adjustment (hours currently on OMB inventory)</w:t>
            </w:r>
          </w:p>
        </w:tc>
        <w:tc>
          <w:tcPr>
            <w:tcW w:w="1150" w:type="dxa"/>
            <w:shd w:val="clear" w:color="auto" w:fill="9CC2E5" w:themeFill="accent1" w:themeFillTint="99"/>
          </w:tcPr>
          <w:p w:rsidR="00AB3E13" w:rsidRPr="00C94895" w:rsidP="00540D41" w14:paraId="05A968E0" w14:textId="77777777">
            <w:pPr>
              <w:rPr>
                <w:sz w:val="18"/>
                <w:szCs w:val="18"/>
              </w:rPr>
            </w:pPr>
            <w:r w:rsidRPr="00C94895">
              <w:rPr>
                <w:sz w:val="18"/>
                <w:szCs w:val="18"/>
              </w:rPr>
              <w:t>Adjustment (new)</w:t>
            </w:r>
          </w:p>
        </w:tc>
        <w:tc>
          <w:tcPr>
            <w:tcW w:w="1043" w:type="dxa"/>
            <w:shd w:val="clear" w:color="auto" w:fill="9CC2E5" w:themeFill="accent1" w:themeFillTint="99"/>
          </w:tcPr>
          <w:p w:rsidR="00AB3E13" w:rsidRPr="00C94895" w:rsidP="00540D41" w14:paraId="4F291265" w14:textId="77777777">
            <w:pPr>
              <w:rPr>
                <w:sz w:val="18"/>
                <w:szCs w:val="18"/>
              </w:rPr>
            </w:pPr>
            <w:r w:rsidRPr="00C94895">
              <w:rPr>
                <w:sz w:val="18"/>
                <w:szCs w:val="18"/>
              </w:rPr>
              <w:t>Difference</w:t>
            </w:r>
          </w:p>
        </w:tc>
      </w:tr>
      <w:tr w14:paraId="4846E675" w14:textId="77777777" w:rsidTr="00C94895">
        <w:tblPrEx>
          <w:tblW w:w="9815" w:type="dxa"/>
          <w:jc w:val="center"/>
          <w:tblLook w:val="04A0"/>
        </w:tblPrEx>
        <w:trPr>
          <w:jc w:val="center"/>
        </w:trPr>
        <w:tc>
          <w:tcPr>
            <w:tcW w:w="2581" w:type="dxa"/>
            <w:vAlign w:val="center"/>
          </w:tcPr>
          <w:p w:rsidR="0077008F" w:rsidRPr="00C94895" w:rsidP="0077008F" w14:paraId="048D31F3" w14:textId="15045C33">
            <w:pPr>
              <w:rPr>
                <w:color w:val="000000"/>
                <w:sz w:val="18"/>
                <w:szCs w:val="18"/>
              </w:rPr>
            </w:pPr>
            <w:r w:rsidRPr="00C94895">
              <w:rPr>
                <w:color w:val="000000" w:themeColor="text1"/>
                <w:sz w:val="18"/>
                <w:szCs w:val="18"/>
              </w:rPr>
              <w:t>Community Assistance Visit (CAV) Report / FEMA Form FF-206-FY-21-141 (formerly 086-0-28 (E))</w:t>
            </w:r>
          </w:p>
        </w:tc>
        <w:tc>
          <w:tcPr>
            <w:tcW w:w="1627" w:type="dxa"/>
            <w:vAlign w:val="center"/>
          </w:tcPr>
          <w:p w:rsidR="0077008F" w:rsidRPr="00C94895" w:rsidP="0077008F" w14:paraId="37C1FAF0" w14:textId="31407014">
            <w:pPr>
              <w:jc w:val="right"/>
              <w:rPr>
                <w:sz w:val="18"/>
                <w:szCs w:val="18"/>
              </w:rPr>
            </w:pPr>
            <w:r w:rsidRPr="00C94895">
              <w:rPr>
                <w:sz w:val="18"/>
                <w:szCs w:val="18"/>
              </w:rPr>
              <w:t>30,000</w:t>
            </w:r>
          </w:p>
        </w:tc>
        <w:tc>
          <w:tcPr>
            <w:tcW w:w="905" w:type="dxa"/>
            <w:vAlign w:val="center"/>
          </w:tcPr>
          <w:p w:rsidR="0077008F" w:rsidRPr="00C94895" w:rsidP="0077008F" w14:paraId="27C4A3DA" w14:textId="1018868F">
            <w:pPr>
              <w:jc w:val="right"/>
              <w:rPr>
                <w:sz w:val="18"/>
                <w:szCs w:val="18"/>
              </w:rPr>
            </w:pPr>
            <w:r w:rsidRPr="00C94895">
              <w:rPr>
                <w:sz w:val="18"/>
                <w:szCs w:val="18"/>
              </w:rPr>
              <w:t>1</w:t>
            </w:r>
          </w:p>
        </w:tc>
        <w:tc>
          <w:tcPr>
            <w:tcW w:w="1078" w:type="dxa"/>
            <w:vAlign w:val="center"/>
          </w:tcPr>
          <w:p w:rsidR="0077008F" w:rsidRPr="00C94895" w:rsidP="0077008F" w14:paraId="3DCEB3CB" w14:textId="17EEE6E1">
            <w:pPr>
              <w:jc w:val="right"/>
              <w:rPr>
                <w:sz w:val="18"/>
                <w:szCs w:val="18"/>
              </w:rPr>
            </w:pPr>
            <w:r w:rsidRPr="00C94895">
              <w:rPr>
                <w:sz w:val="18"/>
                <w:szCs w:val="18"/>
              </w:rPr>
              <w:t>-29,999</w:t>
            </w:r>
          </w:p>
        </w:tc>
        <w:tc>
          <w:tcPr>
            <w:tcW w:w="1431" w:type="dxa"/>
            <w:vAlign w:val="center"/>
          </w:tcPr>
          <w:p w:rsidR="0077008F" w:rsidRPr="00C94895" w:rsidP="0077008F" w14:paraId="3DD4452B" w14:textId="439EF6D7">
            <w:pPr>
              <w:jc w:val="right"/>
              <w:rPr>
                <w:sz w:val="18"/>
                <w:szCs w:val="18"/>
              </w:rPr>
            </w:pPr>
          </w:p>
        </w:tc>
        <w:tc>
          <w:tcPr>
            <w:tcW w:w="1150" w:type="dxa"/>
            <w:vAlign w:val="center"/>
          </w:tcPr>
          <w:p w:rsidR="0077008F" w:rsidRPr="00C94895" w:rsidP="0077008F" w14:paraId="136E54F8" w14:textId="2AA629D1">
            <w:pPr>
              <w:jc w:val="right"/>
              <w:rPr>
                <w:sz w:val="18"/>
                <w:szCs w:val="18"/>
              </w:rPr>
            </w:pPr>
          </w:p>
        </w:tc>
        <w:tc>
          <w:tcPr>
            <w:tcW w:w="1043" w:type="dxa"/>
            <w:vAlign w:val="center"/>
          </w:tcPr>
          <w:p w:rsidR="0077008F" w:rsidRPr="00C94895" w:rsidP="0077008F" w14:paraId="0ABE797A" w14:textId="12AA4F05">
            <w:pPr>
              <w:jc w:val="right"/>
              <w:rPr>
                <w:sz w:val="18"/>
                <w:szCs w:val="18"/>
              </w:rPr>
            </w:pPr>
          </w:p>
        </w:tc>
      </w:tr>
      <w:tr w14:paraId="65479EC9" w14:textId="77777777" w:rsidTr="00C94895">
        <w:tblPrEx>
          <w:tblW w:w="9815" w:type="dxa"/>
          <w:jc w:val="center"/>
          <w:tblLook w:val="04A0"/>
        </w:tblPrEx>
        <w:trPr>
          <w:jc w:val="center"/>
        </w:trPr>
        <w:tc>
          <w:tcPr>
            <w:tcW w:w="2581" w:type="dxa"/>
            <w:vAlign w:val="center"/>
          </w:tcPr>
          <w:p w:rsidR="0077008F" w:rsidRPr="00C94895" w:rsidP="0077008F" w14:paraId="5751A604" w14:textId="063358BA">
            <w:pPr>
              <w:rPr>
                <w:color w:val="000000"/>
                <w:sz w:val="18"/>
                <w:szCs w:val="18"/>
              </w:rPr>
            </w:pPr>
            <w:r w:rsidRPr="00C94895">
              <w:rPr>
                <w:color w:val="000000" w:themeColor="text1"/>
                <w:sz w:val="18"/>
                <w:szCs w:val="18"/>
              </w:rPr>
              <w:t>Community Assistance Contact (CAC) Report / FEMA Form FF-206-FY-21-142 (formerly 086-0-29 (E))t</w:t>
            </w:r>
          </w:p>
        </w:tc>
        <w:tc>
          <w:tcPr>
            <w:tcW w:w="1627" w:type="dxa"/>
            <w:vAlign w:val="center"/>
          </w:tcPr>
          <w:p w:rsidR="0077008F" w:rsidRPr="00C94895" w:rsidP="0077008F" w14:paraId="725ACCAE" w14:textId="431C11CA">
            <w:pPr>
              <w:jc w:val="right"/>
              <w:rPr>
                <w:sz w:val="18"/>
                <w:szCs w:val="18"/>
              </w:rPr>
            </w:pPr>
            <w:r w:rsidRPr="00C94895">
              <w:rPr>
                <w:sz w:val="18"/>
                <w:szCs w:val="18"/>
              </w:rPr>
              <w:t>30,000</w:t>
            </w:r>
          </w:p>
        </w:tc>
        <w:tc>
          <w:tcPr>
            <w:tcW w:w="905" w:type="dxa"/>
            <w:vAlign w:val="center"/>
          </w:tcPr>
          <w:p w:rsidR="0077008F" w:rsidRPr="00C94895" w:rsidP="0077008F" w14:paraId="206B1843" w14:textId="26E35A3C">
            <w:pPr>
              <w:jc w:val="right"/>
              <w:rPr>
                <w:sz w:val="18"/>
                <w:szCs w:val="18"/>
              </w:rPr>
            </w:pPr>
            <w:r w:rsidRPr="00C94895">
              <w:rPr>
                <w:sz w:val="18"/>
                <w:szCs w:val="18"/>
              </w:rPr>
              <w:t>1</w:t>
            </w:r>
          </w:p>
        </w:tc>
        <w:tc>
          <w:tcPr>
            <w:tcW w:w="1078" w:type="dxa"/>
            <w:vAlign w:val="center"/>
          </w:tcPr>
          <w:p w:rsidR="0077008F" w:rsidRPr="00C94895" w:rsidP="0077008F" w14:paraId="478E8F4B" w14:textId="7B098031">
            <w:pPr>
              <w:jc w:val="right"/>
              <w:rPr>
                <w:sz w:val="18"/>
                <w:szCs w:val="18"/>
              </w:rPr>
            </w:pPr>
            <w:r w:rsidRPr="00C94895">
              <w:rPr>
                <w:sz w:val="18"/>
                <w:szCs w:val="18"/>
              </w:rPr>
              <w:t>-29,999</w:t>
            </w:r>
          </w:p>
        </w:tc>
        <w:tc>
          <w:tcPr>
            <w:tcW w:w="1431" w:type="dxa"/>
            <w:vAlign w:val="center"/>
          </w:tcPr>
          <w:p w:rsidR="0077008F" w:rsidRPr="00C94895" w:rsidP="0077008F" w14:paraId="431BF8A1" w14:textId="79C94945">
            <w:pPr>
              <w:jc w:val="right"/>
              <w:rPr>
                <w:sz w:val="18"/>
                <w:szCs w:val="18"/>
              </w:rPr>
            </w:pPr>
          </w:p>
        </w:tc>
        <w:tc>
          <w:tcPr>
            <w:tcW w:w="1150" w:type="dxa"/>
            <w:vAlign w:val="center"/>
          </w:tcPr>
          <w:p w:rsidR="0077008F" w:rsidRPr="00C94895" w:rsidP="0077008F" w14:paraId="231DFDCD" w14:textId="282A4C99">
            <w:pPr>
              <w:jc w:val="right"/>
              <w:rPr>
                <w:sz w:val="18"/>
                <w:szCs w:val="18"/>
              </w:rPr>
            </w:pPr>
          </w:p>
        </w:tc>
        <w:tc>
          <w:tcPr>
            <w:tcW w:w="1043" w:type="dxa"/>
            <w:vAlign w:val="center"/>
          </w:tcPr>
          <w:p w:rsidR="0077008F" w:rsidRPr="00C94895" w:rsidP="0077008F" w14:paraId="509E559F" w14:textId="44706D9F">
            <w:pPr>
              <w:jc w:val="right"/>
              <w:rPr>
                <w:sz w:val="18"/>
                <w:szCs w:val="18"/>
              </w:rPr>
            </w:pPr>
          </w:p>
        </w:tc>
      </w:tr>
      <w:tr w14:paraId="6DB3923D" w14:textId="77777777" w:rsidTr="00C94895">
        <w:tblPrEx>
          <w:tblW w:w="9815" w:type="dxa"/>
          <w:jc w:val="center"/>
          <w:tblLook w:val="04A0"/>
        </w:tblPrEx>
        <w:trPr>
          <w:jc w:val="center"/>
        </w:trPr>
        <w:tc>
          <w:tcPr>
            <w:tcW w:w="2581" w:type="dxa"/>
            <w:vAlign w:val="center"/>
          </w:tcPr>
          <w:p w:rsidR="0077008F" w:rsidRPr="00C94895" w:rsidP="0077008F" w14:paraId="153FC2C9" w14:textId="58F59DC7">
            <w:pPr>
              <w:rPr>
                <w:color w:val="000000"/>
                <w:sz w:val="18"/>
                <w:szCs w:val="18"/>
              </w:rPr>
            </w:pPr>
            <w:r w:rsidRPr="00C94895">
              <w:rPr>
                <w:color w:val="000000" w:themeColor="text1"/>
                <w:sz w:val="18"/>
                <w:szCs w:val="18"/>
              </w:rPr>
              <w:t>National Flood Insurance Program (NFIP) Compliance Audit Report / FEMA Form FF-206-FY-24-100</w:t>
            </w:r>
          </w:p>
        </w:tc>
        <w:tc>
          <w:tcPr>
            <w:tcW w:w="1627" w:type="dxa"/>
            <w:vAlign w:val="center"/>
          </w:tcPr>
          <w:p w:rsidR="0077008F" w:rsidRPr="00C94895" w:rsidP="0077008F" w14:paraId="4A205CC1" w14:textId="3687D42F">
            <w:pPr>
              <w:jc w:val="right"/>
              <w:rPr>
                <w:sz w:val="18"/>
                <w:szCs w:val="18"/>
              </w:rPr>
            </w:pPr>
            <w:r w:rsidRPr="00C94895">
              <w:rPr>
                <w:sz w:val="18"/>
                <w:szCs w:val="18"/>
              </w:rPr>
              <w:t>0</w:t>
            </w:r>
          </w:p>
        </w:tc>
        <w:tc>
          <w:tcPr>
            <w:tcW w:w="905" w:type="dxa"/>
            <w:vAlign w:val="center"/>
          </w:tcPr>
          <w:p w:rsidR="0077008F" w:rsidRPr="00C94895" w:rsidP="0077008F" w14:paraId="569339BE" w14:textId="13E3D6A2">
            <w:pPr>
              <w:jc w:val="right"/>
              <w:rPr>
                <w:sz w:val="18"/>
                <w:szCs w:val="18"/>
              </w:rPr>
            </w:pPr>
            <w:r w:rsidRPr="00C94895">
              <w:rPr>
                <w:sz w:val="18"/>
                <w:szCs w:val="18"/>
              </w:rPr>
              <w:t>48,000</w:t>
            </w:r>
          </w:p>
        </w:tc>
        <w:tc>
          <w:tcPr>
            <w:tcW w:w="1078" w:type="dxa"/>
            <w:vAlign w:val="center"/>
          </w:tcPr>
          <w:p w:rsidR="0077008F" w:rsidRPr="00C94895" w:rsidP="0077008F" w14:paraId="691B21DC" w14:textId="26ADCA3D">
            <w:pPr>
              <w:jc w:val="right"/>
              <w:rPr>
                <w:sz w:val="18"/>
                <w:szCs w:val="18"/>
              </w:rPr>
            </w:pPr>
            <w:r w:rsidRPr="00C94895">
              <w:rPr>
                <w:sz w:val="18"/>
                <w:szCs w:val="18"/>
              </w:rPr>
              <w:t>48,000</w:t>
            </w:r>
          </w:p>
        </w:tc>
        <w:tc>
          <w:tcPr>
            <w:tcW w:w="1431" w:type="dxa"/>
            <w:vAlign w:val="center"/>
          </w:tcPr>
          <w:p w:rsidR="0077008F" w:rsidRPr="00C94895" w:rsidP="0077008F" w14:paraId="50EEEE15" w14:textId="0FC615D1">
            <w:pPr>
              <w:jc w:val="right"/>
              <w:rPr>
                <w:sz w:val="18"/>
                <w:szCs w:val="18"/>
              </w:rPr>
            </w:pPr>
          </w:p>
        </w:tc>
        <w:tc>
          <w:tcPr>
            <w:tcW w:w="1150" w:type="dxa"/>
            <w:vAlign w:val="center"/>
          </w:tcPr>
          <w:p w:rsidR="0077008F" w:rsidRPr="00C94895" w:rsidP="0077008F" w14:paraId="79306A73" w14:textId="16EFFCE8">
            <w:pPr>
              <w:jc w:val="right"/>
              <w:rPr>
                <w:sz w:val="18"/>
                <w:szCs w:val="18"/>
              </w:rPr>
            </w:pPr>
          </w:p>
        </w:tc>
        <w:tc>
          <w:tcPr>
            <w:tcW w:w="1043" w:type="dxa"/>
            <w:vAlign w:val="center"/>
          </w:tcPr>
          <w:p w:rsidR="0077008F" w:rsidRPr="00C94895" w:rsidP="0077008F" w14:paraId="5170C147" w14:textId="3A0CC50B">
            <w:pPr>
              <w:jc w:val="right"/>
              <w:rPr>
                <w:sz w:val="18"/>
                <w:szCs w:val="18"/>
              </w:rPr>
            </w:pPr>
          </w:p>
        </w:tc>
      </w:tr>
      <w:tr w14:paraId="09F8C4D4" w14:textId="77777777" w:rsidTr="00C94895">
        <w:tblPrEx>
          <w:tblW w:w="9815" w:type="dxa"/>
          <w:jc w:val="center"/>
          <w:tblLook w:val="04A0"/>
        </w:tblPrEx>
        <w:trPr>
          <w:jc w:val="center"/>
        </w:trPr>
        <w:tc>
          <w:tcPr>
            <w:tcW w:w="2581" w:type="dxa"/>
            <w:vAlign w:val="center"/>
          </w:tcPr>
          <w:p w:rsidR="0077008F" w:rsidRPr="00C94895" w:rsidP="0077008F" w14:paraId="6303E5A0" w14:textId="77777777">
            <w:pPr>
              <w:rPr>
                <w:bCs/>
                <w:sz w:val="18"/>
                <w:szCs w:val="18"/>
              </w:rPr>
            </w:pPr>
            <w:r w:rsidRPr="00C94895">
              <w:rPr>
                <w:bCs/>
                <w:sz w:val="18"/>
                <w:szCs w:val="18"/>
              </w:rPr>
              <w:t>Total</w:t>
            </w:r>
          </w:p>
        </w:tc>
        <w:tc>
          <w:tcPr>
            <w:tcW w:w="1627" w:type="dxa"/>
            <w:vAlign w:val="center"/>
          </w:tcPr>
          <w:p w:rsidR="0077008F" w:rsidRPr="00C94895" w:rsidP="0077008F" w14:paraId="278D2423" w14:textId="13B926B3">
            <w:pPr>
              <w:jc w:val="right"/>
              <w:rPr>
                <w:bCs/>
                <w:sz w:val="18"/>
                <w:szCs w:val="18"/>
              </w:rPr>
            </w:pPr>
            <w:r w:rsidRPr="00C94895">
              <w:rPr>
                <w:bCs/>
                <w:sz w:val="18"/>
                <w:szCs w:val="18"/>
              </w:rPr>
              <w:t>60,000</w:t>
            </w:r>
          </w:p>
        </w:tc>
        <w:tc>
          <w:tcPr>
            <w:tcW w:w="905" w:type="dxa"/>
            <w:vAlign w:val="center"/>
          </w:tcPr>
          <w:p w:rsidR="0077008F" w:rsidRPr="00C94895" w:rsidP="0077008F" w14:paraId="6CB0139A" w14:textId="5DFAA877">
            <w:pPr>
              <w:jc w:val="right"/>
              <w:rPr>
                <w:bCs/>
                <w:sz w:val="18"/>
                <w:szCs w:val="18"/>
              </w:rPr>
            </w:pPr>
            <w:r w:rsidRPr="00C94895">
              <w:rPr>
                <w:bCs/>
                <w:sz w:val="18"/>
                <w:szCs w:val="18"/>
              </w:rPr>
              <w:t>48,002</w:t>
            </w:r>
          </w:p>
        </w:tc>
        <w:tc>
          <w:tcPr>
            <w:tcW w:w="1078" w:type="dxa"/>
            <w:vAlign w:val="center"/>
          </w:tcPr>
          <w:p w:rsidR="0077008F" w:rsidRPr="00C94895" w:rsidP="0077008F" w14:paraId="39ECE053" w14:textId="3491AD5D">
            <w:pPr>
              <w:jc w:val="right"/>
              <w:rPr>
                <w:bCs/>
                <w:sz w:val="18"/>
                <w:szCs w:val="18"/>
              </w:rPr>
            </w:pPr>
            <w:r w:rsidRPr="00C94895">
              <w:rPr>
                <w:bCs/>
                <w:sz w:val="18"/>
                <w:szCs w:val="18"/>
              </w:rPr>
              <w:t>-11,998</w:t>
            </w:r>
          </w:p>
        </w:tc>
        <w:tc>
          <w:tcPr>
            <w:tcW w:w="1431" w:type="dxa"/>
            <w:vAlign w:val="center"/>
          </w:tcPr>
          <w:p w:rsidR="0077008F" w:rsidRPr="00C94895" w:rsidP="0077008F" w14:paraId="4F66A0D9" w14:textId="563B9958">
            <w:pPr>
              <w:jc w:val="right"/>
              <w:rPr>
                <w:bCs/>
                <w:sz w:val="18"/>
                <w:szCs w:val="18"/>
              </w:rPr>
            </w:pPr>
            <w:r w:rsidRPr="00C94895">
              <w:rPr>
                <w:bCs/>
                <w:sz w:val="18"/>
                <w:szCs w:val="18"/>
              </w:rPr>
              <w:t>0</w:t>
            </w:r>
          </w:p>
        </w:tc>
        <w:tc>
          <w:tcPr>
            <w:tcW w:w="1150" w:type="dxa"/>
            <w:vAlign w:val="center"/>
          </w:tcPr>
          <w:p w:rsidR="0077008F" w:rsidRPr="00C94895" w:rsidP="0077008F" w14:paraId="2F3596B9" w14:textId="44A5433E">
            <w:pPr>
              <w:jc w:val="right"/>
              <w:rPr>
                <w:bCs/>
                <w:sz w:val="18"/>
                <w:szCs w:val="18"/>
              </w:rPr>
            </w:pPr>
            <w:r w:rsidRPr="00C94895">
              <w:rPr>
                <w:bCs/>
                <w:sz w:val="18"/>
                <w:szCs w:val="18"/>
              </w:rPr>
              <w:t>0</w:t>
            </w:r>
          </w:p>
        </w:tc>
        <w:tc>
          <w:tcPr>
            <w:tcW w:w="1043" w:type="dxa"/>
            <w:vAlign w:val="center"/>
          </w:tcPr>
          <w:p w:rsidR="0077008F" w:rsidRPr="00C94895" w:rsidP="0077008F" w14:paraId="35E414A5" w14:textId="7B606C1A">
            <w:pPr>
              <w:jc w:val="right"/>
              <w:rPr>
                <w:bCs/>
                <w:sz w:val="18"/>
                <w:szCs w:val="18"/>
              </w:rPr>
            </w:pPr>
            <w:r w:rsidRPr="00C94895">
              <w:rPr>
                <w:bCs/>
                <w:sz w:val="18"/>
                <w:szCs w:val="18"/>
              </w:rPr>
              <w:t>0</w:t>
            </w:r>
          </w:p>
        </w:tc>
      </w:tr>
      <w:bookmarkEnd w:id="5"/>
    </w:tbl>
    <w:p w:rsidR="009F144F" w:rsidRPr="00C94895" w:rsidP="007B48AE" w14:paraId="59418911" w14:textId="77777777">
      <w:pPr>
        <w:spacing w:line="276" w:lineRule="auto"/>
        <w:contextualSpacing/>
        <w:rPr>
          <w:iCs/>
          <w:color w:val="000000" w:themeColor="text1"/>
        </w:rPr>
      </w:pPr>
    </w:p>
    <w:p w:rsidR="0047652B" w:rsidP="00E25849" w14:paraId="644B1DD8" w14:textId="4744FC3B">
      <w:pPr>
        <w:spacing w:line="276" w:lineRule="auto"/>
        <w:contextualSpacing/>
        <w:rPr>
          <w:bCs/>
          <w:color w:val="000000" w:themeColor="text1"/>
        </w:rPr>
      </w:pPr>
      <w:r w:rsidRPr="006A4AF3">
        <w:rPr>
          <w:b/>
          <w:bCs/>
          <w:i/>
          <w:color w:val="000000" w:themeColor="text1"/>
        </w:rPr>
        <w:t>Explain:</w:t>
      </w:r>
      <w:r w:rsidRPr="006A4AF3" w:rsidR="00085321">
        <w:rPr>
          <w:iCs/>
          <w:color w:val="000000" w:themeColor="text1"/>
        </w:rPr>
        <w:t xml:space="preserve">  </w:t>
      </w:r>
      <w:r w:rsidRPr="008076AC" w:rsidR="001252CB">
        <w:t xml:space="preserve">Annual burden </w:t>
      </w:r>
      <w:r w:rsidR="001252CB">
        <w:t>hours</w:t>
      </w:r>
      <w:r w:rsidRPr="008076AC" w:rsidR="001252CB">
        <w:t xml:space="preserve"> decreased by </w:t>
      </w:r>
      <w:r w:rsidR="006A1135">
        <w:t>-11,998.</w:t>
      </w:r>
      <w:r w:rsidRPr="006A1135" w:rsidR="006A1135">
        <w:rPr>
          <w:bCs/>
          <w:color w:val="000000" w:themeColor="text1"/>
        </w:rPr>
        <w:t xml:space="preserve"> </w:t>
      </w:r>
      <w:r w:rsidR="00DF668E">
        <w:rPr>
          <w:bCs/>
          <w:color w:val="000000" w:themeColor="text1"/>
        </w:rPr>
        <w:t xml:space="preserve"> </w:t>
      </w:r>
      <w:r w:rsidRPr="00045255" w:rsidR="006A1135">
        <w:rPr>
          <w:bCs/>
          <w:color w:val="000000" w:themeColor="text1"/>
        </w:rPr>
        <w:t>This was due to burden hour decrease of</w:t>
      </w:r>
      <w:r w:rsidR="00DF668E">
        <w:rPr>
          <w:bCs/>
          <w:color w:val="000000" w:themeColor="text1"/>
        </w:rPr>
        <w:t xml:space="preserve"> -</w:t>
      </w:r>
      <w:r w:rsidR="008D6343">
        <w:rPr>
          <w:bCs/>
          <w:color w:val="000000" w:themeColor="text1"/>
        </w:rPr>
        <w:t xml:space="preserve">59,998 </w:t>
      </w:r>
      <w:r w:rsidRPr="00750572" w:rsidR="00750572">
        <w:rPr>
          <w:bCs/>
          <w:color w:val="000000" w:themeColor="text1"/>
        </w:rPr>
        <w:t>hours collectively for the</w:t>
      </w:r>
      <w:r w:rsidRPr="00750572" w:rsidR="00750572">
        <w:rPr>
          <w:bCs/>
          <w:color w:val="000000" w:themeColor="text1"/>
        </w:rPr>
        <w:t xml:space="preserve"> </w:t>
      </w:r>
      <w:r w:rsidRPr="00750572" w:rsidR="00750572">
        <w:rPr>
          <w:bCs/>
          <w:color w:val="000000" w:themeColor="text1"/>
        </w:rPr>
        <w:t>Community Assistance Visit (CAV) Report / FEMA Form FF-206-FY-21-141 (formerly 086-0-28 (E))</w:t>
      </w:r>
      <w:r w:rsidR="00750572">
        <w:rPr>
          <w:bCs/>
          <w:color w:val="000000" w:themeColor="text1"/>
        </w:rPr>
        <w:t xml:space="preserve"> and </w:t>
      </w:r>
      <w:r w:rsidRPr="00E25849" w:rsidR="00E25849">
        <w:rPr>
          <w:bCs/>
          <w:color w:val="000000" w:themeColor="text1"/>
        </w:rPr>
        <w:t>Community Assistance Contact (CAC) Report / FEMA Form FF-206-FY-21-142 (formerly 086-0-29 (E))</w:t>
      </w:r>
      <w:r w:rsidR="004C539F">
        <w:rPr>
          <w:bCs/>
          <w:color w:val="000000" w:themeColor="text1"/>
        </w:rPr>
        <w:t xml:space="preserve">.  </w:t>
      </w:r>
      <w:r w:rsidRPr="00E83D14" w:rsidR="00E83D14">
        <w:rPr>
          <w:bCs/>
          <w:color w:val="000000" w:themeColor="text1"/>
        </w:rPr>
        <w:t xml:space="preserve">This decrease was offset by burden hour increase of </w:t>
      </w:r>
      <w:r w:rsidR="007A2DF1">
        <w:rPr>
          <w:bCs/>
          <w:color w:val="000000" w:themeColor="text1"/>
        </w:rPr>
        <w:t>48,000</w:t>
      </w:r>
      <w:r w:rsidR="00BE466C">
        <w:rPr>
          <w:bCs/>
          <w:color w:val="000000" w:themeColor="text1"/>
        </w:rPr>
        <w:t xml:space="preserve"> </w:t>
      </w:r>
      <w:r w:rsidR="00293B73">
        <w:t>hours, which was</w:t>
      </w:r>
      <w:r w:rsidRPr="008076AC" w:rsidR="00293B73">
        <w:t xml:space="preserve"> due to the addition of</w:t>
      </w:r>
      <w:r w:rsidR="002E60B0">
        <w:t xml:space="preserve"> </w:t>
      </w:r>
      <w:r w:rsidRPr="002E60B0" w:rsidR="002E60B0">
        <w:t>National Flood Insurance Program (NFIP) Compliance Audit Report / FEMA Form FF-206-FY-24-100</w:t>
      </w:r>
      <w:r w:rsidR="00BE466C">
        <w:rPr>
          <w:bCs/>
          <w:color w:val="000000" w:themeColor="text1"/>
        </w:rPr>
        <w:t>.</w:t>
      </w:r>
    </w:p>
    <w:p w:rsidR="00C15C63" w:rsidRPr="006A4AF3" w:rsidP="00E25849" w14:paraId="23EBBFB8" w14:textId="77777777">
      <w:pPr>
        <w:spacing w:line="276" w:lineRule="auto"/>
        <w:contextualSpacing/>
        <w:rPr>
          <w:bCs/>
          <w:color w:val="000000" w:themeColor="text1"/>
        </w:rPr>
      </w:pPr>
    </w:p>
    <w:tbl>
      <w:tblPr>
        <w:tblStyle w:val="TableGrid"/>
        <w:tblW w:w="10085" w:type="dxa"/>
        <w:jc w:val="center"/>
        <w:tblLook w:val="04A0"/>
      </w:tblPr>
      <w:tblGrid>
        <w:gridCol w:w="2487"/>
        <w:gridCol w:w="1529"/>
        <w:gridCol w:w="1116"/>
        <w:gridCol w:w="1263"/>
        <w:gridCol w:w="1440"/>
        <w:gridCol w:w="1170"/>
        <w:gridCol w:w="1080"/>
      </w:tblGrid>
      <w:tr w14:paraId="487B3125" w14:textId="77777777" w:rsidTr="00C94895">
        <w:tblPrEx>
          <w:tblW w:w="10085" w:type="dxa"/>
          <w:jc w:val="center"/>
          <w:tblLook w:val="04A0"/>
        </w:tblPrEx>
        <w:trPr>
          <w:jc w:val="center"/>
        </w:trPr>
        <w:tc>
          <w:tcPr>
            <w:tcW w:w="10085" w:type="dxa"/>
            <w:gridSpan w:val="7"/>
            <w:shd w:val="clear" w:color="auto" w:fill="9CC2E5" w:themeFill="accent1" w:themeFillTint="99"/>
          </w:tcPr>
          <w:p w:rsidR="00C15C63" w:rsidRPr="008D1279" w:rsidP="00540D41" w14:paraId="68A9785B" w14:textId="77777777">
            <w:pPr>
              <w:jc w:val="center"/>
              <w:rPr>
                <w:b/>
                <w:sz w:val="20"/>
                <w:szCs w:val="20"/>
              </w:rPr>
            </w:pPr>
            <w:bookmarkStart w:id="6" w:name="_Hlk51851522"/>
            <w:r w:rsidRPr="008D1279">
              <w:rPr>
                <w:b/>
                <w:sz w:val="20"/>
                <w:szCs w:val="20"/>
              </w:rPr>
              <w:t>Itemized Changes in Annual Cost Burden</w:t>
            </w:r>
          </w:p>
        </w:tc>
      </w:tr>
      <w:tr w14:paraId="5BD962DA" w14:textId="77777777" w:rsidTr="00C94895">
        <w:tblPrEx>
          <w:tblW w:w="10085" w:type="dxa"/>
          <w:jc w:val="center"/>
          <w:tblLook w:val="04A0"/>
        </w:tblPrEx>
        <w:trPr>
          <w:jc w:val="center"/>
        </w:trPr>
        <w:tc>
          <w:tcPr>
            <w:tcW w:w="2487" w:type="dxa"/>
            <w:shd w:val="clear" w:color="auto" w:fill="9CC2E5" w:themeFill="accent1" w:themeFillTint="99"/>
          </w:tcPr>
          <w:p w:rsidR="00C15C63" w:rsidRPr="00C94895" w:rsidP="00540D41" w14:paraId="39193C79" w14:textId="77777777">
            <w:pPr>
              <w:rPr>
                <w:sz w:val="18"/>
                <w:szCs w:val="18"/>
              </w:rPr>
            </w:pPr>
            <w:r w:rsidRPr="00C94895">
              <w:rPr>
                <w:sz w:val="18"/>
                <w:szCs w:val="18"/>
              </w:rPr>
              <w:t>Data Collection Activity/Instrument</w:t>
            </w:r>
          </w:p>
        </w:tc>
        <w:tc>
          <w:tcPr>
            <w:tcW w:w="1529" w:type="dxa"/>
            <w:shd w:val="clear" w:color="auto" w:fill="9CC2E5" w:themeFill="accent1" w:themeFillTint="99"/>
          </w:tcPr>
          <w:p w:rsidR="00C15C63" w:rsidRPr="00C94895" w:rsidP="00540D41" w14:paraId="1831B43E" w14:textId="77777777">
            <w:pPr>
              <w:rPr>
                <w:sz w:val="18"/>
                <w:szCs w:val="18"/>
              </w:rPr>
            </w:pPr>
            <w:r w:rsidRPr="00C94895">
              <w:rPr>
                <w:sz w:val="18"/>
                <w:szCs w:val="18"/>
              </w:rPr>
              <w:t>Program Change (cost currently on OMB inventory)</w:t>
            </w:r>
          </w:p>
        </w:tc>
        <w:tc>
          <w:tcPr>
            <w:tcW w:w="1116" w:type="dxa"/>
            <w:shd w:val="clear" w:color="auto" w:fill="9CC2E5" w:themeFill="accent1" w:themeFillTint="99"/>
          </w:tcPr>
          <w:p w:rsidR="00C15C63" w:rsidRPr="00C94895" w:rsidP="00540D41" w14:paraId="45DC7089" w14:textId="77777777">
            <w:pPr>
              <w:rPr>
                <w:sz w:val="18"/>
                <w:szCs w:val="18"/>
              </w:rPr>
            </w:pPr>
            <w:r w:rsidRPr="00C94895">
              <w:rPr>
                <w:sz w:val="18"/>
                <w:szCs w:val="18"/>
              </w:rPr>
              <w:t>Program Change (new)</w:t>
            </w:r>
          </w:p>
        </w:tc>
        <w:tc>
          <w:tcPr>
            <w:tcW w:w="1263" w:type="dxa"/>
            <w:shd w:val="clear" w:color="auto" w:fill="9CC2E5" w:themeFill="accent1" w:themeFillTint="99"/>
          </w:tcPr>
          <w:p w:rsidR="00C15C63" w:rsidRPr="00C94895" w:rsidP="00540D41" w14:paraId="34D61295" w14:textId="77777777">
            <w:pPr>
              <w:rPr>
                <w:sz w:val="18"/>
                <w:szCs w:val="18"/>
              </w:rPr>
            </w:pPr>
            <w:r w:rsidRPr="00C94895">
              <w:rPr>
                <w:sz w:val="18"/>
                <w:szCs w:val="18"/>
              </w:rPr>
              <w:t>Difference</w:t>
            </w:r>
          </w:p>
        </w:tc>
        <w:tc>
          <w:tcPr>
            <w:tcW w:w="1440" w:type="dxa"/>
            <w:shd w:val="clear" w:color="auto" w:fill="9CC2E5" w:themeFill="accent1" w:themeFillTint="99"/>
          </w:tcPr>
          <w:p w:rsidR="00C15C63" w:rsidRPr="00C94895" w:rsidP="00540D41" w14:paraId="1393BDAA" w14:textId="77777777">
            <w:pPr>
              <w:rPr>
                <w:sz w:val="18"/>
                <w:szCs w:val="18"/>
              </w:rPr>
            </w:pPr>
            <w:r w:rsidRPr="00C94895">
              <w:rPr>
                <w:sz w:val="18"/>
                <w:szCs w:val="18"/>
              </w:rPr>
              <w:t>Adjustment (cost currently on OMB inventory)</w:t>
            </w:r>
          </w:p>
        </w:tc>
        <w:tc>
          <w:tcPr>
            <w:tcW w:w="1170" w:type="dxa"/>
            <w:shd w:val="clear" w:color="auto" w:fill="9CC2E5" w:themeFill="accent1" w:themeFillTint="99"/>
          </w:tcPr>
          <w:p w:rsidR="00C15C63" w:rsidRPr="00C94895" w:rsidP="00540D41" w14:paraId="25DFECF0" w14:textId="77777777">
            <w:pPr>
              <w:rPr>
                <w:sz w:val="18"/>
                <w:szCs w:val="18"/>
              </w:rPr>
            </w:pPr>
            <w:r w:rsidRPr="00C94895">
              <w:rPr>
                <w:sz w:val="18"/>
                <w:szCs w:val="18"/>
              </w:rPr>
              <w:t>Adjustment (new)</w:t>
            </w:r>
          </w:p>
        </w:tc>
        <w:tc>
          <w:tcPr>
            <w:tcW w:w="1080" w:type="dxa"/>
            <w:shd w:val="clear" w:color="auto" w:fill="9CC2E5" w:themeFill="accent1" w:themeFillTint="99"/>
          </w:tcPr>
          <w:p w:rsidR="00C15C63" w:rsidRPr="00C94895" w:rsidP="00540D41" w14:paraId="1A918649" w14:textId="77777777">
            <w:pPr>
              <w:rPr>
                <w:sz w:val="18"/>
                <w:szCs w:val="18"/>
              </w:rPr>
            </w:pPr>
            <w:r w:rsidRPr="00C94895">
              <w:rPr>
                <w:sz w:val="18"/>
                <w:szCs w:val="18"/>
              </w:rPr>
              <w:t>Difference</w:t>
            </w:r>
          </w:p>
        </w:tc>
      </w:tr>
      <w:tr w14:paraId="61D44DAD" w14:textId="77777777" w:rsidTr="00C94895">
        <w:tblPrEx>
          <w:tblW w:w="10085" w:type="dxa"/>
          <w:jc w:val="center"/>
          <w:tblLook w:val="04A0"/>
        </w:tblPrEx>
        <w:trPr>
          <w:jc w:val="center"/>
        </w:trPr>
        <w:tc>
          <w:tcPr>
            <w:tcW w:w="2487" w:type="dxa"/>
          </w:tcPr>
          <w:p w:rsidR="009A27AC" w:rsidRPr="00C94895" w:rsidP="009A27AC" w14:paraId="3DB23836" w14:textId="2E9BFB6B">
            <w:pPr>
              <w:rPr>
                <w:color w:val="000000"/>
                <w:sz w:val="18"/>
                <w:szCs w:val="18"/>
              </w:rPr>
            </w:pPr>
            <w:r w:rsidRPr="00C94895">
              <w:rPr>
                <w:color w:val="000000" w:themeColor="text1"/>
                <w:sz w:val="18"/>
                <w:szCs w:val="18"/>
              </w:rPr>
              <w:t>Community Assistance Visit (CAV) Report / FEMA Form FF-206-FY-21-141 (formerly 086-0-28 (E))</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9A27AC" w:rsidRPr="00C94895" w:rsidP="009A27AC" w14:paraId="7923427C" w14:textId="181BF1DD">
            <w:pPr>
              <w:jc w:val="right"/>
              <w:rPr>
                <w:sz w:val="18"/>
                <w:szCs w:val="18"/>
              </w:rPr>
            </w:pPr>
            <w:r w:rsidRPr="00C94895">
              <w:rPr>
                <w:color w:val="000000"/>
                <w:sz w:val="18"/>
                <w:szCs w:val="18"/>
              </w:rPr>
              <w:t xml:space="preserve">$1,252,800 </w:t>
            </w:r>
          </w:p>
        </w:tc>
        <w:tc>
          <w:tcPr>
            <w:tcW w:w="1116" w:type="dxa"/>
            <w:tcBorders>
              <w:top w:val="single" w:sz="4" w:space="0" w:color="auto"/>
              <w:left w:val="nil"/>
              <w:bottom w:val="single" w:sz="4" w:space="0" w:color="auto"/>
              <w:right w:val="single" w:sz="4" w:space="0" w:color="auto"/>
            </w:tcBorders>
            <w:shd w:val="clear" w:color="auto" w:fill="auto"/>
            <w:vAlign w:val="center"/>
          </w:tcPr>
          <w:p w:rsidR="009A27AC" w:rsidRPr="00C94895" w:rsidP="009A27AC" w14:paraId="58BA8B34" w14:textId="031A7565">
            <w:pPr>
              <w:jc w:val="right"/>
              <w:rPr>
                <w:sz w:val="18"/>
                <w:szCs w:val="18"/>
              </w:rPr>
            </w:pPr>
            <w:r w:rsidRPr="00C94895">
              <w:rPr>
                <w:color w:val="000000"/>
                <w:sz w:val="18"/>
                <w:szCs w:val="18"/>
              </w:rPr>
              <w:t xml:space="preserve">$49 </w:t>
            </w:r>
          </w:p>
        </w:tc>
        <w:tc>
          <w:tcPr>
            <w:tcW w:w="1263" w:type="dxa"/>
            <w:tcBorders>
              <w:top w:val="single" w:sz="4" w:space="0" w:color="auto"/>
              <w:left w:val="nil"/>
              <w:bottom w:val="single" w:sz="4" w:space="0" w:color="auto"/>
              <w:right w:val="single" w:sz="4" w:space="0" w:color="auto"/>
            </w:tcBorders>
            <w:shd w:val="clear" w:color="auto" w:fill="auto"/>
            <w:vAlign w:val="center"/>
          </w:tcPr>
          <w:p w:rsidR="009A27AC" w:rsidRPr="00C94895" w:rsidP="009A27AC" w14:paraId="077B22FC" w14:textId="29164975">
            <w:pPr>
              <w:jc w:val="right"/>
              <w:rPr>
                <w:sz w:val="18"/>
                <w:szCs w:val="18"/>
              </w:rPr>
            </w:pPr>
            <w:r w:rsidRPr="00C94895">
              <w:rPr>
                <w:color w:val="000000"/>
                <w:sz w:val="18"/>
                <w:szCs w:val="18"/>
              </w:rPr>
              <w:t>-$1,252,751</w:t>
            </w:r>
          </w:p>
        </w:tc>
        <w:tc>
          <w:tcPr>
            <w:tcW w:w="1440" w:type="dxa"/>
            <w:vAlign w:val="center"/>
          </w:tcPr>
          <w:p w:rsidR="009A27AC" w:rsidRPr="00C94895" w:rsidP="009A27AC" w14:paraId="19F9CFE7" w14:textId="77777777">
            <w:pPr>
              <w:jc w:val="right"/>
              <w:rPr>
                <w:sz w:val="18"/>
                <w:szCs w:val="18"/>
              </w:rPr>
            </w:pPr>
          </w:p>
        </w:tc>
        <w:tc>
          <w:tcPr>
            <w:tcW w:w="1170" w:type="dxa"/>
            <w:vAlign w:val="center"/>
          </w:tcPr>
          <w:p w:rsidR="009A27AC" w:rsidRPr="00C94895" w:rsidP="009A27AC" w14:paraId="1FA986CB" w14:textId="77777777">
            <w:pPr>
              <w:jc w:val="right"/>
              <w:rPr>
                <w:sz w:val="18"/>
                <w:szCs w:val="18"/>
              </w:rPr>
            </w:pPr>
          </w:p>
        </w:tc>
        <w:tc>
          <w:tcPr>
            <w:tcW w:w="1080" w:type="dxa"/>
            <w:vAlign w:val="center"/>
          </w:tcPr>
          <w:p w:rsidR="009A27AC" w:rsidRPr="00C94895" w:rsidP="009A27AC" w14:paraId="45A4E43A" w14:textId="77777777">
            <w:pPr>
              <w:jc w:val="right"/>
              <w:rPr>
                <w:sz w:val="18"/>
                <w:szCs w:val="18"/>
              </w:rPr>
            </w:pPr>
          </w:p>
        </w:tc>
      </w:tr>
      <w:tr w14:paraId="7AD7C178" w14:textId="77777777" w:rsidTr="00C94895">
        <w:tblPrEx>
          <w:tblW w:w="10085" w:type="dxa"/>
          <w:jc w:val="center"/>
          <w:tblLook w:val="04A0"/>
        </w:tblPrEx>
        <w:trPr>
          <w:jc w:val="center"/>
        </w:trPr>
        <w:tc>
          <w:tcPr>
            <w:tcW w:w="2487" w:type="dxa"/>
          </w:tcPr>
          <w:p w:rsidR="009A27AC" w:rsidRPr="00C94895" w:rsidP="009A27AC" w14:paraId="3AA4065E" w14:textId="78615A4F">
            <w:pPr>
              <w:rPr>
                <w:color w:val="000000"/>
                <w:sz w:val="18"/>
                <w:szCs w:val="18"/>
              </w:rPr>
            </w:pPr>
            <w:r w:rsidRPr="00C94895">
              <w:rPr>
                <w:color w:val="000000" w:themeColor="text1"/>
                <w:sz w:val="18"/>
                <w:szCs w:val="18"/>
              </w:rPr>
              <w:t>Community Assistance Contact (CAC) Report / FEMA Form FF-206-FY-21-142 (formerly 086-0-29 (E))t</w:t>
            </w:r>
          </w:p>
        </w:tc>
        <w:tc>
          <w:tcPr>
            <w:tcW w:w="1529" w:type="dxa"/>
            <w:tcBorders>
              <w:top w:val="nil"/>
              <w:left w:val="single" w:sz="4" w:space="0" w:color="auto"/>
              <w:bottom w:val="single" w:sz="4" w:space="0" w:color="auto"/>
              <w:right w:val="single" w:sz="4" w:space="0" w:color="auto"/>
            </w:tcBorders>
            <w:shd w:val="clear" w:color="auto" w:fill="auto"/>
            <w:vAlign w:val="center"/>
          </w:tcPr>
          <w:p w:rsidR="009A27AC" w:rsidRPr="00C94895" w:rsidP="009A27AC" w14:paraId="41951BD1" w14:textId="570CD5F6">
            <w:pPr>
              <w:jc w:val="right"/>
              <w:rPr>
                <w:sz w:val="18"/>
                <w:szCs w:val="18"/>
              </w:rPr>
            </w:pPr>
            <w:r w:rsidRPr="00C94895">
              <w:rPr>
                <w:color w:val="000000"/>
                <w:sz w:val="18"/>
                <w:szCs w:val="18"/>
              </w:rPr>
              <w:t xml:space="preserve">$1,252,800 </w:t>
            </w:r>
          </w:p>
        </w:tc>
        <w:tc>
          <w:tcPr>
            <w:tcW w:w="1116" w:type="dxa"/>
            <w:tcBorders>
              <w:top w:val="nil"/>
              <w:left w:val="nil"/>
              <w:bottom w:val="single" w:sz="4" w:space="0" w:color="auto"/>
              <w:right w:val="single" w:sz="4" w:space="0" w:color="auto"/>
            </w:tcBorders>
            <w:shd w:val="clear" w:color="auto" w:fill="auto"/>
            <w:vAlign w:val="center"/>
          </w:tcPr>
          <w:p w:rsidR="009A27AC" w:rsidRPr="00C94895" w:rsidP="009A27AC" w14:paraId="1058E856" w14:textId="227921A6">
            <w:pPr>
              <w:jc w:val="right"/>
              <w:rPr>
                <w:sz w:val="18"/>
                <w:szCs w:val="18"/>
              </w:rPr>
            </w:pPr>
            <w:r w:rsidRPr="00C94895">
              <w:rPr>
                <w:color w:val="000000"/>
                <w:sz w:val="18"/>
                <w:szCs w:val="18"/>
              </w:rPr>
              <w:t xml:space="preserve">$49 </w:t>
            </w:r>
          </w:p>
        </w:tc>
        <w:tc>
          <w:tcPr>
            <w:tcW w:w="1263" w:type="dxa"/>
            <w:tcBorders>
              <w:top w:val="nil"/>
              <w:left w:val="nil"/>
              <w:bottom w:val="single" w:sz="4" w:space="0" w:color="auto"/>
              <w:right w:val="single" w:sz="4" w:space="0" w:color="auto"/>
            </w:tcBorders>
            <w:shd w:val="clear" w:color="auto" w:fill="auto"/>
            <w:vAlign w:val="center"/>
          </w:tcPr>
          <w:p w:rsidR="009A27AC" w:rsidRPr="00C94895" w:rsidP="009A27AC" w14:paraId="3DD5E2B1" w14:textId="1C0CAAA2">
            <w:pPr>
              <w:jc w:val="right"/>
              <w:rPr>
                <w:sz w:val="18"/>
                <w:szCs w:val="18"/>
              </w:rPr>
            </w:pPr>
            <w:r w:rsidRPr="00C94895">
              <w:rPr>
                <w:color w:val="000000"/>
                <w:sz w:val="18"/>
                <w:szCs w:val="18"/>
              </w:rPr>
              <w:t>-$1,252,751</w:t>
            </w:r>
          </w:p>
        </w:tc>
        <w:tc>
          <w:tcPr>
            <w:tcW w:w="1440" w:type="dxa"/>
            <w:vAlign w:val="center"/>
          </w:tcPr>
          <w:p w:rsidR="009A27AC" w:rsidRPr="00C94895" w:rsidP="009A27AC" w14:paraId="516663A9" w14:textId="77777777">
            <w:pPr>
              <w:jc w:val="right"/>
              <w:rPr>
                <w:sz w:val="18"/>
                <w:szCs w:val="18"/>
              </w:rPr>
            </w:pPr>
          </w:p>
        </w:tc>
        <w:tc>
          <w:tcPr>
            <w:tcW w:w="1170" w:type="dxa"/>
            <w:vAlign w:val="center"/>
          </w:tcPr>
          <w:p w:rsidR="009A27AC" w:rsidRPr="00C94895" w:rsidP="009A27AC" w14:paraId="600A2F8C" w14:textId="77777777">
            <w:pPr>
              <w:jc w:val="right"/>
              <w:rPr>
                <w:sz w:val="18"/>
                <w:szCs w:val="18"/>
              </w:rPr>
            </w:pPr>
          </w:p>
        </w:tc>
        <w:tc>
          <w:tcPr>
            <w:tcW w:w="1080" w:type="dxa"/>
            <w:vAlign w:val="center"/>
          </w:tcPr>
          <w:p w:rsidR="009A27AC" w:rsidRPr="00C94895" w:rsidP="009A27AC" w14:paraId="01CEEFF2" w14:textId="77777777">
            <w:pPr>
              <w:jc w:val="right"/>
              <w:rPr>
                <w:sz w:val="18"/>
                <w:szCs w:val="18"/>
              </w:rPr>
            </w:pPr>
          </w:p>
        </w:tc>
      </w:tr>
      <w:tr w14:paraId="14CFC5EA" w14:textId="77777777" w:rsidTr="00C94895">
        <w:tblPrEx>
          <w:tblW w:w="10085" w:type="dxa"/>
          <w:jc w:val="center"/>
          <w:tblLook w:val="04A0"/>
        </w:tblPrEx>
        <w:trPr>
          <w:jc w:val="center"/>
        </w:trPr>
        <w:tc>
          <w:tcPr>
            <w:tcW w:w="2487" w:type="dxa"/>
          </w:tcPr>
          <w:p w:rsidR="009A27AC" w:rsidRPr="00C94895" w:rsidP="009A27AC" w14:paraId="62728FD3" w14:textId="77777777">
            <w:pPr>
              <w:rPr>
                <w:color w:val="000000"/>
                <w:sz w:val="18"/>
                <w:szCs w:val="18"/>
              </w:rPr>
            </w:pPr>
            <w:r w:rsidRPr="00C94895">
              <w:rPr>
                <w:color w:val="000000" w:themeColor="text1"/>
                <w:sz w:val="18"/>
                <w:szCs w:val="18"/>
              </w:rPr>
              <w:t>National Flood Insurance Program (NFIP) Compliance Audit Report / FEMA Form FF-206-FY-24-100</w:t>
            </w:r>
          </w:p>
          <w:p w:rsidR="009A27AC" w:rsidRPr="00C94895" w:rsidP="009A27AC" w14:paraId="765B4700" w14:textId="77777777">
            <w:pPr>
              <w:rPr>
                <w:sz w:val="18"/>
                <w:szCs w:val="18"/>
              </w:rPr>
            </w:pPr>
          </w:p>
        </w:tc>
        <w:tc>
          <w:tcPr>
            <w:tcW w:w="1529" w:type="dxa"/>
            <w:tcBorders>
              <w:top w:val="nil"/>
              <w:left w:val="single" w:sz="4" w:space="0" w:color="auto"/>
              <w:bottom w:val="single" w:sz="4" w:space="0" w:color="auto"/>
              <w:right w:val="single" w:sz="4" w:space="0" w:color="auto"/>
            </w:tcBorders>
            <w:shd w:val="clear" w:color="auto" w:fill="auto"/>
            <w:vAlign w:val="center"/>
          </w:tcPr>
          <w:p w:rsidR="009A27AC" w:rsidRPr="00C94895" w:rsidP="009A27AC" w14:paraId="26BFBE64" w14:textId="2CFACDB6">
            <w:pPr>
              <w:jc w:val="right"/>
              <w:rPr>
                <w:sz w:val="18"/>
                <w:szCs w:val="18"/>
              </w:rPr>
            </w:pPr>
            <w:r w:rsidRPr="00C94895">
              <w:rPr>
                <w:color w:val="000000"/>
                <w:sz w:val="18"/>
                <w:szCs w:val="18"/>
              </w:rPr>
              <w:t xml:space="preserve">$0 </w:t>
            </w:r>
          </w:p>
        </w:tc>
        <w:tc>
          <w:tcPr>
            <w:tcW w:w="1116" w:type="dxa"/>
            <w:tcBorders>
              <w:top w:val="nil"/>
              <w:left w:val="nil"/>
              <w:bottom w:val="single" w:sz="4" w:space="0" w:color="auto"/>
              <w:right w:val="single" w:sz="4" w:space="0" w:color="auto"/>
            </w:tcBorders>
            <w:shd w:val="clear" w:color="auto" w:fill="auto"/>
            <w:vAlign w:val="center"/>
          </w:tcPr>
          <w:p w:rsidR="009A27AC" w:rsidRPr="00C94895" w:rsidP="009A27AC" w14:paraId="24F7D1AE" w14:textId="2CB2962F">
            <w:pPr>
              <w:jc w:val="right"/>
              <w:rPr>
                <w:sz w:val="18"/>
                <w:szCs w:val="18"/>
              </w:rPr>
            </w:pPr>
            <w:r w:rsidRPr="00C94895">
              <w:rPr>
                <w:color w:val="000000"/>
                <w:sz w:val="18"/>
                <w:szCs w:val="18"/>
              </w:rPr>
              <w:t xml:space="preserve">$2,361,600 </w:t>
            </w:r>
          </w:p>
        </w:tc>
        <w:tc>
          <w:tcPr>
            <w:tcW w:w="1263" w:type="dxa"/>
            <w:tcBorders>
              <w:top w:val="nil"/>
              <w:left w:val="nil"/>
              <w:bottom w:val="single" w:sz="4" w:space="0" w:color="auto"/>
              <w:right w:val="single" w:sz="4" w:space="0" w:color="auto"/>
            </w:tcBorders>
            <w:shd w:val="clear" w:color="auto" w:fill="auto"/>
            <w:vAlign w:val="center"/>
          </w:tcPr>
          <w:p w:rsidR="009A27AC" w:rsidRPr="00C94895" w:rsidP="009A27AC" w14:paraId="5233C166" w14:textId="5A386576">
            <w:pPr>
              <w:jc w:val="right"/>
              <w:rPr>
                <w:sz w:val="18"/>
                <w:szCs w:val="18"/>
              </w:rPr>
            </w:pPr>
            <w:r w:rsidRPr="00C94895">
              <w:rPr>
                <w:color w:val="000000"/>
                <w:sz w:val="18"/>
                <w:szCs w:val="18"/>
              </w:rPr>
              <w:t xml:space="preserve">$2,361,600 </w:t>
            </w:r>
          </w:p>
        </w:tc>
        <w:tc>
          <w:tcPr>
            <w:tcW w:w="1440" w:type="dxa"/>
            <w:vAlign w:val="center"/>
          </w:tcPr>
          <w:p w:rsidR="009A27AC" w:rsidRPr="00C94895" w:rsidP="009A27AC" w14:paraId="268F40F2" w14:textId="77777777">
            <w:pPr>
              <w:jc w:val="right"/>
              <w:rPr>
                <w:sz w:val="18"/>
                <w:szCs w:val="18"/>
              </w:rPr>
            </w:pPr>
          </w:p>
        </w:tc>
        <w:tc>
          <w:tcPr>
            <w:tcW w:w="1170" w:type="dxa"/>
            <w:vAlign w:val="center"/>
          </w:tcPr>
          <w:p w:rsidR="009A27AC" w:rsidRPr="00C94895" w:rsidP="009A27AC" w14:paraId="60BB440D" w14:textId="77777777">
            <w:pPr>
              <w:jc w:val="right"/>
              <w:rPr>
                <w:sz w:val="18"/>
                <w:szCs w:val="18"/>
              </w:rPr>
            </w:pPr>
          </w:p>
        </w:tc>
        <w:tc>
          <w:tcPr>
            <w:tcW w:w="1080" w:type="dxa"/>
            <w:vAlign w:val="center"/>
          </w:tcPr>
          <w:p w:rsidR="009A27AC" w:rsidRPr="00C94895" w:rsidP="009A27AC" w14:paraId="0B2E9326" w14:textId="77777777">
            <w:pPr>
              <w:jc w:val="right"/>
              <w:rPr>
                <w:sz w:val="18"/>
                <w:szCs w:val="18"/>
              </w:rPr>
            </w:pPr>
          </w:p>
        </w:tc>
      </w:tr>
      <w:tr w14:paraId="77399775" w14:textId="77777777" w:rsidTr="00C94895">
        <w:tblPrEx>
          <w:tblW w:w="10085" w:type="dxa"/>
          <w:jc w:val="center"/>
          <w:tblLook w:val="04A0"/>
        </w:tblPrEx>
        <w:trPr>
          <w:jc w:val="center"/>
        </w:trPr>
        <w:tc>
          <w:tcPr>
            <w:tcW w:w="2487" w:type="dxa"/>
          </w:tcPr>
          <w:p w:rsidR="00F20CF3" w:rsidRPr="00C94895" w:rsidP="00F20CF3" w14:paraId="28B4C010" w14:textId="77777777">
            <w:pPr>
              <w:rPr>
                <w:bCs/>
                <w:sz w:val="18"/>
                <w:szCs w:val="18"/>
              </w:rPr>
            </w:pPr>
            <w:r w:rsidRPr="00C94895">
              <w:rPr>
                <w:bCs/>
                <w:sz w:val="18"/>
                <w:szCs w:val="18"/>
              </w:rPr>
              <w:t>Total</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F20CF3" w:rsidRPr="00C94895" w:rsidP="00F20CF3" w14:paraId="3938F3F7" w14:textId="1D51ACFB">
            <w:pPr>
              <w:jc w:val="right"/>
              <w:rPr>
                <w:bCs/>
                <w:sz w:val="18"/>
                <w:szCs w:val="18"/>
              </w:rPr>
            </w:pPr>
            <w:r w:rsidRPr="00C94895">
              <w:rPr>
                <w:bCs/>
                <w:color w:val="000000"/>
                <w:sz w:val="18"/>
                <w:szCs w:val="18"/>
              </w:rPr>
              <w:t xml:space="preserve">$2,505,600 </w:t>
            </w:r>
          </w:p>
        </w:tc>
        <w:tc>
          <w:tcPr>
            <w:tcW w:w="1116" w:type="dxa"/>
            <w:tcBorders>
              <w:top w:val="single" w:sz="4" w:space="0" w:color="auto"/>
              <w:left w:val="nil"/>
              <w:bottom w:val="single" w:sz="4" w:space="0" w:color="auto"/>
              <w:right w:val="single" w:sz="4" w:space="0" w:color="auto"/>
            </w:tcBorders>
            <w:shd w:val="clear" w:color="auto" w:fill="auto"/>
            <w:vAlign w:val="center"/>
          </w:tcPr>
          <w:p w:rsidR="00F20CF3" w:rsidRPr="00C94895" w:rsidP="00F20CF3" w14:paraId="58F40F83" w14:textId="2F0BAA21">
            <w:pPr>
              <w:jc w:val="right"/>
              <w:rPr>
                <w:bCs/>
                <w:sz w:val="18"/>
                <w:szCs w:val="18"/>
              </w:rPr>
            </w:pPr>
            <w:r w:rsidRPr="00C94895">
              <w:rPr>
                <w:bCs/>
                <w:color w:val="000000"/>
                <w:sz w:val="18"/>
                <w:szCs w:val="18"/>
              </w:rPr>
              <w:t xml:space="preserve">$2,361,698 </w:t>
            </w:r>
          </w:p>
        </w:tc>
        <w:tc>
          <w:tcPr>
            <w:tcW w:w="1263" w:type="dxa"/>
            <w:tcBorders>
              <w:top w:val="single" w:sz="4" w:space="0" w:color="auto"/>
              <w:left w:val="nil"/>
              <w:bottom w:val="single" w:sz="4" w:space="0" w:color="auto"/>
              <w:right w:val="single" w:sz="4" w:space="0" w:color="auto"/>
            </w:tcBorders>
            <w:shd w:val="clear" w:color="auto" w:fill="auto"/>
            <w:vAlign w:val="center"/>
          </w:tcPr>
          <w:p w:rsidR="00F20CF3" w:rsidRPr="00C94895" w:rsidP="00F20CF3" w14:paraId="26040B0E" w14:textId="705D9529">
            <w:pPr>
              <w:jc w:val="right"/>
              <w:rPr>
                <w:bCs/>
                <w:sz w:val="18"/>
                <w:szCs w:val="18"/>
              </w:rPr>
            </w:pPr>
            <w:r w:rsidRPr="00C94895">
              <w:rPr>
                <w:bCs/>
                <w:color w:val="000000"/>
                <w:sz w:val="18"/>
                <w:szCs w:val="18"/>
              </w:rPr>
              <w:t>-$143,902</w:t>
            </w:r>
          </w:p>
        </w:tc>
        <w:tc>
          <w:tcPr>
            <w:tcW w:w="1440" w:type="dxa"/>
            <w:vAlign w:val="center"/>
          </w:tcPr>
          <w:p w:rsidR="00F20CF3" w:rsidRPr="00C94895" w:rsidP="00F20CF3" w14:paraId="0428D23C" w14:textId="77777777">
            <w:pPr>
              <w:jc w:val="right"/>
              <w:rPr>
                <w:bCs/>
                <w:sz w:val="18"/>
                <w:szCs w:val="18"/>
              </w:rPr>
            </w:pPr>
            <w:r w:rsidRPr="00C94895">
              <w:rPr>
                <w:bCs/>
                <w:sz w:val="18"/>
                <w:szCs w:val="18"/>
              </w:rPr>
              <w:t>$0</w:t>
            </w:r>
          </w:p>
        </w:tc>
        <w:tc>
          <w:tcPr>
            <w:tcW w:w="1170" w:type="dxa"/>
            <w:vAlign w:val="center"/>
          </w:tcPr>
          <w:p w:rsidR="00F20CF3" w:rsidRPr="00C94895" w:rsidP="00F20CF3" w14:paraId="2D15F97A" w14:textId="77777777">
            <w:pPr>
              <w:jc w:val="right"/>
              <w:rPr>
                <w:bCs/>
                <w:sz w:val="18"/>
                <w:szCs w:val="18"/>
              </w:rPr>
            </w:pPr>
            <w:r w:rsidRPr="00C94895">
              <w:rPr>
                <w:bCs/>
                <w:sz w:val="18"/>
                <w:szCs w:val="18"/>
              </w:rPr>
              <w:t>$0</w:t>
            </w:r>
          </w:p>
        </w:tc>
        <w:tc>
          <w:tcPr>
            <w:tcW w:w="1080" w:type="dxa"/>
            <w:vAlign w:val="center"/>
          </w:tcPr>
          <w:p w:rsidR="00F20CF3" w:rsidRPr="00C94895" w:rsidP="00F20CF3" w14:paraId="3F108135" w14:textId="77777777">
            <w:pPr>
              <w:jc w:val="right"/>
              <w:rPr>
                <w:bCs/>
                <w:sz w:val="18"/>
                <w:szCs w:val="18"/>
              </w:rPr>
            </w:pPr>
            <w:r w:rsidRPr="00C94895">
              <w:rPr>
                <w:bCs/>
                <w:sz w:val="18"/>
                <w:szCs w:val="18"/>
              </w:rPr>
              <w:t>$0</w:t>
            </w:r>
          </w:p>
        </w:tc>
      </w:tr>
      <w:bookmarkEnd w:id="6"/>
    </w:tbl>
    <w:p w:rsidR="003F399F" w:rsidRPr="00CA3E8C" w:rsidP="007B48AE" w14:paraId="1B1C51C4" w14:textId="77777777">
      <w:pPr>
        <w:spacing w:after="200" w:line="276" w:lineRule="auto"/>
        <w:contextualSpacing/>
        <w:rPr>
          <w:rFonts w:eastAsia="Calibri"/>
          <w:iCs/>
          <w:color w:val="000000" w:themeColor="text1"/>
        </w:rPr>
      </w:pPr>
    </w:p>
    <w:p w:rsidR="003F399F" w:rsidRPr="00CA3E8C" w:rsidP="007B48AE" w14:paraId="7F83744B" w14:textId="3C62E6D7">
      <w:pPr>
        <w:spacing w:line="276" w:lineRule="auto"/>
        <w:contextualSpacing/>
        <w:rPr>
          <w:bCs/>
          <w:color w:val="000000" w:themeColor="text1"/>
        </w:rPr>
      </w:pPr>
      <w:r w:rsidRPr="00CA3E8C">
        <w:rPr>
          <w:rFonts w:eastAsia="Calibri"/>
          <w:b/>
          <w:bCs/>
          <w:i/>
          <w:color w:val="000000" w:themeColor="text1"/>
        </w:rPr>
        <w:t>Explain:</w:t>
      </w:r>
      <w:r w:rsidR="00085321">
        <w:rPr>
          <w:rFonts w:eastAsia="Calibri"/>
          <w:bCs/>
          <w:iCs/>
          <w:color w:val="000000" w:themeColor="text1"/>
        </w:rPr>
        <w:t xml:space="preserve">  </w:t>
      </w:r>
      <w:r w:rsidRPr="00003B2E" w:rsidR="00003B2E">
        <w:rPr>
          <w:rFonts w:eastAsia="Calibri"/>
          <w:bCs/>
          <w:iCs/>
          <w:color w:val="000000" w:themeColor="text1"/>
        </w:rPr>
        <w:t xml:space="preserve">Annual burden costs decreased by </w:t>
      </w:r>
      <w:r w:rsidR="00B80A1D">
        <w:rPr>
          <w:rFonts w:eastAsia="Calibri"/>
          <w:bCs/>
          <w:iCs/>
          <w:color w:val="000000" w:themeColor="text1"/>
        </w:rPr>
        <w:t>-</w:t>
      </w:r>
      <w:r w:rsidR="00ED44D7">
        <w:rPr>
          <w:bCs/>
          <w:color w:val="000000" w:themeColor="text1"/>
        </w:rPr>
        <w:t>$</w:t>
      </w:r>
      <w:r w:rsidR="0024585B">
        <w:rPr>
          <w:bCs/>
          <w:color w:val="000000" w:themeColor="text1"/>
        </w:rPr>
        <w:t>143,902</w:t>
      </w:r>
      <w:r w:rsidR="00E0676A">
        <w:rPr>
          <w:bCs/>
          <w:color w:val="000000" w:themeColor="text1"/>
        </w:rPr>
        <w:t>.</w:t>
      </w:r>
      <w:r w:rsidR="00ED44D7">
        <w:rPr>
          <w:bCs/>
          <w:color w:val="000000" w:themeColor="text1"/>
        </w:rPr>
        <w:t xml:space="preserve"> </w:t>
      </w:r>
      <w:r w:rsidR="00E0676A">
        <w:rPr>
          <w:bCs/>
          <w:color w:val="000000" w:themeColor="text1"/>
        </w:rPr>
        <w:t xml:space="preserve"> T</w:t>
      </w:r>
      <w:r w:rsidR="00760573">
        <w:rPr>
          <w:bCs/>
          <w:color w:val="000000" w:themeColor="text1"/>
        </w:rPr>
        <w:t xml:space="preserve">his was due to collective burden decrease of </w:t>
      </w:r>
      <w:r w:rsidR="00A37650">
        <w:rPr>
          <w:bCs/>
          <w:color w:val="000000" w:themeColor="text1"/>
        </w:rPr>
        <w:t>-</w:t>
      </w:r>
      <w:r w:rsidR="00760573">
        <w:rPr>
          <w:bCs/>
          <w:color w:val="000000" w:themeColor="text1"/>
        </w:rPr>
        <w:t>$</w:t>
      </w:r>
      <w:r w:rsidR="00C601BA">
        <w:rPr>
          <w:bCs/>
          <w:color w:val="000000" w:themeColor="text1"/>
        </w:rPr>
        <w:t>2,505,</w:t>
      </w:r>
      <w:r w:rsidR="00ED3391">
        <w:rPr>
          <w:bCs/>
          <w:color w:val="000000" w:themeColor="text1"/>
        </w:rPr>
        <w:t>600</w:t>
      </w:r>
      <w:r w:rsidR="00C601BA">
        <w:rPr>
          <w:bCs/>
          <w:color w:val="000000" w:themeColor="text1"/>
        </w:rPr>
        <w:t xml:space="preserve"> </w:t>
      </w:r>
      <w:r w:rsidRPr="00780D3B" w:rsidR="00780D3B">
        <w:rPr>
          <w:bCs/>
          <w:color w:val="000000" w:themeColor="text1"/>
        </w:rPr>
        <w:t>for the Community Assistance Visit (CAV) Report / FEMA Form FF-206-FY-21-141 (formerly 086-0-28 (E)) and Community Assistance Contact (CAC) Report / FEMA Form FF-206-FY-21-142 (formerly 086-0-29 (E))</w:t>
      </w:r>
      <w:r w:rsidR="00780D3B">
        <w:rPr>
          <w:bCs/>
          <w:color w:val="000000" w:themeColor="text1"/>
        </w:rPr>
        <w:t>.</w:t>
      </w:r>
      <w:r w:rsidR="00760573">
        <w:rPr>
          <w:bCs/>
          <w:color w:val="000000" w:themeColor="text1"/>
        </w:rPr>
        <w:t xml:space="preserve"> </w:t>
      </w:r>
      <w:r w:rsidR="00CD724A">
        <w:rPr>
          <w:bCs/>
          <w:color w:val="000000" w:themeColor="text1"/>
        </w:rPr>
        <w:t xml:space="preserve"> </w:t>
      </w:r>
      <w:r w:rsidRPr="00CD724A" w:rsidR="00CD724A">
        <w:rPr>
          <w:bCs/>
          <w:color w:val="000000" w:themeColor="text1"/>
        </w:rPr>
        <w:t xml:space="preserve">These decreases were offset by burden cost </w:t>
      </w:r>
      <w:r w:rsidR="00C70FFE">
        <w:rPr>
          <w:bCs/>
          <w:color w:val="000000" w:themeColor="text1"/>
        </w:rPr>
        <w:t xml:space="preserve">increase </w:t>
      </w:r>
      <w:r w:rsidRPr="00CD724A" w:rsidR="00CD724A">
        <w:rPr>
          <w:bCs/>
          <w:color w:val="000000" w:themeColor="text1"/>
        </w:rPr>
        <w:t>of</w:t>
      </w:r>
      <w:r w:rsidR="00CD724A">
        <w:rPr>
          <w:bCs/>
          <w:color w:val="000000" w:themeColor="text1"/>
        </w:rPr>
        <w:t xml:space="preserve"> $</w:t>
      </w:r>
      <w:r w:rsidR="00AF1783">
        <w:rPr>
          <w:bCs/>
          <w:color w:val="000000" w:themeColor="text1"/>
        </w:rPr>
        <w:t>2,</w:t>
      </w:r>
      <w:r w:rsidR="00263DAD">
        <w:rPr>
          <w:bCs/>
          <w:color w:val="000000" w:themeColor="text1"/>
        </w:rPr>
        <w:t>361,600</w:t>
      </w:r>
      <w:r w:rsidR="003E1F92">
        <w:rPr>
          <w:bCs/>
          <w:color w:val="000000" w:themeColor="text1"/>
        </w:rPr>
        <w:t xml:space="preserve"> from the </w:t>
      </w:r>
      <w:r w:rsidR="00B058F4">
        <w:rPr>
          <w:bCs/>
          <w:color w:val="000000" w:themeColor="text1"/>
        </w:rPr>
        <w:t>addition</w:t>
      </w:r>
      <w:r w:rsidR="003E1F92">
        <w:rPr>
          <w:bCs/>
          <w:color w:val="000000" w:themeColor="text1"/>
        </w:rPr>
        <w:t xml:space="preserve"> of </w:t>
      </w:r>
      <w:r w:rsidRPr="003E1F92" w:rsidR="003E1F92">
        <w:rPr>
          <w:bCs/>
          <w:color w:val="000000" w:themeColor="text1"/>
        </w:rPr>
        <w:t>National Flood Insurance Program (NFIP) Compliance Audit Report / FEMA Form FF-206-FY-24-100</w:t>
      </w:r>
      <w:r w:rsidR="003E1F92">
        <w:rPr>
          <w:bCs/>
          <w:color w:val="000000" w:themeColor="text1"/>
        </w:rPr>
        <w:t>.</w:t>
      </w:r>
    </w:p>
    <w:p w:rsidR="003F399F" w:rsidRPr="00CA3E8C" w:rsidP="007B48AE" w14:paraId="71115C80" w14:textId="77777777">
      <w:pPr>
        <w:spacing w:line="276" w:lineRule="auto"/>
        <w:contextualSpacing/>
        <w:rPr>
          <w:bCs/>
          <w:color w:val="000000" w:themeColor="text1"/>
        </w:rPr>
      </w:pPr>
    </w:p>
    <w:p w:rsidR="00842E74" w:rsidRPr="00CA3E8C" w:rsidP="007B48AE" w14:paraId="05870E05" w14:textId="77777777">
      <w:pPr>
        <w:spacing w:line="276" w:lineRule="auto"/>
        <w:contextualSpacing/>
        <w:rPr>
          <w:b/>
          <w:bCs/>
          <w:color w:val="000000" w:themeColor="text1"/>
        </w:rPr>
      </w:pPr>
      <w:r w:rsidRPr="00CA3E8C">
        <w:rPr>
          <w:b/>
          <w:bCs/>
          <w:color w:val="000000" w:themeColor="text1"/>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Pr="00CA3E8C" w:rsidP="007B48AE" w14:paraId="29317BE2" w14:textId="77777777">
      <w:pPr>
        <w:spacing w:line="276" w:lineRule="auto"/>
        <w:contextualSpacing/>
        <w:rPr>
          <w:color w:val="000000" w:themeColor="text1"/>
        </w:rPr>
      </w:pPr>
      <w:r w:rsidRPr="00CA3E8C">
        <w:rPr>
          <w:color w:val="000000" w:themeColor="text1"/>
        </w:rPr>
        <w:fldChar w:fldCharType="begin"/>
      </w:r>
      <w:r w:rsidRPr="00CA3E8C" w:rsidR="00842E74">
        <w:rPr>
          <w:color w:val="000000" w:themeColor="text1"/>
        </w:rPr>
        <w:instrText>ADVANCE \R 0.95</w:instrText>
      </w:r>
      <w:r w:rsidRPr="00CA3E8C">
        <w:rPr>
          <w:color w:val="000000" w:themeColor="text1"/>
        </w:rPr>
        <w:fldChar w:fldCharType="end"/>
      </w:r>
    </w:p>
    <w:p w:rsidR="00842E74" w:rsidRPr="00CA3E8C" w:rsidP="007B48AE" w14:paraId="6A6A4B11" w14:textId="77777777">
      <w:pPr>
        <w:spacing w:line="276" w:lineRule="auto"/>
        <w:contextualSpacing/>
        <w:rPr>
          <w:color w:val="000000" w:themeColor="text1"/>
        </w:rPr>
      </w:pPr>
      <w:r w:rsidRPr="00CA3E8C">
        <w:rPr>
          <w:color w:val="000000" w:themeColor="text1"/>
        </w:rPr>
        <w:t>FEMA does not intend to</w:t>
      </w:r>
      <w:r w:rsidRPr="00CA3E8C" w:rsidR="00F91E3D">
        <w:rPr>
          <w:color w:val="000000" w:themeColor="text1"/>
        </w:rPr>
        <w:t xml:space="preserve"> publish the information collection in any format</w:t>
      </w:r>
      <w:r w:rsidRPr="00CA3E8C" w:rsidR="00DB5B61">
        <w:rPr>
          <w:color w:val="000000" w:themeColor="text1"/>
        </w:rPr>
        <w:t>.</w:t>
      </w:r>
    </w:p>
    <w:p w:rsidR="00DB5B61" w:rsidRPr="00CA3E8C" w:rsidP="007B48AE" w14:paraId="0ACEAD56" w14:textId="77777777">
      <w:pPr>
        <w:spacing w:line="276" w:lineRule="auto"/>
        <w:contextualSpacing/>
        <w:rPr>
          <w:color w:val="000000" w:themeColor="text1"/>
        </w:rPr>
      </w:pPr>
    </w:p>
    <w:p w:rsidR="00842E74" w:rsidRPr="00CA3E8C" w:rsidP="007B48AE" w14:paraId="35DC6DC5" w14:textId="77777777">
      <w:pPr>
        <w:spacing w:line="276" w:lineRule="auto"/>
        <w:contextualSpacing/>
        <w:rPr>
          <w:b/>
          <w:bCs/>
          <w:color w:val="000000" w:themeColor="text1"/>
        </w:rPr>
      </w:pPr>
      <w:r w:rsidRPr="00CA3E8C">
        <w:rPr>
          <w:b/>
          <w:bCs/>
          <w:color w:val="000000" w:themeColor="text1"/>
        </w:rPr>
        <w:fldChar w:fldCharType="begin"/>
      </w:r>
      <w:r w:rsidRPr="00CA3E8C">
        <w:rPr>
          <w:b/>
          <w:bCs/>
          <w:color w:val="000000" w:themeColor="text1"/>
        </w:rPr>
        <w:instrText>ADVANCE \R 0.95</w:instrText>
      </w:r>
      <w:r w:rsidRPr="00CA3E8C">
        <w:rPr>
          <w:b/>
          <w:bCs/>
          <w:color w:val="000000" w:themeColor="text1"/>
        </w:rPr>
        <w:fldChar w:fldCharType="end"/>
      </w:r>
      <w:r w:rsidRPr="00CA3E8C">
        <w:rPr>
          <w:b/>
          <w:bCs/>
          <w:color w:val="000000" w:themeColor="text1"/>
        </w:rPr>
        <w:t xml:space="preserve">17.  If seeking approval not </w:t>
      </w:r>
      <w:r w:rsidRPr="00CA3E8C" w:rsidR="00B956BE">
        <w:rPr>
          <w:b/>
          <w:bCs/>
          <w:color w:val="000000" w:themeColor="text1"/>
        </w:rPr>
        <w:t xml:space="preserve">to </w:t>
      </w:r>
      <w:r w:rsidRPr="00CA3E8C">
        <w:rPr>
          <w:b/>
          <w:bCs/>
          <w:color w:val="000000" w:themeColor="text1"/>
        </w:rPr>
        <w:t>display the expiration date for OMB approval of the information collection, explain reasons that display would be inappropriate.</w:t>
      </w:r>
    </w:p>
    <w:p w:rsidR="00842E74" w:rsidRPr="00CA3E8C" w:rsidP="007B48AE" w14:paraId="646BFAE0" w14:textId="77777777">
      <w:pPr>
        <w:spacing w:line="276" w:lineRule="auto"/>
        <w:contextualSpacing/>
        <w:rPr>
          <w:b/>
          <w:bCs/>
          <w:color w:val="000000" w:themeColor="text1"/>
        </w:rPr>
      </w:pPr>
    </w:p>
    <w:p w:rsidR="00842E74" w:rsidRPr="00CA3E8C" w:rsidP="007B48AE" w14:paraId="1D845B30" w14:textId="77777777">
      <w:pPr>
        <w:spacing w:line="276" w:lineRule="auto"/>
        <w:contextualSpacing/>
        <w:rPr>
          <w:color w:val="000000" w:themeColor="text1"/>
        </w:rPr>
      </w:pPr>
      <w:r w:rsidRPr="00CA3E8C">
        <w:rPr>
          <w:color w:val="000000" w:themeColor="text1"/>
        </w:rPr>
        <w:t>FEMA will display the expiration date for OMB approval of this information collection.</w:t>
      </w:r>
    </w:p>
    <w:p w:rsidR="008F101C" w:rsidRPr="00CA3E8C" w:rsidP="007B48AE" w14:paraId="79AB04EB" w14:textId="77777777">
      <w:pPr>
        <w:spacing w:line="276" w:lineRule="auto"/>
        <w:contextualSpacing/>
        <w:rPr>
          <w:b/>
          <w:bCs/>
          <w:color w:val="000000" w:themeColor="text1"/>
        </w:rPr>
      </w:pPr>
      <w:r w:rsidRPr="00CA3E8C">
        <w:rPr>
          <w:b/>
          <w:bCs/>
          <w:color w:val="000000" w:themeColor="text1"/>
        </w:rPr>
        <w:fldChar w:fldCharType="begin"/>
      </w:r>
      <w:r w:rsidRPr="00CA3E8C" w:rsidR="00842E74">
        <w:rPr>
          <w:b/>
          <w:bCs/>
          <w:color w:val="000000" w:themeColor="text1"/>
        </w:rPr>
        <w:instrText>ADVANCE \R 0.95</w:instrText>
      </w:r>
      <w:r w:rsidRPr="00CA3E8C">
        <w:rPr>
          <w:b/>
          <w:bCs/>
          <w:color w:val="000000" w:themeColor="text1"/>
        </w:rPr>
        <w:fldChar w:fldCharType="end"/>
      </w:r>
    </w:p>
    <w:p w:rsidR="00842E74" w:rsidRPr="00CA3E8C" w:rsidP="007B48AE" w14:paraId="339ECD12" w14:textId="77777777">
      <w:pPr>
        <w:spacing w:line="276" w:lineRule="auto"/>
        <w:contextualSpacing/>
        <w:rPr>
          <w:b/>
          <w:bCs/>
          <w:color w:val="000000" w:themeColor="text1"/>
        </w:rPr>
      </w:pPr>
      <w:r w:rsidRPr="00CA3E8C">
        <w:rPr>
          <w:b/>
          <w:bCs/>
          <w:color w:val="000000" w:themeColor="text1"/>
        </w:rPr>
        <w:t>18.  Explain each exception to the certification statement identified in Item 19 “Certification for Paperwork Reduction Act Submissions,” of OMB Form 83-I.</w:t>
      </w:r>
    </w:p>
    <w:p w:rsidR="008768B8" w:rsidRPr="00CA3E8C" w:rsidP="007B48AE" w14:paraId="6E2DF963" w14:textId="77777777">
      <w:pPr>
        <w:spacing w:line="276" w:lineRule="auto"/>
        <w:contextualSpacing/>
        <w:rPr>
          <w:color w:val="000000" w:themeColor="text1"/>
        </w:rPr>
      </w:pPr>
    </w:p>
    <w:p w:rsidR="00372ED0" w:rsidRPr="00CA3E8C" w:rsidP="007B48AE" w14:paraId="74C54099" w14:textId="77777777">
      <w:pPr>
        <w:spacing w:line="276" w:lineRule="auto"/>
        <w:contextualSpacing/>
        <w:rPr>
          <w:color w:val="000000" w:themeColor="text1"/>
        </w:rPr>
      </w:pPr>
      <w:r w:rsidRPr="00CA3E8C">
        <w:rPr>
          <w:color w:val="000000" w:themeColor="text1"/>
        </w:rPr>
        <w:t>FEMA does not request an exception to the certification of this information collection</w:t>
      </w:r>
      <w:r w:rsidRPr="00CA3E8C" w:rsidR="008768B8">
        <w:rPr>
          <w:color w:val="000000" w:themeColor="text1"/>
        </w:rPr>
        <w:t>.</w:t>
      </w:r>
    </w:p>
    <w:p w:rsidR="008768B8" w:rsidRPr="00CA3E8C" w:rsidP="007B48AE" w14:paraId="4E4C34AD" w14:textId="77777777">
      <w:pPr>
        <w:spacing w:line="276" w:lineRule="auto"/>
        <w:contextualSpacing/>
        <w:rPr>
          <w:b/>
          <w:color w:val="000000" w:themeColor="text1"/>
        </w:rPr>
      </w:pPr>
    </w:p>
    <w:p w:rsidR="00842E74" w:rsidRPr="00CA3E8C" w:rsidP="007B48AE" w14:paraId="5C8DBDDE" w14:textId="77777777">
      <w:pPr>
        <w:tabs>
          <w:tab w:val="left" w:pos="-720"/>
        </w:tabs>
        <w:suppressAutoHyphens/>
        <w:spacing w:line="276" w:lineRule="auto"/>
        <w:contextualSpacing/>
        <w:rPr>
          <w:b/>
          <w:color w:val="000000" w:themeColor="text1"/>
        </w:rPr>
      </w:pPr>
      <w:r w:rsidRPr="00CA3E8C">
        <w:rPr>
          <w:b/>
          <w:color w:val="000000" w:themeColor="text1"/>
        </w:rPr>
        <w:t>B.  Collections of Information Employing Statistical Methods.</w:t>
      </w:r>
    </w:p>
    <w:p w:rsidR="00842E74" w:rsidRPr="00CA3E8C" w:rsidP="007B48AE" w14:paraId="44B9D281" w14:textId="77777777">
      <w:pPr>
        <w:tabs>
          <w:tab w:val="left" w:pos="-720"/>
        </w:tabs>
        <w:suppressAutoHyphens/>
        <w:spacing w:line="276" w:lineRule="auto"/>
        <w:contextualSpacing/>
        <w:rPr>
          <w:color w:val="000000" w:themeColor="text1"/>
        </w:rPr>
      </w:pPr>
      <w:r w:rsidRPr="00CA3E8C">
        <w:rPr>
          <w:color w:val="000000" w:themeColor="text1"/>
        </w:rPr>
        <w:fldChar w:fldCharType="begin"/>
      </w:r>
      <w:r w:rsidRPr="00CA3E8C">
        <w:rPr>
          <w:color w:val="000000" w:themeColor="text1"/>
        </w:rPr>
        <w:instrText>ADVANCE \R 0.95</w:instrText>
      </w:r>
      <w:r w:rsidRPr="00CA3E8C">
        <w:rPr>
          <w:color w:val="000000" w:themeColor="text1"/>
        </w:rPr>
        <w:fldChar w:fldCharType="end"/>
      </w:r>
      <w:r w:rsidRPr="00CA3E8C">
        <w:rPr>
          <w:color w:val="000000" w:themeColor="text1"/>
        </w:rPr>
        <w:fldChar w:fldCharType="begin"/>
      </w:r>
      <w:r w:rsidRPr="00CA3E8C">
        <w:rPr>
          <w:color w:val="000000" w:themeColor="text1"/>
        </w:rPr>
        <w:instrText>ADVANCE \R 0.95</w:instrText>
      </w:r>
      <w:r w:rsidRPr="00CA3E8C">
        <w:rPr>
          <w:color w:val="000000" w:themeColor="text1"/>
        </w:rPr>
        <w:fldChar w:fldCharType="end"/>
      </w:r>
      <w:r w:rsidRPr="00CA3E8C">
        <w:rPr>
          <w:color w:val="000000" w:themeColor="text1"/>
        </w:rPr>
        <w:tab/>
      </w:r>
    </w:p>
    <w:p w:rsidR="009F144F" w:rsidRPr="00CA3E8C" w:rsidP="007B48AE" w14:paraId="27CD6513" w14:textId="77777777">
      <w:pPr>
        <w:tabs>
          <w:tab w:val="left" w:pos="-720"/>
        </w:tabs>
        <w:suppressAutoHyphens/>
        <w:spacing w:line="276" w:lineRule="auto"/>
        <w:contextualSpacing/>
        <w:rPr>
          <w:color w:val="000000" w:themeColor="text1"/>
        </w:rPr>
      </w:pPr>
      <w:r w:rsidRPr="00CA3E8C">
        <w:rPr>
          <w:color w:val="000000" w:themeColor="text1"/>
        </w:rPr>
        <w:t>There is no statistical methodology involved in this collection.</w:t>
      </w:r>
    </w:p>
    <w:p w:rsidR="008D08F6" w:rsidRPr="00CA3E8C" w:rsidP="007B48AE" w14:paraId="7E80D6D8" w14:textId="77777777">
      <w:pPr>
        <w:tabs>
          <w:tab w:val="left" w:pos="-720"/>
        </w:tabs>
        <w:suppressAutoHyphens/>
        <w:spacing w:line="276" w:lineRule="auto"/>
        <w:contextualSpacing/>
        <w:rPr>
          <w:b/>
          <w:color w:val="000000" w:themeColor="text1"/>
        </w:rPr>
      </w:pPr>
    </w:p>
    <w:sectPr w:rsidSect="0013483D">
      <w:footerReference w:type="even" r:id="rId11"/>
      <w:footerReference w:type="defaul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444C" w:rsidP="005C41F4" w14:paraId="2AE1FBC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44C" w14:paraId="3A83BED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444C" w:rsidP="005C41F4" w14:paraId="36BD5F6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0A9A">
      <w:rPr>
        <w:rStyle w:val="PageNumber"/>
        <w:noProof/>
      </w:rPr>
      <w:t>10</w:t>
    </w:r>
    <w:r>
      <w:rPr>
        <w:rStyle w:val="PageNumber"/>
      </w:rPr>
      <w:fldChar w:fldCharType="end"/>
    </w:r>
  </w:p>
  <w:p w:rsidR="00D1444C" w14:paraId="1A01720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2BB7" w14:paraId="5522DCDB" w14:textId="77777777">
      <w:r>
        <w:separator/>
      </w:r>
    </w:p>
  </w:footnote>
  <w:footnote w:type="continuationSeparator" w:id="1">
    <w:p w:rsidR="00D82BB7" w14:paraId="7C27A6FB" w14:textId="77777777">
      <w:r>
        <w:continuationSeparator/>
      </w:r>
    </w:p>
  </w:footnote>
  <w:footnote w:type="continuationNotice" w:id="2">
    <w:p w:rsidR="00D82BB7" w14:paraId="190097C9" w14:textId="77777777"/>
  </w:footnote>
  <w:footnote w:id="3">
    <w:p w:rsidR="007A0214" w:rsidRPr="004B1A11" w:rsidP="007A0214" w14:paraId="07009139" w14:textId="77777777">
      <w:pPr>
        <w:pStyle w:val="FootnoteText"/>
        <w:rPr>
          <w:sz w:val="18"/>
          <w:szCs w:val="18"/>
        </w:rPr>
      </w:pPr>
      <w:r w:rsidRPr="004B1A11">
        <w:rPr>
          <w:rStyle w:val="FootnoteReference"/>
          <w:sz w:val="18"/>
          <w:szCs w:val="18"/>
        </w:rPr>
        <w:footnoteRef/>
      </w:r>
      <w:r w:rsidRPr="004B1A11">
        <w:rPr>
          <w:sz w:val="18"/>
          <w:szCs w:val="18"/>
        </w:rPr>
        <w:t xml:space="preserve"> Bureau of Labor Statistics, Employer Costs for Employee Compensation, Table 1.  Available at </w:t>
      </w:r>
      <w:hyperlink r:id="rId1" w:history="1">
        <w:r>
          <w:rPr>
            <w:rStyle w:val="Hyperlink"/>
            <w:sz w:val="18"/>
            <w:szCs w:val="18"/>
          </w:rPr>
          <w:t>https://www.bls.gov/news.release/archives/ecec_03132024.pdf</w:t>
        </w:r>
      </w:hyperlink>
      <w:r w:rsidRPr="004B1A11">
        <w:rPr>
          <w:sz w:val="18"/>
          <w:szCs w:val="18"/>
        </w:rPr>
        <w:t xml:space="preserve">.  Accessed March </w:t>
      </w:r>
      <w:r>
        <w:rPr>
          <w:sz w:val="18"/>
          <w:szCs w:val="18"/>
        </w:rPr>
        <w:t>13</w:t>
      </w:r>
      <w:r w:rsidRPr="004B1A11">
        <w:rPr>
          <w:sz w:val="18"/>
          <w:szCs w:val="18"/>
        </w:rPr>
        <w:t>, 202</w:t>
      </w:r>
      <w:r>
        <w:rPr>
          <w:sz w:val="18"/>
          <w:szCs w:val="18"/>
        </w:rPr>
        <w:t>4</w:t>
      </w:r>
      <w:r w:rsidRPr="004B1A11">
        <w:rPr>
          <w:sz w:val="18"/>
          <w:szCs w:val="18"/>
        </w:rPr>
        <w:t>.  The national wage multiplier is calculated by dividing total compensation for all workers of $</w:t>
      </w:r>
      <w:r>
        <w:rPr>
          <w:sz w:val="18"/>
          <w:szCs w:val="18"/>
        </w:rPr>
        <w:t>45.</w:t>
      </w:r>
      <w:r w:rsidRPr="004B1A11">
        <w:rPr>
          <w:sz w:val="18"/>
          <w:szCs w:val="18"/>
        </w:rPr>
        <w:t>42 by wages and salaries for all workers of $</w:t>
      </w:r>
      <w:r>
        <w:rPr>
          <w:sz w:val="18"/>
          <w:szCs w:val="18"/>
        </w:rPr>
        <w:t>31.</w:t>
      </w:r>
      <w:r w:rsidRPr="004B1A11">
        <w:rPr>
          <w:sz w:val="18"/>
          <w:szCs w:val="18"/>
        </w:rPr>
        <w:t>29 per hour yielding a benefits multiplier of approximately 1.45. For State and local government employees the wage multiplier is calculated by dividing total compensation for State and local government workers of $60</w:t>
      </w:r>
      <w:r>
        <w:rPr>
          <w:sz w:val="18"/>
          <w:szCs w:val="18"/>
        </w:rPr>
        <w:t>.56</w:t>
      </w:r>
      <w:r w:rsidRPr="004B1A11">
        <w:rPr>
          <w:sz w:val="18"/>
          <w:szCs w:val="18"/>
        </w:rPr>
        <w:t xml:space="preserve"> by Wages and salaries for State and local government workers of $</w:t>
      </w:r>
      <w:r>
        <w:rPr>
          <w:sz w:val="18"/>
          <w:szCs w:val="18"/>
        </w:rPr>
        <w:t>37.53</w:t>
      </w:r>
      <w:r w:rsidRPr="004B1A11">
        <w:rPr>
          <w:sz w:val="18"/>
          <w:szCs w:val="18"/>
        </w:rPr>
        <w:t xml:space="preserve"> per hour yielding a benefits multiplier of approximately 1.61.</w:t>
      </w:r>
    </w:p>
  </w:footnote>
  <w:footnote w:id="4">
    <w:p w:rsidR="00777FB2" w:rsidRPr="004B1A11" w:rsidP="00777FB2" w14:paraId="2BA7EFE1" w14:textId="77777777">
      <w:pPr>
        <w:pStyle w:val="FootnoteText"/>
        <w:rPr>
          <w:sz w:val="18"/>
          <w:szCs w:val="18"/>
        </w:rPr>
      </w:pPr>
      <w:r w:rsidRPr="004B1A11">
        <w:rPr>
          <w:rStyle w:val="FootnoteReference"/>
          <w:sz w:val="18"/>
          <w:szCs w:val="18"/>
        </w:rPr>
        <w:footnoteRef/>
      </w:r>
      <w:r w:rsidRPr="004B1A11">
        <w:rPr>
          <w:sz w:val="18"/>
          <w:szCs w:val="18"/>
        </w:rPr>
        <w:t xml:space="preserve"> Information on the mean wage rate from the U.S. Department of Labor, Bureau of Labor Statistics is available online at: </w:t>
      </w:r>
      <w:hyperlink r:id="rId2" w:history="1">
        <w:r>
          <w:rPr>
            <w:rStyle w:val="Hyperlink"/>
            <w:sz w:val="18"/>
            <w:szCs w:val="18"/>
          </w:rPr>
          <w:t>https://www.bls.gov/oes/2023/may/oes_nat.htm</w:t>
        </w:r>
      </w:hyperlink>
    </w:p>
    <w:p w:rsidR="00777FB2" w:rsidRPr="002F0868" w:rsidP="00777FB2" w14:paraId="64AA4F72"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3B80F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8340B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2B0901"/>
    <w:multiLevelType w:val="hybridMultilevel"/>
    <w:tmpl w:val="71BEFE18"/>
    <w:lvl w:ilvl="0">
      <w:start w:val="13"/>
      <w:numFmt w:val="decimal"/>
      <w:lvlText w:val="%1."/>
      <w:lvlJc w:val="left"/>
      <w:pPr>
        <w:tabs>
          <w:tab w:val="num" w:pos="720"/>
        </w:tabs>
        <w:ind w:left="720" w:hanging="420"/>
      </w:pPr>
      <w:rPr>
        <w:rFonts w:hint="default"/>
      </w:rPr>
    </w:lvl>
    <w:lvl w:ilvl="1">
      <w:start w:val="1"/>
      <w:numFmt w:val="lowerLetter"/>
      <w:lvlText w:val="%2."/>
      <w:lvlJc w:val="left"/>
      <w:pPr>
        <w:tabs>
          <w:tab w:val="num" w:pos="1380"/>
        </w:tabs>
        <w:ind w:left="1380" w:hanging="360"/>
      </w:pPr>
      <w:rPr>
        <w:rFonts w:hint="default"/>
      </w:r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3">
    <w:nsid w:val="155D4B31"/>
    <w:multiLevelType w:val="multilevel"/>
    <w:tmpl w:val="C8D42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3B6D50"/>
    <w:multiLevelType w:val="multilevel"/>
    <w:tmpl w:val="A4DAA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4F550D"/>
    <w:multiLevelType w:val="hybridMultilevel"/>
    <w:tmpl w:val="2C8C6C1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26497255"/>
    <w:multiLevelType w:val="hybridMultilevel"/>
    <w:tmpl w:val="23EED162"/>
    <w:lvl w:ilvl="0">
      <w:start w:val="3"/>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AF81A8C"/>
    <w:multiLevelType w:val="hybridMultilevel"/>
    <w:tmpl w:val="F5A2C9B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2BD549C6"/>
    <w:multiLevelType w:val="multilevel"/>
    <w:tmpl w:val="D114AB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0"/>
      <w:numFmt w:val="none"/>
      <w:lvlJc w:val="left"/>
      <w:pPr>
        <w:tabs>
          <w:tab w:val="num" w:pos="360"/>
        </w:tabs>
      </w:p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Text w:val="擈Ǻ"/>
      <w:lvlJc w:val="left"/>
    </w:lvl>
    <w:lvl w:ilvl="8">
      <w:start w:val="0"/>
      <w:numFmt w:val="decimal"/>
      <w:lvlJc w:val="left"/>
    </w:lvl>
  </w:abstractNum>
  <w:abstractNum w:abstractNumId="15">
    <w:nsid w:val="30F60838"/>
    <w:multiLevelType w:val="hybridMultilevel"/>
    <w:tmpl w:val="C4300392"/>
    <w:lvl w:ilvl="0">
      <w:start w:val="13"/>
      <w:numFmt w:val="decimal"/>
      <w:lvlText w:val="%1."/>
      <w:lvlJc w:val="left"/>
      <w:pPr>
        <w:ind w:left="720" w:hanging="360"/>
      </w:pPr>
      <w:rPr>
        <w:rFonts w:hint="default"/>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A27CF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762A96"/>
    <w:multiLevelType w:val="hybridMultilevel"/>
    <w:tmpl w:val="53D0CC1A"/>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CC4EEF"/>
    <w:multiLevelType w:val="singleLevel"/>
    <w:tmpl w:val="0696E2FC"/>
    <w:lvl w:ilvl="0">
      <w:start w:val="0"/>
      <w:numFmt w:val="decimal"/>
      <w:lvlJc w:val="left"/>
    </w:lvl>
  </w:abstractNum>
  <w:abstractNum w:abstractNumId="19">
    <w:nsid w:val="3E9E640F"/>
    <w:multiLevelType w:val="hybridMultilevel"/>
    <w:tmpl w:val="0CF8DC3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EE04FE"/>
    <w:multiLevelType w:val="singleLevel"/>
    <w:tmpl w:val="0696E2FC"/>
    <w:lvl w:ilvl="0">
      <w:start w:val="0"/>
      <w:numFmt w:val="decimal"/>
      <w:lvlJc w:val="left"/>
    </w:lvl>
  </w:abstractNum>
  <w:abstractNum w:abstractNumId="21">
    <w:nsid w:val="4D981360"/>
    <w:multiLevelType w:val="hybridMultilevel"/>
    <w:tmpl w:val="E952A61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56F71A6F"/>
    <w:multiLevelType w:val="singleLevel"/>
    <w:tmpl w:val="A4C6B1C0"/>
    <w:lvl w:ilvl="0">
      <w:start w:val="0"/>
      <w:numFmt w:val="decimal"/>
      <w:lvlJc w:val="left"/>
    </w:lvl>
  </w:abstractNum>
  <w:abstractNum w:abstractNumId="23">
    <w:nsid w:val="5A3D2CEB"/>
    <w:multiLevelType w:val="multilevel"/>
    <w:tmpl w:val="E3F601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5E44EE"/>
    <w:multiLevelType w:val="hybridMultilevel"/>
    <w:tmpl w:val="B950DD6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85B423E"/>
    <w:multiLevelType w:val="hybridMultilevel"/>
    <w:tmpl w:val="3DAAEE7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68874F81"/>
    <w:multiLevelType w:val="hybridMultilevel"/>
    <w:tmpl w:val="ABEE689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6B7243C7"/>
    <w:multiLevelType w:val="hybridMultilevel"/>
    <w:tmpl w:val="CD8643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72684121"/>
    <w:multiLevelType w:val="hybridMultilevel"/>
    <w:tmpl w:val="92B83FE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72BE2654"/>
    <w:multiLevelType w:val="hybridMultilevel"/>
    <w:tmpl w:val="B8E23D0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73BC4946"/>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77458B"/>
    <w:multiLevelType w:val="singleLevel"/>
    <w:tmpl w:val="0696E2FC"/>
    <w:lvl w:ilvl="0">
      <w:start w:val="0"/>
      <w:numFmt w:val="decimal"/>
      <w:lvlJc w:val="left"/>
    </w:lvl>
  </w:abstractNum>
  <w:num w:numId="1" w16cid:durableId="1354041388">
    <w:abstractNumId w:val="22"/>
  </w:num>
  <w:num w:numId="2" w16cid:durableId="1760251659">
    <w:abstractNumId w:val="18"/>
  </w:num>
  <w:num w:numId="3" w16cid:durableId="738791948">
    <w:abstractNumId w:val="9"/>
  </w:num>
  <w:num w:numId="4" w16cid:durableId="70592400">
    <w:abstractNumId w:val="31"/>
  </w:num>
  <w:num w:numId="5" w16cid:durableId="1653832498">
    <w:abstractNumId w:val="6"/>
  </w:num>
  <w:num w:numId="6" w16cid:durableId="2099399190">
    <w:abstractNumId w:val="20"/>
  </w:num>
  <w:num w:numId="7" w16cid:durableId="1610502725">
    <w:abstractNumId w:val="12"/>
  </w:num>
  <w:num w:numId="8" w16cid:durableId="1834224589">
    <w:abstractNumId w:val="25"/>
  </w:num>
  <w:num w:numId="9" w16cid:durableId="916012716">
    <w:abstractNumId w:val="2"/>
  </w:num>
  <w:num w:numId="10" w16cid:durableId="1796751026">
    <w:abstractNumId w:val="29"/>
  </w:num>
  <w:num w:numId="11" w16cid:durableId="971711342">
    <w:abstractNumId w:val="26"/>
  </w:num>
  <w:num w:numId="12" w16cid:durableId="273365139">
    <w:abstractNumId w:val="11"/>
  </w:num>
  <w:num w:numId="13" w16cid:durableId="1960332607">
    <w:abstractNumId w:val="7"/>
  </w:num>
  <w:num w:numId="14" w16cid:durableId="2632460">
    <w:abstractNumId w:val="14"/>
  </w:num>
  <w:num w:numId="15" w16cid:durableId="1583564389">
    <w:abstractNumId w:val="28"/>
  </w:num>
  <w:num w:numId="16" w16cid:durableId="1019357697">
    <w:abstractNumId w:val="19"/>
  </w:num>
  <w:num w:numId="17" w16cid:durableId="1929999810">
    <w:abstractNumId w:val="3"/>
  </w:num>
  <w:num w:numId="18" w16cid:durableId="272395845">
    <w:abstractNumId w:val="4"/>
  </w:num>
  <w:num w:numId="19" w16cid:durableId="2025091863">
    <w:abstractNumId w:val="23"/>
  </w:num>
  <w:num w:numId="20" w16cid:durableId="1614285779">
    <w:abstractNumId w:val="13"/>
  </w:num>
  <w:num w:numId="21" w16cid:durableId="731391226">
    <w:abstractNumId w:val="1"/>
  </w:num>
  <w:num w:numId="22" w16cid:durableId="1108550605">
    <w:abstractNumId w:val="5"/>
  </w:num>
  <w:num w:numId="23" w16cid:durableId="256910116">
    <w:abstractNumId w:val="8"/>
  </w:num>
  <w:num w:numId="24" w16cid:durableId="2087146266">
    <w:abstractNumId w:val="0"/>
  </w:num>
  <w:num w:numId="25" w16cid:durableId="1694988611">
    <w:abstractNumId w:val="30"/>
  </w:num>
  <w:num w:numId="26" w16cid:durableId="620308604">
    <w:abstractNumId w:val="15"/>
  </w:num>
  <w:num w:numId="27" w16cid:durableId="1375036915">
    <w:abstractNumId w:val="24"/>
  </w:num>
  <w:num w:numId="28" w16cid:durableId="1717661554">
    <w:abstractNumId w:val="16"/>
  </w:num>
  <w:num w:numId="29" w16cid:durableId="741411258">
    <w:abstractNumId w:val="10"/>
  </w:num>
  <w:num w:numId="30" w16cid:durableId="702950016">
    <w:abstractNumId w:val="17"/>
  </w:num>
  <w:num w:numId="31" w16cid:durableId="1288706152">
    <w:abstractNumId w:val="21"/>
  </w:num>
  <w:num w:numId="32" w16cid:durableId="14614550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F2"/>
    <w:rsid w:val="00000E40"/>
    <w:rsid w:val="000015DD"/>
    <w:rsid w:val="0000174D"/>
    <w:rsid w:val="000020FC"/>
    <w:rsid w:val="00003B2E"/>
    <w:rsid w:val="00005A49"/>
    <w:rsid w:val="00011E73"/>
    <w:rsid w:val="000135D4"/>
    <w:rsid w:val="00017D60"/>
    <w:rsid w:val="00020156"/>
    <w:rsid w:val="00020610"/>
    <w:rsid w:val="0002071B"/>
    <w:rsid w:val="00020CC1"/>
    <w:rsid w:val="00023350"/>
    <w:rsid w:val="00024BD8"/>
    <w:rsid w:val="000266F1"/>
    <w:rsid w:val="00030648"/>
    <w:rsid w:val="00030F34"/>
    <w:rsid w:val="000320D1"/>
    <w:rsid w:val="00033A76"/>
    <w:rsid w:val="00034E1A"/>
    <w:rsid w:val="00037097"/>
    <w:rsid w:val="000375D9"/>
    <w:rsid w:val="0003776E"/>
    <w:rsid w:val="00040A45"/>
    <w:rsid w:val="000412C5"/>
    <w:rsid w:val="0004407A"/>
    <w:rsid w:val="00044629"/>
    <w:rsid w:val="00044DDF"/>
    <w:rsid w:val="00045255"/>
    <w:rsid w:val="000544B2"/>
    <w:rsid w:val="00056BC4"/>
    <w:rsid w:val="00062781"/>
    <w:rsid w:val="0006454D"/>
    <w:rsid w:val="000651D4"/>
    <w:rsid w:val="00067434"/>
    <w:rsid w:val="00070846"/>
    <w:rsid w:val="0007118F"/>
    <w:rsid w:val="00071B3C"/>
    <w:rsid w:val="00072506"/>
    <w:rsid w:val="0007390E"/>
    <w:rsid w:val="00073D0F"/>
    <w:rsid w:val="00075CEA"/>
    <w:rsid w:val="000763C7"/>
    <w:rsid w:val="000764F2"/>
    <w:rsid w:val="00080794"/>
    <w:rsid w:val="00080ABE"/>
    <w:rsid w:val="0008138B"/>
    <w:rsid w:val="000819FB"/>
    <w:rsid w:val="00083DBA"/>
    <w:rsid w:val="00084E73"/>
    <w:rsid w:val="00085321"/>
    <w:rsid w:val="0009032C"/>
    <w:rsid w:val="000920CE"/>
    <w:rsid w:val="00093DD3"/>
    <w:rsid w:val="00094C2C"/>
    <w:rsid w:val="00095D86"/>
    <w:rsid w:val="0009612D"/>
    <w:rsid w:val="00096785"/>
    <w:rsid w:val="000A0380"/>
    <w:rsid w:val="000A0A18"/>
    <w:rsid w:val="000A17F2"/>
    <w:rsid w:val="000A1FA8"/>
    <w:rsid w:val="000A45FD"/>
    <w:rsid w:val="000A4936"/>
    <w:rsid w:val="000A6018"/>
    <w:rsid w:val="000A6D18"/>
    <w:rsid w:val="000B0C3D"/>
    <w:rsid w:val="000B2EB7"/>
    <w:rsid w:val="000B4B5A"/>
    <w:rsid w:val="000B6081"/>
    <w:rsid w:val="000C0443"/>
    <w:rsid w:val="000C0E8B"/>
    <w:rsid w:val="000C10FA"/>
    <w:rsid w:val="000C3143"/>
    <w:rsid w:val="000C36C4"/>
    <w:rsid w:val="000C473C"/>
    <w:rsid w:val="000C783A"/>
    <w:rsid w:val="000C7E9D"/>
    <w:rsid w:val="000D03AA"/>
    <w:rsid w:val="000D4368"/>
    <w:rsid w:val="000E0572"/>
    <w:rsid w:val="000E26B2"/>
    <w:rsid w:val="000E391D"/>
    <w:rsid w:val="000E3D43"/>
    <w:rsid w:val="000E3EEC"/>
    <w:rsid w:val="000F0763"/>
    <w:rsid w:val="000F0E33"/>
    <w:rsid w:val="000F1EBE"/>
    <w:rsid w:val="000F2A33"/>
    <w:rsid w:val="000F2C46"/>
    <w:rsid w:val="000F4423"/>
    <w:rsid w:val="000F55B2"/>
    <w:rsid w:val="000F7285"/>
    <w:rsid w:val="000F7A23"/>
    <w:rsid w:val="00101568"/>
    <w:rsid w:val="00101585"/>
    <w:rsid w:val="00103274"/>
    <w:rsid w:val="0010328F"/>
    <w:rsid w:val="00105D49"/>
    <w:rsid w:val="00106F37"/>
    <w:rsid w:val="001073B1"/>
    <w:rsid w:val="001108AD"/>
    <w:rsid w:val="00112DFA"/>
    <w:rsid w:val="00113C60"/>
    <w:rsid w:val="00114EC2"/>
    <w:rsid w:val="00116BB8"/>
    <w:rsid w:val="00121260"/>
    <w:rsid w:val="00122EC9"/>
    <w:rsid w:val="001230DD"/>
    <w:rsid w:val="0012366D"/>
    <w:rsid w:val="001252CB"/>
    <w:rsid w:val="0012568E"/>
    <w:rsid w:val="00127F21"/>
    <w:rsid w:val="00132B1E"/>
    <w:rsid w:val="0013483D"/>
    <w:rsid w:val="00134D64"/>
    <w:rsid w:val="0014306D"/>
    <w:rsid w:val="00143094"/>
    <w:rsid w:val="00144502"/>
    <w:rsid w:val="00144CA8"/>
    <w:rsid w:val="00145DD4"/>
    <w:rsid w:val="00146134"/>
    <w:rsid w:val="001472D0"/>
    <w:rsid w:val="00150146"/>
    <w:rsid w:val="0015054F"/>
    <w:rsid w:val="00151948"/>
    <w:rsid w:val="001519BC"/>
    <w:rsid w:val="00152605"/>
    <w:rsid w:val="00152FFE"/>
    <w:rsid w:val="001536E3"/>
    <w:rsid w:val="00155AE9"/>
    <w:rsid w:val="00156752"/>
    <w:rsid w:val="001606B2"/>
    <w:rsid w:val="001607CC"/>
    <w:rsid w:val="00160A64"/>
    <w:rsid w:val="001632C5"/>
    <w:rsid w:val="0016391D"/>
    <w:rsid w:val="00164DB6"/>
    <w:rsid w:val="0016607C"/>
    <w:rsid w:val="00166368"/>
    <w:rsid w:val="00166713"/>
    <w:rsid w:val="0016753F"/>
    <w:rsid w:val="001703C5"/>
    <w:rsid w:val="00171021"/>
    <w:rsid w:val="00172476"/>
    <w:rsid w:val="001733B4"/>
    <w:rsid w:val="0017541B"/>
    <w:rsid w:val="0017564D"/>
    <w:rsid w:val="00175A07"/>
    <w:rsid w:val="00176C6C"/>
    <w:rsid w:val="00180092"/>
    <w:rsid w:val="0018064A"/>
    <w:rsid w:val="0018177D"/>
    <w:rsid w:val="001820ED"/>
    <w:rsid w:val="00183D39"/>
    <w:rsid w:val="00190AF9"/>
    <w:rsid w:val="0019159F"/>
    <w:rsid w:val="00193AD7"/>
    <w:rsid w:val="00193BAC"/>
    <w:rsid w:val="0019730C"/>
    <w:rsid w:val="001A084C"/>
    <w:rsid w:val="001A1093"/>
    <w:rsid w:val="001A26AE"/>
    <w:rsid w:val="001A2DBE"/>
    <w:rsid w:val="001A3B71"/>
    <w:rsid w:val="001A47E0"/>
    <w:rsid w:val="001A571D"/>
    <w:rsid w:val="001A69A7"/>
    <w:rsid w:val="001A793A"/>
    <w:rsid w:val="001B1DA5"/>
    <w:rsid w:val="001B3FB1"/>
    <w:rsid w:val="001B6A9F"/>
    <w:rsid w:val="001C147A"/>
    <w:rsid w:val="001C1826"/>
    <w:rsid w:val="001C2815"/>
    <w:rsid w:val="001C2DE9"/>
    <w:rsid w:val="001C3841"/>
    <w:rsid w:val="001C6080"/>
    <w:rsid w:val="001D0506"/>
    <w:rsid w:val="001D0C73"/>
    <w:rsid w:val="001D3CB9"/>
    <w:rsid w:val="001D56BB"/>
    <w:rsid w:val="001D6A77"/>
    <w:rsid w:val="001E0562"/>
    <w:rsid w:val="001E3F00"/>
    <w:rsid w:val="001E5DA3"/>
    <w:rsid w:val="001F0167"/>
    <w:rsid w:val="001F096E"/>
    <w:rsid w:val="001F0E43"/>
    <w:rsid w:val="001F2D47"/>
    <w:rsid w:val="001F34FC"/>
    <w:rsid w:val="001F4F66"/>
    <w:rsid w:val="001F5CF7"/>
    <w:rsid w:val="001F6C84"/>
    <w:rsid w:val="001F6F09"/>
    <w:rsid w:val="002009ED"/>
    <w:rsid w:val="002017AA"/>
    <w:rsid w:val="002026B2"/>
    <w:rsid w:val="00203170"/>
    <w:rsid w:val="00203276"/>
    <w:rsid w:val="00203AA5"/>
    <w:rsid w:val="00211D3A"/>
    <w:rsid w:val="00212403"/>
    <w:rsid w:val="00212D39"/>
    <w:rsid w:val="00216DE2"/>
    <w:rsid w:val="002224B0"/>
    <w:rsid w:val="0022270D"/>
    <w:rsid w:val="00224D69"/>
    <w:rsid w:val="00225D8F"/>
    <w:rsid w:val="00231F3E"/>
    <w:rsid w:val="00232C69"/>
    <w:rsid w:val="002334CE"/>
    <w:rsid w:val="00233D68"/>
    <w:rsid w:val="00234772"/>
    <w:rsid w:val="00235349"/>
    <w:rsid w:val="002403C0"/>
    <w:rsid w:val="002428E6"/>
    <w:rsid w:val="0024585B"/>
    <w:rsid w:val="00245FB5"/>
    <w:rsid w:val="00247D91"/>
    <w:rsid w:val="00251C9E"/>
    <w:rsid w:val="00253BC5"/>
    <w:rsid w:val="00254535"/>
    <w:rsid w:val="002566E6"/>
    <w:rsid w:val="00257EA0"/>
    <w:rsid w:val="002625F8"/>
    <w:rsid w:val="002637E5"/>
    <w:rsid w:val="00263DAD"/>
    <w:rsid w:val="0026460B"/>
    <w:rsid w:val="0026482E"/>
    <w:rsid w:val="0026549A"/>
    <w:rsid w:val="0026652D"/>
    <w:rsid w:val="0026668E"/>
    <w:rsid w:val="0026699A"/>
    <w:rsid w:val="00266CB3"/>
    <w:rsid w:val="00266ECA"/>
    <w:rsid w:val="00270CD5"/>
    <w:rsid w:val="00270ECE"/>
    <w:rsid w:val="00271458"/>
    <w:rsid w:val="002721D4"/>
    <w:rsid w:val="002756E0"/>
    <w:rsid w:val="002765A2"/>
    <w:rsid w:val="0027662B"/>
    <w:rsid w:val="0028086D"/>
    <w:rsid w:val="002828C1"/>
    <w:rsid w:val="0028316E"/>
    <w:rsid w:val="00284795"/>
    <w:rsid w:val="00284A8F"/>
    <w:rsid w:val="00284E54"/>
    <w:rsid w:val="002857DE"/>
    <w:rsid w:val="00285C19"/>
    <w:rsid w:val="00290000"/>
    <w:rsid w:val="00290570"/>
    <w:rsid w:val="002922FD"/>
    <w:rsid w:val="00293B73"/>
    <w:rsid w:val="00295EC6"/>
    <w:rsid w:val="002969E4"/>
    <w:rsid w:val="002A068B"/>
    <w:rsid w:val="002A419F"/>
    <w:rsid w:val="002A4B95"/>
    <w:rsid w:val="002B150D"/>
    <w:rsid w:val="002B186C"/>
    <w:rsid w:val="002B2C41"/>
    <w:rsid w:val="002B43BA"/>
    <w:rsid w:val="002B5778"/>
    <w:rsid w:val="002C1B5D"/>
    <w:rsid w:val="002C1D63"/>
    <w:rsid w:val="002C28A8"/>
    <w:rsid w:val="002C2E67"/>
    <w:rsid w:val="002C4012"/>
    <w:rsid w:val="002C7D4D"/>
    <w:rsid w:val="002D0175"/>
    <w:rsid w:val="002D02B7"/>
    <w:rsid w:val="002D50D1"/>
    <w:rsid w:val="002D58B3"/>
    <w:rsid w:val="002D5B3F"/>
    <w:rsid w:val="002D5E0D"/>
    <w:rsid w:val="002D7423"/>
    <w:rsid w:val="002E02A4"/>
    <w:rsid w:val="002E0ED2"/>
    <w:rsid w:val="002E2A08"/>
    <w:rsid w:val="002E48AC"/>
    <w:rsid w:val="002E5D97"/>
    <w:rsid w:val="002E60B0"/>
    <w:rsid w:val="002E66E9"/>
    <w:rsid w:val="002E7FEF"/>
    <w:rsid w:val="002F0868"/>
    <w:rsid w:val="002F7FAC"/>
    <w:rsid w:val="00301ED2"/>
    <w:rsid w:val="00302224"/>
    <w:rsid w:val="0030374B"/>
    <w:rsid w:val="00303E9D"/>
    <w:rsid w:val="003047CA"/>
    <w:rsid w:val="003049A1"/>
    <w:rsid w:val="00305418"/>
    <w:rsid w:val="00305630"/>
    <w:rsid w:val="003076D8"/>
    <w:rsid w:val="00310870"/>
    <w:rsid w:val="00311CCF"/>
    <w:rsid w:val="00313703"/>
    <w:rsid w:val="00315756"/>
    <w:rsid w:val="00316273"/>
    <w:rsid w:val="00317B32"/>
    <w:rsid w:val="00320390"/>
    <w:rsid w:val="00324D4A"/>
    <w:rsid w:val="00326497"/>
    <w:rsid w:val="00327145"/>
    <w:rsid w:val="003272FA"/>
    <w:rsid w:val="00327DDB"/>
    <w:rsid w:val="0033301E"/>
    <w:rsid w:val="00333E0A"/>
    <w:rsid w:val="0033515D"/>
    <w:rsid w:val="003354C0"/>
    <w:rsid w:val="0033634B"/>
    <w:rsid w:val="0033662B"/>
    <w:rsid w:val="00337435"/>
    <w:rsid w:val="0034006B"/>
    <w:rsid w:val="003410EC"/>
    <w:rsid w:val="00344E4F"/>
    <w:rsid w:val="00345555"/>
    <w:rsid w:val="00346D06"/>
    <w:rsid w:val="00347D7F"/>
    <w:rsid w:val="00350305"/>
    <w:rsid w:val="00353730"/>
    <w:rsid w:val="0035383D"/>
    <w:rsid w:val="003563A3"/>
    <w:rsid w:val="00356595"/>
    <w:rsid w:val="00356A54"/>
    <w:rsid w:val="00357FE9"/>
    <w:rsid w:val="00360543"/>
    <w:rsid w:val="003610F7"/>
    <w:rsid w:val="00361118"/>
    <w:rsid w:val="00361EE7"/>
    <w:rsid w:val="0036416A"/>
    <w:rsid w:val="00364442"/>
    <w:rsid w:val="003662F6"/>
    <w:rsid w:val="00366B0C"/>
    <w:rsid w:val="00370969"/>
    <w:rsid w:val="00372C0B"/>
    <w:rsid w:val="00372ED0"/>
    <w:rsid w:val="00377E70"/>
    <w:rsid w:val="00380D44"/>
    <w:rsid w:val="003825B2"/>
    <w:rsid w:val="003827FA"/>
    <w:rsid w:val="0038309E"/>
    <w:rsid w:val="003850B4"/>
    <w:rsid w:val="00386F5C"/>
    <w:rsid w:val="0039098B"/>
    <w:rsid w:val="003918E9"/>
    <w:rsid w:val="00391F0C"/>
    <w:rsid w:val="00394542"/>
    <w:rsid w:val="00395493"/>
    <w:rsid w:val="0039617E"/>
    <w:rsid w:val="003A005A"/>
    <w:rsid w:val="003A05A6"/>
    <w:rsid w:val="003A091C"/>
    <w:rsid w:val="003A416D"/>
    <w:rsid w:val="003A6739"/>
    <w:rsid w:val="003B1ECD"/>
    <w:rsid w:val="003B5119"/>
    <w:rsid w:val="003B70DF"/>
    <w:rsid w:val="003B7F4A"/>
    <w:rsid w:val="003C0927"/>
    <w:rsid w:val="003C3ABB"/>
    <w:rsid w:val="003C5871"/>
    <w:rsid w:val="003C59C1"/>
    <w:rsid w:val="003C6333"/>
    <w:rsid w:val="003C6924"/>
    <w:rsid w:val="003C6C32"/>
    <w:rsid w:val="003C70DB"/>
    <w:rsid w:val="003C7FDE"/>
    <w:rsid w:val="003D0757"/>
    <w:rsid w:val="003D0F00"/>
    <w:rsid w:val="003D1FDF"/>
    <w:rsid w:val="003D327B"/>
    <w:rsid w:val="003D39FA"/>
    <w:rsid w:val="003D3E8D"/>
    <w:rsid w:val="003D40BC"/>
    <w:rsid w:val="003D41CD"/>
    <w:rsid w:val="003D46BC"/>
    <w:rsid w:val="003D51E5"/>
    <w:rsid w:val="003D5D6F"/>
    <w:rsid w:val="003D5EF6"/>
    <w:rsid w:val="003D637E"/>
    <w:rsid w:val="003E00DC"/>
    <w:rsid w:val="003E1F92"/>
    <w:rsid w:val="003E222C"/>
    <w:rsid w:val="003E314E"/>
    <w:rsid w:val="003E3B4D"/>
    <w:rsid w:val="003E48DE"/>
    <w:rsid w:val="003E5114"/>
    <w:rsid w:val="003E5CE1"/>
    <w:rsid w:val="003E6A29"/>
    <w:rsid w:val="003E7F40"/>
    <w:rsid w:val="003F0E43"/>
    <w:rsid w:val="003F1097"/>
    <w:rsid w:val="003F1749"/>
    <w:rsid w:val="003F1D22"/>
    <w:rsid w:val="003F24AC"/>
    <w:rsid w:val="003F399F"/>
    <w:rsid w:val="003F4A0E"/>
    <w:rsid w:val="003F67E4"/>
    <w:rsid w:val="004018BA"/>
    <w:rsid w:val="004019FB"/>
    <w:rsid w:val="00401CA1"/>
    <w:rsid w:val="0040295C"/>
    <w:rsid w:val="00403BAF"/>
    <w:rsid w:val="004056FD"/>
    <w:rsid w:val="00405F13"/>
    <w:rsid w:val="00407C2D"/>
    <w:rsid w:val="004129CD"/>
    <w:rsid w:val="00413656"/>
    <w:rsid w:val="00413856"/>
    <w:rsid w:val="00414965"/>
    <w:rsid w:val="00415038"/>
    <w:rsid w:val="00416301"/>
    <w:rsid w:val="004164A6"/>
    <w:rsid w:val="00416638"/>
    <w:rsid w:val="004166CE"/>
    <w:rsid w:val="00420E4E"/>
    <w:rsid w:val="004216C7"/>
    <w:rsid w:val="0042422B"/>
    <w:rsid w:val="00433054"/>
    <w:rsid w:val="00434E9C"/>
    <w:rsid w:val="00435C07"/>
    <w:rsid w:val="00435D69"/>
    <w:rsid w:val="00436765"/>
    <w:rsid w:val="004376BF"/>
    <w:rsid w:val="00442BDA"/>
    <w:rsid w:val="004447F3"/>
    <w:rsid w:val="00445964"/>
    <w:rsid w:val="00447812"/>
    <w:rsid w:val="00452310"/>
    <w:rsid w:val="00452CB8"/>
    <w:rsid w:val="00454912"/>
    <w:rsid w:val="00454E95"/>
    <w:rsid w:val="00455A32"/>
    <w:rsid w:val="00455F48"/>
    <w:rsid w:val="004602BF"/>
    <w:rsid w:val="00462A07"/>
    <w:rsid w:val="00463B16"/>
    <w:rsid w:val="0046431C"/>
    <w:rsid w:val="00465E3A"/>
    <w:rsid w:val="0046759A"/>
    <w:rsid w:val="00470004"/>
    <w:rsid w:val="0047470A"/>
    <w:rsid w:val="004752A0"/>
    <w:rsid w:val="004757E5"/>
    <w:rsid w:val="0047652B"/>
    <w:rsid w:val="00476BCE"/>
    <w:rsid w:val="00481ECE"/>
    <w:rsid w:val="00482F6E"/>
    <w:rsid w:val="004842F4"/>
    <w:rsid w:val="00485D85"/>
    <w:rsid w:val="00486729"/>
    <w:rsid w:val="00490F9E"/>
    <w:rsid w:val="00493537"/>
    <w:rsid w:val="00493797"/>
    <w:rsid w:val="00493840"/>
    <w:rsid w:val="00493C00"/>
    <w:rsid w:val="00493D30"/>
    <w:rsid w:val="00494378"/>
    <w:rsid w:val="00495A34"/>
    <w:rsid w:val="00495E6A"/>
    <w:rsid w:val="0049735C"/>
    <w:rsid w:val="004A0216"/>
    <w:rsid w:val="004A052D"/>
    <w:rsid w:val="004A4D96"/>
    <w:rsid w:val="004A61D0"/>
    <w:rsid w:val="004A7D5A"/>
    <w:rsid w:val="004B038D"/>
    <w:rsid w:val="004B1A11"/>
    <w:rsid w:val="004B23EB"/>
    <w:rsid w:val="004B3431"/>
    <w:rsid w:val="004B4CB1"/>
    <w:rsid w:val="004B60FC"/>
    <w:rsid w:val="004B69FD"/>
    <w:rsid w:val="004C3D9C"/>
    <w:rsid w:val="004C4868"/>
    <w:rsid w:val="004C4948"/>
    <w:rsid w:val="004C539F"/>
    <w:rsid w:val="004C5696"/>
    <w:rsid w:val="004C629F"/>
    <w:rsid w:val="004D07C9"/>
    <w:rsid w:val="004D1AF2"/>
    <w:rsid w:val="004D2E74"/>
    <w:rsid w:val="004D400D"/>
    <w:rsid w:val="004D415F"/>
    <w:rsid w:val="004D41DE"/>
    <w:rsid w:val="004D5975"/>
    <w:rsid w:val="004D5D77"/>
    <w:rsid w:val="004D6621"/>
    <w:rsid w:val="004D74B9"/>
    <w:rsid w:val="004E0963"/>
    <w:rsid w:val="004E1D16"/>
    <w:rsid w:val="004E23A2"/>
    <w:rsid w:val="004E6038"/>
    <w:rsid w:val="004E6947"/>
    <w:rsid w:val="004E731B"/>
    <w:rsid w:val="004F1C69"/>
    <w:rsid w:val="004F1E9E"/>
    <w:rsid w:val="004F2D03"/>
    <w:rsid w:val="004F61FA"/>
    <w:rsid w:val="004F6213"/>
    <w:rsid w:val="004F64A3"/>
    <w:rsid w:val="004F6865"/>
    <w:rsid w:val="004F7861"/>
    <w:rsid w:val="00500A2C"/>
    <w:rsid w:val="005017B6"/>
    <w:rsid w:val="00501C99"/>
    <w:rsid w:val="005025EC"/>
    <w:rsid w:val="005037CF"/>
    <w:rsid w:val="005040DC"/>
    <w:rsid w:val="005048E8"/>
    <w:rsid w:val="005054B2"/>
    <w:rsid w:val="00505E23"/>
    <w:rsid w:val="00506D32"/>
    <w:rsid w:val="00507C23"/>
    <w:rsid w:val="0051375E"/>
    <w:rsid w:val="00513A7D"/>
    <w:rsid w:val="00513FD9"/>
    <w:rsid w:val="0051593B"/>
    <w:rsid w:val="005211B9"/>
    <w:rsid w:val="005231A2"/>
    <w:rsid w:val="0052599D"/>
    <w:rsid w:val="00527093"/>
    <w:rsid w:val="005271D8"/>
    <w:rsid w:val="0052752D"/>
    <w:rsid w:val="005320F7"/>
    <w:rsid w:val="00532F20"/>
    <w:rsid w:val="00533E83"/>
    <w:rsid w:val="00535F38"/>
    <w:rsid w:val="005402F8"/>
    <w:rsid w:val="00540D41"/>
    <w:rsid w:val="00545BEB"/>
    <w:rsid w:val="00545D4C"/>
    <w:rsid w:val="00546C29"/>
    <w:rsid w:val="00550646"/>
    <w:rsid w:val="00550C49"/>
    <w:rsid w:val="005527E3"/>
    <w:rsid w:val="005535D2"/>
    <w:rsid w:val="00560D55"/>
    <w:rsid w:val="005617DE"/>
    <w:rsid w:val="00561C4C"/>
    <w:rsid w:val="00563D6C"/>
    <w:rsid w:val="00563F16"/>
    <w:rsid w:val="005649E9"/>
    <w:rsid w:val="005679CD"/>
    <w:rsid w:val="0057036F"/>
    <w:rsid w:val="00571CA5"/>
    <w:rsid w:val="0057348F"/>
    <w:rsid w:val="0057481D"/>
    <w:rsid w:val="00576081"/>
    <w:rsid w:val="005779BC"/>
    <w:rsid w:val="00580048"/>
    <w:rsid w:val="005807DE"/>
    <w:rsid w:val="005807E0"/>
    <w:rsid w:val="005810F7"/>
    <w:rsid w:val="00582A4B"/>
    <w:rsid w:val="00584B76"/>
    <w:rsid w:val="00587724"/>
    <w:rsid w:val="005877D5"/>
    <w:rsid w:val="00590122"/>
    <w:rsid w:val="0059138E"/>
    <w:rsid w:val="005926EA"/>
    <w:rsid w:val="00592840"/>
    <w:rsid w:val="00592BD8"/>
    <w:rsid w:val="00593C7E"/>
    <w:rsid w:val="00594C36"/>
    <w:rsid w:val="00596180"/>
    <w:rsid w:val="00597663"/>
    <w:rsid w:val="005A0904"/>
    <w:rsid w:val="005A2658"/>
    <w:rsid w:val="005A3789"/>
    <w:rsid w:val="005A786A"/>
    <w:rsid w:val="005A7A7D"/>
    <w:rsid w:val="005A7AE7"/>
    <w:rsid w:val="005B3127"/>
    <w:rsid w:val="005B3D2F"/>
    <w:rsid w:val="005B4BCE"/>
    <w:rsid w:val="005B6409"/>
    <w:rsid w:val="005B693B"/>
    <w:rsid w:val="005B73A9"/>
    <w:rsid w:val="005C0255"/>
    <w:rsid w:val="005C1036"/>
    <w:rsid w:val="005C3EC5"/>
    <w:rsid w:val="005C41F4"/>
    <w:rsid w:val="005C52DF"/>
    <w:rsid w:val="005C6F18"/>
    <w:rsid w:val="005D0957"/>
    <w:rsid w:val="005D590E"/>
    <w:rsid w:val="005D6840"/>
    <w:rsid w:val="005D6EE9"/>
    <w:rsid w:val="005D738F"/>
    <w:rsid w:val="005D7977"/>
    <w:rsid w:val="005E18FC"/>
    <w:rsid w:val="005E21C2"/>
    <w:rsid w:val="005E2599"/>
    <w:rsid w:val="005E2BB2"/>
    <w:rsid w:val="005E2FA1"/>
    <w:rsid w:val="005E408B"/>
    <w:rsid w:val="005E489E"/>
    <w:rsid w:val="005E6687"/>
    <w:rsid w:val="005E7936"/>
    <w:rsid w:val="005F0197"/>
    <w:rsid w:val="005F1347"/>
    <w:rsid w:val="005F51D3"/>
    <w:rsid w:val="005F79C4"/>
    <w:rsid w:val="00600089"/>
    <w:rsid w:val="00600E66"/>
    <w:rsid w:val="00601987"/>
    <w:rsid w:val="006022C5"/>
    <w:rsid w:val="006044D5"/>
    <w:rsid w:val="0061078D"/>
    <w:rsid w:val="00611494"/>
    <w:rsid w:val="0061257A"/>
    <w:rsid w:val="00613F0D"/>
    <w:rsid w:val="0062171B"/>
    <w:rsid w:val="00623B04"/>
    <w:rsid w:val="00624983"/>
    <w:rsid w:val="00625106"/>
    <w:rsid w:val="00627310"/>
    <w:rsid w:val="00627556"/>
    <w:rsid w:val="00627D78"/>
    <w:rsid w:val="00630430"/>
    <w:rsid w:val="00633DA0"/>
    <w:rsid w:val="00636255"/>
    <w:rsid w:val="00637667"/>
    <w:rsid w:val="00643A91"/>
    <w:rsid w:val="00645CA2"/>
    <w:rsid w:val="00647851"/>
    <w:rsid w:val="00653DA9"/>
    <w:rsid w:val="00653DFF"/>
    <w:rsid w:val="006540F6"/>
    <w:rsid w:val="0065557C"/>
    <w:rsid w:val="00656BB2"/>
    <w:rsid w:val="00657E1F"/>
    <w:rsid w:val="00657FEA"/>
    <w:rsid w:val="00660565"/>
    <w:rsid w:val="00661095"/>
    <w:rsid w:val="00661114"/>
    <w:rsid w:val="006616AA"/>
    <w:rsid w:val="00662B9B"/>
    <w:rsid w:val="0066569B"/>
    <w:rsid w:val="00665F75"/>
    <w:rsid w:val="00666CA2"/>
    <w:rsid w:val="00666E28"/>
    <w:rsid w:val="0067027A"/>
    <w:rsid w:val="006719C3"/>
    <w:rsid w:val="00673158"/>
    <w:rsid w:val="006734AC"/>
    <w:rsid w:val="00674354"/>
    <w:rsid w:val="0067479E"/>
    <w:rsid w:val="00677048"/>
    <w:rsid w:val="00677CAD"/>
    <w:rsid w:val="0068050B"/>
    <w:rsid w:val="006822D6"/>
    <w:rsid w:val="00683A1C"/>
    <w:rsid w:val="00685C8F"/>
    <w:rsid w:val="006900E4"/>
    <w:rsid w:val="006938C6"/>
    <w:rsid w:val="00693993"/>
    <w:rsid w:val="00693F5A"/>
    <w:rsid w:val="006961CB"/>
    <w:rsid w:val="006970AD"/>
    <w:rsid w:val="006973FD"/>
    <w:rsid w:val="00697456"/>
    <w:rsid w:val="00697557"/>
    <w:rsid w:val="006A0D45"/>
    <w:rsid w:val="006A0E10"/>
    <w:rsid w:val="006A1135"/>
    <w:rsid w:val="006A12F8"/>
    <w:rsid w:val="006A1824"/>
    <w:rsid w:val="006A19F7"/>
    <w:rsid w:val="006A3737"/>
    <w:rsid w:val="006A375E"/>
    <w:rsid w:val="006A46B1"/>
    <w:rsid w:val="006A4787"/>
    <w:rsid w:val="006A4AF3"/>
    <w:rsid w:val="006A569E"/>
    <w:rsid w:val="006A6154"/>
    <w:rsid w:val="006B1BD9"/>
    <w:rsid w:val="006B296C"/>
    <w:rsid w:val="006B42CC"/>
    <w:rsid w:val="006B7DE7"/>
    <w:rsid w:val="006C02D2"/>
    <w:rsid w:val="006C04FF"/>
    <w:rsid w:val="006C1167"/>
    <w:rsid w:val="006C1B30"/>
    <w:rsid w:val="006C288C"/>
    <w:rsid w:val="006C3CB7"/>
    <w:rsid w:val="006C5C3B"/>
    <w:rsid w:val="006C5E4A"/>
    <w:rsid w:val="006C6918"/>
    <w:rsid w:val="006C6989"/>
    <w:rsid w:val="006D00EF"/>
    <w:rsid w:val="006D2D38"/>
    <w:rsid w:val="006D4CFE"/>
    <w:rsid w:val="006D5A6C"/>
    <w:rsid w:val="006D5A89"/>
    <w:rsid w:val="006D6D9D"/>
    <w:rsid w:val="006D7507"/>
    <w:rsid w:val="006D77F3"/>
    <w:rsid w:val="006E24AC"/>
    <w:rsid w:val="006E26C6"/>
    <w:rsid w:val="006E3F5C"/>
    <w:rsid w:val="006E4F0E"/>
    <w:rsid w:val="006E6E9E"/>
    <w:rsid w:val="006E7E24"/>
    <w:rsid w:val="006F31B8"/>
    <w:rsid w:val="006F410C"/>
    <w:rsid w:val="006F49E8"/>
    <w:rsid w:val="006F7A56"/>
    <w:rsid w:val="006F7B54"/>
    <w:rsid w:val="00702B88"/>
    <w:rsid w:val="00703100"/>
    <w:rsid w:val="00712085"/>
    <w:rsid w:val="007148B0"/>
    <w:rsid w:val="00714B60"/>
    <w:rsid w:val="00715911"/>
    <w:rsid w:val="00717CDE"/>
    <w:rsid w:val="00723D65"/>
    <w:rsid w:val="00725F7E"/>
    <w:rsid w:val="007263B4"/>
    <w:rsid w:val="00727D1B"/>
    <w:rsid w:val="00727D97"/>
    <w:rsid w:val="007308FE"/>
    <w:rsid w:val="00730B56"/>
    <w:rsid w:val="00730C6D"/>
    <w:rsid w:val="00730DD2"/>
    <w:rsid w:val="00735D5B"/>
    <w:rsid w:val="0073646B"/>
    <w:rsid w:val="007404A1"/>
    <w:rsid w:val="00740F51"/>
    <w:rsid w:val="00742BED"/>
    <w:rsid w:val="00742D94"/>
    <w:rsid w:val="00743301"/>
    <w:rsid w:val="007450F6"/>
    <w:rsid w:val="00747780"/>
    <w:rsid w:val="00750572"/>
    <w:rsid w:val="007507F2"/>
    <w:rsid w:val="00751F45"/>
    <w:rsid w:val="007532E9"/>
    <w:rsid w:val="0075636E"/>
    <w:rsid w:val="00756699"/>
    <w:rsid w:val="00756A89"/>
    <w:rsid w:val="00756E84"/>
    <w:rsid w:val="00757FA7"/>
    <w:rsid w:val="0076048D"/>
    <w:rsid w:val="00760573"/>
    <w:rsid w:val="00760E80"/>
    <w:rsid w:val="00761BFF"/>
    <w:rsid w:val="00761F8C"/>
    <w:rsid w:val="00763992"/>
    <w:rsid w:val="00763996"/>
    <w:rsid w:val="00766E50"/>
    <w:rsid w:val="007672DB"/>
    <w:rsid w:val="0077008F"/>
    <w:rsid w:val="00772A0C"/>
    <w:rsid w:val="00772AB3"/>
    <w:rsid w:val="00773BC9"/>
    <w:rsid w:val="00776A14"/>
    <w:rsid w:val="00776D19"/>
    <w:rsid w:val="0077754C"/>
    <w:rsid w:val="00777FB2"/>
    <w:rsid w:val="00780D3B"/>
    <w:rsid w:val="007840FB"/>
    <w:rsid w:val="00784A5E"/>
    <w:rsid w:val="00785D16"/>
    <w:rsid w:val="00786B1B"/>
    <w:rsid w:val="00786E28"/>
    <w:rsid w:val="00790F72"/>
    <w:rsid w:val="00792228"/>
    <w:rsid w:val="00792258"/>
    <w:rsid w:val="00792B0E"/>
    <w:rsid w:val="007965C6"/>
    <w:rsid w:val="00796807"/>
    <w:rsid w:val="0079779A"/>
    <w:rsid w:val="00797DA5"/>
    <w:rsid w:val="007A0214"/>
    <w:rsid w:val="007A2DF1"/>
    <w:rsid w:val="007A36B1"/>
    <w:rsid w:val="007A5481"/>
    <w:rsid w:val="007A613B"/>
    <w:rsid w:val="007B276C"/>
    <w:rsid w:val="007B2849"/>
    <w:rsid w:val="007B476B"/>
    <w:rsid w:val="007B48AE"/>
    <w:rsid w:val="007B5620"/>
    <w:rsid w:val="007C2C26"/>
    <w:rsid w:val="007C32FA"/>
    <w:rsid w:val="007C4082"/>
    <w:rsid w:val="007C53A3"/>
    <w:rsid w:val="007E07D4"/>
    <w:rsid w:val="007E2124"/>
    <w:rsid w:val="007E21AE"/>
    <w:rsid w:val="007E24EB"/>
    <w:rsid w:val="007E34D1"/>
    <w:rsid w:val="007E5ACC"/>
    <w:rsid w:val="007E61AE"/>
    <w:rsid w:val="007F08D7"/>
    <w:rsid w:val="007F1CFA"/>
    <w:rsid w:val="007F5195"/>
    <w:rsid w:val="007F7E06"/>
    <w:rsid w:val="00801B35"/>
    <w:rsid w:val="00801FB2"/>
    <w:rsid w:val="008028EA"/>
    <w:rsid w:val="008032EF"/>
    <w:rsid w:val="0080373E"/>
    <w:rsid w:val="008038D3"/>
    <w:rsid w:val="00805896"/>
    <w:rsid w:val="008076AC"/>
    <w:rsid w:val="008119FD"/>
    <w:rsid w:val="00811D4E"/>
    <w:rsid w:val="00814597"/>
    <w:rsid w:val="008148C3"/>
    <w:rsid w:val="00815708"/>
    <w:rsid w:val="008157E5"/>
    <w:rsid w:val="008169A7"/>
    <w:rsid w:val="00822811"/>
    <w:rsid w:val="008228DC"/>
    <w:rsid w:val="00822978"/>
    <w:rsid w:val="0082297F"/>
    <w:rsid w:val="00824FE4"/>
    <w:rsid w:val="008268DA"/>
    <w:rsid w:val="00826920"/>
    <w:rsid w:val="00832943"/>
    <w:rsid w:val="00834F7E"/>
    <w:rsid w:val="0083693F"/>
    <w:rsid w:val="00842A11"/>
    <w:rsid w:val="00842E74"/>
    <w:rsid w:val="00843281"/>
    <w:rsid w:val="00845002"/>
    <w:rsid w:val="00845948"/>
    <w:rsid w:val="00846F50"/>
    <w:rsid w:val="00851DE3"/>
    <w:rsid w:val="00852551"/>
    <w:rsid w:val="00853D17"/>
    <w:rsid w:val="00854B19"/>
    <w:rsid w:val="0085711B"/>
    <w:rsid w:val="00857651"/>
    <w:rsid w:val="00860D6F"/>
    <w:rsid w:val="00861820"/>
    <w:rsid w:val="008626DC"/>
    <w:rsid w:val="00864676"/>
    <w:rsid w:val="00866366"/>
    <w:rsid w:val="008666F4"/>
    <w:rsid w:val="0087065D"/>
    <w:rsid w:val="0087073C"/>
    <w:rsid w:val="0087286F"/>
    <w:rsid w:val="0087685D"/>
    <w:rsid w:val="008768B8"/>
    <w:rsid w:val="00876D45"/>
    <w:rsid w:val="00877531"/>
    <w:rsid w:val="00880B0E"/>
    <w:rsid w:val="00882889"/>
    <w:rsid w:val="00882FF9"/>
    <w:rsid w:val="00883BF5"/>
    <w:rsid w:val="0088474E"/>
    <w:rsid w:val="00884B9C"/>
    <w:rsid w:val="008851F8"/>
    <w:rsid w:val="00885334"/>
    <w:rsid w:val="0088596C"/>
    <w:rsid w:val="00885A80"/>
    <w:rsid w:val="00890881"/>
    <w:rsid w:val="00892A9F"/>
    <w:rsid w:val="00892BDD"/>
    <w:rsid w:val="00896113"/>
    <w:rsid w:val="008A0D23"/>
    <w:rsid w:val="008A2DEE"/>
    <w:rsid w:val="008A2F22"/>
    <w:rsid w:val="008B10FE"/>
    <w:rsid w:val="008B1675"/>
    <w:rsid w:val="008B44F5"/>
    <w:rsid w:val="008B4776"/>
    <w:rsid w:val="008B72DE"/>
    <w:rsid w:val="008B7FAC"/>
    <w:rsid w:val="008C06A7"/>
    <w:rsid w:val="008C0BA2"/>
    <w:rsid w:val="008C4590"/>
    <w:rsid w:val="008C544B"/>
    <w:rsid w:val="008C55E6"/>
    <w:rsid w:val="008D071E"/>
    <w:rsid w:val="008D08F6"/>
    <w:rsid w:val="008D0AF2"/>
    <w:rsid w:val="008D1279"/>
    <w:rsid w:val="008D1485"/>
    <w:rsid w:val="008D1ADD"/>
    <w:rsid w:val="008D1E87"/>
    <w:rsid w:val="008D2303"/>
    <w:rsid w:val="008D27C0"/>
    <w:rsid w:val="008D3AF8"/>
    <w:rsid w:val="008D43E7"/>
    <w:rsid w:val="008D4E81"/>
    <w:rsid w:val="008D5E8B"/>
    <w:rsid w:val="008D5F04"/>
    <w:rsid w:val="008D6343"/>
    <w:rsid w:val="008D6A4E"/>
    <w:rsid w:val="008D7C6A"/>
    <w:rsid w:val="008E0A1C"/>
    <w:rsid w:val="008E1221"/>
    <w:rsid w:val="008E16E5"/>
    <w:rsid w:val="008E6281"/>
    <w:rsid w:val="008F101C"/>
    <w:rsid w:val="008F5344"/>
    <w:rsid w:val="008F59C8"/>
    <w:rsid w:val="008F6772"/>
    <w:rsid w:val="0090080C"/>
    <w:rsid w:val="00903617"/>
    <w:rsid w:val="009036F1"/>
    <w:rsid w:val="009037B0"/>
    <w:rsid w:val="0090478D"/>
    <w:rsid w:val="009053E4"/>
    <w:rsid w:val="00906E9E"/>
    <w:rsid w:val="009139B5"/>
    <w:rsid w:val="00913E19"/>
    <w:rsid w:val="00916575"/>
    <w:rsid w:val="009178E7"/>
    <w:rsid w:val="009208B7"/>
    <w:rsid w:val="00920A21"/>
    <w:rsid w:val="0092146C"/>
    <w:rsid w:val="009222C1"/>
    <w:rsid w:val="00923D39"/>
    <w:rsid w:val="009252A6"/>
    <w:rsid w:val="009304CD"/>
    <w:rsid w:val="00930CD1"/>
    <w:rsid w:val="00932478"/>
    <w:rsid w:val="0093274F"/>
    <w:rsid w:val="00934767"/>
    <w:rsid w:val="00934F1C"/>
    <w:rsid w:val="0093589A"/>
    <w:rsid w:val="009359A0"/>
    <w:rsid w:val="00936956"/>
    <w:rsid w:val="00936E2C"/>
    <w:rsid w:val="00940B00"/>
    <w:rsid w:val="00940EAA"/>
    <w:rsid w:val="00941B31"/>
    <w:rsid w:val="0094233D"/>
    <w:rsid w:val="00946EF4"/>
    <w:rsid w:val="00950330"/>
    <w:rsid w:val="0095065C"/>
    <w:rsid w:val="0095081D"/>
    <w:rsid w:val="0095087A"/>
    <w:rsid w:val="00953739"/>
    <w:rsid w:val="00955AF5"/>
    <w:rsid w:val="00955BA4"/>
    <w:rsid w:val="009577EB"/>
    <w:rsid w:val="0095782B"/>
    <w:rsid w:val="00960F07"/>
    <w:rsid w:val="00961455"/>
    <w:rsid w:val="00961DC2"/>
    <w:rsid w:val="00962926"/>
    <w:rsid w:val="009647ED"/>
    <w:rsid w:val="009707B4"/>
    <w:rsid w:val="00972015"/>
    <w:rsid w:val="00973F3A"/>
    <w:rsid w:val="00974967"/>
    <w:rsid w:val="00974EA8"/>
    <w:rsid w:val="009766AB"/>
    <w:rsid w:val="0098231F"/>
    <w:rsid w:val="00986254"/>
    <w:rsid w:val="00987E9A"/>
    <w:rsid w:val="009923C5"/>
    <w:rsid w:val="009925CC"/>
    <w:rsid w:val="00993B00"/>
    <w:rsid w:val="00994F92"/>
    <w:rsid w:val="009955D3"/>
    <w:rsid w:val="00995F48"/>
    <w:rsid w:val="009962F0"/>
    <w:rsid w:val="00996C42"/>
    <w:rsid w:val="009976C9"/>
    <w:rsid w:val="009A0299"/>
    <w:rsid w:val="009A27AC"/>
    <w:rsid w:val="009A320C"/>
    <w:rsid w:val="009A44E9"/>
    <w:rsid w:val="009A495A"/>
    <w:rsid w:val="009A64A4"/>
    <w:rsid w:val="009B26A8"/>
    <w:rsid w:val="009B2B2F"/>
    <w:rsid w:val="009B3B16"/>
    <w:rsid w:val="009B4E88"/>
    <w:rsid w:val="009B5E56"/>
    <w:rsid w:val="009B69D3"/>
    <w:rsid w:val="009C6B3E"/>
    <w:rsid w:val="009C7581"/>
    <w:rsid w:val="009C7B2B"/>
    <w:rsid w:val="009D3030"/>
    <w:rsid w:val="009D3F27"/>
    <w:rsid w:val="009D59D6"/>
    <w:rsid w:val="009D7985"/>
    <w:rsid w:val="009E0A9A"/>
    <w:rsid w:val="009E1F15"/>
    <w:rsid w:val="009E34C5"/>
    <w:rsid w:val="009E39BA"/>
    <w:rsid w:val="009E477C"/>
    <w:rsid w:val="009E4BF6"/>
    <w:rsid w:val="009E6D9C"/>
    <w:rsid w:val="009E714A"/>
    <w:rsid w:val="009E7AD0"/>
    <w:rsid w:val="009F002E"/>
    <w:rsid w:val="009F144F"/>
    <w:rsid w:val="009F261F"/>
    <w:rsid w:val="009F349D"/>
    <w:rsid w:val="009F37C2"/>
    <w:rsid w:val="009F3EE4"/>
    <w:rsid w:val="009F4257"/>
    <w:rsid w:val="009F46CE"/>
    <w:rsid w:val="009F75F6"/>
    <w:rsid w:val="00A01283"/>
    <w:rsid w:val="00A03F43"/>
    <w:rsid w:val="00A04797"/>
    <w:rsid w:val="00A062D2"/>
    <w:rsid w:val="00A107C9"/>
    <w:rsid w:val="00A108DE"/>
    <w:rsid w:val="00A11E93"/>
    <w:rsid w:val="00A1224B"/>
    <w:rsid w:val="00A132C9"/>
    <w:rsid w:val="00A14573"/>
    <w:rsid w:val="00A147C9"/>
    <w:rsid w:val="00A16F34"/>
    <w:rsid w:val="00A20D92"/>
    <w:rsid w:val="00A21D22"/>
    <w:rsid w:val="00A22C36"/>
    <w:rsid w:val="00A236D1"/>
    <w:rsid w:val="00A237FD"/>
    <w:rsid w:val="00A24349"/>
    <w:rsid w:val="00A254A7"/>
    <w:rsid w:val="00A264C5"/>
    <w:rsid w:val="00A26551"/>
    <w:rsid w:val="00A30B73"/>
    <w:rsid w:val="00A31397"/>
    <w:rsid w:val="00A319AE"/>
    <w:rsid w:val="00A37286"/>
    <w:rsid w:val="00A37650"/>
    <w:rsid w:val="00A409C5"/>
    <w:rsid w:val="00A41026"/>
    <w:rsid w:val="00A41375"/>
    <w:rsid w:val="00A420B8"/>
    <w:rsid w:val="00A45022"/>
    <w:rsid w:val="00A459CA"/>
    <w:rsid w:val="00A46230"/>
    <w:rsid w:val="00A502E0"/>
    <w:rsid w:val="00A5160B"/>
    <w:rsid w:val="00A53331"/>
    <w:rsid w:val="00A55AF5"/>
    <w:rsid w:val="00A57B88"/>
    <w:rsid w:val="00A60741"/>
    <w:rsid w:val="00A61A3D"/>
    <w:rsid w:val="00A62F7A"/>
    <w:rsid w:val="00A63E91"/>
    <w:rsid w:val="00A643EA"/>
    <w:rsid w:val="00A661FD"/>
    <w:rsid w:val="00A71283"/>
    <w:rsid w:val="00A7219A"/>
    <w:rsid w:val="00A7487B"/>
    <w:rsid w:val="00A774F0"/>
    <w:rsid w:val="00A77931"/>
    <w:rsid w:val="00A807DC"/>
    <w:rsid w:val="00A80845"/>
    <w:rsid w:val="00A80EEB"/>
    <w:rsid w:val="00A81984"/>
    <w:rsid w:val="00A821CD"/>
    <w:rsid w:val="00A82F63"/>
    <w:rsid w:val="00A8422B"/>
    <w:rsid w:val="00A86358"/>
    <w:rsid w:val="00A86431"/>
    <w:rsid w:val="00A91FFB"/>
    <w:rsid w:val="00A920EE"/>
    <w:rsid w:val="00A92641"/>
    <w:rsid w:val="00A96913"/>
    <w:rsid w:val="00AA07FA"/>
    <w:rsid w:val="00AA148D"/>
    <w:rsid w:val="00AA1A0D"/>
    <w:rsid w:val="00AA1CC2"/>
    <w:rsid w:val="00AA3320"/>
    <w:rsid w:val="00AA5603"/>
    <w:rsid w:val="00AB159C"/>
    <w:rsid w:val="00AB3E13"/>
    <w:rsid w:val="00AC10C4"/>
    <w:rsid w:val="00AC2838"/>
    <w:rsid w:val="00AC2CC0"/>
    <w:rsid w:val="00AC546C"/>
    <w:rsid w:val="00AC6026"/>
    <w:rsid w:val="00AC6230"/>
    <w:rsid w:val="00AC6544"/>
    <w:rsid w:val="00AC69DE"/>
    <w:rsid w:val="00AC7D0C"/>
    <w:rsid w:val="00AD3738"/>
    <w:rsid w:val="00AD3C93"/>
    <w:rsid w:val="00AD5EAA"/>
    <w:rsid w:val="00AD6B24"/>
    <w:rsid w:val="00AD6EF4"/>
    <w:rsid w:val="00AD71DC"/>
    <w:rsid w:val="00AD7895"/>
    <w:rsid w:val="00AE00E8"/>
    <w:rsid w:val="00AE02F8"/>
    <w:rsid w:val="00AE0C50"/>
    <w:rsid w:val="00AE1E7B"/>
    <w:rsid w:val="00AE48B3"/>
    <w:rsid w:val="00AE5B68"/>
    <w:rsid w:val="00AE6557"/>
    <w:rsid w:val="00AF0480"/>
    <w:rsid w:val="00AF0E39"/>
    <w:rsid w:val="00AF1783"/>
    <w:rsid w:val="00AF1BC7"/>
    <w:rsid w:val="00AF26CF"/>
    <w:rsid w:val="00AF4231"/>
    <w:rsid w:val="00AF6760"/>
    <w:rsid w:val="00AF70A0"/>
    <w:rsid w:val="00B0259C"/>
    <w:rsid w:val="00B02B3A"/>
    <w:rsid w:val="00B0388E"/>
    <w:rsid w:val="00B044A1"/>
    <w:rsid w:val="00B044D0"/>
    <w:rsid w:val="00B05348"/>
    <w:rsid w:val="00B058F4"/>
    <w:rsid w:val="00B0657D"/>
    <w:rsid w:val="00B065D7"/>
    <w:rsid w:val="00B06B88"/>
    <w:rsid w:val="00B17622"/>
    <w:rsid w:val="00B20AC4"/>
    <w:rsid w:val="00B213E5"/>
    <w:rsid w:val="00B2345A"/>
    <w:rsid w:val="00B248B1"/>
    <w:rsid w:val="00B24A57"/>
    <w:rsid w:val="00B30F67"/>
    <w:rsid w:val="00B32F21"/>
    <w:rsid w:val="00B32FB4"/>
    <w:rsid w:val="00B3398E"/>
    <w:rsid w:val="00B3472D"/>
    <w:rsid w:val="00B352CA"/>
    <w:rsid w:val="00B362BC"/>
    <w:rsid w:val="00B36732"/>
    <w:rsid w:val="00B37E84"/>
    <w:rsid w:val="00B37F33"/>
    <w:rsid w:val="00B40909"/>
    <w:rsid w:val="00B40AA9"/>
    <w:rsid w:val="00B41561"/>
    <w:rsid w:val="00B42378"/>
    <w:rsid w:val="00B460B0"/>
    <w:rsid w:val="00B46321"/>
    <w:rsid w:val="00B47224"/>
    <w:rsid w:val="00B5563A"/>
    <w:rsid w:val="00B55DBC"/>
    <w:rsid w:val="00B56058"/>
    <w:rsid w:val="00B613B2"/>
    <w:rsid w:val="00B62360"/>
    <w:rsid w:val="00B62642"/>
    <w:rsid w:val="00B62FC4"/>
    <w:rsid w:val="00B65EB6"/>
    <w:rsid w:val="00B666DB"/>
    <w:rsid w:val="00B6754E"/>
    <w:rsid w:val="00B70AC2"/>
    <w:rsid w:val="00B71832"/>
    <w:rsid w:val="00B71CFE"/>
    <w:rsid w:val="00B71ECE"/>
    <w:rsid w:val="00B73A6F"/>
    <w:rsid w:val="00B73EB5"/>
    <w:rsid w:val="00B74DD7"/>
    <w:rsid w:val="00B74FC1"/>
    <w:rsid w:val="00B75858"/>
    <w:rsid w:val="00B77E9C"/>
    <w:rsid w:val="00B80158"/>
    <w:rsid w:val="00B80A1D"/>
    <w:rsid w:val="00B80D26"/>
    <w:rsid w:val="00B8169B"/>
    <w:rsid w:val="00B83B14"/>
    <w:rsid w:val="00B86093"/>
    <w:rsid w:val="00B870AD"/>
    <w:rsid w:val="00B9320E"/>
    <w:rsid w:val="00B93E65"/>
    <w:rsid w:val="00B9413A"/>
    <w:rsid w:val="00B94474"/>
    <w:rsid w:val="00B956BE"/>
    <w:rsid w:val="00BA0570"/>
    <w:rsid w:val="00BA1A68"/>
    <w:rsid w:val="00BA6049"/>
    <w:rsid w:val="00BA6445"/>
    <w:rsid w:val="00BA6A40"/>
    <w:rsid w:val="00BB07BE"/>
    <w:rsid w:val="00BB1417"/>
    <w:rsid w:val="00BB1AAF"/>
    <w:rsid w:val="00BB24D6"/>
    <w:rsid w:val="00BB2CA1"/>
    <w:rsid w:val="00BB2F3A"/>
    <w:rsid w:val="00BB5F16"/>
    <w:rsid w:val="00BC03B4"/>
    <w:rsid w:val="00BC10E0"/>
    <w:rsid w:val="00BC17A2"/>
    <w:rsid w:val="00BC2494"/>
    <w:rsid w:val="00BC3550"/>
    <w:rsid w:val="00BC5498"/>
    <w:rsid w:val="00BC555D"/>
    <w:rsid w:val="00BC69B9"/>
    <w:rsid w:val="00BD1B17"/>
    <w:rsid w:val="00BD287C"/>
    <w:rsid w:val="00BD2E79"/>
    <w:rsid w:val="00BD5FA5"/>
    <w:rsid w:val="00BD7D79"/>
    <w:rsid w:val="00BE1160"/>
    <w:rsid w:val="00BE1247"/>
    <w:rsid w:val="00BE1B26"/>
    <w:rsid w:val="00BE1D1A"/>
    <w:rsid w:val="00BE466C"/>
    <w:rsid w:val="00BE4B09"/>
    <w:rsid w:val="00BF06BF"/>
    <w:rsid w:val="00BF19EE"/>
    <w:rsid w:val="00BF2181"/>
    <w:rsid w:val="00BF26FC"/>
    <w:rsid w:val="00BF2CFF"/>
    <w:rsid w:val="00BF374F"/>
    <w:rsid w:val="00BF4DF2"/>
    <w:rsid w:val="00BF63CD"/>
    <w:rsid w:val="00C00B53"/>
    <w:rsid w:val="00C02B7F"/>
    <w:rsid w:val="00C030F4"/>
    <w:rsid w:val="00C071CF"/>
    <w:rsid w:val="00C118BB"/>
    <w:rsid w:val="00C11AE1"/>
    <w:rsid w:val="00C129DB"/>
    <w:rsid w:val="00C13F17"/>
    <w:rsid w:val="00C149F4"/>
    <w:rsid w:val="00C15C63"/>
    <w:rsid w:val="00C227E4"/>
    <w:rsid w:val="00C2488C"/>
    <w:rsid w:val="00C24928"/>
    <w:rsid w:val="00C25E33"/>
    <w:rsid w:val="00C313FA"/>
    <w:rsid w:val="00C3147A"/>
    <w:rsid w:val="00C32E45"/>
    <w:rsid w:val="00C34E3C"/>
    <w:rsid w:val="00C3588F"/>
    <w:rsid w:val="00C37EEC"/>
    <w:rsid w:val="00C4052D"/>
    <w:rsid w:val="00C410DF"/>
    <w:rsid w:val="00C41C36"/>
    <w:rsid w:val="00C4319D"/>
    <w:rsid w:val="00C456DD"/>
    <w:rsid w:val="00C469AA"/>
    <w:rsid w:val="00C4730C"/>
    <w:rsid w:val="00C505A0"/>
    <w:rsid w:val="00C51249"/>
    <w:rsid w:val="00C5229C"/>
    <w:rsid w:val="00C54100"/>
    <w:rsid w:val="00C546D3"/>
    <w:rsid w:val="00C547EF"/>
    <w:rsid w:val="00C555A9"/>
    <w:rsid w:val="00C5734C"/>
    <w:rsid w:val="00C57437"/>
    <w:rsid w:val="00C576B2"/>
    <w:rsid w:val="00C601BA"/>
    <w:rsid w:val="00C60FF7"/>
    <w:rsid w:val="00C61812"/>
    <w:rsid w:val="00C633DB"/>
    <w:rsid w:val="00C67345"/>
    <w:rsid w:val="00C67549"/>
    <w:rsid w:val="00C70FFE"/>
    <w:rsid w:val="00C7104A"/>
    <w:rsid w:val="00C7288F"/>
    <w:rsid w:val="00C72A54"/>
    <w:rsid w:val="00C75DA7"/>
    <w:rsid w:val="00C76B92"/>
    <w:rsid w:val="00C84933"/>
    <w:rsid w:val="00C8632C"/>
    <w:rsid w:val="00C8654A"/>
    <w:rsid w:val="00C876E4"/>
    <w:rsid w:val="00C91393"/>
    <w:rsid w:val="00C94212"/>
    <w:rsid w:val="00C94895"/>
    <w:rsid w:val="00C95DDA"/>
    <w:rsid w:val="00CA04FA"/>
    <w:rsid w:val="00CA0E02"/>
    <w:rsid w:val="00CA1654"/>
    <w:rsid w:val="00CA3E8C"/>
    <w:rsid w:val="00CA3ECC"/>
    <w:rsid w:val="00CA44AF"/>
    <w:rsid w:val="00CA5BB5"/>
    <w:rsid w:val="00CA6002"/>
    <w:rsid w:val="00CA6ECF"/>
    <w:rsid w:val="00CB06DC"/>
    <w:rsid w:val="00CB125F"/>
    <w:rsid w:val="00CB1650"/>
    <w:rsid w:val="00CB1E80"/>
    <w:rsid w:val="00CB30FF"/>
    <w:rsid w:val="00CB3374"/>
    <w:rsid w:val="00CB49A4"/>
    <w:rsid w:val="00CB615A"/>
    <w:rsid w:val="00CB6D57"/>
    <w:rsid w:val="00CB7505"/>
    <w:rsid w:val="00CC02FA"/>
    <w:rsid w:val="00CC055F"/>
    <w:rsid w:val="00CC2ED2"/>
    <w:rsid w:val="00CC33E9"/>
    <w:rsid w:val="00CC37DB"/>
    <w:rsid w:val="00CC6286"/>
    <w:rsid w:val="00CD0CD6"/>
    <w:rsid w:val="00CD3709"/>
    <w:rsid w:val="00CD3E91"/>
    <w:rsid w:val="00CD45D1"/>
    <w:rsid w:val="00CD724A"/>
    <w:rsid w:val="00CD7949"/>
    <w:rsid w:val="00CE2ED8"/>
    <w:rsid w:val="00CE40D5"/>
    <w:rsid w:val="00CE44F0"/>
    <w:rsid w:val="00CE55CD"/>
    <w:rsid w:val="00CE6708"/>
    <w:rsid w:val="00CE7F5B"/>
    <w:rsid w:val="00CF049C"/>
    <w:rsid w:val="00CF147E"/>
    <w:rsid w:val="00CF4D8C"/>
    <w:rsid w:val="00CF6280"/>
    <w:rsid w:val="00CF7551"/>
    <w:rsid w:val="00D003AA"/>
    <w:rsid w:val="00D00548"/>
    <w:rsid w:val="00D01112"/>
    <w:rsid w:val="00D013A4"/>
    <w:rsid w:val="00D01516"/>
    <w:rsid w:val="00D056FC"/>
    <w:rsid w:val="00D067BF"/>
    <w:rsid w:val="00D07728"/>
    <w:rsid w:val="00D108E1"/>
    <w:rsid w:val="00D13071"/>
    <w:rsid w:val="00D135DA"/>
    <w:rsid w:val="00D1444C"/>
    <w:rsid w:val="00D158A9"/>
    <w:rsid w:val="00D1603C"/>
    <w:rsid w:val="00D2002A"/>
    <w:rsid w:val="00D21AE4"/>
    <w:rsid w:val="00D229C4"/>
    <w:rsid w:val="00D2675C"/>
    <w:rsid w:val="00D26A0D"/>
    <w:rsid w:val="00D26B38"/>
    <w:rsid w:val="00D30B9B"/>
    <w:rsid w:val="00D30D5D"/>
    <w:rsid w:val="00D31496"/>
    <w:rsid w:val="00D31F39"/>
    <w:rsid w:val="00D3220A"/>
    <w:rsid w:val="00D34375"/>
    <w:rsid w:val="00D349CE"/>
    <w:rsid w:val="00D34BA5"/>
    <w:rsid w:val="00D35AD6"/>
    <w:rsid w:val="00D35AFF"/>
    <w:rsid w:val="00D37F0B"/>
    <w:rsid w:val="00D44729"/>
    <w:rsid w:val="00D447C4"/>
    <w:rsid w:val="00D45401"/>
    <w:rsid w:val="00D4725C"/>
    <w:rsid w:val="00D50671"/>
    <w:rsid w:val="00D5240C"/>
    <w:rsid w:val="00D52DAA"/>
    <w:rsid w:val="00D608EB"/>
    <w:rsid w:val="00D61F7A"/>
    <w:rsid w:val="00D625AA"/>
    <w:rsid w:val="00D646F4"/>
    <w:rsid w:val="00D651AF"/>
    <w:rsid w:val="00D65325"/>
    <w:rsid w:val="00D7113A"/>
    <w:rsid w:val="00D726A2"/>
    <w:rsid w:val="00D756E1"/>
    <w:rsid w:val="00D807F7"/>
    <w:rsid w:val="00D82BB7"/>
    <w:rsid w:val="00D8744E"/>
    <w:rsid w:val="00D900D0"/>
    <w:rsid w:val="00D90DA1"/>
    <w:rsid w:val="00D92B8E"/>
    <w:rsid w:val="00D951D4"/>
    <w:rsid w:val="00D97499"/>
    <w:rsid w:val="00DA088A"/>
    <w:rsid w:val="00DA1C2E"/>
    <w:rsid w:val="00DA4A94"/>
    <w:rsid w:val="00DA6E35"/>
    <w:rsid w:val="00DA72BA"/>
    <w:rsid w:val="00DA7A51"/>
    <w:rsid w:val="00DB084D"/>
    <w:rsid w:val="00DB1366"/>
    <w:rsid w:val="00DB3B1D"/>
    <w:rsid w:val="00DB42A9"/>
    <w:rsid w:val="00DB48A9"/>
    <w:rsid w:val="00DB4ABE"/>
    <w:rsid w:val="00DB59D3"/>
    <w:rsid w:val="00DB5B61"/>
    <w:rsid w:val="00DB6132"/>
    <w:rsid w:val="00DB7CB3"/>
    <w:rsid w:val="00DC29AA"/>
    <w:rsid w:val="00DC2BBD"/>
    <w:rsid w:val="00DC362C"/>
    <w:rsid w:val="00DC5AAF"/>
    <w:rsid w:val="00DD0751"/>
    <w:rsid w:val="00DD0BCE"/>
    <w:rsid w:val="00DD16A5"/>
    <w:rsid w:val="00DD18A1"/>
    <w:rsid w:val="00DD20A1"/>
    <w:rsid w:val="00DD22E4"/>
    <w:rsid w:val="00DD3B2F"/>
    <w:rsid w:val="00DD4A90"/>
    <w:rsid w:val="00DD5AEA"/>
    <w:rsid w:val="00DD7120"/>
    <w:rsid w:val="00DE0C43"/>
    <w:rsid w:val="00DE17C4"/>
    <w:rsid w:val="00DE1906"/>
    <w:rsid w:val="00DE22EE"/>
    <w:rsid w:val="00DE3C6F"/>
    <w:rsid w:val="00DE7DB1"/>
    <w:rsid w:val="00DF00B3"/>
    <w:rsid w:val="00DF1040"/>
    <w:rsid w:val="00DF2842"/>
    <w:rsid w:val="00DF2F7B"/>
    <w:rsid w:val="00DF4AA3"/>
    <w:rsid w:val="00DF605A"/>
    <w:rsid w:val="00DF668E"/>
    <w:rsid w:val="00DF77C8"/>
    <w:rsid w:val="00E002CB"/>
    <w:rsid w:val="00E014CA"/>
    <w:rsid w:val="00E01CCD"/>
    <w:rsid w:val="00E0297D"/>
    <w:rsid w:val="00E02D07"/>
    <w:rsid w:val="00E0303F"/>
    <w:rsid w:val="00E0354C"/>
    <w:rsid w:val="00E03B72"/>
    <w:rsid w:val="00E052D9"/>
    <w:rsid w:val="00E0676A"/>
    <w:rsid w:val="00E10E38"/>
    <w:rsid w:val="00E13E97"/>
    <w:rsid w:val="00E1693F"/>
    <w:rsid w:val="00E202DC"/>
    <w:rsid w:val="00E215F4"/>
    <w:rsid w:val="00E21F1B"/>
    <w:rsid w:val="00E25849"/>
    <w:rsid w:val="00E26EC9"/>
    <w:rsid w:val="00E306EB"/>
    <w:rsid w:val="00E30CA2"/>
    <w:rsid w:val="00E3531F"/>
    <w:rsid w:val="00E35499"/>
    <w:rsid w:val="00E35B89"/>
    <w:rsid w:val="00E35FFB"/>
    <w:rsid w:val="00E36966"/>
    <w:rsid w:val="00E417CA"/>
    <w:rsid w:val="00E45232"/>
    <w:rsid w:val="00E54A65"/>
    <w:rsid w:val="00E54F1C"/>
    <w:rsid w:val="00E551E0"/>
    <w:rsid w:val="00E55EB5"/>
    <w:rsid w:val="00E56DB4"/>
    <w:rsid w:val="00E61C7D"/>
    <w:rsid w:val="00E626B9"/>
    <w:rsid w:val="00E65A0F"/>
    <w:rsid w:val="00E66309"/>
    <w:rsid w:val="00E66425"/>
    <w:rsid w:val="00E66E69"/>
    <w:rsid w:val="00E66F50"/>
    <w:rsid w:val="00E7095A"/>
    <w:rsid w:val="00E70B8B"/>
    <w:rsid w:val="00E72E24"/>
    <w:rsid w:val="00E73A95"/>
    <w:rsid w:val="00E7467F"/>
    <w:rsid w:val="00E74BE1"/>
    <w:rsid w:val="00E75150"/>
    <w:rsid w:val="00E753E8"/>
    <w:rsid w:val="00E75646"/>
    <w:rsid w:val="00E766E9"/>
    <w:rsid w:val="00E769DE"/>
    <w:rsid w:val="00E81CC9"/>
    <w:rsid w:val="00E831EA"/>
    <w:rsid w:val="00E835A1"/>
    <w:rsid w:val="00E83715"/>
    <w:rsid w:val="00E83D14"/>
    <w:rsid w:val="00E84C44"/>
    <w:rsid w:val="00E85166"/>
    <w:rsid w:val="00E8591C"/>
    <w:rsid w:val="00E863D5"/>
    <w:rsid w:val="00E90FE3"/>
    <w:rsid w:val="00E921AC"/>
    <w:rsid w:val="00E92CE0"/>
    <w:rsid w:val="00E9722E"/>
    <w:rsid w:val="00E978AD"/>
    <w:rsid w:val="00EA0921"/>
    <w:rsid w:val="00EA170B"/>
    <w:rsid w:val="00EA1A7C"/>
    <w:rsid w:val="00EA4DCB"/>
    <w:rsid w:val="00EA7115"/>
    <w:rsid w:val="00EA7CE6"/>
    <w:rsid w:val="00EB359A"/>
    <w:rsid w:val="00EB3C3B"/>
    <w:rsid w:val="00EB40C8"/>
    <w:rsid w:val="00EB4C7D"/>
    <w:rsid w:val="00EB5428"/>
    <w:rsid w:val="00EB7036"/>
    <w:rsid w:val="00EB737E"/>
    <w:rsid w:val="00EC1469"/>
    <w:rsid w:val="00EC248F"/>
    <w:rsid w:val="00EC2D09"/>
    <w:rsid w:val="00EC33C6"/>
    <w:rsid w:val="00EC583D"/>
    <w:rsid w:val="00EC78F7"/>
    <w:rsid w:val="00ED12F6"/>
    <w:rsid w:val="00ED168B"/>
    <w:rsid w:val="00ED1CA6"/>
    <w:rsid w:val="00ED1DBA"/>
    <w:rsid w:val="00ED24C1"/>
    <w:rsid w:val="00ED26CE"/>
    <w:rsid w:val="00ED2B87"/>
    <w:rsid w:val="00ED2B9E"/>
    <w:rsid w:val="00ED3391"/>
    <w:rsid w:val="00ED3782"/>
    <w:rsid w:val="00ED44D7"/>
    <w:rsid w:val="00ED44E4"/>
    <w:rsid w:val="00ED5010"/>
    <w:rsid w:val="00ED7511"/>
    <w:rsid w:val="00EE0E8F"/>
    <w:rsid w:val="00EE21C3"/>
    <w:rsid w:val="00EE33D0"/>
    <w:rsid w:val="00EE4D5F"/>
    <w:rsid w:val="00EE6BFF"/>
    <w:rsid w:val="00EE74BB"/>
    <w:rsid w:val="00EEE922"/>
    <w:rsid w:val="00EF1648"/>
    <w:rsid w:val="00EF1993"/>
    <w:rsid w:val="00EF35F5"/>
    <w:rsid w:val="00EF5FED"/>
    <w:rsid w:val="00EF77B8"/>
    <w:rsid w:val="00F001F4"/>
    <w:rsid w:val="00F00921"/>
    <w:rsid w:val="00F01B92"/>
    <w:rsid w:val="00F01FE7"/>
    <w:rsid w:val="00F02B4F"/>
    <w:rsid w:val="00F02C88"/>
    <w:rsid w:val="00F045A3"/>
    <w:rsid w:val="00F07019"/>
    <w:rsid w:val="00F106CC"/>
    <w:rsid w:val="00F12602"/>
    <w:rsid w:val="00F129E8"/>
    <w:rsid w:val="00F162AA"/>
    <w:rsid w:val="00F20CF3"/>
    <w:rsid w:val="00F24A92"/>
    <w:rsid w:val="00F270A0"/>
    <w:rsid w:val="00F3246B"/>
    <w:rsid w:val="00F325DE"/>
    <w:rsid w:val="00F32DCE"/>
    <w:rsid w:val="00F35110"/>
    <w:rsid w:val="00F3748A"/>
    <w:rsid w:val="00F37F07"/>
    <w:rsid w:val="00F415CC"/>
    <w:rsid w:val="00F41E09"/>
    <w:rsid w:val="00F42D8D"/>
    <w:rsid w:val="00F445A3"/>
    <w:rsid w:val="00F450EB"/>
    <w:rsid w:val="00F461C9"/>
    <w:rsid w:val="00F52DE4"/>
    <w:rsid w:val="00F52FF5"/>
    <w:rsid w:val="00F53A1A"/>
    <w:rsid w:val="00F53D3C"/>
    <w:rsid w:val="00F5434A"/>
    <w:rsid w:val="00F55056"/>
    <w:rsid w:val="00F5526D"/>
    <w:rsid w:val="00F625AD"/>
    <w:rsid w:val="00F62E75"/>
    <w:rsid w:val="00F642D5"/>
    <w:rsid w:val="00F663E8"/>
    <w:rsid w:val="00F667AD"/>
    <w:rsid w:val="00F66C71"/>
    <w:rsid w:val="00F6726F"/>
    <w:rsid w:val="00F70E14"/>
    <w:rsid w:val="00F71A2D"/>
    <w:rsid w:val="00F71F75"/>
    <w:rsid w:val="00F73986"/>
    <w:rsid w:val="00F7433B"/>
    <w:rsid w:val="00F759D3"/>
    <w:rsid w:val="00F75AE8"/>
    <w:rsid w:val="00F802C2"/>
    <w:rsid w:val="00F826CA"/>
    <w:rsid w:val="00F84096"/>
    <w:rsid w:val="00F842D4"/>
    <w:rsid w:val="00F86C35"/>
    <w:rsid w:val="00F86F23"/>
    <w:rsid w:val="00F915D9"/>
    <w:rsid w:val="00F91E3D"/>
    <w:rsid w:val="00F92018"/>
    <w:rsid w:val="00F926C4"/>
    <w:rsid w:val="00F928C3"/>
    <w:rsid w:val="00F960AF"/>
    <w:rsid w:val="00FA1436"/>
    <w:rsid w:val="00FA1B79"/>
    <w:rsid w:val="00FA1D63"/>
    <w:rsid w:val="00FA5B76"/>
    <w:rsid w:val="00FA613B"/>
    <w:rsid w:val="00FB243C"/>
    <w:rsid w:val="00FB2514"/>
    <w:rsid w:val="00FB2BBA"/>
    <w:rsid w:val="00FB459F"/>
    <w:rsid w:val="00FB55A4"/>
    <w:rsid w:val="00FB61EE"/>
    <w:rsid w:val="00FB6833"/>
    <w:rsid w:val="00FC094B"/>
    <w:rsid w:val="00FC22D8"/>
    <w:rsid w:val="00FC2BD3"/>
    <w:rsid w:val="00FC32F3"/>
    <w:rsid w:val="00FC3FD2"/>
    <w:rsid w:val="00FC427A"/>
    <w:rsid w:val="00FC4456"/>
    <w:rsid w:val="00FC4B30"/>
    <w:rsid w:val="00FC73C9"/>
    <w:rsid w:val="00FC76DB"/>
    <w:rsid w:val="00FC7791"/>
    <w:rsid w:val="00FC7E26"/>
    <w:rsid w:val="00FD1505"/>
    <w:rsid w:val="00FD2971"/>
    <w:rsid w:val="00FD5315"/>
    <w:rsid w:val="00FD53AD"/>
    <w:rsid w:val="00FD644C"/>
    <w:rsid w:val="00FD6595"/>
    <w:rsid w:val="00FD6BB7"/>
    <w:rsid w:val="00FD6C8B"/>
    <w:rsid w:val="00FD6D17"/>
    <w:rsid w:val="00FD7AA3"/>
    <w:rsid w:val="00FD7B9A"/>
    <w:rsid w:val="00FE02EC"/>
    <w:rsid w:val="00FE03B9"/>
    <w:rsid w:val="00FE10D5"/>
    <w:rsid w:val="00FE118C"/>
    <w:rsid w:val="00FE1AFB"/>
    <w:rsid w:val="00FE1C6F"/>
    <w:rsid w:val="00FE2630"/>
    <w:rsid w:val="00FE2BDC"/>
    <w:rsid w:val="00FE6BC1"/>
    <w:rsid w:val="00FE7FFE"/>
    <w:rsid w:val="00FF0B1C"/>
    <w:rsid w:val="00FF322E"/>
    <w:rsid w:val="00FF35D3"/>
    <w:rsid w:val="00FF3D1C"/>
    <w:rsid w:val="00FF43AF"/>
    <w:rsid w:val="00FF51DD"/>
    <w:rsid w:val="00FF5286"/>
    <w:rsid w:val="00FF7001"/>
    <w:rsid w:val="00FF7AAD"/>
    <w:rsid w:val="013B2F86"/>
    <w:rsid w:val="0258C690"/>
    <w:rsid w:val="034A5B1A"/>
    <w:rsid w:val="03637FF6"/>
    <w:rsid w:val="03AC27DF"/>
    <w:rsid w:val="044FE6FE"/>
    <w:rsid w:val="0517D78C"/>
    <w:rsid w:val="082B6B66"/>
    <w:rsid w:val="08F5F60C"/>
    <w:rsid w:val="0B9F6AA8"/>
    <w:rsid w:val="0F0CDD30"/>
    <w:rsid w:val="10E4B1D7"/>
    <w:rsid w:val="11678836"/>
    <w:rsid w:val="16177096"/>
    <w:rsid w:val="164BEECD"/>
    <w:rsid w:val="16F0A337"/>
    <w:rsid w:val="16F28014"/>
    <w:rsid w:val="17353C56"/>
    <w:rsid w:val="17622FC1"/>
    <w:rsid w:val="19D8234F"/>
    <w:rsid w:val="1D6B5A5D"/>
    <w:rsid w:val="1F217FA5"/>
    <w:rsid w:val="1F84FD23"/>
    <w:rsid w:val="1F8B6B4A"/>
    <w:rsid w:val="21318926"/>
    <w:rsid w:val="228556BF"/>
    <w:rsid w:val="24CBA5DF"/>
    <w:rsid w:val="253F5BD3"/>
    <w:rsid w:val="26507511"/>
    <w:rsid w:val="26E5EAC3"/>
    <w:rsid w:val="2758D50F"/>
    <w:rsid w:val="297EC955"/>
    <w:rsid w:val="2B850951"/>
    <w:rsid w:val="2DBFF8CD"/>
    <w:rsid w:val="2DE15F52"/>
    <w:rsid w:val="2F8CE8D2"/>
    <w:rsid w:val="2FA0F79C"/>
    <w:rsid w:val="314B8E10"/>
    <w:rsid w:val="33DCC9A2"/>
    <w:rsid w:val="346CFA81"/>
    <w:rsid w:val="34DFFB5C"/>
    <w:rsid w:val="37A0FE43"/>
    <w:rsid w:val="3989B021"/>
    <w:rsid w:val="3D24763E"/>
    <w:rsid w:val="3D3180BE"/>
    <w:rsid w:val="3DED0A30"/>
    <w:rsid w:val="3E85E38F"/>
    <w:rsid w:val="3EE34C8A"/>
    <w:rsid w:val="405FB978"/>
    <w:rsid w:val="40C6C551"/>
    <w:rsid w:val="41E0EE5F"/>
    <w:rsid w:val="425981D6"/>
    <w:rsid w:val="43932270"/>
    <w:rsid w:val="447ADE75"/>
    <w:rsid w:val="451E910E"/>
    <w:rsid w:val="459EEA46"/>
    <w:rsid w:val="461CA9F7"/>
    <w:rsid w:val="47EDE006"/>
    <w:rsid w:val="48F7C67D"/>
    <w:rsid w:val="50D40DFA"/>
    <w:rsid w:val="52977834"/>
    <w:rsid w:val="539655B4"/>
    <w:rsid w:val="55E214AF"/>
    <w:rsid w:val="5976A1BC"/>
    <w:rsid w:val="599371A0"/>
    <w:rsid w:val="5D523636"/>
    <w:rsid w:val="5E624238"/>
    <w:rsid w:val="5FB3CAD1"/>
    <w:rsid w:val="602D764F"/>
    <w:rsid w:val="64D8BDE6"/>
    <w:rsid w:val="691A1EC1"/>
    <w:rsid w:val="6AF1A95E"/>
    <w:rsid w:val="6C140C6C"/>
    <w:rsid w:val="6C1B82F9"/>
    <w:rsid w:val="6C5EA1D1"/>
    <w:rsid w:val="6D792C2D"/>
    <w:rsid w:val="6D998C3B"/>
    <w:rsid w:val="6DDBB771"/>
    <w:rsid w:val="6E61725A"/>
    <w:rsid w:val="6FF7ED39"/>
    <w:rsid w:val="730888BC"/>
    <w:rsid w:val="73C02DB7"/>
    <w:rsid w:val="770B5841"/>
    <w:rsid w:val="776D7000"/>
    <w:rsid w:val="7C91B217"/>
    <w:rsid w:val="7D0E07E8"/>
    <w:rsid w:val="7DD4C59C"/>
    <w:rsid w:val="7E29F77D"/>
    <w:rsid w:val="7EB607AA"/>
    <w:rsid w:val="7EC8EA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4A7E0BA"/>
  <w15:docId w15:val="{01A36861-4F0E-4539-A6BD-FC11535F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785"/>
    <w:rPr>
      <w:sz w:val="24"/>
      <w:szCs w:val="24"/>
    </w:rPr>
  </w:style>
  <w:style w:type="paragraph" w:styleId="Heading1">
    <w:name w:val="heading 1"/>
    <w:basedOn w:val="Normal"/>
    <w:next w:val="Normal"/>
    <w:qFormat/>
    <w:rsid w:val="0013483D"/>
    <w:pPr>
      <w:keepNext/>
      <w:tabs>
        <w:tab w:val="left" w:pos="-720"/>
      </w:tabs>
      <w:suppressAutoHyphens/>
      <w:outlineLvl w:val="0"/>
    </w:pPr>
    <w:rPr>
      <w:b/>
      <w:sz w:val="28"/>
      <w:szCs w:val="20"/>
    </w:rPr>
  </w:style>
  <w:style w:type="paragraph" w:styleId="Heading2">
    <w:name w:val="heading 2"/>
    <w:basedOn w:val="Normal"/>
    <w:next w:val="Normal"/>
    <w:qFormat/>
    <w:rsid w:val="0013483D"/>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483D"/>
    <w:pPr>
      <w:suppressAutoHyphens/>
      <w:jc w:val="center"/>
    </w:pPr>
    <w:rPr>
      <w:b/>
      <w:sz w:val="32"/>
      <w:szCs w:val="20"/>
    </w:rPr>
  </w:style>
  <w:style w:type="paragraph" w:styleId="BodyText3">
    <w:name w:val="Body Text 3"/>
    <w:basedOn w:val="Normal"/>
    <w:rsid w:val="0013483D"/>
    <w:pPr>
      <w:shd w:val="pct25" w:color="auto" w:fill="auto"/>
      <w:tabs>
        <w:tab w:val="left" w:pos="-720"/>
        <w:tab w:val="left" w:pos="720"/>
      </w:tabs>
      <w:suppressAutoHyphens/>
    </w:pPr>
    <w:rPr>
      <w:sz w:val="26"/>
      <w:szCs w:val="20"/>
    </w:rPr>
  </w:style>
  <w:style w:type="character" w:styleId="Hyperlink">
    <w:name w:val="Hyperlink"/>
    <w:rsid w:val="0013483D"/>
    <w:rPr>
      <w:color w:val="0000FF"/>
      <w:u w:val="single"/>
    </w:rPr>
  </w:style>
  <w:style w:type="paragraph" w:styleId="BodyText">
    <w:name w:val="Body Text"/>
    <w:basedOn w:val="Normal"/>
    <w:rsid w:val="0013483D"/>
    <w:pPr>
      <w:shd w:val="pct25" w:color="auto" w:fill="FFFFFF"/>
      <w:tabs>
        <w:tab w:val="left" w:pos="-720"/>
      </w:tabs>
      <w:suppressAutoHyphens/>
    </w:pPr>
    <w:rPr>
      <w:sz w:val="26"/>
    </w:rPr>
  </w:style>
  <w:style w:type="paragraph" w:styleId="BodyTextIndent">
    <w:name w:val="Body Text Indent"/>
    <w:basedOn w:val="Normal"/>
    <w:rsid w:val="0013483D"/>
    <w:pPr>
      <w:shd w:val="pct25" w:color="auto" w:fill="FFFFFF"/>
      <w:tabs>
        <w:tab w:val="left" w:pos="-720"/>
      </w:tabs>
      <w:suppressAutoHyphens/>
      <w:ind w:left="510"/>
    </w:pPr>
    <w:rPr>
      <w:sz w:val="26"/>
      <w:szCs w:val="20"/>
    </w:rPr>
  </w:style>
  <w:style w:type="paragraph" w:styleId="BodyText2">
    <w:name w:val="Body Text 2"/>
    <w:basedOn w:val="Normal"/>
    <w:rsid w:val="0013483D"/>
    <w:pPr>
      <w:tabs>
        <w:tab w:val="left" w:pos="-720"/>
      </w:tabs>
      <w:suppressAutoHyphens/>
    </w:pPr>
    <w:rPr>
      <w:b/>
      <w:bCs/>
      <w:sz w:val="26"/>
    </w:rPr>
  </w:style>
  <w:style w:type="table" w:styleId="TableGrid">
    <w:name w:val="Table Grid"/>
    <w:basedOn w:val="TableNormal"/>
    <w:uiPriority w:val="39"/>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3483D"/>
    <w:pPr>
      <w:tabs>
        <w:tab w:val="center" w:pos="4320"/>
        <w:tab w:val="right" w:pos="8640"/>
      </w:tabs>
    </w:pPr>
  </w:style>
  <w:style w:type="character" w:styleId="PageNumber">
    <w:name w:val="page number"/>
    <w:basedOn w:val="DefaultParagraphFont"/>
    <w:rsid w:val="0013483D"/>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Revision">
    <w:name w:val="Revision"/>
    <w:hidden/>
    <w:uiPriority w:val="99"/>
    <w:semiHidden/>
    <w:rsid w:val="004D1AF2"/>
    <w:rPr>
      <w:sz w:val="24"/>
      <w:szCs w:val="24"/>
    </w:rPr>
  </w:style>
  <w:style w:type="character" w:styleId="CommentReference">
    <w:name w:val="annotation reference"/>
    <w:rsid w:val="00FE1AFB"/>
    <w:rPr>
      <w:sz w:val="16"/>
      <w:szCs w:val="16"/>
    </w:rPr>
  </w:style>
  <w:style w:type="paragraph" w:styleId="CommentText">
    <w:name w:val="annotation text"/>
    <w:basedOn w:val="Normal"/>
    <w:link w:val="CommentTextChar"/>
    <w:rsid w:val="00FE1AFB"/>
    <w:rPr>
      <w:sz w:val="20"/>
      <w:szCs w:val="20"/>
    </w:rPr>
  </w:style>
  <w:style w:type="character" w:customStyle="1" w:styleId="CommentTextChar">
    <w:name w:val="Comment Text Char"/>
    <w:basedOn w:val="DefaultParagraphFont"/>
    <w:link w:val="CommentText"/>
    <w:rsid w:val="00FE1AFB"/>
  </w:style>
  <w:style w:type="paragraph" w:styleId="CommentSubject">
    <w:name w:val="annotation subject"/>
    <w:basedOn w:val="CommentText"/>
    <w:next w:val="CommentText"/>
    <w:link w:val="CommentSubjectChar"/>
    <w:uiPriority w:val="99"/>
    <w:rsid w:val="00FE1AFB"/>
    <w:rPr>
      <w:b/>
      <w:bCs/>
    </w:rPr>
  </w:style>
  <w:style w:type="character" w:customStyle="1" w:styleId="CommentSubjectChar">
    <w:name w:val="Comment Subject Char"/>
    <w:link w:val="CommentSubject"/>
    <w:uiPriority w:val="99"/>
    <w:rsid w:val="00FE1AFB"/>
    <w:rPr>
      <w:b/>
      <w:bCs/>
    </w:rPr>
  </w:style>
  <w:style w:type="paragraph" w:customStyle="1" w:styleId="CharCharCharCharCharCharCharCharCharCharCharChar1CharCharChar1Char">
    <w:name w:val="Char Char Char Char Char Char Char Char Char Char Char Char1 Char Char Char1 Char"/>
    <w:basedOn w:val="Normal"/>
    <w:autoRedefine/>
    <w:semiHidden/>
    <w:rsid w:val="004B3431"/>
    <w:pPr>
      <w:widowControl w:val="0"/>
      <w:spacing w:before="80" w:after="80"/>
      <w:ind w:left="4320"/>
      <w:jc w:val="both"/>
    </w:pPr>
    <w:rPr>
      <w:rFonts w:cs="Arial"/>
      <w:bCs/>
    </w:rPr>
  </w:style>
  <w:style w:type="character" w:customStyle="1" w:styleId="FooterChar">
    <w:name w:val="Footer Char"/>
    <w:link w:val="Footer"/>
    <w:rsid w:val="00356595"/>
    <w:rPr>
      <w:sz w:val="24"/>
      <w:szCs w:val="24"/>
    </w:rPr>
  </w:style>
  <w:style w:type="character" w:styleId="FollowedHyperlink">
    <w:name w:val="FollowedHyperlink"/>
    <w:rsid w:val="0087073C"/>
    <w:rPr>
      <w:color w:val="800080"/>
      <w:u w:val="single"/>
    </w:rPr>
  </w:style>
  <w:style w:type="paragraph" w:styleId="FootnoteText">
    <w:name w:val="footnote text"/>
    <w:basedOn w:val="Normal"/>
    <w:link w:val="FootnoteTextChar"/>
    <w:uiPriority w:val="99"/>
    <w:rsid w:val="0000174D"/>
    <w:rPr>
      <w:sz w:val="20"/>
      <w:szCs w:val="20"/>
    </w:rPr>
  </w:style>
  <w:style w:type="character" w:customStyle="1" w:styleId="FootnoteTextChar">
    <w:name w:val="Footnote Text Char"/>
    <w:basedOn w:val="DefaultParagraphFont"/>
    <w:link w:val="FootnoteText"/>
    <w:uiPriority w:val="99"/>
    <w:rsid w:val="0000174D"/>
  </w:style>
  <w:style w:type="character" w:styleId="FootnoteReference">
    <w:name w:val="footnote reference"/>
    <w:uiPriority w:val="99"/>
    <w:rsid w:val="0000174D"/>
    <w:rPr>
      <w:vertAlign w:val="superscript"/>
    </w:rPr>
  </w:style>
  <w:style w:type="paragraph" w:styleId="ListParagraph">
    <w:name w:val="List Paragraph"/>
    <w:basedOn w:val="Normal"/>
    <w:uiPriority w:val="34"/>
    <w:qFormat/>
    <w:rsid w:val="00E306EB"/>
    <w:pPr>
      <w:ind w:left="720"/>
      <w:contextualSpacing/>
    </w:pPr>
  </w:style>
  <w:style w:type="character" w:styleId="UnresolvedMention">
    <w:name w:val="Unresolved Mention"/>
    <w:basedOn w:val="DefaultParagraphFont"/>
    <w:uiPriority w:val="99"/>
    <w:semiHidden/>
    <w:unhideWhenUsed/>
    <w:rsid w:val="008B72DE"/>
    <w:rPr>
      <w:color w:val="605E5C"/>
      <w:shd w:val="clear" w:color="auto" w:fill="E1DFDD"/>
    </w:rPr>
  </w:style>
  <w:style w:type="paragraph" w:customStyle="1" w:styleId="paragraph">
    <w:name w:val="paragraph"/>
    <w:basedOn w:val="Normal"/>
    <w:rsid w:val="005E18FC"/>
    <w:pPr>
      <w:spacing w:before="100" w:beforeAutospacing="1" w:after="100" w:afterAutospacing="1"/>
    </w:pPr>
  </w:style>
  <w:style w:type="character" w:customStyle="1" w:styleId="eop">
    <w:name w:val="eop"/>
    <w:basedOn w:val="DefaultParagraphFont"/>
    <w:rsid w:val="005E18FC"/>
  </w:style>
  <w:style w:type="character" w:customStyle="1" w:styleId="normaltextrun">
    <w:name w:val="normaltextrun"/>
    <w:basedOn w:val="DefaultParagraphFont"/>
    <w:rsid w:val="005E18FC"/>
  </w:style>
  <w:style w:type="table" w:customStyle="1" w:styleId="TableGrid1">
    <w:name w:val="Table Grid1"/>
    <w:basedOn w:val="TableNormal"/>
    <w:next w:val="TableGrid"/>
    <w:uiPriority w:val="39"/>
    <w:rsid w:val="00D21A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B61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270ECE"/>
  </w:style>
  <w:style w:type="paragraph" w:customStyle="1" w:styleId="pf1">
    <w:name w:val="pf1"/>
    <w:basedOn w:val="Normal"/>
    <w:rsid w:val="00270ECE"/>
    <w:pPr>
      <w:spacing w:before="100" w:beforeAutospacing="1" w:after="100" w:afterAutospacing="1"/>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4/DCB.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so.fema.net/cis/homepage.ac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32024.pdf" TargetMode="External" /><Relationship Id="rId2" Type="http://schemas.openxmlformats.org/officeDocument/2006/relationships/hyperlink" Target="https://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02c38d-516f-4d43-acca-cab79edca7a6">
      <Terms xmlns="http://schemas.microsoft.com/office/infopath/2007/PartnerControls"/>
    </lcf76f155ced4ddcb4097134ff3c332f>
    <TaxCatchAll xmlns="be695bbe-29cc-414d-9631-cd9a5eb5086c" xsi:nil="true"/>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32704-4A60-4FBE-A44A-FB57C8340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5B628-9B4C-40D0-9B3A-CDF8B7AE49B2}">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customXml/itemProps3.xml><?xml version="1.0" encoding="utf-8"?>
<ds:datastoreItem xmlns:ds="http://schemas.openxmlformats.org/officeDocument/2006/customXml" ds:itemID="{A8DD9026-5982-42A0-875B-9444E0B09CDB}">
  <ds:schemaRefs>
    <ds:schemaRef ds:uri="http://schemas.openxmlformats.org/officeDocument/2006/bibliography"/>
  </ds:schemaRefs>
</ds:datastoreItem>
</file>

<file path=customXml/itemProps4.xml><?xml version="1.0" encoding="utf-8"?>
<ds:datastoreItem xmlns:ds="http://schemas.openxmlformats.org/officeDocument/2006/customXml" ds:itemID="{7AE15BB0-F235-40C6-9E12-1655E12F5C13}">
  <ds:schemaRefs>
    <ds:schemaRef ds:uri="http://schemas.microsoft.com/sharepoint/v3/contenttype/forms"/>
  </ds:schemaRefs>
</ds:datastoreItem>
</file>

<file path=docMetadata/LabelInfo.xml><?xml version="1.0" encoding="utf-8"?>
<clbl:labelList xmlns:clbl="http://schemas.microsoft.com/office/2020/mipLabelMetadata">
  <clbl:label id="{f261127c-38f4-4b38-8d56-bf782363a235}" enabled="1" method="Standard" siteId="{2863bcaf-4433-4a95-89dd-302e4b0159a1}"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5146</Words>
  <Characters>29666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jramsayj</dc:creator>
  <cp:lastModifiedBy>Crosby, Kevin</cp:lastModifiedBy>
  <cp:revision>3</cp:revision>
  <cp:lastPrinted>2017-10-07T00:52:00Z</cp:lastPrinted>
  <dcterms:created xsi:type="dcterms:W3CDTF">2024-07-16T17:04:00Z</dcterms:created>
  <dcterms:modified xsi:type="dcterms:W3CDTF">2024-07-16T17:04:00Z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y fmtid="{D5CDD505-2E9C-101B-9397-08002B2CF9AE}" pid="4" name="MSIP_Label_a2eef23d-2e95-4428-9a3c-2526d95b164a_ActionId">
    <vt:lpwstr>32e6adee-d074-49dd-b000-d89265a395d2</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2024-07-03T17:04:40Z</vt:lpwstr>
  </property>
  <property fmtid="{D5CDD505-2E9C-101B-9397-08002B2CF9AE}" pid="10" name="MSIP_Label_a2eef23d-2e95-4428-9a3c-2526d95b164a_SiteId">
    <vt:lpwstr>3ccde76c-946d-4a12-bb7a-fc9d0842354a</vt:lpwstr>
  </property>
  <property fmtid="{D5CDD505-2E9C-101B-9397-08002B2CF9AE}" pid="11" name="_NewReviewCycle">
    <vt:lpwstr/>
  </property>
</Properties>
</file>