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7939" w:rsidRPr="007C5442" w:rsidP="00C47939" w14:paraId="337A06CB" w14:textId="77777777">
      <w:pPr>
        <w:jc w:val="center"/>
        <w:rPr>
          <w:b/>
          <w:sz w:val="32"/>
          <w:szCs w:val="32"/>
        </w:rPr>
      </w:pPr>
      <w:r>
        <w:rPr>
          <w:b/>
          <w:sz w:val="32"/>
          <w:szCs w:val="32"/>
        </w:rPr>
        <w:t>Narrative of Changes Table</w:t>
      </w:r>
    </w:p>
    <w:p w:rsidR="00C47939" w:rsidRPr="00E25C21" w:rsidP="00C47939" w14:paraId="6B6366B2" w14:textId="77777777">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00F67068" w:rsidRPr="00E25C21" w:rsidP="00C47939" w14:paraId="5F67A968" w14:textId="77777777">
      <w:pPr>
        <w:jc w:val="center"/>
      </w:pPr>
    </w:p>
    <w:p w:rsidR="00A11B10" w:rsidRPr="00376029" w:rsidP="00A11B10" w14:paraId="0D290A5D" w14:textId="77777777">
      <w:pPr>
        <w:jc w:val="center"/>
      </w:pPr>
      <w:r w:rsidRPr="00E25C21">
        <w:t xml:space="preserve">Collection Title: </w:t>
      </w:r>
      <w:r w:rsidRPr="00376029">
        <w:t>Community Assistance Visit (CAV) Community Visit Report Screens in the NFIP Community Information System (CIS)</w:t>
      </w:r>
    </w:p>
    <w:p w:rsidR="00A11B10" w:rsidRPr="00E25C21" w:rsidP="00A11B10" w14:paraId="7A7F4B2D" w14:textId="77777777">
      <w:pPr>
        <w:jc w:val="center"/>
      </w:pPr>
      <w:r w:rsidRPr="00E25C21">
        <w:t xml:space="preserve">OMB Control No.: </w:t>
      </w:r>
      <w:r>
        <w:t>IDK because it hasn’t been approved by OMB yet</w:t>
      </w:r>
    </w:p>
    <w:p w:rsidR="00A11B10" w:rsidRPr="00E25C21" w:rsidP="00A11B10" w14:paraId="007402CD" w14:textId="77777777">
      <w:pPr>
        <w:jc w:val="center"/>
      </w:pPr>
      <w:r w:rsidRPr="00E25C21">
        <w:t xml:space="preserve">Current Expiration Date: </w:t>
      </w:r>
      <w:r>
        <w:t>IDK because it hasn’t been approved by OMB yet</w:t>
      </w:r>
    </w:p>
    <w:p w:rsidR="00A11B10" w:rsidRPr="00E25C21" w:rsidP="00A11B10" w14:paraId="7D9C12EA" w14:textId="77777777">
      <w:pPr>
        <w:jc w:val="center"/>
      </w:pPr>
      <w:r w:rsidRPr="00E25C21">
        <w:t xml:space="preserve">Collection Instrument(s): </w:t>
      </w:r>
      <w:r>
        <w:t>FF-206-FY-21-141</w:t>
      </w:r>
    </w:p>
    <w:p w:rsidR="00C47939" w:rsidRPr="00E25C21" w14:paraId="66B1C610" w14:textId="77777777"/>
    <w:p w:rsidR="00C47939" w:rsidRPr="00E25C21" w14:paraId="4D0849C0" w14:textId="77777777"/>
    <w:tbl>
      <w:tblPr>
        <w:tblW w:w="108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3"/>
        <w:gridCol w:w="3420"/>
        <w:gridCol w:w="3218"/>
        <w:gridCol w:w="3082"/>
      </w:tblGrid>
      <w:tr w14:paraId="6DDFA779" w14:textId="77777777" w:rsidTr="00AE37D9">
        <w:tblPrEx>
          <w:tblW w:w="108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143" w:type="dxa"/>
          </w:tcPr>
          <w:p w:rsidR="00AE37D9" w:rsidRPr="00D9063F" w:rsidP="00D9063F" w14:paraId="520220D8" w14:textId="77777777">
            <w:pPr>
              <w:jc w:val="center"/>
              <w:rPr>
                <w:b/>
              </w:rPr>
            </w:pPr>
            <w:r w:rsidRPr="00D9063F">
              <w:rPr>
                <w:b/>
              </w:rPr>
              <w:t>Location</w:t>
            </w:r>
          </w:p>
          <w:p w:rsidR="00AE37D9" w:rsidRPr="00D9063F" w:rsidP="00D9063F" w14:paraId="36B2CCFF" w14:textId="77777777">
            <w:pPr>
              <w:jc w:val="center"/>
              <w:rPr>
                <w:b/>
              </w:rPr>
            </w:pPr>
          </w:p>
        </w:tc>
        <w:tc>
          <w:tcPr>
            <w:tcW w:w="3420" w:type="dxa"/>
          </w:tcPr>
          <w:p w:rsidR="00AE37D9" w:rsidRPr="00D9063F" w:rsidP="00D9063F" w14:paraId="046F13E7" w14:textId="77777777">
            <w:pPr>
              <w:jc w:val="center"/>
              <w:rPr>
                <w:b/>
                <w:color w:val="000000"/>
              </w:rPr>
            </w:pPr>
            <w:r w:rsidRPr="00D9063F">
              <w:rPr>
                <w:b/>
                <w:color w:val="000000"/>
              </w:rPr>
              <w:t>Current version</w:t>
            </w:r>
          </w:p>
        </w:tc>
        <w:tc>
          <w:tcPr>
            <w:tcW w:w="3218" w:type="dxa"/>
          </w:tcPr>
          <w:p w:rsidR="00AE37D9" w:rsidRPr="00D9063F" w:rsidP="00D9063F" w14:paraId="345B4069" w14:textId="77777777">
            <w:pPr>
              <w:pStyle w:val="Heading1"/>
              <w:jc w:val="center"/>
            </w:pPr>
            <w:r w:rsidRPr="00D9063F">
              <w:t>Proposed Revision</w:t>
            </w:r>
          </w:p>
        </w:tc>
        <w:tc>
          <w:tcPr>
            <w:tcW w:w="3082" w:type="dxa"/>
          </w:tcPr>
          <w:p w:rsidR="00AE37D9" w:rsidRPr="00D9063F" w:rsidP="00D9063F" w14:paraId="2BC2DE87" w14:textId="77777777">
            <w:pPr>
              <w:pStyle w:val="Heading1"/>
              <w:jc w:val="center"/>
            </w:pPr>
            <w:r>
              <w:t>Justification</w:t>
            </w:r>
          </w:p>
        </w:tc>
      </w:tr>
      <w:tr w14:paraId="0E2C8FAB" w14:textId="77777777" w:rsidTr="00AE37D9">
        <w:tblPrEx>
          <w:tblW w:w="10863" w:type="dxa"/>
          <w:tblInd w:w="-675" w:type="dxa"/>
          <w:tblLook w:val="0000"/>
        </w:tblPrEx>
        <w:trPr>
          <w:trHeight w:val="63"/>
        </w:trPr>
        <w:tc>
          <w:tcPr>
            <w:tcW w:w="1143" w:type="dxa"/>
          </w:tcPr>
          <w:p w:rsidR="00AE37D9" w:rsidRPr="00DA018E" w:rsidP="00781CC2" w14:paraId="3828C345" w14:textId="69ACE6FF">
            <w:pPr>
              <w:rPr>
                <w:bCs/>
                <w:sz w:val="22"/>
                <w:szCs w:val="22"/>
              </w:rPr>
            </w:pPr>
            <w:r w:rsidRPr="00DA018E">
              <w:rPr>
                <w:bCs/>
                <w:sz w:val="22"/>
                <w:szCs w:val="22"/>
              </w:rPr>
              <w:t>CIS</w:t>
            </w:r>
          </w:p>
        </w:tc>
        <w:tc>
          <w:tcPr>
            <w:tcW w:w="3420" w:type="dxa"/>
          </w:tcPr>
          <w:p w:rsidR="00AE37D9" w:rsidRPr="00DA018E" w:rsidP="00781CC2" w14:paraId="0ED800B7" w14:textId="25F094DA">
            <w:pPr>
              <w:rPr>
                <w:bCs/>
                <w:sz w:val="22"/>
                <w:szCs w:val="22"/>
              </w:rPr>
            </w:pPr>
            <w:r w:rsidRPr="00DA018E">
              <w:rPr>
                <w:bCs/>
                <w:sz w:val="22"/>
                <w:szCs w:val="22"/>
              </w:rPr>
              <w:t>No score after completing assessment</w:t>
            </w:r>
          </w:p>
        </w:tc>
        <w:tc>
          <w:tcPr>
            <w:tcW w:w="3218" w:type="dxa"/>
          </w:tcPr>
          <w:p w:rsidR="00AE37D9" w:rsidRPr="00DA018E" w:rsidP="00781CC2" w14:paraId="0FA02D5F" w14:textId="1D2116FF">
            <w:pPr>
              <w:pStyle w:val="Default"/>
              <w:rPr>
                <w:bCs/>
                <w:color w:val="auto"/>
                <w:sz w:val="22"/>
                <w:szCs w:val="22"/>
              </w:rPr>
            </w:pPr>
            <w:r w:rsidRPr="00DA018E">
              <w:rPr>
                <w:bCs/>
                <w:color w:val="auto"/>
                <w:sz w:val="22"/>
                <w:szCs w:val="22"/>
              </w:rPr>
              <w:t>Score after assessment (phase 1 audit)</w:t>
            </w:r>
          </w:p>
        </w:tc>
        <w:tc>
          <w:tcPr>
            <w:tcW w:w="3082" w:type="dxa"/>
          </w:tcPr>
          <w:p w:rsidR="00AE37D9" w:rsidRPr="001E26BD" w:rsidP="00781CC2" w14:paraId="0EF95488" w14:textId="12CC86AF">
            <w:pPr>
              <w:pStyle w:val="Default"/>
              <w:rPr>
                <w:bCs/>
                <w:color w:val="auto"/>
                <w:sz w:val="22"/>
                <w:szCs w:val="22"/>
              </w:rPr>
            </w:pPr>
            <w:r w:rsidRPr="001E26BD">
              <w:rPr>
                <w:bCs/>
                <w:color w:val="auto"/>
                <w:sz w:val="22"/>
                <w:szCs w:val="22"/>
              </w:rPr>
              <w:t xml:space="preserve">The scoring is part of recent efforts to redesign the way we do CAVs and CACs </w:t>
            </w:r>
            <w:r>
              <w:rPr>
                <w:bCs/>
                <w:color w:val="auto"/>
                <w:sz w:val="22"/>
                <w:szCs w:val="22"/>
              </w:rPr>
              <w:t xml:space="preserve">(now called audits) </w:t>
            </w:r>
            <w:r w:rsidRPr="001E26BD">
              <w:rPr>
                <w:bCs/>
                <w:color w:val="auto"/>
                <w:sz w:val="22"/>
                <w:szCs w:val="22"/>
              </w:rPr>
              <w:t xml:space="preserve">to ensure greater compliance with NFIP regulations in participating communities, allows us to track compliance changes over time and do data analytics, as well as making the whole process more transparent, fair, and consistent. </w:t>
            </w:r>
          </w:p>
        </w:tc>
      </w:tr>
      <w:tr w14:paraId="3F6550BD" w14:textId="77777777" w:rsidTr="00AE37D9">
        <w:tblPrEx>
          <w:tblW w:w="10863" w:type="dxa"/>
          <w:tblInd w:w="-675" w:type="dxa"/>
          <w:tblLook w:val="0000"/>
        </w:tblPrEx>
        <w:trPr>
          <w:trHeight w:val="63"/>
        </w:trPr>
        <w:tc>
          <w:tcPr>
            <w:tcW w:w="1143" w:type="dxa"/>
          </w:tcPr>
          <w:p w:rsidR="00AE37D9" w:rsidRPr="00DA018E" w:rsidP="00781CC2" w14:paraId="5E9057AE" w14:textId="0889BB89">
            <w:pPr>
              <w:rPr>
                <w:bCs/>
                <w:sz w:val="22"/>
                <w:szCs w:val="22"/>
              </w:rPr>
            </w:pPr>
            <w:r w:rsidRPr="00DA018E">
              <w:rPr>
                <w:bCs/>
                <w:sz w:val="22"/>
                <w:szCs w:val="22"/>
              </w:rPr>
              <w:t>CIS</w:t>
            </w:r>
          </w:p>
        </w:tc>
        <w:tc>
          <w:tcPr>
            <w:tcW w:w="3420" w:type="dxa"/>
          </w:tcPr>
          <w:p w:rsidR="00AE37D9" w:rsidRPr="00DA018E" w:rsidP="00781CC2" w14:paraId="62808FC4" w14:textId="5F1FD1C4">
            <w:pPr>
              <w:rPr>
                <w:bCs/>
                <w:sz w:val="22"/>
                <w:szCs w:val="22"/>
              </w:rPr>
            </w:pPr>
            <w:r w:rsidRPr="00DA018E">
              <w:rPr>
                <w:bCs/>
                <w:sz w:val="22"/>
                <w:szCs w:val="22"/>
              </w:rPr>
              <w:t>CAC – CAC name change</w:t>
            </w:r>
          </w:p>
        </w:tc>
        <w:tc>
          <w:tcPr>
            <w:tcW w:w="3218" w:type="dxa"/>
          </w:tcPr>
          <w:p w:rsidR="00AE37D9" w:rsidRPr="00DA018E" w:rsidP="00781CC2" w14:paraId="79183F12" w14:textId="49AA762A">
            <w:pPr>
              <w:rPr>
                <w:bCs/>
                <w:sz w:val="22"/>
                <w:szCs w:val="22"/>
              </w:rPr>
            </w:pPr>
            <w:r w:rsidRPr="00DA018E">
              <w:rPr>
                <w:bCs/>
                <w:sz w:val="22"/>
                <w:szCs w:val="22"/>
              </w:rPr>
              <w:t>Now called Diagnostic Assessment and Full Evaluation</w:t>
            </w:r>
          </w:p>
        </w:tc>
        <w:tc>
          <w:tcPr>
            <w:tcW w:w="3082" w:type="dxa"/>
          </w:tcPr>
          <w:p w:rsidR="00AE37D9" w:rsidRPr="001E26BD" w:rsidP="00781CC2" w14:paraId="323892D2" w14:textId="43E348D6">
            <w:pPr>
              <w:rPr>
                <w:sz w:val="22"/>
                <w:szCs w:val="22"/>
              </w:rPr>
            </w:pPr>
            <w:r w:rsidRPr="001E26BD">
              <w:rPr>
                <w:sz w:val="22"/>
                <w:szCs w:val="22"/>
              </w:rPr>
              <w:t xml:space="preserve">The name change is to describe the new process more accurately. </w:t>
            </w:r>
          </w:p>
        </w:tc>
      </w:tr>
      <w:tr w14:paraId="0090C1C8" w14:textId="77777777" w:rsidTr="00AE37D9">
        <w:tblPrEx>
          <w:tblW w:w="10863" w:type="dxa"/>
          <w:tblInd w:w="-675" w:type="dxa"/>
          <w:tblLook w:val="0000"/>
        </w:tblPrEx>
        <w:trPr>
          <w:trHeight w:val="63"/>
        </w:trPr>
        <w:tc>
          <w:tcPr>
            <w:tcW w:w="1143" w:type="dxa"/>
          </w:tcPr>
          <w:p w:rsidR="00AE37D9" w:rsidRPr="00DA018E" w:rsidP="00781CC2" w14:paraId="2CD74352" w14:textId="6CEFC0D2">
            <w:pPr>
              <w:rPr>
                <w:bCs/>
                <w:sz w:val="20"/>
                <w:szCs w:val="20"/>
              </w:rPr>
            </w:pPr>
            <w:r w:rsidRPr="00DA018E">
              <w:rPr>
                <w:bCs/>
                <w:sz w:val="20"/>
                <w:szCs w:val="20"/>
              </w:rPr>
              <w:t>CIS</w:t>
            </w:r>
          </w:p>
        </w:tc>
        <w:tc>
          <w:tcPr>
            <w:tcW w:w="3420" w:type="dxa"/>
          </w:tcPr>
          <w:p w:rsidR="00AE37D9" w:rsidRPr="00DA018E" w:rsidP="00781CC2" w14:paraId="593E6067" w14:textId="39DD654D">
            <w:pPr>
              <w:rPr>
                <w:bCs/>
                <w:sz w:val="22"/>
                <w:szCs w:val="22"/>
              </w:rPr>
            </w:pPr>
            <w:r w:rsidRPr="00DA018E">
              <w:rPr>
                <w:bCs/>
                <w:sz w:val="22"/>
                <w:szCs w:val="22"/>
              </w:rPr>
              <w:t>CAC Findings going away</w:t>
            </w:r>
          </w:p>
        </w:tc>
        <w:tc>
          <w:tcPr>
            <w:tcW w:w="3218" w:type="dxa"/>
          </w:tcPr>
          <w:p w:rsidR="00AE37D9" w:rsidRPr="00DA018E" w:rsidP="00781CC2" w14:paraId="4905316D" w14:textId="3E324785">
            <w:pPr>
              <w:rPr>
                <w:bCs/>
                <w:sz w:val="22"/>
                <w:szCs w:val="22"/>
              </w:rPr>
            </w:pPr>
            <w:r w:rsidRPr="00DA018E">
              <w:rPr>
                <w:bCs/>
                <w:sz w:val="22"/>
                <w:szCs w:val="22"/>
              </w:rPr>
              <w:t>Diagnostic Assessment tool with</w:t>
            </w:r>
            <w:r w:rsidR="001E26BD">
              <w:rPr>
                <w:bCs/>
                <w:sz w:val="22"/>
                <w:szCs w:val="22"/>
              </w:rPr>
              <w:t xml:space="preserve"> standardized</w:t>
            </w:r>
            <w:r w:rsidRPr="00DA018E">
              <w:rPr>
                <w:bCs/>
                <w:sz w:val="22"/>
                <w:szCs w:val="22"/>
              </w:rPr>
              <w:t xml:space="preserve"> </w:t>
            </w:r>
            <w:r w:rsidR="001E26BD">
              <w:rPr>
                <w:bCs/>
                <w:sz w:val="22"/>
                <w:szCs w:val="22"/>
              </w:rPr>
              <w:t>questions and responses</w:t>
            </w:r>
            <w:r w:rsidRPr="00DA018E">
              <w:rPr>
                <w:bCs/>
                <w:sz w:val="22"/>
                <w:szCs w:val="22"/>
              </w:rPr>
              <w:t xml:space="preserve"> will replace the “findings”</w:t>
            </w:r>
            <w:r w:rsidR="001E26BD">
              <w:rPr>
                <w:bCs/>
                <w:sz w:val="22"/>
                <w:szCs w:val="22"/>
              </w:rPr>
              <w:t>.</w:t>
            </w:r>
          </w:p>
        </w:tc>
        <w:tc>
          <w:tcPr>
            <w:tcW w:w="3082" w:type="dxa"/>
          </w:tcPr>
          <w:p w:rsidR="00AE37D9" w:rsidRPr="00693453" w:rsidP="00781CC2" w14:paraId="6745EC8D" w14:textId="3A95D9C8">
            <w:pPr>
              <w:rPr>
                <w:sz w:val="22"/>
                <w:szCs w:val="22"/>
              </w:rPr>
            </w:pPr>
            <w:r>
              <w:rPr>
                <w:sz w:val="22"/>
                <w:szCs w:val="22"/>
              </w:rPr>
              <w:t>The new Diagnostic Tool assesses the “CAC findings</w:t>
            </w:r>
            <w:r w:rsidR="00CB7F2A">
              <w:rPr>
                <w:sz w:val="22"/>
                <w:szCs w:val="22"/>
              </w:rPr>
              <w:t>”</w:t>
            </w:r>
            <w:r>
              <w:rPr>
                <w:sz w:val="22"/>
                <w:szCs w:val="22"/>
              </w:rPr>
              <w:t xml:space="preserve"> more thoroughly and consistently. </w:t>
            </w:r>
          </w:p>
        </w:tc>
      </w:tr>
      <w:tr w14:paraId="7FD9D7B5" w14:textId="77777777" w:rsidTr="00AE37D9">
        <w:tblPrEx>
          <w:tblW w:w="10863" w:type="dxa"/>
          <w:tblInd w:w="-675" w:type="dxa"/>
          <w:tblLook w:val="0000"/>
        </w:tblPrEx>
        <w:trPr>
          <w:trHeight w:val="63"/>
        </w:trPr>
        <w:tc>
          <w:tcPr>
            <w:tcW w:w="1143" w:type="dxa"/>
          </w:tcPr>
          <w:p w:rsidR="00AE37D9" w:rsidRPr="00DA018E" w:rsidP="00781CC2" w14:paraId="4C66BFFE" w14:textId="6719D9FD">
            <w:pPr>
              <w:rPr>
                <w:bCs/>
                <w:sz w:val="20"/>
                <w:szCs w:val="20"/>
              </w:rPr>
            </w:pPr>
            <w:r w:rsidRPr="00DA018E">
              <w:rPr>
                <w:bCs/>
                <w:sz w:val="20"/>
                <w:szCs w:val="20"/>
              </w:rPr>
              <w:t>CIS</w:t>
            </w:r>
          </w:p>
        </w:tc>
        <w:tc>
          <w:tcPr>
            <w:tcW w:w="3420" w:type="dxa"/>
          </w:tcPr>
          <w:p w:rsidR="00AE37D9" w:rsidRPr="00DA018E" w:rsidP="00781CC2" w14:paraId="1CE03ECE" w14:textId="72642F90">
            <w:pPr>
              <w:rPr>
                <w:bCs/>
                <w:sz w:val="20"/>
                <w:szCs w:val="20"/>
              </w:rPr>
            </w:pPr>
            <w:r w:rsidRPr="00DA018E">
              <w:rPr>
                <w:bCs/>
                <w:sz w:val="20"/>
                <w:szCs w:val="20"/>
              </w:rPr>
              <w:t>CAC Follow Up going away</w:t>
            </w:r>
          </w:p>
        </w:tc>
        <w:tc>
          <w:tcPr>
            <w:tcW w:w="3218" w:type="dxa"/>
          </w:tcPr>
          <w:p w:rsidR="00AE37D9" w:rsidRPr="00DA018E" w:rsidP="00781CC2" w14:paraId="61D6275F" w14:textId="39552CEB">
            <w:pPr>
              <w:rPr>
                <w:bCs/>
                <w:sz w:val="20"/>
                <w:szCs w:val="20"/>
              </w:rPr>
            </w:pPr>
            <w:r w:rsidRPr="00DA018E">
              <w:rPr>
                <w:bCs/>
                <w:sz w:val="20"/>
                <w:szCs w:val="20"/>
              </w:rPr>
              <w:t xml:space="preserve">Diagnostic Assessment (phase 1 audit) will close and Phase 2 Follow Up will be opened and active tracking of follow up actions will be recorded there. </w:t>
            </w:r>
          </w:p>
        </w:tc>
        <w:tc>
          <w:tcPr>
            <w:tcW w:w="3082" w:type="dxa"/>
          </w:tcPr>
          <w:p w:rsidR="00AE37D9" w:rsidRPr="00257851" w:rsidP="00781CC2" w14:paraId="6FB14CBD" w14:textId="5B3FE2A7">
            <w:pPr>
              <w:rPr>
                <w:sz w:val="20"/>
                <w:szCs w:val="20"/>
              </w:rPr>
            </w:pPr>
            <w:r>
              <w:rPr>
                <w:sz w:val="20"/>
                <w:szCs w:val="20"/>
              </w:rPr>
              <w:t xml:space="preserve">This way of tracking follow up actions is more thorough, organized, and standardized and allows the fairer and more transparent assessment of the communities NFIP program administration. </w:t>
            </w:r>
          </w:p>
        </w:tc>
      </w:tr>
      <w:tr w14:paraId="69DDA073" w14:textId="77777777" w:rsidTr="00AE37D9">
        <w:tblPrEx>
          <w:tblW w:w="10863" w:type="dxa"/>
          <w:tblInd w:w="-675" w:type="dxa"/>
          <w:tblLook w:val="0000"/>
        </w:tblPrEx>
        <w:trPr>
          <w:trHeight w:val="63"/>
        </w:trPr>
        <w:tc>
          <w:tcPr>
            <w:tcW w:w="1143" w:type="dxa"/>
          </w:tcPr>
          <w:p w:rsidR="00AE37D9" w:rsidRPr="00DA018E" w:rsidP="00781CC2" w14:paraId="63352E11" w14:textId="11797EAA">
            <w:pPr>
              <w:rPr>
                <w:bCs/>
                <w:sz w:val="20"/>
                <w:szCs w:val="20"/>
              </w:rPr>
            </w:pPr>
            <w:r w:rsidRPr="00DA018E">
              <w:rPr>
                <w:bCs/>
                <w:sz w:val="20"/>
                <w:szCs w:val="20"/>
              </w:rPr>
              <w:t>CIS</w:t>
            </w:r>
          </w:p>
        </w:tc>
        <w:tc>
          <w:tcPr>
            <w:tcW w:w="3420" w:type="dxa"/>
          </w:tcPr>
          <w:p w:rsidR="00AE37D9" w:rsidRPr="00DA018E" w:rsidP="00781CC2" w14:paraId="0A353100" w14:textId="56655CFF">
            <w:pPr>
              <w:rPr>
                <w:bCs/>
                <w:sz w:val="20"/>
                <w:szCs w:val="20"/>
              </w:rPr>
            </w:pPr>
            <w:r w:rsidRPr="00DA018E">
              <w:rPr>
                <w:bCs/>
                <w:sz w:val="20"/>
                <w:szCs w:val="20"/>
              </w:rPr>
              <w:t>CAC Violations going away</w:t>
            </w:r>
          </w:p>
        </w:tc>
        <w:tc>
          <w:tcPr>
            <w:tcW w:w="3218" w:type="dxa"/>
          </w:tcPr>
          <w:p w:rsidR="00AE37D9" w:rsidRPr="00DA018E" w:rsidP="00781CC2" w14:paraId="35A572EA" w14:textId="7B8B3EB0">
            <w:pPr>
              <w:rPr>
                <w:bCs/>
                <w:sz w:val="20"/>
                <w:szCs w:val="20"/>
              </w:rPr>
            </w:pPr>
            <w:r w:rsidRPr="00DA018E">
              <w:rPr>
                <w:bCs/>
                <w:sz w:val="20"/>
                <w:szCs w:val="20"/>
              </w:rPr>
              <w:t xml:space="preserve">Any violations discovered after the phase 1 audit (Diagnostic Assessment) will be tracked in the Phase 2 Follow Up tabs and also in the National Violations Tracker in CIS. </w:t>
            </w:r>
          </w:p>
        </w:tc>
        <w:tc>
          <w:tcPr>
            <w:tcW w:w="3082" w:type="dxa"/>
          </w:tcPr>
          <w:p w:rsidR="00AE37D9" w:rsidRPr="00257851" w:rsidP="00781CC2" w14:paraId="27365167" w14:textId="227F4044">
            <w:pPr>
              <w:rPr>
                <w:sz w:val="20"/>
                <w:szCs w:val="20"/>
              </w:rPr>
            </w:pPr>
            <w:r>
              <w:rPr>
                <w:sz w:val="20"/>
                <w:szCs w:val="20"/>
              </w:rPr>
              <w:t xml:space="preserve">This way will better ensure actions are taken </w:t>
            </w:r>
            <w:r w:rsidR="00CB7F2A">
              <w:rPr>
                <w:sz w:val="20"/>
                <w:szCs w:val="20"/>
              </w:rPr>
              <w:t>to track</w:t>
            </w:r>
            <w:r>
              <w:rPr>
                <w:sz w:val="20"/>
                <w:szCs w:val="20"/>
              </w:rPr>
              <w:t xml:space="preserve"> and correct violations found in </w:t>
            </w:r>
            <w:r w:rsidR="00CB7F2A">
              <w:rPr>
                <w:sz w:val="20"/>
                <w:szCs w:val="20"/>
              </w:rPr>
              <w:t xml:space="preserve">a Diagnostic Assessment (formerly CAC). </w:t>
            </w:r>
          </w:p>
        </w:tc>
      </w:tr>
    </w:tbl>
    <w:p w:rsidR="002572E0" w:rsidRPr="00E25C21" w:rsidP="00D9063F" w14:paraId="76615947" w14:textId="77777777"/>
    <w:sectPr w:rsidSect="00F6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E2764F"/>
    <w:multiLevelType w:val="hybridMultilevel"/>
    <w:tmpl w:val="323ECF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7F4366E"/>
    <w:multiLevelType w:val="hybridMultilevel"/>
    <w:tmpl w:val="CB0C1EEC"/>
    <w:lvl w:ilvl="0">
      <w:start w:val="1"/>
      <w:numFmt w:val="decimal"/>
      <w:lvlText w:val="%1."/>
      <w:lvlJc w:val="left"/>
      <w:pPr>
        <w:tabs>
          <w:tab w:val="num" w:pos="288"/>
        </w:tabs>
        <w:ind w:left="360" w:hanging="288"/>
      </w:pPr>
      <w:rPr>
        <w:snapToGrid/>
        <w:spacing w:val="-4"/>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9971801"/>
    <w:multiLevelType w:val="hybridMultilevel"/>
    <w:tmpl w:val="4456062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802383876">
    <w:abstractNumId w:val="0"/>
  </w:num>
  <w:num w:numId="2" w16cid:durableId="1047677695">
    <w:abstractNumId w:val="2"/>
  </w:num>
  <w:num w:numId="3" w16cid:durableId="734007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39"/>
    <w:rsid w:val="00190067"/>
    <w:rsid w:val="001E26BD"/>
    <w:rsid w:val="002572E0"/>
    <w:rsid w:val="00257851"/>
    <w:rsid w:val="002D53BC"/>
    <w:rsid w:val="00376029"/>
    <w:rsid w:val="0042011B"/>
    <w:rsid w:val="00693453"/>
    <w:rsid w:val="00781CC2"/>
    <w:rsid w:val="007C5442"/>
    <w:rsid w:val="007E7DB9"/>
    <w:rsid w:val="00A11B10"/>
    <w:rsid w:val="00A32DB3"/>
    <w:rsid w:val="00AE37D9"/>
    <w:rsid w:val="00BE0AA5"/>
    <w:rsid w:val="00C47939"/>
    <w:rsid w:val="00CB7F2A"/>
    <w:rsid w:val="00D7570A"/>
    <w:rsid w:val="00D9063F"/>
    <w:rsid w:val="00DA018E"/>
    <w:rsid w:val="00E25BE0"/>
    <w:rsid w:val="00E25C21"/>
    <w:rsid w:val="00E30829"/>
    <w:rsid w:val="00EF3765"/>
    <w:rsid w:val="00F33698"/>
    <w:rsid w:val="00F3550E"/>
    <w:rsid w:val="00F670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8C3009"/>
  <w15:docId w15:val="{0A8DC9C8-5A44-4CE9-8CC2-DCD87904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4A7C6-3DE0-4DD5-899E-E617E19DF818}">
  <ds:schemaRefs/>
</ds:datastoreItem>
</file>

<file path=customXml/itemProps2.xml><?xml version="1.0" encoding="utf-8"?>
<ds:datastoreItem xmlns:ds="http://schemas.openxmlformats.org/officeDocument/2006/customXml" ds:itemID="{1533229F-0F08-426C-A458-D1FCAC516EDB}">
  <ds:schemaRefs>
    <ds:schemaRef ds:uri="http://schemas.microsoft.com/office/2006/metadata/properties"/>
    <ds:schemaRef ds:uri="96029d94-18ed-4e0b-b9ed-ca53838b6e2e"/>
  </ds:schemaRefs>
</ds:datastoreItem>
</file>

<file path=customXml/itemProps3.xml><?xml version="1.0" encoding="utf-8"?>
<ds:datastoreItem xmlns:ds="http://schemas.openxmlformats.org/officeDocument/2006/customXml" ds:itemID="{5A675710-C861-40EB-8C3D-6A587DC2B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creator>tyrone.huff</dc:creator>
  <cp:lastModifiedBy>Owen, Sarah</cp:lastModifiedBy>
  <cp:revision>3</cp:revision>
  <dcterms:created xsi:type="dcterms:W3CDTF">2023-07-21T18:29:00Z</dcterms:created>
  <dcterms:modified xsi:type="dcterms:W3CDTF">2023-07-21T18:34:00Z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ies>
</file>