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24E20" w:rsidP="00AD381B" w14:paraId="64280E54" w14:textId="77777777">
      <w:pPr>
        <w:pStyle w:val="Heading1"/>
        <w:rPr>
          <w:b/>
          <w:bCs/>
          <w:sz w:val="24"/>
          <w:szCs w:val="24"/>
        </w:rPr>
      </w:pPr>
      <w:r w:rsidRPr="00F24E20">
        <w:rPr>
          <w:b/>
          <w:bCs/>
          <w:sz w:val="24"/>
          <w:szCs w:val="24"/>
        </w:rPr>
        <w:t>SUPPORTING STATEMENT</w:t>
      </w:r>
    </w:p>
    <w:p w:rsidR="00043C32" w:rsidRPr="00F24E20" w:rsidP="00AD381B" w14:paraId="64280E55" w14:textId="0EEBC467">
      <w:pPr>
        <w:pStyle w:val="Heading1"/>
        <w:rPr>
          <w:b/>
          <w:bCs/>
          <w:sz w:val="24"/>
          <w:szCs w:val="24"/>
        </w:rPr>
      </w:pPr>
      <w:r w:rsidRPr="00F24E20">
        <w:rPr>
          <w:b/>
          <w:bCs/>
          <w:sz w:val="24"/>
          <w:szCs w:val="24"/>
        </w:rPr>
        <w:t>FOR PAPERWORK REDUCTION ACT SUBMISSION</w:t>
      </w:r>
    </w:p>
    <w:p w:rsidR="00F24E20" w:rsidRPr="00F24E20" w:rsidP="00F24E20" w14:paraId="6891B37C" w14:textId="77777777">
      <w:pPr>
        <w:suppressAutoHyphens/>
        <w:spacing w:before="120" w:after="120"/>
        <w:jc w:val="center"/>
        <w:rPr>
          <w:rFonts w:asciiTheme="minorHAnsi" w:hAnsiTheme="minorHAnsi" w:cstheme="minorHAnsi"/>
          <w:bCs/>
          <w:szCs w:val="24"/>
        </w:rPr>
      </w:pPr>
      <w:bookmarkStart w:id="0" w:name="Text1"/>
      <w:r w:rsidRPr="00F24E20">
        <w:rPr>
          <w:rFonts w:asciiTheme="minorHAnsi" w:hAnsiTheme="minorHAnsi" w:cstheme="minorHAnsi"/>
          <w:bCs/>
          <w:szCs w:val="24"/>
        </w:rPr>
        <w:t>Federal Perkins Loan Assignment Form and Instructions</w:t>
      </w:r>
      <w:bookmarkEnd w:id="0"/>
    </w:p>
    <w:p w:rsidR="00043C32" w:rsidRPr="00AD381B" w:rsidP="00AD381B" w14:paraId="64280E56" w14:textId="77777777">
      <w:pPr>
        <w:tabs>
          <w:tab w:val="left" w:pos="0"/>
        </w:tabs>
        <w:suppressAutoHyphens/>
        <w:rPr>
          <w:rFonts w:ascii="Times New Roman" w:hAnsi="Times New Roman"/>
          <w:szCs w:val="24"/>
        </w:rPr>
      </w:pPr>
    </w:p>
    <w:p w:rsidR="00EA1767" w:rsidP="00274B77" w14:paraId="64280E57" w14:textId="23B1C776">
      <w:pPr>
        <w:pStyle w:val="ListParagraph"/>
        <w:numPr>
          <w:ilvl w:val="0"/>
          <w:numId w:val="4"/>
        </w:numPr>
        <w:suppressAutoHyphens/>
        <w:ind w:hanging="540"/>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AB6AE1" w:rsidRPr="002329F7" w:rsidP="00AB6AE1" w14:paraId="36079335" w14:textId="77777777">
      <w:pPr>
        <w:tabs>
          <w:tab w:val="left" w:pos="0"/>
        </w:tabs>
        <w:suppressAutoHyphens/>
        <w:ind w:left="720"/>
        <w:rPr>
          <w:rFonts w:asciiTheme="minorHAnsi" w:hAnsiTheme="minorHAnsi" w:cstheme="minorHAnsi"/>
          <w:szCs w:val="24"/>
        </w:rPr>
      </w:pPr>
      <w:r w:rsidRPr="002329F7">
        <w:rPr>
          <w:rFonts w:asciiTheme="minorHAnsi" w:hAnsiTheme="minorHAnsi" w:cstheme="minorHAnsi"/>
          <w:szCs w:val="24"/>
        </w:rPr>
        <w:t xml:space="preserve">The U.S. Department of Education (the Department) is authorized to accept Federal Perkins Loan (Perkins Loan) Program assignments under Section 463(a)(5) of the Higher Education Act of 1965, as amended.  Institutions participating in the Perkins Loan program, including loans made under the National Direct/Defense Student Loan Program (NDSL), use the form (OMB Control Number 1845-0048) to assign loans to the Department for collection without recompense.  This request is for approval of the assignment form which allows for assignment of Perkins Loans either individually or in a batch format, utilizing either the paper based or electronic filing format.  </w:t>
      </w:r>
    </w:p>
    <w:p w:rsidR="00AB6AE1" w:rsidRPr="002329F7" w:rsidP="00AB6AE1" w14:paraId="5BA72B33" w14:textId="77777777">
      <w:pPr>
        <w:tabs>
          <w:tab w:val="left" w:pos="0"/>
        </w:tabs>
        <w:suppressAutoHyphens/>
        <w:ind w:left="720"/>
        <w:rPr>
          <w:rFonts w:asciiTheme="minorHAnsi" w:hAnsiTheme="minorHAnsi" w:cstheme="minorHAnsi"/>
          <w:szCs w:val="24"/>
        </w:rPr>
      </w:pPr>
    </w:p>
    <w:p w:rsidR="00AB6AE1" w:rsidRPr="002329F7" w:rsidP="00AB6AE1" w14:paraId="3731204A" w14:textId="77777777">
      <w:pPr>
        <w:tabs>
          <w:tab w:val="left" w:pos="0"/>
        </w:tabs>
        <w:suppressAutoHyphens/>
        <w:ind w:left="720"/>
        <w:rPr>
          <w:rFonts w:asciiTheme="minorHAnsi" w:hAnsiTheme="minorHAnsi" w:cstheme="minorHAnsi"/>
          <w:szCs w:val="24"/>
        </w:rPr>
      </w:pPr>
      <w:r w:rsidRPr="002329F7">
        <w:rPr>
          <w:rFonts w:asciiTheme="minorHAnsi" w:hAnsiTheme="minorHAnsi" w:cstheme="minorHAnsi"/>
          <w:szCs w:val="24"/>
        </w:rPr>
        <w:t>An institution may use the form to assign one or more loans to the Department at any time throughout the year.  Some conditions under which an institution could utilize the assignment form include defaulted loans, total permanent disability discharges, voluntary withdrawal from the program, termination from the program, closure of the institution and liquidation of its Perkins Loan portfolio.</w:t>
      </w:r>
    </w:p>
    <w:p w:rsidR="00AB6AE1" w:rsidRPr="002329F7" w:rsidP="00AB6AE1" w14:paraId="72B08BC6" w14:textId="79A09FBD">
      <w:pPr>
        <w:tabs>
          <w:tab w:val="left" w:pos="0"/>
        </w:tabs>
        <w:suppressAutoHyphens/>
        <w:ind w:left="720"/>
        <w:rPr>
          <w:rFonts w:asciiTheme="minorHAnsi" w:hAnsiTheme="minorHAnsi" w:cstheme="minorHAnsi"/>
          <w:szCs w:val="24"/>
        </w:rPr>
      </w:pPr>
    </w:p>
    <w:p w:rsidR="00AD381B" w:rsidP="00100B1E" w14:paraId="64280E59" w14:textId="23FFBED7">
      <w:pPr>
        <w:pStyle w:val="ListParagraph"/>
        <w:suppressAutoHyphens/>
        <w:contextualSpacing w:val="0"/>
        <w:rPr>
          <w:rFonts w:asciiTheme="minorHAnsi" w:hAnsiTheme="minorHAnsi" w:cstheme="minorHAnsi"/>
          <w:szCs w:val="24"/>
        </w:rPr>
      </w:pPr>
      <w:r>
        <w:rPr>
          <w:rFonts w:asciiTheme="minorHAnsi" w:hAnsiTheme="minorHAnsi" w:cstheme="minorHAnsi"/>
          <w:szCs w:val="24"/>
        </w:rPr>
        <w:t>The Department is requesting an extension of the currently approved collection.  There has been no change to the form.  There has been a change in the number of respondents, responses, and burden hours.</w:t>
      </w:r>
    </w:p>
    <w:p w:rsidR="00100B1E" w:rsidRPr="00AD381B" w:rsidP="00AD381B" w14:paraId="4A1F0B42" w14:textId="77777777">
      <w:pPr>
        <w:pStyle w:val="ListParagraph"/>
        <w:suppressAutoHyphens/>
        <w:spacing w:line="240" w:lineRule="exact"/>
        <w:contextualSpacing w:val="0"/>
        <w:rPr>
          <w:rFonts w:ascii="Times New Roman" w:hAnsi="Times New Roman"/>
          <w:szCs w:val="24"/>
        </w:rPr>
      </w:pPr>
    </w:p>
    <w:p w:rsidR="00AD381B" w:rsidP="00274B77" w14:paraId="64280E5A" w14:textId="77777777">
      <w:pPr>
        <w:pStyle w:val="ListParagraph"/>
        <w:numPr>
          <w:ilvl w:val="0"/>
          <w:numId w:val="4"/>
        </w:numPr>
        <w:suppressAutoHyphens/>
        <w:ind w:hanging="540"/>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AB6AE1" w:rsidRPr="002329F7" w:rsidP="00AB6AE1" w14:paraId="692B6606" w14:textId="77777777">
      <w:pPr>
        <w:pStyle w:val="BodyTextIndent"/>
        <w:rPr>
          <w:rFonts w:asciiTheme="minorHAnsi" w:hAnsiTheme="minorHAnsi" w:cstheme="minorHAnsi"/>
        </w:rPr>
      </w:pPr>
      <w:r w:rsidRPr="002329F7">
        <w:rPr>
          <w:rFonts w:asciiTheme="minorHAnsi" w:hAnsiTheme="minorHAnsi" w:cstheme="minorHAnsi"/>
        </w:rPr>
        <w:t xml:space="preserve">The Perkins Assignment Form is the transmittal document for the assignment process. It collects pertinent information required by the Department from the institution to support the loans being submitted for assignment and liquidation of its Perkins Loan portfolio.  It also transfers to the Department the legal authority to collect on loans that are not eligible for a regulatory cancellation.  Schools may assign loans to the Department in an effort to end their loan servicing responsibilities and to reduce the collection costs. </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274B77" w14:paraId="64280E5D" w14:textId="77777777">
      <w:pPr>
        <w:pStyle w:val="ListParagraph"/>
        <w:numPr>
          <w:ilvl w:val="0"/>
          <w:numId w:val="4"/>
        </w:numPr>
        <w:tabs>
          <w:tab w:val="left" w:pos="-720"/>
        </w:tabs>
        <w:suppressAutoHyphens/>
        <w:ind w:hanging="540"/>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AB6AE1" w:rsidRPr="002329F7" w:rsidP="00AB6AE1" w14:paraId="5656A4BC" w14:textId="41C7310B">
      <w:pPr>
        <w:tabs>
          <w:tab w:val="left" w:pos="0"/>
        </w:tabs>
        <w:suppressAutoHyphens/>
        <w:ind w:left="720"/>
        <w:rPr>
          <w:rFonts w:asciiTheme="minorHAnsi" w:hAnsiTheme="minorHAnsi" w:cstheme="minorHAnsi"/>
          <w:szCs w:val="24"/>
        </w:rPr>
      </w:pPr>
      <w:r w:rsidRPr="002329F7">
        <w:rPr>
          <w:rFonts w:asciiTheme="minorHAnsi" w:hAnsiTheme="minorHAnsi" w:cstheme="minorHAnsi"/>
          <w:szCs w:val="24"/>
        </w:rPr>
        <w:t xml:space="preserve">The Department’s Perkins Loan Assignment System (PLAS) allows for the electronic submission of this form.  To access the site, the institution must have been provided system access which allows for an electronic signature to complete the electronic submission.  The full electronic format for submission of the assignment form and information </w:t>
      </w:r>
      <w:r w:rsidR="00287971">
        <w:rPr>
          <w:rFonts w:asciiTheme="minorHAnsi" w:hAnsiTheme="minorHAnsi" w:cstheme="minorHAnsi"/>
          <w:szCs w:val="24"/>
        </w:rPr>
        <w:t>is</w:t>
      </w:r>
      <w:r w:rsidRPr="002329F7" w:rsidR="00287971">
        <w:rPr>
          <w:rFonts w:asciiTheme="minorHAnsi" w:hAnsiTheme="minorHAnsi" w:cstheme="minorHAnsi"/>
          <w:szCs w:val="24"/>
        </w:rPr>
        <w:t xml:space="preserve"> made</w:t>
      </w:r>
      <w:r w:rsidRPr="002329F7">
        <w:rPr>
          <w:rFonts w:asciiTheme="minorHAnsi" w:hAnsiTheme="minorHAnsi" w:cstheme="minorHAnsi"/>
          <w:szCs w:val="24"/>
        </w:rPr>
        <w:t xml:space="preserve"> available to </w:t>
      </w:r>
      <w:r w:rsidR="00087E0B">
        <w:rPr>
          <w:rFonts w:asciiTheme="minorHAnsi" w:hAnsiTheme="minorHAnsi" w:cstheme="minorHAnsi"/>
          <w:szCs w:val="24"/>
        </w:rPr>
        <w:t xml:space="preserve">all </w:t>
      </w:r>
      <w:r w:rsidRPr="002329F7">
        <w:rPr>
          <w:rFonts w:asciiTheme="minorHAnsi" w:hAnsiTheme="minorHAnsi" w:cstheme="minorHAnsi"/>
          <w:szCs w:val="24"/>
        </w:rPr>
        <w:t xml:space="preserve">eligible participating institutions and allows for individual or batch processing of assignments with the institutions uploading electronic versions of the supporting documentation.  While the paper assignment filing and mailing process continues to be an option, many institutions </w:t>
      </w:r>
      <w:r w:rsidR="00B915DA">
        <w:rPr>
          <w:rFonts w:asciiTheme="minorHAnsi" w:hAnsiTheme="minorHAnsi" w:cstheme="minorHAnsi"/>
          <w:szCs w:val="24"/>
        </w:rPr>
        <w:t>have</w:t>
      </w:r>
      <w:r w:rsidRPr="002329F7">
        <w:rPr>
          <w:rFonts w:asciiTheme="minorHAnsi" w:hAnsiTheme="minorHAnsi" w:cstheme="minorHAnsi"/>
          <w:szCs w:val="24"/>
        </w:rPr>
        <w:t xml:space="preserve"> opt</w:t>
      </w:r>
      <w:r w:rsidR="00B915DA">
        <w:rPr>
          <w:rFonts w:asciiTheme="minorHAnsi" w:hAnsiTheme="minorHAnsi" w:cstheme="minorHAnsi"/>
          <w:szCs w:val="24"/>
        </w:rPr>
        <w:t>ed</w:t>
      </w:r>
      <w:r w:rsidRPr="002329F7">
        <w:rPr>
          <w:rFonts w:asciiTheme="minorHAnsi" w:hAnsiTheme="minorHAnsi" w:cstheme="minorHAnsi"/>
          <w:szCs w:val="24"/>
        </w:rPr>
        <w:t xml:space="preserve"> to use the batch functionality of PLAS.  </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274B77" w14:paraId="64280E60" w14:textId="77777777">
      <w:pPr>
        <w:pStyle w:val="ListParagraph"/>
        <w:numPr>
          <w:ilvl w:val="0"/>
          <w:numId w:val="4"/>
        </w:numPr>
        <w:tabs>
          <w:tab w:val="left" w:pos="-720"/>
        </w:tabs>
        <w:suppressAutoHyphens/>
        <w:ind w:hanging="540"/>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AB6AE1" w:rsidRPr="00AB6AE1" w:rsidP="00AB6AE1" w14:paraId="682DE44D" w14:textId="77777777">
      <w:pPr>
        <w:pStyle w:val="ListParagraph"/>
        <w:tabs>
          <w:tab w:val="left" w:pos="-720"/>
        </w:tabs>
        <w:suppressAutoHyphens/>
        <w:rPr>
          <w:rFonts w:asciiTheme="minorHAnsi" w:hAnsiTheme="minorHAnsi" w:cstheme="minorHAnsi"/>
          <w:szCs w:val="24"/>
        </w:rPr>
      </w:pPr>
      <w:r w:rsidRPr="00AB6AE1">
        <w:rPr>
          <w:rFonts w:asciiTheme="minorHAnsi" w:hAnsiTheme="minorHAnsi" w:cstheme="minorHAnsi"/>
          <w:szCs w:val="24"/>
        </w:rPr>
        <w:t>There is no duplication of data as a result of the collection of this information.</w:t>
      </w:r>
    </w:p>
    <w:p w:rsidR="00043C32" w:rsidRPr="005F4E11" w:rsidP="00274B77" w14:paraId="64280E62" w14:textId="409DCFD5">
      <w:pPr>
        <w:pStyle w:val="ListParagraph"/>
        <w:numPr>
          <w:ilvl w:val="0"/>
          <w:numId w:val="4"/>
        </w:numPr>
        <w:spacing w:before="240"/>
        <w:ind w:hanging="5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AB6AE1" w:rsidP="00AB6AE1" w14:paraId="13E135CE" w14:textId="1DFE7459">
      <w:pPr>
        <w:pStyle w:val="ListParagraph"/>
        <w:tabs>
          <w:tab w:val="left" w:pos="-720"/>
        </w:tabs>
        <w:suppressAutoHyphens/>
        <w:rPr>
          <w:rFonts w:asciiTheme="minorHAnsi" w:hAnsiTheme="minorHAnsi" w:cstheme="minorHAnsi"/>
          <w:szCs w:val="24"/>
        </w:rPr>
      </w:pPr>
      <w:r w:rsidRPr="00AB6AE1">
        <w:rPr>
          <w:rFonts w:asciiTheme="minorHAnsi" w:hAnsiTheme="minorHAnsi" w:cstheme="minorHAnsi"/>
          <w:szCs w:val="24"/>
        </w:rPr>
        <w:t>The Department anticipates that the ability of an institution to batch Perkins Loan assignments using the PLAS will mitigate any impact on affected small businesses.</w:t>
      </w:r>
    </w:p>
    <w:p w:rsidR="00AB6AE1" w:rsidRPr="00AB6AE1" w:rsidP="00AB6AE1" w14:paraId="45C2475C" w14:textId="77777777">
      <w:pPr>
        <w:pStyle w:val="ListParagraph"/>
        <w:tabs>
          <w:tab w:val="left" w:pos="-720"/>
        </w:tabs>
        <w:suppressAutoHyphens/>
        <w:rPr>
          <w:rFonts w:asciiTheme="minorHAnsi" w:hAnsiTheme="minorHAnsi" w:cstheme="minorHAnsi"/>
          <w:szCs w:val="24"/>
        </w:rPr>
      </w:pPr>
    </w:p>
    <w:p w:rsidR="00043C32" w:rsidP="00274B77" w14:paraId="64280E65" w14:textId="6725E737">
      <w:pPr>
        <w:pStyle w:val="ListParagraph"/>
        <w:numPr>
          <w:ilvl w:val="0"/>
          <w:numId w:val="4"/>
        </w:numPr>
        <w:tabs>
          <w:tab w:val="left" w:pos="-720"/>
        </w:tabs>
        <w:suppressAutoHyphens/>
        <w:ind w:hanging="540"/>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AB6AE1" w:rsidRPr="002329F7" w:rsidP="00AB6AE1" w14:paraId="11E8DE86" w14:textId="77777777">
      <w:pPr>
        <w:tabs>
          <w:tab w:val="left" w:pos="-720"/>
        </w:tabs>
        <w:suppressAutoHyphens/>
        <w:ind w:left="720"/>
        <w:rPr>
          <w:rFonts w:asciiTheme="minorHAnsi" w:hAnsiTheme="minorHAnsi" w:cstheme="minorHAnsi"/>
          <w:szCs w:val="24"/>
        </w:rPr>
      </w:pPr>
      <w:r w:rsidRPr="002329F7">
        <w:rPr>
          <w:rFonts w:asciiTheme="minorHAnsi" w:hAnsiTheme="minorHAnsi" w:cstheme="minorHAnsi"/>
          <w:szCs w:val="24"/>
        </w:rPr>
        <w:t xml:space="preserve">If this collection is not conducted, Perkins loans would not be able to be assigned.  The frequency and timing of reporting will vary with the reason the institution is reporting the information.  </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274B77" w14:paraId="64280E66" w14:textId="77777777">
      <w:pPr>
        <w:pStyle w:val="ListParagraph"/>
        <w:numPr>
          <w:ilvl w:val="0"/>
          <w:numId w:val="4"/>
        </w:numPr>
        <w:tabs>
          <w:tab w:val="left" w:pos="-720"/>
        </w:tabs>
        <w:suppressAutoHyphens/>
        <w:ind w:hanging="540"/>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100B1E"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100B1E"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100B1E"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100B1E"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100B1E"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100B1E"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100B1E"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100B1E"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AB6AE1" w:rsidRPr="002329F7" w:rsidP="00AB6AE1" w14:paraId="1C578ABA" w14:textId="77777777">
      <w:pPr>
        <w:pStyle w:val="BodyTextIndent"/>
        <w:rPr>
          <w:rFonts w:asciiTheme="minorHAnsi" w:hAnsiTheme="minorHAnsi" w:cstheme="minorHAnsi"/>
        </w:rPr>
      </w:pPr>
      <w:r w:rsidRPr="002329F7">
        <w:rPr>
          <w:rFonts w:asciiTheme="minorHAnsi" w:hAnsiTheme="minorHAnsi" w:cstheme="minorHAnsi"/>
        </w:rPr>
        <w:t>This information collection does not involve any of these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274B77" w14:paraId="64280E79" w14:textId="77777777">
      <w:pPr>
        <w:pStyle w:val="ListParagraph"/>
        <w:numPr>
          <w:ilvl w:val="0"/>
          <w:numId w:val="5"/>
        </w:numPr>
        <w:tabs>
          <w:tab w:val="left" w:pos="-720"/>
          <w:tab w:val="left" w:pos="180"/>
        </w:tabs>
        <w:suppressAutoHyphens/>
        <w:ind w:hanging="540"/>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100B1E"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100B1E"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100B1E"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100B1E"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100B1E" w14:paraId="64280E7F" w14:textId="77777777">
      <w:pPr>
        <w:tabs>
          <w:tab w:val="left" w:pos="-720"/>
        </w:tabs>
        <w:suppressAutoHyphens/>
        <w:ind w:left="720"/>
        <w:rPr>
          <w:rStyle w:val="a"/>
          <w:rFonts w:ascii="Times New Roman" w:hAnsi="Times New Roman"/>
          <w:b/>
          <w:szCs w:val="24"/>
        </w:rPr>
      </w:pPr>
    </w:p>
    <w:p w:rsidR="00043C32" w:rsidP="00100B1E"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w:t>
      </w:r>
      <w:r w:rsidRPr="00AD381B">
        <w:rPr>
          <w:rStyle w:val="a"/>
          <w:rFonts w:ascii="Times New Roman" w:hAnsi="Times New Roman"/>
          <w:b/>
          <w:szCs w:val="24"/>
        </w:rPr>
        <w:t>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AB6AE1" w:rsidRPr="002329F7" w:rsidP="00AB6AE1" w14:paraId="04302221" w14:textId="77777777">
      <w:pPr>
        <w:pStyle w:val="BodyTextIndent"/>
        <w:rPr>
          <w:rFonts w:asciiTheme="minorHAnsi" w:hAnsiTheme="minorHAnsi" w:cstheme="minorHAnsi"/>
        </w:rPr>
      </w:pPr>
      <w:r w:rsidRPr="002329F7">
        <w:rPr>
          <w:rFonts w:asciiTheme="minorHAnsi" w:hAnsiTheme="minorHAnsi" w:cstheme="minorHAnsi"/>
        </w:rPr>
        <w:t>The Department receives input from the schools participating in the Perkins Loan program through numerous conferences attended by Department employees, such as the National Association of College and University Business Offices (NACUBO), the National Association of Student Financial Aid Administrators (NASFAA), and the Coalition of Higher Education Assistance Organizations (COHEAO) conferences. COHEAO represents Perkins schools, Perkins loan servicers, and Perkins loan collection agents.</w:t>
      </w:r>
    </w:p>
    <w:p w:rsidR="006F1B1D" w:rsidRPr="002329F7" w:rsidP="00AB6AE1" w14:paraId="001E05E6" w14:textId="77777777">
      <w:pPr>
        <w:pStyle w:val="BodyTextIndent"/>
        <w:rPr>
          <w:rFonts w:asciiTheme="minorHAnsi" w:hAnsiTheme="minorHAnsi" w:cstheme="minorHAnsi"/>
        </w:rPr>
      </w:pPr>
    </w:p>
    <w:p w:rsidR="00AE5CAB" w:rsidP="00AB6AE1" w14:paraId="522E974E" w14:textId="1C46B07C">
      <w:pPr>
        <w:tabs>
          <w:tab w:val="left" w:pos="-720"/>
        </w:tabs>
        <w:suppressAutoHyphens/>
        <w:ind w:left="720"/>
        <w:rPr>
          <w:rFonts w:asciiTheme="minorHAnsi" w:hAnsiTheme="minorHAnsi" w:cstheme="minorHAnsi"/>
          <w:szCs w:val="24"/>
        </w:rPr>
      </w:pPr>
      <w:r>
        <w:rPr>
          <w:rFonts w:asciiTheme="minorHAnsi" w:hAnsiTheme="minorHAnsi" w:cstheme="minorHAnsi"/>
          <w:szCs w:val="24"/>
        </w:rPr>
        <w:t>On April 24, 2024, a Federal Register notice was filed (89 FR 31187) inviting the public to review this information collection during the 60-day public comment period.  The comment period expired June 24, 2024, and three non-substantive comments were received.  There is no change to the form or the number of respondents/responses/burden hours based on the comments or internal Department review.</w:t>
      </w:r>
    </w:p>
    <w:p w:rsidR="00AE5CAB" w:rsidP="00AB6AE1" w14:paraId="2DEAD11D" w14:textId="77777777">
      <w:pPr>
        <w:tabs>
          <w:tab w:val="left" w:pos="-720"/>
        </w:tabs>
        <w:suppressAutoHyphens/>
        <w:ind w:left="720"/>
        <w:rPr>
          <w:rFonts w:asciiTheme="minorHAnsi" w:hAnsiTheme="minorHAnsi" w:cstheme="minorHAnsi"/>
          <w:szCs w:val="24"/>
        </w:rPr>
      </w:pPr>
    </w:p>
    <w:p w:rsidR="005F4E11" w:rsidP="00AB6AE1" w14:paraId="477C84F0" w14:textId="0B6AF18A">
      <w:pPr>
        <w:tabs>
          <w:tab w:val="left" w:pos="-720"/>
        </w:tabs>
        <w:suppressAutoHyphens/>
        <w:ind w:left="720"/>
        <w:rPr>
          <w:rFonts w:asciiTheme="minorHAnsi" w:hAnsiTheme="minorHAnsi" w:cstheme="minorHAnsi"/>
          <w:szCs w:val="24"/>
        </w:rPr>
      </w:pPr>
      <w:r w:rsidRPr="002329F7">
        <w:rPr>
          <w:rFonts w:asciiTheme="minorHAnsi" w:hAnsiTheme="minorHAnsi" w:cstheme="minorHAnsi"/>
          <w:szCs w:val="24"/>
        </w:rPr>
        <w:t xml:space="preserve">The Department </w:t>
      </w:r>
      <w:r w:rsidR="00AC59EF">
        <w:rPr>
          <w:rFonts w:asciiTheme="minorHAnsi" w:hAnsiTheme="minorHAnsi" w:cstheme="minorHAnsi"/>
          <w:szCs w:val="24"/>
        </w:rPr>
        <w:t>is now</w:t>
      </w:r>
      <w:r w:rsidR="00643088">
        <w:rPr>
          <w:rFonts w:asciiTheme="minorHAnsi" w:hAnsiTheme="minorHAnsi" w:cstheme="minorHAnsi"/>
          <w:szCs w:val="24"/>
        </w:rPr>
        <w:t xml:space="preserve"> requesting a 30-day</w:t>
      </w:r>
      <w:r w:rsidRPr="002329F7">
        <w:rPr>
          <w:rFonts w:asciiTheme="minorHAnsi" w:hAnsiTheme="minorHAnsi" w:cstheme="minorHAnsi"/>
          <w:szCs w:val="24"/>
        </w:rPr>
        <w:t xml:space="preserve"> notice be published in the Federal Register </w:t>
      </w:r>
      <w:r w:rsidR="006F1B1D">
        <w:rPr>
          <w:rFonts w:asciiTheme="minorHAnsi" w:hAnsiTheme="minorHAnsi" w:cstheme="minorHAnsi"/>
          <w:szCs w:val="24"/>
        </w:rPr>
        <w:t>calling for</w:t>
      </w:r>
      <w:r w:rsidRPr="002329F7" w:rsidR="006F1B1D">
        <w:rPr>
          <w:rFonts w:asciiTheme="minorHAnsi" w:hAnsiTheme="minorHAnsi" w:cstheme="minorHAnsi"/>
          <w:szCs w:val="24"/>
        </w:rPr>
        <w:t xml:space="preserve"> </w:t>
      </w:r>
      <w:r w:rsidRPr="002329F7">
        <w:rPr>
          <w:rFonts w:asciiTheme="minorHAnsi" w:hAnsiTheme="minorHAnsi" w:cstheme="minorHAnsi"/>
          <w:szCs w:val="24"/>
        </w:rPr>
        <w:t xml:space="preserve">public comment.  </w:t>
      </w:r>
    </w:p>
    <w:p w:rsidR="00AB6AE1" w:rsidP="00AB6AE1" w14:paraId="10F1B212" w14:textId="77777777">
      <w:pPr>
        <w:tabs>
          <w:tab w:val="left" w:pos="-720"/>
        </w:tabs>
        <w:suppressAutoHyphens/>
        <w:ind w:left="720"/>
        <w:rPr>
          <w:rFonts w:ascii="Times New Roman" w:hAnsi="Times New Roman"/>
          <w:szCs w:val="24"/>
        </w:rPr>
      </w:pPr>
    </w:p>
    <w:p w:rsidR="00043C32" w:rsidP="00100B1E"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AB6AE1" w:rsidRPr="002329F7" w:rsidP="00AB6AE1" w14:paraId="0103AC36" w14:textId="77777777">
      <w:pPr>
        <w:tabs>
          <w:tab w:val="left" w:pos="-720"/>
        </w:tabs>
        <w:suppressAutoHyphens/>
        <w:ind w:left="720"/>
        <w:rPr>
          <w:rFonts w:asciiTheme="minorHAnsi" w:hAnsiTheme="minorHAnsi" w:cstheme="minorHAnsi"/>
          <w:szCs w:val="24"/>
        </w:rPr>
      </w:pPr>
      <w:r w:rsidRPr="002329F7">
        <w:rPr>
          <w:rFonts w:asciiTheme="minorHAnsi" w:hAnsiTheme="minorHAnsi" w:cstheme="minorHAnsi"/>
          <w:szCs w:val="24"/>
        </w:rPr>
        <w:t>The Department provides no payment or gifts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100B1E"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w:t>
      </w:r>
      <w:r w:rsidR="00F31BEC">
        <w:rPr>
          <w:rFonts w:ascii="Times New Roman" w:hAnsi="Times New Roman"/>
          <w:b/>
          <w:szCs w:val="24"/>
        </w:rPr>
        <w:t>ensure that your response per respondent matches the estimate provided in number 12.</w:t>
      </w:r>
    </w:p>
    <w:p w:rsidR="00920F63" w:rsidP="00100B1E" w14:paraId="64280E87" w14:textId="08ED8571">
      <w:pPr>
        <w:tabs>
          <w:tab w:val="left" w:pos="-720"/>
        </w:tabs>
        <w:suppressAutoHyphens/>
        <w:ind w:left="720"/>
        <w:rPr>
          <w:rFonts w:ascii="Times New Roman" w:hAnsi="Times New Roman"/>
          <w:bCs/>
          <w:szCs w:val="24"/>
        </w:rPr>
      </w:pPr>
    </w:p>
    <w:p w:rsidR="00AB6AE1" w:rsidRPr="002329F7" w:rsidP="00AB6AE1" w14:paraId="05D2DEEC" w14:textId="3345CBD8">
      <w:pPr>
        <w:pStyle w:val="BodyTextIndent"/>
        <w:rPr>
          <w:rFonts w:asciiTheme="minorHAnsi" w:hAnsiTheme="minorHAnsi" w:cstheme="minorHAnsi"/>
        </w:rPr>
      </w:pPr>
      <w:r w:rsidRPr="002329F7">
        <w:rPr>
          <w:rFonts w:asciiTheme="minorHAnsi" w:hAnsiTheme="minorHAnsi" w:cstheme="minorHAnsi"/>
        </w:rPr>
        <w:t xml:space="preserve">The Department will comply with the Privacy Act on the </w:t>
      </w:r>
      <w:r w:rsidR="0023725B">
        <w:rPr>
          <w:rFonts w:asciiTheme="minorHAnsi" w:hAnsiTheme="minorHAnsi" w:cstheme="minorHAnsi"/>
        </w:rPr>
        <w:t xml:space="preserve">Perkins Loan </w:t>
      </w:r>
      <w:r w:rsidRPr="002329F7">
        <w:rPr>
          <w:rFonts w:asciiTheme="minorHAnsi" w:hAnsiTheme="minorHAnsi" w:cstheme="minorHAnsi"/>
        </w:rPr>
        <w:t xml:space="preserve">applications </w:t>
      </w:r>
      <w:r w:rsidR="0023725B">
        <w:rPr>
          <w:rFonts w:asciiTheme="minorHAnsi" w:hAnsiTheme="minorHAnsi" w:cstheme="minorHAnsi"/>
        </w:rPr>
        <w:t>for</w:t>
      </w:r>
      <w:r w:rsidRPr="002329F7">
        <w:rPr>
          <w:rFonts w:asciiTheme="minorHAnsi" w:hAnsiTheme="minorHAnsi" w:cstheme="minorHAnsi"/>
        </w:rPr>
        <w:t xml:space="preserve"> information collected through the Perkins Assignment Form.  This information collection does not include a Privacy Act Notice to borrowers because borrowers are not providing this information to the Department but to their schools, which must comply with the Family Education Rights and Privacy Act (FERPA).  When the Department receives this information further disclosure is restricted under our current systems of records notice, which identifies the third parties to whom the information may be disclosed and explains the circumstances under which such disclosures may occur.</w:t>
      </w:r>
      <w:r w:rsidR="00455327">
        <w:rPr>
          <w:rFonts w:asciiTheme="minorHAnsi" w:hAnsiTheme="minorHAnsi" w:cstheme="minorHAnsi"/>
        </w:rPr>
        <w:t xml:space="preserve">  The information in this ICR is included in the Common Services for Borrowers SORN</w:t>
      </w:r>
      <w:r w:rsidR="00643088">
        <w:rPr>
          <w:rFonts w:asciiTheme="minorHAnsi" w:hAnsiTheme="minorHAnsi" w:cstheme="minorHAnsi"/>
        </w:rPr>
        <w:t xml:space="preserve"> (Vol. 88, FR 48449, 7/27/2023)</w:t>
      </w:r>
      <w:r w:rsidR="00455327">
        <w:rPr>
          <w:rFonts w:asciiTheme="minorHAnsi" w:hAnsiTheme="minorHAnsi" w:cstheme="minorHAnsi"/>
        </w:rPr>
        <w:t>.</w:t>
      </w:r>
    </w:p>
    <w:p w:rsidR="00920F63" w:rsidRPr="005F4E11" w:rsidP="005F4E11" w14:paraId="64280E88" w14:textId="77777777">
      <w:pPr>
        <w:tabs>
          <w:tab w:val="left" w:pos="-720"/>
        </w:tabs>
        <w:suppressAutoHyphens/>
        <w:ind w:left="720"/>
        <w:rPr>
          <w:rFonts w:ascii="Times New Roman" w:hAnsi="Times New Roman"/>
          <w:bCs/>
          <w:szCs w:val="24"/>
        </w:rPr>
      </w:pPr>
    </w:p>
    <w:p w:rsidR="00043C32" w:rsidP="00100B1E"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100B1E" w14:paraId="64280E8A" w14:textId="6031739C">
      <w:pPr>
        <w:tabs>
          <w:tab w:val="left" w:pos="-720"/>
        </w:tabs>
        <w:suppressAutoHyphens/>
        <w:ind w:left="720"/>
        <w:rPr>
          <w:rFonts w:ascii="Times New Roman" w:hAnsi="Times New Roman"/>
          <w:bCs/>
          <w:szCs w:val="24"/>
        </w:rPr>
      </w:pPr>
    </w:p>
    <w:p w:rsidR="00AB6AE1" w:rsidRPr="002329F7" w:rsidP="00AB6AE1" w14:paraId="09DCD601" w14:textId="77777777">
      <w:pPr>
        <w:pStyle w:val="BodyTextIndent"/>
        <w:rPr>
          <w:rFonts w:asciiTheme="minorHAnsi" w:hAnsiTheme="minorHAnsi" w:cstheme="minorHAnsi"/>
        </w:rPr>
      </w:pPr>
      <w:r w:rsidRPr="002329F7">
        <w:rPr>
          <w:rFonts w:asciiTheme="minorHAnsi" w:hAnsiTheme="minorHAnsi" w:cstheme="minorHAnsi"/>
        </w:rPr>
        <w:t>The Department is not requesting any sensitive data as described above in this collection package.</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100B1E"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C224FD" w:rsidP="00100B1E"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100B1E"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100B1E"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100B1E"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100B1E"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w:t>
      </w:r>
      <w:r w:rsidRPr="00920F63">
        <w:rPr>
          <w:rStyle w:val="a"/>
          <w:rFonts w:ascii="Times New Roman" w:hAnsi="Times New Roman"/>
          <w:b/>
          <w:szCs w:val="24"/>
        </w:rPr>
        <w:t>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AB6AE1" w:rsidRPr="002329F7" w:rsidP="00100B1E" w14:paraId="10095D59" w14:textId="77777777">
      <w:pPr>
        <w:suppressAutoHyphens/>
        <w:ind w:left="720"/>
        <w:rPr>
          <w:rFonts w:asciiTheme="minorHAnsi" w:hAnsiTheme="minorHAnsi" w:cstheme="minorHAnsi"/>
          <w:szCs w:val="24"/>
        </w:rPr>
      </w:pPr>
    </w:p>
    <w:p w:rsidR="00920F63" w:rsidP="00AB6AE1" w14:paraId="64280E95" w14:textId="019AD66D">
      <w:pPr>
        <w:pStyle w:val="ListParagraph"/>
        <w:tabs>
          <w:tab w:val="left" w:pos="-720"/>
        </w:tabs>
        <w:suppressAutoHyphens/>
        <w:rPr>
          <w:rFonts w:asciiTheme="minorHAnsi" w:hAnsiTheme="minorHAnsi" w:cstheme="minorHAnsi"/>
          <w:szCs w:val="24"/>
        </w:rPr>
      </w:pPr>
      <w:r w:rsidRPr="002329F7">
        <w:rPr>
          <w:rFonts w:asciiTheme="minorHAnsi" w:hAnsiTheme="minorHAnsi" w:cstheme="minorHAnsi"/>
          <w:szCs w:val="24"/>
        </w:rPr>
        <w:t xml:space="preserve">The total number of Perkins loan assignment forms received by the Department in </w:t>
      </w:r>
      <w:r w:rsidRPr="002329F7" w:rsidR="00E22847">
        <w:rPr>
          <w:rFonts w:asciiTheme="minorHAnsi" w:hAnsiTheme="minorHAnsi" w:cstheme="minorHAnsi"/>
          <w:szCs w:val="24"/>
        </w:rPr>
        <w:t>20</w:t>
      </w:r>
      <w:r w:rsidR="00E22847">
        <w:rPr>
          <w:rFonts w:asciiTheme="minorHAnsi" w:hAnsiTheme="minorHAnsi" w:cstheme="minorHAnsi"/>
          <w:szCs w:val="24"/>
        </w:rPr>
        <w:t>23</w:t>
      </w:r>
      <w:r w:rsidRPr="002329F7" w:rsidR="00E22847">
        <w:rPr>
          <w:rFonts w:asciiTheme="minorHAnsi" w:hAnsiTheme="minorHAnsi" w:cstheme="minorHAnsi"/>
          <w:szCs w:val="24"/>
        </w:rPr>
        <w:t xml:space="preserve"> </w:t>
      </w:r>
      <w:r w:rsidRPr="002329F7">
        <w:rPr>
          <w:rFonts w:asciiTheme="minorHAnsi" w:hAnsiTheme="minorHAnsi" w:cstheme="minorHAnsi"/>
          <w:szCs w:val="24"/>
        </w:rPr>
        <w:t xml:space="preserve">was </w:t>
      </w:r>
      <w:r w:rsidRPr="00E22847" w:rsidR="00E22847">
        <w:rPr>
          <w:rFonts w:asciiTheme="minorHAnsi" w:hAnsiTheme="minorHAnsi" w:cstheme="minorHAnsi"/>
          <w:szCs w:val="24"/>
        </w:rPr>
        <w:t>144</w:t>
      </w:r>
      <w:r w:rsidR="00E22847">
        <w:rPr>
          <w:rFonts w:asciiTheme="minorHAnsi" w:hAnsiTheme="minorHAnsi" w:cstheme="minorHAnsi"/>
          <w:szCs w:val="24"/>
        </w:rPr>
        <w:t>,</w:t>
      </w:r>
      <w:r w:rsidRPr="00E22847" w:rsidR="00E22847">
        <w:rPr>
          <w:rFonts w:asciiTheme="minorHAnsi" w:hAnsiTheme="minorHAnsi" w:cstheme="minorHAnsi"/>
          <w:szCs w:val="24"/>
        </w:rPr>
        <w:t>1</w:t>
      </w:r>
      <w:r w:rsidR="008C7764">
        <w:rPr>
          <w:rFonts w:asciiTheme="minorHAnsi" w:hAnsiTheme="minorHAnsi" w:cstheme="minorHAnsi"/>
          <w:szCs w:val="24"/>
        </w:rPr>
        <w:t>14</w:t>
      </w:r>
      <w:r w:rsidRPr="002329F7">
        <w:rPr>
          <w:rFonts w:asciiTheme="minorHAnsi" w:hAnsiTheme="minorHAnsi" w:cstheme="minorHAnsi"/>
          <w:szCs w:val="24"/>
        </w:rPr>
        <w:t xml:space="preserve">.  Of these there were </w:t>
      </w:r>
      <w:r w:rsidRPr="00544DFF" w:rsidR="00544DFF">
        <w:rPr>
          <w:rFonts w:asciiTheme="minorHAnsi" w:hAnsiTheme="minorHAnsi" w:cstheme="minorHAnsi"/>
          <w:szCs w:val="24"/>
        </w:rPr>
        <w:t>137</w:t>
      </w:r>
      <w:r w:rsidR="00544DFF">
        <w:rPr>
          <w:rFonts w:asciiTheme="minorHAnsi" w:hAnsiTheme="minorHAnsi" w:cstheme="minorHAnsi"/>
          <w:szCs w:val="24"/>
        </w:rPr>
        <w:t>,</w:t>
      </w:r>
      <w:r w:rsidRPr="00544DFF" w:rsidR="008C7764">
        <w:rPr>
          <w:rFonts w:asciiTheme="minorHAnsi" w:hAnsiTheme="minorHAnsi" w:cstheme="minorHAnsi"/>
          <w:szCs w:val="24"/>
        </w:rPr>
        <w:t xml:space="preserve"> </w:t>
      </w:r>
      <w:r w:rsidR="008C7764">
        <w:rPr>
          <w:rFonts w:asciiTheme="minorHAnsi" w:hAnsiTheme="minorHAnsi" w:cstheme="minorHAnsi"/>
          <w:szCs w:val="24"/>
        </w:rPr>
        <w:t>479</w:t>
      </w:r>
      <w:r w:rsidRPr="002329F7">
        <w:rPr>
          <w:rFonts w:asciiTheme="minorHAnsi" w:hAnsiTheme="minorHAnsi" w:cstheme="minorHAnsi"/>
          <w:szCs w:val="24"/>
        </w:rPr>
        <w:t xml:space="preserve"> assignment forms accepted for processing by the Department.  The estimated response time to complete the form in this submission is 0.5 hours (30 minutes).  </w:t>
      </w:r>
    </w:p>
    <w:p w:rsidR="00AB6AE1" w:rsidP="00AB6AE1" w14:paraId="6EC730F7" w14:textId="77777777">
      <w:pPr>
        <w:pStyle w:val="ListParagraph"/>
        <w:tabs>
          <w:tab w:val="left" w:pos="-720"/>
        </w:tabs>
        <w:suppressAutoHyphens/>
        <w:rPr>
          <w:rStyle w:val="a"/>
          <w:rFonts w:ascii="Times New Roman" w:hAnsi="Times New Roman"/>
          <w:szCs w:val="24"/>
        </w:rPr>
      </w:pPr>
    </w:p>
    <w:p w:rsidR="00ED7195" w:rsidRPr="00920F63" w:rsidP="00756FD3"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1080"/>
        <w:gridCol w:w="1350"/>
        <w:gridCol w:w="1350"/>
      </w:tblGrid>
      <w:tr w14:paraId="64280EAE" w14:textId="77777777" w:rsidTr="00E702D4">
        <w:tblPrEx>
          <w:tblW w:w="8815" w:type="dxa"/>
          <w:tblLayout w:type="fixed"/>
          <w:tblLook w:val="0020"/>
        </w:tblPrEx>
        <w:trPr>
          <w:tblHeader/>
        </w:trPr>
        <w:tc>
          <w:tcPr>
            <w:tcW w:w="1345" w:type="dxa"/>
          </w:tcPr>
          <w:p w:rsidR="00E702D4" w:rsidRPr="007F6104" w:rsidP="00100B1E"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E702D4" w:rsidRPr="007F6104" w:rsidP="00100B1E" w14:paraId="64280EA0" w14:textId="618F2360">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702D4" w:rsidRPr="007F6104" w:rsidP="00100B1E"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702D4" w:rsidRPr="007F6104" w:rsidP="00100B1E"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E702D4" w:rsidRPr="007F6104" w:rsidP="00100B1E" w14:paraId="64280EA7"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E702D4" w:rsidRPr="007F6104" w:rsidP="00100B1E"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702D4" w:rsidRPr="007F6104" w:rsidP="00100B1E"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C2" w14:textId="77777777" w:rsidTr="00E702D4">
        <w:tblPrEx>
          <w:tblW w:w="8815" w:type="dxa"/>
          <w:tblLayout w:type="fixed"/>
          <w:tblLook w:val="0020"/>
        </w:tblPrEx>
        <w:tc>
          <w:tcPr>
            <w:tcW w:w="1345" w:type="dxa"/>
          </w:tcPr>
          <w:p w:rsidR="00E702D4" w:rsidRPr="00AA5138" w:rsidP="00AA5138"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00E702D4" w:rsidRPr="00AA5138" w:rsidP="00E702D4" w14:paraId="64280EBC" w14:textId="1ED4F326">
            <w:pPr>
              <w:jc w:val="right"/>
              <w:rPr>
                <w:rFonts w:asciiTheme="minorHAnsi" w:hAnsiTheme="minorHAnsi" w:cstheme="minorHAnsi"/>
                <w:szCs w:val="24"/>
              </w:rPr>
            </w:pPr>
            <w:r>
              <w:rPr>
                <w:rFonts w:asciiTheme="minorHAnsi" w:hAnsiTheme="minorHAnsi" w:cstheme="minorHAnsi"/>
                <w:szCs w:val="24"/>
              </w:rPr>
              <w:t>21</w:t>
            </w:r>
          </w:p>
        </w:tc>
        <w:tc>
          <w:tcPr>
            <w:tcW w:w="1080" w:type="dxa"/>
          </w:tcPr>
          <w:p w:rsidR="008C7764" w:rsidRPr="00AA5138" w:rsidP="00100B1E" w14:paraId="64280EBD" w14:textId="0F580AA3">
            <w:pPr>
              <w:jc w:val="right"/>
              <w:rPr>
                <w:rFonts w:asciiTheme="minorHAnsi" w:hAnsiTheme="minorHAnsi" w:cstheme="minorHAnsi"/>
                <w:szCs w:val="24"/>
              </w:rPr>
            </w:pPr>
            <w:r>
              <w:rPr>
                <w:rFonts w:asciiTheme="minorHAnsi" w:hAnsiTheme="minorHAnsi" w:cstheme="minorHAnsi"/>
                <w:szCs w:val="24"/>
              </w:rPr>
              <w:t>7,747</w:t>
            </w:r>
          </w:p>
        </w:tc>
        <w:tc>
          <w:tcPr>
            <w:tcW w:w="1335" w:type="dxa"/>
          </w:tcPr>
          <w:p w:rsidR="00E702D4" w:rsidRPr="00AA5138" w:rsidP="00E702D4" w14:paraId="64280EBE" w14:textId="3A7E4DFE">
            <w:pPr>
              <w:jc w:val="center"/>
              <w:rPr>
                <w:rFonts w:asciiTheme="minorHAnsi" w:hAnsiTheme="minorHAnsi" w:cstheme="minorHAnsi"/>
                <w:szCs w:val="24"/>
              </w:rPr>
            </w:pPr>
            <w:r>
              <w:rPr>
                <w:rFonts w:asciiTheme="minorHAnsi" w:hAnsiTheme="minorHAnsi" w:cstheme="minorHAnsi"/>
                <w:szCs w:val="24"/>
              </w:rPr>
              <w:t>0.5</w:t>
            </w:r>
          </w:p>
        </w:tc>
        <w:tc>
          <w:tcPr>
            <w:tcW w:w="1080" w:type="dxa"/>
          </w:tcPr>
          <w:p w:rsidR="00A35905" w:rsidRPr="00AA5138" w:rsidP="00E702D4" w14:paraId="64280EBF" w14:textId="038E5E1A">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3,874</w:t>
            </w:r>
          </w:p>
        </w:tc>
        <w:tc>
          <w:tcPr>
            <w:tcW w:w="1350" w:type="dxa"/>
          </w:tcPr>
          <w:p w:rsidR="00FE2ABD" w:rsidRPr="00AA5138" w:rsidP="00E702D4" w14:paraId="64280EC0" w14:textId="146742C3">
            <w:pPr>
              <w:jc w:val="right"/>
              <w:rPr>
                <w:rFonts w:asciiTheme="minorHAnsi" w:hAnsiTheme="minorHAnsi" w:cstheme="minorHAnsi"/>
                <w:szCs w:val="24"/>
              </w:rPr>
            </w:pPr>
            <w:r>
              <w:rPr>
                <w:rFonts w:asciiTheme="minorHAnsi" w:hAnsiTheme="minorHAnsi" w:cstheme="minorHAnsi"/>
                <w:szCs w:val="24"/>
              </w:rPr>
              <w:t>$5</w:t>
            </w:r>
            <w:r w:rsidR="004B541C">
              <w:rPr>
                <w:rFonts w:asciiTheme="minorHAnsi" w:hAnsiTheme="minorHAnsi" w:cstheme="minorHAnsi"/>
                <w:szCs w:val="24"/>
              </w:rPr>
              <w:t>5.38</w:t>
            </w:r>
          </w:p>
        </w:tc>
        <w:tc>
          <w:tcPr>
            <w:tcW w:w="1350" w:type="dxa"/>
          </w:tcPr>
          <w:p w:rsidR="003263B6" w:rsidRPr="00AA5138" w:rsidP="00E702D4" w14:paraId="64280EC1" w14:textId="5721DBEB">
            <w:pPr>
              <w:jc w:val="right"/>
              <w:rPr>
                <w:rFonts w:asciiTheme="minorHAnsi" w:hAnsiTheme="minorHAnsi" w:cstheme="minorHAnsi"/>
                <w:szCs w:val="24"/>
              </w:rPr>
            </w:pPr>
            <w:r>
              <w:rPr>
                <w:rFonts w:asciiTheme="minorHAnsi" w:hAnsiTheme="minorHAnsi" w:cstheme="minorHAnsi"/>
                <w:szCs w:val="24"/>
              </w:rPr>
              <w:t>$214,542</w:t>
            </w:r>
          </w:p>
        </w:tc>
      </w:tr>
      <w:tr w14:paraId="64280ECC" w14:textId="77777777" w:rsidTr="00E702D4">
        <w:tblPrEx>
          <w:tblW w:w="8815" w:type="dxa"/>
          <w:tblLayout w:type="fixed"/>
          <w:tblLook w:val="0020"/>
        </w:tblPrEx>
        <w:tc>
          <w:tcPr>
            <w:tcW w:w="1345" w:type="dxa"/>
          </w:tcPr>
          <w:p w:rsidR="00E702D4" w:rsidRPr="00AA5138" w:rsidP="00AA5138"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00E702D4" w:rsidRPr="00AA5138" w:rsidP="00E702D4" w14:paraId="64280EC6" w14:textId="24B0D48A">
            <w:pPr>
              <w:jc w:val="right"/>
              <w:rPr>
                <w:rFonts w:asciiTheme="minorHAnsi" w:hAnsiTheme="minorHAnsi" w:cstheme="minorHAnsi"/>
                <w:szCs w:val="24"/>
              </w:rPr>
            </w:pPr>
            <w:r>
              <w:rPr>
                <w:rFonts w:asciiTheme="minorHAnsi" w:hAnsiTheme="minorHAnsi" w:cstheme="minorHAnsi"/>
                <w:szCs w:val="24"/>
              </w:rPr>
              <w:t>619</w:t>
            </w:r>
          </w:p>
        </w:tc>
        <w:tc>
          <w:tcPr>
            <w:tcW w:w="1080" w:type="dxa"/>
          </w:tcPr>
          <w:p w:rsidR="008C7764" w:rsidRPr="00AA5138" w:rsidP="00100B1E" w14:paraId="64280EC7" w14:textId="477D03A7">
            <w:pPr>
              <w:jc w:val="right"/>
              <w:rPr>
                <w:rFonts w:asciiTheme="minorHAnsi" w:hAnsiTheme="minorHAnsi" w:cstheme="minorHAnsi"/>
                <w:szCs w:val="24"/>
              </w:rPr>
            </w:pPr>
            <w:r>
              <w:rPr>
                <w:rFonts w:asciiTheme="minorHAnsi" w:hAnsiTheme="minorHAnsi" w:cstheme="minorHAnsi"/>
                <w:szCs w:val="24"/>
              </w:rPr>
              <w:t>78</w:t>
            </w:r>
            <w:r w:rsidR="00DF1C1D">
              <w:rPr>
                <w:rFonts w:asciiTheme="minorHAnsi" w:hAnsiTheme="minorHAnsi" w:cstheme="minorHAnsi"/>
                <w:szCs w:val="24"/>
              </w:rPr>
              <w:t>,</w:t>
            </w:r>
            <w:r>
              <w:rPr>
                <w:rFonts w:asciiTheme="minorHAnsi" w:hAnsiTheme="minorHAnsi" w:cstheme="minorHAnsi"/>
                <w:szCs w:val="24"/>
              </w:rPr>
              <w:t>8</w:t>
            </w:r>
            <w:r w:rsidR="00DF1C1D">
              <w:rPr>
                <w:rFonts w:asciiTheme="minorHAnsi" w:hAnsiTheme="minorHAnsi" w:cstheme="minorHAnsi"/>
                <w:szCs w:val="24"/>
              </w:rPr>
              <w:t>68</w:t>
            </w:r>
          </w:p>
        </w:tc>
        <w:tc>
          <w:tcPr>
            <w:tcW w:w="1335" w:type="dxa"/>
          </w:tcPr>
          <w:p w:rsidR="00E702D4" w:rsidRPr="00AA5138" w:rsidP="00AA5138" w14:paraId="64280EC8" w14:textId="72AC986D">
            <w:pPr>
              <w:jc w:val="center"/>
              <w:rPr>
                <w:rFonts w:asciiTheme="minorHAnsi" w:hAnsiTheme="minorHAnsi" w:cstheme="minorHAnsi"/>
                <w:szCs w:val="24"/>
              </w:rPr>
            </w:pPr>
            <w:r>
              <w:rPr>
                <w:rFonts w:asciiTheme="minorHAnsi" w:hAnsiTheme="minorHAnsi" w:cstheme="minorHAnsi"/>
                <w:szCs w:val="24"/>
              </w:rPr>
              <w:t>0.5</w:t>
            </w:r>
          </w:p>
        </w:tc>
        <w:tc>
          <w:tcPr>
            <w:tcW w:w="1080" w:type="dxa"/>
          </w:tcPr>
          <w:p w:rsidR="00A35905" w:rsidRPr="00AA5138" w:rsidP="00E702D4" w14:paraId="64280EC9" w14:textId="6C10D64B">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39,434</w:t>
            </w:r>
          </w:p>
        </w:tc>
        <w:tc>
          <w:tcPr>
            <w:tcW w:w="1350" w:type="dxa"/>
          </w:tcPr>
          <w:p w:rsidR="00E702D4" w:rsidRPr="00AA5138" w:rsidP="00100B1E" w14:paraId="64280ECA" w14:textId="219A2CF5">
            <w:pPr>
              <w:jc w:val="right"/>
              <w:rPr>
                <w:rFonts w:asciiTheme="minorHAnsi" w:hAnsiTheme="minorHAnsi" w:cstheme="minorHAnsi"/>
                <w:szCs w:val="24"/>
              </w:rPr>
            </w:pPr>
            <w:r>
              <w:rPr>
                <w:rFonts w:asciiTheme="minorHAnsi" w:hAnsiTheme="minorHAnsi" w:cstheme="minorHAnsi"/>
                <w:szCs w:val="24"/>
              </w:rPr>
              <w:t>$5</w:t>
            </w:r>
            <w:r w:rsidR="004B541C">
              <w:rPr>
                <w:rFonts w:asciiTheme="minorHAnsi" w:hAnsiTheme="minorHAnsi" w:cstheme="minorHAnsi"/>
                <w:szCs w:val="24"/>
              </w:rPr>
              <w:t>5.38</w:t>
            </w:r>
          </w:p>
        </w:tc>
        <w:tc>
          <w:tcPr>
            <w:tcW w:w="1350" w:type="dxa"/>
          </w:tcPr>
          <w:p w:rsidR="003263B6" w:rsidRPr="00AA5138" w:rsidP="00E702D4" w14:paraId="64280ECB" w14:textId="0F142CF2">
            <w:pPr>
              <w:jc w:val="right"/>
              <w:rPr>
                <w:rFonts w:asciiTheme="minorHAnsi" w:hAnsiTheme="minorHAnsi" w:cstheme="minorHAnsi"/>
                <w:szCs w:val="24"/>
              </w:rPr>
            </w:pPr>
            <w:r>
              <w:rPr>
                <w:rFonts w:asciiTheme="minorHAnsi" w:hAnsiTheme="minorHAnsi" w:cstheme="minorHAnsi"/>
                <w:szCs w:val="24"/>
              </w:rPr>
              <w:t>$2,183,855</w:t>
            </w:r>
          </w:p>
        </w:tc>
      </w:tr>
      <w:tr w14:paraId="64280ED6" w14:textId="77777777" w:rsidTr="00E702D4">
        <w:tblPrEx>
          <w:tblW w:w="8815" w:type="dxa"/>
          <w:tblLayout w:type="fixed"/>
          <w:tblLook w:val="0020"/>
        </w:tblPrEx>
        <w:tc>
          <w:tcPr>
            <w:tcW w:w="1345" w:type="dxa"/>
          </w:tcPr>
          <w:p w:rsidR="00E702D4" w:rsidRPr="00AA5138" w:rsidP="00AA5138"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00E702D4" w:rsidRPr="00AA5138" w:rsidP="00E702D4" w14:paraId="64280ED0" w14:textId="4D16B892">
            <w:pPr>
              <w:jc w:val="right"/>
              <w:rPr>
                <w:rFonts w:asciiTheme="minorHAnsi" w:hAnsiTheme="minorHAnsi" w:cstheme="minorHAnsi"/>
                <w:szCs w:val="24"/>
              </w:rPr>
            </w:pPr>
            <w:r>
              <w:rPr>
                <w:rFonts w:asciiTheme="minorHAnsi" w:hAnsiTheme="minorHAnsi" w:cstheme="minorHAnsi"/>
                <w:szCs w:val="24"/>
              </w:rPr>
              <w:t>377</w:t>
            </w:r>
          </w:p>
        </w:tc>
        <w:tc>
          <w:tcPr>
            <w:tcW w:w="1080" w:type="dxa"/>
          </w:tcPr>
          <w:p w:rsidR="00E702D4" w:rsidRPr="00AA5138" w:rsidP="00E702D4" w14:paraId="64280ED1" w14:textId="7FBD0FF2">
            <w:pPr>
              <w:jc w:val="right"/>
              <w:rPr>
                <w:rFonts w:asciiTheme="minorHAnsi" w:hAnsiTheme="minorHAnsi" w:cstheme="minorHAnsi"/>
                <w:szCs w:val="24"/>
              </w:rPr>
            </w:pPr>
            <w:r>
              <w:rPr>
                <w:rFonts w:asciiTheme="minorHAnsi" w:hAnsiTheme="minorHAnsi" w:cstheme="minorHAnsi"/>
                <w:szCs w:val="24"/>
              </w:rPr>
              <w:t>57</w:t>
            </w:r>
            <w:r w:rsidR="00DF1C1D">
              <w:rPr>
                <w:rFonts w:asciiTheme="minorHAnsi" w:hAnsiTheme="minorHAnsi" w:cstheme="minorHAnsi"/>
                <w:szCs w:val="24"/>
              </w:rPr>
              <w:t>,499</w:t>
            </w:r>
          </w:p>
        </w:tc>
        <w:tc>
          <w:tcPr>
            <w:tcW w:w="1335" w:type="dxa"/>
          </w:tcPr>
          <w:p w:rsidR="00E702D4" w:rsidRPr="00AA5138" w:rsidP="00E702D4" w14:paraId="64280ED2" w14:textId="0F979E05">
            <w:pPr>
              <w:jc w:val="center"/>
              <w:rPr>
                <w:rFonts w:asciiTheme="minorHAnsi" w:hAnsiTheme="minorHAnsi" w:cstheme="minorHAnsi"/>
                <w:szCs w:val="24"/>
              </w:rPr>
            </w:pPr>
            <w:r>
              <w:rPr>
                <w:rFonts w:asciiTheme="minorHAnsi" w:hAnsiTheme="minorHAnsi" w:cstheme="minorHAnsi"/>
                <w:szCs w:val="24"/>
              </w:rPr>
              <w:t>0.5</w:t>
            </w:r>
          </w:p>
        </w:tc>
        <w:tc>
          <w:tcPr>
            <w:tcW w:w="1080" w:type="dxa"/>
          </w:tcPr>
          <w:p w:rsidR="00A35905" w:rsidRPr="00AA5138" w:rsidP="00E702D4" w14:paraId="64280ED3" w14:textId="43B788C4">
            <w:pPr>
              <w:jc w:val="right"/>
              <w:rPr>
                <w:rFonts w:asciiTheme="minorHAnsi" w:hAnsiTheme="minorHAnsi" w:cstheme="minorHAnsi"/>
                <w:szCs w:val="24"/>
              </w:rPr>
            </w:pPr>
            <w:r>
              <w:rPr>
                <w:rFonts w:asciiTheme="minorHAnsi" w:hAnsiTheme="minorHAnsi" w:cstheme="minorHAnsi"/>
                <w:szCs w:val="24"/>
              </w:rPr>
              <w:t>28,750</w:t>
            </w:r>
          </w:p>
        </w:tc>
        <w:tc>
          <w:tcPr>
            <w:tcW w:w="1350" w:type="dxa"/>
          </w:tcPr>
          <w:p w:rsidR="00FE2ABD" w:rsidRPr="00AA5138" w:rsidP="00E702D4" w14:paraId="64280ED4" w14:textId="527EF1DE">
            <w:pPr>
              <w:jc w:val="right"/>
              <w:rPr>
                <w:rFonts w:asciiTheme="minorHAnsi" w:hAnsiTheme="minorHAnsi" w:cstheme="minorHAnsi"/>
                <w:szCs w:val="24"/>
              </w:rPr>
            </w:pPr>
            <w:r>
              <w:rPr>
                <w:rFonts w:asciiTheme="minorHAnsi" w:hAnsiTheme="minorHAnsi" w:cstheme="minorHAnsi"/>
                <w:szCs w:val="24"/>
              </w:rPr>
              <w:t>$5</w:t>
            </w:r>
            <w:r w:rsidR="004B541C">
              <w:rPr>
                <w:rFonts w:asciiTheme="minorHAnsi" w:hAnsiTheme="minorHAnsi" w:cstheme="minorHAnsi"/>
                <w:szCs w:val="24"/>
              </w:rPr>
              <w:t>5.38</w:t>
            </w:r>
          </w:p>
        </w:tc>
        <w:tc>
          <w:tcPr>
            <w:tcW w:w="1350" w:type="dxa"/>
          </w:tcPr>
          <w:p w:rsidR="003263B6" w:rsidRPr="00AA5138" w:rsidP="00E702D4" w14:paraId="64280ED5" w14:textId="3BED0B58">
            <w:pPr>
              <w:jc w:val="right"/>
              <w:rPr>
                <w:rFonts w:asciiTheme="minorHAnsi" w:hAnsiTheme="minorHAnsi" w:cstheme="minorHAnsi"/>
                <w:szCs w:val="24"/>
              </w:rPr>
            </w:pPr>
            <w:r>
              <w:rPr>
                <w:rFonts w:asciiTheme="minorHAnsi" w:hAnsiTheme="minorHAnsi" w:cstheme="minorHAnsi"/>
                <w:szCs w:val="24"/>
              </w:rPr>
              <w:t>$1,592,175</w:t>
            </w:r>
          </w:p>
        </w:tc>
      </w:tr>
      <w:tr w14:paraId="64280EE0" w14:textId="77777777" w:rsidTr="00E702D4">
        <w:tblPrEx>
          <w:tblW w:w="8815" w:type="dxa"/>
          <w:tblLayout w:type="fixed"/>
          <w:tblLook w:val="0020"/>
        </w:tblPrEx>
        <w:tc>
          <w:tcPr>
            <w:tcW w:w="1345" w:type="dxa"/>
          </w:tcPr>
          <w:p w:rsidR="00E702D4" w:rsidRPr="00442E07" w:rsidP="00AA5138" w14:paraId="64280ED7" w14:textId="77777777">
            <w:pPr>
              <w:rPr>
                <w:rFonts w:ascii="Times New Roman" w:hAnsi="Times New Roman"/>
                <w:szCs w:val="24"/>
              </w:rPr>
            </w:pPr>
            <w:r>
              <w:rPr>
                <w:rFonts w:ascii="Times New Roman" w:hAnsi="Times New Roman"/>
                <w:szCs w:val="24"/>
              </w:rPr>
              <w:t>Annualized Totals</w:t>
            </w:r>
          </w:p>
        </w:tc>
        <w:tc>
          <w:tcPr>
            <w:tcW w:w="1275" w:type="dxa"/>
          </w:tcPr>
          <w:p w:rsidR="00E702D4" w:rsidRPr="00AA5138" w:rsidP="00E702D4" w14:paraId="64280EDA" w14:textId="5F0B65CC">
            <w:pPr>
              <w:jc w:val="right"/>
              <w:rPr>
                <w:rFonts w:asciiTheme="minorHAnsi" w:hAnsiTheme="minorHAnsi" w:cstheme="minorHAnsi"/>
                <w:b/>
                <w:bCs/>
                <w:szCs w:val="24"/>
              </w:rPr>
            </w:pPr>
            <w:r>
              <w:rPr>
                <w:rFonts w:asciiTheme="minorHAnsi" w:hAnsiTheme="minorHAnsi" w:cstheme="minorHAnsi"/>
                <w:b/>
                <w:bCs/>
                <w:szCs w:val="24"/>
              </w:rPr>
              <w:t>1,017</w:t>
            </w:r>
          </w:p>
        </w:tc>
        <w:tc>
          <w:tcPr>
            <w:tcW w:w="1080" w:type="dxa"/>
          </w:tcPr>
          <w:p w:rsidR="00DF1C1D" w:rsidRPr="00AA5138" w:rsidP="00E702D4" w14:paraId="64280EDB" w14:textId="470BE29E">
            <w:pPr>
              <w:jc w:val="right"/>
              <w:rPr>
                <w:rFonts w:asciiTheme="minorHAnsi" w:hAnsiTheme="minorHAnsi" w:cstheme="minorHAnsi"/>
                <w:b/>
                <w:bCs/>
                <w:szCs w:val="24"/>
              </w:rPr>
            </w:pPr>
            <w:r>
              <w:rPr>
                <w:rFonts w:asciiTheme="minorHAnsi" w:hAnsiTheme="minorHAnsi" w:cstheme="minorHAnsi"/>
                <w:b/>
                <w:bCs/>
                <w:szCs w:val="24"/>
              </w:rPr>
              <w:t>144,114</w:t>
            </w:r>
          </w:p>
        </w:tc>
        <w:tc>
          <w:tcPr>
            <w:tcW w:w="1335" w:type="dxa"/>
          </w:tcPr>
          <w:p w:rsidR="00E702D4" w:rsidRPr="00AA5138" w:rsidP="00AA5138" w14:paraId="64280EDC" w14:textId="77777777">
            <w:pPr>
              <w:rPr>
                <w:rFonts w:asciiTheme="minorHAnsi" w:hAnsiTheme="minorHAnsi" w:cstheme="minorHAnsi"/>
                <w:b/>
                <w:bCs/>
                <w:szCs w:val="24"/>
              </w:rPr>
            </w:pPr>
          </w:p>
        </w:tc>
        <w:tc>
          <w:tcPr>
            <w:tcW w:w="1080" w:type="dxa"/>
          </w:tcPr>
          <w:p w:rsidR="00DF1C1D" w:rsidRPr="00AA5138" w:rsidP="00E702D4" w14:paraId="64280EDD" w14:textId="4982F3A0">
            <w:pPr>
              <w:jc w:val="right"/>
              <w:rPr>
                <w:rFonts w:asciiTheme="minorHAnsi" w:hAnsiTheme="minorHAnsi" w:cstheme="minorHAnsi"/>
                <w:b/>
                <w:bCs/>
                <w:szCs w:val="24"/>
              </w:rPr>
            </w:pPr>
            <w:r>
              <w:rPr>
                <w:rFonts w:asciiTheme="minorHAnsi" w:hAnsiTheme="minorHAnsi" w:cstheme="minorHAnsi"/>
                <w:b/>
                <w:bCs/>
                <w:szCs w:val="24"/>
              </w:rPr>
              <w:t>72,05</w:t>
            </w:r>
            <w:r w:rsidR="00C223EB">
              <w:rPr>
                <w:rFonts w:asciiTheme="minorHAnsi" w:hAnsiTheme="minorHAnsi" w:cstheme="minorHAnsi"/>
                <w:b/>
                <w:bCs/>
                <w:szCs w:val="24"/>
              </w:rPr>
              <w:t>8</w:t>
            </w:r>
          </w:p>
        </w:tc>
        <w:tc>
          <w:tcPr>
            <w:tcW w:w="1350" w:type="dxa"/>
          </w:tcPr>
          <w:p w:rsidR="00E702D4" w:rsidRPr="00AA5138" w:rsidP="00E702D4" w14:paraId="64280EDE" w14:textId="77777777">
            <w:pPr>
              <w:jc w:val="right"/>
              <w:rPr>
                <w:rFonts w:asciiTheme="minorHAnsi" w:hAnsiTheme="minorHAnsi" w:cstheme="minorHAnsi"/>
                <w:b/>
                <w:bCs/>
                <w:szCs w:val="24"/>
              </w:rPr>
            </w:pPr>
          </w:p>
        </w:tc>
        <w:tc>
          <w:tcPr>
            <w:tcW w:w="1350" w:type="dxa"/>
          </w:tcPr>
          <w:p w:rsidR="00E702D4" w:rsidRPr="00AA5138" w:rsidP="00E702D4" w14:paraId="64280EDF" w14:textId="32874210">
            <w:pPr>
              <w:jc w:val="right"/>
              <w:rPr>
                <w:rFonts w:asciiTheme="minorHAnsi" w:hAnsiTheme="minorHAnsi" w:cstheme="minorHAnsi"/>
                <w:b/>
                <w:bCs/>
                <w:szCs w:val="24"/>
              </w:rPr>
            </w:pPr>
            <w:r>
              <w:rPr>
                <w:rFonts w:asciiTheme="minorHAnsi" w:hAnsiTheme="minorHAnsi" w:cstheme="minorHAnsi"/>
                <w:b/>
                <w:bCs/>
                <w:szCs w:val="24"/>
              </w:rPr>
              <w:t>$3,990,572</w:t>
            </w:r>
          </w:p>
        </w:tc>
      </w:tr>
    </w:tbl>
    <w:p w:rsidR="001A6AE0" w:rsidP="000446F5" w14:paraId="64280EE1" w14:textId="71F410DF">
      <w:pPr>
        <w:pStyle w:val="ListParagraph"/>
        <w:tabs>
          <w:tab w:val="left" w:pos="-720"/>
        </w:tabs>
        <w:suppressAutoHyphens/>
        <w:ind w:left="-864" w:right="-864"/>
        <w:rPr>
          <w:rStyle w:val="a"/>
          <w:rFonts w:ascii="Times New Roman" w:hAnsi="Times New Roman"/>
          <w:b/>
          <w:bCs/>
          <w:i/>
          <w:iCs/>
          <w:szCs w:val="24"/>
        </w:rPr>
      </w:pPr>
    </w:p>
    <w:p w:rsidR="00B56D8C" w:rsidRPr="002329F7" w:rsidP="00B56D8C" w14:paraId="7F4ACBA0" w14:textId="59CF200F">
      <w:pPr>
        <w:tabs>
          <w:tab w:val="left" w:pos="-720"/>
        </w:tabs>
        <w:suppressAutoHyphens/>
        <w:ind w:left="720"/>
        <w:rPr>
          <w:rFonts w:asciiTheme="minorHAnsi" w:hAnsiTheme="minorHAnsi" w:cstheme="minorHAnsi"/>
          <w:szCs w:val="24"/>
        </w:rPr>
      </w:pPr>
      <w:r w:rsidRPr="002329F7">
        <w:rPr>
          <w:rFonts w:asciiTheme="minorHAnsi" w:hAnsiTheme="minorHAnsi" w:cstheme="minorHAnsi"/>
          <w:szCs w:val="24"/>
        </w:rPr>
        <w:t>The number of respondents has increased as expected by the Department</w:t>
      </w:r>
      <w:r w:rsidR="00DF1C1D">
        <w:rPr>
          <w:rFonts w:asciiTheme="minorHAnsi" w:hAnsiTheme="minorHAnsi" w:cstheme="minorHAnsi"/>
          <w:szCs w:val="24"/>
        </w:rPr>
        <w:t xml:space="preserve"> due, in part, to the many closures of postsecondary institutions since the pandemic and </w:t>
      </w:r>
      <w:r w:rsidR="004B541C">
        <w:rPr>
          <w:rFonts w:asciiTheme="minorHAnsi" w:hAnsiTheme="minorHAnsi" w:cstheme="minorHAnsi"/>
          <w:szCs w:val="24"/>
        </w:rPr>
        <w:t xml:space="preserve">the </w:t>
      </w:r>
      <w:r w:rsidR="00DF1C1D">
        <w:rPr>
          <w:rFonts w:asciiTheme="minorHAnsi" w:hAnsiTheme="minorHAnsi" w:cstheme="minorHAnsi"/>
          <w:szCs w:val="24"/>
        </w:rPr>
        <w:t xml:space="preserve">mandatory assignment of </w:t>
      </w:r>
      <w:r w:rsidR="004B541C">
        <w:rPr>
          <w:rFonts w:asciiTheme="minorHAnsi" w:hAnsiTheme="minorHAnsi" w:cstheme="minorHAnsi"/>
          <w:szCs w:val="24"/>
        </w:rPr>
        <w:t xml:space="preserve">older, defaulted </w:t>
      </w:r>
      <w:r w:rsidR="00DF1C1D">
        <w:rPr>
          <w:rFonts w:asciiTheme="minorHAnsi" w:hAnsiTheme="minorHAnsi" w:cstheme="minorHAnsi"/>
          <w:szCs w:val="24"/>
        </w:rPr>
        <w:t>loans</w:t>
      </w:r>
      <w:r w:rsidRPr="002329F7">
        <w:rPr>
          <w:rFonts w:asciiTheme="minorHAnsi" w:hAnsiTheme="minorHAnsi" w:cstheme="minorHAnsi"/>
          <w:szCs w:val="24"/>
        </w:rPr>
        <w:t xml:space="preserve">  As noted above, </w:t>
      </w:r>
      <w:r w:rsidR="007521B2">
        <w:rPr>
          <w:rFonts w:asciiTheme="minorHAnsi" w:hAnsiTheme="minorHAnsi" w:cstheme="minorHAnsi"/>
          <w:szCs w:val="24"/>
        </w:rPr>
        <w:t xml:space="preserve">there were 1,017 respondents in 2023 completing </w:t>
      </w:r>
      <w:r w:rsidRPr="002329F7">
        <w:rPr>
          <w:rFonts w:asciiTheme="minorHAnsi" w:hAnsiTheme="minorHAnsi" w:cstheme="minorHAnsi"/>
          <w:szCs w:val="24"/>
        </w:rPr>
        <w:t xml:space="preserve"> </w:t>
      </w:r>
      <w:r w:rsidR="007521B2">
        <w:rPr>
          <w:rFonts w:asciiTheme="minorHAnsi" w:hAnsiTheme="minorHAnsi" w:cstheme="minorHAnsi"/>
          <w:szCs w:val="24"/>
        </w:rPr>
        <w:t xml:space="preserve">a </w:t>
      </w:r>
      <w:r w:rsidRPr="002329F7">
        <w:rPr>
          <w:rFonts w:asciiTheme="minorHAnsi" w:hAnsiTheme="minorHAnsi" w:cstheme="minorHAnsi"/>
          <w:szCs w:val="24"/>
        </w:rPr>
        <w:t xml:space="preserve">total </w:t>
      </w:r>
      <w:r w:rsidR="007521B2">
        <w:rPr>
          <w:rFonts w:asciiTheme="minorHAnsi" w:hAnsiTheme="minorHAnsi" w:cstheme="minorHAnsi"/>
          <w:szCs w:val="24"/>
        </w:rPr>
        <w:t xml:space="preserve">of 144,114 </w:t>
      </w:r>
      <w:r w:rsidRPr="002329F7">
        <w:rPr>
          <w:rFonts w:asciiTheme="minorHAnsi" w:hAnsiTheme="minorHAnsi" w:cstheme="minorHAnsi"/>
          <w:szCs w:val="24"/>
        </w:rPr>
        <w:t xml:space="preserve"> Perkins loan assignment forms</w:t>
      </w:r>
      <w:r w:rsidR="007521B2">
        <w:rPr>
          <w:rFonts w:asciiTheme="minorHAnsi" w:hAnsiTheme="minorHAnsi" w:cstheme="minorHAnsi"/>
          <w:szCs w:val="24"/>
        </w:rPr>
        <w:t>.</w:t>
      </w:r>
      <w:r w:rsidRPr="002329F7">
        <w:rPr>
          <w:rFonts w:asciiTheme="minorHAnsi" w:hAnsiTheme="minorHAnsi" w:cstheme="minorHAnsi"/>
          <w:szCs w:val="24"/>
        </w:rPr>
        <w:t xml:space="preserve">  </w:t>
      </w:r>
      <w:r w:rsidR="007521B2">
        <w:rPr>
          <w:rFonts w:asciiTheme="minorHAnsi" w:hAnsiTheme="minorHAnsi" w:cstheme="minorHAnsi"/>
          <w:szCs w:val="24"/>
        </w:rPr>
        <w:t>These total numbers were used to calculate the burden hours</w:t>
      </w:r>
      <w:r w:rsidRPr="002329F7">
        <w:rPr>
          <w:rFonts w:asciiTheme="minorHAnsi" w:hAnsiTheme="minorHAnsi" w:cstheme="minorHAnsi"/>
          <w:szCs w:val="24"/>
        </w:rPr>
        <w:t xml:space="preserve">.  Therefore, the </w:t>
      </w:r>
      <w:r w:rsidR="007521B2">
        <w:rPr>
          <w:rFonts w:asciiTheme="minorHAnsi" w:hAnsiTheme="minorHAnsi" w:cstheme="minorHAnsi"/>
          <w:szCs w:val="24"/>
        </w:rPr>
        <w:t xml:space="preserve">total number of </w:t>
      </w:r>
      <w:r w:rsidR="00287971">
        <w:rPr>
          <w:rFonts w:asciiTheme="minorHAnsi" w:hAnsiTheme="minorHAnsi" w:cstheme="minorHAnsi"/>
          <w:szCs w:val="24"/>
        </w:rPr>
        <w:t>burden</w:t>
      </w:r>
      <w:r w:rsidR="007521B2">
        <w:rPr>
          <w:rFonts w:asciiTheme="minorHAnsi" w:hAnsiTheme="minorHAnsi" w:cstheme="minorHAnsi"/>
          <w:szCs w:val="24"/>
        </w:rPr>
        <w:t xml:space="preserve"> hours was</w:t>
      </w:r>
      <w:r w:rsidRPr="002329F7">
        <w:rPr>
          <w:rFonts w:asciiTheme="minorHAnsi" w:hAnsiTheme="minorHAnsi" w:cstheme="minorHAnsi"/>
          <w:szCs w:val="24"/>
        </w:rPr>
        <w:t xml:space="preserve"> calculated as  </w:t>
      </w:r>
      <w:r w:rsidR="00E1006F">
        <w:rPr>
          <w:rFonts w:asciiTheme="minorHAnsi" w:hAnsiTheme="minorHAnsi" w:cstheme="minorHAnsi"/>
          <w:szCs w:val="24"/>
        </w:rPr>
        <w:t>72,05</w:t>
      </w:r>
      <w:r w:rsidR="00C223EB">
        <w:rPr>
          <w:rFonts w:asciiTheme="minorHAnsi" w:hAnsiTheme="minorHAnsi" w:cstheme="minorHAnsi"/>
          <w:szCs w:val="24"/>
        </w:rPr>
        <w:t>8</w:t>
      </w:r>
      <w:r w:rsidRPr="002329F7">
        <w:rPr>
          <w:rFonts w:asciiTheme="minorHAnsi" w:hAnsiTheme="minorHAnsi" w:cstheme="minorHAnsi"/>
          <w:szCs w:val="24"/>
        </w:rPr>
        <w:t xml:space="preserve">.  </w:t>
      </w:r>
    </w:p>
    <w:p w:rsidR="00B56D8C" w:rsidRPr="00B56D8C" w:rsidP="00B56D8C" w14:paraId="3B383585" w14:textId="766A088E">
      <w:pPr>
        <w:pStyle w:val="ListParagraph"/>
        <w:tabs>
          <w:tab w:val="left" w:pos="-720"/>
        </w:tabs>
        <w:suppressAutoHyphens/>
        <w:ind w:right="-864"/>
        <w:rPr>
          <w:rStyle w:val="a"/>
          <w:rFonts w:ascii="Times New Roman" w:hAnsi="Times New Roman"/>
          <w:szCs w:val="24"/>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100B1E"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100B1E" w14:paraId="64280EE5" w14:textId="77777777">
      <w:pPr>
        <w:tabs>
          <w:tab w:val="left" w:pos="-720"/>
        </w:tabs>
        <w:suppressAutoHyphens/>
        <w:rPr>
          <w:rFonts w:ascii="Times New Roman" w:hAnsi="Times New Roman"/>
          <w:b/>
          <w:szCs w:val="24"/>
        </w:rPr>
      </w:pPr>
    </w:p>
    <w:p w:rsidR="00043C32" w:rsidRPr="00ED7195" w:rsidP="00100B1E" w14:paraId="64280EE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w:t>
      </w:r>
      <w:r w:rsidRPr="00ED7195">
        <w:rPr>
          <w:rFonts w:ascii="Times New Roman" w:hAnsi="Times New Roman"/>
          <w:b/>
          <w:szCs w:val="24"/>
        </w:rPr>
        <w:t>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64280EE7" w14:textId="77777777">
      <w:pPr>
        <w:numPr>
          <w:ilvl w:val="12"/>
          <w:numId w:val="0"/>
        </w:numPr>
        <w:tabs>
          <w:tab w:val="left" w:pos="-720"/>
        </w:tabs>
        <w:suppressAutoHyphens/>
        <w:ind w:left="340"/>
        <w:rPr>
          <w:rFonts w:ascii="Times New Roman" w:hAnsi="Times New Roman"/>
          <w:szCs w:val="24"/>
        </w:rPr>
      </w:pPr>
    </w:p>
    <w:p w:rsidR="00043C32" w:rsidRPr="00ED7195" w:rsidP="00100B1E"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100B1E" w14:paraId="64280EE9" w14:textId="77777777">
      <w:pPr>
        <w:tabs>
          <w:tab w:val="left" w:pos="-720"/>
          <w:tab w:val="left" w:pos="1247"/>
        </w:tabs>
        <w:suppressAutoHyphens/>
        <w:ind w:left="340"/>
        <w:rPr>
          <w:rFonts w:ascii="Times New Roman" w:hAnsi="Times New Roman"/>
          <w:b/>
          <w:szCs w:val="24"/>
        </w:rPr>
      </w:pPr>
    </w:p>
    <w:p w:rsidR="00043C32" w:rsidRPr="00ED7195" w:rsidP="00100B1E"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4280EEF" w14:textId="7E319CEF">
      <w:pPr>
        <w:tabs>
          <w:tab w:val="left" w:pos="-720"/>
        </w:tabs>
        <w:suppressAutoHyphens/>
        <w:rPr>
          <w:rFonts w:ascii="Times New Roman" w:hAnsi="Times New Roman"/>
          <w:szCs w:val="24"/>
        </w:rPr>
      </w:pPr>
    </w:p>
    <w:p w:rsidR="00B56D8C" w:rsidRPr="002329F7" w:rsidP="00B56D8C" w14:paraId="499F9B88" w14:textId="77777777">
      <w:pPr>
        <w:tabs>
          <w:tab w:val="left" w:pos="-720"/>
        </w:tabs>
        <w:suppressAutoHyphens/>
        <w:ind w:left="720"/>
        <w:rPr>
          <w:rFonts w:asciiTheme="minorHAnsi" w:hAnsiTheme="minorHAnsi" w:cstheme="minorHAnsi"/>
          <w:szCs w:val="24"/>
        </w:rPr>
      </w:pPr>
      <w:r w:rsidRPr="002329F7">
        <w:rPr>
          <w:rFonts w:asciiTheme="minorHAnsi" w:hAnsiTheme="minorHAnsi" w:cstheme="minorHAnsi"/>
          <w:szCs w:val="24"/>
        </w:rPr>
        <w:t>There are no capital/startup costs to respondents, nor are there any annual costs to respondents associated with operating or maintaining systems.</w:t>
      </w:r>
    </w:p>
    <w:p w:rsidR="00B56D8C" w:rsidP="00AD381B" w14:paraId="103E85CC" w14:textId="77777777">
      <w:pPr>
        <w:tabs>
          <w:tab w:val="left" w:pos="-720"/>
        </w:tabs>
        <w:suppressAutoHyphens/>
        <w:rPr>
          <w:rFonts w:ascii="Times New Roman" w:hAnsi="Times New Roman"/>
          <w:szCs w:val="24"/>
        </w:rPr>
      </w:pPr>
    </w:p>
    <w:p w:rsidR="00043C32" w:rsidRPr="00534B4A" w:rsidP="00100B1E"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bookmarkStart w:id="1" w:name="_Hlk162878497"/>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CF3010" w:rsidRPr="002329F7" w:rsidP="00CF3010" w14:paraId="0F535B2E" w14:textId="261FF5C9">
      <w:pPr>
        <w:pStyle w:val="BodyTextIndent"/>
        <w:rPr>
          <w:rFonts w:asciiTheme="minorHAnsi" w:hAnsiTheme="minorHAnsi" w:cstheme="minorHAnsi"/>
        </w:rPr>
      </w:pPr>
      <w:r w:rsidRPr="002329F7">
        <w:rPr>
          <w:rFonts w:asciiTheme="minorHAnsi" w:hAnsiTheme="minorHAnsi" w:cstheme="minorHAnsi"/>
        </w:rPr>
        <w:t>The total estimated annual cost to the Federal government this information collection is</w:t>
      </w:r>
      <w:r w:rsidR="00A35917">
        <w:rPr>
          <w:rFonts w:asciiTheme="minorHAnsi" w:hAnsiTheme="minorHAnsi" w:cstheme="minorHAnsi"/>
        </w:rPr>
        <w:t xml:space="preserve"> $1,441,140</w:t>
      </w:r>
      <w:r w:rsidRPr="002329F7">
        <w:rPr>
          <w:rFonts w:asciiTheme="minorHAnsi" w:hAnsiTheme="minorHAnsi" w:cstheme="minorHAnsi"/>
        </w:rPr>
        <w:t xml:space="preserve">.  </w:t>
      </w:r>
    </w:p>
    <w:p w:rsidR="00534B4A" w:rsidP="005F4E11" w14:paraId="64280EF2" w14:textId="51A513E4">
      <w:pPr>
        <w:pStyle w:val="ListParagraph"/>
        <w:tabs>
          <w:tab w:val="left" w:pos="-720"/>
        </w:tabs>
        <w:suppressAutoHyphens/>
        <w:contextualSpacing w:val="0"/>
        <w:rPr>
          <w:rFonts w:ascii="Times New Roman" w:hAnsi="Times New Roman"/>
          <w:szCs w:val="24"/>
        </w:rPr>
      </w:pPr>
    </w:p>
    <w:bookmarkEnd w:id="1"/>
    <w:p w:rsidR="00800D30" w:rsidP="00100B1E"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w:t>
      </w:r>
      <w:r w:rsidRPr="00800D30">
        <w:rPr>
          <w:rFonts w:ascii="Times New Roman" w:hAnsi="Times New Roman"/>
          <w:b/>
          <w:szCs w:val="24"/>
        </w:rPr>
        <w:t>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100B1E"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379"/>
        <w:gridCol w:w="2970"/>
      </w:tblGrid>
      <w:tr w14:paraId="64280EFB" w14:textId="77777777" w:rsidTr="00CF3010">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37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97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CF3010">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379" w:type="dxa"/>
          </w:tcPr>
          <w:p w:rsidR="00C85C24" w:rsidRPr="00100B1E" w:rsidP="00CF3010" w14:paraId="64280EFE" w14:textId="0349FE52">
            <w:pPr>
              <w:tabs>
                <w:tab w:val="left" w:pos="-720"/>
              </w:tabs>
              <w:suppressAutoHyphens/>
              <w:jc w:val="right"/>
              <w:rPr>
                <w:rFonts w:asciiTheme="minorHAnsi" w:hAnsiTheme="minorHAnsi" w:cstheme="minorHAnsi"/>
                <w:bCs/>
                <w:szCs w:val="24"/>
              </w:rPr>
            </w:pPr>
            <w:r w:rsidRPr="00100B1E">
              <w:rPr>
                <w:rFonts w:asciiTheme="minorHAnsi" w:hAnsiTheme="minorHAnsi" w:cstheme="minorHAnsi"/>
                <w:bCs/>
                <w:szCs w:val="24"/>
              </w:rPr>
              <w:t>+34,521</w:t>
            </w:r>
          </w:p>
        </w:tc>
        <w:tc>
          <w:tcPr>
            <w:tcW w:w="2970" w:type="dxa"/>
          </w:tcPr>
          <w:p w:rsidR="0052073E" w:rsidP="00534B4A" w14:paraId="64280EFF" w14:textId="68EC7865">
            <w:pPr>
              <w:tabs>
                <w:tab w:val="left" w:pos="-720"/>
              </w:tabs>
              <w:suppressAutoHyphens/>
              <w:rPr>
                <w:rFonts w:ascii="Times New Roman" w:hAnsi="Times New Roman"/>
                <w:b/>
                <w:szCs w:val="24"/>
              </w:rPr>
            </w:pPr>
          </w:p>
        </w:tc>
      </w:tr>
      <w:tr w14:paraId="64280F05" w14:textId="77777777" w:rsidTr="00CF3010">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379" w:type="dxa"/>
          </w:tcPr>
          <w:p w:rsidR="00D050EA" w:rsidRPr="00100B1E" w:rsidP="00CF3010" w14:paraId="64280F03" w14:textId="2DADC4FE">
            <w:pPr>
              <w:tabs>
                <w:tab w:val="left" w:pos="-720"/>
              </w:tabs>
              <w:suppressAutoHyphens/>
              <w:jc w:val="right"/>
              <w:rPr>
                <w:rFonts w:asciiTheme="minorHAnsi" w:hAnsiTheme="minorHAnsi" w:cstheme="minorHAnsi"/>
                <w:bCs/>
                <w:szCs w:val="24"/>
              </w:rPr>
            </w:pPr>
            <w:r w:rsidRPr="00100B1E">
              <w:rPr>
                <w:rFonts w:asciiTheme="minorHAnsi" w:hAnsiTheme="minorHAnsi" w:cstheme="minorHAnsi"/>
                <w:bCs/>
                <w:szCs w:val="24"/>
              </w:rPr>
              <w:t>+69,042</w:t>
            </w:r>
          </w:p>
        </w:tc>
        <w:tc>
          <w:tcPr>
            <w:tcW w:w="297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CF3010">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379" w:type="dxa"/>
          </w:tcPr>
          <w:p w:rsidR="009079E3" w:rsidRPr="00100B1E" w:rsidP="00CF3010" w14:paraId="64280F08" w14:textId="1E2E8977">
            <w:pPr>
              <w:tabs>
                <w:tab w:val="left" w:pos="-720"/>
              </w:tabs>
              <w:suppressAutoHyphens/>
              <w:jc w:val="right"/>
              <w:rPr>
                <w:rFonts w:asciiTheme="minorHAnsi" w:hAnsiTheme="minorHAnsi" w:cstheme="minorHAnsi"/>
                <w:szCs w:val="24"/>
              </w:rPr>
            </w:pPr>
          </w:p>
        </w:tc>
        <w:tc>
          <w:tcPr>
            <w:tcW w:w="297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CF3010" w:rsidRPr="002329F7" w:rsidP="00CF3010" w14:paraId="34CCB2E8" w14:textId="184A8B16">
      <w:pPr>
        <w:tabs>
          <w:tab w:val="left" w:pos="-720"/>
        </w:tabs>
        <w:suppressAutoHyphens/>
        <w:ind w:left="720"/>
        <w:rPr>
          <w:rFonts w:asciiTheme="minorHAnsi" w:hAnsiTheme="minorHAnsi" w:cstheme="minorHAnsi"/>
          <w:szCs w:val="24"/>
        </w:rPr>
      </w:pPr>
      <w:r w:rsidRPr="002329F7">
        <w:rPr>
          <w:rFonts w:asciiTheme="minorHAnsi" w:hAnsiTheme="minorHAnsi" w:cstheme="minorHAnsi"/>
          <w:szCs w:val="24"/>
        </w:rPr>
        <w:t>The Department is requesting an extension of the current information collection.  We are identifying an upward adjustment in the number of respondents (</w:t>
      </w:r>
      <w:r>
        <w:rPr>
          <w:rFonts w:asciiTheme="minorHAnsi" w:hAnsiTheme="minorHAnsi" w:cstheme="minorHAnsi"/>
          <w:szCs w:val="24"/>
        </w:rPr>
        <w:t>+</w:t>
      </w:r>
      <w:r w:rsidR="00A11D85">
        <w:rPr>
          <w:rFonts w:asciiTheme="minorHAnsi" w:hAnsiTheme="minorHAnsi" w:cstheme="minorHAnsi"/>
          <w:szCs w:val="24"/>
        </w:rPr>
        <w:t>410</w:t>
      </w:r>
      <w:r w:rsidRPr="002329F7">
        <w:rPr>
          <w:rFonts w:asciiTheme="minorHAnsi" w:hAnsiTheme="minorHAnsi" w:cstheme="minorHAnsi"/>
          <w:szCs w:val="24"/>
        </w:rPr>
        <w:t>), in the number of assignment forms being filed (+</w:t>
      </w:r>
      <w:r w:rsidR="00A11D85">
        <w:rPr>
          <w:rFonts w:asciiTheme="minorHAnsi" w:hAnsiTheme="minorHAnsi" w:cstheme="minorHAnsi"/>
          <w:szCs w:val="24"/>
        </w:rPr>
        <w:t>69,042</w:t>
      </w:r>
      <w:r w:rsidRPr="002329F7">
        <w:rPr>
          <w:rFonts w:asciiTheme="minorHAnsi" w:hAnsiTheme="minorHAnsi" w:cstheme="minorHAnsi"/>
          <w:szCs w:val="24"/>
        </w:rPr>
        <w:t>), and the hours associated with the assignment process (+</w:t>
      </w:r>
      <w:r w:rsidR="00A11D85">
        <w:rPr>
          <w:rFonts w:asciiTheme="minorHAnsi" w:hAnsiTheme="minorHAnsi" w:cstheme="minorHAnsi"/>
          <w:szCs w:val="24"/>
        </w:rPr>
        <w:t>34,52</w:t>
      </w:r>
      <w:r w:rsidR="003A56C9">
        <w:rPr>
          <w:rFonts w:asciiTheme="minorHAnsi" w:hAnsiTheme="minorHAnsi" w:cstheme="minorHAnsi"/>
          <w:szCs w:val="24"/>
        </w:rPr>
        <w:t>1</w:t>
      </w:r>
      <w:r w:rsidRPr="002329F7">
        <w:rPr>
          <w:rFonts w:asciiTheme="minorHAnsi" w:hAnsiTheme="minorHAnsi" w:cstheme="minorHAnsi"/>
          <w:szCs w:val="24"/>
        </w:rPr>
        <w:t xml:space="preserve">) based on the collection information available on use of the form and process for </w:t>
      </w:r>
      <w:r w:rsidRPr="002329F7" w:rsidR="00C97471">
        <w:rPr>
          <w:rFonts w:asciiTheme="minorHAnsi" w:hAnsiTheme="minorHAnsi" w:cstheme="minorHAnsi"/>
          <w:szCs w:val="24"/>
        </w:rPr>
        <w:t>20</w:t>
      </w:r>
      <w:r w:rsidR="00C97471">
        <w:rPr>
          <w:rFonts w:asciiTheme="minorHAnsi" w:hAnsiTheme="minorHAnsi" w:cstheme="minorHAnsi"/>
          <w:szCs w:val="24"/>
        </w:rPr>
        <w:t>23</w:t>
      </w:r>
      <w:r w:rsidRPr="002329F7">
        <w:rPr>
          <w:rFonts w:asciiTheme="minorHAnsi" w:hAnsiTheme="minorHAnsi" w:cstheme="minorHAnsi"/>
          <w:szCs w:val="24"/>
        </w:rPr>
        <w:t xml:space="preserve">.  There have been no changes to the regulations.  The burden change is an adjustment based on a re-estimation of usage of the form.  </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274B77" w14:paraId="64280F0D"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CF3010" w:rsidRPr="002329F7" w:rsidP="00CF3010" w14:paraId="70773F7A" w14:textId="77777777">
      <w:pPr>
        <w:pStyle w:val="BodyTextIndent"/>
        <w:rPr>
          <w:rFonts w:asciiTheme="minorHAnsi" w:hAnsiTheme="minorHAnsi" w:cstheme="minorHAnsi"/>
        </w:rPr>
      </w:pPr>
      <w:r w:rsidRPr="002329F7">
        <w:rPr>
          <w:rFonts w:asciiTheme="minorHAnsi" w:hAnsiTheme="minorHAnsi" w:cstheme="minorHAnsi"/>
        </w:rPr>
        <w:t>The results of 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274B77" w14:paraId="64280F10"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CF3010" w:rsidRPr="002329F7" w:rsidP="00CF3010" w14:paraId="676B1F6F" w14:textId="77777777">
      <w:pPr>
        <w:pStyle w:val="BodyTextIndent"/>
        <w:tabs>
          <w:tab w:val="clear" w:pos="0"/>
        </w:tabs>
        <w:suppressAutoHyphens w:val="0"/>
        <w:rPr>
          <w:rFonts w:asciiTheme="minorHAnsi" w:hAnsiTheme="minorHAnsi" w:cstheme="minorHAnsi"/>
        </w:rPr>
      </w:pPr>
      <w:r w:rsidRPr="002329F7">
        <w:rPr>
          <w:rFonts w:asciiTheme="minorHAnsi" w:hAnsiTheme="minorHAnsi" w:cstheme="minorHAnsi"/>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274B77" w14:paraId="64280F13" w14:textId="2034078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CF3010" w:rsidRPr="002329F7" w:rsidP="00CF3010" w14:paraId="309AE3D6" w14:textId="77777777">
      <w:pPr>
        <w:pStyle w:val="BodyTextIndent"/>
        <w:tabs>
          <w:tab w:val="clear" w:pos="0"/>
        </w:tabs>
        <w:rPr>
          <w:rFonts w:asciiTheme="minorHAnsi" w:hAnsiTheme="minorHAnsi" w:cstheme="minorHAnsi"/>
        </w:rPr>
      </w:pPr>
      <w:r w:rsidRPr="002329F7">
        <w:rPr>
          <w:rFonts w:asciiTheme="minorHAnsi" w:hAnsiTheme="minorHAnsi" w:cstheme="minorHAnsi"/>
        </w:rPr>
        <w:t>There are no exceptions to the certification statement.</w:t>
      </w:r>
    </w:p>
    <w:p w:rsidR="00AA5138" w:rsidRPr="00AA5138" w:rsidP="00AA5138" w14:paraId="1D395179" w14:textId="77777777">
      <w:pPr>
        <w:tabs>
          <w:tab w:val="left" w:pos="-720"/>
        </w:tabs>
        <w:suppressAutoHyphens/>
        <w:ind w:left="720"/>
        <w:rPr>
          <w:rFonts w:ascii="Times New Roman" w:hAnsi="Times New Roman"/>
          <w:bCs/>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5DDA" w:rsidP="00043C32" w14:paraId="64280F14" w14:textId="77777777">
      <w:r>
        <w:separator/>
      </w:r>
    </w:p>
  </w:footnote>
  <w:footnote w:type="continuationSeparator" w:id="1">
    <w:p w:rsidR="00575DDA" w:rsidP="00043C32" w14:paraId="64280F15"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5573F463">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B6AE1">
      <w:rPr>
        <w:rFonts w:ascii="Times New Roman" w:hAnsi="Times New Roman"/>
        <w:szCs w:val="24"/>
      </w:rPr>
      <w:t>1845</w:t>
    </w:r>
    <w:r w:rsidRPr="00C875E8">
      <w:rPr>
        <w:rFonts w:ascii="Times New Roman" w:hAnsi="Times New Roman"/>
        <w:szCs w:val="24"/>
      </w:rPr>
      <w:t>-</w:t>
    </w:r>
    <w:r w:rsidR="00AB6AE1">
      <w:rPr>
        <w:rFonts w:ascii="Times New Roman" w:hAnsi="Times New Roman"/>
        <w:szCs w:val="24"/>
      </w:rPr>
      <w:t>0048</w:t>
    </w:r>
    <w:r w:rsidR="00AB6AE1">
      <w:rPr>
        <w:rFonts w:ascii="Times New Roman" w:hAnsi="Times New Roman"/>
        <w:szCs w:val="24"/>
      </w:rPr>
      <w:tab/>
    </w:r>
    <w:r w:rsidRPr="00C875E8">
      <w:rPr>
        <w:rFonts w:ascii="Times New Roman" w:hAnsi="Times New Roman"/>
        <w:szCs w:val="24"/>
      </w:rPr>
      <w:t xml:space="preserve">Revised: </w:t>
    </w:r>
    <w:r w:rsidR="00AE5CAB">
      <w:rPr>
        <w:rFonts w:ascii="Times New Roman" w:hAnsi="Times New Roman"/>
        <w:szCs w:val="24"/>
      </w:rPr>
      <w:t>6/27</w:t>
    </w:r>
    <w:r w:rsidR="00780725">
      <w:rPr>
        <w:rFonts w:ascii="Times New Roman" w:hAnsi="Times New Roman"/>
        <w:szCs w:val="24"/>
      </w:rPr>
      <w:t>/2024</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5494129">
    <w:abstractNumId w:val="0"/>
  </w:num>
  <w:num w:numId="2" w16cid:durableId="1871600191">
    <w:abstractNumId w:val="2"/>
  </w:num>
  <w:num w:numId="3" w16cid:durableId="832575258">
    <w:abstractNumId w:val="1"/>
  </w:num>
  <w:num w:numId="4" w16cid:durableId="1101023659">
    <w:abstractNumId w:val="3"/>
  </w:num>
  <w:num w:numId="5" w16cid:durableId="429202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87E0B"/>
    <w:rsid w:val="00093017"/>
    <w:rsid w:val="00100B1E"/>
    <w:rsid w:val="00107041"/>
    <w:rsid w:val="001824F3"/>
    <w:rsid w:val="001A6AE0"/>
    <w:rsid w:val="001C3E01"/>
    <w:rsid w:val="001C73C0"/>
    <w:rsid w:val="001E79BD"/>
    <w:rsid w:val="002225CC"/>
    <w:rsid w:val="00224A3B"/>
    <w:rsid w:val="002329F7"/>
    <w:rsid w:val="0023725B"/>
    <w:rsid w:val="00240A39"/>
    <w:rsid w:val="00246FE9"/>
    <w:rsid w:val="00250100"/>
    <w:rsid w:val="00262A69"/>
    <w:rsid w:val="00270AF7"/>
    <w:rsid w:val="00274B77"/>
    <w:rsid w:val="00284F0A"/>
    <w:rsid w:val="00287971"/>
    <w:rsid w:val="002A3221"/>
    <w:rsid w:val="002C3520"/>
    <w:rsid w:val="002E14E0"/>
    <w:rsid w:val="002F0FB9"/>
    <w:rsid w:val="002F55E5"/>
    <w:rsid w:val="0032078A"/>
    <w:rsid w:val="0032539E"/>
    <w:rsid w:val="003263B6"/>
    <w:rsid w:val="0037451A"/>
    <w:rsid w:val="00386054"/>
    <w:rsid w:val="003860E4"/>
    <w:rsid w:val="003A56C9"/>
    <w:rsid w:val="003B1545"/>
    <w:rsid w:val="00412915"/>
    <w:rsid w:val="00442E07"/>
    <w:rsid w:val="00446C8D"/>
    <w:rsid w:val="00455327"/>
    <w:rsid w:val="004B541C"/>
    <w:rsid w:val="0052073E"/>
    <w:rsid w:val="00534B4A"/>
    <w:rsid w:val="00544DFF"/>
    <w:rsid w:val="00564DA3"/>
    <w:rsid w:val="00575DDA"/>
    <w:rsid w:val="00581C11"/>
    <w:rsid w:val="005913B3"/>
    <w:rsid w:val="005F4D43"/>
    <w:rsid w:val="005F4E11"/>
    <w:rsid w:val="00611DFD"/>
    <w:rsid w:val="00643088"/>
    <w:rsid w:val="0068567A"/>
    <w:rsid w:val="006A292A"/>
    <w:rsid w:val="006A38F7"/>
    <w:rsid w:val="006A4EBB"/>
    <w:rsid w:val="006B4172"/>
    <w:rsid w:val="006F1B1D"/>
    <w:rsid w:val="00713B69"/>
    <w:rsid w:val="007224A0"/>
    <w:rsid w:val="0073321A"/>
    <w:rsid w:val="007521B2"/>
    <w:rsid w:val="00755D99"/>
    <w:rsid w:val="00756FD3"/>
    <w:rsid w:val="00765392"/>
    <w:rsid w:val="00780725"/>
    <w:rsid w:val="00790E3E"/>
    <w:rsid w:val="007C0A4C"/>
    <w:rsid w:val="007F6104"/>
    <w:rsid w:val="00800D30"/>
    <w:rsid w:val="00807D1A"/>
    <w:rsid w:val="008108A2"/>
    <w:rsid w:val="00874EFE"/>
    <w:rsid w:val="00882126"/>
    <w:rsid w:val="008933F1"/>
    <w:rsid w:val="008C7764"/>
    <w:rsid w:val="008D0601"/>
    <w:rsid w:val="008D1F11"/>
    <w:rsid w:val="008E5919"/>
    <w:rsid w:val="00905951"/>
    <w:rsid w:val="009079E3"/>
    <w:rsid w:val="00912D2C"/>
    <w:rsid w:val="00916EE4"/>
    <w:rsid w:val="00920F63"/>
    <w:rsid w:val="009243F3"/>
    <w:rsid w:val="00927834"/>
    <w:rsid w:val="0093366B"/>
    <w:rsid w:val="00934185"/>
    <w:rsid w:val="00946126"/>
    <w:rsid w:val="00952DF9"/>
    <w:rsid w:val="0095421D"/>
    <w:rsid w:val="00960C86"/>
    <w:rsid w:val="009767AF"/>
    <w:rsid w:val="00981F58"/>
    <w:rsid w:val="00986D0A"/>
    <w:rsid w:val="009A0E4C"/>
    <w:rsid w:val="009E3E86"/>
    <w:rsid w:val="00A118A2"/>
    <w:rsid w:val="00A11D85"/>
    <w:rsid w:val="00A23F26"/>
    <w:rsid w:val="00A35905"/>
    <w:rsid w:val="00A35917"/>
    <w:rsid w:val="00A4001C"/>
    <w:rsid w:val="00A40AAB"/>
    <w:rsid w:val="00A46D01"/>
    <w:rsid w:val="00A70816"/>
    <w:rsid w:val="00A73590"/>
    <w:rsid w:val="00A7636D"/>
    <w:rsid w:val="00A9138E"/>
    <w:rsid w:val="00AA5138"/>
    <w:rsid w:val="00AB6AE1"/>
    <w:rsid w:val="00AC1C89"/>
    <w:rsid w:val="00AC59EF"/>
    <w:rsid w:val="00AD381B"/>
    <w:rsid w:val="00AE5CAB"/>
    <w:rsid w:val="00AF5B5B"/>
    <w:rsid w:val="00AF5D1A"/>
    <w:rsid w:val="00B017F9"/>
    <w:rsid w:val="00B07213"/>
    <w:rsid w:val="00B10A05"/>
    <w:rsid w:val="00B54167"/>
    <w:rsid w:val="00B56D8C"/>
    <w:rsid w:val="00B62E06"/>
    <w:rsid w:val="00B64B1D"/>
    <w:rsid w:val="00B82A81"/>
    <w:rsid w:val="00B915DA"/>
    <w:rsid w:val="00B9671B"/>
    <w:rsid w:val="00BA1D31"/>
    <w:rsid w:val="00BC1A67"/>
    <w:rsid w:val="00C164D3"/>
    <w:rsid w:val="00C20670"/>
    <w:rsid w:val="00C223EB"/>
    <w:rsid w:val="00C224FD"/>
    <w:rsid w:val="00C85C24"/>
    <w:rsid w:val="00C86713"/>
    <w:rsid w:val="00C875E8"/>
    <w:rsid w:val="00C92035"/>
    <w:rsid w:val="00C97471"/>
    <w:rsid w:val="00CC2A72"/>
    <w:rsid w:val="00CC3FB5"/>
    <w:rsid w:val="00CD2067"/>
    <w:rsid w:val="00CD47BC"/>
    <w:rsid w:val="00CE2FF0"/>
    <w:rsid w:val="00CF3010"/>
    <w:rsid w:val="00D050EA"/>
    <w:rsid w:val="00D34984"/>
    <w:rsid w:val="00D36C35"/>
    <w:rsid w:val="00D75313"/>
    <w:rsid w:val="00DF1C1D"/>
    <w:rsid w:val="00E06000"/>
    <w:rsid w:val="00E1006F"/>
    <w:rsid w:val="00E16ACD"/>
    <w:rsid w:val="00E17134"/>
    <w:rsid w:val="00E22847"/>
    <w:rsid w:val="00E25EBC"/>
    <w:rsid w:val="00E66550"/>
    <w:rsid w:val="00E702D4"/>
    <w:rsid w:val="00E877BF"/>
    <w:rsid w:val="00EA1767"/>
    <w:rsid w:val="00EB0929"/>
    <w:rsid w:val="00EB0FA5"/>
    <w:rsid w:val="00EC01DD"/>
    <w:rsid w:val="00EC35E3"/>
    <w:rsid w:val="00ED7195"/>
    <w:rsid w:val="00F0414F"/>
    <w:rsid w:val="00F070F3"/>
    <w:rsid w:val="00F24E20"/>
    <w:rsid w:val="00F27AAF"/>
    <w:rsid w:val="00F31BEC"/>
    <w:rsid w:val="00F53F75"/>
    <w:rsid w:val="00F5782B"/>
    <w:rsid w:val="00F73131"/>
    <w:rsid w:val="00FC669D"/>
    <w:rsid w:val="00FD4F0B"/>
    <w:rsid w:val="00FE02FC"/>
    <w:rsid w:val="00FE1BAE"/>
    <w:rsid w:val="00FE2AB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semiHidden/>
    <w:rsid w:val="00AB6AE1"/>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AB6AE1"/>
    <w:rPr>
      <w:sz w:val="24"/>
      <w:szCs w:val="24"/>
    </w:rPr>
  </w:style>
  <w:style w:type="paragraph" w:styleId="Revision">
    <w:name w:val="Revision"/>
    <w:hidden/>
    <w:uiPriority w:val="99"/>
    <w:semiHidden/>
    <w:rsid w:val="0037451A"/>
    <w:rPr>
      <w:rFonts w:ascii="Courier" w:hAnsi="Courier"/>
      <w:sz w:val="24"/>
    </w:rPr>
  </w:style>
  <w:style w:type="character" w:styleId="FollowedHyperlink">
    <w:name w:val="FollowedHyperlink"/>
    <w:basedOn w:val="DefaultParagraphFont"/>
    <w:uiPriority w:val="99"/>
    <w:semiHidden/>
    <w:unhideWhenUsed/>
    <w:rsid w:val="004B54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2024-07-01T10:44:00Z</dcterms:created>
  <dcterms:modified xsi:type="dcterms:W3CDTF">2024-07-01T10:44:00Z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