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39B5" w:rsidRPr="002139B5" w:rsidP="008B417A" w14:paraId="6A4398F3" w14:textId="77777777">
      <w:pPr>
        <w:spacing w:after="0"/>
        <w:jc w:val="center"/>
        <w:rPr>
          <w:rFonts w:ascii="Times New Roman" w:hAnsi="Times New Roman"/>
          <w:sz w:val="24"/>
          <w:szCs w:val="24"/>
        </w:rPr>
      </w:pPr>
      <w:r w:rsidRPr="002139B5">
        <w:rPr>
          <w:rFonts w:ascii="Times New Roman" w:hAnsi="Times New Roman"/>
          <w:sz w:val="24"/>
          <w:szCs w:val="24"/>
        </w:rPr>
        <w:t>Supporting Statement for</w:t>
      </w:r>
    </w:p>
    <w:p w:rsidR="00FC4E56" w:rsidP="008B417A" w14:paraId="3E4F80C3" w14:textId="77777777">
      <w:pPr>
        <w:spacing w:after="0"/>
        <w:jc w:val="center"/>
        <w:rPr>
          <w:rFonts w:ascii="Times New Roman" w:hAnsi="Times New Roman"/>
          <w:b/>
          <w:sz w:val="24"/>
          <w:szCs w:val="24"/>
        </w:rPr>
      </w:pPr>
      <w:r>
        <w:rPr>
          <w:rFonts w:ascii="Times New Roman" w:hAnsi="Times New Roman"/>
          <w:b/>
          <w:sz w:val="24"/>
          <w:szCs w:val="24"/>
        </w:rPr>
        <w:t>FERC-512</w:t>
      </w:r>
      <w:r w:rsidR="007B3BD8">
        <w:rPr>
          <w:rFonts w:ascii="Times New Roman" w:hAnsi="Times New Roman"/>
          <w:b/>
          <w:sz w:val="24"/>
          <w:szCs w:val="24"/>
        </w:rPr>
        <w:t xml:space="preserve"> (</w:t>
      </w:r>
      <w:r>
        <w:rPr>
          <w:rFonts w:ascii="Times New Roman" w:hAnsi="Times New Roman"/>
          <w:b/>
          <w:sz w:val="24"/>
          <w:szCs w:val="24"/>
        </w:rPr>
        <w:t>Preliminary Permit</w:t>
      </w:r>
      <w:r w:rsidRPr="00035845" w:rsidR="00FD66F1">
        <w:rPr>
          <w:rFonts w:ascii="Times New Roman" w:hAnsi="Times New Roman"/>
          <w:b/>
          <w:sz w:val="24"/>
          <w:szCs w:val="24"/>
        </w:rPr>
        <w:t>)</w:t>
      </w:r>
    </w:p>
    <w:p w:rsidR="002139B5" w:rsidRPr="002139B5" w:rsidP="008B417A" w14:paraId="0B0B948E" w14:textId="77777777">
      <w:pPr>
        <w:spacing w:after="0"/>
        <w:jc w:val="center"/>
        <w:rPr>
          <w:rFonts w:ascii="Times New Roman" w:hAnsi="Times New Roman"/>
          <w:sz w:val="24"/>
          <w:szCs w:val="24"/>
        </w:rPr>
      </w:pPr>
      <w:r>
        <w:rPr>
          <w:rFonts w:ascii="Times New Roman" w:hAnsi="Times New Roman"/>
          <w:sz w:val="24"/>
          <w:szCs w:val="24"/>
        </w:rPr>
        <w:t>(Three-year approval for extension requested)</w:t>
      </w:r>
    </w:p>
    <w:p w:rsidR="00FD66F1" w:rsidP="00FD66F1" w14:paraId="564ECBA6" w14:textId="77777777">
      <w:pPr>
        <w:spacing w:after="0"/>
        <w:jc w:val="center"/>
        <w:rPr>
          <w:rFonts w:ascii="Times New Roman" w:hAnsi="Times New Roman"/>
          <w:sz w:val="24"/>
          <w:szCs w:val="24"/>
        </w:rPr>
      </w:pPr>
    </w:p>
    <w:p w:rsidR="0002242D" w:rsidP="00FD66F1" w14:paraId="27E784C2" w14:textId="77777777">
      <w:pPr>
        <w:spacing w:after="0"/>
        <w:rPr>
          <w:rFonts w:ascii="Times New Roman" w:hAnsi="Times New Roman"/>
          <w:sz w:val="24"/>
          <w:szCs w:val="24"/>
          <w:vertAlign w:val="superscript"/>
        </w:rPr>
      </w:pPr>
      <w:r>
        <w:rPr>
          <w:rFonts w:ascii="Times New Roman" w:hAnsi="Times New Roman"/>
          <w:sz w:val="24"/>
          <w:szCs w:val="24"/>
        </w:rPr>
        <w:t>The Federal Energy Regulatory Commission (FERC o</w:t>
      </w:r>
      <w:r w:rsidR="00FC4E56">
        <w:rPr>
          <w:rFonts w:ascii="Times New Roman" w:hAnsi="Times New Roman"/>
          <w:sz w:val="24"/>
          <w:szCs w:val="24"/>
        </w:rPr>
        <w:t>r</w:t>
      </w:r>
      <w:r>
        <w:rPr>
          <w:rFonts w:ascii="Times New Roman" w:hAnsi="Times New Roman"/>
          <w:sz w:val="24"/>
          <w:szCs w:val="24"/>
        </w:rPr>
        <w:t xml:space="preserve"> Commission) requests that the Office of Management and Budget (OMB)</w:t>
      </w:r>
      <w:r w:rsidR="00811E0F">
        <w:rPr>
          <w:rFonts w:ascii="Times New Roman" w:hAnsi="Times New Roman"/>
          <w:sz w:val="24"/>
          <w:szCs w:val="24"/>
        </w:rPr>
        <w:t xml:space="preserve"> review and approve the FERC-512</w:t>
      </w:r>
      <w:r>
        <w:rPr>
          <w:rFonts w:ascii="Times New Roman" w:hAnsi="Times New Roman"/>
          <w:sz w:val="24"/>
          <w:szCs w:val="24"/>
        </w:rPr>
        <w:t xml:space="preserve"> (</w:t>
      </w:r>
      <w:r w:rsidR="00811E0F">
        <w:rPr>
          <w:rFonts w:ascii="Times New Roman" w:hAnsi="Times New Roman"/>
          <w:sz w:val="24"/>
          <w:szCs w:val="24"/>
        </w:rPr>
        <w:t>Preliminary Permit</w:t>
      </w:r>
      <w:r>
        <w:rPr>
          <w:rFonts w:ascii="Times New Roman" w:hAnsi="Times New Roman"/>
          <w:sz w:val="24"/>
          <w:szCs w:val="24"/>
        </w:rPr>
        <w:t>) information collection</w:t>
      </w:r>
      <w:r w:rsidR="002139B5">
        <w:rPr>
          <w:rFonts w:ascii="Times New Roman" w:hAnsi="Times New Roman"/>
          <w:sz w:val="24"/>
          <w:szCs w:val="24"/>
        </w:rPr>
        <w:t xml:space="preserve"> under OMB Control No. 1902-0073</w:t>
      </w:r>
      <w:r w:rsidR="008B417A">
        <w:rPr>
          <w:rFonts w:ascii="Times New Roman" w:hAnsi="Times New Roman"/>
          <w:sz w:val="24"/>
          <w:szCs w:val="24"/>
        </w:rPr>
        <w:t xml:space="preserve">.  The </w:t>
      </w:r>
      <w:r w:rsidR="002139B5">
        <w:rPr>
          <w:rFonts w:ascii="Times New Roman" w:hAnsi="Times New Roman"/>
          <w:sz w:val="24"/>
          <w:szCs w:val="24"/>
        </w:rPr>
        <w:t>reporting</w:t>
      </w:r>
      <w:r w:rsidR="008B417A">
        <w:rPr>
          <w:rFonts w:ascii="Times New Roman" w:hAnsi="Times New Roman"/>
          <w:sz w:val="24"/>
          <w:szCs w:val="24"/>
        </w:rPr>
        <w:t xml:space="preserve"> requirements are contained in 18 CFR Parts 4.31-4.33, 4.81-4.84, 4.35, 4.36(a) and 4.36(c).</w:t>
      </w:r>
    </w:p>
    <w:p w:rsidR="00796773" w:rsidRPr="00796773" w:rsidP="00FD66F1" w14:paraId="77DCDE11" w14:textId="77777777">
      <w:pPr>
        <w:spacing w:after="0"/>
        <w:rPr>
          <w:rFonts w:ascii="Times New Roman" w:hAnsi="Times New Roman"/>
          <w:sz w:val="24"/>
          <w:szCs w:val="24"/>
        </w:rPr>
      </w:pPr>
    </w:p>
    <w:p w:rsidR="00A72E7B" w:rsidRPr="00EB3E6F" w:rsidP="00A72E7B" w14:paraId="6F4018FA" w14:textId="77777777">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t>CIRCUMSTANCES THAT MAKE THE COLLECTION OF INFORMATION NECESSARY</w:t>
      </w:r>
      <w:r w:rsidR="00350638">
        <w:rPr>
          <w:rFonts w:ascii="Times New Roman" w:hAnsi="Times New Roman"/>
          <w:b/>
          <w:sz w:val="24"/>
          <w:szCs w:val="24"/>
        </w:rPr>
        <w:t xml:space="preserve"> </w:t>
      </w:r>
    </w:p>
    <w:p w:rsidR="00B512F1" w:rsidP="009E7B59" w14:paraId="090B10C1" w14:textId="77777777">
      <w:pPr>
        <w:spacing w:after="0"/>
        <w:jc w:val="center"/>
        <w:rPr>
          <w:rFonts w:ascii="Times New Roman" w:hAnsi="Times New Roman"/>
          <w:b/>
          <w:sz w:val="24"/>
          <w:szCs w:val="24"/>
        </w:rPr>
      </w:pPr>
    </w:p>
    <w:p w:rsidR="000C1B00" w:rsidP="008F39DA" w14:paraId="4EFBC92D" w14:textId="7AE32106">
      <w:pPr>
        <w:spacing w:after="0"/>
        <w:rPr>
          <w:rFonts w:ascii="Times New Roman" w:hAnsi="Times New Roman"/>
          <w:sz w:val="24"/>
          <w:szCs w:val="24"/>
        </w:rPr>
      </w:pPr>
      <w:r w:rsidRPr="000C1B00">
        <w:rPr>
          <w:rFonts w:ascii="Times New Roman" w:hAnsi="Times New Roman"/>
          <w:sz w:val="24"/>
          <w:szCs w:val="24"/>
        </w:rPr>
        <w:t>Sections 4(f)</w:t>
      </w:r>
      <w:r w:rsidRPr="000C1B00">
        <w:rPr>
          <w:rFonts w:ascii="Times New Roman" w:hAnsi="Times New Roman"/>
          <w:b/>
          <w:sz w:val="24"/>
          <w:szCs w:val="24"/>
          <w:vertAlign w:val="superscript"/>
        </w:rPr>
        <w:t xml:space="preserve"> </w:t>
      </w:r>
      <w:r w:rsidRPr="000C1B00">
        <w:rPr>
          <w:rFonts w:ascii="Times New Roman" w:hAnsi="Times New Roman"/>
          <w:sz w:val="24"/>
          <w:szCs w:val="24"/>
        </w:rPr>
        <w:t>and 5(b) of the Federal Power Act authorize the Commission to issue a preliminary permit for a term of up to four years, extend a permit term once for not more than four additional years, and issue an additional permit after the end of an extension period.</w:t>
      </w:r>
    </w:p>
    <w:p w:rsidR="000C1B00" w:rsidP="008F39DA" w14:paraId="27C854B3" w14:textId="642F1595">
      <w:pPr>
        <w:spacing w:after="0"/>
        <w:rPr>
          <w:rFonts w:ascii="Times New Roman" w:hAnsi="Times New Roman"/>
          <w:sz w:val="24"/>
          <w:szCs w:val="24"/>
        </w:rPr>
      </w:pPr>
    </w:p>
    <w:p w:rsidR="000C1B00" w:rsidP="008F39DA" w14:paraId="7D5BF39B" w14:textId="1C9A6C25">
      <w:pPr>
        <w:spacing w:after="0"/>
        <w:rPr>
          <w:rFonts w:ascii="Times New Roman" w:hAnsi="Times New Roman"/>
          <w:sz w:val="24"/>
          <w:szCs w:val="24"/>
        </w:rPr>
      </w:pPr>
      <w:r w:rsidRPr="000C1B00">
        <w:rPr>
          <w:rFonts w:ascii="Times New Roman" w:hAnsi="Times New Roman"/>
          <w:sz w:val="24"/>
          <w:szCs w:val="24"/>
        </w:rPr>
        <w:t xml:space="preserve">The FERC-512 is an application for a preliminary permit or to extend a preliminary permit term.  </w:t>
      </w:r>
    </w:p>
    <w:p w:rsidR="000C1B00" w:rsidP="008F39DA" w14:paraId="6B337DD6" w14:textId="3C7B5C54">
      <w:pPr>
        <w:spacing w:after="0"/>
        <w:rPr>
          <w:rFonts w:ascii="Times New Roman" w:hAnsi="Times New Roman"/>
          <w:sz w:val="24"/>
          <w:szCs w:val="24"/>
        </w:rPr>
      </w:pPr>
      <w:r w:rsidRPr="000C1B00">
        <w:rPr>
          <w:rFonts w:ascii="Times New Roman" w:hAnsi="Times New Roman"/>
          <w:sz w:val="24"/>
          <w:szCs w:val="24"/>
        </w:rPr>
        <w:t xml:space="preserve">The purpose of obtaining a preliminary permit is to maintain priority status for an application for a license while the applicant conducts site examinations and surveys </w:t>
      </w:r>
      <w:r w:rsidRPr="000C1B00">
        <w:rPr>
          <w:rFonts w:ascii="Times New Roman" w:hAnsi="Times New Roman"/>
          <w:sz w:val="24"/>
          <w:szCs w:val="24"/>
        </w:rPr>
        <w:t>to inform a decision on whether to pursue a license for the project, and if so, prepare a license application</w:t>
      </w:r>
      <w:r w:rsidRPr="000C1B00">
        <w:rPr>
          <w:rFonts w:ascii="Times New Roman" w:hAnsi="Times New Roman"/>
          <w:sz w:val="24"/>
          <w:szCs w:val="24"/>
        </w:rPr>
        <w:t xml:space="preserve">.  </w:t>
      </w:r>
      <w:r w:rsidRPr="000C1B00">
        <w:rPr>
          <w:rFonts w:ascii="Times New Roman" w:hAnsi="Times New Roman"/>
          <w:sz w:val="24"/>
          <w:szCs w:val="24"/>
        </w:rPr>
        <w:t xml:space="preserve">A preliminary permit neither authorizes construction of any facilities, nor provides the use of eminent domain to acquire lands for the project.  No application for a preliminary permit or license submitted by another party </w:t>
      </w:r>
      <w:r w:rsidR="009D5CBD">
        <w:rPr>
          <w:rFonts w:ascii="Times New Roman" w:hAnsi="Times New Roman"/>
          <w:sz w:val="24"/>
          <w:szCs w:val="24"/>
        </w:rPr>
        <w:t xml:space="preserve">for the same site </w:t>
      </w:r>
      <w:r w:rsidRPr="000C1B00">
        <w:rPr>
          <w:rFonts w:ascii="Times New Roman" w:hAnsi="Times New Roman"/>
          <w:sz w:val="24"/>
          <w:szCs w:val="24"/>
        </w:rPr>
        <w:t xml:space="preserve">can be accepted during the permit term.  </w:t>
      </w:r>
    </w:p>
    <w:p w:rsidR="008F3C7D" w:rsidP="00F55094" w14:paraId="5DB1AAA0" w14:textId="77777777">
      <w:pPr>
        <w:spacing w:after="0"/>
        <w:rPr>
          <w:rFonts w:ascii="Times New Roman" w:hAnsi="Times New Roman"/>
          <w:sz w:val="24"/>
          <w:szCs w:val="24"/>
        </w:rPr>
      </w:pPr>
    </w:p>
    <w:p w:rsidR="00A72E7B" w:rsidRPr="00EB3E6F" w:rsidP="00A72E7B" w14:paraId="0AB5BE1F" w14:textId="77777777">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t>HOW, BY WHOM, AND FOR WHAT PURPOSE THE INFORMATION IS TO BE USED AND THE CONSEQUENCES OF NOT COLLECTING THE INFORMATION</w:t>
      </w:r>
    </w:p>
    <w:p w:rsidR="003F655D" w:rsidP="00EB3E6F" w14:paraId="794B6DCB" w14:textId="77777777">
      <w:pPr>
        <w:spacing w:after="0"/>
        <w:rPr>
          <w:rFonts w:ascii="Times New Roman" w:hAnsi="Times New Roman"/>
          <w:sz w:val="24"/>
          <w:szCs w:val="24"/>
        </w:rPr>
      </w:pPr>
      <w:r>
        <w:rPr>
          <w:rFonts w:ascii="Times New Roman" w:hAnsi="Times New Roman"/>
          <w:sz w:val="24"/>
          <w:szCs w:val="24"/>
        </w:rPr>
        <w:t xml:space="preserve"> </w:t>
      </w:r>
    </w:p>
    <w:p w:rsidR="005635C0" w:rsidP="000C1B00" w14:paraId="05CA5B39" w14:textId="35C9B215">
      <w:pPr>
        <w:spacing w:after="0"/>
        <w:rPr>
          <w:rFonts w:ascii="Times New Roman" w:hAnsi="Times New Roman"/>
          <w:sz w:val="24"/>
          <w:szCs w:val="24"/>
        </w:rPr>
      </w:pPr>
      <w:r w:rsidRPr="000C1B00">
        <w:rPr>
          <w:rFonts w:ascii="Times New Roman" w:hAnsi="Times New Roman"/>
          <w:sz w:val="24"/>
          <w:szCs w:val="24"/>
        </w:rPr>
        <w:t xml:space="preserve">Commission staff review preliminary permit applications to assess the scope of the proposed project, the technology to be used, and jurisdictional aspects of the project.  The staff assessment includes a review of the proposed hydro development for conflicts with other current permits or licensed projects, and issuance of public notice of the permit application to solicit public and agency comments.  An application for a preliminary permit </w:t>
      </w:r>
      <w:r w:rsidR="009D5CBD">
        <w:rPr>
          <w:rFonts w:ascii="Times New Roman" w:hAnsi="Times New Roman"/>
          <w:sz w:val="24"/>
          <w:szCs w:val="24"/>
        </w:rPr>
        <w:t xml:space="preserve">or an extension of a preliminary permit term </w:t>
      </w:r>
      <w:r w:rsidRPr="000C1B00">
        <w:rPr>
          <w:rFonts w:ascii="Times New Roman" w:hAnsi="Times New Roman"/>
          <w:sz w:val="24"/>
          <w:szCs w:val="24"/>
        </w:rPr>
        <w:t xml:space="preserve">includes the applicant’s name and contact information, </w:t>
      </w:r>
      <w:r w:rsidR="009D5CBD">
        <w:rPr>
          <w:rFonts w:ascii="Times New Roman" w:hAnsi="Times New Roman"/>
          <w:sz w:val="24"/>
          <w:szCs w:val="24"/>
        </w:rPr>
        <w:t xml:space="preserve">and as relevant, </w:t>
      </w:r>
      <w:r w:rsidRPr="000C1B00">
        <w:rPr>
          <w:rFonts w:ascii="Times New Roman" w:hAnsi="Times New Roman"/>
          <w:sz w:val="24"/>
          <w:szCs w:val="24"/>
        </w:rPr>
        <w:t>a description of the proposed project, the requested term of the permit, names and addresses of the affected political jurisdictions, a verification of the application’s facts, and three</w:t>
      </w:r>
      <w:r w:rsidRPr="000C1B00">
        <w:rPr>
          <w:rFonts w:ascii="Times New Roman" w:hAnsi="Times New Roman"/>
          <w:sz w:val="24"/>
          <w:szCs w:val="24"/>
        </w:rPr>
        <w:t xml:space="preserve"> </w:t>
      </w:r>
      <w:r w:rsidRPr="000C1B00">
        <w:rPr>
          <w:rFonts w:ascii="Times New Roman" w:hAnsi="Times New Roman"/>
          <w:sz w:val="24"/>
          <w:szCs w:val="24"/>
        </w:rPr>
        <w:t xml:space="preserve">exhibits, per 18 CFR 4.81.  </w:t>
      </w:r>
    </w:p>
    <w:p w:rsidR="000C1B00" w:rsidRPr="00EB3E6F" w:rsidP="000C1B00" w14:paraId="41998151" w14:textId="77777777">
      <w:pPr>
        <w:spacing w:after="0"/>
        <w:rPr>
          <w:rFonts w:ascii="Times New Roman" w:hAnsi="Times New Roman"/>
          <w:sz w:val="24"/>
          <w:szCs w:val="24"/>
        </w:rPr>
      </w:pPr>
    </w:p>
    <w:p w:rsidR="00EB3E6F" w:rsidRPr="00EB3E6F" w:rsidP="00A72E7B" w14:paraId="3F1A4936" w14:textId="77777777">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t>DESCRIBE ANY CONSIDERATION OF THE USE OF IMPROVED INFORMATION TECHNOLOGY TO REDUCE THE BURDEN AND TECHNICAL OR LEGAL OBSTACLES TO REDUCING BURDEN</w:t>
      </w:r>
    </w:p>
    <w:p w:rsidR="00EB3E6F" w:rsidP="00EB3E6F" w14:paraId="6E777C99" w14:textId="77777777">
      <w:pPr>
        <w:spacing w:after="0"/>
        <w:rPr>
          <w:rFonts w:ascii="Times New Roman" w:hAnsi="Times New Roman"/>
          <w:sz w:val="24"/>
          <w:szCs w:val="24"/>
        </w:rPr>
      </w:pPr>
    </w:p>
    <w:p w:rsidR="00843C1E" w:rsidP="00EB3E6F" w14:paraId="78F3ED91" w14:textId="77777777">
      <w:pPr>
        <w:spacing w:after="0"/>
        <w:rPr>
          <w:rFonts w:ascii="Times New Roman" w:hAnsi="Times New Roman"/>
          <w:sz w:val="24"/>
          <w:szCs w:val="24"/>
        </w:rPr>
      </w:pPr>
      <w:r>
        <w:rPr>
          <w:rFonts w:ascii="Times New Roman" w:hAnsi="Times New Roman"/>
          <w:sz w:val="24"/>
          <w:szCs w:val="24"/>
        </w:rPr>
        <w:t xml:space="preserve">FERC continually considers </w:t>
      </w:r>
      <w:r w:rsidRPr="00383CFD">
        <w:rPr>
          <w:rFonts w:ascii="Times New Roman" w:hAnsi="Times New Roman"/>
          <w:sz w:val="24"/>
          <w:szCs w:val="24"/>
        </w:rPr>
        <w:t>the use of improved information technology to reduce burden in the filing requirements for submission of information</w:t>
      </w:r>
      <w:r>
        <w:rPr>
          <w:rFonts w:ascii="Times New Roman" w:hAnsi="Times New Roman"/>
          <w:sz w:val="24"/>
          <w:szCs w:val="24"/>
        </w:rPr>
        <w:t>.</w:t>
      </w:r>
    </w:p>
    <w:p w:rsidR="00843C1E" w:rsidP="00EB3E6F" w14:paraId="40EDDAC6" w14:textId="77777777">
      <w:pPr>
        <w:spacing w:after="0"/>
        <w:rPr>
          <w:rFonts w:ascii="Times New Roman" w:hAnsi="Times New Roman"/>
          <w:sz w:val="24"/>
          <w:szCs w:val="24"/>
        </w:rPr>
      </w:pPr>
    </w:p>
    <w:p w:rsidR="00843C1E" w:rsidP="002139B5" w14:paraId="7FEEA495" w14:textId="77777777">
      <w:pPr>
        <w:spacing w:after="0"/>
        <w:rPr>
          <w:rFonts w:ascii="Times New Roman" w:hAnsi="Times New Roman"/>
          <w:sz w:val="24"/>
          <w:szCs w:val="24"/>
        </w:rPr>
      </w:pPr>
      <w:r w:rsidRPr="00137317">
        <w:rPr>
          <w:rFonts w:ascii="Times New Roman" w:hAnsi="Times New Roman"/>
          <w:sz w:val="24"/>
          <w:szCs w:val="24"/>
        </w:rPr>
        <w:t xml:space="preserve">The Commission </w:t>
      </w:r>
      <w:r w:rsidR="009A410C">
        <w:rPr>
          <w:rFonts w:ascii="Times New Roman" w:hAnsi="Times New Roman"/>
          <w:sz w:val="24"/>
          <w:szCs w:val="24"/>
        </w:rPr>
        <w:t>allows eFiling of</w:t>
      </w:r>
      <w:r w:rsidRPr="00137317">
        <w:rPr>
          <w:rFonts w:ascii="Times New Roman" w:hAnsi="Times New Roman"/>
          <w:sz w:val="24"/>
          <w:szCs w:val="24"/>
        </w:rPr>
        <w:t xml:space="preserve"> </w:t>
      </w:r>
      <w:r w:rsidR="00796773">
        <w:rPr>
          <w:rFonts w:ascii="Times New Roman" w:hAnsi="Times New Roman"/>
          <w:sz w:val="24"/>
          <w:szCs w:val="24"/>
        </w:rPr>
        <w:t>the</w:t>
      </w:r>
      <w:r w:rsidR="005821D4">
        <w:rPr>
          <w:rFonts w:ascii="Times New Roman" w:hAnsi="Times New Roman"/>
          <w:sz w:val="24"/>
          <w:szCs w:val="24"/>
        </w:rPr>
        <w:t xml:space="preserve"> </w:t>
      </w:r>
      <w:r w:rsidR="006F0D86">
        <w:rPr>
          <w:rFonts w:ascii="Times New Roman" w:hAnsi="Times New Roman"/>
          <w:sz w:val="24"/>
          <w:szCs w:val="24"/>
        </w:rPr>
        <w:t>FERC-512</w:t>
      </w:r>
      <w:r w:rsidR="002139B5">
        <w:rPr>
          <w:rFonts w:ascii="Times New Roman" w:hAnsi="Times New Roman"/>
          <w:sz w:val="24"/>
          <w:szCs w:val="24"/>
        </w:rPr>
        <w:t xml:space="preserve"> application.  </w:t>
      </w:r>
      <w:r>
        <w:rPr>
          <w:rFonts w:ascii="Times New Roman" w:hAnsi="Times New Roman"/>
          <w:sz w:val="24"/>
          <w:szCs w:val="24"/>
        </w:rPr>
        <w:t xml:space="preserve">See </w:t>
      </w:r>
      <w:hyperlink r:id="rId12" w:history="1">
        <w:r w:rsidRPr="006363B9" w:rsidR="006363B9">
          <w:rPr>
            <w:rStyle w:val="Hyperlink"/>
            <w:rFonts w:ascii="Times New Roman" w:hAnsi="Times New Roman"/>
            <w:sz w:val="24"/>
            <w:szCs w:val="24"/>
          </w:rPr>
          <w:t>http://www.ferc.gov/docs-filing/efiling.asp</w:t>
        </w:r>
      </w:hyperlink>
      <w:r>
        <w:rPr>
          <w:rFonts w:ascii="Times New Roman" w:hAnsi="Times New Roman"/>
          <w:sz w:val="24"/>
          <w:szCs w:val="24"/>
        </w:rPr>
        <w:t xml:space="preserve"> for more details and information.</w:t>
      </w:r>
    </w:p>
    <w:p w:rsidR="00EB3E6F" w:rsidRPr="00EB3E6F" w:rsidP="00EB3E6F" w14:paraId="012CF35A" w14:textId="77777777">
      <w:pPr>
        <w:spacing w:after="0"/>
        <w:rPr>
          <w:rFonts w:ascii="Times New Roman" w:hAnsi="Times New Roman"/>
          <w:sz w:val="24"/>
          <w:szCs w:val="24"/>
        </w:rPr>
      </w:pPr>
    </w:p>
    <w:p w:rsidR="00EB3E6F" w:rsidRPr="00EB3E6F" w:rsidP="00A72E7B" w14:paraId="348063B1" w14:textId="77777777">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t>DESCRIBE EFFORTS TO IDENTIF</w:t>
      </w:r>
      <w:r w:rsidR="00074DC8">
        <w:rPr>
          <w:rFonts w:ascii="Times New Roman" w:hAnsi="Times New Roman"/>
          <w:b/>
          <w:sz w:val="24"/>
          <w:szCs w:val="24"/>
        </w:rPr>
        <w:t>Y</w:t>
      </w:r>
      <w:r w:rsidRPr="00EB3E6F">
        <w:rPr>
          <w:rFonts w:ascii="Times New Roman" w:hAnsi="Times New Roman"/>
          <w:b/>
          <w:sz w:val="24"/>
          <w:szCs w:val="24"/>
        </w:rPr>
        <w:t xml:space="preserve"> DUPLICATION AND SHOW SPECIFICALLY WHY ANY SIMILAR INFORMATION ALREADY AVAILABLE CANNOT BE USED OR MODIFIED FOR USE FOR THE PURPOSE(S) DESCRIBED IN INSTRUCTION NO. 2</w:t>
      </w:r>
    </w:p>
    <w:p w:rsidR="00EB3E6F" w:rsidP="00EB3E6F" w14:paraId="3C7D4648" w14:textId="77777777">
      <w:pPr>
        <w:spacing w:after="0"/>
        <w:rPr>
          <w:rFonts w:ascii="Times New Roman" w:hAnsi="Times New Roman"/>
          <w:sz w:val="24"/>
          <w:szCs w:val="24"/>
        </w:rPr>
      </w:pPr>
    </w:p>
    <w:p w:rsidR="00843C1E" w:rsidRPr="00843C1E" w:rsidP="00843C1E" w14:paraId="2CFE1A5A" w14:textId="77777777">
      <w:pPr>
        <w:spacing w:after="0"/>
        <w:rPr>
          <w:rFonts w:ascii="Times New Roman" w:hAnsi="Times New Roman"/>
          <w:sz w:val="24"/>
          <w:szCs w:val="24"/>
        </w:rPr>
      </w:pPr>
      <w:r>
        <w:rPr>
          <w:rFonts w:ascii="Times New Roman" w:hAnsi="Times New Roman"/>
          <w:sz w:val="24"/>
          <w:szCs w:val="24"/>
        </w:rPr>
        <w:t>No similar information is available; these are case-specific applications for a benefit</w:t>
      </w:r>
      <w:r w:rsidR="00F267F9">
        <w:rPr>
          <w:rFonts w:ascii="Times New Roman" w:hAnsi="Times New Roman"/>
          <w:sz w:val="24"/>
          <w:szCs w:val="24"/>
        </w:rPr>
        <w:t xml:space="preserve"> </w:t>
      </w:r>
      <w:r w:rsidR="000E03BB">
        <w:rPr>
          <w:rFonts w:ascii="Times New Roman" w:hAnsi="Times New Roman"/>
          <w:sz w:val="24"/>
          <w:szCs w:val="24"/>
        </w:rPr>
        <w:t xml:space="preserve">(e.g., permit) </w:t>
      </w:r>
      <w:r w:rsidR="00F267F9">
        <w:rPr>
          <w:rFonts w:ascii="Times New Roman" w:hAnsi="Times New Roman"/>
          <w:sz w:val="24"/>
          <w:szCs w:val="24"/>
        </w:rPr>
        <w:t>and are unique to the applicant and the site for which the filing is made</w:t>
      </w:r>
      <w:r>
        <w:rPr>
          <w:rFonts w:ascii="Times New Roman" w:hAnsi="Times New Roman"/>
          <w:sz w:val="24"/>
          <w:szCs w:val="24"/>
        </w:rPr>
        <w:t>.</w:t>
      </w:r>
    </w:p>
    <w:p w:rsidR="00EB3E6F" w:rsidRPr="00EB3E6F" w:rsidP="00EB3E6F" w14:paraId="2B45B6EE" w14:textId="77777777">
      <w:pPr>
        <w:spacing w:after="0"/>
        <w:rPr>
          <w:rFonts w:ascii="Times New Roman" w:hAnsi="Times New Roman"/>
          <w:sz w:val="24"/>
          <w:szCs w:val="24"/>
        </w:rPr>
      </w:pPr>
    </w:p>
    <w:p w:rsidR="00EB3E6F" w:rsidRPr="00EB3E6F" w:rsidP="00A72E7B" w14:paraId="2C877FD6" w14:textId="77777777">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t>METHODS USED TO MINIMIZE THE BURDEN IN COLLECTION OF INFORMATION INVOLVING SMALL ENTITIES</w:t>
      </w:r>
    </w:p>
    <w:p w:rsidR="00EB3E6F" w:rsidP="00EB3E6F" w14:paraId="653FF122" w14:textId="77777777">
      <w:pPr>
        <w:spacing w:after="0"/>
        <w:rPr>
          <w:rFonts w:ascii="Times New Roman" w:hAnsi="Times New Roman"/>
          <w:sz w:val="24"/>
          <w:szCs w:val="24"/>
        </w:rPr>
      </w:pPr>
    </w:p>
    <w:p w:rsidR="00214E8D" w:rsidRPr="00214E8D" w:rsidP="00214E8D" w14:paraId="61128EA0" w14:textId="65568920">
      <w:pPr>
        <w:spacing w:after="0"/>
        <w:rPr>
          <w:rFonts w:ascii="Times New Roman" w:hAnsi="Times New Roman"/>
          <w:sz w:val="24"/>
          <w:szCs w:val="24"/>
        </w:rPr>
      </w:pPr>
      <w:r w:rsidRPr="00214E8D">
        <w:rPr>
          <w:rFonts w:ascii="Times New Roman" w:hAnsi="Times New Roman"/>
          <w:sz w:val="24"/>
          <w:szCs w:val="24"/>
        </w:rPr>
        <w:t xml:space="preserve">The </w:t>
      </w:r>
      <w:r w:rsidR="00297CB0">
        <w:rPr>
          <w:rFonts w:ascii="Times New Roman" w:hAnsi="Times New Roman"/>
          <w:sz w:val="24"/>
          <w:szCs w:val="24"/>
        </w:rPr>
        <w:t xml:space="preserve">FERC-512 </w:t>
      </w:r>
      <w:r w:rsidRPr="00214E8D">
        <w:rPr>
          <w:rFonts w:ascii="Times New Roman" w:hAnsi="Times New Roman"/>
          <w:sz w:val="24"/>
          <w:szCs w:val="24"/>
        </w:rPr>
        <w:t>reporting requirements are basic filing requirements pertaining to all applications for a preliminary permit</w:t>
      </w:r>
      <w:r w:rsidR="001A4518">
        <w:rPr>
          <w:rFonts w:ascii="Times New Roman" w:hAnsi="Times New Roman"/>
          <w:sz w:val="24"/>
          <w:szCs w:val="24"/>
        </w:rPr>
        <w:t xml:space="preserve"> or for a</w:t>
      </w:r>
      <w:r w:rsidR="000C1B00">
        <w:rPr>
          <w:rFonts w:ascii="Times New Roman" w:hAnsi="Times New Roman"/>
          <w:sz w:val="24"/>
          <w:szCs w:val="24"/>
        </w:rPr>
        <w:t>n</w:t>
      </w:r>
      <w:r w:rsidR="001A4518">
        <w:rPr>
          <w:rFonts w:ascii="Times New Roman" w:hAnsi="Times New Roman"/>
          <w:sz w:val="24"/>
          <w:szCs w:val="24"/>
        </w:rPr>
        <w:t xml:space="preserve"> extension of a preliminary permit</w:t>
      </w:r>
      <w:r w:rsidRPr="00214E8D">
        <w:rPr>
          <w:rFonts w:ascii="Times New Roman" w:hAnsi="Times New Roman"/>
          <w:sz w:val="24"/>
          <w:szCs w:val="24"/>
        </w:rPr>
        <w:t>.  The data required impose the least possible burden on applicants while collecting information required to process the information.</w:t>
      </w:r>
    </w:p>
    <w:p w:rsidR="0003797A" w:rsidRPr="00EB3E6F" w:rsidP="00EB3E6F" w14:paraId="1FF671D5" w14:textId="77777777">
      <w:pPr>
        <w:spacing w:after="0"/>
        <w:rPr>
          <w:rFonts w:ascii="Times New Roman" w:hAnsi="Times New Roman"/>
          <w:sz w:val="24"/>
          <w:szCs w:val="24"/>
        </w:rPr>
      </w:pPr>
    </w:p>
    <w:p w:rsidR="00EB3E6F" w:rsidRPr="00D80FBD" w:rsidP="00A72E7B" w14:paraId="4C79CCD3" w14:textId="77777777">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CONSEQUENCE TO FEDERAL PROGRAM IF COLLECTION WERE CONDUCTED LESS FREQUENTLY</w:t>
      </w:r>
    </w:p>
    <w:p w:rsidR="009A6A14" w:rsidP="00EB3E6F" w14:paraId="77B38953" w14:textId="77777777">
      <w:pPr>
        <w:spacing w:after="0"/>
        <w:rPr>
          <w:rFonts w:ascii="Times New Roman" w:hAnsi="Times New Roman"/>
          <w:sz w:val="24"/>
          <w:szCs w:val="24"/>
        </w:rPr>
      </w:pPr>
    </w:p>
    <w:p w:rsidR="00214E8D" w:rsidRPr="00214E8D" w:rsidP="00214E8D" w14:paraId="3DA82AB7" w14:textId="77015E09">
      <w:pPr>
        <w:spacing w:after="0"/>
        <w:rPr>
          <w:rFonts w:ascii="Times New Roman" w:hAnsi="Times New Roman"/>
          <w:sz w:val="24"/>
          <w:szCs w:val="24"/>
        </w:rPr>
      </w:pPr>
      <w:r w:rsidRPr="00214E8D">
        <w:rPr>
          <w:rFonts w:ascii="Times New Roman" w:hAnsi="Times New Roman"/>
          <w:sz w:val="24"/>
          <w:szCs w:val="24"/>
        </w:rPr>
        <w:t>If the information were not collected, the potential license applicant(s) would have no means to establish priority for future development of the site (</w:t>
      </w:r>
      <w:r w:rsidRPr="00214E8D">
        <w:rPr>
          <w:rFonts w:ascii="Times New Roman" w:hAnsi="Times New Roman"/>
          <w:sz w:val="24"/>
          <w:szCs w:val="24"/>
        </w:rPr>
        <w:t>i.e.</w:t>
      </w:r>
      <w:r w:rsidRPr="00214E8D">
        <w:rPr>
          <w:rFonts w:ascii="Times New Roman" w:hAnsi="Times New Roman"/>
          <w:sz w:val="24"/>
          <w:szCs w:val="24"/>
        </w:rPr>
        <w:t xml:space="preserve"> hold the site while studies are conducted to determine the feasibility of hydropower development).  The lack of priority would place potential license applicants at greater financial risk in pursuing </w:t>
      </w:r>
      <w:r w:rsidRPr="00214E8D" w:rsidR="00C1288B">
        <w:rPr>
          <w:rFonts w:ascii="Times New Roman" w:hAnsi="Times New Roman"/>
          <w:sz w:val="24"/>
          <w:szCs w:val="24"/>
        </w:rPr>
        <w:t>hydropower and</w:t>
      </w:r>
      <w:r w:rsidRPr="00214E8D">
        <w:rPr>
          <w:rFonts w:ascii="Times New Roman" w:hAnsi="Times New Roman"/>
          <w:sz w:val="24"/>
          <w:szCs w:val="24"/>
        </w:rPr>
        <w:t xml:space="preserve"> could</w:t>
      </w:r>
      <w:r w:rsidR="00495E0C">
        <w:rPr>
          <w:rFonts w:ascii="Times New Roman" w:hAnsi="Times New Roman"/>
          <w:sz w:val="24"/>
          <w:szCs w:val="24"/>
        </w:rPr>
        <w:t xml:space="preserve"> discourage </w:t>
      </w:r>
      <w:r w:rsidRPr="00214E8D">
        <w:rPr>
          <w:rFonts w:ascii="Times New Roman" w:hAnsi="Times New Roman"/>
          <w:sz w:val="24"/>
          <w:szCs w:val="24"/>
        </w:rPr>
        <w:t xml:space="preserve">developers </w:t>
      </w:r>
      <w:r w:rsidR="00495E0C">
        <w:rPr>
          <w:rFonts w:ascii="Times New Roman" w:hAnsi="Times New Roman"/>
          <w:sz w:val="24"/>
          <w:szCs w:val="24"/>
        </w:rPr>
        <w:t xml:space="preserve">from </w:t>
      </w:r>
      <w:r w:rsidRPr="00214E8D">
        <w:rPr>
          <w:rFonts w:ascii="Times New Roman" w:hAnsi="Times New Roman"/>
          <w:sz w:val="24"/>
          <w:szCs w:val="24"/>
        </w:rPr>
        <w:t>pursu</w:t>
      </w:r>
      <w:r w:rsidR="00495E0C">
        <w:rPr>
          <w:rFonts w:ascii="Times New Roman" w:hAnsi="Times New Roman"/>
          <w:sz w:val="24"/>
          <w:szCs w:val="24"/>
        </w:rPr>
        <w:t xml:space="preserve">ing </w:t>
      </w:r>
      <w:r w:rsidRPr="00214E8D">
        <w:rPr>
          <w:rFonts w:ascii="Times New Roman" w:hAnsi="Times New Roman"/>
          <w:sz w:val="24"/>
          <w:szCs w:val="24"/>
        </w:rPr>
        <w:t>hydropower.  The collection could not be made less frequently since it is made only once upon the filing of the permit application</w:t>
      </w:r>
      <w:r w:rsidR="009F799D">
        <w:rPr>
          <w:rFonts w:ascii="Times New Roman" w:hAnsi="Times New Roman"/>
          <w:sz w:val="24"/>
          <w:szCs w:val="24"/>
        </w:rPr>
        <w:t xml:space="preserve"> and once for a one-time </w:t>
      </w:r>
      <w:r w:rsidR="00023321">
        <w:rPr>
          <w:rFonts w:ascii="Times New Roman" w:hAnsi="Times New Roman"/>
          <w:sz w:val="24"/>
          <w:szCs w:val="24"/>
        </w:rPr>
        <w:t xml:space="preserve">extension of </w:t>
      </w:r>
      <w:r w:rsidR="00A64347">
        <w:rPr>
          <w:rFonts w:ascii="Times New Roman" w:hAnsi="Times New Roman"/>
          <w:sz w:val="24"/>
          <w:szCs w:val="24"/>
        </w:rPr>
        <w:t xml:space="preserve">up to </w:t>
      </w:r>
      <w:r w:rsidR="00E76416">
        <w:rPr>
          <w:rFonts w:ascii="Times New Roman" w:hAnsi="Times New Roman"/>
          <w:sz w:val="24"/>
          <w:szCs w:val="24"/>
        </w:rPr>
        <w:t>four</w:t>
      </w:r>
      <w:r w:rsidR="00A64347">
        <w:rPr>
          <w:rFonts w:ascii="Times New Roman" w:hAnsi="Times New Roman"/>
          <w:sz w:val="24"/>
          <w:szCs w:val="24"/>
        </w:rPr>
        <w:t xml:space="preserve"> </w:t>
      </w:r>
      <w:r w:rsidR="009F799D">
        <w:rPr>
          <w:rFonts w:ascii="Times New Roman" w:hAnsi="Times New Roman"/>
          <w:sz w:val="24"/>
          <w:szCs w:val="24"/>
        </w:rPr>
        <w:t>year</w:t>
      </w:r>
      <w:r w:rsidR="00023321">
        <w:rPr>
          <w:rFonts w:ascii="Times New Roman" w:hAnsi="Times New Roman"/>
          <w:sz w:val="24"/>
          <w:szCs w:val="24"/>
        </w:rPr>
        <w:t>s</w:t>
      </w:r>
      <w:r w:rsidRPr="00214E8D">
        <w:rPr>
          <w:rFonts w:ascii="Times New Roman" w:hAnsi="Times New Roman"/>
          <w:sz w:val="24"/>
          <w:szCs w:val="24"/>
        </w:rPr>
        <w:t xml:space="preserve">.  </w:t>
      </w:r>
    </w:p>
    <w:p w:rsidR="00EB3E6F" w:rsidRPr="00EB3E6F" w:rsidP="00EB3E6F" w14:paraId="777B882B" w14:textId="77777777">
      <w:pPr>
        <w:spacing w:after="0"/>
        <w:rPr>
          <w:rFonts w:ascii="Times New Roman" w:hAnsi="Times New Roman"/>
          <w:sz w:val="24"/>
          <w:szCs w:val="24"/>
        </w:rPr>
      </w:pPr>
    </w:p>
    <w:p w:rsidR="00EB3E6F" w:rsidRPr="00D80FBD" w:rsidP="00A72E7B" w14:paraId="5923C3B8" w14:textId="77777777">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EXPLAIN ANY SPECIAL CIRCUMSTANCES RELATING TO THE INFORMATION COLLECTION</w:t>
      </w:r>
    </w:p>
    <w:p w:rsidR="00EB3E6F" w:rsidP="00EB3E6F" w14:paraId="4C184B7A" w14:textId="77777777">
      <w:pPr>
        <w:spacing w:after="0"/>
        <w:rPr>
          <w:rFonts w:ascii="Times New Roman" w:hAnsi="Times New Roman"/>
          <w:sz w:val="24"/>
          <w:szCs w:val="24"/>
        </w:rPr>
      </w:pPr>
    </w:p>
    <w:p w:rsidR="00214E8D" w:rsidRPr="00214E8D" w:rsidP="00214E8D" w14:paraId="5B1454CB" w14:textId="77777777">
      <w:pPr>
        <w:spacing w:after="0"/>
        <w:rPr>
          <w:rFonts w:ascii="Times New Roman" w:hAnsi="Times New Roman"/>
          <w:b/>
          <w:sz w:val="24"/>
          <w:szCs w:val="24"/>
        </w:rPr>
      </w:pPr>
      <w:r>
        <w:rPr>
          <w:rFonts w:ascii="Times New Roman" w:hAnsi="Times New Roman"/>
          <w:sz w:val="24"/>
          <w:szCs w:val="24"/>
        </w:rPr>
        <w:t>There are no special circumstances related to this information collection.</w:t>
      </w:r>
    </w:p>
    <w:p w:rsidR="00EB3E6F" w:rsidRPr="00EB3E6F" w:rsidP="00EB3E6F" w14:paraId="3605E8E8" w14:textId="77777777">
      <w:pPr>
        <w:spacing w:after="0"/>
        <w:rPr>
          <w:rFonts w:ascii="Times New Roman" w:hAnsi="Times New Roman"/>
          <w:sz w:val="24"/>
          <w:szCs w:val="24"/>
        </w:rPr>
      </w:pPr>
    </w:p>
    <w:p w:rsidR="00EB3E6F" w:rsidRPr="00FB42BC" w:rsidP="00A72E7B" w14:paraId="1BC4DB1C" w14:textId="77777777">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 xml:space="preserve">DESCRIBE EFFORTS TO CONSULT OUTSIDE THE AGENCY: SUMMARIZE </w:t>
      </w:r>
      <w:r w:rsidRPr="00FB42BC">
        <w:rPr>
          <w:rFonts w:ascii="Times New Roman" w:hAnsi="Times New Roman"/>
          <w:b/>
          <w:sz w:val="24"/>
          <w:szCs w:val="24"/>
        </w:rPr>
        <w:t>PUBLIC COMMENTS AND THE AGENCY’S RESPONSE</w:t>
      </w:r>
    </w:p>
    <w:p w:rsidR="00FB42BC" w:rsidRPr="00FB42BC" w:rsidP="00FB42BC" w14:paraId="6A1677F1" w14:textId="519FEB2E">
      <w:pPr>
        <w:rPr>
          <w:rFonts w:ascii="Times New Roman" w:hAnsi="Times New Roman"/>
          <w:sz w:val="24"/>
          <w:szCs w:val="24"/>
        </w:rPr>
      </w:pPr>
      <w:r w:rsidRPr="00FB42BC">
        <w:rPr>
          <w:rFonts w:ascii="Times New Roman" w:hAnsi="Times New Roman"/>
          <w:sz w:val="24"/>
          <w:szCs w:val="24"/>
        </w:rPr>
        <w:t>In accordance with OMB requirements, the Commission published a 60-day notice</w:t>
      </w:r>
      <w:r>
        <w:rPr>
          <w:rFonts w:ascii="Times New Roman" w:hAnsi="Times New Roman"/>
          <w:sz w:val="24"/>
          <w:szCs w:val="24"/>
          <w:vertAlign w:val="superscript"/>
        </w:rPr>
        <w:footnoteReference w:id="2"/>
      </w:r>
      <w:r w:rsidRPr="00FB42BC">
        <w:rPr>
          <w:rFonts w:ascii="Times New Roman" w:hAnsi="Times New Roman"/>
          <w:sz w:val="24"/>
          <w:szCs w:val="24"/>
        </w:rPr>
        <w:t xml:space="preserve"> and a 30-day notice</w:t>
      </w:r>
      <w:r>
        <w:rPr>
          <w:rFonts w:ascii="Times New Roman" w:hAnsi="Times New Roman"/>
          <w:sz w:val="24"/>
          <w:szCs w:val="24"/>
          <w:vertAlign w:val="superscript"/>
        </w:rPr>
        <w:footnoteReference w:id="3"/>
      </w:r>
      <w:r w:rsidRPr="00FB42BC">
        <w:rPr>
          <w:rFonts w:ascii="Times New Roman" w:hAnsi="Times New Roman"/>
          <w:sz w:val="24"/>
          <w:szCs w:val="24"/>
        </w:rPr>
        <w:t xml:space="preserve"> to the public regarding this inform</w:t>
      </w:r>
      <w:r w:rsidR="008A2A36">
        <w:rPr>
          <w:rFonts w:ascii="Times New Roman" w:hAnsi="Times New Roman"/>
          <w:sz w:val="24"/>
          <w:szCs w:val="24"/>
        </w:rPr>
        <w:t xml:space="preserve">ation collection on </w:t>
      </w:r>
      <w:r w:rsidR="004044CA">
        <w:rPr>
          <w:rFonts w:ascii="Times New Roman" w:hAnsi="Times New Roman"/>
          <w:sz w:val="24"/>
          <w:szCs w:val="24"/>
        </w:rPr>
        <w:t>February 5, 2024,</w:t>
      </w:r>
      <w:r w:rsidR="000D0E16">
        <w:rPr>
          <w:rFonts w:ascii="Times New Roman" w:hAnsi="Times New Roman"/>
          <w:sz w:val="24"/>
          <w:szCs w:val="24"/>
        </w:rPr>
        <w:t xml:space="preserve"> and </w:t>
      </w:r>
      <w:r w:rsidR="00052D81">
        <w:rPr>
          <w:rFonts w:ascii="Times New Roman" w:hAnsi="Times New Roman"/>
          <w:sz w:val="24"/>
          <w:szCs w:val="24"/>
        </w:rPr>
        <w:t xml:space="preserve">April </w:t>
      </w:r>
      <w:r w:rsidR="00B0228A">
        <w:rPr>
          <w:rFonts w:ascii="Times New Roman" w:hAnsi="Times New Roman"/>
          <w:sz w:val="24"/>
          <w:szCs w:val="24"/>
        </w:rPr>
        <w:t>23</w:t>
      </w:r>
      <w:r w:rsidR="00375496">
        <w:rPr>
          <w:rFonts w:ascii="Times New Roman" w:hAnsi="Times New Roman"/>
          <w:sz w:val="24"/>
          <w:szCs w:val="24"/>
        </w:rPr>
        <w:t xml:space="preserve">, </w:t>
      </w:r>
      <w:r w:rsidR="00052D81">
        <w:rPr>
          <w:rFonts w:ascii="Times New Roman" w:hAnsi="Times New Roman"/>
          <w:sz w:val="24"/>
          <w:szCs w:val="24"/>
        </w:rPr>
        <w:t>2024,</w:t>
      </w:r>
      <w:r w:rsidR="00375496">
        <w:rPr>
          <w:rFonts w:ascii="Times New Roman" w:hAnsi="Times New Roman"/>
          <w:sz w:val="24"/>
          <w:szCs w:val="24"/>
        </w:rPr>
        <w:t xml:space="preserve"> </w:t>
      </w:r>
      <w:r w:rsidRPr="00375496">
        <w:rPr>
          <w:rFonts w:ascii="Times New Roman" w:hAnsi="Times New Roman"/>
          <w:sz w:val="24"/>
          <w:szCs w:val="24"/>
        </w:rPr>
        <w:t>respectively.</w:t>
      </w:r>
      <w:r w:rsidRPr="00FB42BC">
        <w:rPr>
          <w:rFonts w:ascii="Times New Roman" w:hAnsi="Times New Roman"/>
          <w:sz w:val="24"/>
          <w:szCs w:val="24"/>
        </w:rPr>
        <w:t xml:space="preserve">  Within the public notices, the Commission noted that it would be requesting a three-year extension of the public reporting burden.  </w:t>
      </w:r>
    </w:p>
    <w:p w:rsidR="00EB3E6F" w:rsidRPr="00FB42BC" w:rsidP="00FB42BC" w14:paraId="7B045048" w14:textId="77777777">
      <w:pPr>
        <w:pStyle w:val="ListParagraph"/>
        <w:spacing w:after="0"/>
        <w:ind w:left="0"/>
        <w:rPr>
          <w:rFonts w:ascii="Times New Roman" w:hAnsi="Times New Roman"/>
          <w:b/>
          <w:sz w:val="24"/>
          <w:szCs w:val="24"/>
        </w:rPr>
      </w:pPr>
      <w:r>
        <w:rPr>
          <w:rFonts w:ascii="Times New Roman" w:hAnsi="Times New Roman"/>
          <w:sz w:val="24"/>
          <w:szCs w:val="24"/>
        </w:rPr>
        <w:t>The Commission received no comments in response to either of these notices.</w:t>
      </w:r>
    </w:p>
    <w:p w:rsidR="00EB3E6F" w:rsidRPr="00EB3E6F" w:rsidP="00EB3E6F" w14:paraId="6F88E465" w14:textId="77777777">
      <w:pPr>
        <w:spacing w:after="0"/>
        <w:rPr>
          <w:rFonts w:ascii="Times New Roman" w:hAnsi="Times New Roman"/>
          <w:sz w:val="24"/>
          <w:szCs w:val="24"/>
        </w:rPr>
      </w:pPr>
    </w:p>
    <w:p w:rsidR="00EB3E6F" w:rsidRPr="00D80FBD" w:rsidP="00A72E7B" w14:paraId="71AEFBD6" w14:textId="77777777">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EXPLAIN ANY PAYMENT OR GIFTS TO RESPONDENTS</w:t>
      </w:r>
    </w:p>
    <w:p w:rsidR="00D80FBD" w:rsidP="00D80FBD" w14:paraId="61003867" w14:textId="77777777">
      <w:pPr>
        <w:spacing w:after="0"/>
        <w:rPr>
          <w:rFonts w:ascii="Times New Roman" w:hAnsi="Times New Roman"/>
          <w:sz w:val="24"/>
          <w:szCs w:val="24"/>
        </w:rPr>
      </w:pPr>
    </w:p>
    <w:p w:rsidR="00D80FBD" w:rsidP="00D80FBD" w14:paraId="6080A467" w14:textId="77777777">
      <w:pPr>
        <w:spacing w:after="0"/>
        <w:rPr>
          <w:rFonts w:ascii="Times New Roman" w:hAnsi="Times New Roman"/>
          <w:sz w:val="24"/>
          <w:szCs w:val="24"/>
        </w:rPr>
      </w:pPr>
      <w:r>
        <w:rPr>
          <w:rFonts w:ascii="Times New Roman" w:hAnsi="Times New Roman"/>
          <w:sz w:val="24"/>
          <w:szCs w:val="24"/>
        </w:rPr>
        <w:t>There are no payments or gift</w:t>
      </w:r>
      <w:r w:rsidR="00214E8D">
        <w:rPr>
          <w:rFonts w:ascii="Times New Roman" w:hAnsi="Times New Roman"/>
          <w:sz w:val="24"/>
          <w:szCs w:val="24"/>
        </w:rPr>
        <w:t>s to respondents</w:t>
      </w:r>
      <w:r>
        <w:rPr>
          <w:rFonts w:ascii="Times New Roman" w:hAnsi="Times New Roman"/>
          <w:sz w:val="24"/>
          <w:szCs w:val="24"/>
        </w:rPr>
        <w:t>.</w:t>
      </w:r>
    </w:p>
    <w:p w:rsidR="0010043B" w:rsidRPr="00D80FBD" w:rsidP="00D80FBD" w14:paraId="422FED38" w14:textId="77777777">
      <w:pPr>
        <w:spacing w:after="0"/>
        <w:rPr>
          <w:rFonts w:ascii="Times New Roman" w:hAnsi="Times New Roman"/>
          <w:sz w:val="24"/>
          <w:szCs w:val="24"/>
        </w:rPr>
      </w:pPr>
    </w:p>
    <w:p w:rsidR="00D80FBD" w:rsidRPr="00D80FBD" w:rsidP="00A72E7B" w14:paraId="43AC431A" w14:textId="77777777">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DESCRIBE ANY ASSURANCE OF CONFIDENTIALITY PROVIDED TO RESPONDENTS</w:t>
      </w:r>
    </w:p>
    <w:p w:rsidR="00D80FBD" w:rsidP="00D80FBD" w14:paraId="42971A68" w14:textId="77777777">
      <w:pPr>
        <w:spacing w:after="0"/>
        <w:rPr>
          <w:rFonts w:ascii="Times New Roman" w:hAnsi="Times New Roman"/>
          <w:sz w:val="24"/>
          <w:szCs w:val="24"/>
        </w:rPr>
      </w:pPr>
    </w:p>
    <w:p w:rsidR="00201F44" w:rsidRPr="00201F44" w:rsidP="00FB42BC" w14:paraId="39DCD914" w14:textId="2D42F6B4">
      <w:pPr>
        <w:spacing w:after="0"/>
        <w:rPr>
          <w:rFonts w:ascii="Times New Roman" w:hAnsi="Times New Roman"/>
          <w:sz w:val="24"/>
          <w:szCs w:val="24"/>
        </w:rPr>
      </w:pPr>
      <w:r w:rsidRPr="00201F44">
        <w:rPr>
          <w:rFonts w:ascii="Times New Roman" w:hAnsi="Times New Roman"/>
          <w:sz w:val="24"/>
          <w:szCs w:val="24"/>
        </w:rPr>
        <w:t xml:space="preserve">The Commission does not consider the information collected in filings to be confidential.  However, the Commission will consider specific requests for confidential treatment </w:t>
      </w:r>
      <w:r w:rsidR="00035DCC">
        <w:rPr>
          <w:rFonts w:ascii="Times New Roman" w:hAnsi="Times New Roman"/>
          <w:sz w:val="24"/>
          <w:szCs w:val="24"/>
        </w:rPr>
        <w:t>(e.g., Critical Energy</w:t>
      </w:r>
      <w:r w:rsidRPr="008D5908" w:rsidR="008D5908">
        <w:rPr>
          <w:rFonts w:ascii="Times New Roman" w:hAnsi="Times New Roman"/>
          <w:sz w:val="24"/>
          <w:szCs w:val="24"/>
        </w:rPr>
        <w:t>/Electric</w:t>
      </w:r>
      <w:r w:rsidR="00035DCC">
        <w:rPr>
          <w:rFonts w:ascii="Times New Roman" w:hAnsi="Times New Roman"/>
          <w:sz w:val="24"/>
          <w:szCs w:val="24"/>
        </w:rPr>
        <w:t xml:space="preserve"> Infrastructure Information [CEII]</w:t>
      </w:r>
      <w:r w:rsidR="009E7B59">
        <w:rPr>
          <w:rFonts w:ascii="Times New Roman" w:hAnsi="Times New Roman"/>
          <w:sz w:val="24"/>
          <w:szCs w:val="24"/>
        </w:rPr>
        <w:t xml:space="preserve"> or </w:t>
      </w:r>
      <w:r w:rsidR="00132C2B">
        <w:rPr>
          <w:rFonts w:ascii="Times New Roman" w:hAnsi="Times New Roman"/>
          <w:sz w:val="24"/>
          <w:szCs w:val="24"/>
        </w:rPr>
        <w:t>privileged</w:t>
      </w:r>
      <w:r w:rsidR="00035DCC">
        <w:rPr>
          <w:rFonts w:ascii="Times New Roman" w:hAnsi="Times New Roman"/>
          <w:sz w:val="24"/>
          <w:szCs w:val="24"/>
        </w:rPr>
        <w:t xml:space="preserve">) </w:t>
      </w:r>
      <w:r w:rsidRPr="00201F44">
        <w:rPr>
          <w:rFonts w:ascii="Times New Roman" w:hAnsi="Times New Roman"/>
          <w:sz w:val="24"/>
          <w:szCs w:val="24"/>
        </w:rPr>
        <w:t>to the extent permitted by law</w:t>
      </w:r>
      <w:r w:rsidR="006915A9">
        <w:rPr>
          <w:rFonts w:ascii="Times New Roman" w:hAnsi="Times New Roman"/>
          <w:sz w:val="24"/>
          <w:szCs w:val="24"/>
        </w:rPr>
        <w:t>.</w:t>
      </w:r>
      <w:r>
        <w:rPr>
          <w:rFonts w:ascii="Times New Roman" w:hAnsi="Times New Roman"/>
          <w:sz w:val="24"/>
          <w:szCs w:val="24"/>
          <w:vertAlign w:val="superscript"/>
        </w:rPr>
        <w:footnoteReference w:id="4"/>
      </w:r>
      <w:r w:rsidRPr="00201F44">
        <w:rPr>
          <w:rFonts w:ascii="Times New Roman" w:hAnsi="Times New Roman"/>
          <w:sz w:val="24"/>
          <w:szCs w:val="24"/>
        </w:rPr>
        <w:t xml:space="preserve">  </w:t>
      </w:r>
    </w:p>
    <w:p w:rsidR="0010043B" w:rsidRPr="00D80FBD" w:rsidP="00D80FBD" w14:paraId="6880B12D" w14:textId="77777777">
      <w:pPr>
        <w:spacing w:after="0"/>
        <w:rPr>
          <w:rFonts w:ascii="Times New Roman" w:hAnsi="Times New Roman"/>
          <w:sz w:val="24"/>
          <w:szCs w:val="24"/>
        </w:rPr>
      </w:pPr>
    </w:p>
    <w:p w:rsidR="00D80FBD" w:rsidRPr="00D80FBD" w:rsidP="00A72E7B" w14:paraId="2C19EE2E" w14:textId="77777777">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PROVIDE ADDITIONAL JUSTIFICATION FOR ANY QUESTIONS OF A SENSITIVE NATURE</w:t>
      </w:r>
      <w:r w:rsidR="00593E39">
        <w:rPr>
          <w:rFonts w:ascii="Times New Roman" w:hAnsi="Times New Roman"/>
          <w:b/>
          <w:sz w:val="24"/>
          <w:szCs w:val="24"/>
        </w:rPr>
        <w:t>, SUCH AS SEXUAL BEHAVIOR AND ATTITUDES, RELIGIOUS BELIEFS, AND OTHER MATTERS THAT ARE COMMONLY CONSIDERED PRIVATE.</w:t>
      </w:r>
    </w:p>
    <w:p w:rsidR="00D80FBD" w:rsidP="00D80FBD" w14:paraId="79D32496" w14:textId="77777777">
      <w:pPr>
        <w:spacing w:after="0"/>
        <w:rPr>
          <w:rFonts w:ascii="Times New Roman" w:hAnsi="Times New Roman"/>
          <w:sz w:val="24"/>
          <w:szCs w:val="24"/>
        </w:rPr>
      </w:pPr>
    </w:p>
    <w:p w:rsidR="002E7C03" w:rsidP="00D80FBD" w14:paraId="342F9271" w14:textId="77777777">
      <w:pPr>
        <w:spacing w:after="0"/>
        <w:rPr>
          <w:rFonts w:ascii="Times New Roman" w:hAnsi="Times New Roman"/>
          <w:sz w:val="24"/>
          <w:szCs w:val="24"/>
        </w:rPr>
      </w:pPr>
      <w:r>
        <w:rPr>
          <w:rFonts w:ascii="Times New Roman" w:hAnsi="Times New Roman"/>
          <w:sz w:val="24"/>
          <w:szCs w:val="24"/>
        </w:rPr>
        <w:t>There are no questions of a sensitive nat</w:t>
      </w:r>
      <w:r w:rsidR="00214E8D">
        <w:rPr>
          <w:rFonts w:ascii="Times New Roman" w:hAnsi="Times New Roman"/>
          <w:sz w:val="24"/>
          <w:szCs w:val="24"/>
        </w:rPr>
        <w:t>ure</w:t>
      </w:r>
      <w:r>
        <w:rPr>
          <w:rFonts w:ascii="Times New Roman" w:hAnsi="Times New Roman"/>
          <w:sz w:val="24"/>
          <w:szCs w:val="24"/>
        </w:rPr>
        <w:t xml:space="preserve">. </w:t>
      </w:r>
    </w:p>
    <w:p w:rsidR="0010043B" w:rsidRPr="00D80FBD" w:rsidP="00D80FBD" w14:paraId="2011CDF2" w14:textId="77777777">
      <w:pPr>
        <w:spacing w:after="0"/>
        <w:rPr>
          <w:rFonts w:ascii="Times New Roman" w:hAnsi="Times New Roman"/>
          <w:sz w:val="24"/>
          <w:szCs w:val="24"/>
        </w:rPr>
      </w:pPr>
    </w:p>
    <w:p w:rsidR="008E1F51" w:rsidP="007A6191" w14:paraId="66168F09" w14:textId="77777777">
      <w:pPr>
        <w:pStyle w:val="ListParagraph"/>
        <w:numPr>
          <w:ilvl w:val="0"/>
          <w:numId w:val="1"/>
        </w:numPr>
        <w:spacing w:after="0"/>
        <w:ind w:left="0" w:firstLine="0"/>
        <w:rPr>
          <w:rFonts w:ascii="Times New Roman" w:hAnsi="Times New Roman"/>
          <w:b/>
          <w:sz w:val="24"/>
          <w:szCs w:val="24"/>
        </w:rPr>
      </w:pPr>
      <w:r w:rsidRPr="00D80FBD">
        <w:rPr>
          <w:rFonts w:ascii="Times New Roman" w:hAnsi="Times New Roman"/>
          <w:b/>
          <w:sz w:val="24"/>
          <w:szCs w:val="24"/>
        </w:rPr>
        <w:t>ESTIMATED BURDEN OF COLLECTION OF INFORMATION</w:t>
      </w:r>
    </w:p>
    <w:p w:rsidR="007A6191" w:rsidRPr="00B96241" w:rsidP="007A6191" w14:paraId="0A7A291C" w14:textId="77777777">
      <w:pPr>
        <w:pStyle w:val="ListParagraph"/>
        <w:spacing w:after="0"/>
        <w:rPr>
          <w:rFonts w:ascii="Times New Roman" w:hAnsi="Times New Roman"/>
          <w:bCs/>
          <w:sz w:val="24"/>
          <w:szCs w:val="24"/>
        </w:rPr>
      </w:pPr>
      <w:r w:rsidRPr="00B96241">
        <w:rPr>
          <w:rFonts w:ascii="Times New Roman" w:hAnsi="Times New Roman"/>
          <w:bCs/>
          <w:sz w:val="24"/>
          <w:szCs w:val="24"/>
        </w:rPr>
        <w:t>The currently approved information collection burden is:</w:t>
      </w:r>
    </w:p>
    <w:p w:rsidR="007A6191" w:rsidRPr="00B96241" w:rsidP="007A6191" w14:paraId="0B87CCAD" w14:textId="77777777">
      <w:pPr>
        <w:pStyle w:val="ListParagraph"/>
        <w:spacing w:after="0"/>
        <w:rPr>
          <w:rFonts w:ascii="Times New Roman" w:hAnsi="Times New Roman"/>
          <w:bCs/>
          <w:sz w:val="24"/>
          <w:szCs w:val="24"/>
        </w:rPr>
      </w:pPr>
    </w:p>
    <w:p w:rsidR="007A6191" w:rsidRPr="00B96241" w:rsidP="007A6191" w14:paraId="73C3B07B" w14:textId="39A3EC16">
      <w:pPr>
        <w:pStyle w:val="ListParagraph"/>
        <w:spacing w:after="0"/>
        <w:rPr>
          <w:rFonts w:ascii="Times New Roman" w:hAnsi="Times New Roman"/>
          <w:bCs/>
          <w:sz w:val="24"/>
          <w:szCs w:val="24"/>
        </w:rPr>
      </w:pPr>
      <w:r w:rsidRPr="00B96241">
        <w:rPr>
          <w:rFonts w:ascii="Times New Roman" w:hAnsi="Times New Roman"/>
          <w:bCs/>
          <w:sz w:val="24"/>
          <w:szCs w:val="24"/>
        </w:rPr>
        <w:t xml:space="preserve">Number of respondents: </w:t>
      </w:r>
      <w:r w:rsidR="006077D5">
        <w:rPr>
          <w:rFonts w:ascii="Times New Roman" w:hAnsi="Times New Roman"/>
          <w:bCs/>
          <w:sz w:val="24"/>
          <w:szCs w:val="24"/>
        </w:rPr>
        <w:t>65</w:t>
      </w:r>
    </w:p>
    <w:p w:rsidR="007A6191" w:rsidRPr="00B96241" w:rsidP="007A6191" w14:paraId="35566242" w14:textId="0D6CA745">
      <w:pPr>
        <w:pStyle w:val="ListParagraph"/>
        <w:spacing w:after="0"/>
        <w:rPr>
          <w:rFonts w:ascii="Times New Roman" w:hAnsi="Times New Roman"/>
          <w:bCs/>
          <w:sz w:val="24"/>
          <w:szCs w:val="24"/>
        </w:rPr>
      </w:pPr>
      <w:r w:rsidRPr="00B96241">
        <w:rPr>
          <w:rFonts w:ascii="Times New Roman" w:hAnsi="Times New Roman"/>
          <w:bCs/>
          <w:sz w:val="24"/>
          <w:szCs w:val="24"/>
        </w:rPr>
        <w:t xml:space="preserve">Hourly Burden: </w:t>
      </w:r>
      <w:r w:rsidR="006077D5">
        <w:rPr>
          <w:rFonts w:ascii="Times New Roman" w:hAnsi="Times New Roman"/>
          <w:bCs/>
          <w:sz w:val="24"/>
          <w:szCs w:val="24"/>
        </w:rPr>
        <w:t>1,560</w:t>
      </w:r>
      <w:r w:rsidRPr="00B96241">
        <w:rPr>
          <w:rFonts w:ascii="Times New Roman" w:hAnsi="Times New Roman"/>
          <w:bCs/>
          <w:sz w:val="24"/>
          <w:szCs w:val="24"/>
        </w:rPr>
        <w:t xml:space="preserve"> hours</w:t>
      </w:r>
    </w:p>
    <w:p w:rsidR="007A6191" w:rsidRPr="00B96241" w:rsidP="007A6191" w14:paraId="4E045651" w14:textId="77777777">
      <w:pPr>
        <w:pStyle w:val="ListParagraph"/>
        <w:spacing w:after="0"/>
        <w:rPr>
          <w:rFonts w:ascii="Times New Roman" w:hAnsi="Times New Roman"/>
          <w:bCs/>
          <w:sz w:val="24"/>
          <w:szCs w:val="24"/>
        </w:rPr>
      </w:pPr>
    </w:p>
    <w:p w:rsidR="007A6191" w:rsidP="00B96241" w14:paraId="17704130" w14:textId="05A283BE">
      <w:pPr>
        <w:pStyle w:val="ListParagraph"/>
        <w:spacing w:after="0"/>
        <w:ind w:left="0"/>
        <w:rPr>
          <w:rFonts w:ascii="Times New Roman" w:hAnsi="Times New Roman"/>
          <w:bCs/>
          <w:sz w:val="24"/>
          <w:szCs w:val="24"/>
        </w:rPr>
      </w:pPr>
      <w:r w:rsidRPr="00B96241">
        <w:rPr>
          <w:rFonts w:ascii="Times New Roman" w:hAnsi="Times New Roman"/>
          <w:bCs/>
          <w:sz w:val="24"/>
          <w:szCs w:val="24"/>
        </w:rPr>
        <w:t>The burden is explained in further detail in the following tables:</w:t>
      </w:r>
    </w:p>
    <w:p w:rsidR="000C1B00" w:rsidP="00B96241" w14:paraId="46A4BEEE" w14:textId="2E505653">
      <w:pPr>
        <w:pStyle w:val="ListParagraph"/>
        <w:spacing w:after="0"/>
        <w:ind w:left="0"/>
        <w:rPr>
          <w:rFonts w:ascii="Times New Roman" w:hAnsi="Times New Roman"/>
          <w:bCs/>
          <w:sz w:val="24"/>
          <w:szCs w:val="24"/>
        </w:rPr>
      </w:pPr>
    </w:p>
    <w:p w:rsidR="000C1B00" w:rsidRPr="00B96241" w:rsidP="00B96241" w14:paraId="5B0C8298" w14:textId="77777777">
      <w:pPr>
        <w:pStyle w:val="ListParagraph"/>
        <w:spacing w:after="0"/>
        <w:ind w:left="0"/>
        <w:rPr>
          <w:rFonts w:ascii="Times New Roman" w:hAnsi="Times New Roman"/>
          <w:bCs/>
          <w:sz w:val="24"/>
          <w:szCs w:val="24"/>
        </w:rPr>
      </w:pPr>
    </w:p>
    <w:p w:rsidR="00D80FBD" w:rsidP="00D80FBD" w14:paraId="48818728" w14:textId="77777777">
      <w:pPr>
        <w:spacing w:after="0"/>
        <w:rPr>
          <w:rFonts w:ascii="Times New Roman" w:hAnsi="Times New Roman"/>
          <w:sz w:val="24"/>
          <w:szCs w:val="24"/>
        </w:rPr>
      </w:pPr>
    </w:p>
    <w:tbl>
      <w:tblPr>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9"/>
        <w:gridCol w:w="1523"/>
        <w:gridCol w:w="1430"/>
        <w:gridCol w:w="1313"/>
        <w:gridCol w:w="1177"/>
        <w:gridCol w:w="1621"/>
        <w:gridCol w:w="1430"/>
      </w:tblGrid>
      <w:tr w14:paraId="7FE1AF81" w14:textId="77777777" w:rsidTr="002876AA">
        <w:tblPrEx>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31"/>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6077D5" w:rsidRPr="006077D5" w:rsidP="006077D5" w14:paraId="364493AA" w14:textId="77777777">
            <w:pPr>
              <w:spacing w:after="0"/>
              <w:rPr>
                <w:rFonts w:ascii="Times New Roman" w:hAnsi="Times New Roman"/>
                <w:b/>
                <w:sz w:val="24"/>
                <w:szCs w:val="24"/>
              </w:rPr>
            </w:pPr>
            <w:r w:rsidRPr="006077D5">
              <w:rPr>
                <w:rFonts w:ascii="Times New Roman" w:hAnsi="Times New Roman"/>
                <w:b/>
                <w:sz w:val="24"/>
                <w:szCs w:val="24"/>
              </w:rPr>
              <w:t>FERC-512: (Preliminary Permit</w:t>
            </w:r>
            <w:r w:rsidRPr="006077D5">
              <w:rPr>
                <w:rFonts w:ascii="Times New Roman" w:hAnsi="Times New Roman"/>
                <w:b/>
                <w:bCs/>
                <w:sz w:val="24"/>
                <w:szCs w:val="24"/>
              </w:rPr>
              <w:t>)</w:t>
            </w:r>
          </w:p>
        </w:tc>
      </w:tr>
      <w:tr w14:paraId="449EC27A" w14:textId="77777777" w:rsidTr="002876AA">
        <w:tblPrEx>
          <w:tblW w:w="5435" w:type="pct"/>
          <w:tblInd w:w="-185" w:type="dxa"/>
          <w:tblLook w:val="01E0"/>
        </w:tblPrEx>
        <w:trPr>
          <w:cantSplit/>
          <w:trHeight w:val="1907"/>
        </w:trPr>
        <w:tc>
          <w:tcPr>
            <w:tcW w:w="579" w:type="pct"/>
            <w:tcBorders>
              <w:top w:val="single" w:sz="4" w:space="0" w:color="auto"/>
              <w:left w:val="single" w:sz="4" w:space="0" w:color="auto"/>
              <w:bottom w:val="single" w:sz="4" w:space="0" w:color="auto"/>
              <w:right w:val="single" w:sz="4" w:space="0" w:color="auto"/>
            </w:tcBorders>
            <w:shd w:val="clear" w:color="auto" w:fill="D9D9D9"/>
          </w:tcPr>
          <w:p w:rsidR="006077D5" w:rsidRPr="006077D5" w:rsidP="006077D5" w14:paraId="1016E466" w14:textId="77777777">
            <w:pPr>
              <w:spacing w:after="0"/>
              <w:rPr>
                <w:rFonts w:ascii="Times New Roman" w:hAnsi="Times New Roman"/>
                <w:b/>
                <w:bCs/>
                <w:sz w:val="24"/>
                <w:szCs w:val="24"/>
              </w:rPr>
            </w:pPr>
            <w:r w:rsidRPr="006077D5">
              <w:rPr>
                <w:rFonts w:ascii="Times New Roman" w:hAnsi="Times New Roman"/>
                <w:sz w:val="24"/>
                <w:szCs w:val="24"/>
              </w:rPr>
              <w:br/>
            </w:r>
            <w:r w:rsidRPr="006077D5">
              <w:rPr>
                <w:rFonts w:ascii="Times New Roman" w:hAnsi="Times New Roman"/>
                <w:sz w:val="24"/>
                <w:szCs w:val="24"/>
              </w:rPr>
              <w:br/>
            </w:r>
            <w:r w:rsidRPr="006077D5">
              <w:rPr>
                <w:rFonts w:ascii="Times New Roman" w:hAnsi="Times New Roman"/>
                <w:sz w:val="24"/>
                <w:szCs w:val="24"/>
              </w:rPr>
              <w:br/>
            </w:r>
            <w:r w:rsidRPr="006077D5">
              <w:rPr>
                <w:rFonts w:ascii="Times New Roman" w:hAnsi="Times New Roman"/>
                <w:sz w:val="24"/>
                <w:szCs w:val="24"/>
              </w:rPr>
              <w:br/>
            </w:r>
          </w:p>
        </w:tc>
        <w:tc>
          <w:tcPr>
            <w:tcW w:w="78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077D5" w:rsidRPr="006077D5" w:rsidP="006077D5" w14:paraId="5944CC55" w14:textId="77777777">
            <w:pPr>
              <w:spacing w:after="0"/>
              <w:rPr>
                <w:rFonts w:ascii="Times New Roman" w:hAnsi="Times New Roman"/>
                <w:b/>
                <w:sz w:val="24"/>
                <w:szCs w:val="24"/>
              </w:rPr>
            </w:pPr>
            <w:r w:rsidRPr="006077D5">
              <w:rPr>
                <w:rFonts w:ascii="Times New Roman" w:hAnsi="Times New Roman"/>
                <w:b/>
                <w:sz w:val="24"/>
                <w:szCs w:val="24"/>
              </w:rPr>
              <w:t>Number of Respondents</w:t>
            </w:r>
            <w:r w:rsidRPr="006077D5">
              <w:rPr>
                <w:rFonts w:ascii="Times New Roman" w:hAnsi="Times New Roman"/>
                <w:b/>
                <w:sz w:val="24"/>
                <w:szCs w:val="24"/>
              </w:rPr>
              <w:br/>
              <w:t>(1)</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077D5" w:rsidRPr="006077D5" w:rsidP="006077D5" w14:paraId="3F5FCA52" w14:textId="77777777">
            <w:pPr>
              <w:spacing w:after="0"/>
              <w:rPr>
                <w:rFonts w:ascii="Times New Roman" w:hAnsi="Times New Roman"/>
                <w:b/>
                <w:sz w:val="24"/>
                <w:szCs w:val="24"/>
              </w:rPr>
            </w:pPr>
            <w:r w:rsidRPr="006077D5">
              <w:rPr>
                <w:rFonts w:ascii="Times New Roman" w:hAnsi="Times New Roman"/>
                <w:b/>
                <w:sz w:val="24"/>
                <w:szCs w:val="24"/>
              </w:rPr>
              <w:t>Annual Number of Responses per Respondent</w:t>
            </w:r>
          </w:p>
          <w:p w:rsidR="006077D5" w:rsidRPr="006077D5" w:rsidP="006077D5" w14:paraId="58E185C7" w14:textId="77777777">
            <w:pPr>
              <w:spacing w:after="0"/>
              <w:rPr>
                <w:rFonts w:ascii="Times New Roman" w:hAnsi="Times New Roman"/>
                <w:b/>
                <w:sz w:val="24"/>
                <w:szCs w:val="24"/>
              </w:rPr>
            </w:pPr>
            <w:r w:rsidRPr="006077D5">
              <w:rPr>
                <w:rFonts w:ascii="Times New Roman" w:hAnsi="Times New Roman"/>
                <w:b/>
                <w:sz w:val="24"/>
                <w:szCs w:val="24"/>
              </w:rPr>
              <w:t>(2)</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077D5" w:rsidRPr="006077D5" w:rsidP="006077D5" w14:paraId="5ED602E6" w14:textId="77777777">
            <w:pPr>
              <w:spacing w:after="0"/>
              <w:rPr>
                <w:rFonts w:ascii="Times New Roman" w:hAnsi="Times New Roman"/>
                <w:b/>
                <w:sz w:val="24"/>
                <w:szCs w:val="24"/>
              </w:rPr>
            </w:pPr>
            <w:r w:rsidRPr="006077D5">
              <w:rPr>
                <w:rFonts w:ascii="Times New Roman" w:hAnsi="Times New Roman"/>
                <w:b/>
                <w:sz w:val="24"/>
                <w:szCs w:val="24"/>
              </w:rPr>
              <w:t>Total Number of Responses (</w:t>
            </w:r>
            <w:r w:rsidRPr="006077D5">
              <w:rPr>
                <w:rFonts w:ascii="Times New Roman" w:hAnsi="Times New Roman"/>
                <w:b/>
                <w:sz w:val="24"/>
                <w:szCs w:val="24"/>
              </w:rPr>
              <w:t>1)*</w:t>
            </w:r>
            <w:r w:rsidRPr="006077D5">
              <w:rPr>
                <w:rFonts w:ascii="Times New Roman" w:hAnsi="Times New Roman"/>
                <w:b/>
                <w:sz w:val="24"/>
                <w:szCs w:val="24"/>
              </w:rPr>
              <w:t>(2)=(3)</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077D5" w:rsidRPr="006077D5" w:rsidP="006077D5" w14:paraId="533A2911" w14:textId="77777777">
            <w:pPr>
              <w:spacing w:after="0"/>
              <w:rPr>
                <w:rFonts w:ascii="Times New Roman" w:hAnsi="Times New Roman"/>
                <w:b/>
                <w:sz w:val="24"/>
                <w:szCs w:val="24"/>
              </w:rPr>
            </w:pPr>
            <w:r w:rsidRPr="006077D5">
              <w:rPr>
                <w:rFonts w:ascii="Times New Roman" w:hAnsi="Times New Roman"/>
                <w:b/>
                <w:sz w:val="24"/>
                <w:szCs w:val="24"/>
              </w:rPr>
              <w:t>Average Burden Hours &amp; Cost Per Response</w:t>
            </w:r>
          </w:p>
          <w:p w:rsidR="006077D5" w:rsidRPr="006077D5" w:rsidP="006077D5" w14:paraId="79464026" w14:textId="77777777">
            <w:pPr>
              <w:spacing w:after="0"/>
              <w:rPr>
                <w:rFonts w:ascii="Times New Roman" w:hAnsi="Times New Roman"/>
                <w:b/>
                <w:sz w:val="24"/>
                <w:szCs w:val="24"/>
              </w:rPr>
            </w:pPr>
            <w:r w:rsidRPr="006077D5">
              <w:rPr>
                <w:rFonts w:ascii="Times New Roman" w:hAnsi="Times New Roman"/>
                <w:b/>
                <w:sz w:val="24"/>
                <w:szCs w:val="24"/>
              </w:rPr>
              <w:t>(4)</w:t>
            </w:r>
          </w:p>
        </w:tc>
        <w:tc>
          <w:tcPr>
            <w:tcW w:w="94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077D5" w:rsidRPr="006077D5" w:rsidP="006077D5" w14:paraId="1717DCE1" w14:textId="77777777">
            <w:pPr>
              <w:spacing w:after="0"/>
              <w:rPr>
                <w:rFonts w:ascii="Times New Roman" w:hAnsi="Times New Roman"/>
                <w:b/>
                <w:sz w:val="24"/>
                <w:szCs w:val="24"/>
              </w:rPr>
            </w:pPr>
            <w:r w:rsidRPr="006077D5">
              <w:rPr>
                <w:rFonts w:ascii="Times New Roman" w:hAnsi="Times New Roman"/>
                <w:b/>
                <w:sz w:val="24"/>
                <w:szCs w:val="24"/>
              </w:rPr>
              <w:t>Total Annual Burden Hours &amp; Total Annual Cost</w:t>
            </w:r>
          </w:p>
          <w:p w:rsidR="006077D5" w:rsidRPr="006077D5" w:rsidP="006077D5" w14:paraId="09816CF2" w14:textId="77777777">
            <w:pPr>
              <w:spacing w:after="0"/>
              <w:rPr>
                <w:rFonts w:ascii="Times New Roman" w:hAnsi="Times New Roman"/>
                <w:b/>
                <w:sz w:val="24"/>
                <w:szCs w:val="24"/>
              </w:rPr>
            </w:pPr>
            <w:r w:rsidRPr="006077D5">
              <w:rPr>
                <w:rFonts w:ascii="Times New Roman" w:hAnsi="Times New Roman"/>
                <w:b/>
                <w:sz w:val="24"/>
                <w:szCs w:val="24"/>
              </w:rPr>
              <w:t>(</w:t>
            </w:r>
            <w:r w:rsidRPr="006077D5">
              <w:rPr>
                <w:rFonts w:ascii="Times New Roman" w:hAnsi="Times New Roman"/>
                <w:b/>
                <w:sz w:val="24"/>
                <w:szCs w:val="24"/>
              </w:rPr>
              <w:t>3)*</w:t>
            </w:r>
            <w:r w:rsidRPr="006077D5">
              <w:rPr>
                <w:rFonts w:ascii="Times New Roman" w:hAnsi="Times New Roman"/>
                <w:b/>
                <w:sz w:val="24"/>
                <w:szCs w:val="24"/>
              </w:rPr>
              <w:t>(4)=(5)</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bottom"/>
          </w:tcPr>
          <w:p w:rsidR="006077D5" w:rsidRPr="006077D5" w:rsidP="006077D5" w14:paraId="453D4526" w14:textId="77777777">
            <w:pPr>
              <w:spacing w:after="0"/>
              <w:rPr>
                <w:rFonts w:ascii="Times New Roman" w:hAnsi="Times New Roman"/>
                <w:b/>
                <w:sz w:val="24"/>
                <w:szCs w:val="24"/>
              </w:rPr>
            </w:pPr>
            <w:r w:rsidRPr="006077D5">
              <w:rPr>
                <w:rFonts w:ascii="Times New Roman" w:hAnsi="Times New Roman"/>
                <w:b/>
                <w:sz w:val="24"/>
                <w:szCs w:val="24"/>
              </w:rPr>
              <w:t>Average Annual Cost per Respondent</w:t>
            </w:r>
          </w:p>
          <w:p w:rsidR="006077D5" w:rsidRPr="006077D5" w:rsidP="006077D5" w14:paraId="5A929659" w14:textId="77777777">
            <w:pPr>
              <w:spacing w:after="0"/>
              <w:rPr>
                <w:rFonts w:ascii="Times New Roman" w:hAnsi="Times New Roman"/>
                <w:b/>
                <w:sz w:val="24"/>
                <w:szCs w:val="24"/>
              </w:rPr>
            </w:pPr>
            <w:r w:rsidRPr="006077D5">
              <w:rPr>
                <w:rFonts w:ascii="Times New Roman" w:hAnsi="Times New Roman"/>
                <w:b/>
                <w:sz w:val="24"/>
                <w:szCs w:val="24"/>
              </w:rPr>
              <w:t>(</w:t>
            </w:r>
            <w:r w:rsidRPr="006077D5">
              <w:rPr>
                <w:rFonts w:ascii="Times New Roman" w:hAnsi="Times New Roman"/>
                <w:b/>
                <w:sz w:val="24"/>
                <w:szCs w:val="24"/>
              </w:rPr>
              <w:t>5)÷</w:t>
            </w:r>
            <w:r w:rsidRPr="006077D5">
              <w:rPr>
                <w:rFonts w:ascii="Times New Roman" w:hAnsi="Times New Roman"/>
                <w:b/>
                <w:sz w:val="24"/>
                <w:szCs w:val="24"/>
              </w:rPr>
              <w:t>(1)</w:t>
            </w:r>
          </w:p>
        </w:tc>
      </w:tr>
      <w:tr w14:paraId="05288EEC" w14:textId="77777777" w:rsidTr="002876AA">
        <w:tblPrEx>
          <w:tblW w:w="5435" w:type="pct"/>
          <w:tblInd w:w="-185" w:type="dxa"/>
          <w:tblLook w:val="01E0"/>
        </w:tblPrEx>
        <w:trPr>
          <w:cantSplit/>
          <w:trHeight w:val="566"/>
        </w:trPr>
        <w:tc>
          <w:tcPr>
            <w:tcW w:w="579" w:type="pct"/>
            <w:tcBorders>
              <w:top w:val="single" w:sz="4" w:space="0" w:color="auto"/>
              <w:left w:val="single" w:sz="4" w:space="0" w:color="auto"/>
              <w:bottom w:val="single" w:sz="4" w:space="0" w:color="auto"/>
              <w:right w:val="single" w:sz="4" w:space="0" w:color="auto"/>
            </w:tcBorders>
          </w:tcPr>
          <w:p w:rsidR="006077D5" w:rsidRPr="006077D5" w:rsidP="006077D5" w14:paraId="19979C9D" w14:textId="77777777">
            <w:pPr>
              <w:spacing w:after="0"/>
              <w:rPr>
                <w:rFonts w:ascii="Times New Roman" w:hAnsi="Times New Roman"/>
                <w:sz w:val="24"/>
                <w:szCs w:val="24"/>
              </w:rPr>
            </w:pPr>
            <w:r w:rsidRPr="006077D5">
              <w:rPr>
                <w:rFonts w:ascii="Times New Roman" w:hAnsi="Times New Roman"/>
                <w:sz w:val="24"/>
                <w:szCs w:val="24"/>
              </w:rPr>
              <w:t xml:space="preserve">Annual Reporting and Recordkeeping </w:t>
            </w:r>
          </w:p>
        </w:tc>
        <w:tc>
          <w:tcPr>
            <w:tcW w:w="789" w:type="pct"/>
            <w:tcBorders>
              <w:top w:val="single" w:sz="4" w:space="0" w:color="auto"/>
              <w:left w:val="single" w:sz="4" w:space="0" w:color="auto"/>
              <w:bottom w:val="single" w:sz="4" w:space="0" w:color="auto"/>
              <w:right w:val="single" w:sz="4" w:space="0" w:color="auto"/>
            </w:tcBorders>
          </w:tcPr>
          <w:p w:rsidR="006077D5" w:rsidRPr="006077D5" w:rsidP="006077D5" w14:paraId="685FE1CA" w14:textId="77777777">
            <w:pPr>
              <w:spacing w:after="0"/>
              <w:rPr>
                <w:rFonts w:ascii="Times New Roman" w:hAnsi="Times New Roman"/>
                <w:sz w:val="24"/>
                <w:szCs w:val="24"/>
              </w:rPr>
            </w:pPr>
            <w:r w:rsidRPr="006077D5">
              <w:rPr>
                <w:rFonts w:ascii="Times New Roman" w:hAnsi="Times New Roman"/>
                <w:sz w:val="24"/>
                <w:szCs w:val="24"/>
              </w:rPr>
              <w:t>65</w:t>
            </w:r>
          </w:p>
          <w:p w:rsidR="006077D5" w:rsidRPr="006077D5" w:rsidP="006077D5" w14:paraId="4165E969" w14:textId="77777777">
            <w:pPr>
              <w:spacing w:after="0"/>
              <w:rPr>
                <w:rFonts w:ascii="Times New Roman" w:hAnsi="Times New Roman"/>
                <w:sz w:val="24"/>
                <w:szCs w:val="24"/>
              </w:rPr>
            </w:pPr>
          </w:p>
        </w:tc>
        <w:tc>
          <w:tcPr>
            <w:tcW w:w="704" w:type="pct"/>
            <w:tcBorders>
              <w:top w:val="single" w:sz="4" w:space="0" w:color="auto"/>
              <w:left w:val="single" w:sz="4" w:space="0" w:color="auto"/>
              <w:bottom w:val="single" w:sz="4" w:space="0" w:color="auto"/>
              <w:right w:val="single" w:sz="4" w:space="0" w:color="auto"/>
            </w:tcBorders>
          </w:tcPr>
          <w:p w:rsidR="006077D5" w:rsidRPr="006077D5" w:rsidP="006077D5" w14:paraId="7DB8319D" w14:textId="77777777">
            <w:pPr>
              <w:spacing w:after="0"/>
              <w:rPr>
                <w:rFonts w:ascii="Times New Roman" w:hAnsi="Times New Roman"/>
                <w:sz w:val="24"/>
                <w:szCs w:val="24"/>
              </w:rPr>
            </w:pPr>
            <w:r w:rsidRPr="006077D5">
              <w:rPr>
                <w:rFonts w:ascii="Times New Roman" w:hAnsi="Times New Roman"/>
                <w:sz w:val="24"/>
                <w:szCs w:val="24"/>
              </w:rPr>
              <w:t>1</w:t>
            </w:r>
          </w:p>
        </w:tc>
        <w:tc>
          <w:tcPr>
            <w:tcW w:w="646" w:type="pct"/>
            <w:tcBorders>
              <w:top w:val="single" w:sz="4" w:space="0" w:color="auto"/>
              <w:left w:val="single" w:sz="4" w:space="0" w:color="auto"/>
              <w:bottom w:val="single" w:sz="4" w:space="0" w:color="auto"/>
              <w:right w:val="single" w:sz="4" w:space="0" w:color="auto"/>
            </w:tcBorders>
          </w:tcPr>
          <w:p w:rsidR="006077D5" w:rsidRPr="006077D5" w:rsidP="006077D5" w14:paraId="1E545763" w14:textId="77777777">
            <w:pPr>
              <w:spacing w:after="0"/>
              <w:rPr>
                <w:rFonts w:ascii="Times New Roman" w:hAnsi="Times New Roman"/>
                <w:sz w:val="24"/>
                <w:szCs w:val="24"/>
              </w:rPr>
            </w:pPr>
            <w:r w:rsidRPr="006077D5">
              <w:rPr>
                <w:rFonts w:ascii="Times New Roman" w:hAnsi="Times New Roman"/>
                <w:sz w:val="24"/>
                <w:szCs w:val="24"/>
              </w:rPr>
              <w:t>65</w:t>
            </w:r>
          </w:p>
        </w:tc>
        <w:tc>
          <w:tcPr>
            <w:tcW w:w="638" w:type="pct"/>
            <w:tcBorders>
              <w:top w:val="single" w:sz="4" w:space="0" w:color="auto"/>
              <w:left w:val="single" w:sz="4" w:space="0" w:color="auto"/>
              <w:bottom w:val="single" w:sz="4" w:space="0" w:color="auto"/>
              <w:right w:val="single" w:sz="4" w:space="0" w:color="auto"/>
            </w:tcBorders>
          </w:tcPr>
          <w:p w:rsidR="006077D5" w:rsidRPr="006077D5" w:rsidP="006077D5" w14:paraId="24A9347A" w14:textId="77777777">
            <w:pPr>
              <w:spacing w:after="0"/>
              <w:rPr>
                <w:rFonts w:ascii="Times New Roman" w:hAnsi="Times New Roman"/>
                <w:sz w:val="24"/>
                <w:szCs w:val="24"/>
              </w:rPr>
            </w:pPr>
            <w:r w:rsidRPr="006077D5">
              <w:rPr>
                <w:rFonts w:ascii="Times New Roman" w:hAnsi="Times New Roman"/>
                <w:sz w:val="24"/>
                <w:szCs w:val="24"/>
              </w:rPr>
              <w:t>24 hrs.; $2,400</w:t>
            </w:r>
          </w:p>
        </w:tc>
        <w:tc>
          <w:tcPr>
            <w:tcW w:w="941" w:type="pct"/>
            <w:tcBorders>
              <w:top w:val="single" w:sz="4" w:space="0" w:color="auto"/>
              <w:left w:val="single" w:sz="4" w:space="0" w:color="auto"/>
              <w:bottom w:val="single" w:sz="4" w:space="0" w:color="auto"/>
              <w:right w:val="single" w:sz="4" w:space="0" w:color="auto"/>
            </w:tcBorders>
          </w:tcPr>
          <w:p w:rsidR="006077D5" w:rsidRPr="006077D5" w:rsidP="006077D5" w14:paraId="0A4EF90D" w14:textId="77777777">
            <w:pPr>
              <w:spacing w:after="0"/>
              <w:rPr>
                <w:rFonts w:ascii="Times New Roman" w:hAnsi="Times New Roman"/>
                <w:sz w:val="24"/>
                <w:szCs w:val="24"/>
              </w:rPr>
            </w:pPr>
            <w:r w:rsidRPr="006077D5">
              <w:rPr>
                <w:rFonts w:ascii="Times New Roman" w:hAnsi="Times New Roman"/>
                <w:sz w:val="24"/>
                <w:szCs w:val="24"/>
              </w:rPr>
              <w:t xml:space="preserve">1,560 hrs.; $156,000 </w:t>
            </w:r>
          </w:p>
        </w:tc>
        <w:tc>
          <w:tcPr>
            <w:tcW w:w="704" w:type="pct"/>
            <w:tcBorders>
              <w:top w:val="single" w:sz="4" w:space="0" w:color="auto"/>
              <w:left w:val="single" w:sz="4" w:space="0" w:color="auto"/>
              <w:bottom w:val="single" w:sz="4" w:space="0" w:color="auto"/>
              <w:right w:val="single" w:sz="4" w:space="0" w:color="auto"/>
            </w:tcBorders>
          </w:tcPr>
          <w:p w:rsidR="006077D5" w:rsidRPr="006077D5" w:rsidP="006077D5" w14:paraId="12B51B34" w14:textId="77777777">
            <w:pPr>
              <w:spacing w:after="0"/>
              <w:rPr>
                <w:rFonts w:ascii="Times New Roman" w:hAnsi="Times New Roman"/>
                <w:sz w:val="24"/>
                <w:szCs w:val="24"/>
              </w:rPr>
            </w:pPr>
            <w:r w:rsidRPr="006077D5">
              <w:rPr>
                <w:rFonts w:ascii="Times New Roman" w:hAnsi="Times New Roman"/>
                <w:sz w:val="24"/>
                <w:szCs w:val="24"/>
              </w:rPr>
              <w:t xml:space="preserve">$2,400 </w:t>
            </w:r>
          </w:p>
          <w:p w:rsidR="006077D5" w:rsidRPr="006077D5" w:rsidP="006077D5" w14:paraId="48E14533" w14:textId="77777777">
            <w:pPr>
              <w:spacing w:after="0"/>
              <w:rPr>
                <w:rFonts w:ascii="Times New Roman" w:hAnsi="Times New Roman"/>
                <w:sz w:val="24"/>
                <w:szCs w:val="24"/>
              </w:rPr>
            </w:pPr>
          </w:p>
        </w:tc>
      </w:tr>
      <w:tr w14:paraId="7B16D4F7" w14:textId="77777777" w:rsidTr="002876AA">
        <w:tblPrEx>
          <w:tblW w:w="5435" w:type="pct"/>
          <w:tblInd w:w="-185" w:type="dxa"/>
          <w:tblLook w:val="01E0"/>
        </w:tblPrEx>
        <w:trPr>
          <w:cantSplit/>
          <w:trHeight w:val="890"/>
        </w:trPr>
        <w:tc>
          <w:tcPr>
            <w:tcW w:w="579" w:type="pct"/>
            <w:tcBorders>
              <w:top w:val="single" w:sz="4" w:space="0" w:color="auto"/>
              <w:left w:val="single" w:sz="4" w:space="0" w:color="auto"/>
              <w:bottom w:val="single" w:sz="4" w:space="0" w:color="auto"/>
              <w:right w:val="single" w:sz="4" w:space="0" w:color="auto"/>
            </w:tcBorders>
            <w:shd w:val="clear" w:color="auto" w:fill="D9D9D9"/>
          </w:tcPr>
          <w:p w:rsidR="006077D5" w:rsidRPr="006077D5" w:rsidP="006077D5" w14:paraId="7FFF9B98" w14:textId="77777777">
            <w:pPr>
              <w:spacing w:after="0"/>
              <w:rPr>
                <w:rFonts w:ascii="Times New Roman" w:hAnsi="Times New Roman"/>
                <w:b/>
                <w:bCs/>
                <w:sz w:val="24"/>
                <w:szCs w:val="24"/>
              </w:rPr>
            </w:pPr>
            <w:r w:rsidRPr="006077D5">
              <w:rPr>
                <w:rFonts w:ascii="Times New Roman" w:hAnsi="Times New Roman"/>
                <w:b/>
                <w:bCs/>
                <w:sz w:val="24"/>
                <w:szCs w:val="24"/>
              </w:rPr>
              <w:t>TOTAL FERC-512</w:t>
            </w:r>
          </w:p>
          <w:p w:rsidR="006077D5" w:rsidRPr="006077D5" w:rsidP="006077D5" w14:paraId="0C010857" w14:textId="77777777">
            <w:pPr>
              <w:spacing w:after="0"/>
              <w:rPr>
                <w:rFonts w:ascii="Times New Roman" w:hAnsi="Times New Roman"/>
                <w:b/>
                <w:bCs/>
                <w:sz w:val="24"/>
                <w:szCs w:val="24"/>
              </w:rPr>
            </w:pPr>
          </w:p>
        </w:tc>
        <w:tc>
          <w:tcPr>
            <w:tcW w:w="789" w:type="pct"/>
            <w:tcBorders>
              <w:top w:val="single" w:sz="4" w:space="0" w:color="auto"/>
              <w:left w:val="single" w:sz="4" w:space="0" w:color="auto"/>
              <w:bottom w:val="single" w:sz="4" w:space="0" w:color="auto"/>
              <w:right w:val="single" w:sz="4" w:space="0" w:color="auto"/>
            </w:tcBorders>
            <w:shd w:val="clear" w:color="auto" w:fill="D9D9D9"/>
            <w:vAlign w:val="bottom"/>
          </w:tcPr>
          <w:p w:rsidR="006077D5" w:rsidRPr="006077D5" w:rsidP="006077D5" w14:paraId="1EA9974C" w14:textId="77777777">
            <w:pPr>
              <w:spacing w:after="0"/>
              <w:rPr>
                <w:rFonts w:ascii="Times New Roman" w:hAnsi="Times New Roman"/>
                <w:b/>
                <w:bCs/>
                <w:sz w:val="24"/>
                <w:szCs w:val="24"/>
              </w:rPr>
            </w:pPr>
            <w:r w:rsidRPr="006077D5">
              <w:rPr>
                <w:rFonts w:ascii="Times New Roman" w:hAnsi="Times New Roman"/>
                <w:b/>
                <w:bCs/>
                <w:sz w:val="24"/>
                <w:szCs w:val="24"/>
              </w:rPr>
              <w:t>65</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bottom"/>
          </w:tcPr>
          <w:p w:rsidR="006077D5" w:rsidRPr="006077D5" w:rsidP="006077D5" w14:paraId="6B1E0018" w14:textId="77777777">
            <w:pPr>
              <w:spacing w:after="0"/>
              <w:rPr>
                <w:rFonts w:ascii="Times New Roman" w:hAnsi="Times New Roman"/>
                <w:b/>
                <w:bCs/>
                <w:sz w:val="24"/>
                <w:szCs w:val="24"/>
              </w:rPr>
            </w:pPr>
            <w:r w:rsidRPr="006077D5">
              <w:rPr>
                <w:rFonts w:ascii="Times New Roman" w:hAnsi="Times New Roman"/>
                <w:b/>
                <w:bCs/>
                <w:sz w:val="24"/>
                <w:szCs w:val="24"/>
              </w:rPr>
              <w:t>1</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tcPr>
          <w:p w:rsidR="006077D5" w:rsidRPr="006077D5" w:rsidP="006077D5" w14:paraId="78F68F7A" w14:textId="77777777">
            <w:pPr>
              <w:spacing w:after="0"/>
              <w:rPr>
                <w:rFonts w:ascii="Times New Roman" w:hAnsi="Times New Roman"/>
                <w:b/>
                <w:bCs/>
                <w:sz w:val="24"/>
                <w:szCs w:val="24"/>
              </w:rPr>
            </w:pPr>
            <w:r w:rsidRPr="006077D5">
              <w:rPr>
                <w:rFonts w:ascii="Times New Roman" w:hAnsi="Times New Roman"/>
                <w:b/>
                <w:bCs/>
                <w:sz w:val="24"/>
                <w:szCs w:val="24"/>
              </w:rPr>
              <w:t>65</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tcPr>
          <w:p w:rsidR="006077D5" w:rsidRPr="006077D5" w:rsidP="006077D5" w14:paraId="25EB37C7" w14:textId="77777777">
            <w:pPr>
              <w:spacing w:after="0"/>
              <w:rPr>
                <w:rFonts w:ascii="Times New Roman" w:hAnsi="Times New Roman"/>
                <w:b/>
                <w:bCs/>
                <w:sz w:val="24"/>
                <w:szCs w:val="24"/>
              </w:rPr>
            </w:pPr>
            <w:r w:rsidRPr="006077D5">
              <w:rPr>
                <w:rFonts w:ascii="Times New Roman" w:hAnsi="Times New Roman"/>
                <w:b/>
                <w:bCs/>
                <w:sz w:val="24"/>
                <w:szCs w:val="24"/>
              </w:rPr>
              <w:t>24 hrs.; $2,400</w:t>
            </w:r>
          </w:p>
        </w:tc>
        <w:tc>
          <w:tcPr>
            <w:tcW w:w="941" w:type="pct"/>
            <w:tcBorders>
              <w:top w:val="single" w:sz="4" w:space="0" w:color="auto"/>
              <w:left w:val="single" w:sz="4" w:space="0" w:color="auto"/>
              <w:bottom w:val="single" w:sz="4" w:space="0" w:color="auto"/>
              <w:right w:val="single" w:sz="4" w:space="0" w:color="auto"/>
            </w:tcBorders>
            <w:shd w:val="clear" w:color="auto" w:fill="D9D9D9"/>
            <w:vAlign w:val="bottom"/>
          </w:tcPr>
          <w:p w:rsidR="006077D5" w:rsidRPr="006077D5" w:rsidP="006077D5" w14:paraId="4BC79BE4" w14:textId="77777777">
            <w:pPr>
              <w:spacing w:after="0"/>
              <w:rPr>
                <w:rFonts w:ascii="Times New Roman" w:hAnsi="Times New Roman"/>
                <w:b/>
                <w:bCs/>
                <w:sz w:val="24"/>
                <w:szCs w:val="24"/>
              </w:rPr>
            </w:pPr>
            <w:r w:rsidRPr="006077D5">
              <w:rPr>
                <w:rFonts w:ascii="Times New Roman" w:hAnsi="Times New Roman"/>
                <w:b/>
                <w:bCs/>
                <w:sz w:val="24"/>
                <w:szCs w:val="24"/>
              </w:rPr>
              <w:t>1,560 hrs.; $156,000</w:t>
            </w:r>
          </w:p>
        </w:tc>
        <w:tc>
          <w:tcPr>
            <w:tcW w:w="704" w:type="pct"/>
            <w:tcBorders>
              <w:top w:val="single" w:sz="4" w:space="0" w:color="auto"/>
              <w:left w:val="single" w:sz="4" w:space="0" w:color="auto"/>
              <w:bottom w:val="single" w:sz="4" w:space="0" w:color="auto"/>
              <w:right w:val="single" w:sz="4" w:space="0" w:color="auto"/>
            </w:tcBorders>
            <w:shd w:val="clear" w:color="auto" w:fill="D9D9D9"/>
          </w:tcPr>
          <w:p w:rsidR="006077D5" w:rsidRPr="006077D5" w:rsidP="006077D5" w14:paraId="43B4686C" w14:textId="77777777">
            <w:pPr>
              <w:spacing w:after="0"/>
              <w:rPr>
                <w:rFonts w:ascii="Times New Roman" w:hAnsi="Times New Roman"/>
                <w:b/>
                <w:bCs/>
                <w:sz w:val="24"/>
                <w:szCs w:val="24"/>
              </w:rPr>
            </w:pPr>
            <w:r w:rsidRPr="006077D5">
              <w:rPr>
                <w:rFonts w:ascii="Times New Roman" w:hAnsi="Times New Roman"/>
                <w:b/>
                <w:bCs/>
                <w:sz w:val="24"/>
                <w:szCs w:val="24"/>
              </w:rPr>
              <w:t>$2,400</w:t>
            </w:r>
          </w:p>
        </w:tc>
      </w:tr>
    </w:tbl>
    <w:p w:rsidR="007C0996" w:rsidP="00D80FBD" w14:paraId="63CFE6EE" w14:textId="77777777">
      <w:pPr>
        <w:spacing w:after="0"/>
        <w:rPr>
          <w:rFonts w:ascii="Times New Roman" w:hAnsi="Times New Roman"/>
          <w:sz w:val="24"/>
          <w:szCs w:val="24"/>
        </w:rPr>
      </w:pPr>
    </w:p>
    <w:p w:rsidR="00D80FBD" w:rsidRPr="00D80FBD" w:rsidP="00D80FBD" w14:paraId="39DB2063" w14:textId="77777777">
      <w:pPr>
        <w:spacing w:after="0"/>
        <w:rPr>
          <w:rFonts w:ascii="Times New Roman" w:hAnsi="Times New Roman"/>
          <w:sz w:val="24"/>
          <w:szCs w:val="24"/>
        </w:rPr>
      </w:pPr>
    </w:p>
    <w:p w:rsidR="00D80FBD" w:rsidRPr="00414F32" w:rsidP="00A72E7B" w14:paraId="26764D55" w14:textId="77777777">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ESTIMATE OF THE TOTAL ANNUAL COST BURDEN TO RESPONDENTS</w:t>
      </w:r>
    </w:p>
    <w:p w:rsidR="00E636D7" w:rsidP="00E636D7" w14:paraId="238187C7" w14:textId="77777777">
      <w:pPr>
        <w:spacing w:after="0"/>
        <w:rPr>
          <w:rFonts w:ascii="Times New Roman" w:hAnsi="Times New Roman"/>
          <w:sz w:val="24"/>
          <w:szCs w:val="24"/>
        </w:rPr>
      </w:pPr>
    </w:p>
    <w:p w:rsidR="00F100EB" w:rsidP="00F100EB" w14:paraId="3B42A53A" w14:textId="77777777">
      <w:pPr>
        <w:spacing w:after="0"/>
        <w:rPr>
          <w:rFonts w:ascii="Times New Roman" w:hAnsi="Times New Roman"/>
          <w:sz w:val="24"/>
          <w:szCs w:val="24"/>
        </w:rPr>
      </w:pPr>
      <w:r w:rsidRPr="006601E3">
        <w:rPr>
          <w:rFonts w:ascii="Times New Roman" w:hAnsi="Times New Roman"/>
          <w:sz w:val="24"/>
          <w:szCs w:val="24"/>
        </w:rPr>
        <w:t xml:space="preserve">There are no capital or start-up costs associated with </w:t>
      </w:r>
      <w:r w:rsidRPr="006601E3" w:rsidR="009F292A">
        <w:rPr>
          <w:rFonts w:ascii="Times New Roman" w:hAnsi="Times New Roman"/>
          <w:sz w:val="24"/>
          <w:szCs w:val="24"/>
        </w:rPr>
        <w:t>th</w:t>
      </w:r>
      <w:r w:rsidR="009F292A">
        <w:rPr>
          <w:rFonts w:ascii="Times New Roman" w:hAnsi="Times New Roman"/>
          <w:sz w:val="24"/>
          <w:szCs w:val="24"/>
        </w:rPr>
        <w:t>ese information</w:t>
      </w:r>
      <w:r w:rsidRPr="006601E3" w:rsidR="009F292A">
        <w:rPr>
          <w:rFonts w:ascii="Times New Roman" w:hAnsi="Times New Roman"/>
          <w:sz w:val="24"/>
          <w:szCs w:val="24"/>
        </w:rPr>
        <w:t xml:space="preserve"> </w:t>
      </w:r>
      <w:r w:rsidRPr="006601E3">
        <w:rPr>
          <w:rFonts w:ascii="Times New Roman" w:hAnsi="Times New Roman"/>
          <w:sz w:val="24"/>
          <w:szCs w:val="24"/>
        </w:rPr>
        <w:t>collection</w:t>
      </w:r>
      <w:r w:rsidR="009F292A">
        <w:rPr>
          <w:rFonts w:ascii="Times New Roman" w:hAnsi="Times New Roman"/>
          <w:sz w:val="24"/>
          <w:szCs w:val="24"/>
        </w:rPr>
        <w:t>s</w:t>
      </w:r>
      <w:r w:rsidRPr="006601E3">
        <w:rPr>
          <w:rFonts w:ascii="Times New Roman" w:hAnsi="Times New Roman"/>
          <w:sz w:val="24"/>
          <w:szCs w:val="24"/>
        </w:rPr>
        <w:t>.  All costs are associated with the burden hours and accounted for in Question</w:t>
      </w:r>
      <w:r w:rsidR="009F292A">
        <w:rPr>
          <w:rFonts w:ascii="Times New Roman" w:hAnsi="Times New Roman"/>
          <w:sz w:val="24"/>
          <w:szCs w:val="24"/>
        </w:rPr>
        <w:t>s</w:t>
      </w:r>
      <w:r w:rsidRPr="006601E3">
        <w:rPr>
          <w:rFonts w:ascii="Times New Roman" w:hAnsi="Times New Roman"/>
          <w:sz w:val="24"/>
          <w:szCs w:val="24"/>
        </w:rPr>
        <w:t xml:space="preserve"> #12</w:t>
      </w:r>
      <w:r w:rsidR="009F292A">
        <w:rPr>
          <w:rFonts w:ascii="Times New Roman" w:hAnsi="Times New Roman"/>
          <w:sz w:val="24"/>
          <w:szCs w:val="24"/>
        </w:rPr>
        <w:t xml:space="preserve"> and #15</w:t>
      </w:r>
      <w:r w:rsidRPr="006601E3">
        <w:rPr>
          <w:rFonts w:ascii="Times New Roman" w:hAnsi="Times New Roman"/>
          <w:sz w:val="24"/>
          <w:szCs w:val="24"/>
        </w:rPr>
        <w:t>.</w:t>
      </w:r>
    </w:p>
    <w:p w:rsidR="00E636D7" w:rsidRPr="00E636D7" w:rsidP="00E636D7" w14:paraId="06C963F0" w14:textId="77777777">
      <w:pPr>
        <w:spacing w:after="0"/>
        <w:rPr>
          <w:rFonts w:ascii="Times New Roman" w:hAnsi="Times New Roman"/>
          <w:sz w:val="24"/>
          <w:szCs w:val="24"/>
        </w:rPr>
      </w:pPr>
    </w:p>
    <w:p w:rsidR="00E636D7" w:rsidP="00A72E7B" w14:paraId="770B94B3" w14:textId="77777777">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ESTIMATED ANNUALIZED COST TO FEDERAL GOVERNMENT</w:t>
      </w:r>
    </w:p>
    <w:p w:rsidR="008C5A92" w:rsidRPr="00414F32" w:rsidP="009E7B59" w14:paraId="12547ECE" w14:textId="77777777">
      <w:pPr>
        <w:pStyle w:val="ListParagraph"/>
        <w:spacing w:after="0"/>
        <w:ind w:left="0"/>
        <w:rPr>
          <w:rFonts w:ascii="Times New Roman" w:hAnsi="Times New Roman"/>
          <w:b/>
          <w:sz w:val="24"/>
          <w:szCs w:val="24"/>
        </w:rPr>
      </w:pPr>
    </w:p>
    <w:p w:rsidR="00A276F5" w:rsidP="00A276F5" w14:paraId="4E916E57" w14:textId="77777777">
      <w:pPr>
        <w:spacing w:after="0"/>
        <w:rPr>
          <w:rFonts w:ascii="Times New Roman" w:hAnsi="Times New Roman"/>
          <w:sz w:val="24"/>
          <w:szCs w:val="24"/>
        </w:rPr>
      </w:pPr>
      <w:r>
        <w:rPr>
          <w:rFonts w:ascii="Times New Roman" w:hAnsi="Times New Roman"/>
          <w:sz w:val="24"/>
          <w:szCs w:val="24"/>
        </w:rPr>
        <w:t xml:space="preserve">The </w:t>
      </w:r>
      <w:r w:rsidR="008C5A92">
        <w:rPr>
          <w:rFonts w:ascii="Times New Roman" w:hAnsi="Times New Roman"/>
          <w:sz w:val="24"/>
          <w:szCs w:val="24"/>
        </w:rPr>
        <w:t xml:space="preserve">estimated </w:t>
      </w:r>
      <w:r>
        <w:rPr>
          <w:rFonts w:ascii="Times New Roman" w:hAnsi="Times New Roman"/>
          <w:sz w:val="24"/>
          <w:szCs w:val="24"/>
        </w:rPr>
        <w:t>cost</w:t>
      </w:r>
      <w:r w:rsidR="008C5A92">
        <w:rPr>
          <w:rFonts w:ascii="Times New Roman" w:hAnsi="Times New Roman"/>
          <w:sz w:val="24"/>
          <w:szCs w:val="24"/>
        </w:rPr>
        <w:t>s</w:t>
      </w:r>
      <w:r>
        <w:rPr>
          <w:rFonts w:ascii="Times New Roman" w:hAnsi="Times New Roman"/>
          <w:sz w:val="24"/>
          <w:szCs w:val="24"/>
        </w:rPr>
        <w:t xml:space="preserve"> of the program </w:t>
      </w:r>
      <w:r w:rsidR="008C5A92">
        <w:rPr>
          <w:rFonts w:ascii="Times New Roman" w:hAnsi="Times New Roman"/>
          <w:sz w:val="24"/>
          <w:szCs w:val="24"/>
        </w:rPr>
        <w:t>relat</w:t>
      </w:r>
      <w:r w:rsidR="00AF6CBA">
        <w:rPr>
          <w:rFonts w:ascii="Times New Roman" w:hAnsi="Times New Roman"/>
          <w:sz w:val="24"/>
          <w:szCs w:val="24"/>
        </w:rPr>
        <w:t>ed to these filing requirements</w:t>
      </w:r>
      <w:r w:rsidR="008C5A92">
        <w:rPr>
          <w:rFonts w:ascii="Times New Roman" w:hAnsi="Times New Roman"/>
          <w:sz w:val="24"/>
          <w:szCs w:val="24"/>
        </w:rPr>
        <w:t xml:space="preserve"> </w:t>
      </w:r>
      <w:r>
        <w:rPr>
          <w:rFonts w:ascii="Times New Roman" w:hAnsi="Times New Roman"/>
          <w:sz w:val="24"/>
          <w:szCs w:val="24"/>
        </w:rPr>
        <w:t>follows.</w:t>
      </w:r>
    </w:p>
    <w:p w:rsidR="00321259" w:rsidP="00A276F5" w14:paraId="3C42E0B7" w14:textId="77777777">
      <w:pPr>
        <w:spacing w:after="0"/>
        <w:rPr>
          <w:rFonts w:ascii="Times New Roman" w:hAnsi="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29C0D4D" w14:textId="77777777" w:rsidTr="009C3AE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AF6CBA" w:rsidRPr="00A44AE9" w:rsidP="009C3AE5" w14:paraId="6CB38F8A" w14:textId="77777777">
            <w:pPr>
              <w:spacing w:after="0" w:line="240" w:lineRule="auto"/>
              <w:rPr>
                <w:rFonts w:ascii="Times New Roman" w:hAnsi="Times New Roman"/>
                <w:b/>
                <w:sz w:val="24"/>
                <w:szCs w:val="24"/>
              </w:rPr>
            </w:pPr>
            <w:r>
              <w:rPr>
                <w:rFonts w:ascii="Times New Roman" w:hAnsi="Times New Roman"/>
                <w:b/>
                <w:sz w:val="24"/>
                <w:szCs w:val="24"/>
              </w:rPr>
              <w:t>FERC-512</w:t>
            </w:r>
          </w:p>
        </w:tc>
        <w:tc>
          <w:tcPr>
            <w:tcW w:w="3201" w:type="dxa"/>
            <w:shd w:val="clear" w:color="auto" w:fill="CCCCCC"/>
          </w:tcPr>
          <w:p w:rsidR="00AF6CBA" w:rsidRPr="00A44AE9" w:rsidP="009C3AE5" w14:paraId="3F9690C7" w14:textId="77777777">
            <w:pPr>
              <w:spacing w:after="0" w:line="240" w:lineRule="auto"/>
              <w:rPr>
                <w:rFonts w:ascii="Times New Roman" w:hAnsi="Times New Roman"/>
                <w:b/>
                <w:sz w:val="24"/>
                <w:szCs w:val="24"/>
              </w:rPr>
            </w:pPr>
            <w:r w:rsidRPr="00A44AE9">
              <w:rPr>
                <w:rFonts w:ascii="Times New Roman" w:hAnsi="Times New Roman"/>
                <w:b/>
                <w:sz w:val="24"/>
                <w:szCs w:val="24"/>
              </w:rPr>
              <w:t>Number of Employees (FTEs)</w:t>
            </w:r>
          </w:p>
        </w:tc>
        <w:tc>
          <w:tcPr>
            <w:tcW w:w="2995" w:type="dxa"/>
            <w:shd w:val="clear" w:color="auto" w:fill="CCCCCC"/>
          </w:tcPr>
          <w:p w:rsidR="00AF6CBA" w:rsidRPr="00A44AE9" w:rsidP="009C3AE5" w14:paraId="0E3CEEA6" w14:textId="77777777">
            <w:pPr>
              <w:spacing w:after="0" w:line="240" w:lineRule="auto"/>
              <w:rPr>
                <w:rFonts w:ascii="Times New Roman" w:hAnsi="Times New Roman"/>
                <w:b/>
                <w:sz w:val="24"/>
                <w:szCs w:val="24"/>
              </w:rPr>
            </w:pPr>
            <w:r w:rsidRPr="00A44AE9">
              <w:rPr>
                <w:rFonts w:ascii="Times New Roman" w:hAnsi="Times New Roman"/>
                <w:b/>
                <w:sz w:val="24"/>
                <w:szCs w:val="24"/>
              </w:rPr>
              <w:t>Estimated Annual Federal Cost</w:t>
            </w:r>
          </w:p>
        </w:tc>
      </w:tr>
      <w:tr w14:paraId="6E2F4D52" w14:textId="77777777" w:rsidTr="009C3AE5">
        <w:tblPrEx>
          <w:tblW w:w="9378" w:type="dxa"/>
          <w:tblLook w:val="01E0"/>
        </w:tblPrEx>
        <w:tc>
          <w:tcPr>
            <w:tcW w:w="3182" w:type="dxa"/>
            <w:shd w:val="clear" w:color="auto" w:fill="auto"/>
          </w:tcPr>
          <w:p w:rsidR="00AF6CBA" w:rsidRPr="00A44AE9" w:rsidP="009C3AE5" w14:paraId="47B72940" w14:textId="77777777">
            <w:pPr>
              <w:spacing w:after="0" w:line="240" w:lineRule="auto"/>
              <w:rPr>
                <w:rFonts w:ascii="Times New Roman" w:hAnsi="Times New Roman"/>
                <w:sz w:val="24"/>
                <w:szCs w:val="24"/>
              </w:rPr>
            </w:pPr>
            <w:r>
              <w:rPr>
                <w:rFonts w:ascii="Times New Roman" w:hAnsi="Times New Roman"/>
                <w:sz w:val="24"/>
                <w:szCs w:val="24"/>
              </w:rPr>
              <w:t>FERC-512</w:t>
            </w:r>
            <w:r w:rsidRPr="00A44AE9">
              <w:rPr>
                <w:rFonts w:ascii="Times New Roman" w:hAnsi="Times New Roman"/>
                <w:sz w:val="24"/>
                <w:szCs w:val="24"/>
              </w:rPr>
              <w:t xml:space="preserve"> Analysis and Processing of filings</w:t>
            </w:r>
            <w:r>
              <w:rPr>
                <w:rStyle w:val="FootnoteReference"/>
                <w:rFonts w:ascii="Times New Roman" w:hAnsi="Times New Roman"/>
                <w:sz w:val="24"/>
                <w:szCs w:val="24"/>
                <w:vertAlign w:val="superscript"/>
              </w:rPr>
              <w:footnoteReference w:id="5"/>
            </w:r>
          </w:p>
        </w:tc>
        <w:tc>
          <w:tcPr>
            <w:tcW w:w="3201" w:type="dxa"/>
            <w:tcBorders>
              <w:bottom w:val="single" w:sz="4" w:space="0" w:color="auto"/>
            </w:tcBorders>
            <w:shd w:val="clear" w:color="auto" w:fill="auto"/>
            <w:vAlign w:val="center"/>
          </w:tcPr>
          <w:p w:rsidR="00AF6CBA" w:rsidRPr="00A44AE9" w:rsidP="009C3AE5" w14:paraId="58B653C4" w14:textId="77777777">
            <w:pPr>
              <w:spacing w:after="0" w:line="240" w:lineRule="auto"/>
              <w:jc w:val="right"/>
              <w:rPr>
                <w:rFonts w:ascii="Times New Roman" w:hAnsi="Times New Roman"/>
                <w:sz w:val="24"/>
                <w:szCs w:val="24"/>
              </w:rPr>
            </w:pPr>
            <w:r>
              <w:rPr>
                <w:rFonts w:ascii="Times New Roman" w:hAnsi="Times New Roman"/>
                <w:sz w:val="24"/>
                <w:szCs w:val="24"/>
              </w:rPr>
              <w:t>5</w:t>
            </w:r>
          </w:p>
        </w:tc>
        <w:tc>
          <w:tcPr>
            <w:tcW w:w="2995" w:type="dxa"/>
            <w:shd w:val="clear" w:color="auto" w:fill="auto"/>
            <w:vAlign w:val="center"/>
          </w:tcPr>
          <w:p w:rsidR="00AF6CBA" w:rsidRPr="00A44AE9" w:rsidP="009C3AE5" w14:paraId="65B86609" w14:textId="0BB4EF17">
            <w:pPr>
              <w:spacing w:after="0" w:line="240" w:lineRule="auto"/>
              <w:jc w:val="right"/>
              <w:rPr>
                <w:rFonts w:ascii="Times New Roman" w:hAnsi="Times New Roman"/>
                <w:sz w:val="24"/>
                <w:szCs w:val="24"/>
              </w:rPr>
            </w:pPr>
            <w:r>
              <w:rPr>
                <w:rFonts w:ascii="Times New Roman" w:hAnsi="Times New Roman"/>
                <w:sz w:val="24"/>
                <w:szCs w:val="24"/>
              </w:rPr>
              <w:t>$</w:t>
            </w:r>
            <w:r w:rsidR="00745D2E">
              <w:rPr>
                <w:rFonts w:ascii="Times New Roman" w:hAnsi="Times New Roman"/>
                <w:sz w:val="24"/>
                <w:szCs w:val="24"/>
              </w:rPr>
              <w:t>1,038,935</w:t>
            </w:r>
          </w:p>
        </w:tc>
      </w:tr>
      <w:tr w14:paraId="104A4599" w14:textId="77777777" w:rsidTr="00AF6CBA">
        <w:tblPrEx>
          <w:tblW w:w="9378" w:type="dxa"/>
          <w:tblLook w:val="01E0"/>
        </w:tblPrEx>
        <w:tc>
          <w:tcPr>
            <w:tcW w:w="3182" w:type="dxa"/>
            <w:shd w:val="clear" w:color="auto" w:fill="auto"/>
          </w:tcPr>
          <w:p w:rsidR="00AF6CBA" w:rsidRPr="00A44AE9" w:rsidP="009C3AE5" w14:paraId="27B62BC4" w14:textId="77777777">
            <w:pPr>
              <w:spacing w:after="0" w:line="240" w:lineRule="auto"/>
              <w:rPr>
                <w:rFonts w:ascii="Times New Roman" w:hAnsi="Times New Roman"/>
                <w:sz w:val="24"/>
                <w:szCs w:val="24"/>
              </w:rPr>
            </w:pPr>
            <w:r w:rsidRPr="00A44AE9">
              <w:rPr>
                <w:rFonts w:ascii="Times New Roman" w:hAnsi="Times New Roman"/>
                <w:sz w:val="24"/>
                <w:szCs w:val="24"/>
              </w:rPr>
              <w:t>Paperwork Reduction Act Administrative Cost</w:t>
            </w:r>
            <w:bookmarkStart w:id="1" w:name="_Ref389748397"/>
            <w:r>
              <w:rPr>
                <w:rFonts w:ascii="Times New Roman" w:eastAsia="Times New Roman" w:hAnsi="Times New Roman"/>
                <w:sz w:val="24"/>
                <w:szCs w:val="24"/>
                <w:vertAlign w:val="superscript"/>
              </w:rPr>
              <w:footnoteReference w:id="6"/>
            </w:r>
            <w:bookmarkEnd w:id="1"/>
          </w:p>
        </w:tc>
        <w:tc>
          <w:tcPr>
            <w:tcW w:w="3201" w:type="dxa"/>
            <w:shd w:val="clear" w:color="auto" w:fill="D9D9D9"/>
            <w:vAlign w:val="center"/>
          </w:tcPr>
          <w:p w:rsidR="00AF6CBA" w:rsidRPr="00A44AE9" w:rsidP="009C3AE5" w14:paraId="12B9C41D" w14:textId="77777777">
            <w:pPr>
              <w:spacing w:after="0" w:line="240" w:lineRule="auto"/>
              <w:jc w:val="right"/>
              <w:rPr>
                <w:rFonts w:ascii="Times New Roman" w:hAnsi="Times New Roman"/>
                <w:sz w:val="24"/>
                <w:szCs w:val="24"/>
              </w:rPr>
            </w:pPr>
          </w:p>
        </w:tc>
        <w:tc>
          <w:tcPr>
            <w:tcW w:w="2995" w:type="dxa"/>
            <w:shd w:val="clear" w:color="auto" w:fill="auto"/>
            <w:vAlign w:val="center"/>
          </w:tcPr>
          <w:p w:rsidR="00AF6CBA" w:rsidRPr="00A44AE9" w:rsidP="009C3AE5" w14:paraId="7BA55211" w14:textId="20A1FB1A">
            <w:pPr>
              <w:spacing w:after="0" w:line="240" w:lineRule="auto"/>
              <w:jc w:val="right"/>
              <w:rPr>
                <w:rFonts w:ascii="Times New Roman" w:hAnsi="Times New Roman"/>
                <w:sz w:val="24"/>
                <w:szCs w:val="24"/>
              </w:rPr>
            </w:pPr>
            <w:r w:rsidRPr="00A44AE9">
              <w:rPr>
                <w:rFonts w:ascii="Times New Roman" w:hAnsi="Times New Roman"/>
                <w:sz w:val="24"/>
                <w:szCs w:val="24"/>
              </w:rPr>
              <w:t>$</w:t>
            </w:r>
            <w:r w:rsidR="009E3A9D">
              <w:rPr>
                <w:rFonts w:ascii="Times New Roman" w:hAnsi="Times New Roman"/>
                <w:sz w:val="24"/>
                <w:szCs w:val="24"/>
              </w:rPr>
              <w:t>8,</w:t>
            </w:r>
            <w:r w:rsidR="004335BB">
              <w:rPr>
                <w:rFonts w:ascii="Times New Roman" w:hAnsi="Times New Roman"/>
                <w:sz w:val="24"/>
                <w:szCs w:val="24"/>
              </w:rPr>
              <w:t>39</w:t>
            </w:r>
            <w:r w:rsidR="009E3A9D">
              <w:rPr>
                <w:rFonts w:ascii="Times New Roman" w:hAnsi="Times New Roman"/>
                <w:sz w:val="24"/>
                <w:szCs w:val="24"/>
              </w:rPr>
              <w:t>6</w:t>
            </w:r>
          </w:p>
        </w:tc>
      </w:tr>
      <w:tr w14:paraId="20F5B870" w14:textId="77777777" w:rsidTr="00AF6CBA">
        <w:tblPrEx>
          <w:tblW w:w="9378" w:type="dxa"/>
          <w:tblLook w:val="01E0"/>
        </w:tblPrEx>
        <w:tc>
          <w:tcPr>
            <w:tcW w:w="3182" w:type="dxa"/>
            <w:shd w:val="clear" w:color="auto" w:fill="auto"/>
          </w:tcPr>
          <w:p w:rsidR="00AF6CBA" w:rsidRPr="00A44AE9" w:rsidP="009C3AE5" w14:paraId="0C5CB5F5" w14:textId="77777777">
            <w:pPr>
              <w:spacing w:after="0" w:line="240" w:lineRule="auto"/>
              <w:rPr>
                <w:rFonts w:ascii="Times New Roman" w:hAnsi="Times New Roman"/>
                <w:sz w:val="24"/>
                <w:szCs w:val="24"/>
              </w:rPr>
            </w:pPr>
            <w:r w:rsidRPr="00A44AE9">
              <w:rPr>
                <w:rFonts w:ascii="Times New Roman" w:hAnsi="Times New Roman"/>
                <w:sz w:val="24"/>
                <w:szCs w:val="24"/>
              </w:rPr>
              <w:t>TOTAL</w:t>
            </w:r>
          </w:p>
        </w:tc>
        <w:tc>
          <w:tcPr>
            <w:tcW w:w="3201" w:type="dxa"/>
            <w:shd w:val="clear" w:color="auto" w:fill="D9D9D9"/>
            <w:vAlign w:val="center"/>
          </w:tcPr>
          <w:p w:rsidR="00AF6CBA" w:rsidRPr="00A44AE9" w:rsidP="009C3AE5" w14:paraId="5BBD3465" w14:textId="77777777">
            <w:pPr>
              <w:spacing w:after="0" w:line="240" w:lineRule="auto"/>
              <w:jc w:val="right"/>
              <w:rPr>
                <w:rFonts w:ascii="Times New Roman" w:hAnsi="Times New Roman"/>
                <w:sz w:val="24"/>
                <w:szCs w:val="24"/>
              </w:rPr>
            </w:pPr>
          </w:p>
        </w:tc>
        <w:tc>
          <w:tcPr>
            <w:tcW w:w="2995" w:type="dxa"/>
            <w:shd w:val="clear" w:color="auto" w:fill="auto"/>
            <w:vAlign w:val="center"/>
          </w:tcPr>
          <w:p w:rsidR="00AF6CBA" w:rsidRPr="00A44AE9" w:rsidP="009C3AE5" w14:paraId="048FEFF8" w14:textId="4696787F">
            <w:pPr>
              <w:spacing w:after="0" w:line="240" w:lineRule="auto"/>
              <w:jc w:val="right"/>
              <w:rPr>
                <w:rFonts w:ascii="Times New Roman" w:hAnsi="Times New Roman"/>
                <w:sz w:val="24"/>
                <w:szCs w:val="24"/>
              </w:rPr>
            </w:pPr>
            <w:r>
              <w:rPr>
                <w:rFonts w:ascii="Times New Roman" w:hAnsi="Times New Roman"/>
                <w:sz w:val="24"/>
                <w:szCs w:val="24"/>
              </w:rPr>
              <w:t>$</w:t>
            </w:r>
            <w:r w:rsidR="004335BB">
              <w:rPr>
                <w:rFonts w:ascii="Times New Roman" w:hAnsi="Times New Roman"/>
                <w:sz w:val="24"/>
                <w:szCs w:val="24"/>
              </w:rPr>
              <w:t>1,047,331</w:t>
            </w:r>
          </w:p>
        </w:tc>
      </w:tr>
    </w:tbl>
    <w:p w:rsidR="00321259" w:rsidP="00A276F5" w14:paraId="0DB17523" w14:textId="77777777">
      <w:pPr>
        <w:spacing w:after="0"/>
        <w:rPr>
          <w:rFonts w:ascii="Times New Roman" w:hAnsi="Times New Roman"/>
          <w:sz w:val="24"/>
          <w:szCs w:val="24"/>
        </w:rPr>
      </w:pPr>
    </w:p>
    <w:p w:rsidR="00321259" w:rsidP="00A276F5" w14:paraId="6BE76806" w14:textId="77777777">
      <w:pPr>
        <w:spacing w:after="0"/>
        <w:rPr>
          <w:rFonts w:ascii="Times New Roman" w:hAnsi="Times New Roman"/>
          <w:sz w:val="24"/>
          <w:szCs w:val="24"/>
        </w:rPr>
      </w:pPr>
    </w:p>
    <w:p w:rsidR="002E7C03" w:rsidP="002E7C03" w14:paraId="278EA3BE" w14:textId="77777777">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REASONS FOR CHANGES IN BURDEN INCLUDING THE NEED FOR ANY INCREASE</w:t>
      </w:r>
    </w:p>
    <w:p w:rsidR="002E7C03" w:rsidRPr="002E7C03" w:rsidP="002E7C03" w14:paraId="262C89B7" w14:textId="77777777">
      <w:pPr>
        <w:pStyle w:val="ListParagraph"/>
        <w:spacing w:after="0"/>
        <w:ind w:left="0"/>
        <w:rPr>
          <w:rFonts w:ascii="Times New Roman" w:hAnsi="Times New Roman"/>
          <w:b/>
          <w:sz w:val="24"/>
          <w:szCs w:val="24"/>
        </w:rPr>
      </w:pPr>
    </w:p>
    <w:p w:rsidR="00BC6333" w:rsidP="00A276F5" w14:paraId="15ABF538" w14:textId="5864DB4E">
      <w:pPr>
        <w:spacing w:after="0"/>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he</w:t>
      </w:r>
      <w:r>
        <w:rPr>
          <w:rFonts w:ascii="Times New Roman" w:hAnsi="Times New Roman"/>
          <w:sz w:val="24"/>
          <w:szCs w:val="24"/>
        </w:rPr>
        <w:t xml:space="preserve"> recordkeeping and</w:t>
      </w:r>
      <w:r>
        <w:rPr>
          <w:rFonts w:ascii="Times New Roman" w:hAnsi="Times New Roman"/>
          <w:sz w:val="24"/>
          <w:szCs w:val="24"/>
        </w:rPr>
        <w:t xml:space="preserve"> reporting requirements are </w:t>
      </w:r>
      <w:r w:rsidR="006077D5">
        <w:rPr>
          <w:rFonts w:ascii="Times New Roman" w:hAnsi="Times New Roman"/>
          <w:sz w:val="24"/>
          <w:szCs w:val="24"/>
        </w:rPr>
        <w:t xml:space="preserve">increased slightly due to normal fluctuation in burden for </w:t>
      </w:r>
      <w:r>
        <w:rPr>
          <w:rFonts w:ascii="Times New Roman" w:hAnsi="Times New Roman"/>
          <w:sz w:val="24"/>
          <w:szCs w:val="24"/>
        </w:rPr>
        <w:t>this ICR.  Th</w:t>
      </w:r>
      <w:r w:rsidR="006077D5">
        <w:rPr>
          <w:rFonts w:ascii="Times New Roman" w:hAnsi="Times New Roman"/>
          <w:sz w:val="24"/>
          <w:szCs w:val="24"/>
        </w:rPr>
        <w:t>e</w:t>
      </w:r>
      <w:r>
        <w:rPr>
          <w:rFonts w:ascii="Times New Roman" w:hAnsi="Times New Roman"/>
          <w:sz w:val="24"/>
          <w:szCs w:val="24"/>
        </w:rPr>
        <w:t xml:space="preserve"> a</w:t>
      </w:r>
      <w:r w:rsidR="006077D5">
        <w:rPr>
          <w:rFonts w:ascii="Times New Roman" w:hAnsi="Times New Roman"/>
          <w:sz w:val="24"/>
          <w:szCs w:val="24"/>
        </w:rPr>
        <w:t>nnual responses increased by 15 hours and</w:t>
      </w:r>
      <w:r>
        <w:rPr>
          <w:rFonts w:ascii="Times New Roman" w:hAnsi="Times New Roman"/>
          <w:sz w:val="24"/>
          <w:szCs w:val="24"/>
        </w:rPr>
        <w:t xml:space="preserve"> burden </w:t>
      </w:r>
      <w:r w:rsidR="006077D5">
        <w:rPr>
          <w:rFonts w:ascii="Times New Roman" w:hAnsi="Times New Roman"/>
          <w:sz w:val="24"/>
          <w:szCs w:val="24"/>
        </w:rPr>
        <w:t>hours increased by 360 hours</w:t>
      </w:r>
      <w:r>
        <w:rPr>
          <w:rFonts w:ascii="Times New Roman" w:hAnsi="Times New Roman"/>
          <w:sz w:val="24"/>
          <w:szCs w:val="24"/>
        </w:rPr>
        <w:t xml:space="preserve"> for the FERC-512 information collection.</w:t>
      </w:r>
    </w:p>
    <w:p w:rsidR="00AF6CBA" w:rsidP="00A276F5" w14:paraId="00EB209E" w14:textId="77777777">
      <w:pPr>
        <w:spacing w:after="0"/>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7D1713D6" w14:textId="77777777" w:rsidTr="009C3AE5">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AF6CBA" w:rsidRPr="00A44AE9" w:rsidP="009C3AE5" w14:paraId="574EF483" w14:textId="77777777">
            <w:pPr>
              <w:spacing w:after="0" w:line="240" w:lineRule="auto"/>
              <w:jc w:val="center"/>
              <w:rPr>
                <w:rFonts w:ascii="Times New Roman" w:hAnsi="Times New Roman"/>
                <w:b/>
                <w:sz w:val="24"/>
                <w:szCs w:val="24"/>
              </w:rPr>
            </w:pPr>
            <w:r>
              <w:rPr>
                <w:rFonts w:ascii="Times New Roman" w:hAnsi="Times New Roman"/>
                <w:b/>
                <w:sz w:val="24"/>
                <w:szCs w:val="24"/>
              </w:rPr>
              <w:t>FERC-512</w:t>
            </w:r>
          </w:p>
        </w:tc>
        <w:tc>
          <w:tcPr>
            <w:tcW w:w="1461" w:type="dxa"/>
            <w:shd w:val="clear" w:color="auto" w:fill="D9D9D9"/>
            <w:vAlign w:val="bottom"/>
          </w:tcPr>
          <w:p w:rsidR="00AF6CBA" w:rsidRPr="00A44AE9" w:rsidP="009C3AE5" w14:paraId="0B071864" w14:textId="77777777">
            <w:pPr>
              <w:spacing w:after="0" w:line="240" w:lineRule="auto"/>
              <w:jc w:val="center"/>
              <w:rPr>
                <w:rFonts w:ascii="Times New Roman" w:hAnsi="Times New Roman"/>
                <w:b/>
                <w:sz w:val="24"/>
                <w:szCs w:val="24"/>
              </w:rPr>
            </w:pPr>
            <w:r w:rsidRPr="00A44AE9">
              <w:rPr>
                <w:rFonts w:ascii="Times New Roman" w:hAnsi="Times New Roman"/>
                <w:b/>
                <w:sz w:val="24"/>
                <w:szCs w:val="24"/>
              </w:rPr>
              <w:t>Total Request</w:t>
            </w:r>
          </w:p>
        </w:tc>
        <w:tc>
          <w:tcPr>
            <w:tcW w:w="1620" w:type="dxa"/>
            <w:shd w:val="clear" w:color="auto" w:fill="D9D9D9"/>
            <w:vAlign w:val="bottom"/>
          </w:tcPr>
          <w:p w:rsidR="00AF6CBA" w:rsidRPr="00A44AE9" w:rsidP="009C3AE5" w14:paraId="2A3F6841" w14:textId="77777777">
            <w:pPr>
              <w:spacing w:after="0" w:line="240" w:lineRule="auto"/>
              <w:jc w:val="center"/>
              <w:rPr>
                <w:rFonts w:ascii="Times New Roman" w:hAnsi="Times New Roman"/>
                <w:b/>
                <w:sz w:val="24"/>
                <w:szCs w:val="24"/>
              </w:rPr>
            </w:pPr>
            <w:r w:rsidRPr="00A44AE9">
              <w:rPr>
                <w:rFonts w:ascii="Times New Roman" w:hAnsi="Times New Roman"/>
                <w:b/>
                <w:sz w:val="24"/>
                <w:szCs w:val="24"/>
              </w:rPr>
              <w:t>Previously Approved</w:t>
            </w:r>
          </w:p>
        </w:tc>
        <w:tc>
          <w:tcPr>
            <w:tcW w:w="1800" w:type="dxa"/>
            <w:shd w:val="clear" w:color="auto" w:fill="D9D9D9"/>
            <w:vAlign w:val="bottom"/>
          </w:tcPr>
          <w:p w:rsidR="00AF6CBA" w:rsidRPr="00A44AE9" w:rsidP="009C3AE5" w14:paraId="5D8F5ABB" w14:textId="77777777">
            <w:pPr>
              <w:spacing w:after="0" w:line="240" w:lineRule="auto"/>
              <w:jc w:val="center"/>
              <w:rPr>
                <w:rFonts w:ascii="Times New Roman" w:hAnsi="Times New Roman"/>
                <w:b/>
                <w:sz w:val="24"/>
                <w:szCs w:val="24"/>
              </w:rPr>
            </w:pPr>
            <w:r w:rsidRPr="00A44AE9">
              <w:rPr>
                <w:rFonts w:ascii="Times New Roman" w:hAnsi="Times New Roman"/>
                <w:b/>
                <w:sz w:val="24"/>
                <w:szCs w:val="24"/>
              </w:rPr>
              <w:t>Change due to Adjustment in Estimate</w:t>
            </w:r>
          </w:p>
        </w:tc>
        <w:tc>
          <w:tcPr>
            <w:tcW w:w="1800" w:type="dxa"/>
            <w:shd w:val="clear" w:color="auto" w:fill="D9D9D9"/>
            <w:vAlign w:val="bottom"/>
          </w:tcPr>
          <w:p w:rsidR="00AF6CBA" w:rsidRPr="00A44AE9" w:rsidP="009C3AE5" w14:paraId="5F989EF5" w14:textId="77777777">
            <w:pPr>
              <w:spacing w:after="0" w:line="240" w:lineRule="auto"/>
              <w:jc w:val="center"/>
              <w:rPr>
                <w:rFonts w:ascii="Times New Roman" w:hAnsi="Times New Roman"/>
                <w:b/>
                <w:sz w:val="24"/>
                <w:szCs w:val="24"/>
              </w:rPr>
            </w:pPr>
            <w:r w:rsidRPr="00A44AE9">
              <w:rPr>
                <w:rFonts w:ascii="Times New Roman" w:hAnsi="Times New Roman"/>
                <w:b/>
                <w:sz w:val="24"/>
                <w:szCs w:val="24"/>
              </w:rPr>
              <w:t>Change Due to Agency Discretion</w:t>
            </w:r>
          </w:p>
        </w:tc>
      </w:tr>
      <w:tr w14:paraId="042446C4" w14:textId="77777777" w:rsidTr="009C3AE5">
        <w:tblPrEx>
          <w:tblW w:w="9360" w:type="dxa"/>
          <w:tblInd w:w="18" w:type="dxa"/>
          <w:tblLook w:val="01E0"/>
        </w:tblPrEx>
        <w:trPr>
          <w:trHeight w:val="591"/>
        </w:trPr>
        <w:tc>
          <w:tcPr>
            <w:tcW w:w="2679" w:type="dxa"/>
            <w:shd w:val="clear" w:color="auto" w:fill="auto"/>
          </w:tcPr>
          <w:p w:rsidR="00AF6CBA" w:rsidRPr="00A44AE9" w:rsidP="00B96241" w14:paraId="7960FC17" w14:textId="77777777">
            <w:pPr>
              <w:spacing w:after="0" w:line="240" w:lineRule="auto"/>
              <w:rPr>
                <w:rFonts w:ascii="Times New Roman" w:hAnsi="Times New Roman"/>
                <w:sz w:val="24"/>
                <w:szCs w:val="24"/>
              </w:rPr>
            </w:pPr>
            <w:r w:rsidRPr="00A44AE9">
              <w:rPr>
                <w:rFonts w:ascii="Times New Roman" w:hAnsi="Times New Roman"/>
                <w:sz w:val="24"/>
                <w:szCs w:val="24"/>
              </w:rPr>
              <w:t>Annual Number of Responses</w:t>
            </w:r>
          </w:p>
        </w:tc>
        <w:tc>
          <w:tcPr>
            <w:tcW w:w="1461" w:type="dxa"/>
            <w:shd w:val="clear" w:color="auto" w:fill="auto"/>
            <w:vAlign w:val="center"/>
          </w:tcPr>
          <w:p w:rsidR="00AF6CBA" w:rsidRPr="00A44AE9" w:rsidP="009C3AE5" w14:paraId="18B3E83B" w14:textId="67E5112B">
            <w:pPr>
              <w:spacing w:after="0" w:line="240" w:lineRule="auto"/>
              <w:jc w:val="right"/>
              <w:rPr>
                <w:rFonts w:ascii="Times New Roman" w:hAnsi="Times New Roman"/>
                <w:sz w:val="24"/>
                <w:szCs w:val="24"/>
              </w:rPr>
            </w:pPr>
            <w:r>
              <w:rPr>
                <w:rFonts w:ascii="Times New Roman" w:hAnsi="Times New Roman"/>
                <w:sz w:val="24"/>
                <w:szCs w:val="24"/>
              </w:rPr>
              <w:t>65</w:t>
            </w:r>
          </w:p>
        </w:tc>
        <w:tc>
          <w:tcPr>
            <w:tcW w:w="1620" w:type="dxa"/>
            <w:shd w:val="clear" w:color="auto" w:fill="auto"/>
            <w:vAlign w:val="center"/>
          </w:tcPr>
          <w:p w:rsidR="00AF6CBA" w:rsidRPr="00A44AE9" w:rsidP="009C3AE5" w14:paraId="48E0EC3C" w14:textId="77777777">
            <w:pPr>
              <w:spacing w:after="0" w:line="240" w:lineRule="auto"/>
              <w:jc w:val="right"/>
              <w:rPr>
                <w:rFonts w:ascii="Times New Roman" w:hAnsi="Times New Roman"/>
                <w:sz w:val="24"/>
                <w:szCs w:val="24"/>
              </w:rPr>
            </w:pPr>
            <w:r>
              <w:rPr>
                <w:rFonts w:ascii="Times New Roman" w:hAnsi="Times New Roman"/>
                <w:sz w:val="24"/>
                <w:szCs w:val="24"/>
              </w:rPr>
              <w:t>50</w:t>
            </w:r>
          </w:p>
        </w:tc>
        <w:tc>
          <w:tcPr>
            <w:tcW w:w="1800" w:type="dxa"/>
            <w:shd w:val="clear" w:color="auto" w:fill="auto"/>
            <w:vAlign w:val="center"/>
          </w:tcPr>
          <w:p w:rsidR="00AF6CBA" w:rsidRPr="00A44AE9" w:rsidP="009C3AE5" w14:paraId="77D39A9A" w14:textId="77777777">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shd w:val="clear" w:color="auto" w:fill="auto"/>
            <w:vAlign w:val="center"/>
          </w:tcPr>
          <w:p w:rsidR="00AF6CBA" w:rsidRPr="00A44AE9" w:rsidP="009C3AE5" w14:paraId="0BDEF9DD" w14:textId="2C1F73D4">
            <w:pPr>
              <w:spacing w:after="0" w:line="240" w:lineRule="auto"/>
              <w:jc w:val="right"/>
              <w:rPr>
                <w:rFonts w:ascii="Times New Roman" w:hAnsi="Times New Roman"/>
                <w:sz w:val="24"/>
                <w:szCs w:val="24"/>
              </w:rPr>
            </w:pPr>
            <w:r>
              <w:rPr>
                <w:rFonts w:ascii="Times New Roman" w:hAnsi="Times New Roman"/>
                <w:sz w:val="24"/>
                <w:szCs w:val="24"/>
              </w:rPr>
              <w:t>15</w:t>
            </w:r>
          </w:p>
        </w:tc>
      </w:tr>
      <w:tr w14:paraId="25BE1B62" w14:textId="77777777" w:rsidTr="009C3AE5">
        <w:tblPrEx>
          <w:tblW w:w="9360" w:type="dxa"/>
          <w:tblInd w:w="18" w:type="dxa"/>
          <w:tblLook w:val="01E0"/>
        </w:tblPrEx>
        <w:trPr>
          <w:trHeight w:val="575"/>
        </w:trPr>
        <w:tc>
          <w:tcPr>
            <w:tcW w:w="2679" w:type="dxa"/>
            <w:shd w:val="clear" w:color="auto" w:fill="auto"/>
          </w:tcPr>
          <w:p w:rsidR="00AF6CBA" w:rsidRPr="00A44AE9" w:rsidP="00B96241" w14:paraId="7EBB7882" w14:textId="77777777">
            <w:pPr>
              <w:spacing w:after="0" w:line="240" w:lineRule="auto"/>
              <w:rPr>
                <w:rFonts w:ascii="Times New Roman" w:hAnsi="Times New Roman"/>
                <w:sz w:val="24"/>
                <w:szCs w:val="24"/>
              </w:rPr>
            </w:pPr>
            <w:r w:rsidRPr="00A44AE9">
              <w:rPr>
                <w:rFonts w:ascii="Times New Roman" w:hAnsi="Times New Roman"/>
                <w:sz w:val="24"/>
                <w:szCs w:val="24"/>
              </w:rPr>
              <w:t>Annual Time Burden (Hr</w:t>
            </w:r>
            <w:r>
              <w:rPr>
                <w:rFonts w:ascii="Times New Roman" w:hAnsi="Times New Roman"/>
                <w:sz w:val="24"/>
                <w:szCs w:val="24"/>
              </w:rPr>
              <w:t>.</w:t>
            </w:r>
            <w:r w:rsidRPr="00A44AE9">
              <w:rPr>
                <w:rFonts w:ascii="Times New Roman" w:hAnsi="Times New Roman"/>
                <w:sz w:val="24"/>
                <w:szCs w:val="24"/>
              </w:rPr>
              <w:t>)</w:t>
            </w:r>
          </w:p>
        </w:tc>
        <w:tc>
          <w:tcPr>
            <w:tcW w:w="1461" w:type="dxa"/>
            <w:shd w:val="clear" w:color="auto" w:fill="auto"/>
            <w:vAlign w:val="center"/>
          </w:tcPr>
          <w:p w:rsidR="00AF6CBA" w:rsidRPr="00A44AE9" w:rsidP="009C3AE5" w14:paraId="790B12FA" w14:textId="4279E992">
            <w:pPr>
              <w:spacing w:after="0" w:line="240" w:lineRule="auto"/>
              <w:jc w:val="right"/>
              <w:rPr>
                <w:rFonts w:ascii="Times New Roman" w:hAnsi="Times New Roman"/>
                <w:sz w:val="24"/>
                <w:szCs w:val="24"/>
              </w:rPr>
            </w:pPr>
            <w:r>
              <w:rPr>
                <w:rFonts w:ascii="Times New Roman" w:hAnsi="Times New Roman"/>
                <w:sz w:val="24"/>
                <w:szCs w:val="24"/>
              </w:rPr>
              <w:t>1,</w:t>
            </w:r>
            <w:r w:rsidR="006077D5">
              <w:rPr>
                <w:rFonts w:ascii="Times New Roman" w:hAnsi="Times New Roman"/>
                <w:sz w:val="24"/>
                <w:szCs w:val="24"/>
              </w:rPr>
              <w:t>560</w:t>
            </w:r>
          </w:p>
        </w:tc>
        <w:tc>
          <w:tcPr>
            <w:tcW w:w="1620" w:type="dxa"/>
            <w:shd w:val="clear" w:color="auto" w:fill="auto"/>
            <w:vAlign w:val="center"/>
          </w:tcPr>
          <w:p w:rsidR="00AF6CBA" w:rsidRPr="00A44AE9" w:rsidP="009C3AE5" w14:paraId="38E3F57C" w14:textId="77777777">
            <w:pPr>
              <w:spacing w:after="0" w:line="240" w:lineRule="auto"/>
              <w:jc w:val="right"/>
              <w:rPr>
                <w:rFonts w:ascii="Times New Roman" w:hAnsi="Times New Roman"/>
                <w:sz w:val="24"/>
                <w:szCs w:val="24"/>
              </w:rPr>
            </w:pPr>
            <w:r>
              <w:rPr>
                <w:rFonts w:ascii="Times New Roman" w:hAnsi="Times New Roman"/>
                <w:sz w:val="24"/>
                <w:szCs w:val="24"/>
              </w:rPr>
              <w:t>1200</w:t>
            </w:r>
          </w:p>
        </w:tc>
        <w:tc>
          <w:tcPr>
            <w:tcW w:w="1800" w:type="dxa"/>
            <w:shd w:val="clear" w:color="auto" w:fill="auto"/>
            <w:vAlign w:val="center"/>
          </w:tcPr>
          <w:p w:rsidR="00AF6CBA" w:rsidRPr="00A44AE9" w:rsidP="009C3AE5" w14:paraId="1C4D68D8" w14:textId="77777777">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shd w:val="clear" w:color="auto" w:fill="auto"/>
            <w:vAlign w:val="center"/>
          </w:tcPr>
          <w:p w:rsidR="00AF6CBA" w:rsidRPr="00A44AE9" w:rsidP="009C3AE5" w14:paraId="60BBF54B" w14:textId="6C691010">
            <w:pPr>
              <w:spacing w:after="0" w:line="240" w:lineRule="auto"/>
              <w:jc w:val="right"/>
              <w:rPr>
                <w:rFonts w:ascii="Times New Roman" w:hAnsi="Times New Roman"/>
                <w:sz w:val="24"/>
                <w:szCs w:val="24"/>
              </w:rPr>
            </w:pPr>
            <w:r>
              <w:rPr>
                <w:rFonts w:ascii="Times New Roman" w:hAnsi="Times New Roman"/>
                <w:sz w:val="24"/>
                <w:szCs w:val="24"/>
              </w:rPr>
              <w:t>360</w:t>
            </w:r>
          </w:p>
        </w:tc>
      </w:tr>
      <w:tr w14:paraId="01F44932" w14:textId="77777777" w:rsidTr="009C3AE5">
        <w:tblPrEx>
          <w:tblW w:w="9360" w:type="dxa"/>
          <w:tblInd w:w="18" w:type="dxa"/>
          <w:tblLook w:val="01E0"/>
        </w:tblPrEx>
        <w:trPr>
          <w:trHeight w:val="295"/>
        </w:trPr>
        <w:tc>
          <w:tcPr>
            <w:tcW w:w="2679" w:type="dxa"/>
            <w:tcBorders>
              <w:bottom w:val="single" w:sz="4" w:space="0" w:color="auto"/>
            </w:tcBorders>
            <w:shd w:val="clear" w:color="auto" w:fill="auto"/>
          </w:tcPr>
          <w:p w:rsidR="00AF6CBA" w:rsidRPr="00A44AE9" w:rsidP="00B96241" w14:paraId="092D4FFA" w14:textId="77777777">
            <w:pPr>
              <w:spacing w:after="0" w:line="240" w:lineRule="auto"/>
              <w:rPr>
                <w:rFonts w:ascii="Times New Roman" w:hAnsi="Times New Roman"/>
                <w:sz w:val="24"/>
                <w:szCs w:val="24"/>
              </w:rPr>
            </w:pPr>
            <w:r w:rsidRPr="00A44AE9">
              <w:rPr>
                <w:rFonts w:ascii="Times New Roman" w:hAnsi="Times New Roman"/>
                <w:sz w:val="24"/>
                <w:szCs w:val="24"/>
              </w:rPr>
              <w:t>Annual Cost Burden ($)</w:t>
            </w:r>
          </w:p>
        </w:tc>
        <w:tc>
          <w:tcPr>
            <w:tcW w:w="1461" w:type="dxa"/>
            <w:tcBorders>
              <w:bottom w:val="single" w:sz="4" w:space="0" w:color="auto"/>
            </w:tcBorders>
            <w:shd w:val="clear" w:color="auto" w:fill="auto"/>
            <w:vAlign w:val="center"/>
          </w:tcPr>
          <w:p w:rsidR="00AF6CBA" w:rsidRPr="00A44AE9" w:rsidP="009C3AE5" w14:paraId="2A61E757" w14:textId="77777777">
            <w:pPr>
              <w:spacing w:after="0" w:line="240" w:lineRule="auto"/>
              <w:jc w:val="right"/>
              <w:rPr>
                <w:rFonts w:ascii="Times New Roman" w:hAnsi="Times New Roman"/>
                <w:sz w:val="24"/>
                <w:szCs w:val="24"/>
              </w:rPr>
            </w:pPr>
            <w:r w:rsidRPr="00A44AE9">
              <w:rPr>
                <w:rFonts w:ascii="Times New Roman" w:hAnsi="Times New Roman"/>
                <w:sz w:val="24"/>
                <w:szCs w:val="24"/>
              </w:rPr>
              <w:t>$0</w:t>
            </w:r>
          </w:p>
        </w:tc>
        <w:tc>
          <w:tcPr>
            <w:tcW w:w="1620" w:type="dxa"/>
            <w:tcBorders>
              <w:bottom w:val="single" w:sz="4" w:space="0" w:color="auto"/>
            </w:tcBorders>
            <w:shd w:val="clear" w:color="auto" w:fill="auto"/>
            <w:vAlign w:val="center"/>
          </w:tcPr>
          <w:p w:rsidR="00AF6CBA" w:rsidRPr="00A44AE9" w:rsidP="009C3AE5" w14:paraId="08F4ACF5" w14:textId="77777777">
            <w:pPr>
              <w:spacing w:after="0" w:line="240" w:lineRule="auto"/>
              <w:jc w:val="right"/>
              <w:rPr>
                <w:rFonts w:ascii="Times New Roman" w:hAnsi="Times New Roman"/>
                <w:sz w:val="24"/>
                <w:szCs w:val="24"/>
              </w:rPr>
            </w:pPr>
            <w:r w:rsidRPr="00A44AE9">
              <w:rPr>
                <w:rFonts w:ascii="Times New Roman" w:hAnsi="Times New Roman"/>
                <w:sz w:val="24"/>
                <w:szCs w:val="24"/>
              </w:rPr>
              <w:t>$0</w:t>
            </w:r>
          </w:p>
        </w:tc>
        <w:tc>
          <w:tcPr>
            <w:tcW w:w="1800" w:type="dxa"/>
            <w:tcBorders>
              <w:bottom w:val="single" w:sz="4" w:space="0" w:color="auto"/>
            </w:tcBorders>
            <w:shd w:val="clear" w:color="auto" w:fill="auto"/>
            <w:vAlign w:val="center"/>
          </w:tcPr>
          <w:p w:rsidR="00AF6CBA" w:rsidRPr="00A44AE9" w:rsidP="009C3AE5" w14:paraId="2D9BD6E5" w14:textId="77777777">
            <w:pPr>
              <w:spacing w:after="0" w:line="240" w:lineRule="auto"/>
              <w:jc w:val="right"/>
              <w:rPr>
                <w:rFonts w:ascii="Times New Roman" w:hAnsi="Times New Roman"/>
                <w:sz w:val="24"/>
                <w:szCs w:val="24"/>
              </w:rPr>
            </w:pPr>
            <w:r w:rsidRPr="00A44AE9">
              <w:rPr>
                <w:rFonts w:ascii="Times New Roman" w:hAnsi="Times New Roman"/>
                <w:sz w:val="24"/>
                <w:szCs w:val="24"/>
              </w:rPr>
              <w:t>$0</w:t>
            </w:r>
          </w:p>
        </w:tc>
        <w:tc>
          <w:tcPr>
            <w:tcW w:w="1800" w:type="dxa"/>
            <w:tcBorders>
              <w:bottom w:val="single" w:sz="4" w:space="0" w:color="auto"/>
            </w:tcBorders>
            <w:shd w:val="clear" w:color="auto" w:fill="auto"/>
            <w:vAlign w:val="center"/>
          </w:tcPr>
          <w:p w:rsidR="00AF6CBA" w:rsidRPr="00A44AE9" w:rsidP="009C3AE5" w14:paraId="4E8FE941" w14:textId="77777777">
            <w:pPr>
              <w:spacing w:after="0" w:line="240" w:lineRule="auto"/>
              <w:jc w:val="right"/>
              <w:rPr>
                <w:rFonts w:ascii="Times New Roman" w:hAnsi="Times New Roman"/>
                <w:sz w:val="24"/>
                <w:szCs w:val="24"/>
              </w:rPr>
            </w:pPr>
            <w:r w:rsidRPr="00A44AE9">
              <w:rPr>
                <w:rFonts w:ascii="Times New Roman" w:hAnsi="Times New Roman"/>
                <w:sz w:val="24"/>
                <w:szCs w:val="24"/>
              </w:rPr>
              <w:t>$0</w:t>
            </w:r>
          </w:p>
        </w:tc>
      </w:tr>
    </w:tbl>
    <w:p w:rsidR="000F178B" w:rsidP="00A276F5" w14:paraId="13A8A9D5" w14:textId="77777777">
      <w:pPr>
        <w:spacing w:after="0"/>
        <w:rPr>
          <w:rFonts w:ascii="Times New Roman" w:hAnsi="Times New Roman"/>
          <w:sz w:val="24"/>
          <w:szCs w:val="24"/>
        </w:rPr>
      </w:pPr>
    </w:p>
    <w:p w:rsidR="00920403" w:rsidP="00920403" w14:paraId="4887F95E" w14:textId="77777777">
      <w:pPr>
        <w:pStyle w:val="ListParagraph"/>
        <w:spacing w:after="0"/>
        <w:ind w:left="360"/>
        <w:rPr>
          <w:rFonts w:ascii="Times New Roman" w:hAnsi="Times New Roman"/>
          <w:b/>
          <w:sz w:val="24"/>
          <w:szCs w:val="24"/>
        </w:rPr>
      </w:pPr>
    </w:p>
    <w:p w:rsidR="00A276F5" w:rsidRPr="00414F32" w:rsidP="00920403" w14:paraId="23766357" w14:textId="77777777">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TIME SCHEDULE FOR PUBLICATION OF DATA</w:t>
      </w:r>
    </w:p>
    <w:p w:rsidR="00414F32" w:rsidP="00414F32" w14:paraId="0FCDD26E" w14:textId="77777777">
      <w:pPr>
        <w:spacing w:after="0"/>
        <w:rPr>
          <w:rFonts w:ascii="Times New Roman" w:hAnsi="Times New Roman"/>
          <w:sz w:val="24"/>
          <w:szCs w:val="24"/>
        </w:rPr>
      </w:pPr>
    </w:p>
    <w:p w:rsidR="003649F4" w:rsidP="003649F4" w14:paraId="660E86EC" w14:textId="77777777">
      <w:pPr>
        <w:spacing w:after="0"/>
        <w:rPr>
          <w:rFonts w:ascii="Times New Roman" w:hAnsi="Times New Roman"/>
          <w:sz w:val="24"/>
          <w:szCs w:val="24"/>
        </w:rPr>
      </w:pPr>
      <w:r w:rsidRPr="002A5AC8">
        <w:rPr>
          <w:rFonts w:ascii="Times New Roman" w:hAnsi="Times New Roman"/>
          <w:sz w:val="24"/>
          <w:szCs w:val="24"/>
        </w:rPr>
        <w:t>There are no tabulations, statistical analys</w:t>
      </w:r>
      <w:r w:rsidR="00CC3F6B">
        <w:rPr>
          <w:rFonts w:ascii="Times New Roman" w:hAnsi="Times New Roman"/>
          <w:sz w:val="24"/>
          <w:szCs w:val="24"/>
        </w:rPr>
        <w:t>e</w:t>
      </w:r>
      <w:r w:rsidRPr="002A5AC8">
        <w:rPr>
          <w:rFonts w:ascii="Times New Roman" w:hAnsi="Times New Roman"/>
          <w:sz w:val="24"/>
          <w:szCs w:val="24"/>
        </w:rPr>
        <w:t>s, or publications of informatio</w:t>
      </w:r>
      <w:r w:rsidR="00BC0D0D">
        <w:rPr>
          <w:rFonts w:ascii="Times New Roman" w:hAnsi="Times New Roman"/>
          <w:sz w:val="24"/>
          <w:szCs w:val="24"/>
        </w:rPr>
        <w:t xml:space="preserve">n planned for the </w:t>
      </w:r>
      <w:r w:rsidRPr="002A5AC8">
        <w:rPr>
          <w:rFonts w:ascii="Times New Roman" w:hAnsi="Times New Roman"/>
          <w:sz w:val="24"/>
          <w:szCs w:val="24"/>
        </w:rPr>
        <w:t>information collection.  The Commission intends to use the data for regulatory purposes only.</w:t>
      </w:r>
    </w:p>
    <w:p w:rsidR="00414F32" w:rsidRPr="00414F32" w:rsidP="00414F32" w14:paraId="565AF814" w14:textId="77777777">
      <w:pPr>
        <w:spacing w:after="0"/>
        <w:rPr>
          <w:rFonts w:ascii="Times New Roman" w:hAnsi="Times New Roman"/>
          <w:sz w:val="24"/>
          <w:szCs w:val="24"/>
        </w:rPr>
      </w:pPr>
    </w:p>
    <w:p w:rsidR="00414F32" w:rsidRPr="00414F32" w:rsidP="00A72E7B" w14:paraId="7AEC0A21" w14:textId="77777777">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DISPLAY OF EXPIRATION DATE</w:t>
      </w:r>
    </w:p>
    <w:p w:rsidR="00414F32" w:rsidP="00414F32" w14:paraId="4C4D7F49" w14:textId="77777777">
      <w:pPr>
        <w:spacing w:after="0"/>
        <w:rPr>
          <w:rFonts w:ascii="Times New Roman" w:hAnsi="Times New Roman"/>
          <w:sz w:val="24"/>
          <w:szCs w:val="24"/>
        </w:rPr>
      </w:pPr>
    </w:p>
    <w:p w:rsidR="003649F4" w:rsidP="003649F4" w14:paraId="5418F18E" w14:textId="77777777">
      <w:pPr>
        <w:spacing w:after="0"/>
        <w:rPr>
          <w:rFonts w:ascii="Times New Roman" w:hAnsi="Times New Roman"/>
          <w:sz w:val="24"/>
          <w:szCs w:val="24"/>
        </w:rPr>
      </w:pPr>
      <w:r>
        <w:rPr>
          <w:rFonts w:ascii="Times New Roman" w:hAnsi="Times New Roman"/>
          <w:sz w:val="24"/>
          <w:szCs w:val="24"/>
        </w:rPr>
        <w:t>The expiration date</w:t>
      </w:r>
      <w:r w:rsidRPr="00E84A39">
        <w:rPr>
          <w:rFonts w:ascii="Times New Roman" w:hAnsi="Times New Roman"/>
          <w:sz w:val="24"/>
          <w:szCs w:val="24"/>
        </w:rPr>
        <w:t xml:space="preserve"> </w:t>
      </w:r>
      <w:r>
        <w:rPr>
          <w:rFonts w:ascii="Times New Roman" w:hAnsi="Times New Roman"/>
          <w:sz w:val="24"/>
          <w:szCs w:val="24"/>
        </w:rPr>
        <w:t>is</w:t>
      </w:r>
      <w:r w:rsidRPr="00E84A39">
        <w:rPr>
          <w:rFonts w:ascii="Times New Roman" w:hAnsi="Times New Roman"/>
          <w:sz w:val="24"/>
          <w:szCs w:val="24"/>
        </w:rPr>
        <w:t xml:space="preserve"> displayed </w:t>
      </w:r>
      <w:r>
        <w:rPr>
          <w:rFonts w:ascii="Times New Roman" w:hAnsi="Times New Roman"/>
          <w:sz w:val="24"/>
          <w:szCs w:val="24"/>
        </w:rPr>
        <w:t xml:space="preserve">in a table posted </w:t>
      </w:r>
      <w:r w:rsidRPr="00E84A39">
        <w:rPr>
          <w:rFonts w:ascii="Times New Roman" w:hAnsi="Times New Roman"/>
          <w:sz w:val="24"/>
          <w:szCs w:val="24"/>
        </w:rPr>
        <w:t xml:space="preserve">on ferc.gov </w:t>
      </w:r>
      <w:r>
        <w:rPr>
          <w:rFonts w:ascii="Times New Roman" w:hAnsi="Times New Roman"/>
          <w:sz w:val="24"/>
          <w:szCs w:val="24"/>
        </w:rPr>
        <w:t>at</w:t>
      </w:r>
      <w:r w:rsidR="000D49D1">
        <w:rPr>
          <w:rFonts w:ascii="Times New Roman" w:hAnsi="Times New Roman"/>
          <w:sz w:val="24"/>
          <w:szCs w:val="24"/>
        </w:rPr>
        <w:t xml:space="preserve"> </w:t>
      </w:r>
      <w:hyperlink r:id="rId13" w:history="1">
        <w:r w:rsidRPr="00C6523A" w:rsidR="000D49D1">
          <w:rPr>
            <w:rStyle w:val="Hyperlink"/>
            <w:rFonts w:ascii="Times New Roman" w:hAnsi="Times New Roman"/>
            <w:sz w:val="24"/>
            <w:szCs w:val="24"/>
          </w:rPr>
          <w:t>https://www.reginfo.gov/public/do/PRAMain</w:t>
        </w:r>
      </w:hyperlink>
      <w:r w:rsidR="000D49D1">
        <w:rPr>
          <w:rFonts w:ascii="Times New Roman" w:hAnsi="Times New Roman"/>
          <w:sz w:val="24"/>
          <w:szCs w:val="24"/>
        </w:rPr>
        <w:t>.</w:t>
      </w:r>
      <w:r w:rsidRPr="00E84A39">
        <w:rPr>
          <w:rFonts w:ascii="Times New Roman" w:hAnsi="Times New Roman"/>
          <w:sz w:val="24"/>
          <w:szCs w:val="24"/>
        </w:rPr>
        <w:t xml:space="preserve"> </w:t>
      </w:r>
    </w:p>
    <w:p w:rsidR="00414F32" w:rsidRPr="00414F32" w:rsidP="00414F32" w14:paraId="5BF7ACDA" w14:textId="77777777">
      <w:pPr>
        <w:spacing w:after="0"/>
        <w:rPr>
          <w:rFonts w:ascii="Times New Roman" w:hAnsi="Times New Roman"/>
          <w:sz w:val="24"/>
          <w:szCs w:val="24"/>
        </w:rPr>
      </w:pPr>
    </w:p>
    <w:p w:rsidR="00414F32" w:rsidP="00A72E7B" w14:paraId="47AEFFFC" w14:textId="77777777">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EXCEPTIONS TO THE CERTIFICATION STATEMENT</w:t>
      </w:r>
    </w:p>
    <w:p w:rsidR="0057700F" w:rsidP="0057700F" w14:paraId="1F9F49C1" w14:textId="77777777">
      <w:pPr>
        <w:spacing w:after="0"/>
        <w:rPr>
          <w:rFonts w:ascii="Times New Roman" w:hAnsi="Times New Roman"/>
          <w:b/>
          <w:sz w:val="24"/>
          <w:szCs w:val="24"/>
        </w:rPr>
      </w:pPr>
    </w:p>
    <w:p w:rsidR="00657FC3" w:rsidP="004751CA" w14:paraId="3CDD3779" w14:textId="77777777">
      <w:pPr>
        <w:spacing w:after="0"/>
        <w:rPr>
          <w:rFonts w:ascii="Times New Roman" w:eastAsia="Times New Roman" w:hAnsi="Times New Roman"/>
          <w:sz w:val="24"/>
          <w:szCs w:val="24"/>
        </w:rPr>
      </w:pPr>
      <w:r w:rsidRPr="004751CA">
        <w:rPr>
          <w:rFonts w:ascii="Times New Roman" w:eastAsia="Times New Roman" w:hAnsi="Times New Roman"/>
          <w:sz w:val="24"/>
          <w:szCs w:val="24"/>
        </w:rPr>
        <w:t>The</w:t>
      </w:r>
      <w:r w:rsidR="00A7715A">
        <w:rPr>
          <w:rFonts w:ascii="Times New Roman" w:eastAsia="Times New Roman" w:hAnsi="Times New Roman"/>
          <w:sz w:val="24"/>
          <w:szCs w:val="24"/>
        </w:rPr>
        <w:t>re are no exceptions.</w:t>
      </w:r>
    </w:p>
    <w:p w:rsidR="00EE3EA3" w:rsidRPr="00AF6CBA" w:rsidP="00AF6CBA" w14:paraId="0DA5E5F1" w14:textId="77777777">
      <w:pPr>
        <w:spacing w:after="0"/>
        <w:rPr>
          <w:rFonts w:ascii="Times New Roman" w:eastAsia="Times New Roman" w:hAnsi="Times New Roman"/>
          <w:b/>
          <w:sz w:val="24"/>
          <w:szCs w:val="24"/>
        </w:rPr>
      </w:pPr>
    </w:p>
    <w:sectPr>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241" w14:paraId="100A75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0DD" w14:paraId="3F55342A" w14:textId="77777777">
    <w:pPr>
      <w:pStyle w:val="Footer"/>
      <w:jc w:val="right"/>
    </w:pPr>
    <w:r>
      <w:fldChar w:fldCharType="begin"/>
    </w:r>
    <w:r>
      <w:instrText xml:space="preserve"> PAGE   \* MERGEFORMAT </w:instrText>
    </w:r>
    <w:r>
      <w:fldChar w:fldCharType="separate"/>
    </w:r>
    <w:r w:rsidR="003647E3">
      <w:rPr>
        <w:noProof/>
      </w:rPr>
      <w:t>1</w:t>
    </w:r>
    <w:r>
      <w:rPr>
        <w:noProof/>
      </w:rPr>
      <w:fldChar w:fldCharType="end"/>
    </w:r>
  </w:p>
  <w:p w:rsidR="003170DD" w14:paraId="42BF12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241" w14:paraId="387C1C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66CA" w:rsidP="00FD66F1" w14:paraId="2CFE7D85" w14:textId="77777777">
      <w:pPr>
        <w:spacing w:after="0" w:line="240" w:lineRule="auto"/>
      </w:pPr>
      <w:r>
        <w:separator/>
      </w:r>
    </w:p>
  </w:footnote>
  <w:footnote w:type="continuationSeparator" w:id="1">
    <w:p w:rsidR="007B66CA" w:rsidP="00FD66F1" w14:paraId="48581028" w14:textId="77777777">
      <w:pPr>
        <w:spacing w:after="0" w:line="240" w:lineRule="auto"/>
      </w:pPr>
      <w:r>
        <w:continuationSeparator/>
      </w:r>
    </w:p>
  </w:footnote>
  <w:footnote w:id="2">
    <w:p w:rsidR="00FB42BC" w:rsidRPr="00B93844" w:rsidP="00FB42BC" w14:paraId="158CE415" w14:textId="36E76490">
      <w:pPr>
        <w:pStyle w:val="FootnoteText"/>
      </w:pPr>
      <w:r w:rsidRPr="00B93844">
        <w:rPr>
          <w:rStyle w:val="FootnoteReference"/>
        </w:rPr>
        <w:footnoteRef/>
      </w:r>
      <w:r w:rsidR="008A2A36">
        <w:t xml:space="preserve"> </w:t>
      </w:r>
      <w:r w:rsidR="000D0E16">
        <w:t>8</w:t>
      </w:r>
      <w:r w:rsidR="00BC0030">
        <w:t>9</w:t>
      </w:r>
      <w:r w:rsidR="000D0E16">
        <w:t xml:space="preserve"> FR </w:t>
      </w:r>
      <w:r w:rsidR="00BC0030">
        <w:t>7703</w:t>
      </w:r>
    </w:p>
  </w:footnote>
  <w:footnote w:id="3">
    <w:p w:rsidR="00FB42BC" w:rsidRPr="00B93844" w:rsidP="00FB42BC" w14:paraId="5916A8D5" w14:textId="062F6269">
      <w:pPr>
        <w:pStyle w:val="FootnoteText"/>
      </w:pPr>
      <w:r w:rsidRPr="00B93844">
        <w:rPr>
          <w:rStyle w:val="FootnoteReference"/>
        </w:rPr>
        <w:footnoteRef/>
      </w:r>
      <w:r w:rsidRPr="00B93844">
        <w:t xml:space="preserve"> </w:t>
      </w:r>
      <w:r w:rsidRPr="005F19B4" w:rsidR="00375496">
        <w:t>8</w:t>
      </w:r>
      <w:r w:rsidR="00BC0030">
        <w:t>9</w:t>
      </w:r>
      <w:r w:rsidRPr="005F19B4" w:rsidR="00375496">
        <w:t xml:space="preserve"> FR </w:t>
      </w:r>
      <w:r w:rsidR="00B0228A">
        <w:t>30351</w:t>
      </w:r>
    </w:p>
  </w:footnote>
  <w:footnote w:id="4">
    <w:p w:rsidR="00201F44" w:rsidP="00201F44" w14:paraId="5557DDDA" w14:textId="77777777">
      <w:pPr>
        <w:pStyle w:val="FootnoteText"/>
      </w:pPr>
      <w:r>
        <w:rPr>
          <w:rStyle w:val="FootnoteReference"/>
        </w:rPr>
        <w:footnoteRef/>
      </w:r>
      <w:r>
        <w:t xml:space="preserve"> </w:t>
      </w:r>
      <w:r w:rsidR="00035DCC">
        <w:t>18 CFR 388.112</w:t>
      </w:r>
    </w:p>
  </w:footnote>
  <w:footnote w:id="5">
    <w:p w:rsidR="00182EA0" w:rsidRPr="00745D2E" w14:paraId="26E6D24F" w14:textId="28C95108">
      <w:pPr>
        <w:pStyle w:val="FootnoteText"/>
      </w:pPr>
      <w:r>
        <w:rPr>
          <w:rStyle w:val="FootnoteReference"/>
        </w:rPr>
        <w:footnoteRef/>
      </w:r>
      <w:r>
        <w:t xml:space="preserve"> The “Estimated Annual Federal Cost”</w:t>
      </w:r>
      <w:bookmarkStart w:id="0" w:name="_Hlk53772401"/>
      <w:r w:rsidRPr="00745D2E" w:rsidR="00745D2E">
        <w:rPr>
          <w:sz w:val="26"/>
          <w:szCs w:val="26"/>
        </w:rPr>
        <w:t xml:space="preserve"> </w:t>
      </w:r>
      <w:r w:rsidRPr="00745D2E" w:rsidR="00745D2E">
        <w:t>The FERC 2024 average salary plus benefits for one FERC full-time equivalent (FTE) is $207,787/year (or $100/hour)</w:t>
      </w:r>
      <w:bookmarkEnd w:id="0"/>
      <w:r w:rsidRPr="00745D2E" w:rsidR="007A6191">
        <w:t>.</w:t>
      </w:r>
    </w:p>
  </w:footnote>
  <w:footnote w:id="6">
    <w:p w:rsidR="00AF6CBA" w:rsidRPr="009C06CD" w:rsidP="000D49D1" w14:paraId="001ED993" w14:textId="77777777">
      <w:pPr>
        <w:pStyle w:val="FootnoteText"/>
      </w:pPr>
      <w:r w:rsidRPr="009C06CD">
        <w:rPr>
          <w:rStyle w:val="FootnoteReference"/>
        </w:rPr>
        <w:footnoteRef/>
      </w:r>
      <w:r w:rsidRPr="009C06CD">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w:t>
      </w:r>
      <w:r w:rsidRPr="007D7410">
        <w:t>,</w:t>
      </w:r>
      <w:r w:rsidRPr="009C06CD">
        <w:t xml:space="preserve"> and other changes to the collection.</w:t>
      </w:r>
      <w:r w:rsidR="000D49D1">
        <w:t xml:space="preserve"> </w:t>
      </w:r>
      <w:r w:rsidRPr="000D49D1" w:rsidR="000D49D1">
        <w:t>This average annual cost includes requests for extensions, all associated rulemakings and orders, other changes to the collection, and associated publications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241" w14:paraId="7E491F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5E4" w14:paraId="30C37ABB" w14:textId="77777777">
    <w:pPr>
      <w:pStyle w:val="Header"/>
      <w:rPr>
        <w:rFonts w:ascii="Times New Roman" w:hAnsi="Times New Roman"/>
        <w:sz w:val="24"/>
        <w:szCs w:val="24"/>
      </w:rPr>
    </w:pPr>
    <w:r>
      <w:rPr>
        <w:rFonts w:ascii="Times New Roman" w:hAnsi="Times New Roman"/>
        <w:sz w:val="24"/>
        <w:szCs w:val="24"/>
      </w:rPr>
      <w:t>FERC-512 (OMB Control No</w:t>
    </w:r>
    <w:r w:rsidR="008B417A">
      <w:rPr>
        <w:rFonts w:ascii="Times New Roman" w:hAnsi="Times New Roman"/>
        <w:sz w:val="24"/>
        <w:szCs w:val="24"/>
      </w:rPr>
      <w:t>.</w:t>
    </w:r>
    <w:r w:rsidR="00FC4E56">
      <w:rPr>
        <w:rFonts w:ascii="Times New Roman" w:hAnsi="Times New Roman"/>
        <w:sz w:val="24"/>
        <w:szCs w:val="24"/>
      </w:rPr>
      <w:t xml:space="preserve"> </w:t>
    </w:r>
    <w:r>
      <w:rPr>
        <w:rFonts w:ascii="Times New Roman" w:hAnsi="Times New Roman"/>
        <w:sz w:val="24"/>
        <w:szCs w:val="24"/>
      </w:rPr>
      <w:t>1902-0073)</w:t>
    </w:r>
  </w:p>
  <w:p w:rsidR="00BB3171" w14:paraId="564813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241" w14:paraId="784C70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63615"/>
    <w:multiLevelType w:val="hybridMultilevel"/>
    <w:tmpl w:val="1B3E8F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F502655"/>
    <w:multiLevelType w:val="hybridMultilevel"/>
    <w:tmpl w:val="A182A7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263DD5"/>
    <w:multiLevelType w:val="hybridMultilevel"/>
    <w:tmpl w:val="90BE3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4113FB"/>
    <w:multiLevelType w:val="hybridMultilevel"/>
    <w:tmpl w:val="93E06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7908C3"/>
    <w:multiLevelType w:val="multilevel"/>
    <w:tmpl w:val="A06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22464"/>
    <w:multiLevelType w:val="hybridMultilevel"/>
    <w:tmpl w:val="723A9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nsid w:val="36E649CB"/>
    <w:multiLevelType w:val="hybridMultilevel"/>
    <w:tmpl w:val="6C72B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AE3DDA"/>
    <w:multiLevelType w:val="hybridMultilevel"/>
    <w:tmpl w:val="12768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1F2792"/>
    <w:multiLevelType w:val="hybridMultilevel"/>
    <w:tmpl w:val="917A5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7D38C3"/>
    <w:multiLevelType w:val="hybridMultilevel"/>
    <w:tmpl w:val="B682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CC1895"/>
    <w:multiLevelType w:val="hybridMultilevel"/>
    <w:tmpl w:val="EAC8B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DC20D1"/>
    <w:multiLevelType w:val="hybridMultilevel"/>
    <w:tmpl w:val="6DB08942"/>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AF1DF6"/>
    <w:multiLevelType w:val="hybridMultilevel"/>
    <w:tmpl w:val="48FE9A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6D843B68"/>
    <w:multiLevelType w:val="hybridMultilevel"/>
    <w:tmpl w:val="6F9C4B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DC1422C"/>
    <w:multiLevelType w:val="hybridMultilevel"/>
    <w:tmpl w:val="A4DE5E88"/>
    <w:lvl w:ilvl="0">
      <w:start w:val="0"/>
      <w:numFmt w:val="bullet"/>
      <w:lvlText w:val="•"/>
      <w:lvlJc w:val="left"/>
      <w:pPr>
        <w:ind w:left="1800" w:hanging="360"/>
      </w:pPr>
      <w:rPr>
        <w:rFonts w:ascii="Times New Roman" w:eastAsia="Calibri"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970181B"/>
    <w:multiLevelType w:val="hybridMultilevel"/>
    <w:tmpl w:val="E6445FF6"/>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9AF0F0F"/>
    <w:multiLevelType w:val="hybridMultilevel"/>
    <w:tmpl w:val="04BC19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589682">
    <w:abstractNumId w:val="11"/>
  </w:num>
  <w:num w:numId="2" w16cid:durableId="1806391610">
    <w:abstractNumId w:val="6"/>
  </w:num>
  <w:num w:numId="3" w16cid:durableId="695085206">
    <w:abstractNumId w:val="12"/>
  </w:num>
  <w:num w:numId="4" w16cid:durableId="83233966">
    <w:abstractNumId w:val="14"/>
  </w:num>
  <w:num w:numId="5" w16cid:durableId="1965577802">
    <w:abstractNumId w:val="8"/>
  </w:num>
  <w:num w:numId="6" w16cid:durableId="1311597918">
    <w:abstractNumId w:val="9"/>
  </w:num>
  <w:num w:numId="7" w16cid:durableId="209268134">
    <w:abstractNumId w:val="7"/>
  </w:num>
  <w:num w:numId="8" w16cid:durableId="1123157711">
    <w:abstractNumId w:val="5"/>
  </w:num>
  <w:num w:numId="9" w16cid:durableId="1266962036">
    <w:abstractNumId w:val="1"/>
  </w:num>
  <w:num w:numId="10" w16cid:durableId="2142845920">
    <w:abstractNumId w:val="4"/>
  </w:num>
  <w:num w:numId="11" w16cid:durableId="1596861458">
    <w:abstractNumId w:val="1"/>
  </w:num>
  <w:num w:numId="12" w16cid:durableId="1714114310">
    <w:abstractNumId w:val="15"/>
  </w:num>
  <w:num w:numId="13" w16cid:durableId="1637486815">
    <w:abstractNumId w:val="10"/>
  </w:num>
  <w:num w:numId="14" w16cid:durableId="2115200198">
    <w:abstractNumId w:val="16"/>
  </w:num>
  <w:num w:numId="15" w16cid:durableId="1274554581">
    <w:abstractNumId w:val="18"/>
  </w:num>
  <w:num w:numId="16" w16cid:durableId="1285425965">
    <w:abstractNumId w:val="17"/>
  </w:num>
  <w:num w:numId="17" w16cid:durableId="305670775">
    <w:abstractNumId w:val="13"/>
  </w:num>
  <w:num w:numId="18" w16cid:durableId="1510170145">
    <w:abstractNumId w:val="3"/>
  </w:num>
  <w:num w:numId="19" w16cid:durableId="782964090">
    <w:abstractNumId w:val="0"/>
  </w:num>
  <w:num w:numId="20" w16cid:durableId="2010327373">
    <w:abstractNumId w:val="19"/>
  </w:num>
  <w:num w:numId="21" w16cid:durableId="568342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D8C"/>
    <w:rsid w:val="00006DDB"/>
    <w:rsid w:val="000071A6"/>
    <w:rsid w:val="000121A0"/>
    <w:rsid w:val="00014B27"/>
    <w:rsid w:val="0002242D"/>
    <w:rsid w:val="00023321"/>
    <w:rsid w:val="000317D4"/>
    <w:rsid w:val="0003249B"/>
    <w:rsid w:val="00035845"/>
    <w:rsid w:val="00035DCC"/>
    <w:rsid w:val="0003797A"/>
    <w:rsid w:val="000523A6"/>
    <w:rsid w:val="00052D81"/>
    <w:rsid w:val="000559B8"/>
    <w:rsid w:val="00074DC8"/>
    <w:rsid w:val="00077892"/>
    <w:rsid w:val="000804F1"/>
    <w:rsid w:val="00090207"/>
    <w:rsid w:val="0009319C"/>
    <w:rsid w:val="000943E1"/>
    <w:rsid w:val="000A364E"/>
    <w:rsid w:val="000B0C37"/>
    <w:rsid w:val="000C1B00"/>
    <w:rsid w:val="000D0E16"/>
    <w:rsid w:val="000D49D1"/>
    <w:rsid w:val="000D7220"/>
    <w:rsid w:val="000E03BB"/>
    <w:rsid w:val="000E654C"/>
    <w:rsid w:val="000F178B"/>
    <w:rsid w:val="0010043B"/>
    <w:rsid w:val="001030CB"/>
    <w:rsid w:val="0010560D"/>
    <w:rsid w:val="00112887"/>
    <w:rsid w:val="00114949"/>
    <w:rsid w:val="001202ED"/>
    <w:rsid w:val="001248F0"/>
    <w:rsid w:val="00127B93"/>
    <w:rsid w:val="00132C2B"/>
    <w:rsid w:val="00137317"/>
    <w:rsid w:val="001405E1"/>
    <w:rsid w:val="00143103"/>
    <w:rsid w:val="001458FE"/>
    <w:rsid w:val="00145D2F"/>
    <w:rsid w:val="0014742F"/>
    <w:rsid w:val="0015274D"/>
    <w:rsid w:val="00157E16"/>
    <w:rsid w:val="001638BF"/>
    <w:rsid w:val="001658E9"/>
    <w:rsid w:val="00166487"/>
    <w:rsid w:val="00174C33"/>
    <w:rsid w:val="001757C1"/>
    <w:rsid w:val="00180F49"/>
    <w:rsid w:val="00181727"/>
    <w:rsid w:val="00182EA0"/>
    <w:rsid w:val="0018408C"/>
    <w:rsid w:val="00185730"/>
    <w:rsid w:val="0019228B"/>
    <w:rsid w:val="001A4518"/>
    <w:rsid w:val="001C0B6F"/>
    <w:rsid w:val="001C1119"/>
    <w:rsid w:val="001C647E"/>
    <w:rsid w:val="001E1B66"/>
    <w:rsid w:val="001E2666"/>
    <w:rsid w:val="001E4185"/>
    <w:rsid w:val="001E6F7E"/>
    <w:rsid w:val="001F0ADE"/>
    <w:rsid w:val="00201F44"/>
    <w:rsid w:val="0021254C"/>
    <w:rsid w:val="002139B5"/>
    <w:rsid w:val="00214E8D"/>
    <w:rsid w:val="0021599F"/>
    <w:rsid w:val="0021623F"/>
    <w:rsid w:val="00234B27"/>
    <w:rsid w:val="00236818"/>
    <w:rsid w:val="00242035"/>
    <w:rsid w:val="0025079E"/>
    <w:rsid w:val="00256FF1"/>
    <w:rsid w:val="0026674D"/>
    <w:rsid w:val="002840FC"/>
    <w:rsid w:val="00297CB0"/>
    <w:rsid w:val="002A13E1"/>
    <w:rsid w:val="002A5AC8"/>
    <w:rsid w:val="002A5E6E"/>
    <w:rsid w:val="002B13E2"/>
    <w:rsid w:val="002B72B1"/>
    <w:rsid w:val="002D4771"/>
    <w:rsid w:val="002E3E26"/>
    <w:rsid w:val="002E6A04"/>
    <w:rsid w:val="002E7C03"/>
    <w:rsid w:val="003030A8"/>
    <w:rsid w:val="00304CCB"/>
    <w:rsid w:val="00314CB1"/>
    <w:rsid w:val="003170DD"/>
    <w:rsid w:val="00321259"/>
    <w:rsid w:val="00345B1B"/>
    <w:rsid w:val="00350638"/>
    <w:rsid w:val="003647E3"/>
    <w:rsid w:val="003649F4"/>
    <w:rsid w:val="00370FFB"/>
    <w:rsid w:val="00374365"/>
    <w:rsid w:val="00375496"/>
    <w:rsid w:val="00383CFD"/>
    <w:rsid w:val="003930AF"/>
    <w:rsid w:val="003A128F"/>
    <w:rsid w:val="003A21A8"/>
    <w:rsid w:val="003C109A"/>
    <w:rsid w:val="003C5C5D"/>
    <w:rsid w:val="003E5CF7"/>
    <w:rsid w:val="003F655D"/>
    <w:rsid w:val="004044CA"/>
    <w:rsid w:val="00411CD2"/>
    <w:rsid w:val="00413909"/>
    <w:rsid w:val="00414F32"/>
    <w:rsid w:val="00420BF9"/>
    <w:rsid w:val="00424073"/>
    <w:rsid w:val="0042607B"/>
    <w:rsid w:val="004335BB"/>
    <w:rsid w:val="004526D1"/>
    <w:rsid w:val="004552C5"/>
    <w:rsid w:val="004603FF"/>
    <w:rsid w:val="00466E63"/>
    <w:rsid w:val="00470169"/>
    <w:rsid w:val="004751CA"/>
    <w:rsid w:val="004843A9"/>
    <w:rsid w:val="00495E0C"/>
    <w:rsid w:val="004967E9"/>
    <w:rsid w:val="004B47FA"/>
    <w:rsid w:val="004B7F68"/>
    <w:rsid w:val="004C0020"/>
    <w:rsid w:val="004C4C89"/>
    <w:rsid w:val="004C5E82"/>
    <w:rsid w:val="004D167A"/>
    <w:rsid w:val="004E5910"/>
    <w:rsid w:val="004F6977"/>
    <w:rsid w:val="00500844"/>
    <w:rsid w:val="00503373"/>
    <w:rsid w:val="005152FC"/>
    <w:rsid w:val="0051637A"/>
    <w:rsid w:val="00522F69"/>
    <w:rsid w:val="00523392"/>
    <w:rsid w:val="0053287C"/>
    <w:rsid w:val="005635C0"/>
    <w:rsid w:val="00563BE6"/>
    <w:rsid w:val="00570E65"/>
    <w:rsid w:val="00571C5E"/>
    <w:rsid w:val="0057700F"/>
    <w:rsid w:val="005821D4"/>
    <w:rsid w:val="00590C05"/>
    <w:rsid w:val="00593E39"/>
    <w:rsid w:val="005A2792"/>
    <w:rsid w:val="005B77CE"/>
    <w:rsid w:val="005B7977"/>
    <w:rsid w:val="005C33DA"/>
    <w:rsid w:val="005C3B9A"/>
    <w:rsid w:val="005D7F19"/>
    <w:rsid w:val="005E011B"/>
    <w:rsid w:val="005E307D"/>
    <w:rsid w:val="005F19B4"/>
    <w:rsid w:val="005F1C3C"/>
    <w:rsid w:val="005F5FE3"/>
    <w:rsid w:val="005F75A5"/>
    <w:rsid w:val="00600CC9"/>
    <w:rsid w:val="006077D5"/>
    <w:rsid w:val="006166FA"/>
    <w:rsid w:val="006169DC"/>
    <w:rsid w:val="006226BE"/>
    <w:rsid w:val="00623555"/>
    <w:rsid w:val="0062500F"/>
    <w:rsid w:val="006363B9"/>
    <w:rsid w:val="00657FC3"/>
    <w:rsid w:val="006601E3"/>
    <w:rsid w:val="00664BC0"/>
    <w:rsid w:val="00674517"/>
    <w:rsid w:val="00690136"/>
    <w:rsid w:val="006915A9"/>
    <w:rsid w:val="00695EA5"/>
    <w:rsid w:val="006A015D"/>
    <w:rsid w:val="006B0D10"/>
    <w:rsid w:val="006B5A93"/>
    <w:rsid w:val="006C1E99"/>
    <w:rsid w:val="006C5ABD"/>
    <w:rsid w:val="006C6245"/>
    <w:rsid w:val="006D1990"/>
    <w:rsid w:val="006D32CB"/>
    <w:rsid w:val="006F0D86"/>
    <w:rsid w:val="00707506"/>
    <w:rsid w:val="0071470A"/>
    <w:rsid w:val="00714CEF"/>
    <w:rsid w:val="00722736"/>
    <w:rsid w:val="00725E2B"/>
    <w:rsid w:val="00731FB9"/>
    <w:rsid w:val="007320FE"/>
    <w:rsid w:val="0074441E"/>
    <w:rsid w:val="00745AF2"/>
    <w:rsid w:val="00745D2E"/>
    <w:rsid w:val="007501F4"/>
    <w:rsid w:val="00754B02"/>
    <w:rsid w:val="00773AEB"/>
    <w:rsid w:val="007753B8"/>
    <w:rsid w:val="007815E4"/>
    <w:rsid w:val="00787670"/>
    <w:rsid w:val="00796773"/>
    <w:rsid w:val="007A2F92"/>
    <w:rsid w:val="007A6191"/>
    <w:rsid w:val="007B3BD8"/>
    <w:rsid w:val="007B66CA"/>
    <w:rsid w:val="007C0996"/>
    <w:rsid w:val="007C6C99"/>
    <w:rsid w:val="007C7216"/>
    <w:rsid w:val="007D7410"/>
    <w:rsid w:val="007E7C0F"/>
    <w:rsid w:val="007F5F73"/>
    <w:rsid w:val="00811D95"/>
    <w:rsid w:val="00811E0F"/>
    <w:rsid w:val="00841535"/>
    <w:rsid w:val="00843C1E"/>
    <w:rsid w:val="00850A72"/>
    <w:rsid w:val="008619E1"/>
    <w:rsid w:val="0086276C"/>
    <w:rsid w:val="008661F7"/>
    <w:rsid w:val="008717DB"/>
    <w:rsid w:val="00876F75"/>
    <w:rsid w:val="0088145F"/>
    <w:rsid w:val="008840C2"/>
    <w:rsid w:val="008842CD"/>
    <w:rsid w:val="00886B72"/>
    <w:rsid w:val="008933A7"/>
    <w:rsid w:val="008A21A4"/>
    <w:rsid w:val="008A2A36"/>
    <w:rsid w:val="008A7782"/>
    <w:rsid w:val="008B417A"/>
    <w:rsid w:val="008B703B"/>
    <w:rsid w:val="008B7964"/>
    <w:rsid w:val="008C288D"/>
    <w:rsid w:val="008C3219"/>
    <w:rsid w:val="008C502B"/>
    <w:rsid w:val="008C5A92"/>
    <w:rsid w:val="008D4934"/>
    <w:rsid w:val="008D5908"/>
    <w:rsid w:val="008D7715"/>
    <w:rsid w:val="008E1F51"/>
    <w:rsid w:val="008E3A3B"/>
    <w:rsid w:val="008E70CD"/>
    <w:rsid w:val="008F1AFC"/>
    <w:rsid w:val="008F2436"/>
    <w:rsid w:val="008F39DA"/>
    <w:rsid w:val="008F3A8E"/>
    <w:rsid w:val="008F3C7D"/>
    <w:rsid w:val="008F47AA"/>
    <w:rsid w:val="008F4B88"/>
    <w:rsid w:val="008F77EA"/>
    <w:rsid w:val="00906888"/>
    <w:rsid w:val="00913A8B"/>
    <w:rsid w:val="00920403"/>
    <w:rsid w:val="00924215"/>
    <w:rsid w:val="00924436"/>
    <w:rsid w:val="00937EF0"/>
    <w:rsid w:val="00943A1D"/>
    <w:rsid w:val="00970FE4"/>
    <w:rsid w:val="00972313"/>
    <w:rsid w:val="00981A5B"/>
    <w:rsid w:val="0099046F"/>
    <w:rsid w:val="009A410C"/>
    <w:rsid w:val="009A6A14"/>
    <w:rsid w:val="009B7290"/>
    <w:rsid w:val="009C06CD"/>
    <w:rsid w:val="009C3AE5"/>
    <w:rsid w:val="009C6C9B"/>
    <w:rsid w:val="009D5CBD"/>
    <w:rsid w:val="009D73B4"/>
    <w:rsid w:val="009D77F7"/>
    <w:rsid w:val="009E1190"/>
    <w:rsid w:val="009E2938"/>
    <w:rsid w:val="009E3A9D"/>
    <w:rsid w:val="009E7B59"/>
    <w:rsid w:val="009F2208"/>
    <w:rsid w:val="009F292A"/>
    <w:rsid w:val="009F412D"/>
    <w:rsid w:val="009F799D"/>
    <w:rsid w:val="00A03162"/>
    <w:rsid w:val="00A05BD0"/>
    <w:rsid w:val="00A07765"/>
    <w:rsid w:val="00A276F5"/>
    <w:rsid w:val="00A31D75"/>
    <w:rsid w:val="00A343E0"/>
    <w:rsid w:val="00A42C82"/>
    <w:rsid w:val="00A43386"/>
    <w:rsid w:val="00A44AE9"/>
    <w:rsid w:val="00A45E6C"/>
    <w:rsid w:val="00A53815"/>
    <w:rsid w:val="00A64347"/>
    <w:rsid w:val="00A72E7B"/>
    <w:rsid w:val="00A73B19"/>
    <w:rsid w:val="00A7715A"/>
    <w:rsid w:val="00A96821"/>
    <w:rsid w:val="00A96B65"/>
    <w:rsid w:val="00AA14F5"/>
    <w:rsid w:val="00AA6071"/>
    <w:rsid w:val="00AB1F34"/>
    <w:rsid w:val="00AC099E"/>
    <w:rsid w:val="00AD0977"/>
    <w:rsid w:val="00AD3DE5"/>
    <w:rsid w:val="00AF4469"/>
    <w:rsid w:val="00AF6CBA"/>
    <w:rsid w:val="00B0228A"/>
    <w:rsid w:val="00B05635"/>
    <w:rsid w:val="00B12383"/>
    <w:rsid w:val="00B17A72"/>
    <w:rsid w:val="00B27AFF"/>
    <w:rsid w:val="00B3510C"/>
    <w:rsid w:val="00B45B5E"/>
    <w:rsid w:val="00B512F1"/>
    <w:rsid w:val="00B610E3"/>
    <w:rsid w:val="00B636D4"/>
    <w:rsid w:val="00B63E52"/>
    <w:rsid w:val="00B67576"/>
    <w:rsid w:val="00B67CC7"/>
    <w:rsid w:val="00B73981"/>
    <w:rsid w:val="00B81B19"/>
    <w:rsid w:val="00B93844"/>
    <w:rsid w:val="00B955C1"/>
    <w:rsid w:val="00B96241"/>
    <w:rsid w:val="00BA1C7D"/>
    <w:rsid w:val="00BA48DD"/>
    <w:rsid w:val="00BA7C56"/>
    <w:rsid w:val="00BB3171"/>
    <w:rsid w:val="00BC0030"/>
    <w:rsid w:val="00BC0D0D"/>
    <w:rsid w:val="00BC3E46"/>
    <w:rsid w:val="00BC4CCC"/>
    <w:rsid w:val="00BC6333"/>
    <w:rsid w:val="00BD4684"/>
    <w:rsid w:val="00BE3013"/>
    <w:rsid w:val="00BF7532"/>
    <w:rsid w:val="00C01698"/>
    <w:rsid w:val="00C037BD"/>
    <w:rsid w:val="00C1288B"/>
    <w:rsid w:val="00C24825"/>
    <w:rsid w:val="00C35E12"/>
    <w:rsid w:val="00C36B98"/>
    <w:rsid w:val="00C502E9"/>
    <w:rsid w:val="00C510DD"/>
    <w:rsid w:val="00C55C64"/>
    <w:rsid w:val="00C642BB"/>
    <w:rsid w:val="00C64B2E"/>
    <w:rsid w:val="00C6523A"/>
    <w:rsid w:val="00C653D1"/>
    <w:rsid w:val="00C6735F"/>
    <w:rsid w:val="00C76D84"/>
    <w:rsid w:val="00C77C5B"/>
    <w:rsid w:val="00C80767"/>
    <w:rsid w:val="00C83A95"/>
    <w:rsid w:val="00C87A96"/>
    <w:rsid w:val="00CA495F"/>
    <w:rsid w:val="00CA59C3"/>
    <w:rsid w:val="00CA6EEF"/>
    <w:rsid w:val="00CB3D89"/>
    <w:rsid w:val="00CC3F6B"/>
    <w:rsid w:val="00CD4B92"/>
    <w:rsid w:val="00CE4F11"/>
    <w:rsid w:val="00D157E0"/>
    <w:rsid w:val="00D214BF"/>
    <w:rsid w:val="00D24B9E"/>
    <w:rsid w:val="00D25421"/>
    <w:rsid w:val="00D25E0F"/>
    <w:rsid w:val="00D30709"/>
    <w:rsid w:val="00D41744"/>
    <w:rsid w:val="00D5207B"/>
    <w:rsid w:val="00D522E5"/>
    <w:rsid w:val="00D52F0A"/>
    <w:rsid w:val="00D674F5"/>
    <w:rsid w:val="00D72905"/>
    <w:rsid w:val="00D80FBD"/>
    <w:rsid w:val="00D859AE"/>
    <w:rsid w:val="00D85FD1"/>
    <w:rsid w:val="00DA1B90"/>
    <w:rsid w:val="00DC4E36"/>
    <w:rsid w:val="00DD0531"/>
    <w:rsid w:val="00DD06D8"/>
    <w:rsid w:val="00DE7801"/>
    <w:rsid w:val="00DF0E52"/>
    <w:rsid w:val="00E0250A"/>
    <w:rsid w:val="00E05447"/>
    <w:rsid w:val="00E102C5"/>
    <w:rsid w:val="00E11CA6"/>
    <w:rsid w:val="00E14565"/>
    <w:rsid w:val="00E20612"/>
    <w:rsid w:val="00E22EA1"/>
    <w:rsid w:val="00E27F2F"/>
    <w:rsid w:val="00E333E5"/>
    <w:rsid w:val="00E52880"/>
    <w:rsid w:val="00E53EED"/>
    <w:rsid w:val="00E54EDE"/>
    <w:rsid w:val="00E636D7"/>
    <w:rsid w:val="00E64168"/>
    <w:rsid w:val="00E6453F"/>
    <w:rsid w:val="00E66A78"/>
    <w:rsid w:val="00E76416"/>
    <w:rsid w:val="00E7677D"/>
    <w:rsid w:val="00E76CBC"/>
    <w:rsid w:val="00E84A39"/>
    <w:rsid w:val="00E87A4F"/>
    <w:rsid w:val="00EA163E"/>
    <w:rsid w:val="00EA2C26"/>
    <w:rsid w:val="00EB1455"/>
    <w:rsid w:val="00EB3C1E"/>
    <w:rsid w:val="00EB3E6F"/>
    <w:rsid w:val="00ED5560"/>
    <w:rsid w:val="00EE3EA3"/>
    <w:rsid w:val="00EF5E5D"/>
    <w:rsid w:val="00F06886"/>
    <w:rsid w:val="00F100EB"/>
    <w:rsid w:val="00F12DC2"/>
    <w:rsid w:val="00F152DF"/>
    <w:rsid w:val="00F267F9"/>
    <w:rsid w:val="00F315E7"/>
    <w:rsid w:val="00F460EF"/>
    <w:rsid w:val="00F522C8"/>
    <w:rsid w:val="00F531F6"/>
    <w:rsid w:val="00F55094"/>
    <w:rsid w:val="00F56902"/>
    <w:rsid w:val="00F63526"/>
    <w:rsid w:val="00F6728F"/>
    <w:rsid w:val="00F67775"/>
    <w:rsid w:val="00F94632"/>
    <w:rsid w:val="00FA1D9B"/>
    <w:rsid w:val="00FB2455"/>
    <w:rsid w:val="00FB42BC"/>
    <w:rsid w:val="00FB6E8C"/>
    <w:rsid w:val="00FC4E56"/>
    <w:rsid w:val="00FD6194"/>
    <w:rsid w:val="00FD66F1"/>
    <w:rsid w:val="00FD6CE5"/>
    <w:rsid w:val="00FE1ACC"/>
    <w:rsid w:val="00FE62F0"/>
    <w:rsid w:val="00FF2298"/>
    <w:rsid w:val="00FF3E75"/>
    <w:rsid w:val="00FF6B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182577"/>
  <w15:chartTrackingRefBased/>
  <w15:docId w15:val="{D2B655A4-61AB-4E8F-BC9C-078DEA66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MRP Char,fn1 Char"/>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rsid w:val="00E636D7"/>
    <w:rPr>
      <w:rFonts w:ascii="Times New Roman" w:eastAsia="Times New Roman" w:hAnsi="Times New Roman" w:cs="Times New Roman"/>
      <w:sz w:val="20"/>
      <w:szCs w:val="20"/>
    </w:rPr>
  </w:style>
  <w:style w:type="character" w:styleId="CommentReference">
    <w:name w:val="annotation reference"/>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link w:val="CommentSubject"/>
    <w:uiPriority w:val="99"/>
    <w:semiHidden/>
    <w:rsid w:val="0057700F"/>
    <w:rPr>
      <w:b/>
      <w:bCs/>
      <w:sz w:val="20"/>
      <w:szCs w:val="20"/>
    </w:rPr>
  </w:style>
  <w:style w:type="character" w:styleId="Hyperlink">
    <w:name w:val="Hyperlink"/>
    <w:uiPriority w:val="99"/>
    <w:unhideWhenUsed/>
    <w:rsid w:val="00843C1E"/>
    <w:rPr>
      <w:color w:val="0000FF"/>
      <w:u w:val="single"/>
    </w:rPr>
  </w:style>
  <w:style w:type="character" w:styleId="FollowedHyperlink">
    <w:name w:val="FollowedHyperlink"/>
    <w:uiPriority w:val="99"/>
    <w:semiHidden/>
    <w:unhideWhenUsed/>
    <w:rsid w:val="00593E39"/>
    <w:rPr>
      <w:color w:val="800080"/>
      <w:u w:val="single"/>
    </w:rPr>
  </w:style>
  <w:style w:type="paragraph" w:styleId="Revision">
    <w:name w:val="Revision"/>
    <w:hidden/>
    <w:uiPriority w:val="99"/>
    <w:semiHidden/>
    <w:rsid w:val="008661F7"/>
    <w:rPr>
      <w:sz w:val="22"/>
      <w:szCs w:val="22"/>
    </w:rPr>
  </w:style>
  <w:style w:type="character" w:customStyle="1" w:styleId="apple-converted-space">
    <w:name w:val="apple-converted-space"/>
    <w:rsid w:val="003F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http://www.ferc.gov/docs-filing/efiling.asp" TargetMode="External" /><Relationship Id="rId13" Type="http://schemas.openxmlformats.org/officeDocument/2006/relationships/hyperlink" Target="https://www.reginfo.gov/public/do/PRAMain"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512</_x0031__x002e__x0020_Collection_x0020_Number>
    <Date xmlns="d6eefc7d-9817-4fa6-84d5-3bc009be21b8">2018-04-10T04:00:00+00:00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IC17-15</_x0031__x002e__x0020_Docket_x0020_Number>
    <_x0033__x002e__x0020_Collection_x0020_Number xmlns="d6eefc7d-9817-4fa6-84d5-3bc009be21b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81077B06-7CCC-4CFE-998E-F67EC662152E}">
  <ds:schemaRefs>
    <ds:schemaRef ds:uri="http://schemas.microsoft.com/sharepoint/v3/contenttype/forms"/>
  </ds:schemaRefs>
</ds:datastoreItem>
</file>

<file path=customXml/itemProps2.xml><?xml version="1.0" encoding="utf-8"?>
<ds:datastoreItem xmlns:ds="http://schemas.openxmlformats.org/officeDocument/2006/customXml" ds:itemID="{9D6827C2-E86B-4D72-91F0-E6DFC184F7B5}">
  <ds:schemaRefs>
    <ds:schemaRef ds:uri="http://schemas.openxmlformats.org/officeDocument/2006/bibliography"/>
  </ds:schemaRefs>
</ds:datastoreItem>
</file>

<file path=customXml/itemProps3.xml><?xml version="1.0" encoding="utf-8"?>
<ds:datastoreItem xmlns:ds="http://schemas.openxmlformats.org/officeDocument/2006/customXml" ds:itemID="{99E13C22-62E7-41B9-90F0-C8DC637972C3}">
  <ds:schemaRefs>
    <ds:schemaRef ds:uri="Microsoft.SharePoint.Taxonomy.ContentTypeSync"/>
  </ds:schemaRefs>
</ds:datastoreItem>
</file>

<file path=customXml/itemProps4.xml><?xml version="1.0" encoding="utf-8"?>
<ds:datastoreItem xmlns:ds="http://schemas.openxmlformats.org/officeDocument/2006/customXml" ds:itemID="{1E70867C-4F3D-4413-A1F2-E02D5686FBA6}">
  <ds:schemaRefs>
    <ds:schemaRef ds:uri="http://schemas.microsoft.com/office/2006/metadata/longProperties"/>
  </ds:schemaRefs>
</ds:datastoreItem>
</file>

<file path=customXml/itemProps5.xml><?xml version="1.0" encoding="utf-8"?>
<ds:datastoreItem xmlns:ds="http://schemas.openxmlformats.org/officeDocument/2006/customXml" ds:itemID="{FD05FA79-4273-4A51-BCFD-EA6C47A9194E}">
  <ds:schemaRefs>
    <ds:schemaRef ds:uri="http://schemas.microsoft.com/office/2006/metadata/properties"/>
    <ds:schemaRef ds:uri="http://schemas.microsoft.com/office/infopath/2007/PartnerControls"/>
    <ds:schemaRef ds:uri="d6eefc7d-9817-4fa6-84d5-3bc009be21b8"/>
  </ds:schemaRefs>
</ds:datastoreItem>
</file>

<file path=customXml/itemProps6.xml><?xml version="1.0" encoding="utf-8"?>
<ds:datastoreItem xmlns:ds="http://schemas.openxmlformats.org/officeDocument/2006/customXml" ds:itemID="{3D6482C5-E2BC-4A27-82EC-97B0A1DB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215935-085B-4FFF-ACB2-E879D4CFE84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512 supporting statement</vt:lpstr>
    </vt:vector>
  </TitlesOfParts>
  <Company>FERC</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supporting statement</dc:title>
  <dc:creator>ferc</dc:creator>
  <cp:lastModifiedBy>Kayla Williams</cp:lastModifiedBy>
  <cp:revision>4</cp:revision>
  <cp:lastPrinted>2014-12-18T19:50:00Z</cp:lastPrinted>
  <dcterms:created xsi:type="dcterms:W3CDTF">2024-04-12T12:53:00Z</dcterms:created>
  <dcterms:modified xsi:type="dcterms:W3CDTF">2024-04-23T10:25:00Z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ActionId">
    <vt:lpwstr>1cd54c73-4efe-4df7-b20b-18cc1d693fa4</vt:lpwstr>
  </property>
  <property fmtid="{D5CDD505-2E9C-101B-9397-08002B2CF9AE}" pid="4" name="MSIP_Label_6155a89b-0f08-4a93-8ea2-8a916d6643b5_Application">
    <vt:lpwstr>Microsoft Azure Information Protection</vt:lpwstr>
  </property>
  <property fmtid="{D5CDD505-2E9C-101B-9397-08002B2CF9AE}" pid="5" name="MSIP_Label_6155a89b-0f08-4a93-8ea2-8a916d6643b5_Enabled">
    <vt:lpwstr>True</vt:lpwstr>
  </property>
  <property fmtid="{D5CDD505-2E9C-101B-9397-08002B2CF9AE}" pid="6" name="MSIP_Label_6155a89b-0f08-4a93-8ea2-8a916d6643b5_Extended_MSFT_Method">
    <vt:lpwstr>Manual</vt:lpwstr>
  </property>
  <property fmtid="{D5CDD505-2E9C-101B-9397-08002B2CF9AE}" pid="7" name="MSIP_Label_6155a89b-0f08-4a93-8ea2-8a916d6643b5_Name">
    <vt:lpwstr>General</vt:lpwstr>
  </property>
  <property fmtid="{D5CDD505-2E9C-101B-9397-08002B2CF9AE}" pid="8" name="MSIP_Label_6155a89b-0f08-4a93-8ea2-8a916d6643b5_Owner">
    <vt:lpwstr>Kayla.Williams@ferc.gov</vt:lpwstr>
  </property>
  <property fmtid="{D5CDD505-2E9C-101B-9397-08002B2CF9AE}" pid="9" name="MSIP_Label_6155a89b-0f08-4a93-8ea2-8a916d6643b5_SetDate">
    <vt:lpwstr>2021-03-09T01:35:10.7427915Z</vt:lpwstr>
  </property>
  <property fmtid="{D5CDD505-2E9C-101B-9397-08002B2CF9AE}" pid="10" name="MSIP_Label_6155a89b-0f08-4a93-8ea2-8a916d6643b5_SiteId">
    <vt:lpwstr>19caa9e9-04ff-43fa-885f-d77fac387903</vt:lpwstr>
  </property>
  <property fmtid="{D5CDD505-2E9C-101B-9397-08002B2CF9AE}" pid="11" name="Order">
    <vt:r8>296500</vt:r8>
  </property>
  <property fmtid="{D5CDD505-2E9C-101B-9397-08002B2CF9AE}" pid="12" name="Sensitivity">
    <vt:lpwstr>General</vt:lpwstr>
  </property>
</Properties>
</file>