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3C5F0905">
      <w:pPr>
        <w:jc w:val="center"/>
      </w:pPr>
      <w:r w:rsidRPr="00980E58">
        <w:t>[</w:t>
      </w:r>
      <w:r w:rsidRPr="007633DD">
        <w:t>Docket No</w:t>
      </w:r>
      <w:r w:rsidRPr="00413FDE">
        <w:t xml:space="preserve">. </w:t>
      </w:r>
      <w:r w:rsidRPr="00413FDE" w:rsidR="00613169">
        <w:t>IC</w:t>
      </w:r>
      <w:r w:rsidR="00BF246C">
        <w:t>24</w:t>
      </w:r>
      <w:r w:rsidR="00DB47DF">
        <w:t>-</w:t>
      </w:r>
      <w:r w:rsidR="00BF246C">
        <w:t>15</w:t>
      </w:r>
      <w:r w:rsidRPr="00413FDE" w:rsidR="00613169">
        <w:t>-000</w:t>
      </w:r>
      <w:r w:rsidRPr="00413FDE">
        <w:t>]</w:t>
      </w:r>
    </w:p>
    <w:p w:rsidR="00A2604E" w:rsidP="00A2604E" w14:paraId="4D16FE54" w14:textId="77777777"/>
    <w:p w:rsidR="00A2604E" w:rsidP="00A2604E" w14:paraId="0627AE31" w14:textId="396E5177">
      <w:pPr>
        <w:jc w:val="center"/>
      </w:pPr>
      <w:r>
        <w:t>COMMISSION INFORMATION COLLECTION ACTIVITIES (FERC-</w:t>
      </w:r>
      <w:r w:rsidR="00C52419">
        <w:t>587</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9562A5" w:rsidP="009A0345" w14:paraId="43EDA0D7" w14:textId="62EEF22E">
      <w:pPr>
        <w:jc w:val="center"/>
      </w:pPr>
      <w:r w:rsidRPr="009A0345">
        <w:t>(July 2, 2024)</w:t>
      </w:r>
    </w:p>
    <w:p w:rsidR="009A0345" w:rsidRPr="009A0345" w:rsidP="009A0345" w14:paraId="057FC71D" w14:textId="77777777"/>
    <w:p w:rsidR="00EE33B9" w:rsidRPr="00EE33B9" w:rsidP="00EE33B9" w14:paraId="4F4A1DEC" w14:textId="77777777"/>
    <w:p w:rsidR="00651CE5" w:rsidP="00651CE5" w14:paraId="5DE1B7EA" w14:textId="1ED1E0FD">
      <w:r w:rsidRPr="00AB4DBF">
        <w:rPr>
          <w:b/>
        </w:rPr>
        <w:t>AGENCY:</w:t>
      </w:r>
      <w:r w:rsidRPr="00AB4DBF">
        <w:t xml:space="preserve">  Federal Energy Regulatory Commission</w:t>
      </w:r>
    </w:p>
    <w:p w:rsidR="00651CE5" w:rsidRPr="00AB4DBF" w:rsidP="00651CE5" w14:paraId="3759706A" w14:textId="77777777"/>
    <w:p w:rsidR="00651CE5" w:rsidP="00651CE5" w14:paraId="7D3A5544"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651CE5" w:rsidRPr="009907E2" w:rsidP="00F42A51" w14:paraId="41E60BD6" w14:textId="67C6239C">
      <w:pPr>
        <w:spacing w:line="480" w:lineRule="auto"/>
      </w:pPr>
      <w:r w:rsidRPr="00CE64F2">
        <w:rPr>
          <w:b/>
        </w:rPr>
        <w:t>SUMMARY:</w:t>
      </w:r>
      <w:r>
        <w:t xml:space="preserve">  </w:t>
      </w:r>
      <w:bookmarkStart w:id="1" w:name="_Hlk102460280"/>
      <w:r>
        <w:t>In compliance with the requirements of the Paperwork Reduction Act of 1995 (PRA), the Federal Energy Regulatory Commission (Commission or FERC) is soliciting public comment on the currently approved information collection</w:t>
      </w:r>
      <w:r w:rsidRPr="009907E2" w:rsidR="009907E2">
        <w:t>, FERC-</w:t>
      </w:r>
      <w:r w:rsidR="00AA64AF">
        <w:t>587</w:t>
      </w:r>
      <w:r w:rsidRPr="009907E2" w:rsidR="009907E2">
        <w:t xml:space="preserve">, </w:t>
      </w:r>
      <w:bookmarkStart w:id="2" w:name="_Hlk143100473"/>
      <w:r w:rsidRPr="00AA64AF" w:rsidR="00AA64AF">
        <w:t>Land Description: Public Land States/Non-Public Land States, OMB Control Number 1902</w:t>
      </w:r>
      <w:r w:rsidR="00A51F05">
        <w:t>-0</w:t>
      </w:r>
      <w:r w:rsidRPr="00AA64AF" w:rsidR="00AA64AF">
        <w:t>145</w:t>
      </w:r>
      <w:r w:rsidR="00A51F05">
        <w:t xml:space="preserve">, </w:t>
      </w:r>
      <w:bookmarkEnd w:id="2"/>
      <w:r w:rsidR="00A51F05">
        <w:t>wh</w:t>
      </w:r>
      <w:r w:rsidRPr="128FFB1D">
        <w:rPr>
          <w:rFonts w:eastAsiaTheme="minorEastAsia"/>
        </w:rPr>
        <w:t>ich will be submitted to the Office of Management and Budget (OMB) for review.</w:t>
      </w:r>
    </w:p>
    <w:bookmarkEnd w:id="1"/>
    <w:p w:rsidR="00651CE5" w:rsidRPr="00524164" w:rsidP="00651CE5" w14:paraId="3160ED94" w14:textId="77777777">
      <w:pPr>
        <w:spacing w:line="480" w:lineRule="auto"/>
      </w:pPr>
      <w:r w:rsidRPr="00CE64F2">
        <w:rPr>
          <w:b/>
        </w:rPr>
        <w:t>DATES:</w:t>
      </w:r>
      <w:r>
        <w:t xml:space="preserve">  Comments on the collection of information are </w:t>
      </w:r>
      <w:r w:rsidRPr="00B24588">
        <w:t>due [</w:t>
      </w:r>
      <w:r>
        <w:rPr>
          <w:b/>
        </w:rPr>
        <w:t>INSERT DATE</w:t>
      </w:r>
      <w:r w:rsidRPr="00A07154">
        <w:rPr>
          <w:b/>
        </w:rPr>
        <w:t xml:space="preserve"> </w:t>
      </w:r>
      <w:r>
        <w:rPr>
          <w:b/>
        </w:rPr>
        <w:t>3</w:t>
      </w:r>
      <w:r w:rsidRPr="00A07154">
        <w:rPr>
          <w:b/>
        </w:rPr>
        <w:t>0 days after date of publication in the Federal Register</w:t>
      </w:r>
      <w:r w:rsidRPr="00524164">
        <w:t xml:space="preserve">]. </w:t>
      </w:r>
    </w:p>
    <w:p w:rsidR="00651CE5" w:rsidRPr="00BB5EF5" w:rsidP="00651CE5" w14:paraId="6E8722A0" w14:textId="4615945F">
      <w:pPr>
        <w:spacing w:line="480" w:lineRule="auto"/>
      </w:pPr>
      <w:r w:rsidRPr="00524164">
        <w:rPr>
          <w:b/>
        </w:rPr>
        <w:t>ADDRESSES:</w:t>
      </w:r>
      <w:r w:rsidRPr="00524164">
        <w:t xml:space="preserve"> </w:t>
      </w:r>
      <w:r w:rsidRPr="00BB5EF5">
        <w:rPr>
          <w:iCs/>
        </w:rPr>
        <w:t>Send written comments on FERC-</w:t>
      </w:r>
      <w:r w:rsidR="00A51F05">
        <w:rPr>
          <w:iCs/>
        </w:rPr>
        <w:t>587</w:t>
      </w:r>
      <w:r>
        <w:t xml:space="preserve"> </w:t>
      </w:r>
      <w:r w:rsidRPr="00BB5EF5">
        <w:rPr>
          <w:iCs/>
        </w:rPr>
        <w:t xml:space="preserve">to OMB through </w:t>
      </w:r>
      <w:hyperlink r:id="rId10">
        <w:r w:rsidRPr="3D33D731">
          <w:rPr>
            <w:rStyle w:val="Hyperlink"/>
          </w:rPr>
          <w:t>www.reginfo.gov/public/do/PRAMain</w:t>
        </w:r>
      </w:hyperlink>
      <w:r>
        <w:t>.</w:t>
      </w:r>
      <w:r w:rsidRPr="00BB5EF5">
        <w:rPr>
          <w:iCs/>
        </w:rPr>
        <w:t xml:space="preserve">  Attention:  Federal Energy Regulatory Commission Desk Officer.  Please identify the OMB Control Number (1902-</w:t>
      </w:r>
      <w:r w:rsidR="00C034F9">
        <w:rPr>
          <w:iCs/>
        </w:rPr>
        <w:t>0145</w:t>
      </w:r>
      <w:r w:rsidRPr="00BB5EF5">
        <w:rPr>
          <w:iCs/>
        </w:rPr>
        <w:t>) in the subject line of your comments.  Comments</w:t>
      </w:r>
      <w:r w:rsidRPr="00BB5EF5">
        <w:t xml:space="preserve"> should be sent </w:t>
      </w:r>
      <w:bookmarkStart w:id="3" w:name="_Hlk35891527"/>
      <w:r w:rsidRPr="00BB5EF5">
        <w:t xml:space="preserve">within 30 days of publication of this notice to </w:t>
      </w:r>
      <w:bookmarkStart w:id="4" w:name="_Hlk38028221"/>
      <w:hyperlink r:id="rId10" w:history="1">
        <w:r w:rsidRPr="00BB5EF5">
          <w:rPr>
            <w:rStyle w:val="Hyperlink"/>
          </w:rPr>
          <w:t>www.reginfo.gov/public/do/PRAMain</w:t>
        </w:r>
      </w:hyperlink>
      <w:r w:rsidRPr="00BB5EF5">
        <w:t>.</w:t>
      </w:r>
      <w:bookmarkEnd w:id="3"/>
      <w:bookmarkEnd w:id="4"/>
    </w:p>
    <w:p w:rsidR="00651CE5" w:rsidRPr="00BB5EF5" w:rsidP="00651CE5" w14:paraId="5148487D" w14:textId="6F5B92DF">
      <w:pPr>
        <w:spacing w:line="480" w:lineRule="auto"/>
      </w:pPr>
      <w:r>
        <w:t>Please submit copies of your comments to the Commission.  You may submit copies of your comments (identified by Docket No. IC</w:t>
      </w:r>
      <w:r w:rsidR="00767E28">
        <w:t>24</w:t>
      </w:r>
      <w:r w:rsidR="002A5D1D">
        <w:t>-</w:t>
      </w:r>
      <w:r w:rsidR="00767E28">
        <w:t>15</w:t>
      </w:r>
      <w:r>
        <w:t>-000) by one of the following methods:</w:t>
      </w:r>
    </w:p>
    <w:p w:rsidR="00651CE5" w:rsidRPr="00BB5EF5" w:rsidP="00651CE5" w14:paraId="5D11C0B2" w14:textId="77777777">
      <w:pPr>
        <w:spacing w:line="480" w:lineRule="auto"/>
      </w:pPr>
      <w:r>
        <w:t xml:space="preserve">Electronic filing through </w:t>
      </w:r>
      <w:hyperlink r:id="rId11" w:history="1">
        <w:r w:rsidRPr="00FC39BA">
          <w:rPr>
            <w:rStyle w:val="Hyperlink"/>
          </w:rPr>
          <w:t>https://www.ferc.gov</w:t>
        </w:r>
      </w:hyperlink>
      <w:r>
        <w:t>, is preferred.</w:t>
      </w:r>
    </w:p>
    <w:p w:rsidR="00651CE5" w:rsidRPr="00BB5EF5" w:rsidP="00651CE5" w14:paraId="0D1A4BFA"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651CE5" w:rsidRPr="00BB5EF5" w:rsidP="00651CE5" w14:paraId="44E16B18" w14:textId="77777777">
      <w:pPr>
        <w:numPr>
          <w:ilvl w:val="0"/>
          <w:numId w:val="6"/>
        </w:numPr>
        <w:spacing w:line="480" w:lineRule="auto"/>
      </w:pPr>
      <w:r w:rsidRPr="00BB5EF5">
        <w:t>For those unable to file electronically, comments may be filed by USPS mail or by hand (including courier) delivery.</w:t>
      </w:r>
    </w:p>
    <w:p w:rsidR="00651CE5" w:rsidRPr="00BB5EF5" w:rsidP="00651CE5" w14:paraId="16D6572E"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651CE5" w:rsidRPr="00BB5EF5" w:rsidP="00651CE5" w14:paraId="37DB42EC" w14:textId="77777777">
      <w:pPr>
        <w:numPr>
          <w:ilvl w:val="1"/>
          <w:numId w:val="6"/>
        </w:numPr>
        <w:spacing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651CE5" w:rsidRPr="00BB5EF5" w:rsidP="00651CE5" w14:paraId="71A32EF3" w14:textId="77777777">
      <w:pPr>
        <w:spacing w:line="480" w:lineRule="auto"/>
      </w:pPr>
      <w:bookmarkStart w:id="5"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651CE5" w:rsidRPr="00BB5EF5" w:rsidP="00651CE5" w14:paraId="1C4D0A9A" w14:textId="77777777">
      <w:pPr>
        <w:spacing w:line="480" w:lineRule="auto"/>
      </w:pPr>
      <w:r w:rsidRPr="128FFB1D">
        <w:rPr>
          <w:i/>
          <w:iCs/>
        </w:rPr>
        <w:t>FERC submissions</w:t>
      </w:r>
      <w:r>
        <w:t xml:space="preserve"> </w:t>
      </w:r>
      <w:bookmarkStart w:id="6" w:name="_Hlk38028397"/>
      <w:r>
        <w:t>must be formatted and filed in accordance with submission guidelines at</w:t>
      </w:r>
      <w:bookmarkEnd w:id="6"/>
      <w:r>
        <w:t xml:space="preserve">: </w:t>
      </w:r>
      <w:hyperlink r:id="rId11" w:history="1">
        <w:r w:rsidRPr="00FC39BA">
          <w:rPr>
            <w:rStyle w:val="Hyperlink"/>
          </w:rPr>
          <w:t>https://www.ferc.gov</w:t>
        </w:r>
      </w:hyperlink>
      <w:r>
        <w:t>.  For user assistance, contact FERC Online Support by e-mail at ferconlinesupport@ferc.gov, or by phone at: (866) 208-3676 (toll-free).</w:t>
      </w:r>
    </w:p>
    <w:p w:rsidR="00651CE5" w:rsidRPr="00BB5EF5" w:rsidP="00651CE5" w14:paraId="529C8631"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5"/>
    <w:p w:rsidR="00651CE5" w:rsidRPr="00651CE5" w:rsidP="00206037" w14:paraId="3014A5B0" w14:textId="739C109B">
      <w:pPr>
        <w:spacing w:line="480" w:lineRule="auto"/>
      </w:pPr>
      <w:r w:rsidRPr="00BB5EF5">
        <w:rPr>
          <w:b/>
        </w:rPr>
        <w:t>FOR FURTHER INFORMATION CONTACT:</w:t>
      </w:r>
      <w:r w:rsidRPr="00BB5EF5">
        <w:t xml:space="preserve">  </w:t>
      </w:r>
      <w:r w:rsidR="001E6BA7">
        <w:t>Jean Sonneman</w:t>
      </w:r>
      <w:r w:rsidRPr="00BB5EF5">
        <w:t xml:space="preserve"> may be reached by e-mail at </w:t>
      </w:r>
      <w:r>
        <w:fldChar w:fldCharType="begin"/>
      </w:r>
      <w:r w:rsidRPr="4B4230D7">
        <w:rPr>
          <w:rStyle w:val="Hyperlink"/>
        </w:rPr>
        <w:instrText xml:space="preserve"> HYPERLINK "mailto:DataClearance@FERC.gov"  \h </w:instrText>
      </w:r>
      <w:r>
        <w:fldChar w:fldCharType="separate"/>
      </w:r>
      <w:r w:rsidRPr="4B4230D7">
        <w:rPr>
          <w:rStyle w:val="Hyperlink"/>
        </w:rPr>
        <w:t>DataClearance@FERC.gov</w:t>
      </w:r>
      <w:r>
        <w:fldChar w:fldCharType="end"/>
      </w:r>
      <w:r w:rsidRPr="00BB5EF5">
        <w:t>, telephone at (202) 502-</w:t>
      </w:r>
      <w:r w:rsidR="001E6BA7">
        <w:t>6362</w:t>
      </w:r>
      <w:r w:rsidRPr="00BB5EF5">
        <w:t>.</w:t>
      </w:r>
      <w:r w:rsidRPr="00524164">
        <w:t xml:space="preserve"> </w:t>
      </w:r>
    </w:p>
    <w:p w:rsidR="00206037" w:rsidRPr="00206037" w:rsidP="00206037" w14:paraId="466885D9" w14:textId="01C9A6E7">
      <w:pPr>
        <w:spacing w:line="480" w:lineRule="auto"/>
      </w:pPr>
      <w:r w:rsidRPr="00206037">
        <w:rPr>
          <w:b/>
        </w:rPr>
        <w:t>SUPPLEMENTARY INFORMATION:</w:t>
      </w:r>
      <w:r w:rsidRPr="00206037">
        <w:t xml:space="preserve">  </w:t>
      </w:r>
    </w:p>
    <w:p w:rsidR="009907E2" w:rsidRPr="009A61A3" w:rsidP="009907E2" w14:paraId="09983188" w14:textId="4CA4A447">
      <w:pPr>
        <w:spacing w:line="480" w:lineRule="auto"/>
        <w:rPr>
          <w:iCs/>
        </w:rPr>
      </w:pPr>
      <w:r w:rsidRPr="0020200A">
        <w:rPr>
          <w:i/>
        </w:rPr>
        <w:t>Title</w:t>
      </w:r>
      <w:r w:rsidRPr="000D055F">
        <w:rPr>
          <w:iCs/>
        </w:rPr>
        <w:t xml:space="preserve">: </w:t>
      </w:r>
      <w:r w:rsidR="009A61A3">
        <w:rPr>
          <w:iCs/>
        </w:rPr>
        <w:t xml:space="preserve">FERC-587, </w:t>
      </w:r>
      <w:r w:rsidRPr="00AA64AF" w:rsidR="00822429">
        <w:t>Land Description: Public Land States/Non-Public Land States</w:t>
      </w:r>
      <w:r w:rsidR="00822429">
        <w:t>.</w:t>
      </w:r>
    </w:p>
    <w:p w:rsidR="009907E2" w:rsidRPr="0020200A" w:rsidP="009907E2" w14:paraId="2EB0D66B" w14:textId="79709225">
      <w:pPr>
        <w:spacing w:line="480" w:lineRule="auto"/>
      </w:pPr>
      <w:r w:rsidRPr="0020200A">
        <w:rPr>
          <w:i/>
        </w:rPr>
        <w:t>OMB Control No</w:t>
      </w:r>
      <w:r w:rsidRPr="000D055F">
        <w:rPr>
          <w:iCs/>
        </w:rPr>
        <w:t xml:space="preserve">.: </w:t>
      </w:r>
      <w:r w:rsidRPr="0020200A">
        <w:t>1902-</w:t>
      </w:r>
      <w:r w:rsidR="00666843">
        <w:t>0145</w:t>
      </w:r>
      <w:r w:rsidR="009A61A3">
        <w:t>.</w:t>
      </w:r>
    </w:p>
    <w:p w:rsidR="009907E2" w:rsidRPr="0020200A" w:rsidP="009907E2" w14:paraId="511EA08F" w14:textId="64AD3C01">
      <w:pPr>
        <w:adjustRightInd w:val="0"/>
        <w:snapToGrid w:val="0"/>
        <w:spacing w:line="480" w:lineRule="auto"/>
      </w:pPr>
      <w:r w:rsidRPr="0020200A">
        <w:rPr>
          <w:i/>
        </w:rPr>
        <w:t>Type of Request</w:t>
      </w:r>
      <w:r w:rsidRPr="000D055F">
        <w:rPr>
          <w:iCs/>
        </w:rPr>
        <w:t xml:space="preserve">:  </w:t>
      </w:r>
      <w:r w:rsidRPr="0020200A">
        <w:t>Three-year extension of the FERC</w:t>
      </w:r>
      <w:r>
        <w:t>-</w:t>
      </w:r>
      <w:r w:rsidR="009A61A3">
        <w:t>587</w:t>
      </w:r>
      <w:r>
        <w:t xml:space="preserve"> </w:t>
      </w:r>
      <w:r w:rsidRPr="0020200A">
        <w:t>information collection requirements with no changes to the current reporting requirements.</w:t>
      </w:r>
    </w:p>
    <w:p w:rsidR="009907E2" w:rsidRPr="00D4490B" w:rsidP="006213DA" w14:paraId="28194498" w14:textId="48C0E37D">
      <w:pPr>
        <w:tabs>
          <w:tab w:val="center" w:pos="5040"/>
        </w:tabs>
        <w:spacing w:line="480" w:lineRule="auto"/>
        <w:rPr>
          <w:iCs/>
          <w:szCs w:val="26"/>
        </w:rPr>
      </w:pPr>
      <w:r w:rsidRPr="0020200A">
        <w:rPr>
          <w:i/>
        </w:rPr>
        <w:t>Abstract</w:t>
      </w:r>
      <w:r w:rsidRPr="00A22718" w:rsidR="00320566">
        <w:rPr>
          <w:iCs/>
        </w:rPr>
        <w:t xml:space="preserve">:  </w:t>
      </w:r>
      <w:r w:rsidRPr="00A22718" w:rsidR="00D4490B">
        <w:rPr>
          <w:iCs/>
        </w:rPr>
        <w:t>Section 24 of the Federal Power Act (FPA)</w:t>
      </w:r>
      <w:r>
        <w:rPr>
          <w:rStyle w:val="FootnoteReference"/>
          <w:iCs/>
        </w:rPr>
        <w:footnoteReference w:id="3"/>
      </w:r>
      <w:r w:rsidRPr="00A22718" w:rsidR="00D4490B">
        <w:rPr>
          <w:iCs/>
        </w:rPr>
        <w:t xml:space="preserve"> requires the Commission to conduct this collection of information, which pertains to applications proposing hydropower projects, or changes to existing hydropower projects, within “lands of the United States.”  FERC Form 587</w:t>
      </w:r>
      <w:r>
        <w:rPr>
          <w:rStyle w:val="FootnoteReference"/>
          <w:iCs/>
        </w:rPr>
        <w:footnoteReference w:id="4"/>
      </w:r>
      <w:r w:rsidRPr="00A22718" w:rsidR="00D4490B">
        <w:rPr>
          <w:iCs/>
        </w:rPr>
        <w:t xml:space="preserve"> consolidates the required information, including a description of the applicable U.S. lands and identification of hydropower project boundary maps associated with the applicable U.S. lands.  An applicant must send FERC Form 587 both to the Commission and to the Bureau of Land Management (BLM)</w:t>
      </w:r>
      <w:r w:rsidR="00CC698E">
        <w:rPr>
          <w:iCs/>
        </w:rPr>
        <w:t xml:space="preserve"> </w:t>
      </w:r>
      <w:r w:rsidRPr="00A22718" w:rsidR="00D4490B">
        <w:rPr>
          <w:iCs/>
        </w:rPr>
        <w:t xml:space="preserve">state office where the project is located.  The information consolidated in FERC Form 587 </w:t>
      </w:r>
      <w:r w:rsidRPr="00A22718" w:rsidR="00D4490B">
        <w:rPr>
          <w:iCs/>
        </w:rPr>
        <w:t>facilitates the reservation of U.S. lands as hydropower sites and the withdrawal of such lands from other uses.</w:t>
      </w:r>
    </w:p>
    <w:p w:rsidR="009907E2" w:rsidRPr="00A22718" w:rsidP="009907E2" w14:paraId="6C694579" w14:textId="10859411">
      <w:pPr>
        <w:tabs>
          <w:tab w:val="left" w:pos="-1440"/>
        </w:tabs>
        <w:spacing w:line="480" w:lineRule="auto"/>
        <w:rPr>
          <w:iCs/>
        </w:rPr>
      </w:pPr>
      <w:r w:rsidRPr="0020200A">
        <w:rPr>
          <w:i/>
        </w:rPr>
        <w:t>Type of Respondent</w:t>
      </w:r>
      <w:r w:rsidR="00800B83">
        <w:rPr>
          <w:i/>
        </w:rPr>
        <w:t>s</w:t>
      </w:r>
      <w:r w:rsidRPr="00A22718" w:rsidR="00CD126B">
        <w:rPr>
          <w:iCs/>
        </w:rPr>
        <w:t>:</w:t>
      </w:r>
      <w:r w:rsidRPr="00A22718">
        <w:rPr>
          <w:iCs/>
        </w:rPr>
        <w:t xml:space="preserve">  </w:t>
      </w:r>
      <w:r w:rsidRPr="00800B83" w:rsidR="00800B83">
        <w:rPr>
          <w:iCs/>
        </w:rPr>
        <w:t>Applicants proposing hydropower projects, or changes to existing hydropower projects, within lands of the United States.</w:t>
      </w:r>
    </w:p>
    <w:p w:rsidR="009907E2" w:rsidRPr="0020200A" w:rsidP="009907E2" w14:paraId="1D9B2407" w14:textId="03687ADA">
      <w:pPr>
        <w:spacing w:line="480" w:lineRule="auto"/>
      </w:pPr>
      <w:r w:rsidRPr="0020200A">
        <w:rPr>
          <w:i/>
        </w:rPr>
        <w:t>Estimate of Annual Burden</w:t>
      </w:r>
      <w:r w:rsidRPr="00800B83">
        <w:rPr>
          <w:iCs/>
        </w:rPr>
        <w:t>:</w:t>
      </w:r>
      <w:r>
        <w:rPr>
          <w:b/>
          <w:iCs/>
          <w:szCs w:val="26"/>
          <w:vertAlign w:val="superscript"/>
        </w:rPr>
        <w:footnoteReference w:id="5"/>
      </w:r>
      <w:r w:rsidRPr="00800B83">
        <w:rPr>
          <w:iCs/>
        </w:rPr>
        <w:t xml:space="preserve">  </w:t>
      </w:r>
      <w:r w:rsidRPr="0020200A">
        <w:t xml:space="preserve">The Commission estimates the annual public reporting burden for the information collection as </w:t>
      </w:r>
      <w:r w:rsidR="00822429">
        <w:t xml:space="preserve">shown </w:t>
      </w:r>
      <w:r w:rsidRPr="0020200A">
        <w:t>below:</w:t>
      </w:r>
    </w:p>
    <w:tbl>
      <w:tblPr>
        <w:tblW w:w="1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837"/>
        <w:gridCol w:w="1563"/>
        <w:gridCol w:w="1504"/>
        <w:gridCol w:w="1878"/>
        <w:gridCol w:w="1878"/>
        <w:gridCol w:w="1596"/>
      </w:tblGrid>
      <w:tr w14:paraId="22EC7CF1" w14:textId="577970D3" w:rsidTr="008303F5">
        <w:tblPrEx>
          <w:tblW w:w="1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596" w:type="dxa"/>
          <w:cantSplit/>
          <w:trHeight w:val="4040"/>
          <w:tblHeader/>
        </w:trPr>
        <w:tc>
          <w:tcPr>
            <w:tcW w:w="0" w:type="auto"/>
            <w:shd w:val="clear" w:color="auto" w:fill="D9D9D9"/>
            <w:vAlign w:val="bottom"/>
          </w:tcPr>
          <w:p w:rsidR="008303F5" w:rsidRPr="001E6BA7" w:rsidP="003E2034" w14:paraId="15076456" w14:textId="3760666E">
            <w:pPr>
              <w:widowControl w:val="0"/>
              <w:autoSpaceDE w:val="0"/>
              <w:autoSpaceDN w:val="0"/>
              <w:adjustRightInd w:val="0"/>
              <w:jc w:val="center"/>
              <w:rPr>
                <w:b/>
                <w:bCs/>
                <w:szCs w:val="26"/>
              </w:rPr>
            </w:pPr>
            <w:r>
              <w:rPr>
                <w:b/>
                <w:bCs/>
                <w:szCs w:val="26"/>
              </w:rPr>
              <w:t>A</w:t>
            </w:r>
            <w:r w:rsidRPr="001E6BA7">
              <w:rPr>
                <w:b/>
                <w:bCs/>
                <w:szCs w:val="26"/>
              </w:rPr>
              <w:t>.</w:t>
            </w:r>
          </w:p>
          <w:p w:rsidR="008303F5" w:rsidRPr="001E6BA7" w:rsidP="00403F48" w14:paraId="546A7A3B" w14:textId="1FD2118A">
            <w:pPr>
              <w:widowControl w:val="0"/>
              <w:autoSpaceDE w:val="0"/>
              <w:autoSpaceDN w:val="0"/>
              <w:adjustRightInd w:val="0"/>
              <w:jc w:val="center"/>
              <w:rPr>
                <w:b/>
                <w:bCs/>
                <w:szCs w:val="26"/>
              </w:rPr>
            </w:pPr>
            <w:r w:rsidRPr="001E6BA7">
              <w:rPr>
                <w:b/>
                <w:bCs/>
                <w:szCs w:val="26"/>
              </w:rPr>
              <w:t>Number of Respondents</w:t>
            </w:r>
          </w:p>
        </w:tc>
        <w:tc>
          <w:tcPr>
            <w:tcW w:w="0" w:type="auto"/>
            <w:shd w:val="clear" w:color="auto" w:fill="D9D9D9"/>
            <w:vAlign w:val="bottom"/>
          </w:tcPr>
          <w:p w:rsidR="008303F5" w:rsidRPr="001E6BA7" w:rsidP="003E2034" w14:paraId="13DFFAF5" w14:textId="0BEEA97F">
            <w:pPr>
              <w:widowControl w:val="0"/>
              <w:autoSpaceDE w:val="0"/>
              <w:autoSpaceDN w:val="0"/>
              <w:adjustRightInd w:val="0"/>
              <w:jc w:val="center"/>
              <w:rPr>
                <w:b/>
                <w:bCs/>
                <w:szCs w:val="26"/>
              </w:rPr>
            </w:pPr>
            <w:r>
              <w:rPr>
                <w:b/>
                <w:bCs/>
                <w:szCs w:val="26"/>
              </w:rPr>
              <w:t>B</w:t>
            </w:r>
            <w:r w:rsidRPr="001E6BA7">
              <w:rPr>
                <w:b/>
                <w:bCs/>
                <w:szCs w:val="26"/>
              </w:rPr>
              <w:t>.</w:t>
            </w:r>
          </w:p>
          <w:p w:rsidR="008303F5" w:rsidRPr="001E6BA7" w:rsidP="003E2034" w14:paraId="12AB5476" w14:textId="77777777">
            <w:pPr>
              <w:widowControl w:val="0"/>
              <w:autoSpaceDE w:val="0"/>
              <w:autoSpaceDN w:val="0"/>
              <w:adjustRightInd w:val="0"/>
              <w:jc w:val="center"/>
              <w:rPr>
                <w:b/>
                <w:bCs/>
                <w:szCs w:val="26"/>
              </w:rPr>
            </w:pPr>
            <w:r w:rsidRPr="001E6BA7">
              <w:rPr>
                <w:b/>
                <w:bCs/>
                <w:szCs w:val="26"/>
              </w:rPr>
              <w:t>Annual Estimated Number of Responses per Respondent</w:t>
            </w:r>
          </w:p>
        </w:tc>
        <w:tc>
          <w:tcPr>
            <w:tcW w:w="0" w:type="auto"/>
            <w:shd w:val="clear" w:color="auto" w:fill="D9D9D9"/>
            <w:vAlign w:val="bottom"/>
          </w:tcPr>
          <w:p w:rsidR="008303F5" w:rsidRPr="001E6BA7" w:rsidP="003E2034" w14:paraId="51D3E2F8" w14:textId="57E2405A">
            <w:pPr>
              <w:widowControl w:val="0"/>
              <w:autoSpaceDE w:val="0"/>
              <w:autoSpaceDN w:val="0"/>
              <w:adjustRightInd w:val="0"/>
              <w:jc w:val="center"/>
              <w:rPr>
                <w:b/>
                <w:bCs/>
                <w:szCs w:val="26"/>
              </w:rPr>
            </w:pPr>
            <w:r>
              <w:rPr>
                <w:b/>
                <w:bCs/>
                <w:szCs w:val="26"/>
              </w:rPr>
              <w:t>C</w:t>
            </w:r>
            <w:r w:rsidRPr="001E6BA7">
              <w:rPr>
                <w:b/>
                <w:bCs/>
                <w:szCs w:val="26"/>
              </w:rPr>
              <w:t>.</w:t>
            </w:r>
          </w:p>
          <w:p w:rsidR="008303F5" w:rsidRPr="001E6BA7" w:rsidP="003E2034" w14:paraId="48B73576" w14:textId="77777777">
            <w:pPr>
              <w:widowControl w:val="0"/>
              <w:autoSpaceDE w:val="0"/>
              <w:autoSpaceDN w:val="0"/>
              <w:adjustRightInd w:val="0"/>
              <w:jc w:val="center"/>
              <w:rPr>
                <w:b/>
                <w:bCs/>
                <w:szCs w:val="26"/>
              </w:rPr>
            </w:pPr>
            <w:r w:rsidRPr="001E6BA7">
              <w:rPr>
                <w:b/>
                <w:bCs/>
                <w:szCs w:val="26"/>
              </w:rPr>
              <w:t>Annual Estimated Number of Responses</w:t>
            </w:r>
          </w:p>
          <w:p w:rsidR="008303F5" w:rsidRPr="001E6BA7" w:rsidP="003E2034" w14:paraId="378AC2E3" w14:textId="04357E89">
            <w:pPr>
              <w:widowControl w:val="0"/>
              <w:autoSpaceDE w:val="0"/>
              <w:autoSpaceDN w:val="0"/>
              <w:adjustRightInd w:val="0"/>
              <w:jc w:val="center"/>
              <w:rPr>
                <w:b/>
                <w:bCs/>
                <w:szCs w:val="26"/>
              </w:rPr>
            </w:pPr>
            <w:r w:rsidRPr="001E6BA7">
              <w:rPr>
                <w:b/>
                <w:bCs/>
                <w:szCs w:val="26"/>
              </w:rPr>
              <w:t xml:space="preserve">(Column </w:t>
            </w:r>
            <w:r>
              <w:rPr>
                <w:b/>
                <w:bCs/>
                <w:szCs w:val="26"/>
              </w:rPr>
              <w:t>A</w:t>
            </w:r>
            <w:r w:rsidRPr="001E6BA7">
              <w:rPr>
                <w:b/>
                <w:bCs/>
                <w:szCs w:val="26"/>
              </w:rPr>
              <w:t xml:space="preserve"> </w:t>
            </w:r>
            <w:r>
              <w:rPr>
                <w:b/>
                <w:bCs/>
                <w:szCs w:val="26"/>
              </w:rPr>
              <w:t>x</w:t>
            </w:r>
            <w:r w:rsidRPr="001E6BA7">
              <w:rPr>
                <w:b/>
                <w:bCs/>
                <w:szCs w:val="26"/>
              </w:rPr>
              <w:t xml:space="preserve"> Column </w:t>
            </w:r>
            <w:r>
              <w:rPr>
                <w:b/>
                <w:bCs/>
                <w:szCs w:val="26"/>
              </w:rPr>
              <w:t>B</w:t>
            </w:r>
            <w:r w:rsidRPr="001E6BA7">
              <w:rPr>
                <w:b/>
                <w:bCs/>
                <w:szCs w:val="26"/>
              </w:rPr>
              <w:t>)</w:t>
            </w:r>
          </w:p>
        </w:tc>
        <w:tc>
          <w:tcPr>
            <w:tcW w:w="0" w:type="auto"/>
            <w:shd w:val="clear" w:color="auto" w:fill="D9D9D9"/>
            <w:vAlign w:val="bottom"/>
          </w:tcPr>
          <w:p w:rsidR="008303F5" w:rsidRPr="001E6BA7" w:rsidP="003E2034" w14:paraId="61636231" w14:textId="15822A81">
            <w:pPr>
              <w:widowControl w:val="0"/>
              <w:autoSpaceDE w:val="0"/>
              <w:autoSpaceDN w:val="0"/>
              <w:adjustRightInd w:val="0"/>
              <w:jc w:val="center"/>
              <w:rPr>
                <w:b/>
                <w:bCs/>
                <w:szCs w:val="26"/>
              </w:rPr>
            </w:pPr>
            <w:r>
              <w:rPr>
                <w:b/>
                <w:bCs/>
                <w:szCs w:val="26"/>
              </w:rPr>
              <w:t>D</w:t>
            </w:r>
            <w:r w:rsidRPr="001E6BA7">
              <w:rPr>
                <w:b/>
                <w:bCs/>
                <w:szCs w:val="26"/>
              </w:rPr>
              <w:t>.</w:t>
            </w:r>
          </w:p>
          <w:p w:rsidR="008303F5" w:rsidRPr="001E6BA7" w:rsidP="003E2034" w14:paraId="3CBAE8F0" w14:textId="77777777">
            <w:pPr>
              <w:widowControl w:val="0"/>
              <w:autoSpaceDE w:val="0"/>
              <w:autoSpaceDN w:val="0"/>
              <w:adjustRightInd w:val="0"/>
              <w:jc w:val="center"/>
              <w:rPr>
                <w:b/>
                <w:bCs/>
                <w:szCs w:val="26"/>
              </w:rPr>
            </w:pPr>
            <w:r w:rsidRPr="001E6BA7">
              <w:rPr>
                <w:b/>
                <w:bCs/>
                <w:szCs w:val="26"/>
              </w:rPr>
              <w:t>Average Burden Hours &amp; Cost</w:t>
            </w:r>
            <w:r>
              <w:rPr>
                <w:b/>
                <w:bCs/>
                <w:szCs w:val="26"/>
                <w:vertAlign w:val="superscript"/>
              </w:rPr>
              <w:footnoteReference w:id="6"/>
            </w:r>
            <w:r w:rsidRPr="001E6BA7">
              <w:rPr>
                <w:b/>
                <w:bCs/>
                <w:szCs w:val="26"/>
              </w:rPr>
              <w:t xml:space="preserve"> per Response</w:t>
            </w:r>
          </w:p>
        </w:tc>
        <w:tc>
          <w:tcPr>
            <w:tcW w:w="1878" w:type="dxa"/>
            <w:shd w:val="clear" w:color="auto" w:fill="D9D9D9"/>
            <w:vAlign w:val="bottom"/>
          </w:tcPr>
          <w:p w:rsidR="008303F5" w:rsidRPr="001E6BA7" w:rsidP="003E2034" w14:paraId="698711AE" w14:textId="6F8F751F">
            <w:pPr>
              <w:widowControl w:val="0"/>
              <w:autoSpaceDE w:val="0"/>
              <w:autoSpaceDN w:val="0"/>
              <w:adjustRightInd w:val="0"/>
              <w:jc w:val="center"/>
              <w:rPr>
                <w:b/>
                <w:bCs/>
                <w:szCs w:val="26"/>
              </w:rPr>
            </w:pPr>
            <w:r>
              <w:rPr>
                <w:b/>
                <w:bCs/>
                <w:szCs w:val="26"/>
              </w:rPr>
              <w:t>E</w:t>
            </w:r>
            <w:r w:rsidRPr="001E6BA7">
              <w:rPr>
                <w:b/>
                <w:bCs/>
                <w:szCs w:val="26"/>
              </w:rPr>
              <w:t>.</w:t>
            </w:r>
          </w:p>
          <w:p w:rsidR="008303F5" w:rsidRPr="001E6BA7" w:rsidP="003E2034" w14:paraId="7DBE3FE3" w14:textId="77777777">
            <w:pPr>
              <w:widowControl w:val="0"/>
              <w:autoSpaceDE w:val="0"/>
              <w:autoSpaceDN w:val="0"/>
              <w:adjustRightInd w:val="0"/>
              <w:jc w:val="center"/>
              <w:rPr>
                <w:b/>
                <w:bCs/>
                <w:szCs w:val="26"/>
              </w:rPr>
            </w:pPr>
            <w:r w:rsidRPr="001E6BA7">
              <w:rPr>
                <w:b/>
                <w:bCs/>
                <w:szCs w:val="26"/>
              </w:rPr>
              <w:t>Total Estimated Burden Hours &amp; Total Estimated Cost</w:t>
            </w:r>
          </w:p>
          <w:p w:rsidR="008303F5" w:rsidRPr="001E6BA7" w:rsidP="003E2034" w14:paraId="06A5D517" w14:textId="6FEBF42B">
            <w:pPr>
              <w:widowControl w:val="0"/>
              <w:autoSpaceDE w:val="0"/>
              <w:autoSpaceDN w:val="0"/>
              <w:adjustRightInd w:val="0"/>
              <w:jc w:val="center"/>
              <w:rPr>
                <w:b/>
                <w:bCs/>
                <w:szCs w:val="26"/>
              </w:rPr>
            </w:pPr>
            <w:r w:rsidRPr="001E6BA7">
              <w:rPr>
                <w:b/>
                <w:bCs/>
                <w:szCs w:val="26"/>
              </w:rPr>
              <w:t xml:space="preserve">(Column </w:t>
            </w:r>
            <w:r>
              <w:rPr>
                <w:b/>
                <w:bCs/>
                <w:szCs w:val="26"/>
              </w:rPr>
              <w:t>C</w:t>
            </w:r>
            <w:r w:rsidRPr="001E6BA7">
              <w:rPr>
                <w:b/>
                <w:bCs/>
                <w:szCs w:val="26"/>
              </w:rPr>
              <w:t xml:space="preserve"> x Column </w:t>
            </w:r>
            <w:r>
              <w:rPr>
                <w:b/>
                <w:bCs/>
                <w:szCs w:val="26"/>
              </w:rPr>
              <w:t>D</w:t>
            </w:r>
            <w:r w:rsidRPr="001E6BA7">
              <w:rPr>
                <w:b/>
                <w:bCs/>
                <w:szCs w:val="26"/>
              </w:rPr>
              <w:t>)</w:t>
            </w:r>
          </w:p>
        </w:tc>
        <w:tc>
          <w:tcPr>
            <w:tcW w:w="1878" w:type="dxa"/>
            <w:shd w:val="clear" w:color="auto" w:fill="D9D9D9"/>
            <w:vAlign w:val="bottom"/>
          </w:tcPr>
          <w:p w:rsidR="008303F5" w:rsidP="008303F5" w14:paraId="00938D6E" w14:textId="77777777">
            <w:pPr>
              <w:widowControl w:val="0"/>
              <w:autoSpaceDE w:val="0"/>
              <w:autoSpaceDN w:val="0"/>
              <w:adjustRightInd w:val="0"/>
              <w:jc w:val="center"/>
              <w:rPr>
                <w:b/>
                <w:bCs/>
                <w:szCs w:val="26"/>
              </w:rPr>
            </w:pPr>
            <w:r>
              <w:rPr>
                <w:b/>
                <w:bCs/>
                <w:szCs w:val="26"/>
              </w:rPr>
              <w:t>F.</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tblGrid>
            <w:tr w14:paraId="7988C92F" w14:textId="77777777" w:rsidTr="00FE3174">
              <w:tblPrEx>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7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741225" w:rsidRPr="00741225" w:rsidP="00741225" w14:paraId="6EA2543D" w14:textId="77777777">
                  <w:pPr>
                    <w:widowControl w:val="0"/>
                    <w:autoSpaceDE w:val="0"/>
                    <w:autoSpaceDN w:val="0"/>
                    <w:adjustRightInd w:val="0"/>
                    <w:jc w:val="center"/>
                    <w:rPr>
                      <w:b/>
                      <w:bCs/>
                      <w:szCs w:val="26"/>
                    </w:rPr>
                  </w:pPr>
                  <w:r w:rsidRPr="00741225">
                    <w:rPr>
                      <w:b/>
                      <w:bCs/>
                      <w:szCs w:val="26"/>
                    </w:rPr>
                    <w:t>Average Annual Cost per Respondent</w:t>
                  </w:r>
                </w:p>
                <w:p w:rsidR="00741225" w:rsidRPr="00741225" w:rsidP="00741225" w14:paraId="64868B4A" w14:textId="77777777">
                  <w:pPr>
                    <w:widowControl w:val="0"/>
                    <w:autoSpaceDE w:val="0"/>
                    <w:autoSpaceDN w:val="0"/>
                    <w:adjustRightInd w:val="0"/>
                    <w:jc w:val="center"/>
                    <w:rPr>
                      <w:b/>
                      <w:bCs/>
                      <w:szCs w:val="26"/>
                    </w:rPr>
                  </w:pPr>
                  <w:r w:rsidRPr="00741225">
                    <w:rPr>
                      <w:b/>
                      <w:bCs/>
                      <w:szCs w:val="26"/>
                    </w:rPr>
                    <w:t>($)</w:t>
                  </w:r>
                </w:p>
                <w:p w:rsidR="00741225" w:rsidRPr="00741225" w:rsidP="00741225" w14:paraId="189A7BB7" w14:textId="79521181">
                  <w:pPr>
                    <w:widowControl w:val="0"/>
                    <w:autoSpaceDE w:val="0"/>
                    <w:autoSpaceDN w:val="0"/>
                    <w:adjustRightInd w:val="0"/>
                    <w:jc w:val="center"/>
                    <w:rPr>
                      <w:b/>
                      <w:bCs/>
                      <w:szCs w:val="26"/>
                    </w:rPr>
                  </w:pPr>
                  <w:r w:rsidRPr="00741225">
                    <w:rPr>
                      <w:b/>
                      <w:bCs/>
                      <w:szCs w:val="26"/>
                    </w:rPr>
                    <w:t>(</w:t>
                  </w:r>
                  <w:r>
                    <w:rPr>
                      <w:b/>
                      <w:bCs/>
                      <w:szCs w:val="26"/>
                    </w:rPr>
                    <w:t xml:space="preserve">Column </w:t>
                  </w:r>
                  <w:r w:rsidR="00DE1CC9">
                    <w:rPr>
                      <w:b/>
                      <w:bCs/>
                      <w:szCs w:val="26"/>
                    </w:rPr>
                    <w:t>E</w:t>
                  </w:r>
                  <w:r w:rsidR="00AB08A5">
                    <w:rPr>
                      <w:b/>
                      <w:bCs/>
                      <w:szCs w:val="26"/>
                    </w:rPr>
                    <w:t xml:space="preserve"> </w:t>
                  </w:r>
                  <w:r w:rsidRPr="00741225">
                    <w:rPr>
                      <w:b/>
                      <w:bCs/>
                      <w:szCs w:val="26"/>
                    </w:rPr>
                    <w:t>÷</w:t>
                  </w:r>
                  <w:r w:rsidR="00AB08A5">
                    <w:rPr>
                      <w:b/>
                      <w:bCs/>
                      <w:szCs w:val="26"/>
                    </w:rPr>
                    <w:t xml:space="preserve"> Column </w:t>
                  </w:r>
                  <w:r w:rsidR="004F0691">
                    <w:rPr>
                      <w:b/>
                      <w:bCs/>
                      <w:szCs w:val="26"/>
                    </w:rPr>
                    <w:t>A</w:t>
                  </w:r>
                  <w:r w:rsidRPr="00741225">
                    <w:rPr>
                      <w:b/>
                      <w:bCs/>
                      <w:szCs w:val="26"/>
                    </w:rPr>
                    <w:t>)</w:t>
                  </w:r>
                </w:p>
              </w:tc>
            </w:tr>
          </w:tbl>
          <w:p w:rsidR="008303F5" w:rsidP="008303F5" w14:paraId="68EA2D6F" w14:textId="50EF1F60">
            <w:pPr>
              <w:widowControl w:val="0"/>
              <w:autoSpaceDE w:val="0"/>
              <w:autoSpaceDN w:val="0"/>
              <w:adjustRightInd w:val="0"/>
              <w:jc w:val="center"/>
              <w:rPr>
                <w:b/>
                <w:bCs/>
                <w:szCs w:val="26"/>
              </w:rPr>
            </w:pPr>
          </w:p>
        </w:tc>
      </w:tr>
      <w:tr w14:paraId="4EA0E263" w14:textId="75302E9D" w:rsidTr="00AB08A5">
        <w:tblPrEx>
          <w:tblW w:w="11966" w:type="dxa"/>
          <w:tblLook w:val="04A0"/>
        </w:tblPrEx>
        <w:trPr>
          <w:cantSplit/>
          <w:trHeight w:val="2213"/>
        </w:trPr>
        <w:tc>
          <w:tcPr>
            <w:tcW w:w="0" w:type="auto"/>
            <w:vAlign w:val="bottom"/>
          </w:tcPr>
          <w:p w:rsidR="008303F5" w:rsidRPr="001E6BA7" w:rsidP="00CA09F9" w14:paraId="1FDF08E3" w14:textId="484C34A2">
            <w:pPr>
              <w:widowControl w:val="0"/>
              <w:autoSpaceDE w:val="0"/>
              <w:autoSpaceDN w:val="0"/>
              <w:adjustRightInd w:val="0"/>
              <w:jc w:val="right"/>
              <w:rPr>
                <w:szCs w:val="26"/>
              </w:rPr>
            </w:pPr>
            <w:r>
              <w:t xml:space="preserve">70 </w:t>
            </w:r>
          </w:p>
        </w:tc>
        <w:tc>
          <w:tcPr>
            <w:tcW w:w="0" w:type="auto"/>
            <w:vAlign w:val="bottom"/>
          </w:tcPr>
          <w:p w:rsidR="008303F5" w:rsidRPr="001E6BA7" w:rsidP="00CA09F9" w14:paraId="4A64B48C" w14:textId="2E8C0D02">
            <w:pPr>
              <w:widowControl w:val="0"/>
              <w:autoSpaceDE w:val="0"/>
              <w:autoSpaceDN w:val="0"/>
              <w:adjustRightInd w:val="0"/>
              <w:jc w:val="right"/>
              <w:rPr>
                <w:szCs w:val="26"/>
              </w:rPr>
            </w:pPr>
            <w:r>
              <w:t xml:space="preserve">1 </w:t>
            </w:r>
          </w:p>
        </w:tc>
        <w:tc>
          <w:tcPr>
            <w:tcW w:w="0" w:type="auto"/>
            <w:vAlign w:val="bottom"/>
          </w:tcPr>
          <w:p w:rsidR="008303F5" w:rsidRPr="001E6BA7" w:rsidP="00CA09F9" w14:paraId="146F2EA9" w14:textId="4DDBDD9E">
            <w:pPr>
              <w:widowControl w:val="0"/>
              <w:autoSpaceDE w:val="0"/>
              <w:autoSpaceDN w:val="0"/>
              <w:adjustRightInd w:val="0"/>
              <w:jc w:val="right"/>
              <w:rPr>
                <w:szCs w:val="26"/>
              </w:rPr>
            </w:pPr>
            <w:r>
              <w:t xml:space="preserve">70 </w:t>
            </w:r>
          </w:p>
        </w:tc>
        <w:tc>
          <w:tcPr>
            <w:tcW w:w="0" w:type="auto"/>
            <w:vAlign w:val="bottom"/>
          </w:tcPr>
          <w:p w:rsidR="008303F5" w:rsidP="00AB08A5" w14:paraId="06D1D2B7" w14:textId="77777777">
            <w:pPr>
              <w:spacing w:line="259" w:lineRule="auto"/>
              <w:ind w:right="106"/>
              <w:jc w:val="right"/>
            </w:pPr>
            <w:r>
              <w:t xml:space="preserve">1 hour; </w:t>
            </w:r>
          </w:p>
          <w:p w:rsidR="008303F5" w:rsidRPr="001E6BA7" w:rsidP="00AB08A5" w14:paraId="11B5CB12" w14:textId="3A8D6191">
            <w:pPr>
              <w:widowControl w:val="0"/>
              <w:autoSpaceDE w:val="0"/>
              <w:autoSpaceDN w:val="0"/>
              <w:adjustRightInd w:val="0"/>
              <w:jc w:val="right"/>
              <w:rPr>
                <w:szCs w:val="26"/>
              </w:rPr>
            </w:pPr>
            <w:r>
              <w:t xml:space="preserve">$100.00 </w:t>
            </w:r>
          </w:p>
        </w:tc>
        <w:tc>
          <w:tcPr>
            <w:tcW w:w="1878" w:type="dxa"/>
            <w:vAlign w:val="bottom"/>
          </w:tcPr>
          <w:p w:rsidR="008303F5" w:rsidP="00AB08A5" w14:paraId="5CE4BC29" w14:textId="77777777">
            <w:pPr>
              <w:spacing w:line="259" w:lineRule="auto"/>
              <w:ind w:right="107"/>
              <w:jc w:val="right"/>
            </w:pPr>
            <w:r>
              <w:t xml:space="preserve">70 hours; </w:t>
            </w:r>
          </w:p>
          <w:p w:rsidR="008303F5" w:rsidRPr="001E6BA7" w:rsidP="00AB08A5" w14:paraId="063C33EE" w14:textId="5372338E">
            <w:pPr>
              <w:widowControl w:val="0"/>
              <w:autoSpaceDE w:val="0"/>
              <w:autoSpaceDN w:val="0"/>
              <w:adjustRightInd w:val="0"/>
              <w:jc w:val="right"/>
              <w:rPr>
                <w:szCs w:val="26"/>
              </w:rPr>
            </w:pPr>
            <w:r>
              <w:t>$7,000</w:t>
            </w:r>
            <w:r w:rsidR="00FB6F3B">
              <w:t>.00</w:t>
            </w:r>
          </w:p>
        </w:tc>
        <w:tc>
          <w:tcPr>
            <w:tcW w:w="1878" w:type="dxa"/>
            <w:vAlign w:val="bottom"/>
          </w:tcPr>
          <w:p w:rsidR="008303F5" w:rsidP="00AB08A5" w14:paraId="520475CA" w14:textId="3FB27223">
            <w:pPr>
              <w:spacing w:line="259" w:lineRule="auto"/>
              <w:ind w:right="42"/>
              <w:jc w:val="right"/>
            </w:pPr>
            <w:r>
              <w:t>$</w:t>
            </w:r>
            <w:r w:rsidR="00FB6F3B">
              <w:t>100.00</w:t>
            </w:r>
          </w:p>
        </w:tc>
        <w:tc>
          <w:tcPr>
            <w:tcW w:w="1596" w:type="dxa"/>
          </w:tcPr>
          <w:p w:rsidR="008303F5" w:rsidP="00AB08A5" w14:paraId="547930A6" w14:textId="1C067D12">
            <w:pPr>
              <w:spacing w:line="259" w:lineRule="auto"/>
              <w:ind w:right="42"/>
              <w:jc w:val="right"/>
            </w:pPr>
            <w:r>
              <w:t xml:space="preserve"> </w:t>
            </w:r>
          </w:p>
        </w:tc>
      </w:tr>
    </w:tbl>
    <w:p w:rsidR="00914C88" w:rsidP="002906E5" w14:paraId="4A808746" w14:textId="77777777">
      <w:pPr>
        <w:autoSpaceDE w:val="0"/>
        <w:autoSpaceDN w:val="0"/>
        <w:adjustRightInd w:val="0"/>
        <w:spacing w:line="480" w:lineRule="auto"/>
        <w:rPr>
          <w:i/>
        </w:rPr>
      </w:pPr>
    </w:p>
    <w:p w:rsidR="00881405" w:rsidP="002906E5" w14:paraId="40735770" w14:textId="31B6BD14">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FF4CC0" w14:paraId="23EE29AC" w14:textId="77777777">
      <w:pPr>
        <w:spacing w:line="480" w:lineRule="auto"/>
      </w:pPr>
      <w:r>
        <w:t xml:space="preserve">collection of information on those who are to respond, including the use of automated collection techniques or other forms of information technology.  </w:t>
      </w:r>
    </w:p>
    <w:p w:rsidR="00853ABC" w14:paraId="212DCDEF" w14:textId="6E2732B7">
      <w:pPr>
        <w:spacing w:after="160" w:line="259" w:lineRule="auto"/>
      </w:pPr>
    </w:p>
    <w:p w:rsidR="006C405D" w14:paraId="06ABD43A" w14:textId="77777777">
      <w:pPr>
        <w:spacing w:after="160" w:line="259" w:lineRule="auto"/>
      </w:pPr>
    </w:p>
    <w:p w:rsidR="00FF4CC0" w14:paraId="70D18DEA" w14:textId="08E9F0F3">
      <w:pPr>
        <w:spacing w:after="160" w:line="259" w:lineRule="auto"/>
      </w:pPr>
    </w:p>
    <w:p w:rsidR="009A0345" w:rsidRPr="009A0345" w:rsidP="009A0345" w14:paraId="26004FB0" w14:textId="4AE7647D">
      <w:pPr>
        <w:ind w:firstLine="2606"/>
        <w:jc w:val="center"/>
      </w:pPr>
      <w:r w:rsidRPr="009A0345">
        <w:t>Debbie-Anne A. Reese,</w:t>
      </w:r>
    </w:p>
    <w:p w:rsidR="009A0345" w:rsidRPr="009A0345" w:rsidP="009A0345" w14:paraId="49CDDE5B" w14:textId="2A06F23E">
      <w:pPr>
        <w:ind w:firstLine="2606"/>
        <w:jc w:val="center"/>
      </w:pPr>
      <w:r w:rsidRPr="009A0345">
        <w:t>Acting Secretary.</w:t>
      </w:r>
    </w:p>
    <w:p w:rsidR="009A0345" w:rsidP="009A0345" w14:paraId="751893B4" w14:textId="77777777"/>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4FEF" w:rsidP="00B01B16" w14:paraId="5691E000" w14:textId="77777777">
      <w:r>
        <w:separator/>
      </w:r>
    </w:p>
  </w:footnote>
  <w:footnote w:type="continuationSeparator" w:id="1">
    <w:p w:rsidR="00CD4FEF" w:rsidP="00B01B16" w14:paraId="263DED82" w14:textId="77777777">
      <w:r>
        <w:continuationSeparator/>
      </w:r>
    </w:p>
  </w:footnote>
  <w:footnote w:type="continuationNotice" w:id="2">
    <w:p w:rsidR="00CD4FEF" w14:paraId="4E9DB20E" w14:textId="77777777"/>
  </w:footnote>
  <w:footnote w:id="3">
    <w:p w:rsidR="001153D0" w:rsidRPr="001153D0" w14:paraId="10B236AE" w14:textId="0EAAA66C">
      <w:pPr>
        <w:pStyle w:val="FootnoteText"/>
        <w:rPr>
          <w:sz w:val="26"/>
        </w:rPr>
      </w:pPr>
      <w:r w:rsidRPr="001153D0">
        <w:rPr>
          <w:rStyle w:val="FootnoteReference"/>
        </w:rPr>
        <w:footnoteRef/>
      </w:r>
      <w:r w:rsidRPr="001153D0">
        <w:rPr>
          <w:sz w:val="26"/>
        </w:rPr>
        <w:t xml:space="preserve"> 16 U.S.C. 818.</w:t>
      </w:r>
    </w:p>
  </w:footnote>
  <w:footnote w:id="4">
    <w:p w:rsidR="007B2218" w:rsidRPr="005C3E44" w14:paraId="2DFEF532" w14:textId="2CA1EFFD">
      <w:pPr>
        <w:pStyle w:val="FootnoteText"/>
        <w:rPr>
          <w:sz w:val="26"/>
        </w:rPr>
      </w:pPr>
      <w:r w:rsidRPr="005C3E44">
        <w:rPr>
          <w:rStyle w:val="FootnoteReference"/>
        </w:rPr>
        <w:footnoteRef/>
      </w:r>
      <w:r w:rsidRPr="005C3E44">
        <w:rPr>
          <w:sz w:val="26"/>
        </w:rPr>
        <w:t xml:space="preserve"> The form can be viewed at:  </w:t>
      </w:r>
      <w:hyperlink r:id="rId1" w:history="1">
        <w:r w:rsidRPr="005C3E44" w:rsidR="005C3E44">
          <w:rPr>
            <w:rStyle w:val="Hyperlink"/>
            <w:sz w:val="26"/>
          </w:rPr>
          <w:t>https://cms.ferc.gov/media/ferc-587</w:t>
        </w:r>
      </w:hyperlink>
      <w:r w:rsidRPr="005C3E44" w:rsidR="005C3E44">
        <w:rPr>
          <w:sz w:val="26"/>
        </w:rPr>
        <w:t>.</w:t>
      </w:r>
    </w:p>
    <w:p w:rsidR="005C3E44" w14:paraId="339780BE" w14:textId="77777777">
      <w:pPr>
        <w:pStyle w:val="FootnoteText"/>
      </w:pPr>
    </w:p>
  </w:footnote>
  <w:footnote w:id="5">
    <w:p w:rsidR="009907E2" w:rsidRPr="008E145A" w:rsidP="009907E2" w14:paraId="3DFB4460" w14:textId="1EA586FC">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5 </w:t>
      </w:r>
      <w:r w:rsidRPr="00866D16">
        <w:rPr>
          <w:rFonts w:eastAsia="Calibri"/>
          <w:sz w:val="26"/>
          <w:szCs w:val="26"/>
        </w:rPr>
        <w:t>CFR</w:t>
      </w:r>
      <w:r>
        <w:rPr>
          <w:rFonts w:eastAsia="Calibri"/>
          <w:sz w:val="26"/>
          <w:szCs w:val="26"/>
        </w:rPr>
        <w:t xml:space="preserve"> </w:t>
      </w:r>
      <w:r w:rsidRPr="00D84798">
        <w:rPr>
          <w:rFonts w:eastAsia="Calibri"/>
          <w:sz w:val="26"/>
          <w:szCs w:val="26"/>
        </w:rPr>
        <w:t>§</w:t>
      </w:r>
      <w:r w:rsidRPr="00866D16">
        <w:rPr>
          <w:rFonts w:eastAsia="Calibri"/>
          <w:sz w:val="26"/>
          <w:szCs w:val="26"/>
        </w:rPr>
        <w:t xml:space="preserve"> </w:t>
      </w:r>
      <w:r w:rsidRPr="008E145A">
        <w:rPr>
          <w:sz w:val="26"/>
          <w:szCs w:val="26"/>
        </w:rPr>
        <w:t>1320.3.</w:t>
      </w:r>
    </w:p>
  </w:footnote>
  <w:footnote w:id="6">
    <w:p w:rsidR="008303F5" w:rsidRPr="00065637" w:rsidP="009907E2" w14:paraId="63B40DB5" w14:textId="6CC02951">
      <w:pPr>
        <w:pStyle w:val="FootnoteText"/>
        <w:rPr>
          <w:sz w:val="26"/>
        </w:rPr>
      </w:pPr>
      <w:r w:rsidRPr="007C2808">
        <w:rPr>
          <w:rStyle w:val="FootnoteReference"/>
        </w:rPr>
        <w:footnoteRef/>
      </w:r>
      <w:r>
        <w:rPr>
          <w:sz w:val="26"/>
        </w:rPr>
        <w:t xml:space="preserve"> </w:t>
      </w:r>
      <w:r w:rsidRPr="00A1459B" w:rsidR="00A1459B">
        <w:rPr>
          <w:sz w:val="26"/>
        </w:rPr>
        <w:t>The Commission staff estimates that the average respondent for FERC-</w:t>
      </w:r>
      <w:r w:rsidR="004A7DA2">
        <w:rPr>
          <w:sz w:val="26"/>
        </w:rPr>
        <w:t>58</w:t>
      </w:r>
      <w:r w:rsidRPr="00A1459B" w:rsidR="00A1459B">
        <w:rPr>
          <w:sz w:val="26"/>
        </w:rPr>
        <w:t xml:space="preserve">7 is similarly situated to the Commission, in terms of salary plus benefits. </w:t>
      </w:r>
      <w:r w:rsidR="00BE2E05">
        <w:rPr>
          <w:sz w:val="26"/>
        </w:rPr>
        <w:t xml:space="preserve"> </w:t>
      </w:r>
      <w:r w:rsidRPr="00A1459B" w:rsidR="00A1459B">
        <w:rPr>
          <w:sz w:val="26"/>
        </w:rPr>
        <w:t>Based on FERC’s 2024 annual average of $</w:t>
      </w:r>
      <w:r w:rsidRPr="00A1459B" w:rsidR="00A1459B">
        <w:rPr>
          <w:bCs/>
          <w:sz w:val="26"/>
        </w:rPr>
        <w:t xml:space="preserve">207,786 (for salary plus benefits), the average hourly cost </w:t>
      </w:r>
      <w:r w:rsidR="00361DC1">
        <w:rPr>
          <w:bCs/>
          <w:sz w:val="26"/>
        </w:rPr>
        <w:t xml:space="preserve">per full time equivalent </w:t>
      </w:r>
      <w:r w:rsidR="00202A6E">
        <w:rPr>
          <w:bCs/>
          <w:sz w:val="26"/>
        </w:rPr>
        <w:t>i</w:t>
      </w:r>
      <w:r w:rsidRPr="00A1459B" w:rsidR="00A1459B">
        <w:rPr>
          <w:bCs/>
          <w:sz w:val="26"/>
        </w:rPr>
        <w:t>s $100/hour.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79A6AE4B">
        <w:pPr>
          <w:pStyle w:val="Header"/>
        </w:pPr>
        <w:r w:rsidRPr="00D954AE">
          <w:t>Docket No. IC</w:t>
        </w:r>
        <w:r w:rsidR="001E7B64">
          <w:t>24</w:t>
        </w:r>
        <w:r w:rsidR="006213DA">
          <w:t>-</w:t>
        </w:r>
        <w:r w:rsidR="001E7B64">
          <w:t>15</w:t>
        </w:r>
        <w:r w:rsidRPr="00D954AE">
          <w:t>-000</w:t>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C81407">
          <w:rPr>
            <w:noProof/>
          </w:rPr>
          <w:t>4</w:t>
        </w:r>
        <w:r>
          <w:rPr>
            <w:noProof/>
            <w:color w:val="2B579A"/>
            <w:shd w:val="clear" w:color="auto" w:fill="E6E6E6"/>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826870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289615">
    <w:abstractNumId w:val="4"/>
  </w:num>
  <w:num w:numId="3" w16cid:durableId="1999458098">
    <w:abstractNumId w:val="10"/>
  </w:num>
  <w:num w:numId="4" w16cid:durableId="1220245001">
    <w:abstractNumId w:val="7"/>
  </w:num>
  <w:num w:numId="5" w16cid:durableId="1296061172">
    <w:abstractNumId w:val="15"/>
  </w:num>
  <w:num w:numId="6" w16cid:durableId="700517710">
    <w:abstractNumId w:val="2"/>
  </w:num>
  <w:num w:numId="7" w16cid:durableId="743530515">
    <w:abstractNumId w:val="11"/>
  </w:num>
  <w:num w:numId="8" w16cid:durableId="130486807">
    <w:abstractNumId w:val="1"/>
  </w:num>
  <w:num w:numId="9" w16cid:durableId="387070222">
    <w:abstractNumId w:val="9"/>
  </w:num>
  <w:num w:numId="10" w16cid:durableId="699210254">
    <w:abstractNumId w:val="14"/>
  </w:num>
  <w:num w:numId="11" w16cid:durableId="168524488">
    <w:abstractNumId w:val="3"/>
  </w:num>
  <w:num w:numId="12" w16cid:durableId="1962495118">
    <w:abstractNumId w:val="12"/>
  </w:num>
  <w:num w:numId="13" w16cid:durableId="769161136">
    <w:abstractNumId w:val="0"/>
  </w:num>
  <w:num w:numId="14" w16cid:durableId="1564872408">
    <w:abstractNumId w:val="13"/>
  </w:num>
  <w:num w:numId="15" w16cid:durableId="1819686678">
    <w:abstractNumId w:val="8"/>
  </w:num>
  <w:num w:numId="16" w16cid:durableId="172911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2169"/>
    <w:rsid w:val="000578D5"/>
    <w:rsid w:val="00062427"/>
    <w:rsid w:val="00065637"/>
    <w:rsid w:val="0006681D"/>
    <w:rsid w:val="00072E34"/>
    <w:rsid w:val="00082413"/>
    <w:rsid w:val="00084E3D"/>
    <w:rsid w:val="000852F4"/>
    <w:rsid w:val="0008692A"/>
    <w:rsid w:val="00086BAE"/>
    <w:rsid w:val="00097607"/>
    <w:rsid w:val="000A0250"/>
    <w:rsid w:val="000A2903"/>
    <w:rsid w:val="000A3078"/>
    <w:rsid w:val="000A3C2F"/>
    <w:rsid w:val="000A6164"/>
    <w:rsid w:val="000A6F37"/>
    <w:rsid w:val="000A7E68"/>
    <w:rsid w:val="000B431B"/>
    <w:rsid w:val="000B5B66"/>
    <w:rsid w:val="000B5C78"/>
    <w:rsid w:val="000B62BA"/>
    <w:rsid w:val="000C5E3A"/>
    <w:rsid w:val="000D055F"/>
    <w:rsid w:val="000D2970"/>
    <w:rsid w:val="000D318C"/>
    <w:rsid w:val="000D6969"/>
    <w:rsid w:val="000E1256"/>
    <w:rsid w:val="000E2568"/>
    <w:rsid w:val="000E4C61"/>
    <w:rsid w:val="000F23F7"/>
    <w:rsid w:val="000F3BC3"/>
    <w:rsid w:val="000F57E4"/>
    <w:rsid w:val="000F606E"/>
    <w:rsid w:val="00112B6B"/>
    <w:rsid w:val="001153D0"/>
    <w:rsid w:val="00116326"/>
    <w:rsid w:val="00117A32"/>
    <w:rsid w:val="00125991"/>
    <w:rsid w:val="001309CE"/>
    <w:rsid w:val="0013255C"/>
    <w:rsid w:val="00135FC5"/>
    <w:rsid w:val="00137823"/>
    <w:rsid w:val="00150CBC"/>
    <w:rsid w:val="0015445B"/>
    <w:rsid w:val="00156BBB"/>
    <w:rsid w:val="001600DF"/>
    <w:rsid w:val="00161AE8"/>
    <w:rsid w:val="00164215"/>
    <w:rsid w:val="0017164F"/>
    <w:rsid w:val="00171725"/>
    <w:rsid w:val="00176042"/>
    <w:rsid w:val="0017684C"/>
    <w:rsid w:val="00177704"/>
    <w:rsid w:val="00181BF7"/>
    <w:rsid w:val="00182110"/>
    <w:rsid w:val="001841BB"/>
    <w:rsid w:val="00184A26"/>
    <w:rsid w:val="00184B43"/>
    <w:rsid w:val="0018602B"/>
    <w:rsid w:val="00187FF1"/>
    <w:rsid w:val="0019402A"/>
    <w:rsid w:val="001971AD"/>
    <w:rsid w:val="00197435"/>
    <w:rsid w:val="001974A9"/>
    <w:rsid w:val="001A1080"/>
    <w:rsid w:val="001A14E5"/>
    <w:rsid w:val="001A2DAA"/>
    <w:rsid w:val="001A4D96"/>
    <w:rsid w:val="001A6645"/>
    <w:rsid w:val="001A6AD6"/>
    <w:rsid w:val="001B0BD2"/>
    <w:rsid w:val="001B5398"/>
    <w:rsid w:val="001B619F"/>
    <w:rsid w:val="001B78B8"/>
    <w:rsid w:val="001C543C"/>
    <w:rsid w:val="001C7064"/>
    <w:rsid w:val="001D0BC7"/>
    <w:rsid w:val="001D578A"/>
    <w:rsid w:val="001D5F38"/>
    <w:rsid w:val="001E3237"/>
    <w:rsid w:val="001E58E6"/>
    <w:rsid w:val="001E6BA7"/>
    <w:rsid w:val="001E7B64"/>
    <w:rsid w:val="001F00EE"/>
    <w:rsid w:val="001F1CDF"/>
    <w:rsid w:val="001F5A3B"/>
    <w:rsid w:val="0020200A"/>
    <w:rsid w:val="00202A6E"/>
    <w:rsid w:val="00202E41"/>
    <w:rsid w:val="0020446B"/>
    <w:rsid w:val="00206037"/>
    <w:rsid w:val="00207AE7"/>
    <w:rsid w:val="00211105"/>
    <w:rsid w:val="002131D0"/>
    <w:rsid w:val="00213696"/>
    <w:rsid w:val="00223204"/>
    <w:rsid w:val="00224BF8"/>
    <w:rsid w:val="00224DD2"/>
    <w:rsid w:val="00237AB9"/>
    <w:rsid w:val="0024271E"/>
    <w:rsid w:val="0024309C"/>
    <w:rsid w:val="0024309D"/>
    <w:rsid w:val="0024646F"/>
    <w:rsid w:val="00253F98"/>
    <w:rsid w:val="00257CC2"/>
    <w:rsid w:val="00262096"/>
    <w:rsid w:val="00265B23"/>
    <w:rsid w:val="00266431"/>
    <w:rsid w:val="002673C4"/>
    <w:rsid w:val="00270ED7"/>
    <w:rsid w:val="002721E8"/>
    <w:rsid w:val="00272AAF"/>
    <w:rsid w:val="00274ABD"/>
    <w:rsid w:val="002906E5"/>
    <w:rsid w:val="00292A4C"/>
    <w:rsid w:val="00297211"/>
    <w:rsid w:val="002A5D1D"/>
    <w:rsid w:val="002B5874"/>
    <w:rsid w:val="002C2C8B"/>
    <w:rsid w:val="002C3223"/>
    <w:rsid w:val="002C3579"/>
    <w:rsid w:val="002C5E0E"/>
    <w:rsid w:val="002D17E5"/>
    <w:rsid w:val="002D57E8"/>
    <w:rsid w:val="002E06A0"/>
    <w:rsid w:val="002E1C29"/>
    <w:rsid w:val="002E68D4"/>
    <w:rsid w:val="002E6DAA"/>
    <w:rsid w:val="002E747A"/>
    <w:rsid w:val="002E7818"/>
    <w:rsid w:val="002F1BDD"/>
    <w:rsid w:val="002F4401"/>
    <w:rsid w:val="002F708A"/>
    <w:rsid w:val="00301E3D"/>
    <w:rsid w:val="0030319C"/>
    <w:rsid w:val="00303516"/>
    <w:rsid w:val="00306318"/>
    <w:rsid w:val="00311D90"/>
    <w:rsid w:val="00314219"/>
    <w:rsid w:val="003149BC"/>
    <w:rsid w:val="00320566"/>
    <w:rsid w:val="0033092C"/>
    <w:rsid w:val="0033340D"/>
    <w:rsid w:val="00336AD9"/>
    <w:rsid w:val="00340D3C"/>
    <w:rsid w:val="0034294E"/>
    <w:rsid w:val="00353270"/>
    <w:rsid w:val="00361DC1"/>
    <w:rsid w:val="00365468"/>
    <w:rsid w:val="003658A2"/>
    <w:rsid w:val="003673EC"/>
    <w:rsid w:val="00373A2E"/>
    <w:rsid w:val="003758CE"/>
    <w:rsid w:val="00376525"/>
    <w:rsid w:val="00397ABE"/>
    <w:rsid w:val="003A2C3F"/>
    <w:rsid w:val="003A32E7"/>
    <w:rsid w:val="003B435C"/>
    <w:rsid w:val="003B5B0B"/>
    <w:rsid w:val="003C08DE"/>
    <w:rsid w:val="003C3E7A"/>
    <w:rsid w:val="003C546A"/>
    <w:rsid w:val="003D0BB4"/>
    <w:rsid w:val="003D28D2"/>
    <w:rsid w:val="003D361D"/>
    <w:rsid w:val="003D5AEC"/>
    <w:rsid w:val="003E1657"/>
    <w:rsid w:val="003E1B25"/>
    <w:rsid w:val="003E1B5A"/>
    <w:rsid w:val="003E2034"/>
    <w:rsid w:val="003E40B2"/>
    <w:rsid w:val="003E44AD"/>
    <w:rsid w:val="003F0FE7"/>
    <w:rsid w:val="003F2E32"/>
    <w:rsid w:val="003F2EC7"/>
    <w:rsid w:val="003F50FD"/>
    <w:rsid w:val="003F570B"/>
    <w:rsid w:val="003F6466"/>
    <w:rsid w:val="003F7A51"/>
    <w:rsid w:val="00403F48"/>
    <w:rsid w:val="00404144"/>
    <w:rsid w:val="00407BCE"/>
    <w:rsid w:val="00410A8B"/>
    <w:rsid w:val="00411B62"/>
    <w:rsid w:val="00413AA8"/>
    <w:rsid w:val="00413FDE"/>
    <w:rsid w:val="004177CD"/>
    <w:rsid w:val="0042688C"/>
    <w:rsid w:val="0042765E"/>
    <w:rsid w:val="00427AE5"/>
    <w:rsid w:val="00433F15"/>
    <w:rsid w:val="004417C4"/>
    <w:rsid w:val="00441F16"/>
    <w:rsid w:val="00443282"/>
    <w:rsid w:val="00447C9E"/>
    <w:rsid w:val="004509A3"/>
    <w:rsid w:val="00450D64"/>
    <w:rsid w:val="004562F1"/>
    <w:rsid w:val="00456DDE"/>
    <w:rsid w:val="004628F2"/>
    <w:rsid w:val="004647F0"/>
    <w:rsid w:val="00465456"/>
    <w:rsid w:val="00471921"/>
    <w:rsid w:val="00480D2D"/>
    <w:rsid w:val="00491543"/>
    <w:rsid w:val="00492E7E"/>
    <w:rsid w:val="00496F03"/>
    <w:rsid w:val="00497A62"/>
    <w:rsid w:val="004A2FEC"/>
    <w:rsid w:val="004A661D"/>
    <w:rsid w:val="004A6FC8"/>
    <w:rsid w:val="004A7DA2"/>
    <w:rsid w:val="004B7463"/>
    <w:rsid w:val="004C0BC3"/>
    <w:rsid w:val="004C70C8"/>
    <w:rsid w:val="004D7E8A"/>
    <w:rsid w:val="004E44F8"/>
    <w:rsid w:val="004E683E"/>
    <w:rsid w:val="004F0691"/>
    <w:rsid w:val="004F56E3"/>
    <w:rsid w:val="004F7B5D"/>
    <w:rsid w:val="00506F3A"/>
    <w:rsid w:val="0051153E"/>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2191"/>
    <w:rsid w:val="00584A11"/>
    <w:rsid w:val="00587D1F"/>
    <w:rsid w:val="00592484"/>
    <w:rsid w:val="0059421A"/>
    <w:rsid w:val="005953A1"/>
    <w:rsid w:val="00596526"/>
    <w:rsid w:val="00597970"/>
    <w:rsid w:val="005A0794"/>
    <w:rsid w:val="005A0B82"/>
    <w:rsid w:val="005A0D62"/>
    <w:rsid w:val="005A1E8A"/>
    <w:rsid w:val="005A2F24"/>
    <w:rsid w:val="005A5AB9"/>
    <w:rsid w:val="005A6119"/>
    <w:rsid w:val="005B0254"/>
    <w:rsid w:val="005B46F0"/>
    <w:rsid w:val="005B4DA4"/>
    <w:rsid w:val="005B7231"/>
    <w:rsid w:val="005C09F1"/>
    <w:rsid w:val="005C12CF"/>
    <w:rsid w:val="005C180F"/>
    <w:rsid w:val="005C3E44"/>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1233"/>
    <w:rsid w:val="006213DA"/>
    <w:rsid w:val="0062572C"/>
    <w:rsid w:val="00630E07"/>
    <w:rsid w:val="00632079"/>
    <w:rsid w:val="0063784F"/>
    <w:rsid w:val="00637F43"/>
    <w:rsid w:val="00641F0D"/>
    <w:rsid w:val="00643772"/>
    <w:rsid w:val="00644A1B"/>
    <w:rsid w:val="00650E6C"/>
    <w:rsid w:val="00651CE5"/>
    <w:rsid w:val="006536D8"/>
    <w:rsid w:val="00654399"/>
    <w:rsid w:val="00654BA4"/>
    <w:rsid w:val="0066195A"/>
    <w:rsid w:val="0066281B"/>
    <w:rsid w:val="00663FBE"/>
    <w:rsid w:val="00664931"/>
    <w:rsid w:val="00666843"/>
    <w:rsid w:val="006670C8"/>
    <w:rsid w:val="00672790"/>
    <w:rsid w:val="00683CDC"/>
    <w:rsid w:val="006841A7"/>
    <w:rsid w:val="00687348"/>
    <w:rsid w:val="00690766"/>
    <w:rsid w:val="00691D3A"/>
    <w:rsid w:val="00693721"/>
    <w:rsid w:val="00694C22"/>
    <w:rsid w:val="006963BC"/>
    <w:rsid w:val="006970F4"/>
    <w:rsid w:val="006A2E15"/>
    <w:rsid w:val="006A4398"/>
    <w:rsid w:val="006B3479"/>
    <w:rsid w:val="006B3A1E"/>
    <w:rsid w:val="006C405D"/>
    <w:rsid w:val="006C73D0"/>
    <w:rsid w:val="006D5669"/>
    <w:rsid w:val="006E7CBB"/>
    <w:rsid w:val="006E7EBE"/>
    <w:rsid w:val="006F6A1D"/>
    <w:rsid w:val="006F7028"/>
    <w:rsid w:val="006F749E"/>
    <w:rsid w:val="007024F1"/>
    <w:rsid w:val="00707D60"/>
    <w:rsid w:val="00713417"/>
    <w:rsid w:val="007142E3"/>
    <w:rsid w:val="00714EDD"/>
    <w:rsid w:val="0071596F"/>
    <w:rsid w:val="00723505"/>
    <w:rsid w:val="00725435"/>
    <w:rsid w:val="007263B9"/>
    <w:rsid w:val="007352F2"/>
    <w:rsid w:val="00741225"/>
    <w:rsid w:val="007432C3"/>
    <w:rsid w:val="0075009F"/>
    <w:rsid w:val="00752A48"/>
    <w:rsid w:val="00757503"/>
    <w:rsid w:val="00757707"/>
    <w:rsid w:val="00761148"/>
    <w:rsid w:val="007633DD"/>
    <w:rsid w:val="00767E28"/>
    <w:rsid w:val="007755E3"/>
    <w:rsid w:val="00775977"/>
    <w:rsid w:val="00781E6A"/>
    <w:rsid w:val="007922B7"/>
    <w:rsid w:val="007A5C0A"/>
    <w:rsid w:val="007B1F57"/>
    <w:rsid w:val="007B2218"/>
    <w:rsid w:val="007B370F"/>
    <w:rsid w:val="007B4938"/>
    <w:rsid w:val="007B71AB"/>
    <w:rsid w:val="007D02D8"/>
    <w:rsid w:val="007E3706"/>
    <w:rsid w:val="007F4CD3"/>
    <w:rsid w:val="007F61C2"/>
    <w:rsid w:val="007F7B74"/>
    <w:rsid w:val="00800590"/>
    <w:rsid w:val="00800B83"/>
    <w:rsid w:val="00801456"/>
    <w:rsid w:val="008018DB"/>
    <w:rsid w:val="00802851"/>
    <w:rsid w:val="008037D8"/>
    <w:rsid w:val="00803CA2"/>
    <w:rsid w:val="00807CAC"/>
    <w:rsid w:val="008115BF"/>
    <w:rsid w:val="008143B0"/>
    <w:rsid w:val="00816942"/>
    <w:rsid w:val="008212DA"/>
    <w:rsid w:val="00822429"/>
    <w:rsid w:val="00823681"/>
    <w:rsid w:val="00824D81"/>
    <w:rsid w:val="0082638F"/>
    <w:rsid w:val="008303F5"/>
    <w:rsid w:val="00835322"/>
    <w:rsid w:val="008376AE"/>
    <w:rsid w:val="008416FD"/>
    <w:rsid w:val="00845FCF"/>
    <w:rsid w:val="008507FE"/>
    <w:rsid w:val="00851F24"/>
    <w:rsid w:val="00853ABC"/>
    <w:rsid w:val="00863E08"/>
    <w:rsid w:val="00866D16"/>
    <w:rsid w:val="00871D53"/>
    <w:rsid w:val="00871DCE"/>
    <w:rsid w:val="008755D6"/>
    <w:rsid w:val="00880340"/>
    <w:rsid w:val="00881405"/>
    <w:rsid w:val="00882BFE"/>
    <w:rsid w:val="00883F45"/>
    <w:rsid w:val="00886E29"/>
    <w:rsid w:val="0089069F"/>
    <w:rsid w:val="0089298D"/>
    <w:rsid w:val="00893C9F"/>
    <w:rsid w:val="0089501F"/>
    <w:rsid w:val="00895B40"/>
    <w:rsid w:val="00895DA2"/>
    <w:rsid w:val="00897359"/>
    <w:rsid w:val="008A050A"/>
    <w:rsid w:val="008A1C9C"/>
    <w:rsid w:val="008A55FC"/>
    <w:rsid w:val="008A7371"/>
    <w:rsid w:val="008B7EC5"/>
    <w:rsid w:val="008D25B7"/>
    <w:rsid w:val="008D5479"/>
    <w:rsid w:val="008D6B4D"/>
    <w:rsid w:val="008E0DC0"/>
    <w:rsid w:val="008E0DF5"/>
    <w:rsid w:val="008E145A"/>
    <w:rsid w:val="008E3273"/>
    <w:rsid w:val="008F0C45"/>
    <w:rsid w:val="009047A1"/>
    <w:rsid w:val="00904B00"/>
    <w:rsid w:val="009112D0"/>
    <w:rsid w:val="00914C88"/>
    <w:rsid w:val="00920472"/>
    <w:rsid w:val="00932BDB"/>
    <w:rsid w:val="009330C3"/>
    <w:rsid w:val="00940C0F"/>
    <w:rsid w:val="00944E3A"/>
    <w:rsid w:val="00951DA7"/>
    <w:rsid w:val="00951DC3"/>
    <w:rsid w:val="0095548F"/>
    <w:rsid w:val="009562A5"/>
    <w:rsid w:val="00957820"/>
    <w:rsid w:val="009744C8"/>
    <w:rsid w:val="00974530"/>
    <w:rsid w:val="00974659"/>
    <w:rsid w:val="00976F19"/>
    <w:rsid w:val="00980E58"/>
    <w:rsid w:val="009815BD"/>
    <w:rsid w:val="00981886"/>
    <w:rsid w:val="00990102"/>
    <w:rsid w:val="009907E2"/>
    <w:rsid w:val="00990FEC"/>
    <w:rsid w:val="00992257"/>
    <w:rsid w:val="009928CD"/>
    <w:rsid w:val="009949AA"/>
    <w:rsid w:val="00995921"/>
    <w:rsid w:val="009A0345"/>
    <w:rsid w:val="009A1B08"/>
    <w:rsid w:val="009A61A3"/>
    <w:rsid w:val="009B0524"/>
    <w:rsid w:val="009B166F"/>
    <w:rsid w:val="009B3667"/>
    <w:rsid w:val="009C3CB9"/>
    <w:rsid w:val="009C4A13"/>
    <w:rsid w:val="009C745D"/>
    <w:rsid w:val="009D2BE4"/>
    <w:rsid w:val="009D50C1"/>
    <w:rsid w:val="009E2D84"/>
    <w:rsid w:val="009F279E"/>
    <w:rsid w:val="009F7DE3"/>
    <w:rsid w:val="00A00123"/>
    <w:rsid w:val="00A04C8E"/>
    <w:rsid w:val="00A07154"/>
    <w:rsid w:val="00A11868"/>
    <w:rsid w:val="00A127D3"/>
    <w:rsid w:val="00A1386C"/>
    <w:rsid w:val="00A14335"/>
    <w:rsid w:val="00A1459B"/>
    <w:rsid w:val="00A14B43"/>
    <w:rsid w:val="00A166E7"/>
    <w:rsid w:val="00A178B0"/>
    <w:rsid w:val="00A20B61"/>
    <w:rsid w:val="00A22718"/>
    <w:rsid w:val="00A23612"/>
    <w:rsid w:val="00A2604E"/>
    <w:rsid w:val="00A26D4A"/>
    <w:rsid w:val="00A27C67"/>
    <w:rsid w:val="00A32860"/>
    <w:rsid w:val="00A334E0"/>
    <w:rsid w:val="00A417A2"/>
    <w:rsid w:val="00A51F05"/>
    <w:rsid w:val="00A52189"/>
    <w:rsid w:val="00A57463"/>
    <w:rsid w:val="00A664DF"/>
    <w:rsid w:val="00A71219"/>
    <w:rsid w:val="00A713D0"/>
    <w:rsid w:val="00A722D4"/>
    <w:rsid w:val="00A75AAA"/>
    <w:rsid w:val="00A82A29"/>
    <w:rsid w:val="00A86B6F"/>
    <w:rsid w:val="00A959E1"/>
    <w:rsid w:val="00AA516A"/>
    <w:rsid w:val="00AA5B0E"/>
    <w:rsid w:val="00AA64AF"/>
    <w:rsid w:val="00AA6A4A"/>
    <w:rsid w:val="00AB08A5"/>
    <w:rsid w:val="00AB4DBF"/>
    <w:rsid w:val="00AB5DBE"/>
    <w:rsid w:val="00AC0504"/>
    <w:rsid w:val="00AC1DB7"/>
    <w:rsid w:val="00AC381D"/>
    <w:rsid w:val="00AC3A7C"/>
    <w:rsid w:val="00AC62A6"/>
    <w:rsid w:val="00AC664F"/>
    <w:rsid w:val="00AC750B"/>
    <w:rsid w:val="00AD1E15"/>
    <w:rsid w:val="00AD4E71"/>
    <w:rsid w:val="00AD6937"/>
    <w:rsid w:val="00AE1F12"/>
    <w:rsid w:val="00AE24CC"/>
    <w:rsid w:val="00AE2B18"/>
    <w:rsid w:val="00AE4155"/>
    <w:rsid w:val="00AE4B7C"/>
    <w:rsid w:val="00AE66F6"/>
    <w:rsid w:val="00AF17CE"/>
    <w:rsid w:val="00AF336D"/>
    <w:rsid w:val="00AF349B"/>
    <w:rsid w:val="00AF3BE1"/>
    <w:rsid w:val="00AF60E7"/>
    <w:rsid w:val="00AF65F0"/>
    <w:rsid w:val="00B009E9"/>
    <w:rsid w:val="00B01711"/>
    <w:rsid w:val="00B01B16"/>
    <w:rsid w:val="00B04635"/>
    <w:rsid w:val="00B062D0"/>
    <w:rsid w:val="00B11D16"/>
    <w:rsid w:val="00B17A95"/>
    <w:rsid w:val="00B20043"/>
    <w:rsid w:val="00B20A44"/>
    <w:rsid w:val="00B24588"/>
    <w:rsid w:val="00B274AE"/>
    <w:rsid w:val="00B30F2D"/>
    <w:rsid w:val="00B34928"/>
    <w:rsid w:val="00B35B74"/>
    <w:rsid w:val="00B403F1"/>
    <w:rsid w:val="00B40AB8"/>
    <w:rsid w:val="00B4163B"/>
    <w:rsid w:val="00B447D7"/>
    <w:rsid w:val="00B51621"/>
    <w:rsid w:val="00B556C9"/>
    <w:rsid w:val="00B57033"/>
    <w:rsid w:val="00B60113"/>
    <w:rsid w:val="00B6081E"/>
    <w:rsid w:val="00B61016"/>
    <w:rsid w:val="00B624EB"/>
    <w:rsid w:val="00B65D21"/>
    <w:rsid w:val="00B71BAA"/>
    <w:rsid w:val="00B76A1F"/>
    <w:rsid w:val="00B806DD"/>
    <w:rsid w:val="00B82F8C"/>
    <w:rsid w:val="00B8460F"/>
    <w:rsid w:val="00B84D34"/>
    <w:rsid w:val="00B92E51"/>
    <w:rsid w:val="00B95303"/>
    <w:rsid w:val="00B95477"/>
    <w:rsid w:val="00B96886"/>
    <w:rsid w:val="00B978A7"/>
    <w:rsid w:val="00BA1D81"/>
    <w:rsid w:val="00BA258F"/>
    <w:rsid w:val="00BA7130"/>
    <w:rsid w:val="00BA7ED2"/>
    <w:rsid w:val="00BB436B"/>
    <w:rsid w:val="00BB5EF5"/>
    <w:rsid w:val="00BC58DF"/>
    <w:rsid w:val="00BC6431"/>
    <w:rsid w:val="00BD205B"/>
    <w:rsid w:val="00BD74AE"/>
    <w:rsid w:val="00BE16BC"/>
    <w:rsid w:val="00BE2E05"/>
    <w:rsid w:val="00BE35F6"/>
    <w:rsid w:val="00BE3971"/>
    <w:rsid w:val="00BE3FE7"/>
    <w:rsid w:val="00BE6EDF"/>
    <w:rsid w:val="00BE7A95"/>
    <w:rsid w:val="00BF246C"/>
    <w:rsid w:val="00BF2922"/>
    <w:rsid w:val="00BF2D74"/>
    <w:rsid w:val="00BF4CC8"/>
    <w:rsid w:val="00BF51ED"/>
    <w:rsid w:val="00BF75B6"/>
    <w:rsid w:val="00C02547"/>
    <w:rsid w:val="00C025C8"/>
    <w:rsid w:val="00C034F9"/>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419"/>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87CCA"/>
    <w:rsid w:val="00C91512"/>
    <w:rsid w:val="00C93B03"/>
    <w:rsid w:val="00C94A53"/>
    <w:rsid w:val="00C94AD8"/>
    <w:rsid w:val="00CA09F9"/>
    <w:rsid w:val="00CA0DEC"/>
    <w:rsid w:val="00CA2DE2"/>
    <w:rsid w:val="00CA3A85"/>
    <w:rsid w:val="00CA6636"/>
    <w:rsid w:val="00CA6D76"/>
    <w:rsid w:val="00CA7FBE"/>
    <w:rsid w:val="00CB2C21"/>
    <w:rsid w:val="00CB51CC"/>
    <w:rsid w:val="00CB7491"/>
    <w:rsid w:val="00CC0389"/>
    <w:rsid w:val="00CC1A72"/>
    <w:rsid w:val="00CC3633"/>
    <w:rsid w:val="00CC5692"/>
    <w:rsid w:val="00CC65F3"/>
    <w:rsid w:val="00CC698E"/>
    <w:rsid w:val="00CD0783"/>
    <w:rsid w:val="00CD09E8"/>
    <w:rsid w:val="00CD126B"/>
    <w:rsid w:val="00CD4FEF"/>
    <w:rsid w:val="00CD56E5"/>
    <w:rsid w:val="00CD6896"/>
    <w:rsid w:val="00CE0C1B"/>
    <w:rsid w:val="00CE64F2"/>
    <w:rsid w:val="00CF0C67"/>
    <w:rsid w:val="00CF0F40"/>
    <w:rsid w:val="00CF3AED"/>
    <w:rsid w:val="00CF4753"/>
    <w:rsid w:val="00D0083B"/>
    <w:rsid w:val="00D04DF4"/>
    <w:rsid w:val="00D07391"/>
    <w:rsid w:val="00D15403"/>
    <w:rsid w:val="00D172D8"/>
    <w:rsid w:val="00D26488"/>
    <w:rsid w:val="00D3231A"/>
    <w:rsid w:val="00D35B2D"/>
    <w:rsid w:val="00D36385"/>
    <w:rsid w:val="00D44183"/>
    <w:rsid w:val="00D4490B"/>
    <w:rsid w:val="00D44A55"/>
    <w:rsid w:val="00D46678"/>
    <w:rsid w:val="00D47931"/>
    <w:rsid w:val="00D47B74"/>
    <w:rsid w:val="00D47F3F"/>
    <w:rsid w:val="00D5276C"/>
    <w:rsid w:val="00D61B79"/>
    <w:rsid w:val="00D62C84"/>
    <w:rsid w:val="00D6384D"/>
    <w:rsid w:val="00D653F3"/>
    <w:rsid w:val="00D65EC2"/>
    <w:rsid w:val="00D66B24"/>
    <w:rsid w:val="00D67237"/>
    <w:rsid w:val="00D67307"/>
    <w:rsid w:val="00D75AC7"/>
    <w:rsid w:val="00D808E3"/>
    <w:rsid w:val="00D84798"/>
    <w:rsid w:val="00D85E13"/>
    <w:rsid w:val="00D86288"/>
    <w:rsid w:val="00D872BC"/>
    <w:rsid w:val="00D954AE"/>
    <w:rsid w:val="00D96929"/>
    <w:rsid w:val="00DA1B6F"/>
    <w:rsid w:val="00DA529F"/>
    <w:rsid w:val="00DA59A2"/>
    <w:rsid w:val="00DB3541"/>
    <w:rsid w:val="00DB47DF"/>
    <w:rsid w:val="00DB5AAE"/>
    <w:rsid w:val="00DB62D5"/>
    <w:rsid w:val="00DB636B"/>
    <w:rsid w:val="00DB6882"/>
    <w:rsid w:val="00DC4AAB"/>
    <w:rsid w:val="00DC4B63"/>
    <w:rsid w:val="00DC5017"/>
    <w:rsid w:val="00DC5129"/>
    <w:rsid w:val="00DD01A0"/>
    <w:rsid w:val="00DD7F1B"/>
    <w:rsid w:val="00DE1A87"/>
    <w:rsid w:val="00DE1CC9"/>
    <w:rsid w:val="00DE451F"/>
    <w:rsid w:val="00DE61E1"/>
    <w:rsid w:val="00E03D2D"/>
    <w:rsid w:val="00E04568"/>
    <w:rsid w:val="00E12A7A"/>
    <w:rsid w:val="00E21B31"/>
    <w:rsid w:val="00E27FD6"/>
    <w:rsid w:val="00E36A0F"/>
    <w:rsid w:val="00E36F8A"/>
    <w:rsid w:val="00E400C7"/>
    <w:rsid w:val="00E40322"/>
    <w:rsid w:val="00E40CB4"/>
    <w:rsid w:val="00E41DB9"/>
    <w:rsid w:val="00E4627E"/>
    <w:rsid w:val="00E47C92"/>
    <w:rsid w:val="00E56612"/>
    <w:rsid w:val="00E67CB0"/>
    <w:rsid w:val="00E71CC0"/>
    <w:rsid w:val="00E731AE"/>
    <w:rsid w:val="00E73797"/>
    <w:rsid w:val="00E74310"/>
    <w:rsid w:val="00E762BB"/>
    <w:rsid w:val="00E865C8"/>
    <w:rsid w:val="00E8661B"/>
    <w:rsid w:val="00E9084E"/>
    <w:rsid w:val="00E9567A"/>
    <w:rsid w:val="00E962E6"/>
    <w:rsid w:val="00E97D7C"/>
    <w:rsid w:val="00EA1793"/>
    <w:rsid w:val="00EA689F"/>
    <w:rsid w:val="00EB5157"/>
    <w:rsid w:val="00EC1434"/>
    <w:rsid w:val="00EC1573"/>
    <w:rsid w:val="00EC72B0"/>
    <w:rsid w:val="00EC77B3"/>
    <w:rsid w:val="00ED0142"/>
    <w:rsid w:val="00ED74AF"/>
    <w:rsid w:val="00EE18F2"/>
    <w:rsid w:val="00EE33B9"/>
    <w:rsid w:val="00EE365D"/>
    <w:rsid w:val="00EE6B29"/>
    <w:rsid w:val="00EF33BE"/>
    <w:rsid w:val="00EF4F97"/>
    <w:rsid w:val="00F05673"/>
    <w:rsid w:val="00F05B5B"/>
    <w:rsid w:val="00F061C4"/>
    <w:rsid w:val="00F126FC"/>
    <w:rsid w:val="00F12983"/>
    <w:rsid w:val="00F15359"/>
    <w:rsid w:val="00F175C4"/>
    <w:rsid w:val="00F23714"/>
    <w:rsid w:val="00F245A2"/>
    <w:rsid w:val="00F309CB"/>
    <w:rsid w:val="00F33EED"/>
    <w:rsid w:val="00F33EEE"/>
    <w:rsid w:val="00F3751C"/>
    <w:rsid w:val="00F37677"/>
    <w:rsid w:val="00F37B05"/>
    <w:rsid w:val="00F42A51"/>
    <w:rsid w:val="00F44A0E"/>
    <w:rsid w:val="00F4763C"/>
    <w:rsid w:val="00F51559"/>
    <w:rsid w:val="00F540BA"/>
    <w:rsid w:val="00F570C8"/>
    <w:rsid w:val="00F570F0"/>
    <w:rsid w:val="00F60E60"/>
    <w:rsid w:val="00F64069"/>
    <w:rsid w:val="00F64D6D"/>
    <w:rsid w:val="00F654D4"/>
    <w:rsid w:val="00F66182"/>
    <w:rsid w:val="00F71399"/>
    <w:rsid w:val="00F82EE1"/>
    <w:rsid w:val="00F90A66"/>
    <w:rsid w:val="00F93134"/>
    <w:rsid w:val="00FA1DB4"/>
    <w:rsid w:val="00FA3E17"/>
    <w:rsid w:val="00FB078F"/>
    <w:rsid w:val="00FB0E5A"/>
    <w:rsid w:val="00FB3586"/>
    <w:rsid w:val="00FB6F3B"/>
    <w:rsid w:val="00FB7A96"/>
    <w:rsid w:val="00FC128B"/>
    <w:rsid w:val="00FC39BA"/>
    <w:rsid w:val="00FC3F00"/>
    <w:rsid w:val="00FC750D"/>
    <w:rsid w:val="00FD0EA3"/>
    <w:rsid w:val="00FE34E4"/>
    <w:rsid w:val="00FF1D71"/>
    <w:rsid w:val="00FF4CC0"/>
    <w:rsid w:val="00FF5141"/>
    <w:rsid w:val="00FF74B3"/>
    <w:rsid w:val="128FFB1D"/>
    <w:rsid w:val="2B7BEA93"/>
    <w:rsid w:val="2C5D4E46"/>
    <w:rsid w:val="35D2C7CD"/>
    <w:rsid w:val="3D33D731"/>
    <w:rsid w:val="4B4230D7"/>
    <w:rsid w:val="5F4054FE"/>
    <w:rsid w:val="63988364"/>
    <w:rsid w:val="655BEAE6"/>
    <w:rsid w:val="6E7C09D0"/>
    <w:rsid w:val="793EF6C8"/>
    <w:rsid w:val="7F2CD9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4B8ED87-9E93-4B9C-9898-66CDFCAB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2BE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cms.ferc.gov/media/ferc-5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2.xml><?xml version="1.0" encoding="utf-8"?>
<ds:datastoreItem xmlns:ds="http://schemas.openxmlformats.org/officeDocument/2006/customXml" ds:itemID="{A09F320C-BFC6-4A07-8076-53D29CCD062C}">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38CDA53-4A78-4386-8CA4-7362E2221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30-day Notice for FERC-516H</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Jean Sonneman</cp:lastModifiedBy>
  <cp:revision>2</cp:revision>
  <cp:lastPrinted>2016-12-20T16:40:00Z</cp:lastPrinted>
  <dcterms:created xsi:type="dcterms:W3CDTF">2024-07-02T12:48:00Z</dcterms:created>
  <dcterms:modified xsi:type="dcterms:W3CDTF">2024-07-02T12:48:00Z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6155a89b-0f08-4a93-8ea2-8a916d6643b5_ActionId">
    <vt:lpwstr>de7ffd14-08b9-47bb-beda-7e44057d4949</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2023-12-20T16:27:35Z</vt:lpwstr>
  </property>
  <property fmtid="{D5CDD505-2E9C-101B-9397-08002B2CF9AE}" pid="10" name="MSIP_Label_6155a89b-0f08-4a93-8ea2-8a916d6643b5_SiteId">
    <vt:lpwstr>19caa9e9-04ff-43fa-885f-d77fac387903</vt:lpwstr>
  </property>
</Properties>
</file>