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HAnsi"/>
          <w:noProof/>
        </w:rPr>
        <w:id w:val="37707067"/>
        <w:docPartObj>
          <w:docPartGallery w:val="Cover Pages"/>
        </w:docPartObj>
      </w:sdtPr>
      <w:sdtEndPr>
        <w:rPr>
          <w:noProof w:val="0"/>
        </w:rPr>
      </w:sdtEndPr>
      <w:sdtContent>
        <w:p w:rsidR="00041909" w:rsidRPr="00515828" w:rsidP="00A030F0" w14:paraId="62D6180A" w14:textId="77777777">
          <w:pPr>
            <w:spacing w:line="276" w:lineRule="auto"/>
            <w:rPr>
              <w:rFonts w:asciiTheme="majorHAnsi" w:hAnsiTheme="majorHAnsi" w:cstheme="majorHAnsi"/>
            </w:rPr>
          </w:pPr>
          <w:r w:rsidRPr="00515828">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48000" fillcolor="#0c95d3" stroked="f" strokecolor="#f2f2f2" strokeweight="3pt">
                    <v:shadow color="#50191f" opacity="0.5" offset="1pt"/>
                    <w10:wrap type="through"/>
                  </v:rect>
                </w:pict>
              </mc:Fallback>
            </mc:AlternateContent>
          </w:r>
          <w:r w:rsidRPr="00515828" w:rsidR="001F3A8F">
            <w:rPr>
              <w:rFonts w:asciiTheme="majorHAnsi" w:hAnsiTheme="majorHAnsi" w:cstheme="majorHAnsi"/>
              <w:noProof/>
            </w:rPr>
            <w:softHyphen/>
          </w:r>
          <w:r w:rsidRPr="00515828" w:rsidR="001F3A8F">
            <w:rPr>
              <w:rFonts w:asciiTheme="majorHAnsi" w:hAnsiTheme="majorHAnsi" w:cstheme="majorHAnsi"/>
              <w:noProof/>
            </w:rPr>
            <w:softHyphen/>
          </w:r>
        </w:p>
      </w:sdtContent>
    </w:sdt>
    <w:p w:rsidR="00D928FD" w:rsidRPr="00515828" w:rsidP="00A030F0" w14:paraId="4A65137F" w14:textId="77777777">
      <w:pPr>
        <w:spacing w:line="276" w:lineRule="auto"/>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515828" w:rsidP="00A030F0" w14:paraId="22A9BD24" w14:textId="77777777">
          <w:pPr>
            <w:spacing w:line="276" w:lineRule="auto"/>
            <w:ind w:left="90"/>
            <w:rPr>
              <w:rFonts w:asciiTheme="majorHAnsi" w:hAnsiTheme="majorHAnsi" w:cstheme="majorHAnsi"/>
              <w:color w:val="139CD8"/>
              <w:sz w:val="56"/>
              <w:szCs w:val="52"/>
            </w:rPr>
          </w:pPr>
          <w:r w:rsidRPr="00515828">
            <w:rPr>
              <w:rFonts w:asciiTheme="majorHAnsi" w:hAnsiTheme="majorHAnsi" w:cstheme="majorHAnsi"/>
              <w:color w:val="139CD8"/>
              <w:sz w:val="56"/>
              <w:szCs w:val="52"/>
            </w:rPr>
            <w:t xml:space="preserve">Supporting Statement for </w:t>
          </w:r>
          <w:r w:rsidRPr="00515828" w:rsidR="001E777E">
            <w:rPr>
              <w:rFonts w:asciiTheme="majorHAnsi" w:hAnsiTheme="majorHAnsi" w:cstheme="majorHAnsi"/>
              <w:color w:val="139CD8"/>
              <w:sz w:val="56"/>
              <w:szCs w:val="52"/>
            </w:rPr>
            <w:t>Hydroelectric Incentive Programs</w:t>
          </w:r>
        </w:p>
      </w:sdtContent>
    </w:sdt>
    <w:p w:rsidR="0059212D" w:rsidRPr="007F67BC" w:rsidP="00A030F0" w14:paraId="64C9C4EC" w14:textId="77777777">
      <w:pPr>
        <w:pStyle w:val="Heading1"/>
        <w:spacing w:line="276" w:lineRule="auto"/>
        <w:rPr>
          <w:rFonts w:cstheme="majorHAnsi"/>
        </w:rPr>
      </w:pPr>
      <w:bookmarkStart w:id="0" w:name="_Toc16271317"/>
      <w:r w:rsidRPr="007F67BC">
        <w:rPr>
          <w:rFonts w:cstheme="majorHAnsi"/>
        </w:rPr>
        <w:t>Part A: Justification</w:t>
      </w:r>
      <w:bookmarkEnd w:id="0"/>
    </w:p>
    <w:p w:rsidR="00711414" w:rsidRPr="00515828" w:rsidP="00A030F0" w14:paraId="2B949071" w14:textId="77777777">
      <w:pPr>
        <w:spacing w:line="276" w:lineRule="auto"/>
        <w:rPr>
          <w:rFonts w:asciiTheme="majorHAnsi" w:hAnsiTheme="majorHAnsi" w:cstheme="majorHAnsi"/>
          <w:b/>
          <w:sz w:val="36"/>
          <w:szCs w:val="36"/>
        </w:rPr>
      </w:pPr>
      <w:r w:rsidRPr="00515828">
        <w:rPr>
          <w:rFonts w:asciiTheme="majorHAnsi" w:hAnsiTheme="majorHAnsi" w:cstheme="majorHAnsi"/>
          <w:b/>
          <w:sz w:val="36"/>
          <w:szCs w:val="36"/>
        </w:rPr>
        <w:t>OMB No. 19</w:t>
      </w:r>
      <w:r w:rsidRPr="00515828" w:rsidR="00FE2197">
        <w:rPr>
          <w:rFonts w:asciiTheme="majorHAnsi" w:hAnsiTheme="majorHAnsi" w:cstheme="majorHAnsi"/>
          <w:b/>
          <w:sz w:val="36"/>
          <w:szCs w:val="36"/>
        </w:rPr>
        <w:t>10</w:t>
      </w:r>
      <w:r w:rsidRPr="00515828">
        <w:rPr>
          <w:rFonts w:asciiTheme="majorHAnsi" w:hAnsiTheme="majorHAnsi" w:cstheme="majorHAnsi"/>
          <w:b/>
          <w:sz w:val="36"/>
          <w:szCs w:val="36"/>
        </w:rPr>
        <w:t>-</w:t>
      </w:r>
      <w:r w:rsidRPr="00515828" w:rsidR="001E777E">
        <w:rPr>
          <w:rFonts w:asciiTheme="majorHAnsi" w:hAnsiTheme="majorHAnsi" w:cstheme="majorHAnsi"/>
          <w:b/>
          <w:sz w:val="36"/>
          <w:szCs w:val="36"/>
        </w:rPr>
        <w:t>NEW</w:t>
      </w:r>
    </w:p>
    <w:p w:rsidR="001F3A8F" w:rsidRPr="00515828" w:rsidP="00A030F0" w14:paraId="7D75F871" w14:textId="77777777">
      <w:pPr>
        <w:spacing w:line="276" w:lineRule="auto"/>
        <w:rPr>
          <w:rFonts w:asciiTheme="majorHAnsi" w:hAnsiTheme="majorHAnsi" w:cstheme="majorHAnsi"/>
          <w:i/>
          <w:sz w:val="28"/>
          <w:szCs w:val="28"/>
        </w:rPr>
      </w:pPr>
      <w:r w:rsidRPr="00515828">
        <w:rPr>
          <w:rFonts w:asciiTheme="majorHAnsi" w:hAnsiTheme="majorHAnsi" w:cstheme="majorHAnsi"/>
          <w:noProof/>
        </w:rPr>
        <mc:AlternateContent>
          <mc:Choice Requires="wps">
            <w:drawing>
              <wp:anchor distT="0" distB="0" distL="114300" distR="114300" simplePos="0" relativeHeight="251661312"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paraId="7A65C6D9" w14:textId="77777777">
                            <w:pPr>
                              <w:rPr>
                                <w:color w:val="A6A6A6" w:themeColor="background1" w:themeShade="A6"/>
                                <w:sz w:val="36"/>
                              </w:rPr>
                            </w:pPr>
                            <w:r>
                              <w:rPr>
                                <w:color w:val="A6A6A6" w:themeColor="background1" w:themeShade="A6"/>
                                <w:sz w:val="36"/>
                              </w:rPr>
                              <w:t>January</w:t>
                            </w:r>
                            <w:r w:rsidR="001E777E">
                              <w:rPr>
                                <w:color w:val="A6A6A6" w:themeColor="background1" w:themeShade="A6"/>
                                <w:sz w:val="36"/>
                              </w:rPr>
                              <w:t xml:space="preserve"> 202</w:t>
                            </w:r>
                            <w:r>
                              <w:rPr>
                                <w:color w:val="A6A6A6" w:themeColor="background1" w:themeShade="A6"/>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2336" filled="f" stroked="f">
                <v:textbox style="mso-fit-shape-to-text:t" inset="0">
                  <w:txbxContent>
                    <w:p w:rsidR="008F16EC" w:rsidRPr="009818F9" w14:paraId="6323CAEC" w14:textId="630E1A1B">
                      <w:pPr>
                        <w:rPr>
                          <w:color w:val="A6A6A6" w:themeColor="background1" w:themeShade="A6"/>
                          <w:sz w:val="36"/>
                        </w:rPr>
                      </w:pPr>
                      <w:r>
                        <w:rPr>
                          <w:color w:val="A6A6A6" w:themeColor="background1" w:themeShade="A6"/>
                          <w:sz w:val="36"/>
                        </w:rPr>
                        <w:t>January</w:t>
                      </w:r>
                      <w:r w:rsidR="001E777E">
                        <w:rPr>
                          <w:color w:val="A6A6A6" w:themeColor="background1" w:themeShade="A6"/>
                          <w:sz w:val="36"/>
                        </w:rPr>
                        <w:t xml:space="preserve"> 202</w:t>
                      </w:r>
                      <w:r>
                        <w:rPr>
                          <w:color w:val="A6A6A6" w:themeColor="background1" w:themeShade="A6"/>
                          <w:sz w:val="36"/>
                        </w:rPr>
                        <w:t>4</w:t>
                      </w:r>
                    </w:p>
                  </w:txbxContent>
                </v:textbox>
                <w10:wrap type="square"/>
              </v:shape>
            </w:pict>
          </mc:Fallback>
        </mc:AlternateContent>
      </w:r>
      <w:r w:rsidRPr="00515828">
        <w:rPr>
          <w:rFonts w:asciiTheme="majorHAnsi" w:hAnsiTheme="majorHAnsi" w:cstheme="majorHAnsi"/>
          <w:noProof/>
        </w:rPr>
        <mc:AlternateContent>
          <mc:Choice Requires="wps">
            <w:drawing>
              <wp:anchor distT="0" distB="0" distL="114300" distR="114300" simplePos="0" relativeHeight="251663360"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46976" fillcolor="#0c95d3" stroked="f" strokecolor="#f2f2f2" strokeweight="3pt">
                <v:shadow color="#50191f" opacity="0.5" offset="1pt"/>
                <w10:wrap type="through"/>
              </v:rect>
            </w:pict>
          </mc:Fallback>
        </mc:AlternateContent>
      </w:r>
      <w:r w:rsidRPr="00515828" w:rsidR="00FB6BF3">
        <w:rPr>
          <w:rFonts w:asciiTheme="majorHAnsi" w:hAnsiTheme="majorHAnsi" w:cstheme="majorHAnsi"/>
          <w:noProof/>
        </w:rPr>
        <w:t xml:space="preserve"> </w:t>
      </w:r>
      <w:r w:rsidRPr="00515828" w:rsidR="00711414">
        <w:rPr>
          <w:rFonts w:asciiTheme="majorHAnsi" w:hAnsiTheme="majorHAnsi" w:cstheme="majorHAnsi"/>
          <w:noProof/>
        </w:rPr>
        <mc:AlternateContent>
          <mc:Choice Requires="wps">
            <w:drawing>
              <wp:anchor distT="0" distB="0" distL="114300" distR="114300" simplePos="0" relativeHeight="251659264"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paraId="2FB47CC0"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28"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0288"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Pr="00515828"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paraId="5C7FCFA9"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29"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687AD451" w14:textId="77777777">
                      <w:pPr>
                        <w:spacing w:before="40" w:after="0"/>
                      </w:pPr>
                    </w:p>
                  </w:txbxContent>
                </v:textbox>
                <w10:wrap type="square"/>
              </v:shape>
            </w:pict>
          </mc:Fallback>
        </mc:AlternateContent>
      </w:r>
      <w:r w:rsidRPr="00515828"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paraId="0FE88E4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67A820F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0"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515828" w:rsidR="001F3A8F">
        <w:rPr>
          <w:rFonts w:asciiTheme="majorHAnsi" w:hAnsiTheme="majorHAnsi" w:cstheme="majorHAnsi"/>
        </w:rPr>
        <w:br w:type="page"/>
      </w:r>
    </w:p>
    <w:p w:rsidR="00755C3D" w:rsidRPr="00515828" w:rsidP="00A030F0" w14:paraId="31C90C80" w14:textId="77777777">
      <w:pPr>
        <w:spacing w:line="276" w:lineRule="auto"/>
        <w:rPr>
          <w:rFonts w:asciiTheme="majorHAnsi" w:hAnsiTheme="majorHAnsi" w:cstheme="majorHAnsi"/>
        </w:rPr>
        <w:sectPr w:rsidSect="00393B84">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ajorHAnsi"/>
          <w:b w:val="0"/>
          <w:bCs w:val="0"/>
          <w:color w:val="auto"/>
          <w:sz w:val="22"/>
          <w:szCs w:val="22"/>
        </w:rPr>
        <w:id w:val="819469860"/>
        <w:docPartObj>
          <w:docPartGallery w:val="Table of Contents"/>
          <w:docPartUnique/>
        </w:docPartObj>
      </w:sdtPr>
      <w:sdtEndPr>
        <w:rPr>
          <w:noProof/>
        </w:rPr>
      </w:sdtEndPr>
      <w:sdtContent>
        <w:p w:rsidR="0059212D" w:rsidRPr="00106278" w:rsidP="00A030F0" w14:paraId="08F15150" w14:textId="77777777">
          <w:pPr>
            <w:pStyle w:val="TOCHeading"/>
            <w:spacing w:line="276" w:lineRule="auto"/>
            <w:rPr>
              <w:rFonts w:cstheme="majorHAnsi"/>
            </w:rPr>
          </w:pPr>
          <w:r w:rsidRPr="007F67BC">
            <w:rPr>
              <w:rFonts w:cstheme="majorHAnsi"/>
            </w:rPr>
            <w:t>Table of Contents</w:t>
          </w:r>
        </w:p>
        <w:p w:rsidR="00537A91" w:rsidRPr="00515828" w:rsidP="00A030F0" w14:paraId="2CC91021" w14:textId="59DDC751">
          <w:pPr>
            <w:pStyle w:val="TOC1"/>
            <w:spacing w:line="276" w:lineRule="auto"/>
            <w:rPr>
              <w:rFonts w:asciiTheme="majorHAnsi" w:eastAsiaTheme="minorEastAsia" w:hAnsiTheme="majorHAnsi" w:cstheme="majorHAnsi"/>
              <w:noProof/>
              <w:color w:val="auto"/>
            </w:rPr>
          </w:pPr>
          <w:r w:rsidRPr="00515828">
            <w:rPr>
              <w:rFonts w:asciiTheme="majorHAnsi" w:hAnsiTheme="majorHAnsi" w:cstheme="majorHAnsi"/>
            </w:rPr>
            <w:fldChar w:fldCharType="begin"/>
          </w:r>
          <w:r w:rsidRPr="00515828">
            <w:rPr>
              <w:rFonts w:asciiTheme="majorHAnsi" w:hAnsiTheme="majorHAnsi" w:cstheme="majorHAnsi"/>
            </w:rPr>
            <w:instrText xml:space="preserve"> TOC \o "1-3" \h \z \u </w:instrText>
          </w:r>
          <w:r w:rsidRPr="00515828">
            <w:rPr>
              <w:rFonts w:asciiTheme="majorHAnsi" w:hAnsiTheme="majorHAnsi" w:cstheme="majorHAnsi"/>
            </w:rPr>
            <w:fldChar w:fldCharType="separate"/>
          </w:r>
          <w:hyperlink w:anchor="_Toc16271317" w:history="1">
            <w:r w:rsidRPr="00515828">
              <w:rPr>
                <w:rStyle w:val="Hyperlink"/>
                <w:rFonts w:asciiTheme="majorHAnsi" w:hAnsiTheme="majorHAnsi" w:cstheme="majorHAnsi"/>
                <w:noProof/>
              </w:rPr>
              <w:t>Part A: Justification</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_Toc16271317 \h </w:instrText>
            </w:r>
            <w:r w:rsidRPr="00515828">
              <w:rPr>
                <w:rFonts w:asciiTheme="majorHAnsi" w:hAnsiTheme="majorHAnsi" w:cstheme="majorHAnsi"/>
                <w:noProof/>
                <w:webHidden/>
              </w:rPr>
              <w:fldChar w:fldCharType="separate"/>
            </w:r>
            <w:r>
              <w:rPr>
                <w:rFonts w:asciiTheme="majorHAnsi" w:hAnsiTheme="majorHAnsi" w:cstheme="majorHAnsi"/>
                <w:noProof/>
                <w:webHidden/>
              </w:rPr>
              <w:t>i</w:t>
            </w:r>
            <w:r w:rsidRPr="00515828">
              <w:rPr>
                <w:rFonts w:asciiTheme="majorHAnsi" w:hAnsiTheme="majorHAnsi" w:cstheme="majorHAnsi"/>
                <w:noProof/>
                <w:webHidden/>
              </w:rPr>
              <w:fldChar w:fldCharType="end"/>
            </w:r>
          </w:hyperlink>
        </w:p>
        <w:p w:rsidR="00537A91" w:rsidRPr="00515828" w:rsidP="00A030F0" w14:paraId="387C7FF4" w14:textId="430F4423">
          <w:pPr>
            <w:pStyle w:val="TOC2"/>
            <w:spacing w:line="276" w:lineRule="auto"/>
            <w:rPr>
              <w:rFonts w:asciiTheme="majorHAnsi" w:eastAsiaTheme="minorEastAsia" w:hAnsiTheme="majorHAnsi" w:cstheme="majorHAnsi"/>
              <w:noProof/>
              <w:color w:val="auto"/>
            </w:rPr>
          </w:pPr>
          <w:hyperlink w:anchor="_Toc16271318" w:history="1">
            <w:r w:rsidRPr="00515828">
              <w:rPr>
                <w:rStyle w:val="Hyperlink"/>
                <w:rFonts w:asciiTheme="majorHAnsi" w:hAnsiTheme="majorHAnsi" w:cstheme="majorHAnsi"/>
                <w:noProof/>
              </w:rPr>
              <w:t>Introduction</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_Toc16271318 \h </w:instrText>
            </w:r>
            <w:r w:rsidRPr="00515828">
              <w:rPr>
                <w:rFonts w:asciiTheme="majorHAnsi" w:hAnsiTheme="majorHAnsi" w:cstheme="majorHAnsi"/>
                <w:noProof/>
                <w:webHidden/>
              </w:rPr>
              <w:fldChar w:fldCharType="separate"/>
            </w:r>
            <w:r>
              <w:rPr>
                <w:rFonts w:asciiTheme="majorHAnsi" w:hAnsiTheme="majorHAnsi" w:cstheme="majorHAnsi"/>
                <w:noProof/>
                <w:webHidden/>
              </w:rPr>
              <w:t>2</w:t>
            </w:r>
            <w:r w:rsidRPr="00515828">
              <w:rPr>
                <w:rFonts w:asciiTheme="majorHAnsi" w:hAnsiTheme="majorHAnsi" w:cstheme="majorHAnsi"/>
                <w:noProof/>
                <w:webHidden/>
              </w:rPr>
              <w:fldChar w:fldCharType="end"/>
            </w:r>
          </w:hyperlink>
        </w:p>
        <w:p w:rsidR="00537A91" w:rsidRPr="00515828" w:rsidP="00A030F0" w14:paraId="1B4595CD" w14:textId="201EC038">
          <w:pPr>
            <w:pStyle w:val="TOC2"/>
            <w:spacing w:line="276" w:lineRule="auto"/>
            <w:rPr>
              <w:rFonts w:asciiTheme="majorHAnsi" w:eastAsiaTheme="minorEastAsia" w:hAnsiTheme="majorHAnsi" w:cstheme="majorHAnsi"/>
              <w:noProof/>
              <w:color w:val="auto"/>
            </w:rPr>
          </w:pPr>
          <w:hyperlink w:anchor="_Toc16271319" w:history="1">
            <w:r w:rsidRPr="00515828">
              <w:rPr>
                <w:rStyle w:val="Hyperlink"/>
                <w:rFonts w:asciiTheme="majorHAnsi" w:hAnsiTheme="majorHAnsi" w:cstheme="majorHAnsi"/>
                <w:noProof/>
              </w:rPr>
              <w:t>A.1. Legal Justification</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_Toc16271319 \h </w:instrText>
            </w:r>
            <w:r w:rsidRPr="00515828">
              <w:rPr>
                <w:rFonts w:asciiTheme="majorHAnsi" w:hAnsiTheme="majorHAnsi" w:cstheme="majorHAnsi"/>
                <w:noProof/>
                <w:webHidden/>
              </w:rPr>
              <w:fldChar w:fldCharType="separate"/>
            </w:r>
            <w:r>
              <w:rPr>
                <w:rFonts w:asciiTheme="majorHAnsi" w:hAnsiTheme="majorHAnsi" w:cstheme="majorHAnsi"/>
                <w:noProof/>
                <w:webHidden/>
              </w:rPr>
              <w:t>2</w:t>
            </w:r>
            <w:r w:rsidRPr="00515828">
              <w:rPr>
                <w:rFonts w:asciiTheme="majorHAnsi" w:hAnsiTheme="majorHAnsi" w:cstheme="majorHAnsi"/>
                <w:noProof/>
                <w:webHidden/>
              </w:rPr>
              <w:fldChar w:fldCharType="end"/>
            </w:r>
          </w:hyperlink>
        </w:p>
        <w:p w:rsidR="00537A91" w:rsidRPr="00515828" w:rsidP="00A030F0" w14:paraId="57908B00" w14:textId="0C13A3FA">
          <w:pPr>
            <w:pStyle w:val="TOC2"/>
            <w:spacing w:line="276" w:lineRule="auto"/>
            <w:rPr>
              <w:rFonts w:asciiTheme="majorHAnsi" w:eastAsiaTheme="minorEastAsia" w:hAnsiTheme="majorHAnsi" w:cstheme="majorHAnsi"/>
              <w:noProof/>
              <w:color w:val="auto"/>
            </w:rPr>
          </w:pPr>
          <w:hyperlink w:anchor="_Toc16271320" w:history="1">
            <w:r w:rsidRPr="00515828">
              <w:rPr>
                <w:rStyle w:val="Hyperlink"/>
                <w:rFonts w:asciiTheme="majorHAnsi" w:hAnsiTheme="majorHAnsi" w:cstheme="majorHAnsi"/>
                <w:noProof/>
              </w:rPr>
              <w:t xml:space="preserve">A.2. Needs and Uses of </w:t>
            </w:r>
            <w:r w:rsidRPr="00515828">
              <w:rPr>
                <w:rStyle w:val="Hyperlink"/>
                <w:rFonts w:asciiTheme="majorHAnsi" w:hAnsiTheme="majorHAnsi" w:cstheme="majorHAnsi"/>
                <w:noProof/>
              </w:rPr>
              <w:t>Data</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_Toc16271320 \h </w:instrText>
            </w:r>
            <w:r w:rsidRPr="00515828">
              <w:rPr>
                <w:rFonts w:asciiTheme="majorHAnsi" w:hAnsiTheme="majorHAnsi" w:cstheme="majorHAnsi"/>
                <w:noProof/>
                <w:webHidden/>
              </w:rPr>
              <w:fldChar w:fldCharType="separate"/>
            </w:r>
            <w:r>
              <w:rPr>
                <w:rFonts w:asciiTheme="majorHAnsi" w:hAnsiTheme="majorHAnsi" w:cstheme="majorHAnsi"/>
                <w:noProof/>
                <w:webHidden/>
              </w:rPr>
              <w:t>2</w:t>
            </w:r>
            <w:r w:rsidRPr="00515828">
              <w:rPr>
                <w:rFonts w:asciiTheme="majorHAnsi" w:hAnsiTheme="majorHAnsi" w:cstheme="majorHAnsi"/>
                <w:noProof/>
                <w:webHidden/>
              </w:rPr>
              <w:fldChar w:fldCharType="end"/>
            </w:r>
          </w:hyperlink>
        </w:p>
        <w:p w:rsidR="00537A91" w:rsidRPr="00515828" w:rsidP="00A030F0" w14:paraId="5F315B4F" w14:textId="453CD3F2">
          <w:pPr>
            <w:pStyle w:val="TOC2"/>
            <w:spacing w:line="276" w:lineRule="auto"/>
            <w:rPr>
              <w:rFonts w:asciiTheme="majorHAnsi" w:eastAsiaTheme="minorEastAsia" w:hAnsiTheme="majorHAnsi" w:cstheme="majorHAnsi"/>
              <w:noProof/>
              <w:color w:val="auto"/>
            </w:rPr>
          </w:pPr>
          <w:hyperlink w:anchor="_Toc16271321" w:history="1">
            <w:r w:rsidRPr="00515828">
              <w:rPr>
                <w:rStyle w:val="Hyperlink"/>
                <w:rFonts w:asciiTheme="majorHAnsi" w:hAnsiTheme="majorHAnsi" w:cstheme="majorHAnsi"/>
                <w:noProof/>
              </w:rPr>
              <w:t>A.3. Use of Technology</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_Toc16271321 \h </w:instrText>
            </w:r>
            <w:r w:rsidRPr="00515828">
              <w:rPr>
                <w:rFonts w:asciiTheme="majorHAnsi" w:hAnsiTheme="majorHAnsi" w:cstheme="majorHAnsi"/>
                <w:noProof/>
                <w:webHidden/>
              </w:rPr>
              <w:fldChar w:fldCharType="separate"/>
            </w:r>
            <w:r>
              <w:rPr>
                <w:rFonts w:asciiTheme="majorHAnsi" w:hAnsiTheme="majorHAnsi" w:cstheme="majorHAnsi"/>
                <w:noProof/>
                <w:webHidden/>
              </w:rPr>
              <w:t>3</w:t>
            </w:r>
            <w:r w:rsidRPr="00515828">
              <w:rPr>
                <w:rFonts w:asciiTheme="majorHAnsi" w:hAnsiTheme="majorHAnsi" w:cstheme="majorHAnsi"/>
                <w:noProof/>
                <w:webHidden/>
              </w:rPr>
              <w:fldChar w:fldCharType="end"/>
            </w:r>
          </w:hyperlink>
        </w:p>
        <w:p w:rsidR="00537A91" w:rsidRPr="00515828" w:rsidP="00A030F0" w14:paraId="0388DD83" w14:textId="2E366ACD">
          <w:pPr>
            <w:pStyle w:val="TOC2"/>
            <w:spacing w:line="276" w:lineRule="auto"/>
            <w:rPr>
              <w:rFonts w:asciiTheme="majorHAnsi" w:eastAsiaTheme="minorEastAsia" w:hAnsiTheme="majorHAnsi" w:cstheme="majorHAnsi"/>
              <w:noProof/>
              <w:color w:val="auto"/>
            </w:rPr>
          </w:pPr>
          <w:hyperlink w:anchor="_Toc16271322" w:history="1">
            <w:r w:rsidRPr="00515828">
              <w:rPr>
                <w:rStyle w:val="Hyperlink"/>
                <w:rFonts w:asciiTheme="majorHAnsi" w:hAnsiTheme="majorHAnsi" w:cstheme="majorHAnsi"/>
                <w:noProof/>
              </w:rPr>
              <w:t>A.4. Efforts to Identify Duplication</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_Toc16271322 \h </w:instrText>
            </w:r>
            <w:r w:rsidRPr="00515828">
              <w:rPr>
                <w:rFonts w:asciiTheme="majorHAnsi" w:hAnsiTheme="majorHAnsi" w:cstheme="majorHAnsi"/>
                <w:noProof/>
                <w:webHidden/>
              </w:rPr>
              <w:fldChar w:fldCharType="separate"/>
            </w:r>
            <w:r>
              <w:rPr>
                <w:rFonts w:asciiTheme="majorHAnsi" w:hAnsiTheme="majorHAnsi" w:cstheme="majorHAnsi"/>
                <w:noProof/>
                <w:webHidden/>
              </w:rPr>
              <w:t>3</w:t>
            </w:r>
            <w:r w:rsidRPr="00515828">
              <w:rPr>
                <w:rFonts w:asciiTheme="majorHAnsi" w:hAnsiTheme="majorHAnsi" w:cstheme="majorHAnsi"/>
                <w:noProof/>
                <w:webHidden/>
              </w:rPr>
              <w:fldChar w:fldCharType="end"/>
            </w:r>
          </w:hyperlink>
        </w:p>
        <w:p w:rsidR="00537A91" w:rsidRPr="00515828" w:rsidP="00A030F0" w14:paraId="34A6AF13" w14:textId="34BEA357">
          <w:pPr>
            <w:pStyle w:val="TOC2"/>
            <w:spacing w:line="276" w:lineRule="auto"/>
            <w:rPr>
              <w:rFonts w:asciiTheme="majorHAnsi" w:eastAsiaTheme="minorEastAsia" w:hAnsiTheme="majorHAnsi" w:cstheme="majorHAnsi"/>
              <w:noProof/>
              <w:color w:val="auto"/>
            </w:rPr>
          </w:pPr>
          <w:hyperlink w:anchor="_Toc16271323" w:history="1">
            <w:r w:rsidRPr="00515828">
              <w:rPr>
                <w:rStyle w:val="Hyperlink"/>
                <w:rFonts w:asciiTheme="majorHAnsi" w:hAnsiTheme="majorHAnsi" w:cstheme="majorHAnsi"/>
                <w:noProof/>
              </w:rPr>
              <w:t>A.5. Provisions for Reducing Burden on Small Businesses</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_Toc16271323 \h </w:instrText>
            </w:r>
            <w:r w:rsidRPr="00515828">
              <w:rPr>
                <w:rFonts w:asciiTheme="majorHAnsi" w:hAnsiTheme="majorHAnsi" w:cstheme="majorHAnsi"/>
                <w:noProof/>
                <w:webHidden/>
              </w:rPr>
              <w:fldChar w:fldCharType="separate"/>
            </w:r>
            <w:r>
              <w:rPr>
                <w:rFonts w:asciiTheme="majorHAnsi" w:hAnsiTheme="majorHAnsi" w:cstheme="majorHAnsi"/>
                <w:noProof/>
                <w:webHidden/>
              </w:rPr>
              <w:t>3</w:t>
            </w:r>
            <w:r w:rsidRPr="00515828">
              <w:rPr>
                <w:rFonts w:asciiTheme="majorHAnsi" w:hAnsiTheme="majorHAnsi" w:cstheme="majorHAnsi"/>
                <w:noProof/>
                <w:webHidden/>
              </w:rPr>
              <w:fldChar w:fldCharType="end"/>
            </w:r>
          </w:hyperlink>
        </w:p>
        <w:p w:rsidR="00537A91" w:rsidRPr="00515828" w:rsidP="00A030F0" w14:paraId="7997467D" w14:textId="47228C87">
          <w:pPr>
            <w:pStyle w:val="TOC2"/>
            <w:spacing w:line="276" w:lineRule="auto"/>
            <w:rPr>
              <w:rFonts w:asciiTheme="majorHAnsi" w:eastAsiaTheme="minorEastAsia" w:hAnsiTheme="majorHAnsi" w:cstheme="majorHAnsi"/>
              <w:noProof/>
              <w:color w:val="auto"/>
            </w:rPr>
          </w:pPr>
          <w:hyperlink w:anchor="_Toc16271324" w:history="1">
            <w:r w:rsidRPr="00515828">
              <w:rPr>
                <w:rStyle w:val="Hyperlink"/>
                <w:rFonts w:asciiTheme="majorHAnsi" w:hAnsiTheme="majorHAnsi" w:cstheme="majorHAnsi"/>
                <w:noProof/>
              </w:rPr>
              <w:t>A.6. Consequences of Less-Frequent Reporting</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_Toc16271324 \h </w:instrText>
            </w:r>
            <w:r w:rsidRPr="00515828">
              <w:rPr>
                <w:rFonts w:asciiTheme="majorHAnsi" w:hAnsiTheme="majorHAnsi" w:cstheme="majorHAnsi"/>
                <w:noProof/>
                <w:webHidden/>
              </w:rPr>
              <w:fldChar w:fldCharType="separate"/>
            </w:r>
            <w:r>
              <w:rPr>
                <w:rFonts w:asciiTheme="majorHAnsi" w:hAnsiTheme="majorHAnsi" w:cstheme="majorHAnsi"/>
                <w:noProof/>
                <w:webHidden/>
              </w:rPr>
              <w:t>3</w:t>
            </w:r>
            <w:r w:rsidRPr="00515828">
              <w:rPr>
                <w:rFonts w:asciiTheme="majorHAnsi" w:hAnsiTheme="majorHAnsi" w:cstheme="majorHAnsi"/>
                <w:noProof/>
                <w:webHidden/>
              </w:rPr>
              <w:fldChar w:fldCharType="end"/>
            </w:r>
          </w:hyperlink>
        </w:p>
        <w:p w:rsidR="00537A91" w:rsidRPr="00515828" w:rsidP="00A030F0" w14:paraId="3B781A67" w14:textId="107AF16B">
          <w:pPr>
            <w:pStyle w:val="TOC2"/>
            <w:spacing w:line="276" w:lineRule="auto"/>
            <w:rPr>
              <w:rFonts w:asciiTheme="majorHAnsi" w:eastAsiaTheme="minorEastAsia" w:hAnsiTheme="majorHAnsi" w:cstheme="majorHAnsi"/>
              <w:noProof/>
              <w:color w:val="auto"/>
            </w:rPr>
          </w:pPr>
          <w:hyperlink w:anchor="_Toc16271325" w:history="1">
            <w:r w:rsidRPr="00515828">
              <w:rPr>
                <w:rStyle w:val="Hyperlink"/>
                <w:rFonts w:asciiTheme="majorHAnsi" w:hAnsiTheme="majorHAnsi" w:cstheme="majorHAnsi"/>
                <w:noProof/>
              </w:rPr>
              <w:t>A.7. Compliance with 5 CFR 1320.5</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_Toc16271325 \h </w:instrText>
            </w:r>
            <w:r w:rsidRPr="00515828">
              <w:rPr>
                <w:rFonts w:asciiTheme="majorHAnsi" w:hAnsiTheme="majorHAnsi" w:cstheme="majorHAnsi"/>
                <w:noProof/>
                <w:webHidden/>
              </w:rPr>
              <w:fldChar w:fldCharType="separate"/>
            </w:r>
            <w:r>
              <w:rPr>
                <w:rFonts w:asciiTheme="majorHAnsi" w:hAnsiTheme="majorHAnsi" w:cstheme="majorHAnsi"/>
                <w:noProof/>
                <w:webHidden/>
              </w:rPr>
              <w:t>3</w:t>
            </w:r>
            <w:r w:rsidRPr="00515828">
              <w:rPr>
                <w:rFonts w:asciiTheme="majorHAnsi" w:hAnsiTheme="majorHAnsi" w:cstheme="majorHAnsi"/>
                <w:noProof/>
                <w:webHidden/>
              </w:rPr>
              <w:fldChar w:fldCharType="end"/>
            </w:r>
          </w:hyperlink>
        </w:p>
        <w:p w:rsidR="00537A91" w:rsidRPr="00515828" w:rsidP="00A030F0" w14:paraId="0999B7F7" w14:textId="5E8A0B7B">
          <w:pPr>
            <w:pStyle w:val="TOC2"/>
            <w:spacing w:line="276" w:lineRule="auto"/>
            <w:rPr>
              <w:rFonts w:asciiTheme="majorHAnsi" w:eastAsiaTheme="minorEastAsia" w:hAnsiTheme="majorHAnsi" w:cstheme="majorHAnsi"/>
              <w:noProof/>
              <w:color w:val="auto"/>
            </w:rPr>
          </w:pPr>
          <w:hyperlink w:anchor="_Toc16271326" w:history="1">
            <w:r w:rsidRPr="00515828">
              <w:rPr>
                <w:rStyle w:val="Hyperlink"/>
                <w:rFonts w:asciiTheme="majorHAnsi" w:hAnsiTheme="majorHAnsi" w:cstheme="majorHAnsi"/>
                <w:noProof/>
              </w:rPr>
              <w:t>A.8. Summary of Consultations Outside of the Agency</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_Toc16271326 \h </w:instrText>
            </w:r>
            <w:r w:rsidRPr="00515828">
              <w:rPr>
                <w:rFonts w:asciiTheme="majorHAnsi" w:hAnsiTheme="majorHAnsi" w:cstheme="majorHAnsi"/>
                <w:noProof/>
                <w:webHidden/>
              </w:rPr>
              <w:fldChar w:fldCharType="separate"/>
            </w:r>
            <w:r>
              <w:rPr>
                <w:rFonts w:asciiTheme="majorHAnsi" w:hAnsiTheme="majorHAnsi" w:cstheme="majorHAnsi"/>
                <w:noProof/>
                <w:webHidden/>
              </w:rPr>
              <w:t>4</w:t>
            </w:r>
            <w:r w:rsidRPr="00515828">
              <w:rPr>
                <w:rFonts w:asciiTheme="majorHAnsi" w:hAnsiTheme="majorHAnsi" w:cstheme="majorHAnsi"/>
                <w:noProof/>
                <w:webHidden/>
              </w:rPr>
              <w:fldChar w:fldCharType="end"/>
            </w:r>
          </w:hyperlink>
        </w:p>
        <w:p w:rsidR="00537A91" w:rsidRPr="00515828" w:rsidP="00A030F0" w14:paraId="69332A56" w14:textId="1C322AFD">
          <w:pPr>
            <w:pStyle w:val="TOC2"/>
            <w:spacing w:line="276" w:lineRule="auto"/>
            <w:rPr>
              <w:rFonts w:asciiTheme="majorHAnsi" w:eastAsiaTheme="minorEastAsia" w:hAnsiTheme="majorHAnsi" w:cstheme="majorHAnsi"/>
              <w:noProof/>
              <w:color w:val="auto"/>
            </w:rPr>
          </w:pPr>
          <w:hyperlink w:anchor="_Toc16271327" w:history="1">
            <w:r w:rsidRPr="00515828">
              <w:rPr>
                <w:rStyle w:val="Hyperlink"/>
                <w:rFonts w:asciiTheme="majorHAnsi" w:hAnsiTheme="majorHAnsi" w:cstheme="majorHAnsi"/>
                <w:noProof/>
              </w:rPr>
              <w:t>A.9. Payments or Gifts to Respondents</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_Toc16271327 \h </w:instrText>
            </w:r>
            <w:r w:rsidRPr="00515828">
              <w:rPr>
                <w:rFonts w:asciiTheme="majorHAnsi" w:hAnsiTheme="majorHAnsi" w:cstheme="majorHAnsi"/>
                <w:noProof/>
                <w:webHidden/>
              </w:rPr>
              <w:fldChar w:fldCharType="separate"/>
            </w:r>
            <w:r>
              <w:rPr>
                <w:rFonts w:asciiTheme="majorHAnsi" w:hAnsiTheme="majorHAnsi" w:cstheme="majorHAnsi"/>
                <w:noProof/>
                <w:webHidden/>
              </w:rPr>
              <w:t>5</w:t>
            </w:r>
            <w:r w:rsidRPr="00515828">
              <w:rPr>
                <w:rFonts w:asciiTheme="majorHAnsi" w:hAnsiTheme="majorHAnsi" w:cstheme="majorHAnsi"/>
                <w:noProof/>
                <w:webHidden/>
              </w:rPr>
              <w:fldChar w:fldCharType="end"/>
            </w:r>
          </w:hyperlink>
        </w:p>
        <w:p w:rsidR="00537A91" w:rsidRPr="00515828" w:rsidP="00A030F0" w14:paraId="6AEC1A81" w14:textId="543F38BC">
          <w:pPr>
            <w:pStyle w:val="TOC2"/>
            <w:spacing w:line="276" w:lineRule="auto"/>
            <w:rPr>
              <w:rFonts w:asciiTheme="majorHAnsi" w:eastAsiaTheme="minorEastAsia" w:hAnsiTheme="majorHAnsi" w:cstheme="majorHAnsi"/>
              <w:noProof/>
              <w:color w:val="auto"/>
            </w:rPr>
          </w:pPr>
          <w:hyperlink w:anchor="_Toc16271328" w:history="1">
            <w:r w:rsidRPr="00515828">
              <w:rPr>
                <w:rStyle w:val="Hyperlink"/>
                <w:rFonts w:asciiTheme="majorHAnsi" w:hAnsiTheme="majorHAnsi" w:cstheme="majorHAnsi"/>
                <w:noProof/>
              </w:rPr>
              <w:t>A.10. Provisions for Protection of Information</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_Toc16271328 \h </w:instrText>
            </w:r>
            <w:r w:rsidRPr="00515828">
              <w:rPr>
                <w:rFonts w:asciiTheme="majorHAnsi" w:hAnsiTheme="majorHAnsi" w:cstheme="majorHAnsi"/>
                <w:noProof/>
                <w:webHidden/>
              </w:rPr>
              <w:fldChar w:fldCharType="separate"/>
            </w:r>
            <w:r>
              <w:rPr>
                <w:rFonts w:asciiTheme="majorHAnsi" w:hAnsiTheme="majorHAnsi" w:cstheme="majorHAnsi"/>
                <w:noProof/>
                <w:webHidden/>
              </w:rPr>
              <w:t>5</w:t>
            </w:r>
            <w:r w:rsidRPr="00515828">
              <w:rPr>
                <w:rFonts w:asciiTheme="majorHAnsi" w:hAnsiTheme="majorHAnsi" w:cstheme="majorHAnsi"/>
                <w:noProof/>
                <w:webHidden/>
              </w:rPr>
              <w:fldChar w:fldCharType="end"/>
            </w:r>
          </w:hyperlink>
        </w:p>
        <w:p w:rsidR="00537A91" w:rsidRPr="00515828" w:rsidP="00A030F0" w14:paraId="7EC1AAF7" w14:textId="74C7E313">
          <w:pPr>
            <w:pStyle w:val="TOC2"/>
            <w:spacing w:line="276" w:lineRule="auto"/>
            <w:rPr>
              <w:rFonts w:asciiTheme="majorHAnsi" w:eastAsiaTheme="minorEastAsia" w:hAnsiTheme="majorHAnsi" w:cstheme="majorHAnsi"/>
              <w:noProof/>
              <w:color w:val="auto"/>
            </w:rPr>
          </w:pPr>
          <w:hyperlink w:anchor="_Toc16271329" w:history="1">
            <w:r w:rsidRPr="00515828">
              <w:rPr>
                <w:rStyle w:val="Hyperlink"/>
                <w:rFonts w:asciiTheme="majorHAnsi" w:hAnsiTheme="majorHAnsi" w:cstheme="majorHAnsi"/>
                <w:noProof/>
              </w:rPr>
              <w:t>A.11. Justification for Sensitive Questions</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_Toc16271329 \h </w:instrText>
            </w:r>
            <w:r w:rsidRPr="00515828">
              <w:rPr>
                <w:rFonts w:asciiTheme="majorHAnsi" w:hAnsiTheme="majorHAnsi" w:cstheme="majorHAnsi"/>
                <w:noProof/>
                <w:webHidden/>
              </w:rPr>
              <w:fldChar w:fldCharType="separate"/>
            </w:r>
            <w:r>
              <w:rPr>
                <w:rFonts w:asciiTheme="majorHAnsi" w:hAnsiTheme="majorHAnsi" w:cstheme="majorHAnsi"/>
                <w:noProof/>
                <w:webHidden/>
              </w:rPr>
              <w:t>5</w:t>
            </w:r>
            <w:r w:rsidRPr="00515828">
              <w:rPr>
                <w:rFonts w:asciiTheme="majorHAnsi" w:hAnsiTheme="majorHAnsi" w:cstheme="majorHAnsi"/>
                <w:noProof/>
                <w:webHidden/>
              </w:rPr>
              <w:fldChar w:fldCharType="end"/>
            </w:r>
          </w:hyperlink>
        </w:p>
        <w:p w:rsidR="00537A91" w:rsidRPr="00515828" w:rsidP="00A030F0" w14:paraId="66C8B958" w14:textId="543D0674">
          <w:pPr>
            <w:pStyle w:val="TOC2"/>
            <w:spacing w:line="276" w:lineRule="auto"/>
            <w:rPr>
              <w:rFonts w:asciiTheme="majorHAnsi" w:eastAsiaTheme="minorEastAsia" w:hAnsiTheme="majorHAnsi" w:cstheme="majorHAnsi"/>
              <w:noProof/>
              <w:color w:val="auto"/>
            </w:rPr>
          </w:pPr>
          <w:hyperlink w:anchor="_Toc16271330" w:history="1">
            <w:r w:rsidRPr="00515828">
              <w:rPr>
                <w:rStyle w:val="Hyperlink"/>
                <w:rFonts w:asciiTheme="majorHAnsi" w:hAnsiTheme="majorHAnsi" w:cstheme="majorHAnsi"/>
                <w:noProof/>
              </w:rPr>
              <w:t>A.12A. Estimate of Respondent Burden Hours</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_Toc16271330 \h </w:instrText>
            </w:r>
            <w:r w:rsidRPr="00515828">
              <w:rPr>
                <w:rFonts w:asciiTheme="majorHAnsi" w:hAnsiTheme="majorHAnsi" w:cstheme="majorHAnsi"/>
                <w:noProof/>
                <w:webHidden/>
              </w:rPr>
              <w:fldChar w:fldCharType="separate"/>
            </w:r>
            <w:r>
              <w:rPr>
                <w:rFonts w:asciiTheme="majorHAnsi" w:hAnsiTheme="majorHAnsi" w:cstheme="majorHAnsi"/>
                <w:noProof/>
                <w:webHidden/>
              </w:rPr>
              <w:t>5</w:t>
            </w:r>
            <w:r w:rsidRPr="00515828">
              <w:rPr>
                <w:rFonts w:asciiTheme="majorHAnsi" w:hAnsiTheme="majorHAnsi" w:cstheme="majorHAnsi"/>
                <w:noProof/>
                <w:webHidden/>
              </w:rPr>
              <w:fldChar w:fldCharType="end"/>
            </w:r>
          </w:hyperlink>
        </w:p>
        <w:p w:rsidR="00537A91" w:rsidRPr="00515828" w:rsidP="00A030F0" w14:paraId="3D7B494C" w14:textId="7009209D">
          <w:pPr>
            <w:pStyle w:val="TOC2"/>
            <w:spacing w:line="276" w:lineRule="auto"/>
            <w:rPr>
              <w:rFonts w:asciiTheme="majorHAnsi" w:eastAsiaTheme="minorEastAsia" w:hAnsiTheme="majorHAnsi" w:cstheme="majorHAnsi"/>
              <w:noProof/>
              <w:color w:val="auto"/>
            </w:rPr>
          </w:pPr>
          <w:hyperlink w:anchor="_Toc16271331" w:history="1">
            <w:r w:rsidRPr="00515828">
              <w:rPr>
                <w:rStyle w:val="Hyperlink"/>
                <w:rFonts w:asciiTheme="majorHAnsi" w:hAnsiTheme="majorHAnsi" w:cstheme="majorHAnsi"/>
                <w:noProof/>
              </w:rPr>
              <w:t>A.12B. Estimate of Annual Cost to Respondent for Burden Hours</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_Toc16271331 \h </w:instrText>
            </w:r>
            <w:r w:rsidRPr="00515828">
              <w:rPr>
                <w:rFonts w:asciiTheme="majorHAnsi" w:hAnsiTheme="majorHAnsi" w:cstheme="majorHAnsi"/>
                <w:noProof/>
                <w:webHidden/>
              </w:rPr>
              <w:fldChar w:fldCharType="separate"/>
            </w:r>
            <w:r>
              <w:rPr>
                <w:rFonts w:asciiTheme="majorHAnsi" w:hAnsiTheme="majorHAnsi" w:cstheme="majorHAnsi"/>
                <w:noProof/>
                <w:webHidden/>
              </w:rPr>
              <w:t>6</w:t>
            </w:r>
            <w:r w:rsidRPr="00515828">
              <w:rPr>
                <w:rFonts w:asciiTheme="majorHAnsi" w:hAnsiTheme="majorHAnsi" w:cstheme="majorHAnsi"/>
                <w:noProof/>
                <w:webHidden/>
              </w:rPr>
              <w:fldChar w:fldCharType="end"/>
            </w:r>
          </w:hyperlink>
        </w:p>
        <w:p w:rsidR="00537A91" w:rsidRPr="00515828" w:rsidP="00A030F0" w14:paraId="3DB7CAC4" w14:textId="64227B02">
          <w:pPr>
            <w:pStyle w:val="TOC2"/>
            <w:spacing w:line="276" w:lineRule="auto"/>
            <w:rPr>
              <w:rFonts w:asciiTheme="majorHAnsi" w:eastAsiaTheme="minorEastAsia" w:hAnsiTheme="majorHAnsi" w:cstheme="majorHAnsi"/>
              <w:noProof/>
              <w:color w:val="auto"/>
            </w:rPr>
          </w:pPr>
          <w:hyperlink w:anchor="_Toc16271332" w:history="1">
            <w:r w:rsidRPr="00515828">
              <w:rPr>
                <w:rStyle w:val="Hyperlink"/>
                <w:rFonts w:asciiTheme="majorHAnsi" w:hAnsiTheme="majorHAnsi" w:cstheme="majorHAnsi"/>
                <w:noProof/>
              </w:rPr>
              <w:t>A.13. Other Estimated Annual Cost to Respondents</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_Toc16271332 \h </w:instrText>
            </w:r>
            <w:r w:rsidRPr="00515828">
              <w:rPr>
                <w:rFonts w:asciiTheme="majorHAnsi" w:hAnsiTheme="majorHAnsi" w:cstheme="majorHAnsi"/>
                <w:noProof/>
                <w:webHidden/>
              </w:rPr>
              <w:fldChar w:fldCharType="separate"/>
            </w:r>
            <w:r>
              <w:rPr>
                <w:rFonts w:asciiTheme="majorHAnsi" w:hAnsiTheme="majorHAnsi" w:cstheme="majorHAnsi"/>
                <w:noProof/>
                <w:webHidden/>
              </w:rPr>
              <w:t>6</w:t>
            </w:r>
            <w:r w:rsidRPr="00515828">
              <w:rPr>
                <w:rFonts w:asciiTheme="majorHAnsi" w:hAnsiTheme="majorHAnsi" w:cstheme="majorHAnsi"/>
                <w:noProof/>
                <w:webHidden/>
              </w:rPr>
              <w:fldChar w:fldCharType="end"/>
            </w:r>
          </w:hyperlink>
        </w:p>
        <w:p w:rsidR="00537A91" w:rsidRPr="00515828" w:rsidP="00A030F0" w14:paraId="4EEA9918" w14:textId="7DCE0B06">
          <w:pPr>
            <w:pStyle w:val="TOC2"/>
            <w:spacing w:line="276" w:lineRule="auto"/>
            <w:rPr>
              <w:rFonts w:asciiTheme="majorHAnsi" w:eastAsiaTheme="minorEastAsia" w:hAnsiTheme="majorHAnsi" w:cstheme="majorHAnsi"/>
              <w:noProof/>
              <w:color w:val="auto"/>
            </w:rPr>
          </w:pPr>
          <w:hyperlink w:anchor="_Toc16271333" w:history="1">
            <w:r w:rsidRPr="00515828">
              <w:rPr>
                <w:rStyle w:val="Hyperlink"/>
                <w:rFonts w:asciiTheme="majorHAnsi" w:hAnsiTheme="majorHAnsi" w:cstheme="majorHAnsi"/>
                <w:noProof/>
              </w:rPr>
              <w:t>A.14. Annual Cost to the Federal Government</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_Toc16271333 \h </w:instrText>
            </w:r>
            <w:r w:rsidRPr="00515828">
              <w:rPr>
                <w:rFonts w:asciiTheme="majorHAnsi" w:hAnsiTheme="majorHAnsi" w:cstheme="majorHAnsi"/>
                <w:noProof/>
                <w:webHidden/>
              </w:rPr>
              <w:fldChar w:fldCharType="separate"/>
            </w:r>
            <w:r>
              <w:rPr>
                <w:rFonts w:asciiTheme="majorHAnsi" w:hAnsiTheme="majorHAnsi" w:cstheme="majorHAnsi"/>
                <w:noProof/>
                <w:webHidden/>
              </w:rPr>
              <w:t>6</w:t>
            </w:r>
            <w:r w:rsidRPr="00515828">
              <w:rPr>
                <w:rFonts w:asciiTheme="majorHAnsi" w:hAnsiTheme="majorHAnsi" w:cstheme="majorHAnsi"/>
                <w:noProof/>
                <w:webHidden/>
              </w:rPr>
              <w:fldChar w:fldCharType="end"/>
            </w:r>
          </w:hyperlink>
        </w:p>
        <w:p w:rsidR="00537A91" w:rsidRPr="00515828" w:rsidP="00A030F0" w14:paraId="19000A08" w14:textId="5D997F8C">
          <w:pPr>
            <w:pStyle w:val="TOC2"/>
            <w:spacing w:line="276" w:lineRule="auto"/>
            <w:rPr>
              <w:rFonts w:asciiTheme="majorHAnsi" w:eastAsiaTheme="minorEastAsia" w:hAnsiTheme="majorHAnsi" w:cstheme="majorHAnsi"/>
              <w:noProof/>
              <w:color w:val="auto"/>
            </w:rPr>
          </w:pPr>
          <w:hyperlink w:anchor="_Toc16271334" w:history="1">
            <w:r w:rsidRPr="00515828">
              <w:rPr>
                <w:rStyle w:val="Hyperlink"/>
                <w:rFonts w:asciiTheme="majorHAnsi" w:hAnsiTheme="majorHAnsi" w:cstheme="majorHAnsi"/>
                <w:noProof/>
              </w:rPr>
              <w:t>A.15. Reasons for Changes in Burden</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_Toc16271334 \h </w:instrText>
            </w:r>
            <w:r w:rsidRPr="00515828">
              <w:rPr>
                <w:rFonts w:asciiTheme="majorHAnsi" w:hAnsiTheme="majorHAnsi" w:cstheme="majorHAnsi"/>
                <w:noProof/>
                <w:webHidden/>
              </w:rPr>
              <w:fldChar w:fldCharType="separate"/>
            </w:r>
            <w:r>
              <w:rPr>
                <w:rFonts w:asciiTheme="majorHAnsi" w:hAnsiTheme="majorHAnsi" w:cstheme="majorHAnsi"/>
                <w:noProof/>
                <w:webHidden/>
              </w:rPr>
              <w:t>7</w:t>
            </w:r>
            <w:r w:rsidRPr="00515828">
              <w:rPr>
                <w:rFonts w:asciiTheme="majorHAnsi" w:hAnsiTheme="majorHAnsi" w:cstheme="majorHAnsi"/>
                <w:noProof/>
                <w:webHidden/>
              </w:rPr>
              <w:fldChar w:fldCharType="end"/>
            </w:r>
          </w:hyperlink>
        </w:p>
        <w:p w:rsidR="00537A91" w:rsidRPr="00515828" w:rsidP="00A030F0" w14:paraId="318DA65B" w14:textId="75F3EFD4">
          <w:pPr>
            <w:pStyle w:val="TOC2"/>
            <w:spacing w:line="276" w:lineRule="auto"/>
            <w:rPr>
              <w:rFonts w:asciiTheme="majorHAnsi" w:eastAsiaTheme="minorEastAsia" w:hAnsiTheme="majorHAnsi" w:cstheme="majorHAnsi"/>
              <w:noProof/>
              <w:color w:val="auto"/>
            </w:rPr>
          </w:pPr>
          <w:hyperlink w:anchor="_Toc16271335" w:history="1">
            <w:r w:rsidRPr="00515828">
              <w:rPr>
                <w:rStyle w:val="Hyperlink"/>
                <w:rFonts w:asciiTheme="majorHAnsi" w:hAnsiTheme="majorHAnsi" w:cstheme="majorHAnsi"/>
                <w:noProof/>
              </w:rPr>
              <w:t>A.16. Collection, Tabulation, and Publication Plans</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_Toc16271335 \h </w:instrText>
            </w:r>
            <w:r w:rsidRPr="00515828">
              <w:rPr>
                <w:rFonts w:asciiTheme="majorHAnsi" w:hAnsiTheme="majorHAnsi" w:cstheme="majorHAnsi"/>
                <w:noProof/>
                <w:webHidden/>
              </w:rPr>
              <w:fldChar w:fldCharType="separate"/>
            </w:r>
            <w:r>
              <w:rPr>
                <w:rFonts w:asciiTheme="majorHAnsi" w:hAnsiTheme="majorHAnsi" w:cstheme="majorHAnsi"/>
                <w:noProof/>
                <w:webHidden/>
              </w:rPr>
              <w:t>7</w:t>
            </w:r>
            <w:r w:rsidRPr="00515828">
              <w:rPr>
                <w:rFonts w:asciiTheme="majorHAnsi" w:hAnsiTheme="majorHAnsi" w:cstheme="majorHAnsi"/>
                <w:noProof/>
                <w:webHidden/>
              </w:rPr>
              <w:fldChar w:fldCharType="end"/>
            </w:r>
          </w:hyperlink>
        </w:p>
        <w:p w:rsidR="00537A91" w:rsidRPr="00515828" w:rsidP="00A030F0" w14:paraId="2233B58C" w14:textId="43C4BCB6">
          <w:pPr>
            <w:pStyle w:val="TOC2"/>
            <w:spacing w:line="276" w:lineRule="auto"/>
            <w:rPr>
              <w:rFonts w:asciiTheme="majorHAnsi" w:eastAsiaTheme="minorEastAsia" w:hAnsiTheme="majorHAnsi" w:cstheme="majorHAnsi"/>
              <w:noProof/>
              <w:color w:val="auto"/>
            </w:rPr>
          </w:pPr>
          <w:hyperlink w:anchor="_Toc16271336" w:history="1">
            <w:r w:rsidRPr="00515828">
              <w:rPr>
                <w:rStyle w:val="Hyperlink"/>
                <w:rFonts w:asciiTheme="majorHAnsi" w:hAnsiTheme="majorHAnsi" w:cstheme="majorHAnsi"/>
                <w:noProof/>
              </w:rPr>
              <w:t>A.17. OMB Number and Expiration Date</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_Toc16271336 \h </w:instrText>
            </w:r>
            <w:r w:rsidRPr="00515828">
              <w:rPr>
                <w:rFonts w:asciiTheme="majorHAnsi" w:hAnsiTheme="majorHAnsi" w:cstheme="majorHAnsi"/>
                <w:noProof/>
                <w:webHidden/>
              </w:rPr>
              <w:fldChar w:fldCharType="separate"/>
            </w:r>
            <w:r>
              <w:rPr>
                <w:rFonts w:asciiTheme="majorHAnsi" w:hAnsiTheme="majorHAnsi" w:cstheme="majorHAnsi"/>
                <w:noProof/>
                <w:webHidden/>
              </w:rPr>
              <w:t>7</w:t>
            </w:r>
            <w:r w:rsidRPr="00515828">
              <w:rPr>
                <w:rFonts w:asciiTheme="majorHAnsi" w:hAnsiTheme="majorHAnsi" w:cstheme="majorHAnsi"/>
                <w:noProof/>
                <w:webHidden/>
              </w:rPr>
              <w:fldChar w:fldCharType="end"/>
            </w:r>
          </w:hyperlink>
        </w:p>
        <w:p w:rsidR="00537A91" w:rsidRPr="00515828" w:rsidP="00A030F0" w14:paraId="34C87016" w14:textId="79D0062A">
          <w:pPr>
            <w:pStyle w:val="TOC2"/>
            <w:spacing w:line="276" w:lineRule="auto"/>
            <w:rPr>
              <w:rFonts w:asciiTheme="majorHAnsi" w:eastAsiaTheme="minorEastAsia" w:hAnsiTheme="majorHAnsi" w:cstheme="majorHAnsi"/>
              <w:noProof/>
              <w:color w:val="auto"/>
            </w:rPr>
          </w:pPr>
          <w:hyperlink w:anchor="_Toc16271337" w:history="1">
            <w:r w:rsidRPr="00515828">
              <w:rPr>
                <w:rStyle w:val="Hyperlink"/>
                <w:rFonts w:asciiTheme="majorHAnsi" w:hAnsiTheme="majorHAnsi" w:cstheme="majorHAnsi"/>
                <w:noProof/>
              </w:rPr>
              <w:t>A.18. Certification Statement</w:t>
            </w:r>
            <w:r w:rsidRPr="00515828">
              <w:rPr>
                <w:rFonts w:asciiTheme="majorHAnsi" w:hAnsiTheme="majorHAnsi" w:cstheme="majorHAnsi"/>
                <w:noProof/>
                <w:webHidden/>
              </w:rPr>
              <w:tab/>
            </w:r>
            <w:r w:rsidRPr="00515828">
              <w:rPr>
                <w:rFonts w:asciiTheme="majorHAnsi" w:hAnsiTheme="majorHAnsi" w:cstheme="majorHAnsi"/>
                <w:noProof/>
                <w:webHidden/>
              </w:rPr>
              <w:fldChar w:fldCharType="begin"/>
            </w:r>
            <w:r w:rsidRPr="00515828">
              <w:rPr>
                <w:rFonts w:asciiTheme="majorHAnsi" w:hAnsiTheme="majorHAnsi" w:cstheme="majorHAnsi"/>
                <w:noProof/>
                <w:webHidden/>
              </w:rPr>
              <w:instrText xml:space="preserve"> PAGEREF _Toc16271337 \h </w:instrText>
            </w:r>
            <w:r w:rsidRPr="00515828">
              <w:rPr>
                <w:rFonts w:asciiTheme="majorHAnsi" w:hAnsiTheme="majorHAnsi" w:cstheme="majorHAnsi"/>
                <w:noProof/>
                <w:webHidden/>
              </w:rPr>
              <w:fldChar w:fldCharType="separate"/>
            </w:r>
            <w:r>
              <w:rPr>
                <w:rFonts w:asciiTheme="majorHAnsi" w:hAnsiTheme="majorHAnsi" w:cstheme="majorHAnsi"/>
                <w:noProof/>
                <w:webHidden/>
              </w:rPr>
              <w:t>7</w:t>
            </w:r>
            <w:r w:rsidRPr="00515828">
              <w:rPr>
                <w:rFonts w:asciiTheme="majorHAnsi" w:hAnsiTheme="majorHAnsi" w:cstheme="majorHAnsi"/>
                <w:noProof/>
                <w:webHidden/>
              </w:rPr>
              <w:fldChar w:fldCharType="end"/>
            </w:r>
          </w:hyperlink>
        </w:p>
        <w:p w:rsidR="0059212D" w:rsidRPr="00515828" w:rsidP="00A030F0" w14:paraId="0880C6A0" w14:textId="77777777">
          <w:pPr>
            <w:spacing w:line="276" w:lineRule="auto"/>
            <w:rPr>
              <w:rFonts w:asciiTheme="majorHAnsi" w:hAnsiTheme="majorHAnsi" w:cstheme="majorHAnsi"/>
            </w:rPr>
          </w:pPr>
          <w:r w:rsidRPr="00515828">
            <w:rPr>
              <w:rFonts w:asciiTheme="majorHAnsi" w:hAnsiTheme="majorHAnsi" w:cstheme="majorHAnsi"/>
              <w:b/>
              <w:bCs/>
              <w:noProof/>
            </w:rPr>
            <w:fldChar w:fldCharType="end"/>
          </w:r>
        </w:p>
      </w:sdtContent>
    </w:sdt>
    <w:p w:rsidR="001F3A8F" w:rsidRPr="00515828" w:rsidP="00A030F0" w14:paraId="4F50984E" w14:textId="77777777">
      <w:pPr>
        <w:spacing w:line="276" w:lineRule="auto"/>
        <w:rPr>
          <w:rFonts w:asciiTheme="majorHAnsi" w:hAnsiTheme="majorHAnsi" w:cstheme="majorHAnsi"/>
        </w:rPr>
      </w:pPr>
    </w:p>
    <w:p w:rsidR="00D928FD" w:rsidRPr="00515828" w:rsidP="00A030F0" w14:paraId="61EFBA4E" w14:textId="77777777">
      <w:pPr>
        <w:spacing w:line="276" w:lineRule="auto"/>
        <w:rPr>
          <w:rFonts w:asciiTheme="majorHAnsi" w:hAnsiTheme="majorHAnsi" w:cstheme="majorHAnsi"/>
        </w:rPr>
        <w:sectPr w:rsidSect="00393B84">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515828" w:rsidP="00A030F0" w14:paraId="44CB3799" w14:textId="77777777">
      <w:pPr>
        <w:spacing w:line="276" w:lineRule="auto"/>
        <w:rPr>
          <w:rFonts w:asciiTheme="majorHAnsi" w:hAnsiTheme="majorHAnsi" w:cstheme="majorHAnsi"/>
        </w:rPr>
      </w:pPr>
    </w:p>
    <w:p w:rsidR="00933D5D" w:rsidRPr="00515828" w:rsidP="00A030F0" w14:paraId="4320CCB0" w14:textId="77777777">
      <w:pPr>
        <w:tabs>
          <w:tab w:val="left" w:pos="7365"/>
        </w:tabs>
        <w:spacing w:line="276" w:lineRule="auto"/>
        <w:rPr>
          <w:rFonts w:asciiTheme="majorHAnsi" w:hAnsiTheme="majorHAnsi" w:cstheme="majorHAnsi"/>
        </w:rPr>
      </w:pPr>
      <w:r w:rsidRPr="00515828">
        <w:rPr>
          <w:rFonts w:asciiTheme="majorHAnsi" w:hAnsiTheme="majorHAnsi" w:cstheme="majorHAnsi"/>
        </w:rPr>
        <w:tab/>
      </w:r>
    </w:p>
    <w:p w:rsidR="00041909" w:rsidRPr="00515828" w:rsidP="00A030F0" w14:paraId="5C594930" w14:textId="77777777">
      <w:pPr>
        <w:tabs>
          <w:tab w:val="left" w:pos="7365"/>
        </w:tabs>
        <w:spacing w:line="276" w:lineRule="auto"/>
        <w:rPr>
          <w:rFonts w:asciiTheme="majorHAnsi" w:hAnsiTheme="majorHAnsi" w:cstheme="majorHAnsi"/>
        </w:rPr>
        <w:sectPr w:rsidSect="00393B84">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rsidRPr="00515828">
        <w:rPr>
          <w:rFonts w:asciiTheme="majorHAnsi" w:hAnsiTheme="majorHAnsi" w:cstheme="majorHAnsi"/>
        </w:rPr>
        <w:tab/>
      </w:r>
    </w:p>
    <w:p w:rsidR="008C734C" w:rsidRPr="00026FE1" w:rsidP="00A030F0" w14:paraId="68599AB0" w14:textId="77777777">
      <w:pPr>
        <w:pStyle w:val="Heading2"/>
        <w:spacing w:line="276" w:lineRule="auto"/>
      </w:pPr>
      <w:bookmarkStart w:id="1" w:name="_Toc16271318"/>
      <w:r w:rsidRPr="00026FE1">
        <w:t>Introdu</w:t>
      </w:r>
      <w:r w:rsidRPr="00026FE1" w:rsidR="00844524">
        <w:t>ction</w:t>
      </w:r>
      <w:bookmarkEnd w:id="1"/>
    </w:p>
    <w:p w:rsidR="006D42EC" w:rsidRPr="00515828" w:rsidP="00A030F0" w14:paraId="5090537D" w14:textId="77777777">
      <w:pPr>
        <w:spacing w:line="276" w:lineRule="auto"/>
        <w:rPr>
          <w:rFonts w:asciiTheme="majorHAnsi" w:hAnsiTheme="majorHAnsi" w:cstheme="majorHAnsi"/>
          <w:b/>
        </w:rPr>
      </w:pPr>
      <w:r w:rsidRPr="00515828">
        <w:rPr>
          <w:rFonts w:asciiTheme="majorHAnsi" w:hAnsiTheme="majorHAnsi" w:cstheme="majorHAnsi"/>
          <w:b/>
        </w:rPr>
        <w:t xml:space="preserve">Provide a brief introduction of the </w:t>
      </w:r>
      <w:r w:rsidRPr="00515828">
        <w:rPr>
          <w:rFonts w:asciiTheme="majorHAnsi" w:hAnsiTheme="majorHAnsi" w:cstheme="majorHAnsi"/>
          <w:b/>
        </w:rPr>
        <w:t>Information Collection Request.  Include the purpose of this collection, note the publication of the 60-Day Federal Register Notice, and provide the list of forms within this collection.</w:t>
      </w:r>
    </w:p>
    <w:p w:rsidR="00A41763" w:rsidRPr="00515828" w:rsidP="00A030F0" w14:paraId="4BDFBE6C" w14:textId="77777777">
      <w:pPr>
        <w:spacing w:line="276" w:lineRule="auto"/>
        <w:rPr>
          <w:rFonts w:asciiTheme="majorHAnsi" w:hAnsiTheme="majorHAnsi" w:cstheme="majorHAnsi"/>
        </w:rPr>
      </w:pPr>
      <w:r w:rsidRPr="00515828">
        <w:rPr>
          <w:rFonts w:asciiTheme="majorHAnsi" w:hAnsiTheme="majorHAnsi" w:cstheme="majorHAnsi"/>
        </w:rPr>
        <w:t xml:space="preserve">This supporting statement provides additional information regarding the Department of Energy (DOE) request for processing of the proposed information collection, Hydroelectric Incentive Programs. </w:t>
      </w:r>
      <w:r w:rsidR="00D840AA">
        <w:rPr>
          <w:rFonts w:asciiTheme="majorHAnsi" w:hAnsiTheme="majorHAnsi" w:cstheme="majorHAnsi"/>
        </w:rPr>
        <w:t xml:space="preserve">The purpose of the collection is to determine eligibility in accordance with </w:t>
      </w:r>
      <w:r w:rsidR="00F918E3">
        <w:rPr>
          <w:rFonts w:asciiTheme="majorHAnsi" w:hAnsiTheme="majorHAnsi" w:cstheme="majorHAnsi"/>
        </w:rPr>
        <w:t xml:space="preserve">the statute, all collection will be done electronically through the Clean Energy Infrastructure Funding Opportunity Exchange and email. </w:t>
      </w:r>
      <w:r w:rsidRPr="00515828">
        <w:rPr>
          <w:rFonts w:asciiTheme="majorHAnsi" w:hAnsiTheme="majorHAnsi" w:cstheme="majorHAnsi"/>
        </w:rPr>
        <w:t>The numbered questions correspond to the order shown on the Office of Management and Budget (OMB) Form 83-I, “Instructions for Completing OMB Form 83-I.”</w:t>
      </w:r>
    </w:p>
    <w:p w:rsidR="008C734C" w:rsidRPr="00026FE1" w:rsidP="00A030F0" w14:paraId="6199112B" w14:textId="77777777">
      <w:pPr>
        <w:pStyle w:val="Heading2"/>
        <w:spacing w:line="276" w:lineRule="auto"/>
      </w:pPr>
      <w:bookmarkStart w:id="2" w:name="_Toc16271319"/>
      <w:r w:rsidRPr="00026FE1">
        <w:t>A.1. Legal Justification</w:t>
      </w:r>
      <w:bookmarkEnd w:id="2"/>
    </w:p>
    <w:p w:rsidR="00A41763" w:rsidRPr="00515828" w:rsidP="00A030F0" w14:paraId="483499F4" w14:textId="77777777">
      <w:pPr>
        <w:spacing w:line="276" w:lineRule="auto"/>
        <w:rPr>
          <w:rFonts w:asciiTheme="majorHAnsi" w:hAnsiTheme="majorHAnsi" w:cstheme="majorHAnsi"/>
        </w:rPr>
      </w:pPr>
      <w:r w:rsidRPr="00515828">
        <w:rPr>
          <w:rFonts w:asciiTheme="majorHAnsi" w:hAnsiTheme="majorHAnsi" w:cstheme="maj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1E777E" w:rsidRPr="00515828" w:rsidP="00A030F0" w14:paraId="2502FEBB" w14:textId="77777777">
      <w:pPr>
        <w:spacing w:before="240" w:after="240" w:line="276" w:lineRule="auto"/>
        <w:rPr>
          <w:rFonts w:asciiTheme="majorHAnsi" w:hAnsiTheme="majorHAnsi" w:cstheme="majorHAnsi"/>
        </w:rPr>
      </w:pPr>
      <w:r w:rsidRPr="00515828">
        <w:rPr>
          <w:rFonts w:asciiTheme="majorHAnsi" w:hAnsiTheme="majorHAnsi" w:cstheme="majorHAnsi"/>
        </w:rPr>
        <w:t>Congress directed the Secretary of Energy to make incentive payments to the owners or operators of hydroelectric facilities for: electric energy generated and sold by a qualified hydroelectric facilities (“Section 242” Hydroelectric Production Incentives, under 42 U.S.C. § 15881), capital improvements in the facilities that are directly related to improving the efficiency of such facilities (“Section 243” Hydroelectric Efficiency Improvement Incentives, under 42 U.S.C. § 15882); and for capital improvements</w:t>
      </w:r>
      <w:r w:rsidRPr="00515828">
        <w:rPr>
          <w:rFonts w:asciiTheme="majorHAnsi" w:hAnsiTheme="majorHAnsi" w:cstheme="majorHAnsi"/>
        </w:rPr>
        <w:t xml:space="preserve"> (“Section 247” Maintaining and Enhancing Hydroelectricity Incentives, under 42 U.S.C. § 15883). Collectively, these programs are known as the “Hydroelectric Incentive Programs.”</w:t>
      </w:r>
    </w:p>
    <w:p w:rsidR="001E777E" w:rsidRPr="00515828" w:rsidP="00A030F0" w14:paraId="7EF324A5" w14:textId="77777777">
      <w:pPr>
        <w:spacing w:before="240" w:after="240" w:line="276" w:lineRule="auto"/>
        <w:rPr>
          <w:rFonts w:asciiTheme="majorHAnsi" w:hAnsiTheme="majorHAnsi" w:cstheme="majorHAnsi"/>
        </w:rPr>
      </w:pPr>
      <w:r w:rsidRPr="00515828">
        <w:rPr>
          <w:rFonts w:asciiTheme="majorHAnsi" w:hAnsiTheme="majorHAnsi" w:cstheme="majorHAnsi"/>
        </w:rPr>
        <w:t xml:space="preserve">To qualify for payments under each of the Hydroelectric Incentive Programs, applicants must demonstrate that they qualify under distinct statutory definitions. For examples, applicants must demonstrate: </w:t>
      </w:r>
    </w:p>
    <w:p w:rsidR="001E777E" w:rsidRPr="00515828" w:rsidP="00A030F0" w14:paraId="50D1D08A" w14:textId="77777777">
      <w:pPr>
        <w:pStyle w:val="ListParagraph"/>
        <w:numPr>
          <w:ilvl w:val="0"/>
          <w:numId w:val="49"/>
        </w:numPr>
        <w:spacing w:before="240" w:after="240" w:line="276" w:lineRule="auto"/>
        <w:rPr>
          <w:rFonts w:asciiTheme="majorHAnsi" w:hAnsiTheme="majorHAnsi" w:cstheme="majorHAnsi"/>
        </w:rPr>
      </w:pPr>
      <w:r w:rsidRPr="00515828">
        <w:rPr>
          <w:rFonts w:asciiTheme="majorHAnsi" w:hAnsiTheme="majorHAnsi" w:cstheme="majorHAnsi"/>
        </w:rPr>
        <w:t>The facility is a “qualified hydroelectric facility” as defined by statute (Section 242</w:t>
      </w:r>
      <w:r w:rsidRPr="00515828">
        <w:rPr>
          <w:rFonts w:asciiTheme="majorHAnsi" w:hAnsiTheme="majorHAnsi" w:cstheme="majorHAnsi"/>
        </w:rPr>
        <w:t>);</w:t>
      </w:r>
      <w:r w:rsidRPr="00515828">
        <w:rPr>
          <w:rFonts w:asciiTheme="majorHAnsi" w:hAnsiTheme="majorHAnsi" w:cstheme="majorHAnsi"/>
        </w:rPr>
        <w:t xml:space="preserve">  </w:t>
      </w:r>
    </w:p>
    <w:p w:rsidR="001E777E" w:rsidRPr="00515828" w:rsidP="00A030F0" w14:paraId="1C3A2F0D" w14:textId="77777777">
      <w:pPr>
        <w:pStyle w:val="ListParagraph"/>
        <w:numPr>
          <w:ilvl w:val="0"/>
          <w:numId w:val="49"/>
        </w:numPr>
        <w:spacing w:before="240" w:after="240" w:line="276" w:lineRule="auto"/>
        <w:rPr>
          <w:rFonts w:asciiTheme="majorHAnsi" w:hAnsiTheme="majorHAnsi" w:cstheme="majorHAnsi"/>
        </w:rPr>
      </w:pPr>
      <w:r w:rsidRPr="00515828">
        <w:rPr>
          <w:rFonts w:asciiTheme="majorHAnsi" w:hAnsiTheme="majorHAnsi" w:cstheme="majorHAnsi"/>
        </w:rPr>
        <w:t>Payments to “owners or operators of hydroelectric facilities at existing dams to be used to make capital improvements in the facilities that are directly related to improving the efficiency of such facilities by at least 3 percent,” (Section 243); and</w:t>
      </w:r>
    </w:p>
    <w:p w:rsidR="008C734C" w:rsidRPr="00515828" w:rsidP="00A030F0" w14:paraId="7F2BD54B" w14:textId="77777777">
      <w:pPr>
        <w:pStyle w:val="ListParagraph"/>
        <w:numPr>
          <w:ilvl w:val="0"/>
          <w:numId w:val="49"/>
        </w:numPr>
        <w:spacing w:before="240" w:after="240" w:line="276" w:lineRule="auto"/>
        <w:rPr>
          <w:rFonts w:asciiTheme="majorHAnsi" w:hAnsiTheme="majorHAnsi" w:cstheme="majorHAnsi"/>
        </w:rPr>
      </w:pPr>
      <w:r w:rsidRPr="00515828">
        <w:rPr>
          <w:rFonts w:asciiTheme="majorHAnsi" w:hAnsiTheme="majorHAnsi" w:cstheme="majorHAnsi"/>
        </w:rPr>
        <w:t xml:space="preserve">Payments for capital improvements which directly relate to improving grid resiliency, improving dam safety, or environmental improvements (Section 247). </w:t>
      </w:r>
    </w:p>
    <w:p w:rsidR="008C734C" w:rsidRPr="00026FE1" w:rsidP="00A030F0" w14:paraId="4FA29AB4" w14:textId="77777777">
      <w:pPr>
        <w:pStyle w:val="Heading2"/>
        <w:spacing w:line="276" w:lineRule="auto"/>
      </w:pPr>
      <w:bookmarkStart w:id="3" w:name="_Toc16271320"/>
      <w:r w:rsidRPr="00026FE1">
        <w:t>A.2. Needs and Uses of Data</w:t>
      </w:r>
      <w:bookmarkEnd w:id="3"/>
    </w:p>
    <w:p w:rsidR="00A41763" w:rsidRPr="00515828" w:rsidP="00A030F0" w14:paraId="2C15B9FE" w14:textId="77777777">
      <w:pPr>
        <w:spacing w:line="276" w:lineRule="auto"/>
        <w:rPr>
          <w:rFonts w:asciiTheme="majorHAnsi" w:hAnsiTheme="majorHAnsi" w:cstheme="majorHAnsi"/>
          <w:b/>
          <w:bCs/>
        </w:rPr>
      </w:pPr>
      <w:r w:rsidRPr="00515828">
        <w:rPr>
          <w:rFonts w:asciiTheme="majorHAnsi" w:hAnsiTheme="majorHAnsi" w:cstheme="majorHAnsi"/>
          <w:b/>
          <w:bCs/>
        </w:rPr>
        <w:t xml:space="preserve">Indicate how, by whom, and for what purpose the information is to be used. Except for a new collection, indicate the actual use the agency has made of the information received from the current </w:t>
      </w:r>
      <w:r w:rsidRPr="00515828">
        <w:rPr>
          <w:rFonts w:asciiTheme="majorHAnsi" w:hAnsiTheme="majorHAnsi" w:cstheme="majorHAnsi"/>
          <w:b/>
          <w:bCs/>
        </w:rPr>
        <w:t>collection</w:t>
      </w:r>
      <w:r w:rsidRPr="00515828">
        <w:rPr>
          <w:rFonts w:asciiTheme="majorHAnsi" w:hAnsiTheme="majorHAnsi" w:cstheme="majorHAnsi"/>
          <w:b/>
          <w:bCs/>
        </w:rPr>
        <w:t xml:space="preserve"> </w:t>
      </w:r>
    </w:p>
    <w:p w:rsidR="001E777E" w:rsidRPr="00515828" w:rsidP="00A030F0" w14:paraId="588D0D81" w14:textId="77777777">
      <w:pPr>
        <w:spacing w:line="276" w:lineRule="auto"/>
        <w:rPr>
          <w:rFonts w:asciiTheme="majorHAnsi" w:hAnsiTheme="majorHAnsi" w:cstheme="majorHAnsi"/>
        </w:rPr>
      </w:pPr>
      <w:r w:rsidRPr="00515828">
        <w:rPr>
          <w:rFonts w:asciiTheme="majorHAnsi" w:hAnsiTheme="majorHAnsi" w:cstheme="majorHAnsi"/>
        </w:rPr>
        <w:t>DOE’s Grid Deployment Office (GDO) proposes to collect, via the Clean Energy Infrastructure Funding Opportunity Exchange</w:t>
      </w:r>
      <w:r w:rsidR="00542473">
        <w:rPr>
          <w:rFonts w:asciiTheme="majorHAnsi" w:hAnsiTheme="majorHAnsi" w:cstheme="majorHAnsi"/>
        </w:rPr>
        <w:t xml:space="preserve"> and email,</w:t>
      </w:r>
      <w:r w:rsidRPr="00515828">
        <w:rPr>
          <w:rFonts w:asciiTheme="majorHAnsi" w:hAnsiTheme="majorHAnsi" w:cstheme="majorHAnsi"/>
        </w:rPr>
        <w:t xml:space="preserve"> information through applications and supporting documents necessary to determine that a subject facility meets the specified statutory criteria to receive payments under the hydroelectric incentive programs</w:t>
      </w:r>
      <w:r w:rsidR="00711DF1">
        <w:rPr>
          <w:rFonts w:asciiTheme="majorHAnsi" w:hAnsiTheme="majorHAnsi" w:cstheme="majorHAnsi"/>
        </w:rPr>
        <w:t xml:space="preserve">, and for ongoing reporting requirements related to </w:t>
      </w:r>
      <w:r w:rsidR="008F23F1">
        <w:rPr>
          <w:rFonts w:asciiTheme="majorHAnsi" w:hAnsiTheme="majorHAnsi" w:cstheme="majorHAnsi"/>
        </w:rPr>
        <w:t xml:space="preserve">the </w:t>
      </w:r>
      <w:r w:rsidRPr="0003525E" w:rsidR="00711DF1">
        <w:rPr>
          <w:rFonts w:asciiTheme="majorHAnsi" w:hAnsiTheme="majorHAnsi" w:cstheme="majorHAnsi"/>
        </w:rPr>
        <w:t>hydroelectric incentive programs</w:t>
      </w:r>
      <w:r w:rsidRPr="00515828">
        <w:rPr>
          <w:rFonts w:asciiTheme="majorHAnsi" w:hAnsiTheme="majorHAnsi" w:cstheme="majorHAnsi"/>
        </w:rPr>
        <w:t>.</w:t>
      </w:r>
    </w:p>
    <w:p w:rsidR="008C734C" w:rsidRPr="00026FE1" w:rsidP="00A030F0" w14:paraId="364BEB99" w14:textId="77777777">
      <w:pPr>
        <w:pStyle w:val="Heading2"/>
        <w:spacing w:line="276" w:lineRule="auto"/>
      </w:pPr>
      <w:bookmarkStart w:id="4" w:name="_Toc16271321"/>
      <w:r w:rsidRPr="00026FE1">
        <w:t>A.</w:t>
      </w:r>
      <w:r w:rsidRPr="00026FE1" w:rsidR="00A41763">
        <w:t xml:space="preserve">3. </w:t>
      </w:r>
      <w:r w:rsidRPr="00026FE1">
        <w:t>Use of Technology</w:t>
      </w:r>
      <w:bookmarkEnd w:id="4"/>
    </w:p>
    <w:p w:rsidR="00A41763" w:rsidRPr="00515828" w:rsidP="00A030F0" w14:paraId="199A2F57" w14:textId="77777777">
      <w:pPr>
        <w:spacing w:line="276" w:lineRule="auto"/>
        <w:rPr>
          <w:rFonts w:asciiTheme="majorHAnsi" w:hAnsiTheme="majorHAnsi" w:cstheme="majorHAnsi"/>
        </w:rPr>
      </w:pPr>
      <w:r w:rsidRPr="00515828">
        <w:rPr>
          <w:rFonts w:asciiTheme="majorHAnsi" w:hAnsiTheme="majorHAnsi" w:cstheme="maj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515828" w:rsidP="00A030F0" w14:paraId="4B16DF84" w14:textId="77777777">
      <w:pPr>
        <w:spacing w:line="276" w:lineRule="auto"/>
        <w:rPr>
          <w:rFonts w:asciiTheme="majorHAnsi" w:hAnsiTheme="majorHAnsi" w:cstheme="majorHAnsi"/>
        </w:rPr>
      </w:pPr>
      <w:r w:rsidRPr="00515828">
        <w:rPr>
          <w:rFonts w:asciiTheme="majorHAnsi" w:hAnsiTheme="majorHAnsi" w:cstheme="majorHAnsi"/>
        </w:rPr>
        <w:t>GDO proposes to</w:t>
      </w:r>
      <w:r w:rsidR="00373F98">
        <w:rPr>
          <w:rFonts w:asciiTheme="majorHAnsi" w:hAnsiTheme="majorHAnsi" w:cstheme="majorHAnsi"/>
        </w:rPr>
        <w:t xml:space="preserve"> collect 100% of information electronically, </w:t>
      </w:r>
      <w:r w:rsidR="00086E5E">
        <w:rPr>
          <w:rFonts w:asciiTheme="majorHAnsi" w:hAnsiTheme="majorHAnsi" w:cstheme="majorHAnsi"/>
        </w:rPr>
        <w:t>using</w:t>
      </w:r>
      <w:r w:rsidRPr="00515828">
        <w:rPr>
          <w:rFonts w:asciiTheme="majorHAnsi" w:hAnsiTheme="majorHAnsi" w:cstheme="majorHAnsi"/>
        </w:rPr>
        <w:t xml:space="preserve"> appropriate information technology to collect applications and supporting documents electronically via the Clean Energy Infrastructure Funding Opportunity Exchange, </w:t>
      </w:r>
      <w:r w:rsidRPr="00515828" w:rsidR="00086E5E">
        <w:rPr>
          <w:rFonts w:asciiTheme="majorHAnsi" w:hAnsiTheme="majorHAnsi" w:cstheme="majorHAnsi"/>
        </w:rPr>
        <w:t>using</w:t>
      </w:r>
      <w:r w:rsidRPr="00515828">
        <w:rPr>
          <w:rFonts w:asciiTheme="majorHAnsi" w:hAnsiTheme="majorHAnsi" w:cstheme="majorHAnsi"/>
        </w:rPr>
        <w:t xml:space="preserve"> readily available software, e.g., Portable Document Format (PDF or .pdf) and Microsoft Word (.doc).</w:t>
      </w:r>
    </w:p>
    <w:p w:rsidR="008C734C" w:rsidRPr="00026FE1" w:rsidP="00A030F0" w14:paraId="4789ACA9" w14:textId="77777777">
      <w:pPr>
        <w:pStyle w:val="Heading2"/>
        <w:spacing w:line="276" w:lineRule="auto"/>
      </w:pPr>
      <w:bookmarkStart w:id="5" w:name="_Toc16271322"/>
      <w:r w:rsidRPr="00026FE1">
        <w:t>A.</w:t>
      </w:r>
      <w:r w:rsidRPr="00026FE1" w:rsidR="00A41763">
        <w:t xml:space="preserve">4. </w:t>
      </w:r>
      <w:r w:rsidRPr="00026FE1">
        <w:t>Efforts to Identify Duplication</w:t>
      </w:r>
      <w:bookmarkEnd w:id="5"/>
    </w:p>
    <w:p w:rsidR="00A41763" w:rsidRPr="00515828" w:rsidP="00A030F0" w14:paraId="07B1A3D8" w14:textId="77777777">
      <w:pPr>
        <w:spacing w:line="276" w:lineRule="auto"/>
        <w:rPr>
          <w:rFonts w:asciiTheme="majorHAnsi" w:hAnsiTheme="majorHAnsi" w:cstheme="majorHAnsi"/>
        </w:rPr>
      </w:pPr>
      <w:r w:rsidRPr="00515828">
        <w:rPr>
          <w:rFonts w:asciiTheme="majorHAnsi" w:hAnsiTheme="majorHAnsi" w:cstheme="majorHAnsi"/>
          <w:b/>
          <w:bCs/>
        </w:rPr>
        <w:t xml:space="preserve">Describe efforts to identify duplication. </w:t>
      </w:r>
    </w:p>
    <w:p w:rsidR="008C734C" w:rsidRPr="00515828" w:rsidP="00A030F0" w14:paraId="44E73DC8" w14:textId="77777777">
      <w:pPr>
        <w:spacing w:line="276" w:lineRule="auto"/>
        <w:rPr>
          <w:rFonts w:asciiTheme="majorHAnsi" w:hAnsiTheme="majorHAnsi" w:cstheme="majorHAnsi"/>
        </w:rPr>
      </w:pPr>
      <w:r w:rsidRPr="00515828">
        <w:rPr>
          <w:rFonts w:asciiTheme="majorHAnsi" w:hAnsiTheme="majorHAnsi" w:cstheme="majorHAnsi"/>
        </w:rPr>
        <w:t>To GDO and DOE’s knowledge, there is no other duplicate effort to collect this information.</w:t>
      </w:r>
    </w:p>
    <w:p w:rsidR="008C734C" w:rsidRPr="00026FE1" w:rsidP="00A030F0" w14:paraId="7639F0DA" w14:textId="77777777">
      <w:pPr>
        <w:pStyle w:val="Heading2"/>
        <w:spacing w:line="276" w:lineRule="auto"/>
      </w:pPr>
      <w:bookmarkStart w:id="6" w:name="_Toc16271323"/>
      <w:r w:rsidRPr="00026FE1">
        <w:t>A.</w:t>
      </w:r>
      <w:r w:rsidRPr="00026FE1" w:rsidR="00A41763">
        <w:t xml:space="preserve">5. </w:t>
      </w:r>
      <w:r w:rsidRPr="00026FE1">
        <w:t>Provisions for Reducing Burden on Small Businesses</w:t>
      </w:r>
      <w:bookmarkEnd w:id="6"/>
      <w:r w:rsidRPr="00026FE1">
        <w:t xml:space="preserve"> </w:t>
      </w:r>
    </w:p>
    <w:p w:rsidR="00A41763" w:rsidRPr="00515828" w:rsidP="00A030F0" w14:paraId="27D9DB2D" w14:textId="77777777">
      <w:pPr>
        <w:spacing w:line="276" w:lineRule="auto"/>
        <w:rPr>
          <w:rFonts w:asciiTheme="majorHAnsi" w:hAnsiTheme="majorHAnsi" w:cstheme="majorHAnsi"/>
        </w:rPr>
      </w:pPr>
      <w:r w:rsidRPr="00515828">
        <w:rPr>
          <w:rFonts w:asciiTheme="majorHAnsi" w:hAnsiTheme="majorHAnsi" w:cstheme="majorHAnsi"/>
          <w:b/>
          <w:bCs/>
        </w:rPr>
        <w:t xml:space="preserve">If the collection of information impacts small businesses or other small entities, describe any methods used to minimize burden. </w:t>
      </w:r>
    </w:p>
    <w:p w:rsidR="008C734C" w:rsidRPr="00515828" w:rsidP="00A030F0" w14:paraId="6BBA0A1D" w14:textId="77777777">
      <w:pPr>
        <w:spacing w:line="276" w:lineRule="auto"/>
        <w:rPr>
          <w:rFonts w:asciiTheme="majorHAnsi" w:hAnsiTheme="majorHAnsi" w:cstheme="majorHAnsi"/>
        </w:rPr>
      </w:pPr>
      <w:r w:rsidRPr="00515828">
        <w:rPr>
          <w:rFonts w:asciiTheme="majorHAnsi" w:hAnsiTheme="majorHAnsi" w:cstheme="majorHAnsi"/>
        </w:rPr>
        <w:t xml:space="preserve">To the extent the proposed information collection would impact small businesses, the information collected is information that the applicant is expected to already have available (e.g., the location and physical address of the subject facility; a description of the generation source; appropriate determination from the Federal Energy Regulatory Commission (FERC) required to operate the facility; documentation of FERC construction authorization;  details on how the hydroelectric energy generated from the new </w:t>
      </w:r>
      <w:r w:rsidRPr="00515828">
        <w:rPr>
          <w:rFonts w:asciiTheme="majorHAnsi" w:hAnsiTheme="majorHAnsi" w:cstheme="majorHAnsi"/>
        </w:rPr>
        <w:t>unit(s) is metered; the total amount of electric energy for the calendar year in which payment is requested; a statement, invoice, or bill of sale for the annual and monthly metered net hydroelectric energy generated and sold during the application period and a table summarizing monthly invoice amounts).  It is expected that applicant will rely on existing record keeping systems to generate and maintain the information.</w:t>
      </w:r>
    </w:p>
    <w:p w:rsidR="008C734C" w:rsidRPr="00026FE1" w:rsidP="00A030F0" w14:paraId="5B22E049" w14:textId="77777777">
      <w:pPr>
        <w:pStyle w:val="Heading2"/>
        <w:spacing w:line="276" w:lineRule="auto"/>
      </w:pPr>
      <w:bookmarkStart w:id="7" w:name="_Toc16271324"/>
      <w:r w:rsidRPr="00026FE1">
        <w:t>A.</w:t>
      </w:r>
      <w:r w:rsidRPr="00026FE1" w:rsidR="00A41763">
        <w:t xml:space="preserve">6. </w:t>
      </w:r>
      <w:r w:rsidRPr="00026FE1">
        <w:t>Consequences of Less-Frequent Reporting</w:t>
      </w:r>
      <w:bookmarkEnd w:id="7"/>
    </w:p>
    <w:p w:rsidR="001E777E" w:rsidRPr="00515828" w:rsidP="00A030F0" w14:paraId="64034422" w14:textId="77777777">
      <w:pPr>
        <w:spacing w:line="276" w:lineRule="auto"/>
        <w:rPr>
          <w:rFonts w:asciiTheme="majorHAnsi" w:hAnsiTheme="majorHAnsi" w:cstheme="majorHAnsi"/>
        </w:rPr>
      </w:pPr>
      <w:r w:rsidRPr="00515828">
        <w:rPr>
          <w:rFonts w:asciiTheme="majorHAnsi" w:hAnsiTheme="majorHAnsi" w:cstheme="majorHAnsi"/>
          <w:b/>
          <w:bCs/>
        </w:rPr>
        <w:t xml:space="preserve">Describe the consequence to Federal program or policy activities if the collection is not conducted or is conducted less frequently, as well as any technical or legal obstacles to reducing burden. </w:t>
      </w:r>
    </w:p>
    <w:p w:rsidR="008C734C" w:rsidRPr="00515828" w:rsidP="00A030F0" w14:paraId="6C59B09A" w14:textId="77777777">
      <w:pPr>
        <w:spacing w:line="276" w:lineRule="auto"/>
        <w:rPr>
          <w:rFonts w:asciiTheme="majorHAnsi" w:hAnsiTheme="majorHAnsi" w:cstheme="majorHAnsi"/>
        </w:rPr>
      </w:pPr>
      <w:r w:rsidRPr="00515828">
        <w:rPr>
          <w:rFonts w:asciiTheme="majorHAnsi" w:hAnsiTheme="majorHAnsi" w:cstheme="majorHAnsi"/>
        </w:rPr>
        <w:t>The proposed information collection is necessary to verify that the subject facilities meet statutory requirements to qualify for a financial incentive.  As the incentives are specific to activities that occur within a particular year, there are no alternatives to collecting the information less than once-annually.  Absent this collection there is no means to verify the eligibility for an incentive</w:t>
      </w:r>
      <w:r w:rsidR="001C499A">
        <w:rPr>
          <w:rFonts w:asciiTheme="majorHAnsi" w:hAnsiTheme="majorHAnsi" w:cstheme="majorHAnsi"/>
        </w:rPr>
        <w:t xml:space="preserve"> or that </w:t>
      </w:r>
      <w:r w:rsidR="00026FE1">
        <w:rPr>
          <w:rFonts w:asciiTheme="majorHAnsi" w:hAnsiTheme="majorHAnsi" w:cstheme="majorHAnsi"/>
        </w:rPr>
        <w:t>incentive</w:t>
      </w:r>
      <w:r w:rsidR="001C499A">
        <w:rPr>
          <w:rFonts w:asciiTheme="majorHAnsi" w:hAnsiTheme="majorHAnsi" w:cstheme="majorHAnsi"/>
        </w:rPr>
        <w:t xml:space="preserve"> payments are used for the purposes outlined </w:t>
      </w:r>
      <w:r w:rsidR="00026FE1">
        <w:rPr>
          <w:rFonts w:asciiTheme="majorHAnsi" w:hAnsiTheme="majorHAnsi" w:cstheme="majorHAnsi"/>
        </w:rPr>
        <w:t>by Congress, hence ongoing reporting requirements</w:t>
      </w:r>
      <w:r w:rsidRPr="00515828">
        <w:rPr>
          <w:rFonts w:asciiTheme="majorHAnsi" w:hAnsiTheme="majorHAnsi" w:cstheme="majorHAnsi"/>
        </w:rPr>
        <w:t xml:space="preserve">.      </w:t>
      </w:r>
    </w:p>
    <w:p w:rsidR="008C734C" w:rsidRPr="00026FE1" w:rsidP="00A030F0" w14:paraId="47D9057F" w14:textId="77777777">
      <w:pPr>
        <w:pStyle w:val="Heading2"/>
        <w:spacing w:line="276" w:lineRule="auto"/>
      </w:pPr>
      <w:bookmarkStart w:id="8" w:name="_Toc16271325"/>
      <w:r w:rsidRPr="00026FE1">
        <w:t>A.</w:t>
      </w:r>
      <w:r w:rsidRPr="00026FE1" w:rsidR="00A41763">
        <w:t xml:space="preserve">7. </w:t>
      </w:r>
      <w:r w:rsidRPr="00026FE1">
        <w:t>Compliance with 5 CFR 1320.5</w:t>
      </w:r>
      <w:bookmarkEnd w:id="8"/>
    </w:p>
    <w:p w:rsidR="00DB6FBD" w:rsidRPr="00515828" w:rsidP="00A030F0" w14:paraId="6BB4B539" w14:textId="77777777">
      <w:pPr>
        <w:spacing w:line="276" w:lineRule="auto"/>
        <w:rPr>
          <w:rFonts w:asciiTheme="majorHAnsi" w:hAnsiTheme="majorHAnsi" w:cstheme="majorHAnsi"/>
          <w:b/>
          <w:bCs/>
        </w:rPr>
      </w:pPr>
      <w:r w:rsidRPr="00515828">
        <w:rPr>
          <w:rFonts w:asciiTheme="majorHAnsi" w:hAnsiTheme="majorHAnsi" w:cstheme="majorHAnsi"/>
          <w:b/>
          <w:bCs/>
        </w:rPr>
        <w:t xml:space="preserve">Explain any special circumstances that require the collection to be conducted in a manner inconsistent with OMB guidelines: </w:t>
      </w:r>
    </w:p>
    <w:p w:rsidR="00DB6FBD" w:rsidRPr="00515828" w:rsidP="00A030F0" w14:paraId="0E992E9E" w14:textId="77777777">
      <w:pPr>
        <w:spacing w:line="276" w:lineRule="auto"/>
        <w:rPr>
          <w:rFonts w:asciiTheme="majorHAnsi" w:hAnsiTheme="majorHAnsi" w:cstheme="majorHAnsi"/>
          <w:b/>
          <w:bCs/>
        </w:rPr>
      </w:pPr>
      <w:r w:rsidRPr="00515828">
        <w:rPr>
          <w:rFonts w:asciiTheme="majorHAnsi" w:hAnsiTheme="majorHAnsi" w:cstheme="majorHAnsi"/>
          <w:b/>
          <w:bCs/>
        </w:rPr>
        <w:t xml:space="preserve">(a) requiring respondents to report information to the agency more often than </w:t>
      </w:r>
      <w:r w:rsidRPr="00515828">
        <w:rPr>
          <w:rFonts w:asciiTheme="majorHAnsi" w:hAnsiTheme="majorHAnsi" w:cstheme="majorHAnsi"/>
          <w:b/>
          <w:bCs/>
        </w:rPr>
        <w:t>quarterly;</w:t>
      </w:r>
      <w:r w:rsidRPr="00515828">
        <w:rPr>
          <w:rFonts w:asciiTheme="majorHAnsi" w:hAnsiTheme="majorHAnsi" w:cstheme="majorHAnsi"/>
          <w:b/>
          <w:bCs/>
        </w:rPr>
        <w:t xml:space="preserve"> </w:t>
      </w:r>
    </w:p>
    <w:p w:rsidR="00DB6FBD" w:rsidRPr="00515828" w:rsidP="00A030F0" w14:paraId="259E0DE2" w14:textId="77777777">
      <w:pPr>
        <w:spacing w:line="276" w:lineRule="auto"/>
        <w:rPr>
          <w:rFonts w:asciiTheme="majorHAnsi" w:hAnsiTheme="majorHAnsi" w:cstheme="majorHAnsi"/>
          <w:b/>
          <w:bCs/>
        </w:rPr>
      </w:pPr>
      <w:r w:rsidRPr="00515828">
        <w:rPr>
          <w:rFonts w:asciiTheme="majorHAnsi" w:hAnsiTheme="majorHAnsi" w:cstheme="majorHAnsi"/>
          <w:b/>
          <w:bCs/>
        </w:rPr>
        <w:t xml:space="preserve">(b) requiring respondents to prepare a written response to a collection of information in fewer than 30 days after receipt of </w:t>
      </w:r>
      <w:r w:rsidRPr="00515828">
        <w:rPr>
          <w:rFonts w:asciiTheme="majorHAnsi" w:hAnsiTheme="majorHAnsi" w:cstheme="majorHAnsi"/>
          <w:b/>
          <w:bCs/>
        </w:rPr>
        <w:t>it;</w:t>
      </w:r>
      <w:r w:rsidRPr="00515828">
        <w:rPr>
          <w:rFonts w:asciiTheme="majorHAnsi" w:hAnsiTheme="majorHAnsi" w:cstheme="majorHAnsi"/>
          <w:b/>
          <w:bCs/>
        </w:rPr>
        <w:t xml:space="preserve"> </w:t>
      </w:r>
    </w:p>
    <w:p w:rsidR="00DB6FBD" w:rsidRPr="00515828" w:rsidP="00A030F0" w14:paraId="3B877091" w14:textId="77777777">
      <w:pPr>
        <w:spacing w:line="276" w:lineRule="auto"/>
        <w:rPr>
          <w:rFonts w:asciiTheme="majorHAnsi" w:hAnsiTheme="majorHAnsi" w:cstheme="majorHAnsi"/>
          <w:b/>
          <w:bCs/>
        </w:rPr>
      </w:pPr>
      <w:r w:rsidRPr="00515828">
        <w:rPr>
          <w:rFonts w:asciiTheme="majorHAnsi" w:hAnsiTheme="majorHAnsi" w:cstheme="majorHAnsi"/>
          <w:b/>
          <w:bCs/>
        </w:rPr>
        <w:t xml:space="preserve">(c) requiring respondents to submit more than an original and two copies of any </w:t>
      </w:r>
      <w:r w:rsidRPr="00515828">
        <w:rPr>
          <w:rFonts w:asciiTheme="majorHAnsi" w:hAnsiTheme="majorHAnsi" w:cstheme="majorHAnsi"/>
          <w:b/>
          <w:bCs/>
        </w:rPr>
        <w:t>document;</w:t>
      </w:r>
      <w:r w:rsidRPr="00515828">
        <w:rPr>
          <w:rFonts w:asciiTheme="majorHAnsi" w:hAnsiTheme="majorHAnsi" w:cstheme="majorHAnsi"/>
          <w:b/>
          <w:bCs/>
        </w:rPr>
        <w:t xml:space="preserve"> </w:t>
      </w:r>
    </w:p>
    <w:p w:rsidR="00DB6FBD" w:rsidRPr="00515828" w:rsidP="00A030F0" w14:paraId="55F63FDE" w14:textId="77777777">
      <w:pPr>
        <w:spacing w:line="276" w:lineRule="auto"/>
        <w:rPr>
          <w:rFonts w:asciiTheme="majorHAnsi" w:hAnsiTheme="majorHAnsi" w:cstheme="majorHAnsi"/>
          <w:b/>
          <w:bCs/>
        </w:rPr>
      </w:pPr>
      <w:r w:rsidRPr="00515828">
        <w:rPr>
          <w:rFonts w:asciiTheme="majorHAnsi" w:hAnsiTheme="majorHAnsi" w:cstheme="majorHAnsi"/>
          <w:b/>
          <w:bCs/>
        </w:rPr>
        <w:t xml:space="preserve">(d) requiring respondents to retain records, other than health, medical government contract, grant-in-aid, or tax records, for more than three </w:t>
      </w:r>
      <w:r w:rsidRPr="00515828">
        <w:rPr>
          <w:rFonts w:asciiTheme="majorHAnsi" w:hAnsiTheme="majorHAnsi" w:cstheme="majorHAnsi"/>
          <w:b/>
          <w:bCs/>
        </w:rPr>
        <w:t>years;</w:t>
      </w:r>
      <w:r w:rsidRPr="00515828">
        <w:rPr>
          <w:rFonts w:asciiTheme="majorHAnsi" w:hAnsiTheme="majorHAnsi" w:cstheme="majorHAnsi"/>
          <w:b/>
          <w:bCs/>
        </w:rPr>
        <w:t xml:space="preserve"> </w:t>
      </w:r>
    </w:p>
    <w:p w:rsidR="00DB6FBD" w:rsidRPr="00515828" w:rsidP="00A030F0" w14:paraId="62FD15A4" w14:textId="77777777">
      <w:pPr>
        <w:spacing w:line="276" w:lineRule="auto"/>
        <w:rPr>
          <w:rFonts w:asciiTheme="majorHAnsi" w:hAnsiTheme="majorHAnsi" w:cstheme="majorHAnsi"/>
          <w:b/>
          <w:bCs/>
        </w:rPr>
      </w:pPr>
      <w:r w:rsidRPr="00515828">
        <w:rPr>
          <w:rFonts w:asciiTheme="majorHAnsi" w:hAnsiTheme="majorHAnsi" w:cstheme="majorHAnsi"/>
          <w:b/>
          <w:bCs/>
        </w:rPr>
        <w:t xml:space="preserve">(e) in connection with a statistical survey, that is not designed to product valid and reliable results that can be generalized to the universe of </w:t>
      </w:r>
      <w:r w:rsidRPr="00515828">
        <w:rPr>
          <w:rFonts w:asciiTheme="majorHAnsi" w:hAnsiTheme="majorHAnsi" w:cstheme="majorHAnsi"/>
          <w:b/>
          <w:bCs/>
        </w:rPr>
        <w:t>study;</w:t>
      </w:r>
      <w:r w:rsidRPr="00515828">
        <w:rPr>
          <w:rFonts w:asciiTheme="majorHAnsi" w:hAnsiTheme="majorHAnsi" w:cstheme="majorHAnsi"/>
          <w:b/>
          <w:bCs/>
        </w:rPr>
        <w:t xml:space="preserve"> </w:t>
      </w:r>
    </w:p>
    <w:p w:rsidR="00DB6FBD" w:rsidRPr="00515828" w:rsidP="00A030F0" w14:paraId="2234274C" w14:textId="77777777">
      <w:pPr>
        <w:spacing w:line="276" w:lineRule="auto"/>
        <w:rPr>
          <w:rFonts w:asciiTheme="majorHAnsi" w:hAnsiTheme="majorHAnsi" w:cstheme="majorHAnsi"/>
          <w:b/>
          <w:bCs/>
        </w:rPr>
      </w:pPr>
      <w:r w:rsidRPr="00515828">
        <w:rPr>
          <w:rFonts w:asciiTheme="majorHAnsi" w:hAnsiTheme="majorHAnsi" w:cstheme="majorHAnsi"/>
          <w:b/>
          <w:bCs/>
        </w:rPr>
        <w:t xml:space="preserve">(f) requiring the use of statistical data classification that has not been reviewed and approved by </w:t>
      </w:r>
      <w:r w:rsidRPr="00515828">
        <w:rPr>
          <w:rFonts w:asciiTheme="majorHAnsi" w:hAnsiTheme="majorHAnsi" w:cstheme="majorHAnsi"/>
          <w:b/>
          <w:bCs/>
        </w:rPr>
        <w:t>OMB;</w:t>
      </w:r>
      <w:r w:rsidRPr="00515828">
        <w:rPr>
          <w:rFonts w:asciiTheme="majorHAnsi" w:hAnsiTheme="majorHAnsi" w:cstheme="majorHAnsi"/>
          <w:b/>
          <w:bCs/>
        </w:rPr>
        <w:t xml:space="preserve"> </w:t>
      </w:r>
    </w:p>
    <w:p w:rsidR="00DB6FBD" w:rsidRPr="00515828" w:rsidP="00A030F0" w14:paraId="45D4459B" w14:textId="77777777">
      <w:pPr>
        <w:spacing w:line="276" w:lineRule="auto"/>
        <w:rPr>
          <w:rFonts w:asciiTheme="majorHAnsi" w:hAnsiTheme="majorHAnsi" w:cstheme="majorHAnsi"/>
          <w:b/>
          <w:bCs/>
        </w:rPr>
      </w:pPr>
      <w:r w:rsidRPr="00515828">
        <w:rPr>
          <w:rFonts w:asciiTheme="majorHAnsi" w:hAnsiTheme="majorHAnsi" w:cstheme="majorHAnsi"/>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515828" w:rsidP="00A030F0" w14:paraId="7B7F3195" w14:textId="77777777">
      <w:pPr>
        <w:spacing w:line="276" w:lineRule="auto"/>
        <w:rPr>
          <w:rFonts w:asciiTheme="majorHAnsi" w:hAnsiTheme="majorHAnsi" w:cstheme="majorHAnsi"/>
        </w:rPr>
      </w:pPr>
      <w:r w:rsidRPr="00515828">
        <w:rPr>
          <w:rFonts w:asciiTheme="majorHAnsi" w:hAnsiTheme="majorHAnsi" w:cstheme="maj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515828" w:rsidP="00A030F0" w14:paraId="599E1F02" w14:textId="77777777">
      <w:pPr>
        <w:spacing w:before="240" w:after="240" w:line="276" w:lineRule="auto"/>
        <w:rPr>
          <w:rFonts w:asciiTheme="majorHAnsi" w:hAnsiTheme="majorHAnsi" w:cstheme="majorHAnsi"/>
          <w:sz w:val="24"/>
          <w:szCs w:val="24"/>
        </w:rPr>
      </w:pPr>
      <w:r w:rsidRPr="00515828">
        <w:rPr>
          <w:rFonts w:asciiTheme="majorHAnsi" w:hAnsiTheme="majorHAnsi" w:cstheme="majorHAnsi"/>
          <w:sz w:val="24"/>
          <w:szCs w:val="24"/>
        </w:rPr>
        <w:t>There are no special circumstances that require the collection to be conducted in a manner inconsistent with OMB guidelines.  The information collection is being conducted in a manner that is consistent with OMB guidelines.</w:t>
      </w:r>
    </w:p>
    <w:p w:rsidR="008C734C" w:rsidRPr="00026FE1" w:rsidP="00A030F0" w14:paraId="22186F90" w14:textId="77777777">
      <w:pPr>
        <w:pStyle w:val="Heading2"/>
        <w:spacing w:line="276" w:lineRule="auto"/>
      </w:pPr>
      <w:bookmarkStart w:id="9" w:name="_Toc16271326"/>
      <w:r w:rsidRPr="00026FE1">
        <w:t>A.</w:t>
      </w:r>
      <w:r w:rsidRPr="00026FE1" w:rsidR="00A41763">
        <w:t xml:space="preserve">8. </w:t>
      </w:r>
      <w:r w:rsidRPr="00026FE1">
        <w:t>Summary of Consultations Outside of the Agency</w:t>
      </w:r>
      <w:bookmarkEnd w:id="9"/>
    </w:p>
    <w:p w:rsidR="00A41763" w:rsidRPr="00515828" w:rsidP="00A030F0" w14:paraId="1E7CA701" w14:textId="77777777">
      <w:pPr>
        <w:spacing w:line="276" w:lineRule="auto"/>
        <w:rPr>
          <w:rFonts w:asciiTheme="majorHAnsi" w:hAnsiTheme="majorHAnsi" w:cstheme="majorHAnsi"/>
        </w:rPr>
      </w:pPr>
      <w:r w:rsidRPr="00515828">
        <w:rPr>
          <w:rFonts w:asciiTheme="majorHAnsi" w:hAnsiTheme="majorHAnsi" w:cstheme="majorHAnsi"/>
          <w:b/>
          <w:bCs/>
        </w:rPr>
        <w:t xml:space="preserve">If applicable, provide a copy and identify the date and page number of </w:t>
      </w:r>
      <w:r w:rsidRPr="00515828">
        <w:rPr>
          <w:rFonts w:asciiTheme="majorHAnsi" w:hAnsiTheme="majorHAnsi" w:cstheme="majorHAnsi"/>
          <w:b/>
          <w:bCs/>
        </w:rPr>
        <w:t>publication</w:t>
      </w:r>
      <w:r w:rsidRPr="00515828">
        <w:rPr>
          <w:rFonts w:asciiTheme="majorHAnsi" w:hAnsiTheme="majorHAnsi" w:cstheme="majorHAnsi"/>
          <w:b/>
          <w:bCs/>
        </w:rPr>
        <w:t xml:space="preserve"> in the Federal Register of the </w:t>
      </w:r>
      <w:r w:rsidRPr="00515828">
        <w:rPr>
          <w:rFonts w:asciiTheme="majorHAnsi" w:hAnsiTheme="majorHAnsi" w:cstheme="majorHAnsi"/>
          <w:b/>
          <w:bCs/>
        </w:rPr>
        <w:t xml:space="preserve">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w:t>
      </w:r>
      <w:r w:rsidRPr="00515828">
        <w:rPr>
          <w:rFonts w:asciiTheme="majorHAnsi" w:hAnsiTheme="majorHAnsi" w:cstheme="majorHAnsi"/>
          <w:b/>
          <w:bCs/>
        </w:rPr>
        <w:t>(if any), and on the data elements to be recorded, disclosed, or report.</w:t>
      </w:r>
    </w:p>
    <w:p w:rsidR="002C79E9" w:rsidRPr="00515828" w:rsidP="00A030F0" w14:paraId="2F1F93FA" w14:textId="77777777">
      <w:pPr>
        <w:spacing w:line="276" w:lineRule="auto"/>
        <w:rPr>
          <w:rFonts w:asciiTheme="majorHAnsi" w:hAnsiTheme="majorHAnsi" w:cstheme="majorHAnsi"/>
          <w:sz w:val="24"/>
          <w:szCs w:val="24"/>
        </w:rPr>
      </w:pPr>
      <w:r w:rsidRPr="00515828">
        <w:rPr>
          <w:rFonts w:asciiTheme="majorHAnsi" w:hAnsiTheme="majorHAnsi" w:cstheme="majorHAnsi"/>
          <w:sz w:val="24"/>
          <w:szCs w:val="24"/>
        </w:rPr>
        <w:t xml:space="preserve">DOE published a 60-day Federal Register Notice and Request for Comments concerning this collection; 88 FR 3399 (January 19, 2023).  </w:t>
      </w:r>
    </w:p>
    <w:p w:rsidR="002C79E9" w:rsidRPr="00515828" w:rsidP="00A030F0" w14:paraId="697CA3A7" w14:textId="77777777">
      <w:pPr>
        <w:spacing w:line="276" w:lineRule="auto"/>
        <w:rPr>
          <w:rFonts w:asciiTheme="majorHAnsi" w:hAnsiTheme="majorHAnsi" w:cstheme="majorHAnsi"/>
          <w:sz w:val="24"/>
          <w:szCs w:val="24"/>
        </w:rPr>
      </w:pPr>
      <w:r w:rsidRPr="00515828">
        <w:rPr>
          <w:rFonts w:asciiTheme="majorHAnsi" w:hAnsiTheme="majorHAnsi" w:cstheme="majorHAnsi"/>
          <w:sz w:val="24"/>
          <w:szCs w:val="24"/>
        </w:rPr>
        <w:t xml:space="preserve">No comments were received by DOE in response to the 60-day Notice and Request for Comments.  </w:t>
      </w:r>
    </w:p>
    <w:p w:rsidR="008C734C" w:rsidP="00A030F0" w14:paraId="6D9F2298" w14:textId="77777777">
      <w:pPr>
        <w:spacing w:line="276" w:lineRule="auto"/>
        <w:rPr>
          <w:rFonts w:asciiTheme="majorHAnsi" w:hAnsiTheme="majorHAnsi" w:cstheme="majorBidi"/>
          <w:sz w:val="24"/>
          <w:szCs w:val="24"/>
        </w:rPr>
      </w:pPr>
      <w:r w:rsidRPr="429C2568">
        <w:rPr>
          <w:rFonts w:asciiTheme="majorHAnsi" w:hAnsiTheme="majorHAnsi" w:cstheme="majorBidi"/>
          <w:sz w:val="24"/>
          <w:szCs w:val="24"/>
        </w:rPr>
        <w:t>Additionally, DOE presented a webinar on the Hydroelectric Incentive Programs on February 16, 2023</w:t>
      </w:r>
      <w:r w:rsidRPr="429C2568" w:rsidR="31690611">
        <w:rPr>
          <w:rFonts w:asciiTheme="majorHAnsi" w:hAnsiTheme="majorHAnsi" w:cstheme="majorBidi"/>
          <w:sz w:val="24"/>
          <w:szCs w:val="24"/>
        </w:rPr>
        <w:t>,</w:t>
      </w:r>
      <w:r w:rsidRPr="429C2568">
        <w:rPr>
          <w:rFonts w:asciiTheme="majorHAnsi" w:hAnsiTheme="majorHAnsi" w:cstheme="majorBidi"/>
          <w:sz w:val="24"/>
          <w:szCs w:val="24"/>
        </w:rPr>
        <w:t xml:space="preserve"> at which participants </w:t>
      </w:r>
      <w:r w:rsidRPr="429C2568" w:rsidR="00373F98">
        <w:rPr>
          <w:rFonts w:asciiTheme="majorHAnsi" w:hAnsiTheme="majorHAnsi" w:cstheme="majorBidi"/>
          <w:sz w:val="24"/>
          <w:szCs w:val="24"/>
        </w:rPr>
        <w:t xml:space="preserve">from the hydropower industry </w:t>
      </w:r>
      <w:r w:rsidRPr="429C2568">
        <w:rPr>
          <w:rFonts w:asciiTheme="majorHAnsi" w:hAnsiTheme="majorHAnsi" w:cstheme="majorBidi"/>
          <w:sz w:val="24"/>
          <w:szCs w:val="24"/>
        </w:rPr>
        <w:t>provided comment on the proposed collection.  Those comments are addressed in the following sections.</w:t>
      </w:r>
    </w:p>
    <w:p w:rsidR="002E626E" w:rsidP="00A030F0" w14:paraId="0CFF14C3" w14:textId="77777777">
      <w:pPr>
        <w:spacing w:line="276" w:lineRule="auto"/>
        <w:rPr>
          <w:rFonts w:asciiTheme="majorHAnsi" w:hAnsiTheme="majorHAnsi" w:cstheme="majorBidi"/>
          <w:sz w:val="24"/>
          <w:szCs w:val="24"/>
        </w:rPr>
      </w:pPr>
      <w:r>
        <w:rPr>
          <w:rFonts w:asciiTheme="majorHAnsi" w:hAnsiTheme="majorHAnsi" w:cstheme="majorBidi"/>
          <w:sz w:val="24"/>
          <w:szCs w:val="24"/>
        </w:rPr>
        <w:t xml:space="preserve">DOE published a 30-day Federal Register Notice and Request for Comments concerning this collection; 89 FR </w:t>
      </w:r>
      <w:r w:rsidR="007C7FC1">
        <w:rPr>
          <w:rFonts w:asciiTheme="majorHAnsi" w:hAnsiTheme="majorHAnsi" w:cstheme="majorBidi"/>
          <w:sz w:val="24"/>
          <w:szCs w:val="24"/>
        </w:rPr>
        <w:t>15986 (March 6, 2024).</w:t>
      </w:r>
    </w:p>
    <w:p w:rsidR="007C7FC1" w:rsidRPr="00515828" w:rsidP="00A030F0" w14:paraId="30CC33EA" w14:textId="77777777">
      <w:pPr>
        <w:spacing w:line="276" w:lineRule="auto"/>
        <w:rPr>
          <w:rFonts w:asciiTheme="majorHAnsi" w:hAnsiTheme="majorHAnsi" w:cstheme="majorBidi"/>
          <w:sz w:val="24"/>
          <w:szCs w:val="24"/>
        </w:rPr>
      </w:pPr>
      <w:r>
        <w:rPr>
          <w:rFonts w:asciiTheme="majorHAnsi" w:hAnsiTheme="majorHAnsi" w:cstheme="majorBidi"/>
          <w:sz w:val="24"/>
          <w:szCs w:val="24"/>
        </w:rPr>
        <w:t>No comments were received by DOE in response to the 30-day Notice and Request for Comments.</w:t>
      </w:r>
    </w:p>
    <w:p w:rsidR="008C734C" w:rsidRPr="00026FE1" w:rsidP="00A030F0" w14:paraId="24F05EE4" w14:textId="77777777">
      <w:pPr>
        <w:pStyle w:val="Heading2"/>
        <w:spacing w:line="276" w:lineRule="auto"/>
      </w:pPr>
      <w:bookmarkStart w:id="10" w:name="_Toc16271327"/>
      <w:r w:rsidRPr="00026FE1">
        <w:t>A.</w:t>
      </w:r>
      <w:r w:rsidRPr="00026FE1" w:rsidR="00A41763">
        <w:t xml:space="preserve">9. </w:t>
      </w:r>
      <w:r w:rsidRPr="00026FE1">
        <w:t>Payments or Gifts to Respondents</w:t>
      </w:r>
      <w:bookmarkEnd w:id="10"/>
      <w:r w:rsidRPr="00026FE1">
        <w:t xml:space="preserve"> </w:t>
      </w:r>
    </w:p>
    <w:p w:rsidR="00A41763" w:rsidRPr="00515828" w:rsidP="00A030F0" w14:paraId="34752439" w14:textId="77777777">
      <w:pPr>
        <w:spacing w:line="276" w:lineRule="auto"/>
        <w:rPr>
          <w:rFonts w:asciiTheme="majorHAnsi" w:hAnsiTheme="majorHAnsi" w:cstheme="majorHAnsi"/>
        </w:rPr>
      </w:pPr>
      <w:r w:rsidRPr="00515828">
        <w:rPr>
          <w:rFonts w:asciiTheme="majorHAnsi" w:hAnsiTheme="majorHAnsi" w:cstheme="majorHAnsi"/>
          <w:b/>
          <w:bCs/>
        </w:rPr>
        <w:t xml:space="preserve">Explain any decision to provide any payment or gift to respondents, other than </w:t>
      </w:r>
      <w:r w:rsidRPr="00515828" w:rsidR="001A6E9A">
        <w:rPr>
          <w:rFonts w:asciiTheme="majorHAnsi" w:hAnsiTheme="majorHAnsi" w:cstheme="majorHAnsi"/>
          <w:b/>
          <w:bCs/>
        </w:rPr>
        <w:t>remuneration</w:t>
      </w:r>
      <w:r w:rsidRPr="00515828">
        <w:rPr>
          <w:rFonts w:asciiTheme="majorHAnsi" w:hAnsiTheme="majorHAnsi" w:cstheme="majorHAnsi"/>
          <w:b/>
          <w:bCs/>
        </w:rPr>
        <w:t xml:space="preserve"> of contractors or grantees. </w:t>
      </w:r>
    </w:p>
    <w:p w:rsidR="008C734C" w:rsidRPr="00515828" w:rsidP="00A030F0" w14:paraId="0CFB7EEB" w14:textId="77777777">
      <w:pPr>
        <w:spacing w:line="276" w:lineRule="auto"/>
        <w:rPr>
          <w:rFonts w:asciiTheme="majorHAnsi" w:hAnsiTheme="majorHAnsi" w:cstheme="majorHAnsi"/>
        </w:rPr>
      </w:pPr>
      <w:r w:rsidRPr="00515828">
        <w:rPr>
          <w:rFonts w:asciiTheme="majorHAnsi" w:hAnsiTheme="majorHAnsi" w:cstheme="majorHAnsi"/>
        </w:rPr>
        <w:t>No payment or gift has been, or will be, provided to respondents.</w:t>
      </w:r>
    </w:p>
    <w:p w:rsidR="008C734C" w:rsidRPr="00026FE1" w:rsidP="00A030F0" w14:paraId="2740B98A" w14:textId="77777777">
      <w:pPr>
        <w:pStyle w:val="Heading2"/>
        <w:spacing w:line="276" w:lineRule="auto"/>
      </w:pPr>
      <w:bookmarkStart w:id="11" w:name="_Toc16271328"/>
      <w:r w:rsidRPr="00026FE1">
        <w:t>A.</w:t>
      </w:r>
      <w:r w:rsidRPr="00026FE1" w:rsidR="00A41763">
        <w:t xml:space="preserve">10. </w:t>
      </w:r>
      <w:r w:rsidRPr="00026FE1">
        <w:t>Provisions for Protection of Information</w:t>
      </w:r>
      <w:bookmarkEnd w:id="11"/>
      <w:r w:rsidRPr="00026FE1">
        <w:t xml:space="preserve"> </w:t>
      </w:r>
    </w:p>
    <w:p w:rsidR="00A41763" w:rsidRPr="00515828" w:rsidP="00A030F0" w14:paraId="791AB780" w14:textId="77777777">
      <w:pPr>
        <w:spacing w:line="276" w:lineRule="auto"/>
        <w:rPr>
          <w:rFonts w:asciiTheme="majorHAnsi" w:hAnsiTheme="majorHAnsi" w:cstheme="majorHAnsi"/>
        </w:rPr>
      </w:pPr>
      <w:r w:rsidRPr="00515828">
        <w:rPr>
          <w:rFonts w:asciiTheme="majorHAnsi" w:hAnsiTheme="majorHAnsi" w:cstheme="majorHAnsi"/>
          <w:b/>
          <w:bCs/>
        </w:rPr>
        <w:t xml:space="preserve">Describe any assurance of confidentiality provided to respondents and the basis for the assurance in statute, regulation, or agency policy. </w:t>
      </w:r>
    </w:p>
    <w:p w:rsidR="00F056C3" w:rsidRPr="00515828" w:rsidP="00A030F0" w14:paraId="10FE9793" w14:textId="77777777">
      <w:pPr>
        <w:spacing w:line="276" w:lineRule="auto"/>
        <w:rPr>
          <w:rFonts w:asciiTheme="majorHAnsi" w:hAnsiTheme="majorHAnsi" w:cstheme="majorHAnsi"/>
        </w:rPr>
      </w:pPr>
      <w:r w:rsidRPr="00515828">
        <w:rPr>
          <w:rFonts w:asciiTheme="majorHAnsi" w:hAnsiTheme="majorHAnsi" w:cstheme="majorHAnsi"/>
        </w:rPr>
        <w:t>To the extent this information collection request (ICR) involves the collection of proprietary trade secrets, or other confidential business information, GDO will treat such information as required under Federal Law and DOE regulations, directives, and procedures.</w:t>
      </w:r>
    </w:p>
    <w:p w:rsidR="00F056C3" w:rsidRPr="00026FE1" w:rsidP="00A030F0" w14:paraId="12098F70" w14:textId="77777777">
      <w:pPr>
        <w:pStyle w:val="Heading2"/>
        <w:spacing w:line="276" w:lineRule="auto"/>
      </w:pPr>
      <w:bookmarkStart w:id="12" w:name="_Toc16271329"/>
      <w:r w:rsidRPr="00026FE1">
        <w:t>A.</w:t>
      </w:r>
      <w:r w:rsidRPr="00026FE1" w:rsidR="00A41763">
        <w:t xml:space="preserve">11. </w:t>
      </w:r>
      <w:r w:rsidRPr="00026FE1">
        <w:t>Justification for Sensitive Questions</w:t>
      </w:r>
      <w:bookmarkEnd w:id="12"/>
      <w:r w:rsidRPr="00026FE1">
        <w:t xml:space="preserve"> </w:t>
      </w:r>
    </w:p>
    <w:p w:rsidR="00A41763" w:rsidRPr="00515828" w:rsidP="00A030F0" w14:paraId="13D07589" w14:textId="77777777">
      <w:pPr>
        <w:spacing w:line="276" w:lineRule="auto"/>
        <w:rPr>
          <w:rFonts w:asciiTheme="majorHAnsi" w:hAnsiTheme="majorHAnsi" w:cstheme="majorHAnsi"/>
        </w:rPr>
      </w:pPr>
      <w:r w:rsidRPr="00515828">
        <w:rPr>
          <w:rFonts w:asciiTheme="majorHAnsi" w:hAnsiTheme="majorHAnsi" w:cstheme="majorHAnsi"/>
          <w:b/>
          <w:bCs/>
        </w:rPr>
        <w:t xml:space="preserve">Provide </w:t>
      </w:r>
      <w:r w:rsidRPr="00515828">
        <w:rPr>
          <w:rFonts w:asciiTheme="majorHAnsi" w:hAnsiTheme="majorHAnsi" w:cstheme="majorHAnsi"/>
          <w:b/>
          <w:bCs/>
        </w:rPr>
        <w:t>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515828" w:rsidR="00F056C3">
        <w:rPr>
          <w:rFonts w:asciiTheme="majorHAnsi" w:hAnsiTheme="majorHAnsi" w:cstheme="majorHAnsi"/>
          <w:b/>
          <w:bCs/>
        </w:rPr>
        <w:t>s to be made of the information</w:t>
      </w:r>
      <w:r w:rsidRPr="00515828">
        <w:rPr>
          <w:rFonts w:asciiTheme="majorHAnsi" w:hAnsiTheme="majorHAnsi" w:cstheme="majorHAnsi"/>
          <w:b/>
          <w:bCs/>
        </w:rPr>
        <w:t xml:space="preserve">, the explanation to be given to persons from whom the information is requested, and any steps to be taken to obtain their consent. </w:t>
      </w:r>
    </w:p>
    <w:p w:rsidR="00F056C3" w:rsidRPr="00515828" w:rsidP="00A030F0" w14:paraId="3F39C4F0" w14:textId="77777777">
      <w:pPr>
        <w:spacing w:line="276" w:lineRule="auto"/>
        <w:rPr>
          <w:rFonts w:asciiTheme="majorHAnsi" w:hAnsiTheme="majorHAnsi" w:cstheme="majorHAnsi"/>
        </w:rPr>
      </w:pPr>
      <w:r w:rsidRPr="00515828">
        <w:rPr>
          <w:rFonts w:asciiTheme="majorHAnsi" w:hAnsiTheme="majorHAnsi" w:cstheme="majorHAnsi"/>
        </w:rPr>
        <w:t>The ICR asks no questions of a sensitive, personal, or private nature.</w:t>
      </w:r>
    </w:p>
    <w:p w:rsidR="00F056C3" w:rsidRPr="00026FE1" w:rsidP="00A030F0" w14:paraId="2644FF8F" w14:textId="77777777">
      <w:pPr>
        <w:pStyle w:val="Heading2"/>
        <w:spacing w:line="276" w:lineRule="auto"/>
      </w:pPr>
      <w:bookmarkStart w:id="13" w:name="_Toc16271330"/>
      <w:r w:rsidRPr="00026FE1">
        <w:t>A.</w:t>
      </w:r>
      <w:r w:rsidRPr="00026FE1" w:rsidR="00A41763">
        <w:t>12</w:t>
      </w:r>
      <w:r w:rsidRPr="00026FE1" w:rsidR="006F3C12">
        <w:t>A</w:t>
      </w:r>
      <w:r w:rsidRPr="00026FE1" w:rsidR="00A41763">
        <w:t xml:space="preserve">. </w:t>
      </w:r>
      <w:r w:rsidRPr="00026FE1">
        <w:t>Estimate of Respondent Burden Hours</w:t>
      </w:r>
      <w:bookmarkEnd w:id="13"/>
      <w:r w:rsidRPr="00026FE1">
        <w:t xml:space="preserve"> </w:t>
      </w:r>
    </w:p>
    <w:p w:rsidR="00AC69E8" w:rsidP="00A030F0" w14:paraId="400CD8A8" w14:textId="77777777">
      <w:pPr>
        <w:pStyle w:val="Default"/>
        <w:spacing w:line="276" w:lineRule="auto"/>
        <w:rPr>
          <w:rFonts w:asciiTheme="majorHAnsi" w:hAnsiTheme="majorHAnsi" w:cstheme="majorHAnsi"/>
          <w:b/>
          <w:bCs/>
          <w:sz w:val="22"/>
          <w:szCs w:val="22"/>
        </w:rPr>
      </w:pPr>
      <w:r w:rsidRPr="00515828">
        <w:rPr>
          <w:rFonts w:asciiTheme="majorHAnsi" w:hAnsiTheme="majorHAnsi" w:cstheme="majorHAnsi"/>
          <w:b/>
          <w:bCs/>
          <w:sz w:val="22"/>
          <w:szCs w:val="22"/>
        </w:rPr>
        <w:t xml:space="preserve">Provide estimates of the hour burden of the collection of information. The statement should indicate the number of respondents, frequency of response, annual hour burden, and </w:t>
      </w:r>
      <w:r w:rsidRPr="00515828">
        <w:rPr>
          <w:rFonts w:asciiTheme="majorHAnsi" w:hAnsiTheme="majorHAnsi" w:cstheme="majorHAnsi"/>
          <w:b/>
          <w:bCs/>
          <w:sz w:val="22"/>
          <w:szCs w:val="22"/>
          <w:u w:val="single"/>
        </w:rPr>
        <w:t>an explanation of how the burden was estimated</w:t>
      </w:r>
      <w:r w:rsidRPr="00515828">
        <w:rPr>
          <w:rFonts w:asciiTheme="majorHAnsi" w:hAnsiTheme="majorHAnsi" w:cstheme="maj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A030F0" w:rsidRPr="00515828" w:rsidP="00A030F0" w14:paraId="61BE1D1C" w14:textId="77777777">
      <w:pPr>
        <w:pStyle w:val="Default"/>
        <w:spacing w:line="276" w:lineRule="auto"/>
        <w:rPr>
          <w:rFonts w:asciiTheme="majorHAnsi" w:hAnsiTheme="majorHAnsi" w:cstheme="majorHAnsi"/>
          <w:sz w:val="22"/>
          <w:szCs w:val="22"/>
        </w:rPr>
      </w:pPr>
    </w:p>
    <w:p w:rsidR="002C79E9" w:rsidRPr="00515828" w:rsidP="00A030F0" w14:paraId="47E0785A" w14:textId="77777777">
      <w:pPr>
        <w:spacing w:line="276" w:lineRule="auto"/>
        <w:rPr>
          <w:rFonts w:asciiTheme="majorHAnsi" w:hAnsiTheme="majorHAnsi" w:cstheme="majorHAnsi"/>
        </w:rPr>
      </w:pPr>
      <w:r w:rsidRPr="00515828">
        <w:rPr>
          <w:rFonts w:asciiTheme="majorHAnsi" w:hAnsiTheme="majorHAnsi" w:cstheme="majorHAnsi"/>
        </w:rPr>
        <w:t xml:space="preserve">The estimated burden, expressed in burden hours, is the sum of burden reported by DOE elements and organizations as estimated by expert personnel familiar with these collections. Burden hour computations for required reports are based on the number of estimated responses multiplied by the average hours required by respondent to prepare each response.  The burden estimate is based on actuals from previous years of similar programs and estimates for future activities as well as comments received as part of a </w:t>
      </w:r>
      <w:r w:rsidRPr="00515828">
        <w:rPr>
          <w:rFonts w:asciiTheme="majorHAnsi" w:hAnsiTheme="majorHAnsi" w:cstheme="majorHAnsi"/>
        </w:rPr>
        <w:t xml:space="preserve">webinar DOE presented on the Hydroelectric Incentive Programs. These comments stated that for certain applicants the application could take 40 hours.  The hour burden per respondent has been adjusted to reflect the number of burden hours identified in comments received in the webinar.  Each applicant for DOE financial incentive is required to submit a new application for each year. </w:t>
      </w:r>
    </w:p>
    <w:p w:rsidR="002C79E9" w:rsidRPr="00515828" w:rsidP="00A030F0" w14:paraId="0975EDF0" w14:textId="77777777">
      <w:pPr>
        <w:spacing w:line="276" w:lineRule="auto"/>
        <w:rPr>
          <w:rFonts w:asciiTheme="majorHAnsi" w:hAnsiTheme="majorHAnsi" w:cstheme="majorHAnsi"/>
        </w:rPr>
      </w:pPr>
      <w:r w:rsidRPr="00515828">
        <w:rPr>
          <w:rFonts w:asciiTheme="majorHAnsi" w:hAnsiTheme="majorHAnsi" w:cstheme="majorHAnsi"/>
        </w:rPr>
        <w:t>Under these calculations, the estimated annual burden hours of this information collection (IC) are as follows:</w:t>
      </w:r>
    </w:p>
    <w:tbl>
      <w:tblPr>
        <w:tblW w:w="10020" w:type="dxa"/>
        <w:tblLook w:val="04A0"/>
      </w:tblPr>
      <w:tblGrid>
        <w:gridCol w:w="2811"/>
        <w:gridCol w:w="1306"/>
        <w:gridCol w:w="1306"/>
        <w:gridCol w:w="1158"/>
        <w:gridCol w:w="1157"/>
        <w:gridCol w:w="1155"/>
        <w:gridCol w:w="1127"/>
      </w:tblGrid>
      <w:tr w14:paraId="145E6AA8"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515828" w:rsidP="00A030F0" w14:paraId="0C35D07B" w14:textId="77777777">
            <w:pPr>
              <w:spacing w:after="0" w:line="276" w:lineRule="auto"/>
              <w:jc w:val="center"/>
              <w:rPr>
                <w:rFonts w:eastAsia="Times New Roman" w:asciiTheme="majorHAnsi" w:hAnsiTheme="majorHAnsi" w:cstheme="majorHAnsi"/>
                <w:b/>
                <w:bCs/>
                <w:color w:val="0070C0"/>
                <w:sz w:val="28"/>
                <w:szCs w:val="28"/>
              </w:rPr>
            </w:pPr>
            <w:r w:rsidRPr="00515828">
              <w:rPr>
                <w:rFonts w:eastAsia="Times New Roman" w:asciiTheme="majorHAnsi" w:hAnsiTheme="majorHAnsi" w:cstheme="majorHAnsi"/>
                <w:b/>
                <w:bCs/>
                <w:color w:val="0070C0"/>
                <w:sz w:val="28"/>
                <w:szCs w:val="28"/>
              </w:rPr>
              <w:t xml:space="preserve">Table A1. Estimated Respondent </w:t>
            </w:r>
            <w:r w:rsidRPr="00515828" w:rsidR="00537A91">
              <w:rPr>
                <w:rFonts w:eastAsia="Times New Roman" w:asciiTheme="majorHAnsi" w:hAnsiTheme="majorHAnsi" w:cstheme="majorHAnsi"/>
                <w:b/>
                <w:bCs/>
                <w:color w:val="0070C0"/>
                <w:sz w:val="28"/>
                <w:szCs w:val="28"/>
              </w:rPr>
              <w:t xml:space="preserve">Hour </w:t>
            </w:r>
            <w:r w:rsidRPr="00515828">
              <w:rPr>
                <w:rFonts w:eastAsia="Times New Roman" w:asciiTheme="majorHAnsi" w:hAnsiTheme="majorHAnsi" w:cstheme="majorHAnsi"/>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515828" w:rsidP="00A030F0" w14:paraId="078BAC52" w14:textId="77777777">
            <w:pPr>
              <w:spacing w:after="0" w:line="276" w:lineRule="auto"/>
              <w:jc w:val="center"/>
              <w:rPr>
                <w:rFonts w:eastAsia="Times New Roman" w:asciiTheme="majorHAnsi" w:hAnsiTheme="majorHAnsi" w:cstheme="majorHAnsi"/>
                <w:b/>
                <w:bCs/>
                <w:color w:val="0070C0"/>
                <w:sz w:val="28"/>
                <w:szCs w:val="28"/>
              </w:rPr>
            </w:pPr>
          </w:p>
        </w:tc>
      </w:tr>
      <w:tr w14:paraId="49A75D9D"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515828" w:rsidP="00A030F0" w14:paraId="052E7099"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515828" w:rsidP="00A030F0" w14:paraId="61A24E95"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515828" w:rsidP="00A030F0" w14:paraId="2AADA264"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515828" w:rsidP="00A030F0" w14:paraId="623B9E42"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515828" w:rsidP="00A030F0" w14:paraId="24333234"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515828" w:rsidP="00A030F0" w14:paraId="5B19C1C4"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515828" w:rsidP="00A030F0" w14:paraId="062B63FC"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Annual Reporting Frequency</w:t>
            </w:r>
          </w:p>
        </w:tc>
      </w:tr>
      <w:tr w14:paraId="27C9707A"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515828" w:rsidP="00A030F0" w14:paraId="34BF2A2D" w14:textId="77777777">
            <w:pPr>
              <w:spacing w:after="0" w:line="276" w:lineRule="auto"/>
              <w:jc w:val="center"/>
              <w:rPr>
                <w:rFonts w:eastAsia="Times New Roman" w:asciiTheme="majorHAnsi" w:hAnsiTheme="majorHAnsi" w:cstheme="majorHAnsi"/>
                <w:color w:val="000000"/>
                <w:sz w:val="20"/>
                <w:szCs w:val="20"/>
              </w:rPr>
            </w:pPr>
            <w:r w:rsidRPr="00515828">
              <w:rPr>
                <w:rFonts w:eastAsia="Times New Roman" w:asciiTheme="majorHAnsi" w:hAnsiTheme="majorHAnsi" w:cstheme="majorHAnsi"/>
                <w:color w:val="000000"/>
                <w:sz w:val="20"/>
                <w:szCs w:val="20"/>
              </w:rPr>
              <w:t>Applications</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515828" w:rsidP="00A030F0" w14:paraId="24C1C788" w14:textId="77777777">
            <w:pPr>
              <w:spacing w:after="0" w:line="276" w:lineRule="auto"/>
              <w:jc w:val="center"/>
              <w:rPr>
                <w:rFonts w:eastAsia="Times New Roman" w:asciiTheme="majorHAnsi" w:hAnsiTheme="majorHAnsi" w:cstheme="majorHAnsi"/>
                <w:color w:val="000000"/>
                <w:sz w:val="20"/>
                <w:szCs w:val="20"/>
              </w:rPr>
            </w:pPr>
            <w:r w:rsidRPr="00515828">
              <w:rPr>
                <w:rFonts w:eastAsia="Times New Roman" w:asciiTheme="majorHAnsi" w:hAnsiTheme="majorHAnsi" w:cstheme="majorHAnsi"/>
                <w:color w:val="000000"/>
                <w:sz w:val="20"/>
                <w:szCs w:val="20"/>
              </w:rPr>
              <w:t>Applicants</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515828" w:rsidP="00A030F0" w14:paraId="39107550" w14:textId="77777777">
            <w:pPr>
              <w:spacing w:after="0" w:line="276" w:lineRule="auto"/>
              <w:jc w:val="center"/>
              <w:rPr>
                <w:rFonts w:eastAsia="Times New Roman" w:asciiTheme="majorHAnsi" w:hAnsiTheme="majorHAnsi" w:cstheme="majorHAnsi"/>
                <w:color w:val="000000"/>
                <w:sz w:val="20"/>
                <w:szCs w:val="20"/>
              </w:rPr>
            </w:pPr>
            <w:r w:rsidRPr="00515828">
              <w:rPr>
                <w:rFonts w:eastAsia="Times New Roman" w:asciiTheme="majorHAnsi" w:hAnsiTheme="majorHAnsi" w:cstheme="majorHAnsi"/>
                <w:color w:val="000000"/>
                <w:sz w:val="20"/>
                <w:szCs w:val="20"/>
              </w:rPr>
              <w:t>200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515828" w:rsidP="00A030F0" w14:paraId="47714DC9" w14:textId="77777777">
            <w:pPr>
              <w:spacing w:after="0" w:line="276" w:lineRule="auto"/>
              <w:jc w:val="center"/>
              <w:rPr>
                <w:rFonts w:eastAsia="Times New Roman" w:asciiTheme="majorHAnsi" w:hAnsiTheme="majorHAnsi" w:cstheme="majorHAnsi"/>
                <w:color w:val="000000"/>
                <w:sz w:val="20"/>
                <w:szCs w:val="20"/>
              </w:rPr>
            </w:pPr>
            <w:r w:rsidRPr="00515828">
              <w:rPr>
                <w:rFonts w:eastAsia="Times New Roman" w:asciiTheme="majorHAnsi" w:hAnsiTheme="majorHAnsi" w:cstheme="majorHAnsi"/>
                <w:color w:val="000000"/>
                <w:sz w:val="20"/>
                <w:szCs w:val="20"/>
              </w:rPr>
              <w:t>200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515828" w:rsidP="00A030F0" w14:paraId="60C1FC0C" w14:textId="77777777">
            <w:pPr>
              <w:spacing w:after="0" w:line="276" w:lineRule="auto"/>
              <w:jc w:val="center"/>
              <w:rPr>
                <w:rFonts w:eastAsia="Times New Roman" w:asciiTheme="majorHAnsi" w:hAnsiTheme="majorHAnsi" w:cstheme="majorHAnsi"/>
                <w:color w:val="000000"/>
                <w:sz w:val="20"/>
                <w:szCs w:val="20"/>
              </w:rPr>
            </w:pPr>
            <w:r w:rsidRPr="00515828">
              <w:rPr>
                <w:rFonts w:eastAsia="Times New Roman" w:asciiTheme="majorHAnsi" w:hAnsiTheme="majorHAnsi" w:cstheme="majorHAnsi"/>
                <w:color w:val="000000"/>
                <w:sz w:val="20"/>
                <w:szCs w:val="20"/>
              </w:rPr>
              <w:t>40</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515828" w:rsidP="00A030F0" w14:paraId="0CEF4502" w14:textId="77777777">
            <w:pPr>
              <w:spacing w:after="0" w:line="276" w:lineRule="auto"/>
              <w:jc w:val="center"/>
              <w:rPr>
                <w:rFonts w:eastAsia="Times New Roman" w:asciiTheme="majorHAnsi" w:hAnsiTheme="majorHAnsi" w:cstheme="majorHAnsi"/>
                <w:color w:val="000000"/>
                <w:sz w:val="20"/>
                <w:szCs w:val="20"/>
              </w:rPr>
            </w:pPr>
            <w:r w:rsidRPr="00515828">
              <w:rPr>
                <w:rFonts w:eastAsia="Times New Roman" w:asciiTheme="majorHAnsi" w:hAnsiTheme="majorHAnsi" w:cstheme="majorHAnsi"/>
                <w:color w:val="000000"/>
                <w:sz w:val="20"/>
                <w:szCs w:val="20"/>
              </w:rPr>
              <w:t>8000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515828" w:rsidP="00A030F0" w14:paraId="52371FBD" w14:textId="77777777">
            <w:pPr>
              <w:spacing w:after="0" w:line="276" w:lineRule="auto"/>
              <w:jc w:val="center"/>
              <w:rPr>
                <w:rFonts w:eastAsia="Times New Roman" w:asciiTheme="majorHAnsi" w:hAnsiTheme="majorHAnsi" w:cstheme="majorHAnsi"/>
                <w:color w:val="000000"/>
                <w:sz w:val="20"/>
                <w:szCs w:val="20"/>
              </w:rPr>
            </w:pPr>
            <w:r w:rsidRPr="00515828">
              <w:rPr>
                <w:rFonts w:eastAsia="Times New Roman" w:asciiTheme="majorHAnsi" w:hAnsiTheme="majorHAnsi" w:cstheme="majorHAnsi"/>
                <w:color w:val="000000"/>
                <w:sz w:val="20"/>
                <w:szCs w:val="20"/>
              </w:rPr>
              <w:t>1</w:t>
            </w:r>
          </w:p>
        </w:tc>
      </w:tr>
      <w:tr w14:paraId="7AD2152E"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515828" w:rsidP="00A030F0" w14:paraId="75ECB17D" w14:textId="77777777">
            <w:pPr>
              <w:spacing w:after="0" w:line="276" w:lineRule="auto"/>
              <w:jc w:val="center"/>
              <w:rPr>
                <w:rFonts w:eastAsia="Times New Roman" w:asciiTheme="majorHAnsi" w:hAnsiTheme="majorHAnsi" w:cstheme="majorHAnsi"/>
                <w:b/>
                <w:bCs/>
                <w:color w:val="000000"/>
                <w:sz w:val="20"/>
                <w:szCs w:val="20"/>
              </w:rPr>
            </w:pPr>
            <w:r w:rsidRPr="00515828">
              <w:rPr>
                <w:rFonts w:eastAsia="Times New Roman" w:asciiTheme="majorHAnsi" w:hAnsiTheme="majorHAnsi" w:cstheme="majorHAnsi"/>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515828" w:rsidP="00A030F0" w14:paraId="1461F8F5" w14:textId="77777777">
            <w:pPr>
              <w:spacing w:after="0" w:line="276" w:lineRule="auto"/>
              <w:jc w:val="center"/>
              <w:rPr>
                <w:rFonts w:eastAsia="Times New Roman" w:asciiTheme="majorHAnsi" w:hAnsiTheme="majorHAnsi" w:cstheme="majorHAnsi"/>
                <w:b/>
                <w:bCs/>
                <w:color w:val="000000"/>
                <w:sz w:val="20"/>
                <w:szCs w:val="20"/>
              </w:rPr>
            </w:pP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515828" w:rsidP="00A030F0" w14:paraId="0D987BE4" w14:textId="77777777">
            <w:pPr>
              <w:spacing w:after="0" w:line="276" w:lineRule="auto"/>
              <w:jc w:val="center"/>
              <w:rPr>
                <w:rFonts w:eastAsia="Times New Roman" w:asciiTheme="majorHAnsi" w:hAnsiTheme="majorHAnsi" w:cstheme="majorHAnsi"/>
                <w:b/>
                <w:bCs/>
                <w:color w:val="000000"/>
                <w:sz w:val="20"/>
                <w:szCs w:val="20"/>
              </w:rPr>
            </w:pPr>
            <w:r w:rsidRPr="00515828">
              <w:rPr>
                <w:rFonts w:eastAsia="Times New Roman" w:asciiTheme="majorHAnsi" w:hAnsiTheme="majorHAnsi" w:cstheme="majorHAnsi"/>
                <w:b/>
                <w:bCs/>
                <w:color w:val="000000"/>
                <w:sz w:val="20"/>
                <w:szCs w:val="20"/>
              </w:rPr>
              <w:t>200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515828" w:rsidP="00A030F0" w14:paraId="2DD585BD" w14:textId="77777777">
            <w:pPr>
              <w:spacing w:after="0" w:line="276" w:lineRule="auto"/>
              <w:jc w:val="center"/>
              <w:rPr>
                <w:rFonts w:eastAsia="Times New Roman" w:asciiTheme="majorHAnsi" w:hAnsiTheme="majorHAnsi" w:cstheme="majorHAnsi"/>
                <w:b/>
                <w:bCs/>
                <w:color w:val="000000"/>
                <w:sz w:val="20"/>
                <w:szCs w:val="20"/>
              </w:rPr>
            </w:pPr>
            <w:r w:rsidRPr="00515828">
              <w:rPr>
                <w:rFonts w:eastAsia="Times New Roman" w:asciiTheme="majorHAnsi" w:hAnsiTheme="majorHAnsi" w:cstheme="majorHAnsi"/>
                <w:b/>
                <w:bCs/>
                <w:color w:val="000000"/>
                <w:sz w:val="20"/>
                <w:szCs w:val="20"/>
              </w:rPr>
              <w:t>200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515828" w:rsidP="00A030F0" w14:paraId="73786811" w14:textId="77777777">
            <w:pPr>
              <w:spacing w:after="0" w:line="276" w:lineRule="auto"/>
              <w:jc w:val="center"/>
              <w:rPr>
                <w:rFonts w:eastAsia="Times New Roman" w:asciiTheme="majorHAnsi" w:hAnsiTheme="majorHAnsi" w:cstheme="majorHAnsi"/>
                <w:b/>
                <w:bCs/>
                <w:color w:val="000000"/>
                <w:sz w:val="20"/>
                <w:szCs w:val="20"/>
              </w:rPr>
            </w:pP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515828" w:rsidP="00A030F0" w14:paraId="6D3D4E28" w14:textId="77777777">
            <w:pPr>
              <w:spacing w:after="0" w:line="276" w:lineRule="auto"/>
              <w:jc w:val="center"/>
              <w:rPr>
                <w:rFonts w:eastAsia="Times New Roman" w:asciiTheme="majorHAnsi" w:hAnsiTheme="majorHAnsi" w:cstheme="majorHAnsi"/>
                <w:b/>
                <w:bCs/>
                <w:color w:val="000000"/>
                <w:sz w:val="20"/>
                <w:szCs w:val="20"/>
              </w:rPr>
            </w:pPr>
            <w:r w:rsidRPr="00515828">
              <w:rPr>
                <w:rFonts w:eastAsia="Times New Roman" w:asciiTheme="majorHAnsi" w:hAnsiTheme="majorHAnsi" w:cstheme="majorHAnsi"/>
                <w:b/>
                <w:bCs/>
                <w:color w:val="000000"/>
                <w:sz w:val="20"/>
                <w:szCs w:val="20"/>
              </w:rPr>
              <w:t>8000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515828" w:rsidP="00A030F0" w14:paraId="63EC49A4" w14:textId="77777777">
            <w:pPr>
              <w:spacing w:after="0" w:line="276" w:lineRule="auto"/>
              <w:jc w:val="center"/>
              <w:rPr>
                <w:rFonts w:eastAsia="Times New Roman" w:asciiTheme="majorHAnsi" w:hAnsiTheme="majorHAnsi" w:cstheme="majorHAnsi"/>
                <w:b/>
                <w:bCs/>
                <w:color w:val="000000"/>
                <w:sz w:val="20"/>
                <w:szCs w:val="20"/>
              </w:rPr>
            </w:pPr>
          </w:p>
        </w:tc>
      </w:tr>
    </w:tbl>
    <w:p w:rsidR="00AE6862" w:rsidRPr="00515828" w:rsidP="00A030F0" w14:paraId="68838889" w14:textId="77777777">
      <w:pPr>
        <w:spacing w:line="276" w:lineRule="auto"/>
        <w:rPr>
          <w:rFonts w:asciiTheme="majorHAnsi" w:hAnsiTheme="majorHAnsi" w:cstheme="majorHAnsi"/>
        </w:rPr>
      </w:pPr>
    </w:p>
    <w:p w:rsidR="006F3C12" w:rsidRPr="00026FE1" w:rsidP="00A030F0" w14:paraId="1919CF4E" w14:textId="77777777">
      <w:pPr>
        <w:pStyle w:val="Heading2"/>
        <w:spacing w:line="276" w:lineRule="auto"/>
      </w:pPr>
      <w:bookmarkStart w:id="14" w:name="_Toc16271331"/>
      <w:r w:rsidRPr="00026FE1">
        <w:t>A.12B. Estimate of Annual Cost to Respondent for Burden Hours</w:t>
      </w:r>
      <w:bookmarkEnd w:id="14"/>
      <w:r w:rsidRPr="00026FE1">
        <w:t xml:space="preserve"> </w:t>
      </w:r>
    </w:p>
    <w:p w:rsidR="000B43BF" w:rsidRPr="00515828" w:rsidP="00A030F0" w14:paraId="0E32AD85" w14:textId="77777777">
      <w:pPr>
        <w:pStyle w:val="Default"/>
        <w:spacing w:line="276" w:lineRule="auto"/>
        <w:rPr>
          <w:rFonts w:asciiTheme="majorHAnsi" w:hAnsiTheme="majorHAnsi" w:cstheme="majorHAnsi"/>
          <w:b/>
          <w:bCs/>
          <w:sz w:val="22"/>
          <w:szCs w:val="22"/>
        </w:rPr>
      </w:pPr>
      <w:r w:rsidRPr="00515828">
        <w:rPr>
          <w:rFonts w:asciiTheme="majorHAnsi" w:hAnsiTheme="majorHAnsi" w:cstheme="maj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515828" w:rsidP="00A030F0" w14:paraId="4937740C" w14:textId="77777777">
      <w:pPr>
        <w:pStyle w:val="Default"/>
        <w:spacing w:line="276" w:lineRule="auto"/>
        <w:rPr>
          <w:rFonts w:asciiTheme="majorHAnsi" w:hAnsiTheme="majorHAnsi" w:cstheme="majorHAnsi"/>
          <w:b/>
          <w:bCs/>
          <w:sz w:val="22"/>
          <w:szCs w:val="22"/>
        </w:rPr>
      </w:pPr>
    </w:p>
    <w:p w:rsidR="006F3C12" w:rsidRPr="00515828" w:rsidP="00A030F0" w14:paraId="6F6BDB0E" w14:textId="77777777">
      <w:pPr>
        <w:spacing w:line="276" w:lineRule="auto"/>
        <w:rPr>
          <w:rFonts w:asciiTheme="majorHAnsi" w:hAnsiTheme="majorHAnsi" w:cstheme="majorHAnsi"/>
        </w:rPr>
      </w:pPr>
      <w:r w:rsidRPr="00515828">
        <w:rPr>
          <w:rFonts w:asciiTheme="majorHAnsi" w:hAnsiTheme="majorHAnsi" w:cstheme="majorHAnsi"/>
        </w:rPr>
        <w:t>DOE estimates annualized cost to respondents for burden hours per report is $</w:t>
      </w:r>
      <w:r w:rsidR="00D276F5">
        <w:rPr>
          <w:rFonts w:asciiTheme="majorHAnsi" w:hAnsiTheme="majorHAnsi" w:cstheme="majorHAnsi"/>
        </w:rPr>
        <w:t>533,920</w:t>
      </w:r>
      <w:r w:rsidRPr="00515828">
        <w:rPr>
          <w:rFonts w:asciiTheme="majorHAnsi" w:hAnsiTheme="majorHAnsi" w:cstheme="majorHAnsi"/>
        </w:rPr>
        <w:t xml:space="preserve">.  Per the Bureau of Labor Statistics, private industry </w:t>
      </w:r>
      <w:r w:rsidRPr="00515828">
        <w:rPr>
          <w:rFonts w:asciiTheme="majorHAnsi" w:hAnsiTheme="majorHAnsi" w:cstheme="majorHAnsi"/>
        </w:rPr>
        <w:t>employer costs averaged $6</w:t>
      </w:r>
      <w:r w:rsidR="00086E5E">
        <w:rPr>
          <w:rFonts w:asciiTheme="majorHAnsi" w:hAnsiTheme="majorHAnsi" w:cstheme="majorHAnsi"/>
        </w:rPr>
        <w:t>6</w:t>
      </w:r>
      <w:r w:rsidRPr="00515828">
        <w:rPr>
          <w:rFonts w:asciiTheme="majorHAnsi" w:hAnsiTheme="majorHAnsi" w:cstheme="majorHAnsi"/>
        </w:rPr>
        <w:t>.</w:t>
      </w:r>
      <w:r w:rsidR="00086E5E">
        <w:rPr>
          <w:rFonts w:asciiTheme="majorHAnsi" w:hAnsiTheme="majorHAnsi" w:cstheme="majorHAnsi"/>
        </w:rPr>
        <w:t>74</w:t>
      </w:r>
      <w:r w:rsidRPr="00515828">
        <w:rPr>
          <w:rFonts w:asciiTheme="majorHAnsi" w:hAnsiTheme="majorHAnsi" w:cstheme="majorHAnsi"/>
        </w:rPr>
        <w:t xml:space="preserve"> per hour worked for the professional, scientific, and technical services industry.    Wages and salaries averaged $4</w:t>
      </w:r>
      <w:r w:rsidR="00086E5E">
        <w:rPr>
          <w:rFonts w:asciiTheme="majorHAnsi" w:hAnsiTheme="majorHAnsi" w:cstheme="majorHAnsi"/>
        </w:rPr>
        <w:t>6</w:t>
      </w:r>
      <w:r w:rsidRPr="00515828">
        <w:rPr>
          <w:rFonts w:asciiTheme="majorHAnsi" w:hAnsiTheme="majorHAnsi" w:cstheme="majorHAnsi"/>
        </w:rPr>
        <w:t>.9</w:t>
      </w:r>
      <w:r w:rsidR="00086E5E">
        <w:rPr>
          <w:rFonts w:asciiTheme="majorHAnsi" w:hAnsiTheme="majorHAnsi" w:cstheme="majorHAnsi"/>
        </w:rPr>
        <w:t>0</w:t>
      </w:r>
      <w:r w:rsidRPr="00515828">
        <w:rPr>
          <w:rFonts w:asciiTheme="majorHAnsi" w:hAnsiTheme="majorHAnsi" w:cstheme="majorHAnsi"/>
        </w:rPr>
        <w:t xml:space="preserve"> per hour worked and represented 70.3 percent of total compensation costs, while benefit costs averaged $19.</w:t>
      </w:r>
      <w:r w:rsidR="00086E5E">
        <w:rPr>
          <w:rFonts w:asciiTheme="majorHAnsi" w:hAnsiTheme="majorHAnsi" w:cstheme="majorHAnsi"/>
        </w:rPr>
        <w:t>84</w:t>
      </w:r>
      <w:r w:rsidRPr="00515828">
        <w:rPr>
          <w:rFonts w:asciiTheme="majorHAnsi" w:hAnsiTheme="majorHAnsi" w:cstheme="majorHAnsi"/>
        </w:rPr>
        <w:t xml:space="preserve"> and accounted for the remaining 29.7 percent.</w:t>
      </w:r>
      <w:r>
        <w:rPr>
          <w:rStyle w:val="FootnoteReference"/>
          <w:rFonts w:asciiTheme="majorHAnsi" w:hAnsiTheme="majorHAnsi" w:cstheme="majorHAnsi"/>
        </w:rPr>
        <w:footnoteReference w:id="3"/>
      </w:r>
    </w:p>
    <w:tbl>
      <w:tblPr>
        <w:tblW w:w="10020" w:type="dxa"/>
        <w:tblLook w:val="04A0"/>
      </w:tblPr>
      <w:tblGrid>
        <w:gridCol w:w="2226"/>
        <w:gridCol w:w="2184"/>
        <w:gridCol w:w="1890"/>
        <w:gridCol w:w="2424"/>
        <w:gridCol w:w="1296"/>
      </w:tblGrid>
      <w:tr w14:paraId="2B5E6417"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515828" w:rsidP="00A030F0" w14:paraId="17BF9B1B" w14:textId="77777777">
            <w:pPr>
              <w:spacing w:after="0" w:line="276" w:lineRule="auto"/>
              <w:jc w:val="center"/>
              <w:rPr>
                <w:rFonts w:eastAsia="Times New Roman" w:asciiTheme="majorHAnsi" w:hAnsiTheme="majorHAnsi" w:cstheme="majorHAnsi"/>
                <w:b/>
                <w:bCs/>
                <w:color w:val="0070C0"/>
                <w:sz w:val="28"/>
                <w:szCs w:val="28"/>
              </w:rPr>
            </w:pPr>
            <w:r w:rsidRPr="00515828">
              <w:rPr>
                <w:rFonts w:eastAsia="Times New Roman" w:asciiTheme="majorHAnsi" w:hAnsiTheme="majorHAnsi" w:cstheme="maj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515828" w:rsidP="00A030F0" w14:paraId="2CAE0764" w14:textId="77777777">
            <w:pPr>
              <w:spacing w:after="0" w:line="276" w:lineRule="auto"/>
              <w:jc w:val="center"/>
              <w:rPr>
                <w:rFonts w:eastAsia="Times New Roman" w:asciiTheme="majorHAnsi" w:hAnsiTheme="majorHAnsi" w:cstheme="majorHAnsi"/>
                <w:b/>
                <w:bCs/>
                <w:color w:val="0070C0"/>
                <w:sz w:val="28"/>
                <w:szCs w:val="28"/>
              </w:rPr>
            </w:pPr>
          </w:p>
        </w:tc>
      </w:tr>
      <w:tr w14:paraId="50E5AF2A"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515828" w:rsidP="00A030F0" w14:paraId="5F329B3F"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515828" w:rsidP="00A030F0" w14:paraId="337AB85F"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515828" w:rsidP="00A030F0" w14:paraId="05FFF15A"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515828" w:rsidP="00A030F0" w14:paraId="46DABF32" w14:textId="77777777">
            <w:pPr>
              <w:spacing w:after="0" w:line="276" w:lineRule="auto"/>
              <w:jc w:val="center"/>
              <w:rPr>
                <w:rFonts w:eastAsia="Times New Roman" w:asciiTheme="majorHAnsi" w:hAnsiTheme="majorHAnsi" w:cstheme="majorHAnsi"/>
                <w:b/>
                <w:bCs/>
                <w:sz w:val="20"/>
                <w:szCs w:val="20"/>
              </w:rPr>
            </w:pPr>
            <w:r w:rsidRPr="00515828">
              <w:rPr>
                <w:rFonts w:eastAsia="Times New Roman" w:asciiTheme="majorHAnsi" w:hAnsiTheme="majorHAnsi" w:cstheme="majorHAnsi"/>
                <w:b/>
                <w:bCs/>
                <w:sz w:val="20"/>
                <w:szCs w:val="20"/>
              </w:rPr>
              <w:t>Total Respondent Costs</w:t>
            </w:r>
          </w:p>
        </w:tc>
      </w:tr>
      <w:tr w14:paraId="23F54575"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515828" w:rsidP="00A030F0" w14:paraId="167DBB79" w14:textId="77777777">
            <w:pPr>
              <w:spacing w:after="0" w:line="276" w:lineRule="auto"/>
              <w:jc w:val="center"/>
              <w:rPr>
                <w:rFonts w:eastAsia="Times New Roman" w:asciiTheme="majorHAnsi" w:hAnsiTheme="majorHAnsi" w:cstheme="majorHAnsi"/>
                <w:color w:val="000000"/>
                <w:sz w:val="20"/>
                <w:szCs w:val="20"/>
              </w:rPr>
            </w:pPr>
            <w:r w:rsidRPr="00515828">
              <w:rPr>
                <w:rFonts w:eastAsia="Times New Roman" w:asciiTheme="majorHAnsi" w:hAnsiTheme="majorHAnsi" w:cstheme="majorHAnsi"/>
                <w:color w:val="000000"/>
                <w:sz w:val="20"/>
                <w:szCs w:val="20"/>
              </w:rPr>
              <w:t>Applicant</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515828" w:rsidP="00A030F0" w14:paraId="708DC2EE" w14:textId="77777777">
            <w:pPr>
              <w:spacing w:after="0" w:line="276" w:lineRule="auto"/>
              <w:jc w:val="center"/>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8,000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515828" w:rsidP="00A030F0" w14:paraId="097C2A96" w14:textId="77777777">
            <w:pPr>
              <w:spacing w:after="0" w:line="276" w:lineRule="auto"/>
              <w:jc w:val="center"/>
              <w:rPr>
                <w:rFonts w:eastAsia="Times New Roman" w:asciiTheme="majorHAnsi" w:hAnsiTheme="majorHAnsi" w:cstheme="majorHAnsi"/>
                <w:color w:val="000000"/>
                <w:sz w:val="20"/>
                <w:szCs w:val="20"/>
              </w:rPr>
            </w:pPr>
            <w:r w:rsidRPr="00576CF8">
              <w:rPr>
                <w:rFonts w:eastAsia="Times New Roman" w:asciiTheme="majorHAnsi" w:hAnsiTheme="majorHAnsi" w:cstheme="majorHAnsi"/>
                <w:color w:val="000000"/>
                <w:sz w:val="20"/>
                <w:szCs w:val="20"/>
              </w:rPr>
              <w:t>$ 6</w:t>
            </w:r>
            <w:r w:rsidR="00086E5E">
              <w:rPr>
                <w:rFonts w:eastAsia="Times New Roman" w:asciiTheme="majorHAnsi" w:hAnsiTheme="majorHAnsi" w:cstheme="majorHAnsi"/>
                <w:color w:val="000000"/>
                <w:sz w:val="20"/>
                <w:szCs w:val="20"/>
              </w:rPr>
              <w:t>6</w:t>
            </w:r>
            <w:r w:rsidRPr="00576CF8">
              <w:rPr>
                <w:rFonts w:eastAsia="Times New Roman" w:asciiTheme="majorHAnsi" w:hAnsiTheme="majorHAnsi" w:cstheme="majorHAnsi"/>
                <w:color w:val="000000"/>
                <w:sz w:val="20"/>
                <w:szCs w:val="20"/>
              </w:rPr>
              <w:t>.</w:t>
            </w:r>
            <w:r w:rsidR="00086E5E">
              <w:rPr>
                <w:rFonts w:eastAsia="Times New Roman" w:asciiTheme="majorHAnsi" w:hAnsiTheme="majorHAnsi" w:cstheme="majorHAnsi"/>
                <w:color w:val="000000"/>
                <w:sz w:val="20"/>
                <w:szCs w:val="20"/>
              </w:rPr>
              <w:t>74</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515828" w:rsidP="00A030F0" w14:paraId="7B7A755C" w14:textId="77777777">
            <w:pPr>
              <w:spacing w:after="0" w:line="276" w:lineRule="auto"/>
              <w:jc w:val="center"/>
              <w:rPr>
                <w:rFonts w:eastAsia="Times New Roman" w:asciiTheme="majorHAnsi" w:hAnsiTheme="majorHAnsi" w:cstheme="majorHAnsi"/>
                <w:color w:val="000000"/>
                <w:sz w:val="20"/>
                <w:szCs w:val="20"/>
              </w:rPr>
            </w:pPr>
            <w:r w:rsidRPr="00576CF8">
              <w:rPr>
                <w:rFonts w:eastAsia="Times New Roman" w:asciiTheme="majorHAnsi" w:hAnsiTheme="majorHAnsi" w:cstheme="majorHAnsi"/>
                <w:color w:val="000000"/>
                <w:sz w:val="20"/>
                <w:szCs w:val="20"/>
              </w:rPr>
              <w:t xml:space="preserve">$ </w:t>
            </w:r>
            <w:r w:rsidR="00FC62FD">
              <w:rPr>
                <w:rFonts w:eastAsia="Times New Roman" w:asciiTheme="majorHAnsi" w:hAnsiTheme="majorHAnsi" w:cstheme="majorHAnsi"/>
                <w:color w:val="000000"/>
                <w:sz w:val="20"/>
                <w:szCs w:val="20"/>
              </w:rPr>
              <w:t>533,920</w:t>
            </w:r>
          </w:p>
        </w:tc>
      </w:tr>
      <w:tr w14:paraId="2CB13153"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515828" w:rsidP="00A030F0" w14:paraId="137656E0" w14:textId="77777777">
            <w:pPr>
              <w:spacing w:after="0" w:line="276" w:lineRule="auto"/>
              <w:jc w:val="center"/>
              <w:rPr>
                <w:rFonts w:eastAsia="Times New Roman" w:asciiTheme="majorHAnsi" w:hAnsiTheme="majorHAnsi" w:cstheme="majorHAnsi"/>
                <w:b/>
                <w:bCs/>
                <w:color w:val="000000"/>
                <w:sz w:val="20"/>
                <w:szCs w:val="20"/>
              </w:rPr>
            </w:pPr>
            <w:r w:rsidRPr="00515828">
              <w:rPr>
                <w:rFonts w:eastAsia="Times New Roman" w:asciiTheme="majorHAnsi" w:hAnsiTheme="majorHAnsi" w:cstheme="majorHAnsi"/>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515828" w:rsidP="00A030F0" w14:paraId="3DEF79C9" w14:textId="77777777">
            <w:pPr>
              <w:spacing w:after="0" w:line="276" w:lineRule="auto"/>
              <w:jc w:val="center"/>
              <w:rPr>
                <w:rFonts w:eastAsia="Times New Roman" w:asciiTheme="majorHAnsi" w:hAnsiTheme="majorHAnsi" w:cstheme="majorHAnsi"/>
                <w:b/>
                <w:bCs/>
                <w:color w:val="000000"/>
                <w:sz w:val="20"/>
                <w:szCs w:val="20"/>
              </w:rPr>
            </w:pPr>
            <w:r>
              <w:rPr>
                <w:rFonts w:eastAsia="Times New Roman" w:asciiTheme="majorHAnsi" w:hAnsiTheme="majorHAnsi" w:cstheme="majorHAnsi"/>
                <w:b/>
                <w:bCs/>
                <w:color w:val="000000"/>
                <w:sz w:val="20"/>
                <w:szCs w:val="20"/>
              </w:rPr>
              <w:t>8,000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515828" w:rsidP="00A030F0" w14:paraId="271FE684" w14:textId="77777777">
            <w:pPr>
              <w:spacing w:after="0" w:line="276" w:lineRule="auto"/>
              <w:jc w:val="center"/>
              <w:rPr>
                <w:rFonts w:eastAsia="Times New Roman" w:asciiTheme="majorHAnsi" w:hAnsiTheme="majorHAnsi" w:cstheme="majorHAnsi"/>
                <w:b/>
                <w:bCs/>
                <w:color w:val="000000"/>
                <w:sz w:val="20"/>
                <w:szCs w:val="20"/>
              </w:rPr>
            </w:pP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515828" w:rsidP="00A030F0" w14:paraId="0DDB2F45" w14:textId="77777777">
            <w:pPr>
              <w:spacing w:after="0" w:line="276" w:lineRule="auto"/>
              <w:jc w:val="center"/>
              <w:rPr>
                <w:rFonts w:eastAsia="Times New Roman" w:asciiTheme="majorHAnsi" w:hAnsiTheme="majorHAnsi" w:cstheme="majorHAnsi"/>
                <w:b/>
                <w:bCs/>
                <w:color w:val="000000"/>
                <w:sz w:val="20"/>
                <w:szCs w:val="20"/>
              </w:rPr>
            </w:pPr>
            <w:r w:rsidRPr="00576CF8">
              <w:rPr>
                <w:rFonts w:eastAsia="Times New Roman" w:asciiTheme="majorHAnsi" w:hAnsiTheme="majorHAnsi" w:cstheme="majorHAnsi"/>
                <w:b/>
                <w:bCs/>
                <w:color w:val="000000"/>
                <w:sz w:val="20"/>
                <w:szCs w:val="20"/>
              </w:rPr>
              <w:t xml:space="preserve">$ </w:t>
            </w:r>
            <w:r w:rsidR="00FC62FD">
              <w:rPr>
                <w:rFonts w:eastAsia="Times New Roman" w:asciiTheme="majorHAnsi" w:hAnsiTheme="majorHAnsi" w:cstheme="majorHAnsi"/>
                <w:b/>
                <w:bCs/>
                <w:color w:val="000000"/>
                <w:sz w:val="20"/>
                <w:szCs w:val="20"/>
              </w:rPr>
              <w:t>533,920</w:t>
            </w:r>
          </w:p>
        </w:tc>
      </w:tr>
    </w:tbl>
    <w:p w:rsidR="00F056C3" w:rsidRPr="00515828" w:rsidP="00A030F0" w14:paraId="24BE0D07" w14:textId="77777777">
      <w:pPr>
        <w:spacing w:line="276" w:lineRule="auto"/>
        <w:jc w:val="center"/>
        <w:rPr>
          <w:rFonts w:asciiTheme="majorHAnsi" w:hAnsiTheme="majorHAnsi" w:cstheme="majorHAnsi"/>
          <w:b/>
          <w:bCs/>
        </w:rPr>
      </w:pPr>
    </w:p>
    <w:p w:rsidR="00F056C3" w:rsidRPr="00026FE1" w:rsidP="00A030F0" w14:paraId="2A069126" w14:textId="77777777">
      <w:pPr>
        <w:pStyle w:val="Heading2"/>
        <w:spacing w:line="276" w:lineRule="auto"/>
      </w:pPr>
      <w:bookmarkStart w:id="15" w:name="_Toc16271332"/>
      <w:r w:rsidRPr="00026FE1">
        <w:t>A.</w:t>
      </w:r>
      <w:r w:rsidRPr="00026FE1" w:rsidR="00A41763">
        <w:t xml:space="preserve">13. </w:t>
      </w:r>
      <w:r w:rsidRPr="00026FE1" w:rsidR="006F3C12">
        <w:t xml:space="preserve">Other Estimated </w:t>
      </w:r>
      <w:r w:rsidRPr="00026FE1">
        <w:t xml:space="preserve">Annual Cost to </w:t>
      </w:r>
      <w:r w:rsidRPr="00026FE1" w:rsidR="00FE2197">
        <w:t>Respondents</w:t>
      </w:r>
      <w:bookmarkEnd w:id="15"/>
    </w:p>
    <w:p w:rsidR="00A41763" w:rsidRPr="00515828" w:rsidP="00A030F0" w14:paraId="58FB1CD8" w14:textId="77777777">
      <w:pPr>
        <w:spacing w:line="276" w:lineRule="auto"/>
        <w:rPr>
          <w:rFonts w:asciiTheme="majorHAnsi" w:hAnsiTheme="majorHAnsi" w:cstheme="majorHAnsi"/>
          <w:b/>
          <w:bCs/>
        </w:rPr>
      </w:pPr>
      <w:r w:rsidRPr="00515828">
        <w:rPr>
          <w:rFonts w:asciiTheme="majorHAnsi" w:hAnsiTheme="majorHAnsi" w:cstheme="majorHAnsi"/>
          <w:b/>
          <w:bCs/>
        </w:rPr>
        <w:t xml:space="preserve">Provide an estimate for the total annual cost burden to respondents or recordkeepers resulting from the collection of information. </w:t>
      </w:r>
    </w:p>
    <w:p w:rsidR="00887C01" w:rsidRPr="00515828" w:rsidP="00A030F0" w14:paraId="348E7398" w14:textId="77777777">
      <w:pPr>
        <w:spacing w:line="276" w:lineRule="auto"/>
        <w:rPr>
          <w:rFonts w:asciiTheme="majorHAnsi" w:hAnsiTheme="majorHAnsi" w:cstheme="majorHAnsi"/>
        </w:rPr>
      </w:pPr>
      <w:r w:rsidRPr="00515828">
        <w:rPr>
          <w:rFonts w:asciiTheme="majorHAnsi" w:hAnsiTheme="majorHAnsi" w:cstheme="majorHAnsi"/>
        </w:rPr>
        <w:t>There are no additional costs for the respondents in the collection of this data that is outside of customary and usual business or private practices.</w:t>
      </w:r>
    </w:p>
    <w:p w:rsidR="00F056C3" w:rsidRPr="00026FE1" w:rsidP="00A030F0" w14:paraId="57F561FD" w14:textId="77777777">
      <w:pPr>
        <w:pStyle w:val="Heading2"/>
        <w:spacing w:line="276" w:lineRule="auto"/>
      </w:pPr>
      <w:bookmarkStart w:id="16" w:name="_Toc16271333"/>
      <w:r w:rsidRPr="00026FE1">
        <w:t>A.</w:t>
      </w:r>
      <w:r w:rsidRPr="00026FE1" w:rsidR="00A41763">
        <w:t xml:space="preserve">14. </w:t>
      </w:r>
      <w:r w:rsidRPr="00026FE1" w:rsidR="00FE2197">
        <w:t>Annual Cost to the Federal Government</w:t>
      </w:r>
      <w:bookmarkEnd w:id="16"/>
      <w:r w:rsidRPr="00026FE1">
        <w:t xml:space="preserve"> </w:t>
      </w:r>
    </w:p>
    <w:p w:rsidR="00A41763" w:rsidRPr="00515828" w:rsidP="00A030F0" w14:paraId="7BBD0398" w14:textId="77777777">
      <w:pPr>
        <w:spacing w:line="276" w:lineRule="auto"/>
        <w:rPr>
          <w:rFonts w:asciiTheme="majorHAnsi" w:hAnsiTheme="majorHAnsi" w:cstheme="majorHAnsi"/>
          <w:b/>
          <w:bCs/>
        </w:rPr>
      </w:pPr>
      <w:bookmarkStart w:id="17" w:name="_Hlk57385461"/>
      <w:r w:rsidRPr="00515828">
        <w:rPr>
          <w:rFonts w:asciiTheme="majorHAnsi" w:hAnsiTheme="majorHAnsi" w:cstheme="majorHAnsi"/>
          <w:b/>
          <w:bCs/>
        </w:rPr>
        <w:t xml:space="preserve">Provide estimates of annualized cost to the Federal government. </w:t>
      </w:r>
    </w:p>
    <w:p w:rsidR="00887C01" w:rsidRPr="00515828" w:rsidP="00A030F0" w14:paraId="1D3FD283" w14:textId="77777777">
      <w:pPr>
        <w:spacing w:line="276" w:lineRule="auto"/>
        <w:rPr>
          <w:rFonts w:asciiTheme="majorHAnsi" w:hAnsiTheme="majorHAnsi" w:cstheme="majorHAnsi"/>
        </w:rPr>
      </w:pPr>
      <w:r w:rsidRPr="00515828">
        <w:rPr>
          <w:rFonts w:asciiTheme="majorHAnsi" w:hAnsiTheme="majorHAnsi" w:cstheme="majorHAnsi"/>
        </w:rPr>
        <w:t>The estimated federal burden is based on the total number of hours it would take to complete desktop reviews of reports and verify information.  The estimate for a fully burdened, average full time equivalent (FTE) person is approximately $8</w:t>
      </w:r>
      <w:r w:rsidR="00DF68CE">
        <w:rPr>
          <w:rFonts w:asciiTheme="majorHAnsi" w:hAnsiTheme="majorHAnsi" w:cstheme="majorHAnsi"/>
        </w:rPr>
        <w:t>6</w:t>
      </w:r>
      <w:r w:rsidRPr="00515828">
        <w:rPr>
          <w:rFonts w:asciiTheme="majorHAnsi" w:hAnsiTheme="majorHAnsi" w:cstheme="majorHAnsi"/>
        </w:rPr>
        <w:t>.</w:t>
      </w:r>
      <w:r w:rsidR="00DF68CE">
        <w:rPr>
          <w:rFonts w:asciiTheme="majorHAnsi" w:hAnsiTheme="majorHAnsi" w:cstheme="majorHAnsi"/>
        </w:rPr>
        <w:t>26</w:t>
      </w:r>
      <w:r w:rsidRPr="00515828">
        <w:rPr>
          <w:rFonts w:asciiTheme="majorHAnsi" w:hAnsiTheme="majorHAnsi" w:cstheme="majorHAnsi"/>
        </w:rPr>
        <w:t xml:space="preserve">/hour.  The fully burdened rate estimates used a fully burdened </w:t>
      </w:r>
      <w:r w:rsidRPr="00515828">
        <w:rPr>
          <w:rFonts w:asciiTheme="majorHAnsi" w:hAnsiTheme="majorHAnsi" w:cstheme="majorHAnsi"/>
        </w:rPr>
        <w:t>labor rate of $63</w:t>
      </w:r>
      <w:r w:rsidR="00DF68CE">
        <w:rPr>
          <w:rFonts w:asciiTheme="majorHAnsi" w:hAnsiTheme="majorHAnsi" w:cstheme="majorHAnsi"/>
        </w:rPr>
        <w:t>.43</w:t>
      </w:r>
      <w:r w:rsidRPr="00515828">
        <w:rPr>
          <w:rFonts w:asciiTheme="majorHAnsi" w:hAnsiTheme="majorHAnsi" w:cstheme="majorHAnsi"/>
        </w:rPr>
        <w:t>/hour.  This included a $63</w:t>
      </w:r>
      <w:r w:rsidR="00DF68CE">
        <w:rPr>
          <w:rFonts w:asciiTheme="majorHAnsi" w:hAnsiTheme="majorHAnsi" w:cstheme="majorHAnsi"/>
        </w:rPr>
        <w:t>.43</w:t>
      </w:r>
      <w:r w:rsidRPr="00515828">
        <w:rPr>
          <w:rFonts w:asciiTheme="majorHAnsi" w:hAnsiTheme="majorHAnsi" w:cstheme="majorHAnsi"/>
        </w:rPr>
        <w:t xml:space="preserve">/hour base rate for a GS 14 Step 1, which was based on current staffing, and 36% for fringe benefits, which was rounded down from the 36.25% fringe benefit factor included in OMB Circular A–76.   DOE approximates 2 hours to review each report.  </w:t>
      </w:r>
    </w:p>
    <w:p w:rsidR="00887C01" w:rsidRPr="00515828" w:rsidP="00A030F0" w14:paraId="347B9B78" w14:textId="77777777">
      <w:pPr>
        <w:spacing w:line="276" w:lineRule="auto"/>
        <w:ind w:firstLine="720"/>
        <w:rPr>
          <w:rFonts w:asciiTheme="majorHAnsi" w:hAnsiTheme="majorHAnsi" w:cstheme="majorHAnsi"/>
        </w:rPr>
      </w:pPr>
      <w:r w:rsidRPr="00515828">
        <w:rPr>
          <w:rFonts w:asciiTheme="majorHAnsi" w:hAnsiTheme="majorHAnsi" w:cstheme="majorHAnsi"/>
        </w:rPr>
        <w:t>• 200 reports/year x 2 hours/report x $8</w:t>
      </w:r>
      <w:r w:rsidR="00DF68CE">
        <w:rPr>
          <w:rFonts w:asciiTheme="majorHAnsi" w:hAnsiTheme="majorHAnsi" w:cstheme="majorHAnsi"/>
        </w:rPr>
        <w:t>6</w:t>
      </w:r>
      <w:r w:rsidRPr="00515828">
        <w:rPr>
          <w:rFonts w:asciiTheme="majorHAnsi" w:hAnsiTheme="majorHAnsi" w:cstheme="majorHAnsi"/>
        </w:rPr>
        <w:t>.</w:t>
      </w:r>
      <w:r w:rsidR="00DF68CE">
        <w:rPr>
          <w:rFonts w:asciiTheme="majorHAnsi" w:hAnsiTheme="majorHAnsi" w:cstheme="majorHAnsi"/>
        </w:rPr>
        <w:t>26</w:t>
      </w:r>
      <w:r w:rsidRPr="00515828">
        <w:rPr>
          <w:rFonts w:asciiTheme="majorHAnsi" w:hAnsiTheme="majorHAnsi" w:cstheme="majorHAnsi"/>
        </w:rPr>
        <w:t>/hour = $3</w:t>
      </w:r>
      <w:r w:rsidR="00DF68CE">
        <w:rPr>
          <w:rFonts w:asciiTheme="majorHAnsi" w:hAnsiTheme="majorHAnsi" w:cstheme="majorHAnsi"/>
        </w:rPr>
        <w:t>4</w:t>
      </w:r>
      <w:r w:rsidRPr="00515828">
        <w:rPr>
          <w:rFonts w:asciiTheme="majorHAnsi" w:hAnsiTheme="majorHAnsi" w:cstheme="majorHAnsi"/>
        </w:rPr>
        <w:t>,</w:t>
      </w:r>
      <w:r w:rsidR="00DF68CE">
        <w:rPr>
          <w:rFonts w:asciiTheme="majorHAnsi" w:hAnsiTheme="majorHAnsi" w:cstheme="majorHAnsi"/>
        </w:rPr>
        <w:t>504</w:t>
      </w:r>
    </w:p>
    <w:p w:rsidR="006D42EC" w:rsidRPr="00026FE1" w:rsidP="00A030F0" w14:paraId="0508270F" w14:textId="77777777">
      <w:pPr>
        <w:pStyle w:val="Heading2"/>
        <w:spacing w:line="276" w:lineRule="auto"/>
      </w:pPr>
      <w:bookmarkStart w:id="18" w:name="_Toc16271334"/>
      <w:bookmarkEnd w:id="17"/>
      <w:r w:rsidRPr="00026FE1">
        <w:t>A.</w:t>
      </w:r>
      <w:r w:rsidRPr="00026FE1" w:rsidR="00A41763">
        <w:t xml:space="preserve">15. </w:t>
      </w:r>
      <w:r w:rsidRPr="00026FE1">
        <w:t>Reasons for Changes in Burden</w:t>
      </w:r>
      <w:bookmarkEnd w:id="18"/>
    </w:p>
    <w:p w:rsidR="00A41763" w:rsidRPr="00515828" w:rsidP="00A030F0" w14:paraId="24CF2379" w14:textId="77777777">
      <w:pPr>
        <w:spacing w:line="276" w:lineRule="auto"/>
        <w:rPr>
          <w:rFonts w:asciiTheme="majorHAnsi" w:hAnsiTheme="majorHAnsi" w:cstheme="majorHAnsi"/>
        </w:rPr>
      </w:pPr>
      <w:bookmarkStart w:id="19" w:name="_Hlk57385469"/>
      <w:r w:rsidRPr="00515828">
        <w:rPr>
          <w:rFonts w:asciiTheme="majorHAnsi" w:hAnsiTheme="majorHAnsi" w:cstheme="majorHAnsi"/>
          <w:b/>
          <w:bCs/>
        </w:rPr>
        <w:t xml:space="preserve">Explain the reasons for any program changes or adjustments reported in Items 13 (or 14) of OMB Form 83-I. </w:t>
      </w:r>
    </w:p>
    <w:bookmarkEnd w:id="19"/>
    <w:p w:rsidR="00A41763" w:rsidRPr="00515828" w:rsidP="00A030F0" w14:paraId="39909533" w14:textId="77777777">
      <w:pPr>
        <w:spacing w:line="276" w:lineRule="auto"/>
        <w:rPr>
          <w:rFonts w:asciiTheme="majorHAnsi" w:hAnsiTheme="majorHAnsi" w:cstheme="majorHAnsi"/>
        </w:rPr>
      </w:pPr>
      <w:r w:rsidRPr="00515828">
        <w:rPr>
          <w:rFonts w:asciiTheme="majorHAnsi" w:hAnsiTheme="majorHAnsi" w:cstheme="majorHAnsi"/>
        </w:rPr>
        <w:t>New collection.</w:t>
      </w:r>
    </w:p>
    <w:p w:rsidR="00F056C3" w:rsidRPr="00026FE1" w:rsidP="00A030F0" w14:paraId="0B835B26" w14:textId="77777777">
      <w:pPr>
        <w:pStyle w:val="Heading2"/>
        <w:spacing w:line="276" w:lineRule="auto"/>
      </w:pPr>
      <w:bookmarkStart w:id="20" w:name="_Toc16271335"/>
      <w:r w:rsidRPr="00026FE1">
        <w:t>A.</w:t>
      </w:r>
      <w:r w:rsidRPr="00026FE1" w:rsidR="00A41763">
        <w:t xml:space="preserve">16. </w:t>
      </w:r>
      <w:r w:rsidRPr="00026FE1">
        <w:t>Collection, Tabulation, and Publication Plans</w:t>
      </w:r>
      <w:bookmarkEnd w:id="20"/>
      <w:r w:rsidRPr="00026FE1">
        <w:t xml:space="preserve"> </w:t>
      </w:r>
    </w:p>
    <w:p w:rsidR="00A41763" w:rsidRPr="00515828" w:rsidP="00A030F0" w14:paraId="494C6FC9" w14:textId="77777777">
      <w:pPr>
        <w:spacing w:line="276" w:lineRule="auto"/>
        <w:rPr>
          <w:rFonts w:asciiTheme="majorHAnsi" w:hAnsiTheme="majorHAnsi" w:cstheme="majorHAnsi"/>
        </w:rPr>
      </w:pPr>
      <w:bookmarkStart w:id="21" w:name="_Hlk57385487"/>
      <w:r w:rsidRPr="00515828">
        <w:rPr>
          <w:rFonts w:asciiTheme="majorHAnsi" w:hAnsiTheme="majorHAnsi" w:cstheme="majorHAnsi"/>
          <w:b/>
          <w:bCs/>
        </w:rPr>
        <w:t xml:space="preserve">For collections whose results will be published, outline the plans for tabulation and publication. </w:t>
      </w:r>
    </w:p>
    <w:bookmarkEnd w:id="21"/>
    <w:p w:rsidR="00F056C3" w:rsidRPr="00515828" w:rsidP="00A030F0" w14:paraId="14694797" w14:textId="77777777">
      <w:pPr>
        <w:spacing w:line="276" w:lineRule="auto"/>
        <w:rPr>
          <w:rFonts w:asciiTheme="majorHAnsi" w:hAnsiTheme="majorHAnsi" w:cstheme="majorHAnsi"/>
        </w:rPr>
      </w:pPr>
      <w:r w:rsidRPr="00515828">
        <w:rPr>
          <w:rFonts w:asciiTheme="majorHAnsi" w:hAnsiTheme="majorHAnsi" w:cstheme="majorHAnsi"/>
        </w:rPr>
        <w:t>Not applicable.</w:t>
      </w:r>
    </w:p>
    <w:p w:rsidR="00F056C3" w:rsidRPr="00026FE1" w:rsidP="00A030F0" w14:paraId="25EC2FF8" w14:textId="77777777">
      <w:pPr>
        <w:pStyle w:val="Heading2"/>
        <w:spacing w:line="276" w:lineRule="auto"/>
      </w:pPr>
      <w:bookmarkStart w:id="22" w:name="_Toc16271336"/>
      <w:r w:rsidRPr="00026FE1">
        <w:t>A.</w:t>
      </w:r>
      <w:r w:rsidRPr="00026FE1" w:rsidR="00A41763">
        <w:t xml:space="preserve">17. </w:t>
      </w:r>
      <w:r w:rsidRPr="00026FE1">
        <w:t>OMB Number and Expiration Date</w:t>
      </w:r>
      <w:bookmarkEnd w:id="22"/>
      <w:r w:rsidRPr="00026FE1">
        <w:t xml:space="preserve"> </w:t>
      </w:r>
    </w:p>
    <w:p w:rsidR="00A41763" w:rsidRPr="00515828" w:rsidP="00A030F0" w14:paraId="70F8F4D6" w14:textId="77777777">
      <w:pPr>
        <w:spacing w:line="276" w:lineRule="auto"/>
        <w:rPr>
          <w:rFonts w:asciiTheme="majorHAnsi" w:hAnsiTheme="majorHAnsi" w:cstheme="majorHAnsi"/>
        </w:rPr>
      </w:pPr>
      <w:bookmarkStart w:id="23" w:name="_Hlk57385506"/>
      <w:r w:rsidRPr="00515828">
        <w:rPr>
          <w:rFonts w:asciiTheme="majorHAnsi" w:hAnsiTheme="majorHAnsi" w:cstheme="majorHAnsi"/>
          <w:b/>
          <w:bCs/>
        </w:rPr>
        <w:t xml:space="preserve">If seeking approval to not display the expiration date for OMB approval of the information collection, explain the reasons why display would be inappropriate. </w:t>
      </w:r>
    </w:p>
    <w:bookmarkEnd w:id="23"/>
    <w:p w:rsidR="00F056C3" w:rsidRPr="00515828" w:rsidP="00A030F0" w14:paraId="19D5BB58" w14:textId="77777777">
      <w:pPr>
        <w:spacing w:line="276" w:lineRule="auto"/>
        <w:rPr>
          <w:rFonts w:asciiTheme="majorHAnsi" w:hAnsiTheme="majorHAnsi" w:cstheme="majorHAnsi"/>
        </w:rPr>
      </w:pPr>
      <w:r w:rsidRPr="00515828">
        <w:rPr>
          <w:rFonts w:asciiTheme="majorHAnsi" w:hAnsiTheme="majorHAnsi" w:cstheme="majorHAnsi"/>
        </w:rPr>
        <w:t>There is no form associated with this ICR.</w:t>
      </w:r>
    </w:p>
    <w:p w:rsidR="00F056C3" w:rsidRPr="00026FE1" w:rsidP="00A030F0" w14:paraId="3780CD5A" w14:textId="77777777">
      <w:pPr>
        <w:pStyle w:val="Heading2"/>
        <w:spacing w:line="276" w:lineRule="auto"/>
      </w:pPr>
      <w:bookmarkStart w:id="24" w:name="_Toc16271337"/>
      <w:r w:rsidRPr="00026FE1">
        <w:t>A.</w:t>
      </w:r>
      <w:r w:rsidRPr="00026FE1" w:rsidR="00A41763">
        <w:t xml:space="preserve">18. </w:t>
      </w:r>
      <w:r w:rsidRPr="00026FE1">
        <w:t>Certification Statement</w:t>
      </w:r>
      <w:bookmarkEnd w:id="24"/>
      <w:r w:rsidRPr="00026FE1">
        <w:t xml:space="preserve"> </w:t>
      </w:r>
    </w:p>
    <w:p w:rsidR="00A41763" w:rsidRPr="00515828" w:rsidP="00A030F0" w14:paraId="6352B9E1" w14:textId="77777777">
      <w:pPr>
        <w:spacing w:line="276" w:lineRule="auto"/>
        <w:rPr>
          <w:rFonts w:asciiTheme="majorHAnsi" w:hAnsiTheme="majorHAnsi" w:cstheme="majorHAnsi"/>
          <w:b/>
          <w:bCs/>
        </w:rPr>
      </w:pPr>
      <w:bookmarkStart w:id="25" w:name="_Hlk57385515"/>
      <w:r w:rsidRPr="00515828">
        <w:rPr>
          <w:rFonts w:asciiTheme="majorHAnsi" w:hAnsiTheme="majorHAnsi" w:cstheme="majorHAnsi"/>
          <w:b/>
          <w:bCs/>
        </w:rPr>
        <w:t xml:space="preserve">Explain each exception to the certification statement identified in Item 19 of OMB Form 83-I. </w:t>
      </w:r>
    </w:p>
    <w:p w:rsidR="00887C01" w:rsidRPr="00515828" w:rsidP="00A030F0" w14:paraId="77B1D1D0" w14:textId="77777777">
      <w:pPr>
        <w:spacing w:line="276" w:lineRule="auto"/>
        <w:rPr>
          <w:rFonts w:asciiTheme="majorHAnsi" w:hAnsiTheme="majorHAnsi" w:cstheme="majorHAnsi"/>
        </w:rPr>
      </w:pPr>
      <w:r w:rsidRPr="00515828">
        <w:rPr>
          <w:rFonts w:asciiTheme="majorHAnsi" w:hAnsiTheme="majorHAnsi" w:cstheme="majorHAnsi"/>
        </w:rPr>
        <w:t xml:space="preserve">There are no </w:t>
      </w:r>
      <w:r w:rsidRPr="00515828">
        <w:rPr>
          <w:rFonts w:asciiTheme="majorHAnsi" w:hAnsiTheme="majorHAnsi" w:cstheme="majorHAnsi"/>
        </w:rPr>
        <w:t>exceptions being requested.</w:t>
      </w:r>
      <w:bookmarkEnd w:id="25"/>
    </w:p>
    <w:sectPr w:rsidSect="00393B84">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5E94D1DC"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1E777E">
          <w:t>Supporting Statement for Hydroelectric Incentive Programs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B91E720"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075CA7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250B6FA"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7D88659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5D7527DE"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1E777E">
          <w:t>Supporting Statement for Hydroelectric Incentive Programs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3B84" w:rsidP="00536CE1" w14:paraId="38AE7015" w14:textId="77777777">
      <w:pPr>
        <w:spacing w:after="0" w:line="240" w:lineRule="auto"/>
      </w:pPr>
      <w:r>
        <w:separator/>
      </w:r>
    </w:p>
  </w:footnote>
  <w:footnote w:type="continuationSeparator" w:id="1">
    <w:p w:rsidR="00393B84" w:rsidP="00536CE1" w14:paraId="2B120D63" w14:textId="77777777">
      <w:pPr>
        <w:spacing w:after="0" w:line="240" w:lineRule="auto"/>
      </w:pPr>
      <w:r>
        <w:continuationSeparator/>
      </w:r>
    </w:p>
  </w:footnote>
  <w:footnote w:type="continuationNotice" w:id="2">
    <w:p w:rsidR="00393B84" w14:paraId="63FA268C" w14:textId="77777777">
      <w:pPr>
        <w:spacing w:after="0" w:line="240" w:lineRule="auto"/>
      </w:pPr>
    </w:p>
  </w:footnote>
  <w:footnote w:id="3">
    <w:p w:rsidR="00BA5323" w:rsidP="00BA5323" w14:paraId="1F099DE1" w14:textId="77777777">
      <w:pPr>
        <w:pStyle w:val="FootnoteText"/>
      </w:pPr>
      <w:r>
        <w:rPr>
          <w:rStyle w:val="FootnoteReference"/>
        </w:rPr>
        <w:footnoteRef/>
      </w:r>
      <w:hyperlink r:id="rId1" w:history="1">
        <w:r w:rsidRPr="00F163A9" w:rsidR="00586D90">
          <w:rPr>
            <w:rStyle w:val="Hyperlink"/>
          </w:rPr>
          <w:t>https://www.bls.gov/news.release/ecec.t04.htm</w:t>
        </w:r>
      </w:hyperlink>
      <w:r w:rsidR="00586D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08C8657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0166910"/>
    <w:multiLevelType w:val="hybridMultilevel"/>
    <w:tmpl w:val="9E36E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64825307">
    <w:abstractNumId w:val="10"/>
  </w:num>
  <w:num w:numId="2" w16cid:durableId="1724326405">
    <w:abstractNumId w:val="9"/>
  </w:num>
  <w:num w:numId="3" w16cid:durableId="2141339802">
    <w:abstractNumId w:val="7"/>
  </w:num>
  <w:num w:numId="4" w16cid:durableId="34741299">
    <w:abstractNumId w:val="6"/>
  </w:num>
  <w:num w:numId="5" w16cid:durableId="1838642877">
    <w:abstractNumId w:val="5"/>
  </w:num>
  <w:num w:numId="6" w16cid:durableId="564072695">
    <w:abstractNumId w:val="4"/>
  </w:num>
  <w:num w:numId="7" w16cid:durableId="345062447">
    <w:abstractNumId w:val="8"/>
  </w:num>
  <w:num w:numId="8" w16cid:durableId="1033771592">
    <w:abstractNumId w:val="3"/>
  </w:num>
  <w:num w:numId="9" w16cid:durableId="1029063525">
    <w:abstractNumId w:val="2"/>
  </w:num>
  <w:num w:numId="10" w16cid:durableId="413936916">
    <w:abstractNumId w:val="1"/>
  </w:num>
  <w:num w:numId="11" w16cid:durableId="1547446577">
    <w:abstractNumId w:val="0"/>
  </w:num>
  <w:num w:numId="12" w16cid:durableId="586966161">
    <w:abstractNumId w:val="17"/>
  </w:num>
  <w:num w:numId="13" w16cid:durableId="1921792171">
    <w:abstractNumId w:val="12"/>
  </w:num>
  <w:num w:numId="14" w16cid:durableId="2046053548">
    <w:abstractNumId w:val="14"/>
  </w:num>
  <w:num w:numId="15" w16cid:durableId="1934164532">
    <w:abstractNumId w:val="16"/>
  </w:num>
  <w:num w:numId="16" w16cid:durableId="838346294">
    <w:abstractNumId w:val="10"/>
  </w:num>
  <w:num w:numId="17" w16cid:durableId="1615553758">
    <w:abstractNumId w:val="10"/>
  </w:num>
  <w:num w:numId="18" w16cid:durableId="1309240987">
    <w:abstractNumId w:val="15"/>
  </w:num>
  <w:num w:numId="19" w16cid:durableId="414086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37238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389574622">
    <w:abstractNumId w:val="10"/>
  </w:num>
  <w:num w:numId="22" w16cid:durableId="1960643813">
    <w:abstractNumId w:val="10"/>
  </w:num>
  <w:num w:numId="23" w16cid:durableId="2114932967">
    <w:abstractNumId w:val="10"/>
  </w:num>
  <w:num w:numId="24" w16cid:durableId="577179584">
    <w:abstractNumId w:val="10"/>
  </w:num>
  <w:num w:numId="25" w16cid:durableId="1586185897">
    <w:abstractNumId w:val="10"/>
  </w:num>
  <w:num w:numId="26" w16cid:durableId="87703686">
    <w:abstractNumId w:val="18"/>
  </w:num>
  <w:num w:numId="27" w16cid:durableId="829446266">
    <w:abstractNumId w:val="10"/>
  </w:num>
  <w:num w:numId="28" w16cid:durableId="1995065354">
    <w:abstractNumId w:val="18"/>
  </w:num>
  <w:num w:numId="29" w16cid:durableId="811600357">
    <w:abstractNumId w:val="18"/>
  </w:num>
  <w:num w:numId="30" w16cid:durableId="219873983">
    <w:abstractNumId w:val="18"/>
  </w:num>
  <w:num w:numId="31" w16cid:durableId="348604246">
    <w:abstractNumId w:val="10"/>
  </w:num>
  <w:num w:numId="32" w16cid:durableId="312106536">
    <w:abstractNumId w:val="10"/>
  </w:num>
  <w:num w:numId="33" w16cid:durableId="298654587">
    <w:abstractNumId w:val="10"/>
  </w:num>
  <w:num w:numId="34" w16cid:durableId="1335913052">
    <w:abstractNumId w:val="9"/>
  </w:num>
  <w:num w:numId="35" w16cid:durableId="337927575">
    <w:abstractNumId w:val="7"/>
  </w:num>
  <w:num w:numId="36" w16cid:durableId="1539469152">
    <w:abstractNumId w:val="6"/>
  </w:num>
  <w:num w:numId="37" w16cid:durableId="2046058049">
    <w:abstractNumId w:val="5"/>
  </w:num>
  <w:num w:numId="38" w16cid:durableId="817452689">
    <w:abstractNumId w:val="12"/>
  </w:num>
  <w:num w:numId="39" w16cid:durableId="2053770288">
    <w:abstractNumId w:val="18"/>
  </w:num>
  <w:num w:numId="40" w16cid:durableId="2039045673">
    <w:abstractNumId w:val="18"/>
  </w:num>
  <w:num w:numId="41" w16cid:durableId="365981711">
    <w:abstractNumId w:val="18"/>
  </w:num>
  <w:num w:numId="42" w16cid:durableId="409473229">
    <w:abstractNumId w:val="12"/>
  </w:num>
  <w:num w:numId="43" w16cid:durableId="154691228">
    <w:abstractNumId w:val="12"/>
  </w:num>
  <w:num w:numId="44" w16cid:durableId="1157069719">
    <w:abstractNumId w:val="12"/>
  </w:num>
  <w:num w:numId="45" w16cid:durableId="1761557854">
    <w:abstractNumId w:val="12"/>
  </w:num>
  <w:num w:numId="46" w16cid:durableId="218051802">
    <w:abstractNumId w:val="11"/>
  </w:num>
  <w:num w:numId="47" w16cid:durableId="655113701">
    <w:abstractNumId w:val="19"/>
  </w:num>
  <w:num w:numId="48" w16cid:durableId="1322267860">
    <w:abstractNumId w:val="19"/>
  </w:num>
  <w:num w:numId="49" w16cid:durableId="1421679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26FE1"/>
    <w:rsid w:val="00034A4B"/>
    <w:rsid w:val="0003525E"/>
    <w:rsid w:val="00041909"/>
    <w:rsid w:val="000457E4"/>
    <w:rsid w:val="00046593"/>
    <w:rsid w:val="00047C08"/>
    <w:rsid w:val="00051524"/>
    <w:rsid w:val="0005401F"/>
    <w:rsid w:val="00055769"/>
    <w:rsid w:val="00056EC3"/>
    <w:rsid w:val="00062CFE"/>
    <w:rsid w:val="0006359C"/>
    <w:rsid w:val="0007129A"/>
    <w:rsid w:val="000831C4"/>
    <w:rsid w:val="000844CA"/>
    <w:rsid w:val="00086E5E"/>
    <w:rsid w:val="000A6F86"/>
    <w:rsid w:val="000B1BA5"/>
    <w:rsid w:val="000B3FBE"/>
    <w:rsid w:val="000B43BF"/>
    <w:rsid w:val="000C28E1"/>
    <w:rsid w:val="000C5311"/>
    <w:rsid w:val="000F040A"/>
    <w:rsid w:val="000F7623"/>
    <w:rsid w:val="001034E8"/>
    <w:rsid w:val="00106278"/>
    <w:rsid w:val="00112A69"/>
    <w:rsid w:val="0011541D"/>
    <w:rsid w:val="00125E00"/>
    <w:rsid w:val="00132F4A"/>
    <w:rsid w:val="00144760"/>
    <w:rsid w:val="00154192"/>
    <w:rsid w:val="00160BC8"/>
    <w:rsid w:val="00167425"/>
    <w:rsid w:val="001807A3"/>
    <w:rsid w:val="001947D5"/>
    <w:rsid w:val="001A6E1E"/>
    <w:rsid w:val="001A6E9A"/>
    <w:rsid w:val="001B0E69"/>
    <w:rsid w:val="001B6585"/>
    <w:rsid w:val="001C499A"/>
    <w:rsid w:val="001D03A8"/>
    <w:rsid w:val="001E777E"/>
    <w:rsid w:val="001F3A8F"/>
    <w:rsid w:val="002008B4"/>
    <w:rsid w:val="00201F24"/>
    <w:rsid w:val="002127CE"/>
    <w:rsid w:val="00215842"/>
    <w:rsid w:val="002178A9"/>
    <w:rsid w:val="002207DF"/>
    <w:rsid w:val="00221AC2"/>
    <w:rsid w:val="00227E4B"/>
    <w:rsid w:val="0023015A"/>
    <w:rsid w:val="0023708A"/>
    <w:rsid w:val="002447B0"/>
    <w:rsid w:val="0025022D"/>
    <w:rsid w:val="0025124E"/>
    <w:rsid w:val="002530BB"/>
    <w:rsid w:val="002556F3"/>
    <w:rsid w:val="00260EDF"/>
    <w:rsid w:val="002612DC"/>
    <w:rsid w:val="00264148"/>
    <w:rsid w:val="002722D9"/>
    <w:rsid w:val="00274179"/>
    <w:rsid w:val="002B0FD2"/>
    <w:rsid w:val="002C378C"/>
    <w:rsid w:val="002C79E9"/>
    <w:rsid w:val="002E3FD5"/>
    <w:rsid w:val="002E4DE1"/>
    <w:rsid w:val="002E4FAD"/>
    <w:rsid w:val="002E626E"/>
    <w:rsid w:val="002E7A38"/>
    <w:rsid w:val="00301E01"/>
    <w:rsid w:val="00306516"/>
    <w:rsid w:val="003133D5"/>
    <w:rsid w:val="00341774"/>
    <w:rsid w:val="003469CB"/>
    <w:rsid w:val="00350C8B"/>
    <w:rsid w:val="00351313"/>
    <w:rsid w:val="00351A73"/>
    <w:rsid w:val="00363331"/>
    <w:rsid w:val="00371E14"/>
    <w:rsid w:val="00373208"/>
    <w:rsid w:val="00373F98"/>
    <w:rsid w:val="00383DB3"/>
    <w:rsid w:val="003854B2"/>
    <w:rsid w:val="00385AE6"/>
    <w:rsid w:val="00387C8D"/>
    <w:rsid w:val="00392DD0"/>
    <w:rsid w:val="00393B84"/>
    <w:rsid w:val="00393EA7"/>
    <w:rsid w:val="00396BCB"/>
    <w:rsid w:val="00397825"/>
    <w:rsid w:val="003A1073"/>
    <w:rsid w:val="003A10F3"/>
    <w:rsid w:val="003A3906"/>
    <w:rsid w:val="003B03A4"/>
    <w:rsid w:val="003B4161"/>
    <w:rsid w:val="003C03EA"/>
    <w:rsid w:val="003C1DA5"/>
    <w:rsid w:val="003C457F"/>
    <w:rsid w:val="003C690C"/>
    <w:rsid w:val="003E2904"/>
    <w:rsid w:val="003E40FA"/>
    <w:rsid w:val="003F24ED"/>
    <w:rsid w:val="003F529E"/>
    <w:rsid w:val="00407CCE"/>
    <w:rsid w:val="00426481"/>
    <w:rsid w:val="00432966"/>
    <w:rsid w:val="00445A7B"/>
    <w:rsid w:val="0045608E"/>
    <w:rsid w:val="0045662F"/>
    <w:rsid w:val="00466959"/>
    <w:rsid w:val="0047784B"/>
    <w:rsid w:val="004946F0"/>
    <w:rsid w:val="00497C2A"/>
    <w:rsid w:val="004A339C"/>
    <w:rsid w:val="004B1075"/>
    <w:rsid w:val="004C277B"/>
    <w:rsid w:val="004D05FB"/>
    <w:rsid w:val="004D29C7"/>
    <w:rsid w:val="004D558C"/>
    <w:rsid w:val="004F6A1E"/>
    <w:rsid w:val="00504119"/>
    <w:rsid w:val="005065CF"/>
    <w:rsid w:val="00506BB4"/>
    <w:rsid w:val="0050705F"/>
    <w:rsid w:val="00515828"/>
    <w:rsid w:val="005170D3"/>
    <w:rsid w:val="0052493A"/>
    <w:rsid w:val="00526AA2"/>
    <w:rsid w:val="0052783E"/>
    <w:rsid w:val="00535CAF"/>
    <w:rsid w:val="00536054"/>
    <w:rsid w:val="0053654B"/>
    <w:rsid w:val="00536CE1"/>
    <w:rsid w:val="00537A91"/>
    <w:rsid w:val="0054180D"/>
    <w:rsid w:val="00542473"/>
    <w:rsid w:val="00545C0F"/>
    <w:rsid w:val="00547B53"/>
    <w:rsid w:val="005515CD"/>
    <w:rsid w:val="00571D8F"/>
    <w:rsid w:val="0057367D"/>
    <w:rsid w:val="005767D6"/>
    <w:rsid w:val="00576CF8"/>
    <w:rsid w:val="005775DB"/>
    <w:rsid w:val="00585BE3"/>
    <w:rsid w:val="00586D90"/>
    <w:rsid w:val="0059212D"/>
    <w:rsid w:val="005B2B58"/>
    <w:rsid w:val="005B4F3A"/>
    <w:rsid w:val="005C00FA"/>
    <w:rsid w:val="005C2D89"/>
    <w:rsid w:val="005C485B"/>
    <w:rsid w:val="005D39D7"/>
    <w:rsid w:val="005D5956"/>
    <w:rsid w:val="005D6F63"/>
    <w:rsid w:val="005F4848"/>
    <w:rsid w:val="00616E46"/>
    <w:rsid w:val="0062008C"/>
    <w:rsid w:val="00620797"/>
    <w:rsid w:val="006255D4"/>
    <w:rsid w:val="00626494"/>
    <w:rsid w:val="00641DE2"/>
    <w:rsid w:val="00643384"/>
    <w:rsid w:val="0065406F"/>
    <w:rsid w:val="00663EC4"/>
    <w:rsid w:val="00677C5F"/>
    <w:rsid w:val="006A0BC7"/>
    <w:rsid w:val="006C0062"/>
    <w:rsid w:val="006C097E"/>
    <w:rsid w:val="006C2DC3"/>
    <w:rsid w:val="006D0439"/>
    <w:rsid w:val="006D42EC"/>
    <w:rsid w:val="006D6513"/>
    <w:rsid w:val="006E0063"/>
    <w:rsid w:val="006F3C12"/>
    <w:rsid w:val="00704B7D"/>
    <w:rsid w:val="00711414"/>
    <w:rsid w:val="00711DF1"/>
    <w:rsid w:val="00714478"/>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C5CE9"/>
    <w:rsid w:val="007C7FC1"/>
    <w:rsid w:val="007D39CC"/>
    <w:rsid w:val="007D6AAF"/>
    <w:rsid w:val="007E29F8"/>
    <w:rsid w:val="007E5A11"/>
    <w:rsid w:val="007E73E6"/>
    <w:rsid w:val="007F1954"/>
    <w:rsid w:val="007F21D7"/>
    <w:rsid w:val="007F67BC"/>
    <w:rsid w:val="008057F8"/>
    <w:rsid w:val="00811910"/>
    <w:rsid w:val="00812C91"/>
    <w:rsid w:val="008213F9"/>
    <w:rsid w:val="008307E1"/>
    <w:rsid w:val="00836D62"/>
    <w:rsid w:val="00844524"/>
    <w:rsid w:val="00862438"/>
    <w:rsid w:val="00867160"/>
    <w:rsid w:val="0087205B"/>
    <w:rsid w:val="00874FB8"/>
    <w:rsid w:val="00887C01"/>
    <w:rsid w:val="00895669"/>
    <w:rsid w:val="00897946"/>
    <w:rsid w:val="008A3276"/>
    <w:rsid w:val="008A3447"/>
    <w:rsid w:val="008A7E5F"/>
    <w:rsid w:val="008B399C"/>
    <w:rsid w:val="008C4D26"/>
    <w:rsid w:val="008C734C"/>
    <w:rsid w:val="008E4BF2"/>
    <w:rsid w:val="008F16EC"/>
    <w:rsid w:val="008F23F1"/>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48D"/>
    <w:rsid w:val="009757AD"/>
    <w:rsid w:val="00980B6A"/>
    <w:rsid w:val="009818F9"/>
    <w:rsid w:val="0098618F"/>
    <w:rsid w:val="00987C32"/>
    <w:rsid w:val="00991646"/>
    <w:rsid w:val="0099448B"/>
    <w:rsid w:val="00997347"/>
    <w:rsid w:val="009A31C1"/>
    <w:rsid w:val="009B19CE"/>
    <w:rsid w:val="009C202F"/>
    <w:rsid w:val="009C77F7"/>
    <w:rsid w:val="009E48F1"/>
    <w:rsid w:val="009E5ABC"/>
    <w:rsid w:val="009E5B9C"/>
    <w:rsid w:val="009E75B6"/>
    <w:rsid w:val="009F4ED1"/>
    <w:rsid w:val="00A00D71"/>
    <w:rsid w:val="00A00EDF"/>
    <w:rsid w:val="00A030F0"/>
    <w:rsid w:val="00A07DEB"/>
    <w:rsid w:val="00A26A17"/>
    <w:rsid w:val="00A30169"/>
    <w:rsid w:val="00A312A3"/>
    <w:rsid w:val="00A33D9F"/>
    <w:rsid w:val="00A37229"/>
    <w:rsid w:val="00A41763"/>
    <w:rsid w:val="00A418C9"/>
    <w:rsid w:val="00A46697"/>
    <w:rsid w:val="00A72AA8"/>
    <w:rsid w:val="00A74C9B"/>
    <w:rsid w:val="00A874E4"/>
    <w:rsid w:val="00A93478"/>
    <w:rsid w:val="00A97FE7"/>
    <w:rsid w:val="00AA3D91"/>
    <w:rsid w:val="00AA3FD0"/>
    <w:rsid w:val="00AA46CA"/>
    <w:rsid w:val="00AA7EFA"/>
    <w:rsid w:val="00AB61B3"/>
    <w:rsid w:val="00AC323A"/>
    <w:rsid w:val="00AC69E8"/>
    <w:rsid w:val="00AD6357"/>
    <w:rsid w:val="00AD7F81"/>
    <w:rsid w:val="00AE4CA9"/>
    <w:rsid w:val="00AE58B2"/>
    <w:rsid w:val="00AE6862"/>
    <w:rsid w:val="00AF367D"/>
    <w:rsid w:val="00AF45FD"/>
    <w:rsid w:val="00B2386E"/>
    <w:rsid w:val="00B35E2A"/>
    <w:rsid w:val="00B4263D"/>
    <w:rsid w:val="00B56F49"/>
    <w:rsid w:val="00B7442A"/>
    <w:rsid w:val="00B97002"/>
    <w:rsid w:val="00BA5323"/>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744D"/>
    <w:rsid w:val="00C43A84"/>
    <w:rsid w:val="00C64137"/>
    <w:rsid w:val="00C658E4"/>
    <w:rsid w:val="00C711A2"/>
    <w:rsid w:val="00C7266E"/>
    <w:rsid w:val="00C73A3D"/>
    <w:rsid w:val="00C76C66"/>
    <w:rsid w:val="00C82DF9"/>
    <w:rsid w:val="00C87190"/>
    <w:rsid w:val="00CA1564"/>
    <w:rsid w:val="00CA7C8A"/>
    <w:rsid w:val="00CB180D"/>
    <w:rsid w:val="00CB44E8"/>
    <w:rsid w:val="00CB7978"/>
    <w:rsid w:val="00CC1D12"/>
    <w:rsid w:val="00CE42E9"/>
    <w:rsid w:val="00D001E4"/>
    <w:rsid w:val="00D00AA8"/>
    <w:rsid w:val="00D01BEA"/>
    <w:rsid w:val="00D02778"/>
    <w:rsid w:val="00D13E84"/>
    <w:rsid w:val="00D17918"/>
    <w:rsid w:val="00D22F0F"/>
    <w:rsid w:val="00D276F5"/>
    <w:rsid w:val="00D300F4"/>
    <w:rsid w:val="00D3344B"/>
    <w:rsid w:val="00D40175"/>
    <w:rsid w:val="00D55243"/>
    <w:rsid w:val="00D62F90"/>
    <w:rsid w:val="00D63E74"/>
    <w:rsid w:val="00D701F6"/>
    <w:rsid w:val="00D70C8D"/>
    <w:rsid w:val="00D715C4"/>
    <w:rsid w:val="00D840AA"/>
    <w:rsid w:val="00D854D8"/>
    <w:rsid w:val="00D928FD"/>
    <w:rsid w:val="00DB6FBD"/>
    <w:rsid w:val="00DC79E3"/>
    <w:rsid w:val="00DD51E1"/>
    <w:rsid w:val="00DE2D54"/>
    <w:rsid w:val="00DF68CE"/>
    <w:rsid w:val="00E02BB0"/>
    <w:rsid w:val="00E03CE6"/>
    <w:rsid w:val="00E13716"/>
    <w:rsid w:val="00E266FF"/>
    <w:rsid w:val="00E27661"/>
    <w:rsid w:val="00E47DB3"/>
    <w:rsid w:val="00E50984"/>
    <w:rsid w:val="00E509A9"/>
    <w:rsid w:val="00E51F8B"/>
    <w:rsid w:val="00E5242A"/>
    <w:rsid w:val="00E53398"/>
    <w:rsid w:val="00E66AE2"/>
    <w:rsid w:val="00E70964"/>
    <w:rsid w:val="00E74DA4"/>
    <w:rsid w:val="00E81B89"/>
    <w:rsid w:val="00E91432"/>
    <w:rsid w:val="00E91B5A"/>
    <w:rsid w:val="00EC0117"/>
    <w:rsid w:val="00ED459B"/>
    <w:rsid w:val="00ED6E45"/>
    <w:rsid w:val="00EE2CAF"/>
    <w:rsid w:val="00EE43E4"/>
    <w:rsid w:val="00EF3E50"/>
    <w:rsid w:val="00F001EA"/>
    <w:rsid w:val="00F056C3"/>
    <w:rsid w:val="00F163A9"/>
    <w:rsid w:val="00F16B90"/>
    <w:rsid w:val="00F33EBE"/>
    <w:rsid w:val="00F34F19"/>
    <w:rsid w:val="00F44A21"/>
    <w:rsid w:val="00F51E39"/>
    <w:rsid w:val="00F540D5"/>
    <w:rsid w:val="00F575F0"/>
    <w:rsid w:val="00F6664C"/>
    <w:rsid w:val="00F750E7"/>
    <w:rsid w:val="00F80AF1"/>
    <w:rsid w:val="00F8298C"/>
    <w:rsid w:val="00F90245"/>
    <w:rsid w:val="00F918E3"/>
    <w:rsid w:val="00F920D9"/>
    <w:rsid w:val="00F94781"/>
    <w:rsid w:val="00FA5388"/>
    <w:rsid w:val="00FB08E3"/>
    <w:rsid w:val="00FB6BF3"/>
    <w:rsid w:val="00FC62FD"/>
    <w:rsid w:val="00FD397B"/>
    <w:rsid w:val="00FD4B01"/>
    <w:rsid w:val="00FD52F2"/>
    <w:rsid w:val="00FD7CDC"/>
    <w:rsid w:val="00FE2197"/>
    <w:rsid w:val="00FE58E0"/>
    <w:rsid w:val="00FE74D0"/>
    <w:rsid w:val="31690611"/>
    <w:rsid w:val="429C25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1EF93"/>
  <w15:docId w15:val="{1F7044ED-9A91-4E16-9226-0E120C8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26FE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26FE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BA5323"/>
    <w:pPr>
      <w:spacing w:after="0" w:line="240" w:lineRule="atLeast"/>
      <w:contextualSpacing/>
    </w:pPr>
    <w:rPr>
      <w:sz w:val="18"/>
    </w:rPr>
  </w:style>
  <w:style w:type="character" w:customStyle="1" w:styleId="FootnoteTextChar">
    <w:name w:val="Footnote Text Char"/>
    <w:basedOn w:val="DefaultParagraphFont"/>
    <w:link w:val="FootnoteText"/>
    <w:uiPriority w:val="7"/>
    <w:rsid w:val="00BA5323"/>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1E777E"/>
    <w:rPr>
      <w:sz w:val="16"/>
      <w:szCs w:val="16"/>
    </w:rPr>
  </w:style>
  <w:style w:type="paragraph" w:styleId="CommentText">
    <w:name w:val="annotation text"/>
    <w:basedOn w:val="Normal"/>
    <w:link w:val="CommentTextChar"/>
    <w:uiPriority w:val="99"/>
    <w:unhideWhenUsed/>
    <w:locked/>
    <w:rsid w:val="001E777E"/>
    <w:pPr>
      <w:spacing w:line="240" w:lineRule="auto"/>
    </w:pPr>
    <w:rPr>
      <w:sz w:val="20"/>
      <w:szCs w:val="20"/>
    </w:rPr>
  </w:style>
  <w:style w:type="character" w:customStyle="1" w:styleId="CommentTextChar">
    <w:name w:val="Comment Text Char"/>
    <w:basedOn w:val="DefaultParagraphFont"/>
    <w:link w:val="CommentText"/>
    <w:uiPriority w:val="99"/>
    <w:rsid w:val="001E777E"/>
    <w:rPr>
      <w:sz w:val="20"/>
      <w:szCs w:val="20"/>
    </w:rPr>
  </w:style>
  <w:style w:type="paragraph" w:styleId="CommentSubject">
    <w:name w:val="annotation subject"/>
    <w:basedOn w:val="CommentText"/>
    <w:next w:val="CommentText"/>
    <w:link w:val="CommentSubjectChar"/>
    <w:uiPriority w:val="99"/>
    <w:semiHidden/>
    <w:unhideWhenUsed/>
    <w:locked/>
    <w:rsid w:val="001E777E"/>
    <w:rPr>
      <w:b/>
      <w:bCs/>
    </w:rPr>
  </w:style>
  <w:style w:type="character" w:customStyle="1" w:styleId="CommentSubjectChar">
    <w:name w:val="Comment Subject Char"/>
    <w:basedOn w:val="CommentTextChar"/>
    <w:link w:val="CommentSubject"/>
    <w:uiPriority w:val="99"/>
    <w:semiHidden/>
    <w:rsid w:val="001E777E"/>
    <w:rPr>
      <w:b/>
      <w:bCs/>
      <w:sz w:val="20"/>
      <w:szCs w:val="20"/>
    </w:rPr>
  </w:style>
  <w:style w:type="character" w:styleId="FollowedHyperlink">
    <w:name w:val="FollowedHyperlink"/>
    <w:basedOn w:val="DefaultParagraphFont"/>
    <w:uiPriority w:val="99"/>
    <w:semiHidden/>
    <w:unhideWhenUsed/>
    <w:locked/>
    <w:rsid w:val="00887C01"/>
    <w:rPr>
      <w:color w:val="5D9732" w:themeColor="followedHyperlink"/>
      <w:u w:val="single"/>
    </w:rPr>
  </w:style>
  <w:style w:type="paragraph" w:styleId="Revision">
    <w:name w:val="Revision"/>
    <w:hidden/>
    <w:uiPriority w:val="99"/>
    <w:semiHidden/>
    <w:rsid w:val="007F67BC"/>
    <w:pPr>
      <w:spacing w:after="0"/>
    </w:pPr>
  </w:style>
  <w:style w:type="character" w:styleId="UnresolvedMention">
    <w:name w:val="Unresolved Mention"/>
    <w:basedOn w:val="DefaultParagraphFont"/>
    <w:uiPriority w:val="99"/>
    <w:semiHidden/>
    <w:unhideWhenUsed/>
    <w:rsid w:val="0058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5064">
      <w:pPr>
        <w:spacing w:after="0" w:line="240" w:lineRule="auto"/>
      </w:pPr>
      <w:r>
        <w:separator/>
      </w:r>
    </w:p>
  </w:footnote>
  <w:footnote w:type="continuationSeparator" w:id="1">
    <w:p w:rsidR="000F506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F5064"/>
    <w:rsid w:val="0040022C"/>
    <w:rsid w:val="0043667A"/>
    <w:rsid w:val="00591DDE"/>
    <w:rsid w:val="0065501B"/>
    <w:rsid w:val="00763DA1"/>
    <w:rsid w:val="00943027"/>
    <w:rsid w:val="0097548D"/>
    <w:rsid w:val="009E75B6"/>
    <w:rsid w:val="00D17918"/>
    <w:rsid w:val="00DE0F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46679bd-67f5-4136-bc89-b400106d8f8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66515FB03C606468E9AC9CE161CFA90" ma:contentTypeVersion="14" ma:contentTypeDescription="Create a new document." ma:contentTypeScope="" ma:versionID="f15788870e62a9c5fec459cb13e636bd">
  <xsd:schema xmlns:xsd="http://www.w3.org/2001/XMLSchema" xmlns:xs="http://www.w3.org/2001/XMLSchema" xmlns:p="http://schemas.microsoft.com/office/2006/metadata/properties" xmlns:ns3="765c92d4-c508-4d1e-8a5b-8ae03cc35ae2" xmlns:ns4="b46679bd-67f5-4136-bc89-b400106d8f83" targetNamespace="http://schemas.microsoft.com/office/2006/metadata/properties" ma:root="true" ma:fieldsID="6c10cc9d130000663d0a2e1590c2f3f1" ns3:_="" ns4:_="">
    <xsd:import namespace="765c92d4-c508-4d1e-8a5b-8ae03cc35ae2"/>
    <xsd:import namespace="b46679bd-67f5-4136-bc89-b400106d8f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c92d4-c508-4d1e-8a5b-8ae03cc35a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679bd-67f5-4136-bc89-b400106d8f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88CD83-6678-4F51-ADF7-2835B010E140}">
  <ds:schemaRefs>
    <ds:schemaRef ds:uri="http://schemas.microsoft.com/sharepoint/v3/contenttype/forms"/>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17B4E214-B730-4A1E-B881-33455769F61F}">
  <ds:schemaRefs>
    <ds:schemaRef ds:uri="http://schemas.microsoft.com/office/2006/metadata/properties"/>
    <ds:schemaRef ds:uri="http://schemas.microsoft.com/office/infopath/2007/PartnerControls"/>
    <ds:schemaRef ds:uri="b46679bd-67f5-4136-bc89-b400106d8f83"/>
  </ds:schemaRefs>
</ds:datastoreItem>
</file>

<file path=customXml/itemProps5.xml><?xml version="1.0" encoding="utf-8"?>
<ds:datastoreItem xmlns:ds="http://schemas.openxmlformats.org/officeDocument/2006/customXml" ds:itemID="{D4249CE7-C9CB-43FA-8D8C-0FF924E9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c92d4-c508-4d1e-8a5b-8ae03cc35ae2"/>
    <ds:schemaRef ds:uri="b46679bd-67f5-4136-bc89-b400106d8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 Hydroelectric Incentive Programs</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Hydroelectric Incentive Programs</dc:title>
  <dc:subject>Improving the Quality and Scope of EIA Data</dc:subject>
  <dc:creator>Stroud, Lawrence</dc:creator>
  <cp:lastModifiedBy>Freeman, Yohanna</cp:lastModifiedBy>
  <cp:revision>2</cp:revision>
  <cp:lastPrinted>2011-12-13T02:42:00Z</cp:lastPrinted>
  <dcterms:created xsi:type="dcterms:W3CDTF">2024-05-09T20:42:00Z</dcterms:created>
  <dcterms:modified xsi:type="dcterms:W3CDTF">2024-05-09T20:42:00Z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0x010100A66515FB03C606468E9AC9CE161CFA90</vt:lpwstr>
  </property>
  <property fmtid="{D5CDD505-2E9C-101B-9397-08002B2CF9AE}" pid="3" name="MediaServiceImageTags">
    <vt:lpwstr/>
  </property>
  <property fmtid="{D5CDD505-2E9C-101B-9397-08002B2CF9AE}" pid="4" name="_dlc_DocIdItemGuid">
    <vt:lpwstr>acb50603-18a7-4fda-a207-1bfbb8ec6350</vt:lpwstr>
  </property>
</Properties>
</file>