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4836AD" w:rsidRPr="0040415A" w:rsidP="004836AD" w14:paraId="328BD9C6" w14:textId="26292BD5">
      <w:pPr>
        <w:rPr>
          <w:bCs/>
        </w:rPr>
      </w:pPr>
      <w:r w:rsidRPr="00BB3410">
        <w:rPr>
          <w:rFonts w:cstheme="minorHAnsi"/>
          <w:b/>
          <w:bCs/>
        </w:rPr>
        <w:t>Title</w:t>
      </w:r>
      <w:r w:rsidRPr="00EA0D20">
        <w:rPr>
          <w:rFonts w:cstheme="minorHAnsi"/>
          <w:b/>
          <w:bCs/>
        </w:rPr>
        <w:t>:</w:t>
      </w:r>
      <w:r w:rsidR="001F34A5">
        <w:rPr>
          <w:rFonts w:cstheme="minorHAnsi"/>
        </w:rPr>
        <w:t xml:space="preserve"> </w:t>
      </w:r>
      <w:bookmarkStart w:id="1" w:name="_Hlk45556518"/>
      <w:r w:rsidRPr="0040415A">
        <w:rPr>
          <w:bCs/>
        </w:rPr>
        <w:t>NSPS for Onshore Natural Gas Processing Plants (40 CFR Part 60, Subparts KKK and LLL) (Renewal)</w:t>
      </w:r>
      <w:bookmarkEnd w:id="1"/>
    </w:p>
    <w:p w:rsidR="00EE2403" w:rsidRPr="00BB3410" w:rsidP="00BB432F" w14:paraId="71D5121E" w14:textId="0481D069">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4836AD">
        <w:rPr>
          <w:rFonts w:cstheme="minorHAnsi"/>
        </w:rPr>
        <w:t>2060-0120</w:t>
      </w:r>
    </w:p>
    <w:p w:rsidR="00EE2403" w:rsidRPr="00BB3410" w:rsidP="00ED57A4" w14:paraId="4FB77BCA" w14:textId="6AA83188">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4836AD">
        <w:rPr>
          <w:rFonts w:cstheme="minorHAnsi"/>
        </w:rPr>
        <w:t>1086.13</w:t>
      </w:r>
    </w:p>
    <w:p w:rsidR="00D54A26" w:rsidP="00D54A26" w14:paraId="25EEA07A" w14:textId="77777777">
      <w:pPr>
        <w:rPr>
          <w:color w:val="000000"/>
        </w:rPr>
      </w:pPr>
      <w:r w:rsidRPr="4BDBF0A0">
        <w:rPr>
          <w:b/>
          <w:bCs/>
        </w:rPr>
        <w:t>Abstract:</w:t>
      </w:r>
      <w:r w:rsidRPr="4BDBF0A0" w:rsidR="00BB432F">
        <w:t xml:space="preserve"> </w:t>
      </w:r>
      <w:r>
        <w:rPr>
          <w:color w:val="000000"/>
        </w:rPr>
        <w:t xml:space="preserve">The </w:t>
      </w:r>
      <w:r w:rsidRPr="00F235A2">
        <w:t>New Source Performance Standards (NSPS) for</w:t>
      </w:r>
      <w:r w:rsidRPr="00533809">
        <w:t xml:space="preserve"> Onshore Natural Gas Processing Plants (40 CFR Part 60</w:t>
      </w:r>
      <w:r>
        <w:t>,</w:t>
      </w:r>
      <w:r w:rsidRPr="00533809">
        <w:t xml:space="preserve"> Subpart KKK)</w:t>
      </w:r>
      <w:r>
        <w:t xml:space="preserve"> were</w:t>
      </w:r>
      <w:r w:rsidRPr="004A7C0E">
        <w:rPr>
          <w:color w:val="000000"/>
        </w:rPr>
        <w:t xml:space="preserve"> proposed on January 20, 1984</w:t>
      </w:r>
      <w:r>
        <w:rPr>
          <w:color w:val="000000"/>
        </w:rPr>
        <w:t>;</w:t>
      </w:r>
      <w:r w:rsidRPr="004A7C0E">
        <w:rPr>
          <w:color w:val="000000"/>
        </w:rPr>
        <w:t xml:space="preserve"> promulgated on June 24, 1985</w:t>
      </w:r>
      <w:r>
        <w:rPr>
          <w:color w:val="000000"/>
        </w:rPr>
        <w:t>;</w:t>
      </w:r>
      <w:r w:rsidRPr="004A7C0E">
        <w:rPr>
          <w:color w:val="000000"/>
        </w:rPr>
        <w:t xml:space="preserve"> and </w:t>
      </w:r>
      <w:r>
        <w:rPr>
          <w:color w:val="000000"/>
        </w:rPr>
        <w:t>most-recently amended on</w:t>
      </w:r>
      <w:r w:rsidRPr="004A7C0E">
        <w:rPr>
          <w:color w:val="000000"/>
        </w:rPr>
        <w:t xml:space="preserve"> August 16, 2012</w:t>
      </w:r>
      <w:r>
        <w:rPr>
          <w:color w:val="000000"/>
        </w:rPr>
        <w:t xml:space="preserve">. These regulations apply to </w:t>
      </w:r>
      <w:r w:rsidRPr="0040415A">
        <w:t xml:space="preserve">Volatile Organic Compound (VOC) emissions at </w:t>
      </w:r>
      <w:r>
        <w:rPr>
          <w:color w:val="000000"/>
        </w:rPr>
        <w:t xml:space="preserve">existing facilities </w:t>
      </w:r>
      <w:r w:rsidRPr="0040415A">
        <w:t>located at onshore natural gas processing plants</w:t>
      </w:r>
      <w:r>
        <w:t>,</w:t>
      </w:r>
      <w:r w:rsidRPr="0040415A">
        <w:t xml:space="preserve"> compressors in equipment leaks of VOC service or in wet gas service, and the groups of all equipment (except </w:t>
      </w:r>
      <w:r w:rsidRPr="00A269FB">
        <w:t xml:space="preserve">compressors) within a process unit. </w:t>
      </w:r>
      <w:r w:rsidRPr="00F235A2">
        <w:t>This information is being collected to assure compliance with 40 CFR Part 60, Subpart KKK.</w:t>
      </w:r>
    </w:p>
    <w:p w:rsidR="00D54A26" w:rsidP="00D54A26" w14:paraId="4E8F36B2" w14:textId="77777777">
      <w:pPr>
        <w:ind w:firstLine="720"/>
      </w:pPr>
      <w:r w:rsidRPr="0040415A">
        <w:t>The New Source Performance Standards for</w:t>
      </w:r>
      <w:r w:rsidRPr="00D21563">
        <w:t xml:space="preserve"> Onshore Natural Gas Processing Plants</w:t>
      </w:r>
      <w:r>
        <w:t xml:space="preserve"> (</w:t>
      </w:r>
      <w:r w:rsidRPr="0040415A">
        <w:t>40 CFR Part 60</w:t>
      </w:r>
      <w:r>
        <w:t>,</w:t>
      </w:r>
      <w:r w:rsidRPr="0040415A">
        <w:t xml:space="preserve"> Subpart LLL</w:t>
      </w:r>
      <w:r>
        <w:t>)</w:t>
      </w:r>
      <w:r w:rsidRPr="0040415A">
        <w:t xml:space="preserve"> were proposed on January 20, 1984</w:t>
      </w:r>
      <w:r>
        <w:t>;</w:t>
      </w:r>
      <w:r w:rsidRPr="0040415A">
        <w:t xml:space="preserve"> promulgated on October 1, 1985</w:t>
      </w:r>
      <w:r>
        <w:t>;</w:t>
      </w:r>
      <w:r w:rsidRPr="0040415A">
        <w:t xml:space="preserve"> and </w:t>
      </w:r>
      <w:r>
        <w:t>most-recently amended on</w:t>
      </w:r>
      <w:r w:rsidRPr="0040415A">
        <w:t xml:space="preserve"> August 16, 2012.</w:t>
      </w:r>
      <w:r>
        <w:t xml:space="preserve"> </w:t>
      </w:r>
      <w:r w:rsidRPr="0040415A">
        <w:t>These regulations apply to sulfur dioxide (SO</w:t>
      </w:r>
      <w:r w:rsidRPr="0040415A">
        <w:rPr>
          <w:vertAlign w:val="subscript"/>
        </w:rPr>
        <w:t>2</w:t>
      </w:r>
      <w:r w:rsidRPr="0040415A">
        <w:t>) emissions at the following types of existing facilities located at onshore natural gas processing plants: each sweetening unit, and each sweetening unit followed by a sulfur recovery unit.</w:t>
      </w:r>
      <w:r w:rsidRPr="0040415A">
        <w:t xml:space="preserve"> </w:t>
      </w:r>
      <w:r w:rsidRPr="0040415A">
        <w:t>The provisions of Subpart LLL do not apply to sweetening facilities that produce acid gas that is completely re-injected into oil or gas bearing geologic strata or that is otherwise not released to the atmosphere, or to affected facilities with design capacities of less than two long tons per day (LT/D) of hydrogen sulfide in the acid gas, expressed as sulfur. This information is being collected to assure compliance with 40 CFR Part 60, Subpart LLL.</w:t>
      </w:r>
    </w:p>
    <w:p w:rsidR="00D54A26" w:rsidP="00D54A26" w14:paraId="6732245A" w14:textId="77777777">
      <w:pPr>
        <w:ind w:firstLine="720"/>
      </w:pPr>
      <w:r>
        <w:rPr>
          <w:iCs/>
        </w:rPr>
        <w:t xml:space="preserve">On August 16, 2012, EPA issued a new NSPS rule at Subpart OOOO, addressing new and revised requirements for natural gas processing facilities, that are either new or modified sources after August 23, 2011, subject to Subparts KKK and LLL, and which began reporting under 40 CFR 60, Subpart OOOO. </w:t>
      </w:r>
      <w:r w:rsidRPr="0040415A">
        <w:rPr>
          <w:iCs/>
        </w:rPr>
        <w:t xml:space="preserve">On </w:t>
      </w:r>
      <w:r>
        <w:rPr>
          <w:iCs/>
        </w:rPr>
        <w:t>June 3, 2016</w:t>
      </w:r>
      <w:r w:rsidRPr="0040415A">
        <w:rPr>
          <w:iCs/>
        </w:rPr>
        <w:t xml:space="preserve">, EPA issued a new NSPS rule at Subpart </w:t>
      </w:r>
      <w:r w:rsidRPr="0040415A">
        <w:rPr>
          <w:iCs/>
        </w:rPr>
        <w:t>OOOO</w:t>
      </w:r>
      <w:r>
        <w:rPr>
          <w:iCs/>
        </w:rPr>
        <w:t>a</w:t>
      </w:r>
      <w:r w:rsidRPr="0040415A">
        <w:rPr>
          <w:iCs/>
        </w:rPr>
        <w:t xml:space="preserve"> addressing new and revised requirements for natural gas processing facilities, that are either new or modified sources after August 2, 201</w:t>
      </w:r>
      <w:r>
        <w:rPr>
          <w:iCs/>
        </w:rPr>
        <w:t>6,</w:t>
      </w:r>
      <w:r w:rsidRPr="0040415A">
        <w:rPr>
          <w:iCs/>
        </w:rPr>
        <w:t xml:space="preserve"> subject to Subparts KKK and LLL, which will now report under </w:t>
      </w:r>
      <w:r>
        <w:rPr>
          <w:iCs/>
        </w:rPr>
        <w:t xml:space="preserve">40 CFR 60, Subpart </w:t>
      </w:r>
      <w:r>
        <w:rPr>
          <w:iCs/>
        </w:rPr>
        <w:t>OOOOa</w:t>
      </w:r>
      <w:r w:rsidRPr="0040415A">
        <w:rPr>
          <w:iCs/>
        </w:rPr>
        <w:t>. Although Subpart</w:t>
      </w:r>
      <w:r>
        <w:rPr>
          <w:iCs/>
        </w:rPr>
        <w:t>s OOOO/</w:t>
      </w:r>
      <w:r w:rsidRPr="0040415A">
        <w:rPr>
          <w:iCs/>
        </w:rPr>
        <w:t>OOOO</w:t>
      </w:r>
      <w:r>
        <w:rPr>
          <w:iCs/>
        </w:rPr>
        <w:t>a</w:t>
      </w:r>
      <w:r w:rsidRPr="0040415A">
        <w:rPr>
          <w:iCs/>
        </w:rPr>
        <w:t xml:space="preserve"> address other portions of the oil and gas sector, some of which ha</w:t>
      </w:r>
      <w:r>
        <w:rPr>
          <w:iCs/>
        </w:rPr>
        <w:t>ve</w:t>
      </w:r>
      <w:r w:rsidRPr="0040415A">
        <w:rPr>
          <w:iCs/>
        </w:rPr>
        <w:t xml:space="preserve"> not been regulated before, the burden associated with these other rule requirements are not specifically addressed in this ICR.</w:t>
      </w:r>
    </w:p>
    <w:p w:rsidR="00D54A26" w:rsidP="00D54A26" w14:paraId="09A97ACC" w14:textId="77777777">
      <w:pPr>
        <w:ind w:firstLine="720"/>
        <w:rPr>
          <w:color w:val="000000"/>
        </w:rPr>
      </w:pPr>
      <w:r>
        <w:rPr>
          <w:color w:val="000000"/>
        </w:rPr>
        <w:t xml:space="preserve">In general, </w:t>
      </w:r>
      <w:r w:rsidRPr="00F235A2">
        <w:t xml:space="preserve">all NSPS standards </w:t>
      </w:r>
      <w:r>
        <w:rPr>
          <w:color w:val="000000"/>
        </w:rPr>
        <w:t xml:space="preserve">require initial notifications, performance tests, and periodic reports by the owners/operators of the affected facilities. They are also required to maintain records of the occurrence and duration of any startup, shutdown, or malfunction in the operation of an affected facility or in any period during which the monitoring system is inoperative. These notifications, reports, and records are essential in determining compliance, and are required of all affected facilities </w:t>
      </w:r>
      <w:r w:rsidRPr="00F235A2">
        <w:t xml:space="preserve">subject to NSPS. </w:t>
      </w:r>
    </w:p>
    <w:p w:rsidR="00D54A26" w:rsidRPr="00F235A2" w:rsidP="00D54A26" w14:paraId="45D89F61" w14:textId="77777777">
      <w:pPr>
        <w:pBdr>
          <w:top w:val="single" w:sz="6" w:space="0" w:color="FFFFFF"/>
          <w:left w:val="single" w:sz="6" w:space="0" w:color="FFFFFF"/>
          <w:bottom w:val="single" w:sz="6" w:space="0" w:color="FFFFFF"/>
          <w:right w:val="single" w:sz="6" w:space="0" w:color="FFFFFF"/>
        </w:pBdr>
        <w:ind w:firstLine="720"/>
        <w:rPr>
          <w:shd w:val="clear" w:color="auto" w:fill="FFFFFF"/>
        </w:rPr>
      </w:pPr>
      <w:r>
        <w:rPr>
          <w:color w:val="000000"/>
        </w:rPr>
        <w:t>Any owner/operator subject to the provisions of this part shall maintain a file of these measurements and retain the file for at leas</w:t>
      </w:r>
      <w:r w:rsidRPr="00F235A2">
        <w:t xml:space="preserve">t two years </w:t>
      </w:r>
      <w:r>
        <w:rPr>
          <w:color w:val="000000"/>
        </w:rPr>
        <w:t xml:space="preserve">following the date of such measurements, maintenance reports, and records. </w:t>
      </w:r>
      <w:r w:rsidRPr="00C2600C">
        <w:t>All reports required to be submitted electronically are s</w:t>
      </w:r>
      <w:r w:rsidRPr="00C2600C">
        <w:rPr>
          <w:shd w:val="clear" w:color="auto" w:fill="FFFFFF"/>
        </w:rPr>
        <w:t>ubmitted through the EPA's Central Data Exchange (CDX), using the Compliance and Emissions Data Reporting Interface (CEDRI), where the delegated state or local authority can review them. I</w:t>
      </w:r>
      <w:r>
        <w:rPr>
          <w:shd w:val="clear" w:color="auto" w:fill="FFFFFF"/>
        </w:rPr>
        <w:t xml:space="preserve">f </w:t>
      </w:r>
      <w:r w:rsidRPr="00C2600C">
        <w:rPr>
          <w:shd w:val="clear" w:color="auto" w:fill="FFFFFF"/>
        </w:rPr>
        <w:t>there is no such delegated authority, the EPA</w:t>
      </w:r>
      <w:r>
        <w:rPr>
          <w:shd w:val="clear" w:color="auto" w:fill="FFFFFF"/>
        </w:rPr>
        <w:t>’s</w:t>
      </w:r>
      <w:r w:rsidRPr="00C2600C">
        <w:rPr>
          <w:shd w:val="clear" w:color="auto" w:fill="FFFFFF"/>
        </w:rPr>
        <w:t xml:space="preserve"> regional office</w:t>
      </w:r>
      <w:r>
        <w:rPr>
          <w:shd w:val="clear" w:color="auto" w:fill="FFFFFF"/>
        </w:rPr>
        <w:t>s</w:t>
      </w:r>
      <w:r w:rsidRPr="00C2600C">
        <w:rPr>
          <w:shd w:val="clear" w:color="auto" w:fill="FFFFFF"/>
        </w:rPr>
        <w:t> can review them.</w:t>
      </w:r>
      <w:r>
        <w:rPr>
          <w:shd w:val="clear" w:color="auto" w:fill="FFFFFF"/>
        </w:rPr>
        <w:t xml:space="preserve"> </w:t>
      </w:r>
      <w:r w:rsidRPr="00C2600C">
        <w:t>All other reports are s</w:t>
      </w:r>
      <w:r w:rsidRPr="00C2600C">
        <w:rPr>
          <w:shd w:val="clear" w:color="auto" w:fill="FFFFFF"/>
        </w:rPr>
        <w:t>ent to </w:t>
      </w:r>
      <w:r>
        <w:rPr>
          <w:shd w:val="clear" w:color="auto" w:fill="FFFFFF"/>
        </w:rPr>
        <w:t xml:space="preserve">either </w:t>
      </w:r>
      <w:r w:rsidRPr="00C2600C">
        <w:rPr>
          <w:shd w:val="clear" w:color="auto" w:fill="FFFFFF"/>
        </w:rPr>
        <w:t>the delegated state or local authority. I</w:t>
      </w:r>
      <w:r>
        <w:rPr>
          <w:shd w:val="clear" w:color="auto" w:fill="FFFFFF"/>
        </w:rPr>
        <w:t>f</w:t>
      </w:r>
      <w:r w:rsidRPr="00C2600C">
        <w:rPr>
          <w:shd w:val="clear" w:color="auto" w:fill="FFFFFF"/>
        </w:rPr>
        <w:t xml:space="preserve"> there is no such delegated authority, the reports are sent directly to the EPA</w:t>
      </w:r>
      <w:r>
        <w:rPr>
          <w:shd w:val="clear" w:color="auto" w:fill="FFFFFF"/>
        </w:rPr>
        <w:t>’s</w:t>
      </w:r>
      <w:r w:rsidRPr="00C2600C">
        <w:rPr>
          <w:shd w:val="clear" w:color="auto" w:fill="FFFFFF"/>
        </w:rPr>
        <w:t xml:space="preserve"> regional offices. The use of the term </w:t>
      </w:r>
      <w:r>
        <w:rPr>
          <w:shd w:val="clear" w:color="auto" w:fill="FFFFFF"/>
        </w:rPr>
        <w:t>“</w:t>
      </w:r>
      <w:r w:rsidRPr="00C2600C">
        <w:rPr>
          <w:shd w:val="clear" w:color="auto" w:fill="FFFFFF"/>
        </w:rPr>
        <w:t>Designated Administrator</w:t>
      </w:r>
      <w:r>
        <w:rPr>
          <w:shd w:val="clear" w:color="auto" w:fill="FFFFFF"/>
        </w:rPr>
        <w:t>”</w:t>
      </w:r>
      <w:r w:rsidRPr="00C2600C">
        <w:rPr>
          <w:shd w:val="clear" w:color="auto" w:fill="FFFFFF"/>
        </w:rPr>
        <w:t xml:space="preserve"> throughout this document refers to the U.S. EPA or a delegated authority</w:t>
      </w:r>
      <w:r>
        <w:rPr>
          <w:shd w:val="clear" w:color="auto" w:fill="FFFFFF"/>
        </w:rPr>
        <w:t>,</w:t>
      </w:r>
      <w:r w:rsidRPr="00C2600C">
        <w:rPr>
          <w:shd w:val="clear" w:color="auto" w:fill="FFFFFF"/>
        </w:rPr>
        <w:t xml:space="preserve"> such as a state agency. The term "Administrator" alone refers to the U.S. EPA Administrator. </w:t>
      </w:r>
    </w:p>
    <w:p w:rsidR="00D54A26" w:rsidP="00D54A26" w14:paraId="226719B7" w14:textId="77777777">
      <w:pPr>
        <w:pBdr>
          <w:top w:val="single" w:sz="6" w:space="0" w:color="FFFFFF"/>
          <w:left w:val="single" w:sz="6" w:space="0" w:color="FFFFFF"/>
          <w:bottom w:val="single" w:sz="6" w:space="0" w:color="FFFFFF"/>
          <w:right w:val="single" w:sz="6" w:space="0" w:color="FFFFFF"/>
        </w:pBdr>
        <w:ind w:firstLine="720"/>
        <w:rPr>
          <w:color w:val="000000"/>
        </w:rPr>
      </w:pPr>
      <w:r w:rsidRPr="00CA197D">
        <w:t xml:space="preserve">The </w:t>
      </w:r>
      <w:r>
        <w:t>“</w:t>
      </w:r>
      <w:r w:rsidRPr="00CA197D">
        <w:t>burden</w:t>
      </w:r>
      <w:r>
        <w:t>”</w:t>
      </w:r>
      <w:r w:rsidRPr="00CA197D">
        <w:t xml:space="preserve"> to the Federal Government is attributed entirely to work performed by either Federal employees or government contractors. </w:t>
      </w:r>
      <w:r w:rsidRPr="00480DE8">
        <w:t xml:space="preserve">None of the </w:t>
      </w:r>
      <w:r>
        <w:t xml:space="preserve">affected </w:t>
      </w:r>
      <w:r w:rsidRPr="00480DE8">
        <w:t xml:space="preserve">facilities in the United States are owned by </w:t>
      </w:r>
      <w:r>
        <w:t xml:space="preserve">either </w:t>
      </w:r>
      <w:r w:rsidRPr="00480DE8">
        <w:t xml:space="preserve">state, </w:t>
      </w:r>
      <w:r>
        <w:t xml:space="preserve">or </w:t>
      </w:r>
      <w:r w:rsidRPr="00480DE8">
        <w:t xml:space="preserve">local, </w:t>
      </w:r>
      <w:r>
        <w:t xml:space="preserve">or </w:t>
      </w:r>
      <w:r w:rsidRPr="00480DE8">
        <w:t xml:space="preserve">tribal </w:t>
      </w:r>
      <w:r>
        <w:t xml:space="preserve">entities </w:t>
      </w:r>
      <w:r w:rsidRPr="00480DE8">
        <w:t xml:space="preserve">or </w:t>
      </w:r>
      <w:r>
        <w:t xml:space="preserve">by </w:t>
      </w:r>
      <w:r w:rsidRPr="00480DE8">
        <w:t>the Federal government</w:t>
      </w:r>
      <w:r>
        <w:t>.</w:t>
      </w:r>
      <w:r w:rsidRPr="00480DE8">
        <w:t xml:space="preserve"> </w:t>
      </w:r>
      <w:r w:rsidRPr="00CA197D">
        <w:t xml:space="preserve">All natural gas processing plants subject to these standards are privately-owned, for-profit businesses. </w:t>
      </w:r>
      <w:r>
        <w:rPr>
          <w:color w:val="000000"/>
        </w:rPr>
        <w:t xml:space="preserve">Based on our consultations with industry representatives, there is an </w:t>
      </w:r>
      <w:r w:rsidRPr="00F235A2">
        <w:t xml:space="preserve">average of one </w:t>
      </w:r>
      <w:r>
        <w:rPr>
          <w:color w:val="000000"/>
        </w:rPr>
        <w:t xml:space="preserve">affected facility at each plant site and each plant site has only one respondent (i.e., the owner/operator of the plant site). </w:t>
      </w:r>
      <w:r w:rsidRPr="00CA197D">
        <w:t>Over the next three years</w:t>
      </w:r>
      <w:r w:rsidRPr="00FC5C0E">
        <w:t xml:space="preserve">, approximately </w:t>
      </w:r>
      <w:r w:rsidRPr="00F235A2">
        <w:t>291</w:t>
      </w:r>
      <w:r w:rsidRPr="00FC5C0E">
        <w:t xml:space="preserve"> respondents per year will be subject</w:t>
      </w:r>
      <w:r>
        <w:t xml:space="preserve"> </w:t>
      </w:r>
      <w:r w:rsidRPr="00FC5C0E">
        <w:t>to Subpart KKK and approximately 14 respondents per year will be subject to Subpart LLL.</w:t>
      </w:r>
      <w:r>
        <w:t xml:space="preserve"> </w:t>
      </w:r>
      <w:r w:rsidRPr="00FC5C0E">
        <w:t xml:space="preserve">Any new or modified sources will become subject </w:t>
      </w:r>
      <w:r w:rsidRPr="00CA197D">
        <w:t xml:space="preserve">to NSPS Subpart </w:t>
      </w:r>
      <w:r w:rsidRPr="00CA197D">
        <w:t>OOOO</w:t>
      </w:r>
      <w:r>
        <w:t>a</w:t>
      </w:r>
      <w:r w:rsidRPr="00CA197D">
        <w:t xml:space="preserve">. </w:t>
      </w:r>
      <w:r>
        <w:t>These estimates reflect a reduction in the number of respondents subject to Subparts KKK and LLL because they became subject to NSPS OOOO/</w:t>
      </w:r>
      <w:r>
        <w:t>OOOOa</w:t>
      </w:r>
      <w:r>
        <w:t xml:space="preserve"> due to constructing new, modified, or reconstructed sources.</w:t>
      </w:r>
    </w:p>
    <w:p w:rsidR="00BB432F" w:rsidRPr="00BB3410" w:rsidP="00D54A26" w14:paraId="6A3E928D" w14:textId="68525446">
      <w:pPr>
        <w:spacing w:before="240"/>
        <w:rPr>
          <w:color w:val="000000"/>
        </w:rPr>
      </w:pPr>
      <w:r>
        <w:t>In accordance with OMB’s Terms of Clearance, this supporting statement has been updated to the standard 18 question format.</w:t>
      </w:r>
    </w:p>
    <w:p w:rsidR="00DE4E0C" w:rsidRPr="00BB3410" w:rsidP="4BDBF0A0" w14:paraId="12DA0580" w14:textId="3A9EBC77">
      <w:pPr>
        <w:rPr>
          <w:b/>
          <w:bCs/>
          <w:u w:val="single"/>
        </w:rPr>
      </w:pPr>
      <w:r w:rsidRPr="4BDBF0A0">
        <w:rPr>
          <w:b/>
          <w:bCs/>
          <w:u w:val="single"/>
        </w:rPr>
        <w:t xml:space="preserve">Supporting </w:t>
      </w:r>
      <w:r w:rsidRPr="4BDBF0A0">
        <w:rPr>
          <w:b/>
          <w:bCs/>
          <w:u w:val="single"/>
        </w:rPr>
        <w:t>Statement</w:t>
      </w:r>
      <w:r w:rsidRPr="4BDBF0A0">
        <w:rPr>
          <w:b/>
          <w:bCs/>
          <w:u w:val="single"/>
        </w:rPr>
        <w:t xml:space="preserve">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D54A26" w:rsidRPr="00B42281" w:rsidP="00D54A26" w14:paraId="1415EA22" w14:textId="77777777">
      <w:pPr>
        <w:pBdr>
          <w:top w:val="single" w:sz="6" w:space="0" w:color="FFFFFF"/>
          <w:left w:val="single" w:sz="6" w:space="0" w:color="FFFFFF"/>
          <w:bottom w:val="single" w:sz="6" w:space="0" w:color="FFFFFF"/>
          <w:right w:val="single" w:sz="6" w:space="0" w:color="FFFFFF"/>
        </w:pBdr>
        <w:ind w:firstLine="720"/>
      </w:pPr>
      <w:r w:rsidRPr="00B42281">
        <w:t xml:space="preserve">The EPA is charged under Section 111 of the Clean Air Act (CAA), as amended, to establish standards of performance for new stationary sources that reflect: </w:t>
      </w:r>
    </w:p>
    <w:p w:rsidR="00D54A26" w:rsidRPr="00B42281" w:rsidP="00D54A26" w14:paraId="27C3CF54" w14:textId="77777777">
      <w:pPr>
        <w:pBdr>
          <w:top w:val="single" w:sz="6" w:space="0" w:color="FFFFFF"/>
          <w:left w:val="single" w:sz="6" w:space="0" w:color="FFFFFF"/>
          <w:bottom w:val="single" w:sz="6" w:space="0" w:color="FFFFFF"/>
          <w:right w:val="single" w:sz="6" w:space="0" w:color="FFFFFF"/>
        </w:pBdr>
        <w:ind w:left="720" w:right="720"/>
      </w:pPr>
      <w:r w:rsidRPr="00B42281">
        <w:rPr>
          <w:b/>
          <w:bCs/>
        </w:rPr>
        <w:t>. . .</w:t>
      </w:r>
      <w:r w:rsidRPr="00B42281">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D54A26" w:rsidP="00D54A26" w14:paraId="1DF58D1A" w14:textId="77777777">
      <w:pPr>
        <w:pBdr>
          <w:top w:val="single" w:sz="6" w:space="0" w:color="FFFFFF"/>
          <w:left w:val="single" w:sz="6" w:space="0" w:color="FFFFFF"/>
          <w:bottom w:val="single" w:sz="6" w:space="0" w:color="FFFFFF"/>
          <w:right w:val="single" w:sz="6" w:space="0" w:color="FFFFFF"/>
        </w:pBdr>
        <w:ind w:firstLine="720"/>
      </w:pPr>
      <w:r w:rsidRPr="00B42281">
        <w:t>The Agency refers to this charge as selecting the best</w:t>
      </w:r>
      <w:r>
        <w:t>-</w:t>
      </w:r>
      <w:r w:rsidRPr="00B42281">
        <w:t>demonstrated technology (BDT). Section 111 also requires that the Administrator review and, if appropriate, revise such standards every eight years.</w:t>
      </w:r>
    </w:p>
    <w:p w:rsidR="00D54A26" w:rsidRPr="00A508C7" w:rsidP="00D54A26" w14:paraId="7032F223" w14:textId="77777777">
      <w:pPr>
        <w:pBdr>
          <w:top w:val="single" w:sz="6" w:space="0" w:color="FFFFFF"/>
          <w:left w:val="single" w:sz="6" w:space="0" w:color="FFFFFF"/>
          <w:bottom w:val="single" w:sz="6" w:space="0" w:color="FFFFFF"/>
          <w:right w:val="single" w:sz="6" w:space="0" w:color="FFFFFF"/>
        </w:pBdr>
        <w:ind w:firstLine="720"/>
      </w:pPr>
      <w:r w:rsidRPr="00A508C7">
        <w:t xml:space="preserve">In addition, section 114(a) states that the Administrator may require any owner/operator subject to any requirement of this Act to: </w:t>
      </w:r>
    </w:p>
    <w:p w:rsidR="00D54A26" w:rsidRPr="00B42281" w:rsidP="00D54A26" w14:paraId="6D8024CB" w14:textId="77777777">
      <w:pPr>
        <w:pBdr>
          <w:top w:val="single" w:sz="6" w:space="0" w:color="FFFFFF"/>
          <w:left w:val="single" w:sz="6" w:space="0" w:color="FFFFFF"/>
          <w:bottom w:val="single" w:sz="6" w:space="0" w:color="FFFFFF"/>
          <w:right w:val="single" w:sz="6" w:space="0" w:color="FFFFFF"/>
        </w:pBdr>
        <w:ind w:left="720" w:right="720"/>
      </w:pPr>
      <w:r w:rsidRPr="00A508C7">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4836AD" w:rsidP="00D54A26" w14:paraId="1E00DCB8" w14:textId="68107827">
      <w:pPr>
        <w:ind w:firstLine="720"/>
      </w:pPr>
      <w:r>
        <w:rPr>
          <w:color w:val="000000"/>
        </w:rPr>
        <w:t>In the Administrator's judgment,</w:t>
      </w:r>
      <w:r>
        <w:rPr>
          <w:color w:val="FF0000"/>
        </w:rPr>
        <w:t xml:space="preserve"> </w:t>
      </w:r>
      <w:r w:rsidRPr="00A508C7">
        <w:t>VOC and SO</w:t>
      </w:r>
      <w:r w:rsidRPr="00A508C7">
        <w:rPr>
          <w:vertAlign w:val="subscript"/>
        </w:rPr>
        <w:t>2</w:t>
      </w:r>
      <w:r w:rsidRPr="00A508C7">
        <w:t xml:space="preserve"> </w:t>
      </w:r>
      <w:r>
        <w:rPr>
          <w:color w:val="000000"/>
        </w:rPr>
        <w:t xml:space="preserve">emissions from </w:t>
      </w:r>
      <w:r w:rsidRPr="00A508C7">
        <w:t xml:space="preserve">onshore natural gas processing plants </w:t>
      </w:r>
      <w:r>
        <w:t xml:space="preserve">either </w:t>
      </w:r>
      <w:r w:rsidRPr="00A508C7">
        <w:t xml:space="preserve">cause or contribute to air </w:t>
      </w:r>
      <w:r w:rsidRPr="00A321C0">
        <w:t>pollution that may reasonably be anticipated to endanger public health and/or welfare.</w:t>
      </w:r>
      <w:r w:rsidRPr="00B42281">
        <w:t xml:space="preserve"> Therefore, the NSPS were promulgated for this source category at 40 CFR Part 60,</w:t>
      </w:r>
      <w:r w:rsidRPr="00B42281">
        <w:rPr>
          <w:b/>
          <w:bCs/>
          <w:i/>
          <w:iCs/>
        </w:rPr>
        <w:t xml:space="preserve"> </w:t>
      </w:r>
      <w:r w:rsidRPr="00B42281">
        <w:t>Subpart</w:t>
      </w:r>
      <w:r>
        <w:t>s</w:t>
      </w:r>
      <w:r w:rsidRPr="00B42281">
        <w:t xml:space="preserve"> KKK and LLL.</w:t>
      </w:r>
      <w:r w:rsidRPr="00F235A2">
        <w:t xml:space="preserve"> </w:t>
      </w:r>
    </w:p>
    <w:p w:rsidR="00D47CB3" w:rsidRPr="00E3122D" w:rsidP="00854AAE" w14:paraId="24F38A28" w14:textId="6AB886FB">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54A26" w:rsidP="00D54A26" w14:paraId="7373416B" w14:textId="79D4195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these </w:t>
      </w:r>
      <w:r w:rsidRPr="00B42281">
        <w:t xml:space="preserve">standards ensure </w:t>
      </w:r>
      <w:r>
        <w:rPr>
          <w:color w:val="000000"/>
        </w:rPr>
        <w:t>compliance with the applicable regulations, which were promulgated in accordance with the Clean Air Act. The collected information is also used for targeting inspections and as evidence in legal proceedings.</w:t>
      </w:r>
    </w:p>
    <w:p w:rsidR="00D54A26" w:rsidP="00D54A26" w14:paraId="7B84A5A7" w14:textId="6349439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Performance tests are required </w:t>
      </w:r>
      <w:r>
        <w:rPr>
          <w:color w:val="000000"/>
        </w:rPr>
        <w:t>in order to</w:t>
      </w:r>
      <w:r>
        <w:rPr>
          <w:color w:val="000000"/>
        </w:rPr>
        <w:t xml:space="preserve"> determine an affected facility’s initial capability to comply with these </w:t>
      </w:r>
      <w:r w:rsidRPr="00B42281">
        <w:t xml:space="preserve">emission standards. Continuous emission monitors are used to </w:t>
      </w:r>
      <w:r w:rsidRPr="00B42281">
        <w:t>ensure compliance with the</w:t>
      </w:r>
      <w:r>
        <w:t>se same</w:t>
      </w:r>
      <w:r w:rsidRPr="00B42281">
        <w:t xml:space="preserve"> standards at all times</w:t>
      </w:r>
      <w:r w:rsidRPr="00B42281">
        <w:t>. During the performance test a record of the operating parameters under which compliance was achieved may be recorded and used to determine compliance in place of a continuous emission monitor.</w:t>
      </w:r>
    </w:p>
    <w:p w:rsidR="00D54A26" w:rsidRPr="00D54A26" w:rsidP="00D54A26" w14:paraId="1E46B574" w14:textId="02F58E0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these </w:t>
      </w:r>
      <w:r w:rsidRPr="00B42281">
        <w:t>standards are used to inform the Agency</w:t>
      </w:r>
      <w:r>
        <w:t>,</w:t>
      </w:r>
      <w:r w:rsidRPr="00B42281">
        <w:t xml:space="preserve"> or </w:t>
      </w:r>
      <w:r>
        <w:t xml:space="preserve">its </w:t>
      </w:r>
      <w:r w:rsidRPr="00B42281">
        <w:t>delegated authority</w:t>
      </w:r>
      <w:r>
        <w:t>,</w:t>
      </w:r>
      <w:r w:rsidRPr="00B42281">
        <w:t xml:space="preserve"> when a source becomes subject to the requirements of the</w:t>
      </w:r>
      <w:r>
        <w:t>se</w:t>
      </w:r>
      <w:r w:rsidRPr="00B42281">
        <w:t xml:space="preserve"> regulations. The reviewing authority may then inspect the source to check if the pollution control devices are properly installed and operated, leaks are being detected and repaired, and </w:t>
      </w:r>
      <w:r>
        <w:t xml:space="preserve">that </w:t>
      </w:r>
      <w:r w:rsidRPr="00B42281">
        <w:t>the</w:t>
      </w:r>
      <w:r>
        <w:t>se</w:t>
      </w:r>
      <w:r w:rsidRPr="00B42281">
        <w:t xml:space="preserve"> standards are being met. The performance test may also be observed.</w:t>
      </w:r>
    </w:p>
    <w:p w:rsidR="00BB432F" w:rsidRPr="00D54A26" w:rsidP="00D54A26" w14:paraId="1E879A61" w14:textId="0A8989D4">
      <w:pPr>
        <w:pBdr>
          <w:top w:val="single" w:sz="6" w:space="0" w:color="FFFFFF"/>
          <w:left w:val="single" w:sz="6" w:space="0" w:color="FFFFFF"/>
          <w:bottom w:val="single" w:sz="6" w:space="0" w:color="FFFFFF"/>
          <w:right w:val="single" w:sz="6" w:space="0" w:color="FFFFFF"/>
        </w:pBdr>
        <w:ind w:firstLine="720"/>
        <w:rPr>
          <w:color w:val="000000"/>
        </w:rPr>
      </w:pPr>
      <w:r w:rsidRPr="00B42281">
        <w:t>The required semi</w:t>
      </w:r>
      <w:r>
        <w:t>-</w:t>
      </w:r>
      <w:r w:rsidRPr="00B42281">
        <w:t xml:space="preserve">annual reports </w:t>
      </w:r>
      <w:r>
        <w:rPr>
          <w:color w:val="000000"/>
        </w:rPr>
        <w:t>are used to determine periods of excess emissions, identify problems at the facility, verify operation/maintenance procedures,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1F0834">
        <w:rPr>
          <w:rFonts w:ascii="Calibri" w:hAnsi="Calibri" w:cs="Calibri"/>
          <w:i/>
          <w:iCs/>
          <w:color w:val="000000"/>
          <w:shd w:val="clear" w:color="auto" w:fill="FFFFFF"/>
        </w:rPr>
        <w:t>adopting this means of collection. Also describe any consideration of using information technology to reduce burden.</w:t>
      </w:r>
    </w:p>
    <w:p w:rsidR="009F05D1" w:rsidP="009F05D1" w14:paraId="5CC7E918" w14:textId="5DD8C85C">
      <w:pPr>
        <w:pBdr>
          <w:top w:val="single" w:sz="6" w:space="0" w:color="FFFFFF"/>
          <w:left w:val="single" w:sz="6" w:space="0" w:color="FFFFFF"/>
          <w:bottom w:val="single" w:sz="6" w:space="0" w:color="FFFFFF"/>
          <w:right w:val="single" w:sz="6" w:space="0" w:color="FFFFFF"/>
        </w:pBdr>
        <w:ind w:firstLine="720"/>
        <w:rPr>
          <w:color w:val="000000"/>
        </w:rPr>
      </w:pPr>
      <w:r>
        <w:rPr>
          <w:color w:val="000000"/>
        </w:rPr>
        <w:t>Data and records maintained by the respondents are tabulated and published for use in compliance and enforc</w:t>
      </w:r>
      <w:r w:rsidRPr="00AD653F">
        <w:t>ement programs. The semiannual reports are used for problem identification, as a check on source operation and maintenance, and for compliance determinations.</w:t>
      </w:r>
      <w:r>
        <w:t xml:space="preserve"> </w:t>
      </w:r>
      <w:r>
        <w:rPr>
          <w:color w:val="000000"/>
        </w:rPr>
        <w:t xml:space="preserve">The records required by this regulation must be retained by the owner/operator </w:t>
      </w:r>
      <w:r w:rsidRPr="00AD653F">
        <w:t xml:space="preserve">for two </w:t>
      </w:r>
      <w:r>
        <w:rPr>
          <w:color w:val="000000"/>
        </w:rPr>
        <w:t>years.</w:t>
      </w:r>
    </w:p>
    <w:p w:rsidR="009F05D1" w:rsidRPr="009F05D1" w:rsidP="009F05D1" w14:paraId="27C35D78" w14:textId="39179D48">
      <w:pPr>
        <w:pBdr>
          <w:top w:val="single" w:sz="6" w:space="0" w:color="FFFFFF"/>
          <w:left w:val="single" w:sz="6" w:space="0" w:color="FFFFFF"/>
          <w:bottom w:val="single" w:sz="6" w:space="0" w:color="FFFFFF"/>
          <w:right w:val="single" w:sz="6" w:space="0" w:color="FFFFFF"/>
        </w:pBdr>
        <w:ind w:firstLine="720"/>
      </w:pPr>
      <w:r>
        <w:rPr>
          <w:color w:val="000000"/>
        </w:rPr>
        <w:t>Information contained in the reports is reported by state and local governments in the ICIS Air database, which is operated and maintained by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9F05D1" w:rsidRPr="009F05D1" w:rsidP="009F05D1" w14:paraId="20CCDC6C" w14:textId="374F777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F1E00" w:rsidRPr="009F05D1" w:rsidP="009F05D1" w14:paraId="7B30150C" w14:textId="14E527E4">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w:t>
      </w:r>
      <w:r w:rsidRPr="00004ED8">
        <w:rPr>
          <w:bdr w:val="none" w:sz="0" w:space="0" w:color="auto" w:frame="1"/>
          <w:shd w:val="clear" w:color="auto" w:fill="FFFFFF"/>
        </w:rPr>
        <w:t>in order to</w:t>
      </w:r>
      <w:r w:rsidRPr="00004ED8">
        <w:rPr>
          <w:bdr w:val="none" w:sz="0" w:space="0" w:color="auto" w:frame="1"/>
          <w:shd w:val="clear" w:color="auto" w:fill="FFFFFF"/>
        </w:rPr>
        <w:t xml:space="preserve"> satisfy federal recordkeeping requirements. </w:t>
      </w:r>
      <w:r>
        <w:rPr>
          <w:bdr w:val="none" w:sz="0" w:space="0" w:color="auto" w:frame="1"/>
          <w:shd w:val="clear" w:color="auto" w:fill="FFFFFF"/>
        </w:rPr>
        <w:t>For additional information on the Paperwork Reduction Act requirements for CEDRI and ERT for this rule, see:</w:t>
      </w:r>
      <w:r w:rsidRPr="00E30B71">
        <w:t xml:space="preserve"> </w:t>
      </w:r>
      <w:hyperlink r:id="rId9" w:history="1">
        <w:r w:rsidRPr="00AB6797">
          <w:rPr>
            <w:rStyle w:val="Hyperlink"/>
            <w:bdr w:val="none" w:sz="0" w:space="0" w:color="auto" w:frame="1"/>
            <w:shd w:val="clear" w:color="auto" w:fill="FFFFFF"/>
          </w:rPr>
          <w:t>https://www.epa.gov/electronic-reporting-air-emissions/paperwork-reduction-act-pra-cedri-and-ert</w:t>
        </w:r>
      </w:hyperlink>
      <w:r w:rsidRPr="00E63D29">
        <w:rPr>
          <w:bdr w:val="none" w:sz="0" w:space="0" w:color="auto" w:frame="1"/>
          <w:shd w:val="clear" w:color="auto" w:fill="FFFFFF"/>
        </w:rPr>
        <w:t xml:space="preserve">. </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D54A26" w14:paraId="15DFF081" w14:textId="57054C58">
      <w:pPr>
        <w:pBdr>
          <w:bottom w:val="single" w:sz="4" w:space="1" w:color="auto"/>
        </w:pBdr>
        <w:spacing w:before="60" w:after="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D54A26" w:rsidRPr="00C2600C" w:rsidP="00D54A26" w14:paraId="3A00CEA1" w14:textId="77777777">
      <w:pPr>
        <w:pBdr>
          <w:top w:val="single" w:sz="6" w:space="20" w:color="FFFFFF"/>
          <w:left w:val="single" w:sz="6" w:space="0" w:color="FFFFFF"/>
          <w:bottom w:val="single" w:sz="6" w:space="0" w:color="FFFFFF"/>
          <w:right w:val="single" w:sz="6" w:space="0" w:color="FFFFFF"/>
        </w:pBdr>
        <w:ind w:firstLine="720"/>
        <w:rPr>
          <w:shd w:val="clear" w:color="auto" w:fill="FFFFFF"/>
        </w:rPr>
      </w:pPr>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Pr>
          <w:shd w:val="clear" w:color="auto" w:fill="FFFFFF"/>
        </w:rPr>
        <w:t xml:space="preserve">for </w:t>
      </w:r>
      <w:r w:rsidRPr="00C2600C">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D54A26" w14:paraId="0E470EF3" w14:textId="4A506433">
      <w:pPr>
        <w:rPr>
          <w:rFonts w:cstheme="minorHAnsi"/>
          <w:shd w:val="clear" w:color="auto" w:fill="FFFFFF"/>
        </w:rPr>
      </w:pPr>
      <w:r>
        <w:rPr>
          <w:shd w:val="clear" w:color="auto" w:fill="FFFFFF"/>
        </w:rPr>
        <w:tab/>
      </w:r>
      <w:r w:rsidRPr="00C2600C">
        <w:rPr>
          <w:shd w:val="clear" w:color="auto" w:fill="FFFFFF"/>
        </w:rPr>
        <w:t xml:space="preserve">For all other reports, if the subject standards have not been delegated, the information is sent directly to the appropriate EPA regional office. Otherwise, the information is sent directly to </w:t>
      </w:r>
      <w:r>
        <w:rPr>
          <w:shd w:val="clear" w:color="auto" w:fill="FFFFFF"/>
        </w:rPr>
        <w:t xml:space="preserve">either </w:t>
      </w:r>
      <w:r w:rsidRPr="00C2600C">
        <w:rPr>
          <w:shd w:val="clear" w:color="auto" w:fill="FFFFFF"/>
        </w:rPr>
        <w:t>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962FC7" w:rsidP="00962FC7" w14:paraId="518B46AB" w14:textId="0FD84688">
      <w:pPr>
        <w:pBdr>
          <w:top w:val="single" w:sz="6" w:space="0" w:color="FFFFFF"/>
          <w:left w:val="single" w:sz="6" w:space="0" w:color="FFFFFF"/>
          <w:bottom w:val="single" w:sz="6" w:space="0" w:color="FFFFFF"/>
          <w:right w:val="single" w:sz="6" w:space="0" w:color="FFFFFF"/>
        </w:pBdr>
        <w:ind w:firstLine="720"/>
        <w:rPr>
          <w:color w:val="FF0000"/>
        </w:rPr>
      </w:pPr>
      <w:r>
        <w:t>The</w:t>
      </w:r>
      <w:r w:rsidRPr="00AD653F">
        <w:t xml:space="preserve"> majority of</w:t>
      </w:r>
      <w:r w:rsidRPr="00AD653F">
        <w:t xml:space="preserve"> the respondents are large entities (i.e., large businesses). However, the impact on small entities (i.e., small businesses) was taken into consideration during the development of the</w:t>
      </w:r>
      <w:r>
        <w:t>se</w:t>
      </w:r>
      <w:r w:rsidRPr="00AD653F">
        <w:t xml:space="preserve"> regulation</w:t>
      </w:r>
      <w:r>
        <w:t>s</w:t>
      </w:r>
      <w:r w:rsidRPr="00AD653F">
        <w:t>.</w:t>
      </w:r>
      <w:r w:rsidRPr="003F1AFC">
        <w:rPr>
          <w:color w:val="FF0000"/>
        </w:rPr>
        <w:t xml:space="preserve"> </w:t>
      </w:r>
      <w:r w:rsidRPr="00AD653F">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D54A26" w:rsidP="00D54A26" w14:paraId="5934FB28" w14:textId="3221CEC0">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that emission limitations are met. If the information required by these standards was collected less-frequently,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D54A26" w:rsidP="00D54A26" w14:paraId="775EDF16" w14:textId="631F934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D54A26" w:rsidP="00D54A26" w14:paraId="102C4D0F" w14:textId="2E28DB0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3C677A">
        <w:rPr>
          <w:i/>
          <w:color w:val="000000"/>
        </w:rPr>
        <w:t>Federal Register</w:t>
      </w:r>
      <w:r>
        <w:rPr>
          <w:color w:val="000000"/>
        </w:rPr>
        <w:t xml:space="preserve"> (</w:t>
      </w:r>
      <w:bookmarkStart w:id="12" w:name="_Hlk137200865"/>
      <w:r w:rsidRPr="00B42281">
        <w:t>88 FR 31748</w:t>
      </w:r>
      <w:bookmarkEnd w:id="12"/>
      <w:r>
        <w:rPr>
          <w:color w:val="000000"/>
        </w:rPr>
        <w:t xml:space="preserve">) on </w:t>
      </w:r>
      <w:bookmarkStart w:id="13" w:name="_Hlk137200883"/>
      <w:r w:rsidRPr="00B42281">
        <w:t>May 18, 2023</w:t>
      </w:r>
      <w:bookmarkEnd w:id="13"/>
      <w:r w:rsidRPr="00B42281">
        <w:t xml:space="preserve">. No comments were received on the burden published in the </w:t>
      </w:r>
      <w:r w:rsidRPr="00B42281">
        <w:rPr>
          <w:i/>
        </w:rPr>
        <w:t xml:space="preserve">Federal Register </w:t>
      </w:r>
      <w:r w:rsidRPr="00B42281">
        <w:t xml:space="preserve">for this renewal.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w:t>
      </w:r>
      <w:r w:rsidRPr="00A233E0">
        <w:rPr>
          <w:rFonts w:cstheme="minorHAnsi"/>
          <w:i/>
          <w:iCs/>
        </w:rPr>
        <w:t>prior periods. There may be circumstances that may preclude consultation in a specific situation. These circumstances should be explained.</w:t>
      </w:r>
    </w:p>
    <w:p w:rsidR="00D54A26" w:rsidRPr="00D54A26" w:rsidP="00D54A26" w14:paraId="4529AD71" w14:textId="72DCE457">
      <w:pPr>
        <w:ind w:firstLine="720"/>
      </w:pPr>
      <w:r w:rsidRPr="001621B1">
        <w:t>The Agency has consulted i</w:t>
      </w:r>
      <w:r w:rsidRPr="001621B1">
        <w:rPr>
          <w:bCs/>
        </w:rPr>
        <w:t>ndustry experts and internal data sources to project the number of affected facilities and industry growth over the next three years.</w:t>
      </w:r>
      <w:r w:rsidRPr="001621B1">
        <w:rPr>
          <w:b/>
          <w:bCs/>
        </w:rPr>
        <w:t xml:space="preserve"> </w:t>
      </w:r>
      <w:r w:rsidRPr="001621B1">
        <w:t>The primary source of information as reported by industry, in compliance with the recordkeeping and reporting provisions in the</w:t>
      </w:r>
      <w:r>
        <w:t>se</w:t>
      </w:r>
      <w:r w:rsidRPr="001621B1">
        <w:t xml:space="preserve"> standard</w:t>
      </w:r>
      <w:r>
        <w:t>s</w:t>
      </w:r>
      <w:r w:rsidRPr="001621B1">
        <w:t xml:space="preserve">, is the Integrated Compliance Information System (ICIS). </w:t>
      </w:r>
      <w:r>
        <w:t xml:space="preserve">The </w:t>
      </w:r>
      <w:r w:rsidRPr="001621B1">
        <w:t>ICIS is EPA’s database for the collection, maintenance, and retrieval of compliance data for industrial and government-owned facilities.</w:t>
      </w:r>
      <w:r w:rsidRPr="00723574">
        <w:t xml:space="preserve"> </w:t>
      </w:r>
      <w:r w:rsidRPr="001621B1">
        <w:t xml:space="preserve">The growth rate for the industry is based on our consultations with the Agency’s internal industry experts. </w:t>
      </w:r>
      <w:r>
        <w:t>Approximately 291 respondents will be subject to Subpart KKK over the three-year period covered by this ICR, and approximately 14 respondents will be subject to Subpart LLL over the three-year period covered by this ICR.</w:t>
      </w:r>
    </w:p>
    <w:p w:rsidR="00111663" w:rsidRPr="00D54A26" w:rsidP="00D54A26" w14:paraId="5E198479" w14:textId="5F76981E">
      <w:pPr>
        <w:ind w:firstLine="720"/>
        <w:rPr>
          <w:color w:val="000000"/>
        </w:rPr>
      </w:pPr>
      <w:r w:rsidRPr="001621B1">
        <w:t>Industry trade associations and other interested parties were provided an opportunity to comment on the burden associated with the</w:t>
      </w:r>
      <w:r>
        <w:t>se</w:t>
      </w:r>
      <w:r w:rsidRPr="001621B1">
        <w:t xml:space="preserve"> standard</w:t>
      </w:r>
      <w:r>
        <w:t>s</w:t>
      </w:r>
      <w:r w:rsidRPr="001621B1">
        <w:t xml:space="preserve"> as </w:t>
      </w:r>
      <w:r>
        <w:t xml:space="preserve">they were </w:t>
      </w:r>
      <w:r w:rsidRPr="001621B1">
        <w:t>being developed and the</w:t>
      </w:r>
      <w:r>
        <w:t>se same</w:t>
      </w:r>
      <w:r w:rsidRPr="001621B1">
        <w:t xml:space="preserve"> standard</w:t>
      </w:r>
      <w:r>
        <w:t>s</w:t>
      </w:r>
      <w:r w:rsidRPr="001621B1">
        <w:t xml:space="preserve"> ha</w:t>
      </w:r>
      <w:r>
        <w:t>ve</w:t>
      </w:r>
      <w:r w:rsidRPr="001621B1">
        <w:t xml:space="preserve"> been reviewed </w:t>
      </w:r>
      <w:r w:rsidRPr="00E63D29">
        <w:t xml:space="preserve">previously </w:t>
      </w:r>
      <w:r w:rsidRPr="001621B1">
        <w:t xml:space="preserve">to determine the minimum information needed for compliance purposes. </w:t>
      </w:r>
      <w:r>
        <w:t xml:space="preserve">In developing this ICR, we contacted both the GPA Midstream Association, at </w:t>
      </w:r>
      <w:r w:rsidRPr="00A47F98">
        <w:t>(918) 493-3872</w:t>
      </w:r>
      <w:r>
        <w:t>,</w:t>
      </w:r>
      <w:r w:rsidRPr="00A47F98">
        <w:t xml:space="preserve"> </w:t>
      </w:r>
      <w:r>
        <w:t xml:space="preserve">and the American Petroleum Institute, at </w:t>
      </w:r>
      <w:r w:rsidRPr="00BA589C">
        <w:t>(202) 682-8000</w:t>
      </w:r>
      <w:r>
        <w:t>. The GPA Midstream Association indicated that their members did not have any comments. No other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4" w:name="_Toc156593378"/>
      <w:r w:rsidRPr="00E3122D">
        <w:rPr>
          <w:rFonts w:cstheme="minorHAnsi"/>
          <w:b/>
          <w:bCs/>
        </w:rPr>
        <w:t>PAYMENTS OR GIFTS TO RESPONDENTS</w:t>
      </w:r>
      <w:bookmarkEnd w:id="14"/>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3A421ED5">
      <w:pPr>
        <w:rPr>
          <w:rFonts w:cstheme="minorHAnsi"/>
        </w:rPr>
      </w:pPr>
      <w:r>
        <w:rPr>
          <w:rStyle w:val="normaltextrun"/>
          <w:color w:val="000000"/>
          <w:bdr w:val="none" w:sz="0" w:space="0" w:color="auto" w:frame="1"/>
        </w:rPr>
        <w:t>No payments or gifts are provided.</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32356F" w:rsidP="0032356F" w14:paraId="3676EBC5" w14:textId="5809AE27">
      <w:pPr>
        <w:pBdr>
          <w:top w:val="single" w:sz="6" w:space="0" w:color="FFFFFF"/>
          <w:left w:val="single" w:sz="6" w:space="0" w:color="FFFFFF"/>
          <w:bottom w:val="single" w:sz="6" w:space="0" w:color="FFFFFF"/>
          <w:right w:val="single" w:sz="6" w:space="0" w:color="FFFFFF"/>
        </w:pBdr>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(CBI)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5" w:name="_Toc156593380"/>
      <w:r w:rsidRPr="4BDBF0A0">
        <w:rPr>
          <w:b/>
          <w:bCs/>
        </w:rPr>
        <w:t>JUSTIFICATION FOR SENSITIVE QUESTIONS</w:t>
      </w:r>
      <w:bookmarkEnd w:id="15"/>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32356F" w:rsidP="0032356F" w14:paraId="77467D05" w14:textId="3C0D5EE6">
      <w:pPr>
        <w:pBdr>
          <w:top w:val="single" w:sz="6" w:space="0" w:color="FFFFFF"/>
          <w:left w:val="single" w:sz="6" w:space="0" w:color="FFFFFF"/>
          <w:bottom w:val="single" w:sz="6" w:space="0" w:color="FFFFFF"/>
          <w:right w:val="single" w:sz="6" w:space="0" w:color="FFFFFF"/>
        </w:pBdr>
        <w:rPr>
          <w:color w:val="000000"/>
        </w:rPr>
      </w:pPr>
      <w:r>
        <w:rPr>
          <w:color w:val="000000"/>
        </w:rPr>
        <w:t>The reporting or recordkeeping requirements in these standards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6" w:name="_Toc156593381"/>
      <w:bookmarkStart w:id="17" w:name="_Hlk162363270"/>
      <w:r w:rsidRPr="4BDBF0A0">
        <w:rPr>
          <w:b/>
          <w:bCs/>
        </w:rPr>
        <w:t>RESPONDENT BURDEN HOURS</w:t>
      </w:r>
      <w:r w:rsidRPr="4BDBF0A0" w:rsidR="00DB799B">
        <w:rPr>
          <w:b/>
          <w:bCs/>
        </w:rPr>
        <w:t xml:space="preserve"> &amp; LABOR COSTS</w:t>
      </w:r>
      <w:bookmarkStart w:id="18" w:name="_Toc156593382"/>
      <w:bookmarkEnd w:id="16"/>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7"/>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9" w:name="_Toc156593383"/>
      <w:bookmarkEnd w:id="18"/>
    </w:p>
    <w:p w:rsidR="00BB3410" w:rsidP="00854AAE" w14:paraId="0DA69975" w14:textId="2957342F">
      <w:pPr>
        <w:pBdr>
          <w:top w:val="single" w:sz="6" w:space="0" w:color="FFFFFF"/>
          <w:left w:val="single" w:sz="6" w:space="0" w:color="FFFFFF"/>
          <w:bottom w:val="single" w:sz="6" w:space="0" w:color="FFFFFF"/>
          <w:right w:val="single" w:sz="6" w:space="0" w:color="FFFFFF"/>
        </w:pBdr>
        <w:spacing w:before="60"/>
      </w:pPr>
      <w:r w:rsidRPr="00AC1644">
        <w:t xml:space="preserve">The respondents to the recordkeeping and reporting requirements are onshore natural gas processing plants. The United States Standard Industrial Classification (SIC) code for the respondents affected by the standards is </w:t>
      </w:r>
      <w:r w:rsidRPr="00AC1644">
        <w:t>SIC</w:t>
      </w:r>
      <w:r w:rsidRPr="00AC1644">
        <w:t xml:space="preserve"> 1321, which corresponds to the North American Industry Classification System (NAICS) </w:t>
      </w:r>
      <w:r>
        <w:t xml:space="preserve">code </w:t>
      </w:r>
      <w:r w:rsidRPr="00AC1644">
        <w:t>211130 for Natural Gas Extraction.</w:t>
      </w:r>
    </w:p>
    <w:p w:rsidR="00AD2146" w:rsidP="00AD2146" w14:paraId="709C5572" w14:textId="3B67502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Pr="00AD653F">
        <w:t>305 existing respondents will be subject to the</w:t>
      </w:r>
      <w:r>
        <w:t>se</w:t>
      </w:r>
      <w:r w:rsidRPr="00AD653F">
        <w:t xml:space="preserve"> standard</w:t>
      </w:r>
      <w:r>
        <w:t>s</w:t>
      </w:r>
      <w:r w:rsidRPr="00AD653F">
        <w:t>. It is estimated that no additional respondents per year will become subject</w:t>
      </w:r>
      <w:r>
        <w:t xml:space="preserve"> to these same standards</w:t>
      </w:r>
      <w:r w:rsidRPr="00AD653F">
        <w:t xml:space="preserve">. The overall average number of respondents, as shown in the table below, is 305 per year. </w:t>
      </w:r>
      <w:r>
        <w:rPr>
          <w:color w:val="000000"/>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1DCB5A22" w14:textId="77777777" w:rsidTr="001F4553">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AD2146" w:rsidP="001F4553" w14:paraId="28714E08"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39136978" w14:textId="77777777" w:rsidTr="001F455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AD2146" w:rsidP="001F4553" w14:paraId="1D4D79EF" w14:textId="77777777">
            <w:pPr>
              <w:spacing w:line="120" w:lineRule="exact"/>
              <w:rPr>
                <w:b/>
                <w:bCs/>
                <w:color w:val="000000"/>
              </w:rPr>
            </w:pPr>
          </w:p>
          <w:p w:rsidR="00AD2146" w:rsidP="001F4553" w14:paraId="404B866A"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AD2146" w:rsidP="001F4553" w14:paraId="6D3A0632"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AD2146" w:rsidP="001F4553" w14:paraId="0BD38B37"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AD2146" w:rsidP="001F4553" w14:paraId="383735B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4452DF17" w14:textId="77777777" w:rsidTr="001F455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AD2146" w:rsidP="001F4553" w14:paraId="38C1F3D7" w14:textId="77777777">
            <w:pPr>
              <w:spacing w:line="120" w:lineRule="exact"/>
              <w:jc w:val="center"/>
              <w:rPr>
                <w:color w:val="000000"/>
                <w:sz w:val="18"/>
                <w:szCs w:val="18"/>
              </w:rPr>
            </w:pPr>
          </w:p>
          <w:p w:rsidR="00AD2146" w:rsidP="001F4553" w14:paraId="03B4516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p>
          <w:p w:rsidR="00AD2146" w:rsidP="001F4553" w14:paraId="37A2BAA6"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AD2146" w:rsidP="001F4553" w14:paraId="288A63D9"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AD2146" w:rsidP="001F4553" w14:paraId="60255213"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w:t>
            </w:r>
            <w:r w:rsidRPr="00283F6E">
              <w:rPr>
                <w:color w:val="000000"/>
                <w:sz w:val="20"/>
                <w:szCs w:val="20"/>
              </w:rPr>
              <w:t xml:space="preserve">Existing Respondents that would now report under Subpart </w:t>
            </w:r>
            <w:r w:rsidRPr="00283F6E">
              <w:rPr>
                <w:color w:val="000000"/>
                <w:sz w:val="20"/>
                <w:szCs w:val="20"/>
              </w:rPr>
              <w:t>OOOO</w:t>
            </w:r>
            <w:r>
              <w:rPr>
                <w:color w:val="000000"/>
                <w:sz w:val="20"/>
                <w:szCs w:val="20"/>
              </w:rPr>
              <w:t>a</w:t>
            </w:r>
            <w:r w:rsidRPr="00283F6E">
              <w:rPr>
                <w:color w:val="000000"/>
                <w:sz w:val="20"/>
                <w:szCs w:val="20"/>
              </w:rPr>
              <w:t xml:space="preserve"> </w:t>
            </w:r>
            <w:r w:rsidRPr="00283F6E">
              <w:rPr>
                <w:color w:val="000000"/>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AD2146" w:rsidP="001F4553" w14:paraId="7D84F22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AD2146" w:rsidP="001F4553" w14:paraId="704B3E39"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AD2146" w:rsidP="001F4553" w14:paraId="1E9209C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AD2146" w:rsidP="001F4553" w14:paraId="638EFE7F"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Existing Respondents that keep records but do not submit reports </w:t>
            </w:r>
            <w:r w:rsidRPr="00C1385D">
              <w:rPr>
                <w:color w:val="000000"/>
                <w:sz w:val="20"/>
                <w:szCs w:val="20"/>
                <w:vertAlign w:val="superscript"/>
              </w:rPr>
              <w:t>b</w:t>
            </w:r>
          </w:p>
        </w:tc>
        <w:tc>
          <w:tcPr>
            <w:tcW w:w="1800" w:type="dxa"/>
            <w:tcBorders>
              <w:top w:val="single" w:sz="8" w:space="0" w:color="000000"/>
              <w:left w:val="single" w:sz="8" w:space="0" w:color="000000"/>
              <w:bottom w:val="single" w:sz="8" w:space="0" w:color="000000"/>
              <w:right w:val="single" w:sz="4" w:space="0" w:color="auto"/>
            </w:tcBorders>
          </w:tcPr>
          <w:p w:rsidR="00AD2146" w:rsidP="001F4553" w14:paraId="747BFF8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AD2146" w:rsidP="001F4553" w14:paraId="5405CA35"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AD2146" w:rsidP="001F4553" w14:paraId="00059A0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AD2146" w:rsidP="001F4553" w14:paraId="71F209E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AD2146" w:rsidP="001F4553" w14:paraId="6D71DDB2"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w:t>
            </w:r>
            <w:r>
              <w:rPr>
                <w:color w:val="000000"/>
                <w:sz w:val="20"/>
                <w:szCs w:val="20"/>
              </w:rPr>
              <w:t xml:space="preserve"> </w:t>
            </w:r>
            <w:r>
              <w:rPr>
                <w:color w:val="000000"/>
                <w:sz w:val="20"/>
                <w:szCs w:val="20"/>
              </w:rPr>
              <w:t>B+C-A-D)</w:t>
            </w:r>
          </w:p>
        </w:tc>
      </w:tr>
      <w:tr w14:paraId="0D839F4A" w14:textId="77777777" w:rsidTr="001F4553">
        <w:tblPrEx>
          <w:tblW w:w="9359" w:type="dxa"/>
          <w:tblInd w:w="110" w:type="dxa"/>
          <w:tblLayout w:type="fixed"/>
          <w:tblCellMar>
            <w:left w:w="110" w:type="dxa"/>
            <w:right w:w="110" w:type="dxa"/>
          </w:tblCellMar>
          <w:tblLook w:val="0000"/>
        </w:tblPrEx>
        <w:tc>
          <w:tcPr>
            <w:tcW w:w="9359" w:type="dxa"/>
            <w:gridSpan w:val="6"/>
            <w:tcBorders>
              <w:top w:val="single" w:sz="8" w:space="0" w:color="000000"/>
              <w:left w:val="single" w:sz="8" w:space="0" w:color="000000"/>
              <w:bottom w:val="single" w:sz="6" w:space="0" w:color="000000"/>
              <w:right w:val="single" w:sz="8" w:space="0" w:color="000000"/>
            </w:tcBorders>
          </w:tcPr>
          <w:p w:rsidR="00AD2146" w:rsidP="001F4553" w14:paraId="3A453EB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Subpart KKK</w:t>
            </w:r>
          </w:p>
        </w:tc>
      </w:tr>
      <w:tr w14:paraId="35004759"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240DC7" w:rsidP="001F4553" w14:paraId="0D82A53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1</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6807EAF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27</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12CDFF5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345</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03C97EE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6415422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240DC7" w:rsidP="001F4553" w14:paraId="1E977F6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318</w:t>
            </w:r>
          </w:p>
        </w:tc>
      </w:tr>
      <w:tr w14:paraId="0F5787FA"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240DC7" w:rsidP="001F4553" w14:paraId="66BDF77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20CCBEF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27</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69C7F9C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318</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37C6298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4833D88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240DC7" w:rsidP="001F4553" w14:paraId="0806FE5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291</w:t>
            </w:r>
          </w:p>
        </w:tc>
      </w:tr>
      <w:tr w14:paraId="6F03F86A"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240DC7" w:rsidP="001F4553" w14:paraId="2C0842C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53F6DF0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27</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40D5F5D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291</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6B460A9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7910D42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240DC7" w:rsidP="001F4553" w14:paraId="15A8279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264</w:t>
            </w:r>
          </w:p>
        </w:tc>
      </w:tr>
      <w:tr w14:paraId="230E3DB1"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240DC7" w:rsidP="001F4553" w14:paraId="065DE09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Average</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5A7CB71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27</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7D8827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318</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6B66CE2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240DC7" w:rsidP="001F4553" w14:paraId="62003BF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240DC7" w:rsidP="001F4553" w14:paraId="3E0A0FD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40DC7">
              <w:rPr>
                <w:color w:val="000000"/>
                <w:sz w:val="18"/>
                <w:szCs w:val="18"/>
              </w:rPr>
              <w:t>291</w:t>
            </w:r>
          </w:p>
        </w:tc>
      </w:tr>
      <w:tr w14:paraId="575C3ADC" w14:textId="77777777" w:rsidTr="001F4553">
        <w:tblPrEx>
          <w:tblW w:w="9359" w:type="dxa"/>
          <w:tblInd w:w="110" w:type="dxa"/>
          <w:tblLayout w:type="fixed"/>
          <w:tblCellMar>
            <w:left w:w="110" w:type="dxa"/>
            <w:right w:w="110" w:type="dxa"/>
          </w:tblCellMar>
          <w:tblLook w:val="0000"/>
        </w:tblPrEx>
        <w:tc>
          <w:tcPr>
            <w:tcW w:w="9359" w:type="dxa"/>
            <w:gridSpan w:val="6"/>
            <w:tcBorders>
              <w:top w:val="single" w:sz="6" w:space="0" w:color="000000"/>
              <w:left w:val="single" w:sz="8" w:space="0" w:color="000000"/>
              <w:bottom w:val="single" w:sz="6" w:space="0" w:color="000000"/>
              <w:right w:val="single" w:sz="8" w:space="0" w:color="000000"/>
            </w:tcBorders>
          </w:tcPr>
          <w:p w:rsidR="00AD2146" w:rsidP="001F4553" w14:paraId="7461649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Subpart LLL</w:t>
            </w:r>
          </w:p>
        </w:tc>
      </w:tr>
      <w:tr w14:paraId="79AFD708"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0C4CD1" w:rsidP="001F4553" w14:paraId="084AF3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3E71E61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329508C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17</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1A7F716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262E102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0C4CD1" w:rsidP="001F4553" w14:paraId="502D6CB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17</w:t>
            </w:r>
          </w:p>
        </w:tc>
      </w:tr>
      <w:tr w14:paraId="52A805EB"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0C4CD1" w:rsidP="001F4553" w14:paraId="69D93D1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4E09D73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6A91A7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14</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70DA841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0A0B5EC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0C4CD1" w:rsidP="001F4553" w14:paraId="7140812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14</w:t>
            </w:r>
          </w:p>
        </w:tc>
      </w:tr>
      <w:tr w14:paraId="722703D7"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0C4CD1" w:rsidP="001F4553" w14:paraId="12F7E45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4AFE7F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20749C3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11</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34999C5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040F451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0C4CD1" w:rsidP="001F4553" w14:paraId="58DB5A6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11</w:t>
            </w:r>
          </w:p>
        </w:tc>
      </w:tr>
      <w:tr w14:paraId="02D721A1"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shd w:val="clear" w:color="auto" w:fill="auto"/>
          </w:tcPr>
          <w:p w:rsidR="00AD2146" w:rsidRPr="000C4CD1" w:rsidP="001F4553" w14:paraId="5DCB4FA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Average</w:t>
            </w:r>
          </w:p>
        </w:tc>
        <w:tc>
          <w:tcPr>
            <w:tcW w:w="15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5BBCBAB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7254365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14</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23B6112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3</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2146" w:rsidRPr="000C4CD1" w:rsidP="001F4553" w14:paraId="1ABD0C1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shd w:val="clear" w:color="auto" w:fill="auto"/>
            <w:vAlign w:val="center"/>
          </w:tcPr>
          <w:p w:rsidR="00AD2146" w:rsidRPr="000C4CD1" w:rsidP="001F4553" w14:paraId="618693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0C4CD1">
              <w:rPr>
                <w:color w:val="000000"/>
                <w:sz w:val="18"/>
                <w:szCs w:val="18"/>
              </w:rPr>
              <w:t>14</w:t>
            </w:r>
          </w:p>
        </w:tc>
      </w:tr>
      <w:tr w14:paraId="6F178521" w14:textId="77777777" w:rsidTr="001F455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AD2146" w:rsidP="001F4553" w14:paraId="1231C0B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w:t>
            </w:r>
            <w:r w:rsidRPr="00283F6E">
              <w:rPr>
                <w:color w:val="000000"/>
                <w:sz w:val="18"/>
                <w:szCs w:val="18"/>
                <w:vertAlign w:val="superscript"/>
              </w:rPr>
              <w:t>c</w:t>
            </w:r>
          </w:p>
        </w:tc>
        <w:tc>
          <w:tcPr>
            <w:tcW w:w="1597" w:type="dxa"/>
            <w:tcBorders>
              <w:top w:val="single" w:sz="6" w:space="0" w:color="000000"/>
              <w:left w:val="single" w:sz="6" w:space="0" w:color="000000"/>
              <w:bottom w:val="single" w:sz="8" w:space="0" w:color="000000"/>
              <w:right w:val="single" w:sz="6" w:space="0" w:color="000000"/>
            </w:tcBorders>
            <w:vAlign w:val="center"/>
          </w:tcPr>
          <w:p w:rsidR="00AD2146" w:rsidP="001F4553" w14:paraId="19BAA17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82" w:type="dxa"/>
            <w:tcBorders>
              <w:top w:val="single" w:sz="6" w:space="0" w:color="000000"/>
              <w:left w:val="single" w:sz="6" w:space="0" w:color="000000"/>
              <w:bottom w:val="single" w:sz="8" w:space="0" w:color="000000"/>
              <w:right w:val="single" w:sz="6" w:space="0" w:color="000000"/>
            </w:tcBorders>
            <w:vAlign w:val="center"/>
          </w:tcPr>
          <w:p w:rsidR="00AD2146" w:rsidP="001F4553" w14:paraId="27D14E8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2070" w:type="dxa"/>
            <w:tcBorders>
              <w:top w:val="single" w:sz="6" w:space="0" w:color="000000"/>
              <w:left w:val="single" w:sz="6" w:space="0" w:color="000000"/>
              <w:bottom w:val="single" w:sz="8" w:space="0" w:color="000000"/>
              <w:right w:val="single" w:sz="6" w:space="0" w:color="000000"/>
            </w:tcBorders>
            <w:vAlign w:val="center"/>
          </w:tcPr>
          <w:p w:rsidR="00AD2146" w:rsidP="001F4553" w14:paraId="23BEC4B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rsidR="00AD2146" w:rsidP="001F4553" w14:paraId="688DB6B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710" w:type="dxa"/>
            <w:tcBorders>
              <w:top w:val="single" w:sz="6" w:space="0" w:color="000000"/>
              <w:left w:val="single" w:sz="6" w:space="0" w:color="000000"/>
              <w:bottom w:val="single" w:sz="8" w:space="0" w:color="000000"/>
              <w:right w:val="single" w:sz="8" w:space="0" w:color="000000"/>
            </w:tcBorders>
            <w:vAlign w:val="center"/>
          </w:tcPr>
          <w:p w:rsidR="00AD2146" w:rsidRPr="00C1385D" w:rsidP="001F4553" w14:paraId="1FA7453A" w14:textId="77777777">
            <w:pPr>
              <w:pBdr>
                <w:top w:val="single" w:sz="6" w:space="0" w:color="FFFFFF"/>
                <w:left w:val="single" w:sz="6" w:space="0" w:color="FFFFFF"/>
                <w:bottom w:val="single" w:sz="6" w:space="0" w:color="FFFFFF"/>
                <w:right w:val="single" w:sz="6" w:space="0" w:color="FFFFFF"/>
              </w:pBdr>
              <w:jc w:val="center"/>
              <w:rPr>
                <w:b/>
                <w:bCs/>
                <w:color w:val="FF0000"/>
                <w:sz w:val="18"/>
                <w:szCs w:val="18"/>
              </w:rPr>
            </w:pPr>
            <w:r>
              <w:rPr>
                <w:b/>
                <w:bCs/>
                <w:sz w:val="18"/>
                <w:szCs w:val="18"/>
              </w:rPr>
              <w:t>305</w:t>
            </w:r>
          </w:p>
        </w:tc>
      </w:tr>
    </w:tbl>
    <w:p w:rsidR="00AD2146" w:rsidP="00AD2146" w14:paraId="745B32A1" w14:textId="77777777">
      <w:pPr>
        <w:pBdr>
          <w:top w:val="single" w:sz="6" w:space="0" w:color="FFFFFF"/>
          <w:left w:val="single" w:sz="6" w:space="0" w:color="FFFFFF"/>
          <w:bottom w:val="single" w:sz="6" w:space="0" w:color="FFFFFF"/>
          <w:right w:val="single" w:sz="6" w:space="0" w:color="FFFFFF"/>
        </w:pBdr>
        <w:ind w:left="540" w:hanging="180"/>
        <w:rPr>
          <w:color w:val="000000"/>
          <w:sz w:val="20"/>
          <w:szCs w:val="20"/>
        </w:rPr>
      </w:pPr>
      <w:r w:rsidRPr="004666C0">
        <w:rPr>
          <w:szCs w:val="20"/>
          <w:vertAlign w:val="superscript"/>
        </w:rPr>
        <w:t>a</w:t>
      </w:r>
      <w:r w:rsidRPr="004666C0">
        <w:rPr>
          <w:szCs w:val="20"/>
        </w:rPr>
        <w:t xml:space="preserve"> </w:t>
      </w:r>
      <w:r>
        <w:rPr>
          <w:szCs w:val="20"/>
        </w:rPr>
        <w:tab/>
      </w:r>
      <w:r w:rsidRPr="004666C0">
        <w:rPr>
          <w:sz w:val="20"/>
          <w:szCs w:val="20"/>
        </w:rPr>
        <w:t xml:space="preserve">We expect 27 of the existing facilities </w:t>
      </w:r>
      <w:r>
        <w:rPr>
          <w:sz w:val="20"/>
          <w:szCs w:val="20"/>
        </w:rPr>
        <w:t xml:space="preserve">subject to Subpart KKK </w:t>
      </w:r>
      <w:r w:rsidRPr="004666C0">
        <w:rPr>
          <w:sz w:val="20"/>
          <w:szCs w:val="20"/>
        </w:rPr>
        <w:t>to undergo modifications in each year, which would indic</w:t>
      </w:r>
      <w:r w:rsidRPr="0070196C">
        <w:rPr>
          <w:sz w:val="20"/>
          <w:szCs w:val="20"/>
        </w:rPr>
        <w:t xml:space="preserve">ate these facilities would report under Subpart </w:t>
      </w:r>
      <w:r w:rsidRPr="0070196C">
        <w:rPr>
          <w:sz w:val="20"/>
          <w:szCs w:val="20"/>
        </w:rPr>
        <w:t>OOOO</w:t>
      </w:r>
      <w:r>
        <w:rPr>
          <w:sz w:val="20"/>
          <w:szCs w:val="20"/>
        </w:rPr>
        <w:t>a</w:t>
      </w:r>
      <w:r w:rsidRPr="0070196C">
        <w:rPr>
          <w:sz w:val="20"/>
          <w:szCs w:val="20"/>
        </w:rPr>
        <w:t xml:space="preserve"> </w:t>
      </w:r>
      <w:r>
        <w:rPr>
          <w:sz w:val="20"/>
          <w:szCs w:val="20"/>
        </w:rPr>
        <w:t xml:space="preserve">over the next 3 years </w:t>
      </w:r>
      <w:r w:rsidRPr="0070196C">
        <w:rPr>
          <w:sz w:val="20"/>
          <w:szCs w:val="20"/>
        </w:rPr>
        <w:t xml:space="preserve">and no longer report under Subpart KKK. For Subpart LLL, we expect three facilities to perform a modification and report under Subpart </w:t>
      </w:r>
      <w:r w:rsidRPr="0070196C">
        <w:rPr>
          <w:sz w:val="20"/>
          <w:szCs w:val="20"/>
        </w:rPr>
        <w:t>OOOO</w:t>
      </w:r>
      <w:r>
        <w:rPr>
          <w:sz w:val="20"/>
          <w:szCs w:val="20"/>
        </w:rPr>
        <w:t>a</w:t>
      </w:r>
      <w:r>
        <w:rPr>
          <w:sz w:val="20"/>
          <w:szCs w:val="20"/>
        </w:rPr>
        <w:t xml:space="preserve"> each year over the next three years</w:t>
      </w:r>
      <w:r>
        <w:rPr>
          <w:color w:val="000000"/>
          <w:sz w:val="20"/>
          <w:szCs w:val="20"/>
        </w:rPr>
        <w:t>.</w:t>
      </w:r>
    </w:p>
    <w:p w:rsidR="00AD2146" w:rsidP="00AD2146" w14:paraId="69B23D34" w14:textId="77777777">
      <w:pPr>
        <w:pBdr>
          <w:top w:val="single" w:sz="6" w:space="0" w:color="FFFFFF"/>
          <w:left w:val="single" w:sz="6" w:space="0" w:color="FFFFFF"/>
          <w:bottom w:val="single" w:sz="6" w:space="0" w:color="FFFFFF"/>
          <w:right w:val="single" w:sz="6" w:space="0" w:color="FFFFFF"/>
        </w:pBdr>
        <w:ind w:left="540" w:hanging="180"/>
        <w:rPr>
          <w:color w:val="000000"/>
          <w:sz w:val="20"/>
          <w:szCs w:val="20"/>
        </w:rPr>
      </w:pPr>
      <w:r w:rsidRPr="0070196C">
        <w:rPr>
          <w:color w:val="000000"/>
          <w:szCs w:val="20"/>
          <w:vertAlign w:val="superscript"/>
        </w:rPr>
        <w:t>b</w:t>
      </w:r>
      <w:r>
        <w:rPr>
          <w:color w:val="000000"/>
          <w:sz w:val="20"/>
          <w:szCs w:val="20"/>
        </w:rPr>
        <w:t xml:space="preserve"> </w:t>
      </w:r>
      <w:r>
        <w:rPr>
          <w:color w:val="000000"/>
          <w:sz w:val="20"/>
          <w:szCs w:val="20"/>
        </w:rPr>
        <w:tab/>
      </w:r>
      <w:r w:rsidRPr="0070196C">
        <w:rPr>
          <w:color w:val="000000"/>
          <w:sz w:val="20"/>
          <w:szCs w:val="20"/>
        </w:rPr>
        <w:t>Affected facilities with design capacities of less than two long tons per day (LT/D) of hydrogen sulfide (H</w:t>
      </w:r>
      <w:r w:rsidRPr="00283F6E">
        <w:rPr>
          <w:color w:val="000000"/>
          <w:sz w:val="20"/>
          <w:szCs w:val="20"/>
          <w:vertAlign w:val="subscript"/>
        </w:rPr>
        <w:t>2</w:t>
      </w:r>
      <w:r w:rsidRPr="0070196C">
        <w:rPr>
          <w:color w:val="000000"/>
          <w:sz w:val="20"/>
          <w:szCs w:val="20"/>
        </w:rPr>
        <w:t>S) in the acid gas, expressed as sulfur, have no reporting requirements pursuant to Subpart LLL.</w:t>
      </w:r>
      <w:r>
        <w:rPr>
          <w:color w:val="000000"/>
          <w:sz w:val="20"/>
          <w:szCs w:val="20"/>
        </w:rPr>
        <w:t xml:space="preserve"> </w:t>
      </w:r>
      <w:r w:rsidRPr="0070196C">
        <w:rPr>
          <w:color w:val="000000"/>
          <w:sz w:val="20"/>
          <w:szCs w:val="20"/>
        </w:rPr>
        <w:t>Three respondents have sources capacities below this threshold.</w:t>
      </w:r>
    </w:p>
    <w:p w:rsidR="00AD2146" w:rsidRPr="004666C0" w:rsidP="00AD2146" w14:paraId="75E2D153" w14:textId="77777777">
      <w:pPr>
        <w:pBdr>
          <w:top w:val="single" w:sz="6" w:space="0" w:color="FFFFFF"/>
          <w:left w:val="single" w:sz="6" w:space="0" w:color="FFFFFF"/>
          <w:bottom w:val="single" w:sz="6" w:space="0" w:color="FFFFFF"/>
          <w:right w:val="single" w:sz="6" w:space="0" w:color="FFFFFF"/>
        </w:pBdr>
        <w:ind w:left="540" w:hanging="180"/>
        <w:rPr>
          <w:sz w:val="20"/>
          <w:szCs w:val="20"/>
        </w:rPr>
      </w:pPr>
      <w:r>
        <w:rPr>
          <w:color w:val="000000"/>
          <w:sz w:val="20"/>
          <w:szCs w:val="20"/>
          <w:vertAlign w:val="superscript"/>
        </w:rPr>
        <w:t>c</w:t>
      </w:r>
      <w:r>
        <w:rPr>
          <w:color w:val="000000"/>
          <w:sz w:val="20"/>
          <w:szCs w:val="20"/>
        </w:rPr>
        <w:t xml:space="preserve"> </w:t>
      </w:r>
      <w:r>
        <w:rPr>
          <w:color w:val="000000"/>
          <w:sz w:val="20"/>
          <w:szCs w:val="20"/>
        </w:rPr>
        <w:tab/>
      </w:r>
      <w:r w:rsidRPr="0070196C">
        <w:rPr>
          <w:color w:val="000000"/>
          <w:sz w:val="20"/>
          <w:szCs w:val="20"/>
        </w:rPr>
        <w:t xml:space="preserve">This is the total average of existing respondents subject to both Subparts KKK </w:t>
      </w:r>
      <w:r w:rsidRPr="004666C0">
        <w:rPr>
          <w:sz w:val="20"/>
          <w:szCs w:val="20"/>
        </w:rPr>
        <w:t>and LLL.</w:t>
      </w:r>
    </w:p>
    <w:p w:rsidR="00AD2146" w:rsidRPr="00AD2146" w:rsidP="00AD2146" w14:paraId="7948EB0A" w14:textId="2C218EEC">
      <w:pPr>
        <w:pBdr>
          <w:top w:val="single" w:sz="6" w:space="0" w:color="FFFFFF"/>
          <w:left w:val="single" w:sz="6" w:space="0" w:color="FFFFFF"/>
          <w:bottom w:val="single" w:sz="6" w:space="0" w:color="FFFFFF"/>
          <w:right w:val="single" w:sz="6" w:space="0" w:color="FFFFFF"/>
        </w:pBdr>
        <w:ind w:firstLine="720"/>
      </w:pPr>
      <w:r>
        <w:rPr>
          <w:color w:val="000000"/>
        </w:rPr>
        <w:t xml:space="preserve">Column D is subtracted to avoid double-counting respondents. As shown above, the average Number of Respondents over the three-year period of this </w:t>
      </w:r>
      <w:r w:rsidRPr="00AD653F">
        <w:t xml:space="preserve">ICR is 305.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21DE6595" w14:textId="77777777" w:rsidTr="001F4553">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AD2146" w:rsidP="001F4553" w14:paraId="7744B4F0"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4F9F71A2" w14:textId="77777777" w:rsidTr="001F4553">
        <w:tblPrEx>
          <w:tblW w:w="9180" w:type="dxa"/>
          <w:tblInd w:w="201" w:type="dxa"/>
          <w:tblLayout w:type="fixed"/>
          <w:tblCellMar>
            <w:left w:w="111" w:type="dxa"/>
            <w:right w:w="111" w:type="dxa"/>
          </w:tblCellMar>
          <w:tblLook w:val="0000"/>
        </w:tblPrEx>
        <w:tc>
          <w:tcPr>
            <w:tcW w:w="2700" w:type="dxa"/>
          </w:tcPr>
          <w:p w:rsidR="00AD2146" w:rsidP="001F4553" w14:paraId="6BEBCB7C" w14:textId="77777777">
            <w:pPr>
              <w:spacing w:line="120" w:lineRule="exact"/>
              <w:jc w:val="center"/>
              <w:rPr>
                <w:b/>
                <w:bCs/>
                <w:color w:val="000000"/>
                <w:sz w:val="18"/>
                <w:szCs w:val="18"/>
              </w:rPr>
            </w:pPr>
          </w:p>
          <w:p w:rsidR="00AD2146" w:rsidP="001F4553" w14:paraId="4FEA436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AD2146" w:rsidP="001F4553" w14:paraId="69282A2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AD2146" w:rsidP="001F4553" w14:paraId="44E6A177"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AD2146" w:rsidP="001F4553" w14:paraId="5ECD3702" w14:textId="77777777">
            <w:pPr>
              <w:spacing w:line="120" w:lineRule="exact"/>
              <w:jc w:val="center"/>
              <w:rPr>
                <w:color w:val="000000"/>
                <w:sz w:val="18"/>
                <w:szCs w:val="18"/>
              </w:rPr>
            </w:pPr>
          </w:p>
          <w:p w:rsidR="00AD2146" w:rsidP="001F4553" w14:paraId="01C42D5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AD2146" w:rsidP="001F4553" w14:paraId="5E0BD50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AD2146" w:rsidP="001F4553" w14:paraId="06F8E59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AD2146" w:rsidP="001F4553" w14:paraId="158B7246" w14:textId="77777777">
            <w:pPr>
              <w:spacing w:line="120" w:lineRule="exact"/>
              <w:jc w:val="center"/>
              <w:rPr>
                <w:color w:val="000000"/>
                <w:sz w:val="18"/>
                <w:szCs w:val="18"/>
              </w:rPr>
            </w:pPr>
          </w:p>
          <w:p w:rsidR="00AD2146" w:rsidP="001F4553" w14:paraId="21AB9A4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AD2146" w:rsidP="001F4553" w14:paraId="4F4B88F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AD2146" w:rsidP="001F4553" w14:paraId="1FD325E8"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AD2146" w:rsidP="001F4553" w14:paraId="02620083" w14:textId="77777777">
            <w:pPr>
              <w:spacing w:line="120" w:lineRule="exact"/>
              <w:jc w:val="center"/>
              <w:rPr>
                <w:color w:val="000000"/>
                <w:sz w:val="18"/>
                <w:szCs w:val="18"/>
              </w:rPr>
            </w:pPr>
          </w:p>
          <w:p w:rsidR="00AD2146" w:rsidP="001F4553" w14:paraId="04BA632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AD2146" w:rsidP="001F4553" w14:paraId="7D7AA689"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AD2146" w:rsidP="001F4553" w14:paraId="6553BEA8" w14:textId="77777777">
            <w:pPr>
              <w:spacing w:line="120" w:lineRule="exact"/>
              <w:jc w:val="center"/>
              <w:rPr>
                <w:color w:val="000000"/>
                <w:sz w:val="18"/>
                <w:szCs w:val="18"/>
              </w:rPr>
            </w:pPr>
          </w:p>
          <w:p w:rsidR="00AD2146" w:rsidP="001F4553" w14:paraId="58C62F7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AD2146" w:rsidP="001F4553" w14:paraId="46189CE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AD2146" w:rsidP="001F4553" w14:paraId="39496473"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0548623C" w14:textId="77777777" w:rsidTr="001F4553">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AD2146" w:rsidP="001F4553" w14:paraId="32D7363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C1385D">
              <w:rPr>
                <w:color w:val="000000"/>
                <w:sz w:val="18"/>
                <w:szCs w:val="18"/>
              </w:rPr>
              <w:t>Subpart KKK</w:t>
            </w:r>
          </w:p>
        </w:tc>
      </w:tr>
      <w:tr w14:paraId="0B2B8D2A" w14:textId="77777777" w:rsidTr="001F4553">
        <w:tblPrEx>
          <w:tblW w:w="9180" w:type="dxa"/>
          <w:tblInd w:w="201" w:type="dxa"/>
          <w:tblLayout w:type="fixed"/>
          <w:tblCellMar>
            <w:left w:w="111" w:type="dxa"/>
            <w:right w:w="111" w:type="dxa"/>
          </w:tblCellMar>
          <w:tblLook w:val="0000"/>
        </w:tblPrEx>
        <w:trPr>
          <w:trHeight w:val="366"/>
        </w:trPr>
        <w:tc>
          <w:tcPr>
            <w:tcW w:w="2700" w:type="dxa"/>
            <w:vAlign w:val="center"/>
          </w:tcPr>
          <w:p w:rsidR="00AD2146" w:rsidP="001F4553" w14:paraId="44ED4162"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Reports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D2146" w:rsidP="001F4553" w14:paraId="5CF21F2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291</w:t>
            </w:r>
          </w:p>
        </w:tc>
        <w:tc>
          <w:tcPr>
            <w:tcW w:w="1260" w:type="dxa"/>
            <w:tcBorders>
              <w:top w:val="single" w:sz="4" w:space="0" w:color="auto"/>
              <w:left w:val="nil"/>
              <w:bottom w:val="single" w:sz="4" w:space="0" w:color="auto"/>
              <w:right w:val="single" w:sz="4" w:space="0" w:color="auto"/>
            </w:tcBorders>
            <w:shd w:val="clear" w:color="auto" w:fill="auto"/>
            <w:vAlign w:val="center"/>
          </w:tcPr>
          <w:p w:rsidR="00AD2146" w:rsidP="001F4553" w14:paraId="4FA2BB4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890" w:type="dxa"/>
            <w:tcBorders>
              <w:top w:val="single" w:sz="4" w:space="0" w:color="auto"/>
              <w:left w:val="nil"/>
              <w:bottom w:val="single" w:sz="4" w:space="0" w:color="auto"/>
              <w:right w:val="single" w:sz="4" w:space="0" w:color="auto"/>
            </w:tcBorders>
            <w:shd w:val="clear" w:color="auto" w:fill="auto"/>
            <w:vAlign w:val="center"/>
          </w:tcPr>
          <w:p w:rsidR="00AD2146" w:rsidP="001F4553" w14:paraId="30F7093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N/A</w:t>
            </w:r>
          </w:p>
        </w:tc>
        <w:tc>
          <w:tcPr>
            <w:tcW w:w="2070" w:type="dxa"/>
            <w:tcBorders>
              <w:top w:val="single" w:sz="4" w:space="0" w:color="auto"/>
              <w:left w:val="nil"/>
              <w:bottom w:val="single" w:sz="4" w:space="0" w:color="auto"/>
              <w:right w:val="single" w:sz="4" w:space="0" w:color="auto"/>
            </w:tcBorders>
            <w:shd w:val="clear" w:color="auto" w:fill="auto"/>
            <w:vAlign w:val="center"/>
          </w:tcPr>
          <w:p w:rsidR="00AD2146" w:rsidP="001F4553" w14:paraId="1028E02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582</w:t>
            </w:r>
          </w:p>
        </w:tc>
      </w:tr>
      <w:tr w14:paraId="16159897" w14:textId="77777777" w:rsidTr="001F4553">
        <w:tblPrEx>
          <w:tblW w:w="9180" w:type="dxa"/>
          <w:tblInd w:w="201" w:type="dxa"/>
          <w:tblLayout w:type="fixed"/>
          <w:tblCellMar>
            <w:left w:w="111" w:type="dxa"/>
            <w:right w:w="111" w:type="dxa"/>
          </w:tblCellMar>
          <w:tblLook w:val="0000"/>
        </w:tblPrEx>
        <w:trPr>
          <w:trHeight w:val="366"/>
        </w:trPr>
        <w:tc>
          <w:tcPr>
            <w:tcW w:w="2700" w:type="dxa"/>
            <w:vAlign w:val="center"/>
          </w:tcPr>
          <w:p w:rsidR="00AD2146" w:rsidP="001F4553" w14:paraId="20D32DB2"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4666C0">
              <w:rPr>
                <w:sz w:val="18"/>
                <w:szCs w:val="18"/>
              </w:rPr>
              <w:t>Subtotal for Subpart KKK</w:t>
            </w:r>
          </w:p>
        </w:tc>
        <w:tc>
          <w:tcPr>
            <w:tcW w:w="1260" w:type="dxa"/>
            <w:tcBorders>
              <w:top w:val="nil"/>
              <w:left w:val="single" w:sz="4" w:space="0" w:color="auto"/>
              <w:bottom w:val="single" w:sz="4" w:space="0" w:color="auto"/>
              <w:right w:val="single" w:sz="4" w:space="0" w:color="auto"/>
            </w:tcBorders>
            <w:shd w:val="clear" w:color="auto" w:fill="auto"/>
            <w:vAlign w:val="center"/>
          </w:tcPr>
          <w:p w:rsidR="00AD2146" w:rsidP="001F4553" w14:paraId="608CCA4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1260" w:type="dxa"/>
            <w:tcBorders>
              <w:top w:val="nil"/>
              <w:left w:val="nil"/>
              <w:bottom w:val="single" w:sz="4" w:space="0" w:color="auto"/>
              <w:right w:val="single" w:sz="4" w:space="0" w:color="auto"/>
            </w:tcBorders>
            <w:shd w:val="clear" w:color="auto" w:fill="auto"/>
            <w:vAlign w:val="center"/>
          </w:tcPr>
          <w:p w:rsidR="00AD2146" w:rsidP="001F4553" w14:paraId="1439AE2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1890" w:type="dxa"/>
            <w:tcBorders>
              <w:top w:val="nil"/>
              <w:left w:val="nil"/>
              <w:bottom w:val="single" w:sz="4" w:space="0" w:color="auto"/>
              <w:right w:val="single" w:sz="4" w:space="0" w:color="auto"/>
            </w:tcBorders>
            <w:shd w:val="clear" w:color="auto" w:fill="auto"/>
            <w:vAlign w:val="center"/>
          </w:tcPr>
          <w:p w:rsidR="00AD2146" w:rsidP="001F4553" w14:paraId="03DA371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2070" w:type="dxa"/>
            <w:tcBorders>
              <w:top w:val="nil"/>
              <w:left w:val="nil"/>
              <w:bottom w:val="single" w:sz="4" w:space="0" w:color="auto"/>
              <w:right w:val="single" w:sz="4" w:space="0" w:color="auto"/>
            </w:tcBorders>
            <w:shd w:val="clear" w:color="auto" w:fill="auto"/>
            <w:vAlign w:val="center"/>
          </w:tcPr>
          <w:p w:rsidR="00AD2146" w:rsidP="001F4553" w14:paraId="6580B7B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582</w:t>
            </w:r>
          </w:p>
        </w:tc>
      </w:tr>
      <w:tr w14:paraId="69424021" w14:textId="77777777" w:rsidTr="001F4553">
        <w:tblPrEx>
          <w:tblW w:w="9180" w:type="dxa"/>
          <w:tblInd w:w="201" w:type="dxa"/>
          <w:tblLayout w:type="fixed"/>
          <w:tblCellMar>
            <w:left w:w="111" w:type="dxa"/>
            <w:right w:w="111" w:type="dxa"/>
          </w:tblCellMar>
          <w:tblLook w:val="0000"/>
        </w:tblPrEx>
        <w:trPr>
          <w:trHeight w:val="366"/>
        </w:trPr>
        <w:tc>
          <w:tcPr>
            <w:tcW w:w="9180" w:type="dxa"/>
            <w:gridSpan w:val="5"/>
            <w:vAlign w:val="center"/>
          </w:tcPr>
          <w:p w:rsidR="00AD2146" w:rsidP="001F4553" w14:paraId="558BA4E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C1385D">
              <w:rPr>
                <w:color w:val="000000"/>
                <w:sz w:val="18"/>
                <w:szCs w:val="18"/>
              </w:rPr>
              <w:t xml:space="preserve">Subpart </w:t>
            </w:r>
            <w:r>
              <w:rPr>
                <w:color w:val="000000"/>
                <w:sz w:val="18"/>
                <w:szCs w:val="18"/>
              </w:rPr>
              <w:t>LLL</w:t>
            </w:r>
          </w:p>
        </w:tc>
      </w:tr>
      <w:tr w14:paraId="62467A28" w14:textId="77777777" w:rsidTr="001F4553">
        <w:tblPrEx>
          <w:tblW w:w="9180" w:type="dxa"/>
          <w:tblInd w:w="201" w:type="dxa"/>
          <w:tblLayout w:type="fixed"/>
          <w:tblCellMar>
            <w:left w:w="111" w:type="dxa"/>
            <w:right w:w="111" w:type="dxa"/>
          </w:tblCellMar>
          <w:tblLook w:val="0000"/>
        </w:tblPrEx>
        <w:trPr>
          <w:trHeight w:val="366"/>
        </w:trPr>
        <w:tc>
          <w:tcPr>
            <w:tcW w:w="2700" w:type="dxa"/>
            <w:vAlign w:val="center"/>
          </w:tcPr>
          <w:p w:rsidR="00AD2146" w:rsidP="001F4553" w14:paraId="2DA328C0"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4666C0">
              <w:rPr>
                <w:sz w:val="18"/>
                <w:szCs w:val="18"/>
              </w:rPr>
              <w:t>Semiannual Report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D2146" w:rsidP="001F4553" w14:paraId="675F23C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14</w:t>
            </w:r>
          </w:p>
        </w:tc>
        <w:tc>
          <w:tcPr>
            <w:tcW w:w="1260" w:type="dxa"/>
            <w:tcBorders>
              <w:top w:val="single" w:sz="4" w:space="0" w:color="auto"/>
              <w:left w:val="nil"/>
              <w:bottom w:val="single" w:sz="4" w:space="0" w:color="auto"/>
              <w:right w:val="single" w:sz="4" w:space="0" w:color="auto"/>
            </w:tcBorders>
            <w:shd w:val="clear" w:color="auto" w:fill="auto"/>
            <w:vAlign w:val="center"/>
          </w:tcPr>
          <w:p w:rsidR="00AD2146" w:rsidP="001F4553" w14:paraId="47EC041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890" w:type="dxa"/>
            <w:tcBorders>
              <w:top w:val="single" w:sz="4" w:space="0" w:color="auto"/>
              <w:left w:val="nil"/>
              <w:bottom w:val="single" w:sz="4" w:space="0" w:color="auto"/>
              <w:right w:val="single" w:sz="4" w:space="0" w:color="auto"/>
            </w:tcBorders>
            <w:shd w:val="clear" w:color="auto" w:fill="auto"/>
            <w:vAlign w:val="center"/>
          </w:tcPr>
          <w:p w:rsidR="00AD2146" w:rsidP="001F4553" w14:paraId="4467050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N/A</w:t>
            </w:r>
          </w:p>
        </w:tc>
        <w:tc>
          <w:tcPr>
            <w:tcW w:w="2070" w:type="dxa"/>
            <w:tcBorders>
              <w:top w:val="single" w:sz="4" w:space="0" w:color="auto"/>
              <w:left w:val="nil"/>
              <w:bottom w:val="single" w:sz="4" w:space="0" w:color="auto"/>
              <w:right w:val="single" w:sz="4" w:space="0" w:color="auto"/>
            </w:tcBorders>
            <w:shd w:val="clear" w:color="auto" w:fill="auto"/>
            <w:vAlign w:val="center"/>
          </w:tcPr>
          <w:p w:rsidR="00AD2146" w:rsidP="001F4553" w14:paraId="3F37FF3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28</w:t>
            </w:r>
          </w:p>
        </w:tc>
      </w:tr>
      <w:tr w14:paraId="26F28B59" w14:textId="77777777" w:rsidTr="001F4553">
        <w:tblPrEx>
          <w:tblW w:w="9180" w:type="dxa"/>
          <w:tblInd w:w="201" w:type="dxa"/>
          <w:tblLayout w:type="fixed"/>
          <w:tblCellMar>
            <w:left w:w="111" w:type="dxa"/>
            <w:right w:w="111" w:type="dxa"/>
          </w:tblCellMar>
          <w:tblLook w:val="0000"/>
        </w:tblPrEx>
        <w:trPr>
          <w:trHeight w:val="366"/>
        </w:trPr>
        <w:tc>
          <w:tcPr>
            <w:tcW w:w="2700" w:type="dxa"/>
            <w:vAlign w:val="center"/>
          </w:tcPr>
          <w:p w:rsidR="00AD2146" w:rsidP="001F4553" w14:paraId="44C92B92"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4666C0">
              <w:rPr>
                <w:sz w:val="18"/>
                <w:szCs w:val="18"/>
              </w:rPr>
              <w:t>Subtotal for Subpart LLL</w:t>
            </w:r>
          </w:p>
        </w:tc>
        <w:tc>
          <w:tcPr>
            <w:tcW w:w="1260" w:type="dxa"/>
            <w:tcBorders>
              <w:top w:val="nil"/>
              <w:left w:val="single" w:sz="4" w:space="0" w:color="auto"/>
              <w:bottom w:val="single" w:sz="4" w:space="0" w:color="auto"/>
              <w:right w:val="single" w:sz="4" w:space="0" w:color="auto"/>
            </w:tcBorders>
            <w:shd w:val="clear" w:color="auto" w:fill="auto"/>
            <w:vAlign w:val="center"/>
          </w:tcPr>
          <w:p w:rsidR="00AD2146" w:rsidP="001F4553" w14:paraId="74994E1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1260" w:type="dxa"/>
            <w:tcBorders>
              <w:top w:val="nil"/>
              <w:left w:val="nil"/>
              <w:bottom w:val="single" w:sz="4" w:space="0" w:color="auto"/>
              <w:right w:val="single" w:sz="4" w:space="0" w:color="auto"/>
            </w:tcBorders>
            <w:shd w:val="clear" w:color="auto" w:fill="auto"/>
            <w:vAlign w:val="center"/>
          </w:tcPr>
          <w:p w:rsidR="00AD2146" w:rsidP="001F4553" w14:paraId="385692B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1890" w:type="dxa"/>
            <w:tcBorders>
              <w:top w:val="nil"/>
              <w:left w:val="nil"/>
              <w:bottom w:val="single" w:sz="4" w:space="0" w:color="auto"/>
              <w:right w:val="single" w:sz="4" w:space="0" w:color="auto"/>
            </w:tcBorders>
            <w:shd w:val="clear" w:color="auto" w:fill="auto"/>
            <w:vAlign w:val="center"/>
          </w:tcPr>
          <w:p w:rsidR="00AD2146" w:rsidP="001F4553" w14:paraId="6C474AC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 </w:t>
            </w:r>
          </w:p>
        </w:tc>
        <w:tc>
          <w:tcPr>
            <w:tcW w:w="2070" w:type="dxa"/>
            <w:tcBorders>
              <w:top w:val="nil"/>
              <w:left w:val="nil"/>
              <w:bottom w:val="single" w:sz="4" w:space="0" w:color="auto"/>
              <w:right w:val="single" w:sz="4" w:space="0" w:color="auto"/>
            </w:tcBorders>
            <w:shd w:val="clear" w:color="auto" w:fill="auto"/>
            <w:vAlign w:val="center"/>
          </w:tcPr>
          <w:p w:rsidR="00AD2146" w:rsidP="001F4553" w14:paraId="060C750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28</w:t>
            </w:r>
          </w:p>
        </w:tc>
      </w:tr>
      <w:tr w14:paraId="0253EAD4" w14:textId="77777777" w:rsidTr="001F4553">
        <w:tblPrEx>
          <w:tblW w:w="9180" w:type="dxa"/>
          <w:tblInd w:w="201" w:type="dxa"/>
          <w:tblLayout w:type="fixed"/>
          <w:tblCellMar>
            <w:left w:w="111" w:type="dxa"/>
            <w:right w:w="111" w:type="dxa"/>
          </w:tblCellMar>
          <w:tblLook w:val="0000"/>
        </w:tblPrEx>
        <w:trPr>
          <w:trHeight w:val="366"/>
        </w:trPr>
        <w:tc>
          <w:tcPr>
            <w:tcW w:w="2700" w:type="dxa"/>
            <w:vAlign w:val="center"/>
          </w:tcPr>
          <w:p w:rsidR="00AD2146" w:rsidP="001F4553" w14:paraId="41D8AE32"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AD2146" w:rsidP="001F4553" w14:paraId="309F9E5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sz w:val="18"/>
                <w:szCs w:val="18"/>
              </w:rPr>
              <w:t> </w:t>
            </w:r>
          </w:p>
        </w:tc>
        <w:tc>
          <w:tcPr>
            <w:tcW w:w="1260" w:type="dxa"/>
            <w:tcBorders>
              <w:top w:val="nil"/>
              <w:left w:val="nil"/>
              <w:bottom w:val="single" w:sz="4" w:space="0" w:color="auto"/>
              <w:right w:val="single" w:sz="4" w:space="0" w:color="auto"/>
            </w:tcBorders>
            <w:shd w:val="clear" w:color="auto" w:fill="auto"/>
            <w:vAlign w:val="center"/>
          </w:tcPr>
          <w:p w:rsidR="00AD2146" w:rsidP="001F4553" w14:paraId="768A31D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sz w:val="18"/>
                <w:szCs w:val="18"/>
              </w:rPr>
              <w:t> </w:t>
            </w:r>
          </w:p>
        </w:tc>
        <w:tc>
          <w:tcPr>
            <w:tcW w:w="1890" w:type="dxa"/>
            <w:tcBorders>
              <w:top w:val="nil"/>
              <w:left w:val="nil"/>
              <w:bottom w:val="single" w:sz="4" w:space="0" w:color="auto"/>
              <w:right w:val="single" w:sz="4" w:space="0" w:color="auto"/>
            </w:tcBorders>
            <w:shd w:val="clear" w:color="auto" w:fill="auto"/>
            <w:vAlign w:val="center"/>
          </w:tcPr>
          <w:p w:rsidR="00AD2146" w:rsidRPr="00690F89" w:rsidP="001F4553" w14:paraId="2EA6F4D3" w14:textId="77777777">
            <w:pPr>
              <w:pBdr>
                <w:top w:val="single" w:sz="6" w:space="0" w:color="FFFFFF"/>
                <w:left w:val="single" w:sz="6" w:space="0" w:color="FFFFFF"/>
                <w:bottom w:val="single" w:sz="6" w:space="0" w:color="FFFFFF"/>
                <w:right w:val="single" w:sz="6" w:space="0" w:color="FFFFFF"/>
              </w:pBdr>
              <w:jc w:val="center"/>
              <w:rPr>
                <w:b/>
                <w:bCs/>
                <w:color w:val="000000"/>
                <w:sz w:val="18"/>
                <w:szCs w:val="18"/>
              </w:rPr>
            </w:pPr>
            <w:r>
              <w:rPr>
                <w:b/>
                <w:bCs/>
                <w:sz w:val="18"/>
                <w:szCs w:val="18"/>
              </w:rPr>
              <w:t> </w:t>
            </w:r>
            <w:r w:rsidRPr="00690F89">
              <w:rPr>
                <w:b/>
                <w:bCs/>
                <w:color w:val="000000"/>
                <w:sz w:val="18"/>
                <w:szCs w:val="18"/>
              </w:rPr>
              <w:t>Total</w:t>
            </w:r>
          </w:p>
        </w:tc>
        <w:tc>
          <w:tcPr>
            <w:tcW w:w="2070" w:type="dxa"/>
            <w:tcBorders>
              <w:top w:val="nil"/>
              <w:left w:val="nil"/>
              <w:bottom w:val="single" w:sz="4" w:space="0" w:color="auto"/>
              <w:right w:val="single" w:sz="4" w:space="0" w:color="auto"/>
            </w:tcBorders>
            <w:shd w:val="clear" w:color="auto" w:fill="auto"/>
            <w:vAlign w:val="center"/>
          </w:tcPr>
          <w:p w:rsidR="00AD2146" w:rsidRPr="00690F89" w:rsidP="001F4553" w14:paraId="560B15E6" w14:textId="77777777">
            <w:pPr>
              <w:pBdr>
                <w:top w:val="single" w:sz="6" w:space="0" w:color="FFFFFF"/>
                <w:left w:val="single" w:sz="6" w:space="0" w:color="FFFFFF"/>
                <w:bottom w:val="single" w:sz="6" w:space="0" w:color="FFFFFF"/>
                <w:right w:val="single" w:sz="6" w:space="0" w:color="FFFFFF"/>
              </w:pBdr>
              <w:jc w:val="center"/>
              <w:rPr>
                <w:b/>
                <w:bCs/>
                <w:color w:val="FF0000"/>
                <w:sz w:val="18"/>
                <w:szCs w:val="18"/>
              </w:rPr>
            </w:pPr>
            <w:r>
              <w:rPr>
                <w:b/>
                <w:bCs/>
                <w:sz w:val="20"/>
                <w:szCs w:val="20"/>
              </w:rPr>
              <w:t>610</w:t>
            </w:r>
          </w:p>
        </w:tc>
      </w:tr>
    </w:tbl>
    <w:p w:rsidR="00AD2146" w:rsidRPr="00BB3410" w:rsidP="00854AAE" w14:paraId="2F4A4A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0" w:name="_Toc156593384"/>
      <w:bookmarkEnd w:id="19"/>
    </w:p>
    <w:p w:rsidR="0032356F" w:rsidP="0032356F" w14:paraId="125C4DF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tbl>
      <w:tblPr>
        <w:tblW w:w="9360" w:type="dxa"/>
        <w:jc w:val="center"/>
        <w:tblLayout w:type="fixed"/>
        <w:tblCellMar>
          <w:left w:w="120" w:type="dxa"/>
          <w:right w:w="120" w:type="dxa"/>
        </w:tblCellMar>
        <w:tblLook w:val="0000"/>
      </w:tblPr>
      <w:tblGrid>
        <w:gridCol w:w="7281"/>
        <w:gridCol w:w="2079"/>
      </w:tblGrid>
      <w:tr w14:paraId="02D3F7D8" w14:textId="77777777" w:rsidTr="001F455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2356F" w:rsidRPr="00CF2B37" w:rsidP="001F4553" w14:paraId="7CAFE43D"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77EAA2FF"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FD56E3" w:rsidP="001F4553" w14:paraId="18D7BA5D" w14:textId="77777777">
            <w:pPr>
              <w:pBdr>
                <w:top w:val="single" w:sz="6" w:space="0" w:color="FFFFFF"/>
                <w:left w:val="single" w:sz="6" w:space="0" w:color="FFFFFF"/>
                <w:bottom w:val="single" w:sz="6" w:space="0" w:color="FFFFFF"/>
                <w:right w:val="single" w:sz="6" w:space="0" w:color="FFFFFF"/>
              </w:pBdr>
              <w:spacing w:after="58"/>
              <w:rPr>
                <w:b/>
                <w:bCs/>
              </w:rPr>
            </w:pPr>
            <w:r w:rsidRPr="00AC1644">
              <w:t>Notification of construction or reconstruction</w:t>
            </w:r>
          </w:p>
        </w:tc>
        <w:tc>
          <w:tcPr>
            <w:tcW w:w="2079" w:type="dxa"/>
            <w:tcBorders>
              <w:top w:val="single" w:sz="7" w:space="0" w:color="000000"/>
              <w:left w:val="single" w:sz="7" w:space="0" w:color="000000"/>
              <w:bottom w:val="single" w:sz="7" w:space="0" w:color="000000"/>
              <w:right w:val="single" w:sz="7" w:space="0" w:color="000000"/>
            </w:tcBorders>
          </w:tcPr>
          <w:p w:rsidR="0032356F" w:rsidRPr="00FD56E3" w:rsidP="001F4553" w14:paraId="271551AA" w14:textId="77777777">
            <w:pPr>
              <w:pBdr>
                <w:top w:val="single" w:sz="6" w:space="0" w:color="FFFFFF"/>
                <w:left w:val="single" w:sz="6" w:space="0" w:color="FFFFFF"/>
                <w:bottom w:val="single" w:sz="6" w:space="0" w:color="FFFFFF"/>
                <w:right w:val="single" w:sz="6" w:space="0" w:color="FFFFFF"/>
              </w:pBdr>
              <w:spacing w:after="58"/>
              <w:rPr>
                <w:b/>
                <w:bCs/>
              </w:rPr>
            </w:pPr>
            <w:r w:rsidRPr="00AC1644">
              <w:t>§60.7(a)(1)</w:t>
            </w:r>
          </w:p>
        </w:tc>
      </w:tr>
      <w:tr w14:paraId="6798A670"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7F7C1256" w14:textId="77777777">
            <w:pPr>
              <w:pBdr>
                <w:top w:val="single" w:sz="6" w:space="0" w:color="FFFFFF"/>
                <w:left w:val="single" w:sz="6" w:space="0" w:color="FFFFFF"/>
                <w:bottom w:val="single" w:sz="6" w:space="0" w:color="FFFFFF"/>
                <w:right w:val="single" w:sz="6" w:space="0" w:color="FFFFFF"/>
              </w:pBdr>
              <w:spacing w:after="58"/>
            </w:pPr>
            <w:r w:rsidRPr="00AC1644">
              <w:t>Notification of actual startup date</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55D85744" w14:textId="77777777">
            <w:pPr>
              <w:pBdr>
                <w:top w:val="single" w:sz="6" w:space="0" w:color="FFFFFF"/>
                <w:left w:val="single" w:sz="6" w:space="0" w:color="FFFFFF"/>
                <w:bottom w:val="single" w:sz="6" w:space="0" w:color="FFFFFF"/>
                <w:right w:val="single" w:sz="6" w:space="0" w:color="FFFFFF"/>
              </w:pBdr>
              <w:spacing w:after="58"/>
            </w:pPr>
            <w:r w:rsidRPr="00AC1644">
              <w:t>§60.7(a)(3)</w:t>
            </w:r>
          </w:p>
        </w:tc>
      </w:tr>
      <w:tr w14:paraId="3AA1D1C0"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6636159D" w14:textId="77777777">
            <w:pPr>
              <w:pBdr>
                <w:top w:val="single" w:sz="6" w:space="0" w:color="FFFFFF"/>
                <w:left w:val="single" w:sz="6" w:space="0" w:color="FFFFFF"/>
                <w:bottom w:val="single" w:sz="6" w:space="0" w:color="FFFFFF"/>
                <w:right w:val="single" w:sz="6" w:space="0" w:color="FFFFFF"/>
              </w:pBdr>
              <w:spacing w:after="58"/>
            </w:pPr>
            <w:r w:rsidRPr="00AC1644">
              <w:t>Notification of modification</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43E81CB3" w14:textId="77777777">
            <w:pPr>
              <w:pBdr>
                <w:top w:val="single" w:sz="6" w:space="0" w:color="FFFFFF"/>
                <w:left w:val="single" w:sz="6" w:space="0" w:color="FFFFFF"/>
                <w:bottom w:val="single" w:sz="6" w:space="0" w:color="FFFFFF"/>
                <w:right w:val="single" w:sz="6" w:space="0" w:color="FFFFFF"/>
              </w:pBdr>
              <w:spacing w:after="58"/>
            </w:pPr>
            <w:r w:rsidRPr="00AC1644">
              <w:t>§60.7(a)(4)</w:t>
            </w:r>
          </w:p>
        </w:tc>
      </w:tr>
    </w:tbl>
    <w:p w:rsidR="0032356F" w:rsidP="0032356F" w14:paraId="6CF87A9B"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01CD81A2" w14:textId="77777777" w:rsidTr="001F455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2356F" w:rsidRPr="00CF2B37" w:rsidP="001F4553" w14:paraId="5A6C24D2"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A9413AA" w14:textId="77777777" w:rsidTr="001F4553">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32356F" w:rsidRPr="00CF2B37" w:rsidP="001F4553" w14:paraId="43F2C233" w14:textId="77777777">
            <w:pPr>
              <w:pBdr>
                <w:top w:val="single" w:sz="6" w:space="0" w:color="FFFFFF"/>
                <w:left w:val="single" w:sz="6" w:space="0" w:color="FFFFFF"/>
                <w:bottom w:val="single" w:sz="6" w:space="0" w:color="FFFFFF"/>
                <w:right w:val="single" w:sz="6" w:space="0" w:color="FFFFFF"/>
              </w:pBdr>
              <w:spacing w:after="58"/>
            </w:pPr>
            <w:r w:rsidRPr="00AC1644">
              <w:t xml:space="preserve">Semiannual reports of excess emissions </w:t>
            </w:r>
          </w:p>
        </w:tc>
        <w:tc>
          <w:tcPr>
            <w:tcW w:w="2070" w:type="dxa"/>
            <w:tcBorders>
              <w:top w:val="single" w:sz="7" w:space="0" w:color="000000"/>
              <w:left w:val="single" w:sz="7" w:space="0" w:color="000000"/>
              <w:bottom w:val="single" w:sz="7" w:space="0" w:color="000000"/>
              <w:right w:val="single" w:sz="7" w:space="0" w:color="000000"/>
            </w:tcBorders>
          </w:tcPr>
          <w:p w:rsidR="0032356F" w:rsidRPr="00CF2B37" w:rsidP="001F4553" w14:paraId="5310E7A9" w14:textId="77777777">
            <w:pPr>
              <w:pBdr>
                <w:top w:val="single" w:sz="6" w:space="0" w:color="FFFFFF"/>
                <w:left w:val="single" w:sz="6" w:space="0" w:color="FFFFFF"/>
                <w:bottom w:val="single" w:sz="6" w:space="0" w:color="FFFFFF"/>
                <w:right w:val="single" w:sz="6" w:space="0" w:color="FFFFFF"/>
              </w:pBdr>
              <w:spacing w:after="58"/>
            </w:pPr>
            <w:r w:rsidRPr="00AC1644">
              <w:t>§60.7(c)</w:t>
            </w:r>
          </w:p>
        </w:tc>
      </w:tr>
      <w:tr w14:paraId="7E457866" w14:textId="77777777" w:rsidTr="001F4553">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32356F" w:rsidRPr="00CF2B37" w:rsidP="001F4553" w14:paraId="2DC32F5C" w14:textId="77777777">
            <w:pPr>
              <w:pBdr>
                <w:top w:val="single" w:sz="6" w:space="0" w:color="FFFFFF"/>
                <w:left w:val="single" w:sz="6" w:space="0" w:color="FFFFFF"/>
                <w:bottom w:val="single" w:sz="6" w:space="0" w:color="FFFFFF"/>
                <w:right w:val="single" w:sz="6" w:space="0" w:color="FFFFFF"/>
              </w:pBdr>
              <w:spacing w:after="58"/>
            </w:pPr>
            <w:r w:rsidRPr="00AC1644">
              <w:t xml:space="preserve">Performance test results </w:t>
            </w:r>
          </w:p>
        </w:tc>
        <w:tc>
          <w:tcPr>
            <w:tcW w:w="2070" w:type="dxa"/>
            <w:tcBorders>
              <w:top w:val="single" w:sz="7" w:space="0" w:color="000000"/>
              <w:left w:val="single" w:sz="7" w:space="0" w:color="000000"/>
              <w:bottom w:val="single" w:sz="7" w:space="0" w:color="000000"/>
              <w:right w:val="single" w:sz="7" w:space="0" w:color="000000"/>
            </w:tcBorders>
          </w:tcPr>
          <w:p w:rsidR="0032356F" w:rsidRPr="00CF2B37" w:rsidP="001F4553" w14:paraId="33FCA4A7" w14:textId="77777777">
            <w:pPr>
              <w:pBdr>
                <w:top w:val="single" w:sz="6" w:space="0" w:color="FFFFFF"/>
                <w:left w:val="single" w:sz="6" w:space="0" w:color="FFFFFF"/>
                <w:bottom w:val="single" w:sz="6" w:space="0" w:color="FFFFFF"/>
                <w:right w:val="single" w:sz="6" w:space="0" w:color="FFFFFF"/>
              </w:pBdr>
              <w:spacing w:after="58"/>
            </w:pPr>
            <w:r w:rsidRPr="00AC1644">
              <w:t>§60.8(a), §60.636(a), §60.487(e)</w:t>
            </w:r>
          </w:p>
        </w:tc>
      </w:tr>
      <w:tr w14:paraId="5B3A1C6C" w14:textId="77777777" w:rsidTr="001F4553">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32356F" w:rsidRPr="00CF2B37" w:rsidP="001F4553" w14:paraId="4A28EA2C" w14:textId="77777777">
            <w:pPr>
              <w:pBdr>
                <w:top w:val="single" w:sz="6" w:space="0" w:color="FFFFFF"/>
                <w:left w:val="single" w:sz="6" w:space="0" w:color="FFFFFF"/>
                <w:bottom w:val="single" w:sz="6" w:space="0" w:color="FFFFFF"/>
                <w:right w:val="single" w:sz="6" w:space="0" w:color="FFFFFF"/>
              </w:pBdr>
              <w:spacing w:after="58"/>
            </w:pPr>
            <w:r w:rsidRPr="00AC1644">
              <w:t>Semiannual reports (Subpart KKK)</w:t>
            </w:r>
          </w:p>
        </w:tc>
        <w:tc>
          <w:tcPr>
            <w:tcW w:w="2070" w:type="dxa"/>
            <w:tcBorders>
              <w:top w:val="single" w:sz="7" w:space="0" w:color="000000"/>
              <w:left w:val="single" w:sz="7" w:space="0" w:color="000000"/>
              <w:bottom w:val="single" w:sz="7" w:space="0" w:color="000000"/>
              <w:right w:val="single" w:sz="7" w:space="0" w:color="000000"/>
            </w:tcBorders>
          </w:tcPr>
          <w:p w:rsidR="0032356F" w:rsidRPr="00CF2B37" w:rsidP="001F4553" w14:paraId="1EAC8369" w14:textId="77777777">
            <w:pPr>
              <w:pBdr>
                <w:top w:val="single" w:sz="6" w:space="0" w:color="FFFFFF"/>
                <w:left w:val="single" w:sz="6" w:space="0" w:color="FFFFFF"/>
                <w:bottom w:val="single" w:sz="6" w:space="0" w:color="FFFFFF"/>
                <w:right w:val="single" w:sz="6" w:space="0" w:color="FFFFFF"/>
              </w:pBdr>
              <w:spacing w:after="58"/>
            </w:pPr>
            <w:r w:rsidRPr="00AC1644">
              <w:t>§§60.636(a)-(c), §60.487(a)</w:t>
            </w:r>
          </w:p>
        </w:tc>
      </w:tr>
      <w:tr w14:paraId="1C47BFB7" w14:textId="77777777" w:rsidTr="001F4553">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32356F" w:rsidRPr="00CF2B37" w:rsidP="001F4553" w14:paraId="5F614DCC" w14:textId="77777777">
            <w:pPr>
              <w:pBdr>
                <w:top w:val="single" w:sz="6" w:space="0" w:color="FFFFFF"/>
                <w:left w:val="single" w:sz="6" w:space="0" w:color="FFFFFF"/>
                <w:bottom w:val="single" w:sz="6" w:space="0" w:color="FFFFFF"/>
                <w:right w:val="single" w:sz="6" w:space="0" w:color="FFFFFF"/>
              </w:pBdr>
              <w:spacing w:after="58"/>
            </w:pPr>
            <w:r w:rsidRPr="00AC1644">
              <w:t>Semiannual report on excess emissions from and performance of continuous monitoring system, and/or summary report forms (Subpart LLL)</w:t>
            </w:r>
          </w:p>
        </w:tc>
        <w:tc>
          <w:tcPr>
            <w:tcW w:w="2070" w:type="dxa"/>
            <w:tcBorders>
              <w:top w:val="single" w:sz="7" w:space="0" w:color="000000"/>
              <w:left w:val="single" w:sz="7" w:space="0" w:color="000000"/>
              <w:bottom w:val="single" w:sz="7" w:space="0" w:color="000000"/>
              <w:right w:val="single" w:sz="7" w:space="0" w:color="000000"/>
            </w:tcBorders>
          </w:tcPr>
          <w:p w:rsidR="0032356F" w:rsidRPr="00CF2B37" w:rsidP="001F4553" w14:paraId="32F280E6" w14:textId="77777777">
            <w:pPr>
              <w:pBdr>
                <w:top w:val="single" w:sz="6" w:space="0" w:color="FFFFFF"/>
                <w:left w:val="single" w:sz="6" w:space="0" w:color="FFFFFF"/>
                <w:bottom w:val="single" w:sz="6" w:space="0" w:color="FFFFFF"/>
                <w:right w:val="single" w:sz="6" w:space="0" w:color="FFFFFF"/>
              </w:pBdr>
              <w:spacing w:after="58"/>
            </w:pPr>
            <w:r w:rsidRPr="00AC1644">
              <w:t>§60.647(b)</w:t>
            </w:r>
          </w:p>
        </w:tc>
      </w:tr>
    </w:tbl>
    <w:p w:rsidR="0032356F" w:rsidP="0032356F" w14:paraId="65D6CA40" w14:textId="77777777">
      <w:pPr>
        <w:pBdr>
          <w:top w:val="single" w:sz="6" w:space="0" w:color="FFFFFF"/>
          <w:left w:val="single" w:sz="6" w:space="0" w:color="FFFFFF"/>
          <w:bottom w:val="single" w:sz="6" w:space="0" w:color="FFFFFF"/>
          <w:right w:val="single" w:sz="6" w:space="0" w:color="FFFFFF"/>
        </w:pBdr>
        <w:ind w:firstLine="720"/>
        <w:rPr>
          <w:color w:val="000000"/>
        </w:rPr>
      </w:pPr>
    </w:p>
    <w:p w:rsidR="0032356F" w:rsidP="0032356F" w14:paraId="1A40E7FB" w14:textId="7FA130B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tbl>
      <w:tblPr>
        <w:tblW w:w="9360" w:type="dxa"/>
        <w:jc w:val="center"/>
        <w:tblLayout w:type="fixed"/>
        <w:tblCellMar>
          <w:left w:w="120" w:type="dxa"/>
          <w:right w:w="120" w:type="dxa"/>
        </w:tblCellMar>
        <w:tblLook w:val="0000"/>
      </w:tblPr>
      <w:tblGrid>
        <w:gridCol w:w="7281"/>
        <w:gridCol w:w="2079"/>
      </w:tblGrid>
      <w:tr w14:paraId="175066A9" w14:textId="77777777" w:rsidTr="001F455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2356F" w:rsidRPr="00CF2B37" w:rsidP="001F4553" w14:paraId="02FF4D98"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1E6C8319"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E116DC" w:rsidP="001F4553" w14:paraId="027F1BD8" w14:textId="77777777">
            <w:pPr>
              <w:pBdr>
                <w:top w:val="single" w:sz="6" w:space="0" w:color="FFFFFF"/>
                <w:left w:val="single" w:sz="6" w:space="0" w:color="FFFFFF"/>
                <w:bottom w:val="single" w:sz="6" w:space="0" w:color="FFFFFF"/>
                <w:right w:val="single" w:sz="6" w:space="0" w:color="FFFFFF"/>
              </w:pBdr>
              <w:spacing w:after="58"/>
            </w:pPr>
            <w:r w:rsidRPr="00AC1644">
              <w:t>Maintain records of startups, shutdowns, malfunctions of affected facilities; malfunctions of control devices; and periods where the continuous monitoring system is inoperative.</w:t>
            </w:r>
          </w:p>
        </w:tc>
        <w:tc>
          <w:tcPr>
            <w:tcW w:w="2079" w:type="dxa"/>
            <w:tcBorders>
              <w:top w:val="single" w:sz="7" w:space="0" w:color="000000"/>
              <w:left w:val="single" w:sz="7" w:space="0" w:color="000000"/>
              <w:bottom w:val="single" w:sz="7" w:space="0" w:color="000000"/>
              <w:right w:val="single" w:sz="7" w:space="0" w:color="000000"/>
            </w:tcBorders>
          </w:tcPr>
          <w:p w:rsidR="0032356F" w:rsidRPr="00E116DC" w:rsidP="001F4553" w14:paraId="615BEBA8" w14:textId="77777777">
            <w:pPr>
              <w:pBdr>
                <w:top w:val="single" w:sz="6" w:space="0" w:color="FFFFFF"/>
                <w:left w:val="single" w:sz="6" w:space="0" w:color="FFFFFF"/>
                <w:bottom w:val="single" w:sz="6" w:space="0" w:color="FFFFFF"/>
                <w:right w:val="single" w:sz="6" w:space="0" w:color="FFFFFF"/>
              </w:pBdr>
              <w:spacing w:after="58"/>
            </w:pPr>
            <w:r w:rsidRPr="00AC1644">
              <w:t>§60.7(b)</w:t>
            </w:r>
          </w:p>
        </w:tc>
      </w:tr>
      <w:tr w14:paraId="4D619C78"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43EE1240" w14:textId="77777777">
            <w:pPr>
              <w:pBdr>
                <w:top w:val="single" w:sz="6" w:space="0" w:color="FFFFFF"/>
                <w:left w:val="single" w:sz="6" w:space="0" w:color="FFFFFF"/>
                <w:bottom w:val="single" w:sz="6" w:space="0" w:color="FFFFFF"/>
                <w:right w:val="single" w:sz="6" w:space="0" w:color="FFFFFF"/>
              </w:pBdr>
              <w:spacing w:after="58"/>
            </w:pPr>
            <w:r w:rsidRPr="00AC1644">
              <w:t>Keep records of measurements, performance evaluations, calibration checks, adjustments and maintenance related to continuous monitoring systems.</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1F3EF59F" w14:textId="77777777">
            <w:pPr>
              <w:pBdr>
                <w:top w:val="single" w:sz="6" w:space="0" w:color="FFFFFF"/>
                <w:left w:val="single" w:sz="6" w:space="0" w:color="FFFFFF"/>
                <w:bottom w:val="single" w:sz="6" w:space="0" w:color="FFFFFF"/>
                <w:right w:val="single" w:sz="6" w:space="0" w:color="FFFFFF"/>
              </w:pBdr>
              <w:spacing w:after="58"/>
            </w:pPr>
            <w:r w:rsidRPr="00AC1644">
              <w:t>§60.7(f)</w:t>
            </w:r>
          </w:p>
        </w:tc>
      </w:tr>
      <w:tr w14:paraId="2C48238A"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34BC7AEA" w14:textId="77777777">
            <w:pPr>
              <w:pBdr>
                <w:top w:val="single" w:sz="6" w:space="0" w:color="FFFFFF"/>
                <w:left w:val="single" w:sz="6" w:space="0" w:color="FFFFFF"/>
                <w:bottom w:val="single" w:sz="6" w:space="0" w:color="FFFFFF"/>
                <w:right w:val="single" w:sz="6" w:space="0" w:color="FFFFFF"/>
              </w:pBdr>
              <w:spacing w:after="58"/>
            </w:pPr>
            <w:r w:rsidRPr="00AC1644">
              <w:t>Keep records of parts of closed vent systems designated as unsafe or difficult to inspect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3DC43C3F" w14:textId="77777777">
            <w:pPr>
              <w:pBdr>
                <w:top w:val="single" w:sz="6" w:space="0" w:color="FFFFFF"/>
                <w:left w:val="single" w:sz="6" w:space="0" w:color="FFFFFF"/>
                <w:bottom w:val="single" w:sz="6" w:space="0" w:color="FFFFFF"/>
                <w:right w:val="single" w:sz="6" w:space="0" w:color="FFFFFF"/>
              </w:pBdr>
              <w:spacing w:after="58"/>
            </w:pPr>
            <w:r w:rsidRPr="00AC1644">
              <w:t>§60.632(a), §§60.482-10(l)(1)-(2)</w:t>
            </w:r>
          </w:p>
        </w:tc>
      </w:tr>
      <w:tr w14:paraId="2C9E8FE8"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66883920" w14:textId="77777777">
            <w:pPr>
              <w:pBdr>
                <w:top w:val="single" w:sz="6" w:space="0" w:color="FFFFFF"/>
                <w:left w:val="single" w:sz="6" w:space="0" w:color="FFFFFF"/>
                <w:bottom w:val="single" w:sz="6" w:space="0" w:color="FFFFFF"/>
                <w:right w:val="single" w:sz="6" w:space="0" w:color="FFFFFF"/>
              </w:pBdr>
              <w:spacing w:after="58"/>
            </w:pPr>
            <w:r w:rsidRPr="00AC1644">
              <w:t>Keep records of inspections of closed vent systems during which no leaks are detected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13047238" w14:textId="77777777">
            <w:pPr>
              <w:pBdr>
                <w:top w:val="single" w:sz="6" w:space="0" w:color="FFFFFF"/>
                <w:left w:val="single" w:sz="6" w:space="0" w:color="FFFFFF"/>
                <w:bottom w:val="single" w:sz="6" w:space="0" w:color="FFFFFF"/>
                <w:right w:val="single" w:sz="6" w:space="0" w:color="FFFFFF"/>
              </w:pBdr>
              <w:spacing w:after="58"/>
            </w:pPr>
            <w:r w:rsidRPr="00AC1644">
              <w:t>§60.632(a), §§60.482-10(l)(4)-(5)</w:t>
            </w:r>
          </w:p>
        </w:tc>
      </w:tr>
      <w:tr w14:paraId="0555F285"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5A038EA5" w14:textId="77777777">
            <w:pPr>
              <w:pBdr>
                <w:top w:val="single" w:sz="6" w:space="0" w:color="FFFFFF"/>
                <w:left w:val="single" w:sz="6" w:space="0" w:color="FFFFFF"/>
                <w:bottom w:val="single" w:sz="6" w:space="0" w:color="FFFFFF"/>
                <w:right w:val="single" w:sz="6" w:space="0" w:color="FFFFFF"/>
              </w:pBdr>
              <w:spacing w:after="58"/>
            </w:pPr>
            <w:r w:rsidRPr="00AC1644">
              <w:t>Perform attachment of identification numbers to leaking equipment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AC1644" w:rsidP="001F4553" w14:paraId="55844833" w14:textId="77777777">
            <w:pPr>
              <w:pBdr>
                <w:top w:val="single" w:sz="6" w:space="0" w:color="FFFFFF"/>
                <w:left w:val="single" w:sz="6" w:space="0" w:color="FFFFFF"/>
                <w:bottom w:val="single" w:sz="6" w:space="0" w:color="FFFFFF"/>
                <w:right w:val="single" w:sz="6" w:space="0" w:color="FFFFFF"/>
              </w:pBdr>
              <w:spacing w:after="58"/>
            </w:pPr>
            <w:r w:rsidRPr="00AC1644">
              <w:t xml:space="preserve">§60.635(a), </w:t>
            </w:r>
            <w:r w:rsidRPr="00AE68CA">
              <w:t>§60.635</w:t>
            </w:r>
            <w:r w:rsidRPr="00AC1644">
              <w:t xml:space="preserve">(b)(1), </w:t>
            </w:r>
          </w:p>
          <w:p w:rsidR="0032356F" w:rsidRPr="00CF2B37" w:rsidP="001F4553" w14:paraId="4ED2BAD2" w14:textId="77777777">
            <w:pPr>
              <w:pBdr>
                <w:top w:val="single" w:sz="6" w:space="0" w:color="FFFFFF"/>
                <w:left w:val="single" w:sz="6" w:space="0" w:color="FFFFFF"/>
                <w:bottom w:val="single" w:sz="6" w:space="0" w:color="FFFFFF"/>
                <w:right w:val="single" w:sz="6" w:space="0" w:color="FFFFFF"/>
              </w:pBdr>
              <w:spacing w:after="58"/>
            </w:pPr>
            <w:r w:rsidRPr="00AC1644">
              <w:t>§60.486(b)(1)</w:t>
            </w:r>
          </w:p>
        </w:tc>
      </w:tr>
      <w:tr w14:paraId="17839F2E"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4D457ED4" w14:textId="77777777">
            <w:pPr>
              <w:pBdr>
                <w:top w:val="single" w:sz="6" w:space="0" w:color="FFFFFF"/>
                <w:left w:val="single" w:sz="6" w:space="0" w:color="FFFFFF"/>
                <w:bottom w:val="single" w:sz="6" w:space="0" w:color="FFFFFF"/>
                <w:right w:val="single" w:sz="6" w:space="0" w:color="FFFFFF"/>
              </w:pBdr>
              <w:spacing w:after="58"/>
            </w:pPr>
            <w:r w:rsidRPr="00AC1644">
              <w:t>Keep records of leak detection and repair for two years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7E1F72CA" w14:textId="77777777">
            <w:pPr>
              <w:pBdr>
                <w:top w:val="single" w:sz="6" w:space="0" w:color="FFFFFF"/>
                <w:left w:val="single" w:sz="6" w:space="0" w:color="FFFFFF"/>
                <w:bottom w:val="single" w:sz="6" w:space="0" w:color="FFFFFF"/>
                <w:right w:val="single" w:sz="6" w:space="0" w:color="FFFFFF"/>
              </w:pBdr>
              <w:spacing w:after="58"/>
            </w:pPr>
            <w:r w:rsidRPr="00AC1644">
              <w:t>§60.632(a), §60.486(c), §60.635(a), §60.635(b)(2), §60.482-10(l)(3)</w:t>
            </w:r>
          </w:p>
        </w:tc>
      </w:tr>
      <w:tr w14:paraId="1B463D20"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2F7E5B7D" w14:textId="77777777">
            <w:pPr>
              <w:pBdr>
                <w:top w:val="single" w:sz="6" w:space="0" w:color="FFFFFF"/>
                <w:left w:val="single" w:sz="6" w:space="0" w:color="FFFFFF"/>
                <w:bottom w:val="single" w:sz="6" w:space="0" w:color="FFFFFF"/>
                <w:right w:val="single" w:sz="6" w:space="0" w:color="FFFFFF"/>
              </w:pBdr>
              <w:spacing w:after="58"/>
            </w:pPr>
            <w:r w:rsidRPr="00AC1644">
              <w:t>Keep records of design requirements for and operation of closed vent systems and control devices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1D889198" w14:textId="77777777">
            <w:pPr>
              <w:pBdr>
                <w:top w:val="single" w:sz="6" w:space="0" w:color="FFFFFF"/>
                <w:left w:val="single" w:sz="6" w:space="0" w:color="FFFFFF"/>
                <w:bottom w:val="single" w:sz="6" w:space="0" w:color="FFFFFF"/>
                <w:right w:val="single" w:sz="6" w:space="0" w:color="FFFFFF"/>
              </w:pBdr>
              <w:spacing w:after="58"/>
            </w:pPr>
            <w:r w:rsidRPr="00AC1644">
              <w:t>§60.635(a), §60.486(d)</w:t>
            </w:r>
          </w:p>
        </w:tc>
      </w:tr>
      <w:tr w14:paraId="6C86AC24"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70A3C459" w14:textId="77777777">
            <w:pPr>
              <w:pBdr>
                <w:top w:val="single" w:sz="6" w:space="0" w:color="FFFFFF"/>
                <w:left w:val="single" w:sz="6" w:space="0" w:color="FFFFFF"/>
                <w:bottom w:val="single" w:sz="6" w:space="0" w:color="FFFFFF"/>
                <w:right w:val="single" w:sz="6" w:space="0" w:color="FFFFFF"/>
              </w:pBdr>
              <w:spacing w:after="58"/>
            </w:pPr>
            <w:r w:rsidRPr="00AC1644">
              <w:t>Keep records listing all equipment subject to the standard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55B06E5C" w14:textId="77777777">
            <w:pPr>
              <w:pBdr>
                <w:top w:val="single" w:sz="6" w:space="0" w:color="FFFFFF"/>
                <w:left w:val="single" w:sz="6" w:space="0" w:color="FFFFFF"/>
                <w:bottom w:val="single" w:sz="6" w:space="0" w:color="FFFFFF"/>
                <w:right w:val="single" w:sz="6" w:space="0" w:color="FFFFFF"/>
              </w:pBdr>
              <w:spacing w:after="58"/>
            </w:pPr>
            <w:r w:rsidRPr="00AC1644">
              <w:t>§60.635(a), §60.486(e)</w:t>
            </w:r>
          </w:p>
        </w:tc>
      </w:tr>
      <w:tr w14:paraId="51E844BF"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0586D06D" w14:textId="77777777">
            <w:pPr>
              <w:pBdr>
                <w:top w:val="single" w:sz="6" w:space="0" w:color="FFFFFF"/>
                <w:left w:val="single" w:sz="6" w:space="0" w:color="FFFFFF"/>
                <w:bottom w:val="single" w:sz="6" w:space="0" w:color="FFFFFF"/>
                <w:right w:val="single" w:sz="6" w:space="0" w:color="FFFFFF"/>
              </w:pBdr>
              <w:spacing w:after="58"/>
            </w:pPr>
            <w:r w:rsidRPr="00AC1644">
              <w:t>Keep records of compliance tests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1FF69614" w14:textId="77777777">
            <w:pPr>
              <w:pBdr>
                <w:top w:val="single" w:sz="6" w:space="0" w:color="FFFFFF"/>
                <w:left w:val="single" w:sz="6" w:space="0" w:color="FFFFFF"/>
                <w:bottom w:val="single" w:sz="6" w:space="0" w:color="FFFFFF"/>
                <w:right w:val="single" w:sz="6" w:space="0" w:color="FFFFFF"/>
              </w:pBdr>
              <w:spacing w:after="58"/>
            </w:pPr>
            <w:r w:rsidRPr="00AC1644">
              <w:t>§60.635(a), §60.486(e)(4)</w:t>
            </w:r>
          </w:p>
        </w:tc>
      </w:tr>
      <w:tr w14:paraId="5AFC4573"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56A2382A" w14:textId="77777777">
            <w:pPr>
              <w:pBdr>
                <w:top w:val="single" w:sz="6" w:space="0" w:color="FFFFFF"/>
                <w:left w:val="single" w:sz="6" w:space="0" w:color="FFFFFF"/>
                <w:bottom w:val="single" w:sz="6" w:space="0" w:color="FFFFFF"/>
                <w:right w:val="single" w:sz="6" w:space="0" w:color="FFFFFF"/>
              </w:pBdr>
              <w:spacing w:after="58"/>
            </w:pPr>
            <w:r w:rsidRPr="00AC1644">
              <w:t>Keep records of valves designated as unsafe or difficult to monitor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285188DD" w14:textId="77777777">
            <w:pPr>
              <w:pBdr>
                <w:top w:val="single" w:sz="6" w:space="0" w:color="FFFFFF"/>
                <w:left w:val="single" w:sz="6" w:space="0" w:color="FFFFFF"/>
                <w:bottom w:val="single" w:sz="6" w:space="0" w:color="FFFFFF"/>
                <w:right w:val="single" w:sz="6" w:space="0" w:color="FFFFFF"/>
              </w:pBdr>
              <w:spacing w:after="58"/>
            </w:pPr>
            <w:r w:rsidRPr="00AC1644">
              <w:t>§60.635(a), §60.486(f)</w:t>
            </w:r>
          </w:p>
        </w:tc>
      </w:tr>
      <w:tr w14:paraId="6C74940A"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1B012B57" w14:textId="77777777">
            <w:pPr>
              <w:pBdr>
                <w:top w:val="single" w:sz="6" w:space="0" w:color="FFFFFF"/>
                <w:left w:val="single" w:sz="6" w:space="0" w:color="FFFFFF"/>
                <w:bottom w:val="single" w:sz="6" w:space="0" w:color="FFFFFF"/>
                <w:right w:val="single" w:sz="6" w:space="0" w:color="FFFFFF"/>
              </w:pBdr>
              <w:spacing w:after="58"/>
            </w:pPr>
            <w:r w:rsidRPr="00AC1644">
              <w:t>Keep records of design criterion that indicate failure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16E864ED" w14:textId="77777777">
            <w:pPr>
              <w:pBdr>
                <w:top w:val="single" w:sz="6" w:space="0" w:color="FFFFFF"/>
                <w:left w:val="single" w:sz="6" w:space="0" w:color="FFFFFF"/>
                <w:bottom w:val="single" w:sz="6" w:space="0" w:color="FFFFFF"/>
                <w:right w:val="single" w:sz="6" w:space="0" w:color="FFFFFF"/>
              </w:pBdr>
              <w:spacing w:after="58"/>
            </w:pPr>
            <w:r w:rsidRPr="00AC1644">
              <w:t>§60.635(a), §60.486(h)</w:t>
            </w:r>
          </w:p>
        </w:tc>
      </w:tr>
      <w:tr w14:paraId="645A1441"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4F602976" w14:textId="77777777">
            <w:pPr>
              <w:pBdr>
                <w:top w:val="single" w:sz="6" w:space="0" w:color="FFFFFF"/>
                <w:left w:val="single" w:sz="6" w:space="0" w:color="FFFFFF"/>
                <w:bottom w:val="single" w:sz="6" w:space="0" w:color="FFFFFF"/>
                <w:right w:val="single" w:sz="6" w:space="0" w:color="FFFFFF"/>
              </w:pBdr>
              <w:spacing w:after="58"/>
            </w:pPr>
            <w:r w:rsidRPr="00AC1644">
              <w:t>Keep records of parts not in VOC service or otherwise exempt (Subpart KKK).</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37236803" w14:textId="77777777">
            <w:pPr>
              <w:pBdr>
                <w:top w:val="single" w:sz="6" w:space="0" w:color="FFFFFF"/>
                <w:left w:val="single" w:sz="6" w:space="0" w:color="FFFFFF"/>
                <w:bottom w:val="single" w:sz="6" w:space="0" w:color="FFFFFF"/>
                <w:right w:val="single" w:sz="6" w:space="0" w:color="FFFFFF"/>
              </w:pBdr>
              <w:spacing w:after="58"/>
            </w:pPr>
            <w:r w:rsidRPr="00AC1644">
              <w:t>§§60.635(a), (c), §60.486(j)</w:t>
            </w:r>
          </w:p>
        </w:tc>
      </w:tr>
      <w:tr w14:paraId="76C4C26C"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6EC7E14B" w14:textId="77777777">
            <w:pPr>
              <w:pBdr>
                <w:top w:val="single" w:sz="6" w:space="0" w:color="FFFFFF"/>
                <w:left w:val="single" w:sz="6" w:space="0" w:color="FFFFFF"/>
                <w:bottom w:val="single" w:sz="6" w:space="0" w:color="FFFFFF"/>
                <w:right w:val="single" w:sz="6" w:space="0" w:color="FFFFFF"/>
              </w:pBdr>
              <w:spacing w:after="58"/>
            </w:pPr>
            <w:r w:rsidRPr="00AC1644">
              <w:t>Keep records of calculations and measurements (Subpart LLL).</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051AF8BB" w14:textId="77777777">
            <w:pPr>
              <w:pBdr>
                <w:top w:val="single" w:sz="6" w:space="0" w:color="FFFFFF"/>
                <w:left w:val="single" w:sz="6" w:space="0" w:color="FFFFFF"/>
                <w:bottom w:val="single" w:sz="6" w:space="0" w:color="FFFFFF"/>
                <w:right w:val="single" w:sz="6" w:space="0" w:color="FFFFFF"/>
              </w:pBdr>
              <w:spacing w:after="58"/>
            </w:pPr>
            <w:r w:rsidRPr="00AC1644">
              <w:t>§60.647(a)</w:t>
            </w:r>
          </w:p>
        </w:tc>
      </w:tr>
      <w:tr w14:paraId="5D9171EA" w14:textId="77777777" w:rsidTr="001F4553">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32356F" w:rsidRPr="00CF2B37" w:rsidP="001F4553" w14:paraId="756394AE" w14:textId="77777777">
            <w:pPr>
              <w:pBdr>
                <w:top w:val="single" w:sz="6" w:space="0" w:color="FFFFFF"/>
                <w:left w:val="single" w:sz="6" w:space="0" w:color="FFFFFF"/>
                <w:bottom w:val="single" w:sz="6" w:space="0" w:color="FFFFFF"/>
                <w:right w:val="single" w:sz="6" w:space="0" w:color="FFFFFF"/>
              </w:pBdr>
              <w:spacing w:after="58"/>
            </w:pPr>
            <w:r w:rsidRPr="00AC1644">
              <w:t>Facilities that choose to comply with §60.646(e) shall keep, for the life of the facility, records demonstrating that the facility design capacity is less than 150 long tons per day (LT/D) of hydrogen sulfide expressed as sulfur (Subpart LLL).</w:t>
            </w:r>
          </w:p>
        </w:tc>
        <w:tc>
          <w:tcPr>
            <w:tcW w:w="2079" w:type="dxa"/>
            <w:tcBorders>
              <w:top w:val="single" w:sz="7" w:space="0" w:color="000000"/>
              <w:left w:val="single" w:sz="7" w:space="0" w:color="000000"/>
              <w:bottom w:val="single" w:sz="7" w:space="0" w:color="000000"/>
              <w:right w:val="single" w:sz="7" w:space="0" w:color="000000"/>
            </w:tcBorders>
          </w:tcPr>
          <w:p w:rsidR="0032356F" w:rsidRPr="00CF2B37" w:rsidP="001F4553" w14:paraId="084BC356" w14:textId="77777777">
            <w:pPr>
              <w:pBdr>
                <w:top w:val="single" w:sz="6" w:space="0" w:color="FFFFFF"/>
                <w:left w:val="single" w:sz="6" w:space="0" w:color="FFFFFF"/>
                <w:bottom w:val="single" w:sz="6" w:space="0" w:color="FFFFFF"/>
                <w:right w:val="single" w:sz="6" w:space="0" w:color="FFFFFF"/>
              </w:pBdr>
              <w:spacing w:after="58"/>
            </w:pPr>
            <w:r w:rsidRPr="00AC1644">
              <w:t>§60.647(d)</w:t>
            </w:r>
          </w:p>
        </w:tc>
      </w:tr>
    </w:tbl>
    <w:p w:rsidR="00BB3410" w:rsidRPr="00BB3410" w:rsidP="00854AAE" w14:paraId="42074A5E" w14:textId="66E5A0F2">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1" w:name="_Toc156593385"/>
      <w:bookmarkEnd w:id="20"/>
    </w:p>
    <w:p w:rsidR="00962FC7" w:rsidP="00962FC7" w14:paraId="1D84A26A" w14:textId="77777777">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9445" w:type="dxa"/>
        <w:tblLook w:val="04A0"/>
      </w:tblPr>
      <w:tblGrid>
        <w:gridCol w:w="9445"/>
      </w:tblGrid>
      <w:tr w14:paraId="2D5B1B16" w14:textId="77777777" w:rsidTr="001F4553">
        <w:tblPrEx>
          <w:tblW w:w="9445" w:type="dxa"/>
          <w:tblLook w:val="04A0"/>
        </w:tblPrEx>
        <w:trPr>
          <w:cantSplit/>
          <w:trHeight w:val="521"/>
          <w:tblHeader/>
        </w:trPr>
        <w:tc>
          <w:tcPr>
            <w:tcW w:w="9445" w:type="dxa"/>
          </w:tcPr>
          <w:p w:rsidR="00962FC7" w:rsidP="001F4553" w14:paraId="04578A23" w14:textId="77777777">
            <w:pPr>
              <w:jc w:val="center"/>
              <w:outlineLvl w:val="0"/>
              <w:rPr>
                <w:b/>
                <w:bCs/>
                <w:color w:val="000000"/>
              </w:rPr>
            </w:pPr>
            <w:r w:rsidRPr="00B04A5C">
              <w:rPr>
                <w:b/>
                <w:bCs/>
                <w:color w:val="000000"/>
              </w:rPr>
              <w:t>Respondent Activities</w:t>
            </w:r>
          </w:p>
        </w:tc>
      </w:tr>
      <w:tr w14:paraId="571CA249" w14:textId="77777777" w:rsidTr="001F4553">
        <w:tblPrEx>
          <w:tblW w:w="9445" w:type="dxa"/>
          <w:tblLook w:val="04A0"/>
        </w:tblPrEx>
        <w:trPr>
          <w:trHeight w:val="432"/>
        </w:trPr>
        <w:tc>
          <w:tcPr>
            <w:tcW w:w="9445" w:type="dxa"/>
            <w:vAlign w:val="center"/>
          </w:tcPr>
          <w:p w:rsidR="00962FC7" w:rsidRPr="00B04A5C" w:rsidP="001F4553" w14:paraId="1B2AE194" w14:textId="77777777">
            <w:pPr>
              <w:outlineLvl w:val="0"/>
              <w:rPr>
                <w:color w:val="000000"/>
              </w:rPr>
            </w:pPr>
            <w:r w:rsidRPr="00B04A5C">
              <w:rPr>
                <w:color w:val="000000"/>
              </w:rPr>
              <w:t>Familiarization with the regulatory requirements.</w:t>
            </w:r>
          </w:p>
        </w:tc>
      </w:tr>
      <w:tr w14:paraId="653CE7A6" w14:textId="77777777" w:rsidTr="001F4553">
        <w:tblPrEx>
          <w:tblW w:w="9445" w:type="dxa"/>
          <w:tblLook w:val="04A0"/>
        </w:tblPrEx>
        <w:trPr>
          <w:trHeight w:val="719"/>
        </w:trPr>
        <w:tc>
          <w:tcPr>
            <w:tcW w:w="9445" w:type="dxa"/>
            <w:vAlign w:val="center"/>
          </w:tcPr>
          <w:p w:rsidR="00962FC7" w:rsidRPr="00B04A5C" w:rsidP="001F4553" w14:paraId="008ABB37" w14:textId="77777777">
            <w:pPr>
              <w:outlineLvl w:val="0"/>
              <w:rPr>
                <w:color w:val="000000"/>
              </w:rPr>
            </w:pPr>
            <w:r w:rsidRPr="00AC1644">
              <w:t>Install, calibrate, maintain, and operate temperature sensors, sulfur emission rate monitoring systems, and pressure relief device(s) in gas/vapor service for VOC and SO</w:t>
            </w:r>
            <w:r w:rsidRPr="00AC1644">
              <w:rPr>
                <w:vertAlign w:val="subscript"/>
              </w:rPr>
              <w:t>2</w:t>
            </w:r>
            <w:r w:rsidRPr="00AC1644">
              <w:t xml:space="preserve"> control devices.</w:t>
            </w:r>
          </w:p>
        </w:tc>
      </w:tr>
      <w:tr w14:paraId="5F09EAB4" w14:textId="77777777" w:rsidTr="001F4553">
        <w:tblPrEx>
          <w:tblW w:w="9445" w:type="dxa"/>
          <w:tblLook w:val="04A0"/>
        </w:tblPrEx>
        <w:trPr>
          <w:trHeight w:val="701"/>
        </w:trPr>
        <w:tc>
          <w:tcPr>
            <w:tcW w:w="9445" w:type="dxa"/>
            <w:vAlign w:val="center"/>
          </w:tcPr>
          <w:p w:rsidR="00962FC7" w:rsidRPr="00B04A5C" w:rsidP="001F4553" w14:paraId="6C8FADC2" w14:textId="77777777">
            <w:pPr>
              <w:outlineLvl w:val="0"/>
              <w:rPr>
                <w:color w:val="000000"/>
              </w:rPr>
            </w:pPr>
            <w:r w:rsidRPr="00AC1644">
              <w:t xml:space="preserve">Perform initial performance test, Reference Methods 1, 2, 6, 15, 16, </w:t>
            </w:r>
            <w:r>
              <w:t xml:space="preserve">16A, </w:t>
            </w:r>
            <w:r w:rsidRPr="00AC1644">
              <w:t>and ASTM Method D86-78, 82, 90, 95, or 96 tests, and repeat performance tests if necessary.</w:t>
            </w:r>
          </w:p>
        </w:tc>
      </w:tr>
      <w:tr w14:paraId="6AE26DA7" w14:textId="77777777" w:rsidTr="001F4553">
        <w:tblPrEx>
          <w:tblW w:w="9445" w:type="dxa"/>
          <w:tblLook w:val="04A0"/>
        </w:tblPrEx>
        <w:trPr>
          <w:trHeight w:val="432"/>
        </w:trPr>
        <w:tc>
          <w:tcPr>
            <w:tcW w:w="9445" w:type="dxa"/>
            <w:vAlign w:val="center"/>
          </w:tcPr>
          <w:p w:rsidR="00962FC7" w:rsidRPr="00B04A5C" w:rsidP="001F4553" w14:paraId="1A7DE5B7" w14:textId="77777777">
            <w:pPr>
              <w:outlineLvl w:val="0"/>
              <w:rPr>
                <w:color w:val="000000"/>
              </w:rPr>
            </w:pPr>
            <w:r w:rsidRPr="00B04A5C">
              <w:rPr>
                <w:color w:val="000000"/>
              </w:rPr>
              <w:t>Write the notifications and reports listed above.</w:t>
            </w:r>
          </w:p>
        </w:tc>
      </w:tr>
      <w:tr w14:paraId="026E6A71" w14:textId="77777777" w:rsidTr="001F4553">
        <w:tblPrEx>
          <w:tblW w:w="9445" w:type="dxa"/>
          <w:tblLook w:val="04A0"/>
        </w:tblPrEx>
        <w:trPr>
          <w:trHeight w:val="432"/>
        </w:trPr>
        <w:tc>
          <w:tcPr>
            <w:tcW w:w="9445" w:type="dxa"/>
            <w:vAlign w:val="center"/>
          </w:tcPr>
          <w:p w:rsidR="00962FC7" w:rsidRPr="00B04A5C" w:rsidP="001F4553" w14:paraId="0B958726" w14:textId="77777777">
            <w:pPr>
              <w:outlineLvl w:val="0"/>
              <w:rPr>
                <w:color w:val="000000"/>
              </w:rPr>
            </w:pPr>
            <w:r w:rsidRPr="00B04A5C">
              <w:rPr>
                <w:color w:val="000000"/>
              </w:rPr>
              <w:t>Enter information required to be recorded above.</w:t>
            </w:r>
          </w:p>
        </w:tc>
      </w:tr>
      <w:tr w14:paraId="5BB399EF" w14:textId="77777777" w:rsidTr="001F4553">
        <w:tblPrEx>
          <w:tblW w:w="9445" w:type="dxa"/>
          <w:tblLook w:val="04A0"/>
        </w:tblPrEx>
        <w:trPr>
          <w:trHeight w:val="692"/>
        </w:trPr>
        <w:tc>
          <w:tcPr>
            <w:tcW w:w="9445" w:type="dxa"/>
            <w:vAlign w:val="center"/>
          </w:tcPr>
          <w:p w:rsidR="00962FC7" w:rsidRPr="00B04A5C" w:rsidP="001F4553" w14:paraId="60F615E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771BCAFE" w14:textId="77777777" w:rsidTr="001F4553">
        <w:tblPrEx>
          <w:tblW w:w="9445" w:type="dxa"/>
          <w:tblLook w:val="04A0"/>
        </w:tblPrEx>
        <w:trPr>
          <w:trHeight w:val="764"/>
        </w:trPr>
        <w:tc>
          <w:tcPr>
            <w:tcW w:w="9445" w:type="dxa"/>
            <w:vAlign w:val="center"/>
          </w:tcPr>
          <w:p w:rsidR="00962FC7" w:rsidRPr="00B04A5C" w:rsidP="001F4553" w14:paraId="14255432" w14:textId="77777777">
            <w:pPr>
              <w:outlineLvl w:val="0"/>
              <w:rPr>
                <w:color w:val="000000"/>
              </w:rPr>
            </w:pPr>
            <w:r w:rsidRPr="00B04A5C">
              <w:rPr>
                <w:color w:val="000000"/>
              </w:rPr>
              <w:t>Develop, acquire, install, and utilize technology and systems for processing and maintaining information.</w:t>
            </w:r>
          </w:p>
        </w:tc>
      </w:tr>
      <w:tr w14:paraId="4D70218E" w14:textId="77777777" w:rsidTr="001F4553">
        <w:tblPrEx>
          <w:tblW w:w="9445" w:type="dxa"/>
          <w:tblLook w:val="04A0"/>
        </w:tblPrEx>
        <w:trPr>
          <w:trHeight w:val="728"/>
        </w:trPr>
        <w:tc>
          <w:tcPr>
            <w:tcW w:w="9445" w:type="dxa"/>
            <w:vAlign w:val="center"/>
          </w:tcPr>
          <w:p w:rsidR="00962FC7" w:rsidRPr="00B04A5C" w:rsidP="001F4553" w14:paraId="00476165" w14:textId="77777777">
            <w:pPr>
              <w:outlineLvl w:val="0"/>
              <w:rPr>
                <w:color w:val="000000"/>
              </w:rPr>
            </w:pPr>
            <w:r w:rsidRPr="00B04A5C">
              <w:rPr>
                <w:color w:val="000000"/>
              </w:rPr>
              <w:t>Develop, acquire, install, and utilize technology and systems for disclosing and providing information.</w:t>
            </w:r>
          </w:p>
        </w:tc>
      </w:tr>
      <w:tr w14:paraId="39DED208" w14:textId="77777777" w:rsidTr="001F4553">
        <w:tblPrEx>
          <w:tblW w:w="9445" w:type="dxa"/>
          <w:tblLook w:val="04A0"/>
        </w:tblPrEx>
        <w:trPr>
          <w:trHeight w:val="432"/>
        </w:trPr>
        <w:tc>
          <w:tcPr>
            <w:tcW w:w="9445" w:type="dxa"/>
            <w:vAlign w:val="center"/>
          </w:tcPr>
          <w:p w:rsidR="00962FC7" w:rsidRPr="00B04A5C" w:rsidP="001F4553" w14:paraId="61C41176" w14:textId="77777777">
            <w:pPr>
              <w:outlineLvl w:val="0"/>
              <w:rPr>
                <w:color w:val="000000"/>
              </w:rPr>
            </w:pPr>
            <w:r w:rsidRPr="00B04A5C">
              <w:rPr>
                <w:color w:val="000000"/>
              </w:rPr>
              <w:t>Train personnel to be able to respond to a collection of information.</w:t>
            </w:r>
          </w:p>
        </w:tc>
      </w:tr>
      <w:tr w14:paraId="20DB33A9" w14:textId="77777777" w:rsidTr="001F4553">
        <w:tblPrEx>
          <w:tblW w:w="9445" w:type="dxa"/>
          <w:tblLook w:val="04A0"/>
        </w:tblPrEx>
        <w:trPr>
          <w:trHeight w:val="432"/>
        </w:trPr>
        <w:tc>
          <w:tcPr>
            <w:tcW w:w="9445" w:type="dxa"/>
            <w:vAlign w:val="center"/>
          </w:tcPr>
          <w:p w:rsidR="00962FC7" w:rsidRPr="00B04A5C" w:rsidP="001F4553" w14:paraId="342C418B" w14:textId="77777777">
            <w:pPr>
              <w:outlineLvl w:val="0"/>
              <w:rPr>
                <w:color w:val="000000"/>
              </w:rPr>
            </w:pPr>
            <w:r w:rsidRPr="00B04A5C">
              <w:rPr>
                <w:color w:val="000000"/>
              </w:rPr>
              <w:t>Transmit, or otherwise disclose the information.</w:t>
            </w:r>
          </w:p>
        </w:tc>
      </w:tr>
    </w:tbl>
    <w:p w:rsidR="009F1E00" w:rsidRPr="00BB3410" w:rsidP="00854AAE" w14:paraId="3C4B52CA" w14:textId="4C240946">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1"/>
      <w:r w:rsidRPr="00163C69" w:rsidR="00BB2B15">
        <w:rPr>
          <w:rFonts w:cstheme="minorHAnsi"/>
          <w:b/>
          <w:bCs/>
        </w:rPr>
        <w:t>Costs</w:t>
      </w:r>
    </w:p>
    <w:p w:rsidR="00962FC7" w:rsidP="00962FC7" w14:paraId="44A2FF81" w14:textId="1FC3EEFB">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average annual burden to industry over the next three years from these recordkeeping and reporting requirements is estimated to be </w:t>
      </w:r>
      <w:r w:rsidRPr="00AD653F">
        <w:t>56,</w:t>
      </w:r>
      <w:r>
        <w:t>90</w:t>
      </w:r>
      <w:r w:rsidRPr="00AD653F">
        <w:t xml:space="preserve">0 </w:t>
      </w:r>
      <w:r>
        <w:rPr>
          <w:color w:val="000000"/>
        </w:rPr>
        <w:t>hours</w:t>
      </w:r>
      <w:r w:rsidR="009F05D1">
        <w:rPr>
          <w:color w:val="000000"/>
        </w:rPr>
        <w:t xml:space="preserve">. </w:t>
      </w:r>
      <w:r w:rsidRPr="755EC747" w:rsidR="009F05D1">
        <w:rPr>
          <w:color w:val="000000" w:themeColor="text1"/>
        </w:rPr>
        <w:t xml:space="preserve">The total annual labor costs are </w:t>
      </w:r>
      <w:r w:rsidRPr="00E36379" w:rsidR="009F05D1">
        <w:t>$</w:t>
      </w:r>
      <w:r w:rsidR="009F05D1">
        <w:t>6,290,000</w:t>
      </w:r>
      <w:r w:rsidRPr="00E36379" w:rsidR="009F05D1">
        <w:t xml:space="preserve"> for Subpart KKK and $</w:t>
      </w:r>
      <w:r w:rsidR="009F05D1">
        <w:t>876,000</w:t>
      </w:r>
      <w:r w:rsidRPr="00E36379" w:rsidR="009F05D1">
        <w:t xml:space="preserve"> for Subpart LLL</w:t>
      </w:r>
      <w:r w:rsidRPr="755EC747" w:rsidR="009F05D1">
        <w:rPr>
          <w:color w:val="000000" w:themeColor="text1"/>
        </w:rPr>
        <w:t>. Details regarding these estimates may be found at the end of this document in Table 1</w:t>
      </w:r>
      <w:r w:rsidR="009F05D1">
        <w:rPr>
          <w:color w:val="000000" w:themeColor="text1"/>
        </w:rPr>
        <w:t>a</w:t>
      </w:r>
      <w:r w:rsidRPr="755EC747" w:rsidR="009F05D1">
        <w:rPr>
          <w:color w:val="000000" w:themeColor="text1"/>
        </w:rPr>
        <w:t xml:space="preserve">: Annual Respondent Burden and Cost – </w:t>
      </w:r>
      <w:r w:rsidRPr="00690F89" w:rsidR="009F05D1">
        <w:rPr>
          <w:color w:val="000000"/>
        </w:rPr>
        <w:t xml:space="preserve">NSPS for Onshore Natural Gas Processing Plants (40 CFR Part 60, Subpart KKK) (Renewal) and </w:t>
      </w:r>
      <w:r w:rsidR="009F05D1">
        <w:rPr>
          <w:color w:val="000000"/>
        </w:rPr>
        <w:t xml:space="preserve">Table </w:t>
      </w:r>
      <w:r w:rsidRPr="00690F89" w:rsidR="009F05D1">
        <w:rPr>
          <w:color w:val="000000"/>
        </w:rPr>
        <w:t>1b: Annual Respondent Burden and Cost – NSPS for Onshore Natural Gas Processing Plants (40 CFR Part 60, Subpart LLL) (Renewal).</w:t>
      </w:r>
      <w:r>
        <w:rPr>
          <w:color w:val="000000"/>
        </w:rPr>
        <w:t xml:space="preserve"> (Total Labor Hours from Tables 1a and 1b below). These hours are based on Agency studies and background documents from the development of the regulation, Agency knowledge and experience with the </w:t>
      </w:r>
      <w:r w:rsidRPr="00AD653F">
        <w:t>NSPS</w:t>
      </w:r>
      <w:r>
        <w:rPr>
          <w:color w:val="000000"/>
        </w:rPr>
        <w:t xml:space="preserve"> program, the </w:t>
      </w:r>
      <w:r>
        <w:rPr>
          <w:color w:val="000000"/>
        </w:rPr>
        <w:t>previously-approved</w:t>
      </w:r>
      <w:r>
        <w:rPr>
          <w:color w:val="000000"/>
        </w:rPr>
        <w:t xml:space="preserve"> ICR, and any comments received.</w:t>
      </w:r>
    </w:p>
    <w:p w:rsidR="00962FC7" w:rsidP="00962FC7" w14:paraId="515385B1"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962FC7" w:rsidP="00962FC7" w14:paraId="12BD1D37"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Managerial</w:t>
      </w:r>
      <w:r>
        <w:rPr>
          <w:color w:val="000000"/>
        </w:rPr>
        <w:tab/>
        <w:t>$</w:t>
      </w:r>
      <w:r w:rsidRPr="009D4696">
        <w:rPr>
          <w:color w:val="000000"/>
        </w:rPr>
        <w:t>163.17 (</w:t>
      </w:r>
      <w:r>
        <w:rPr>
          <w:color w:val="000000"/>
        </w:rPr>
        <w:t>$</w:t>
      </w:r>
      <w:r w:rsidRPr="009D4696">
        <w:rPr>
          <w:color w:val="000000"/>
        </w:rPr>
        <w:t>77.7</w:t>
      </w:r>
      <w:r>
        <w:rPr>
          <w:color w:val="000000"/>
        </w:rPr>
        <w:t>0</w:t>
      </w:r>
      <w:r w:rsidRPr="009D4696">
        <w:rPr>
          <w:color w:val="000000"/>
        </w:rPr>
        <w:t xml:space="preserve"> + 110%)</w:t>
      </w:r>
    </w:p>
    <w:p w:rsidR="00962FC7" w:rsidP="00962FC7" w14:paraId="7C16798E"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Technical</w:t>
      </w:r>
      <w:r>
        <w:rPr>
          <w:color w:val="000000"/>
        </w:rPr>
        <w:tab/>
        <w:t>$</w:t>
      </w:r>
      <w:r w:rsidRPr="00A82193">
        <w:rPr>
          <w:color w:val="000000"/>
        </w:rPr>
        <w:t>130.28 (</w:t>
      </w:r>
      <w:r>
        <w:rPr>
          <w:color w:val="000000"/>
        </w:rPr>
        <w:t>$</w:t>
      </w:r>
      <w:r w:rsidRPr="00A82193">
        <w:rPr>
          <w:color w:val="000000"/>
        </w:rPr>
        <w:t>62.04 + 110%)</w:t>
      </w:r>
    </w:p>
    <w:p w:rsidR="00962FC7" w:rsidP="00962FC7" w14:paraId="05422DBB"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Clerical</w:t>
      </w:r>
      <w:r>
        <w:rPr>
          <w:color w:val="000000"/>
        </w:rPr>
        <w:tab/>
        <w:t>$</w:t>
      </w:r>
      <w:r w:rsidRPr="0054104C">
        <w:rPr>
          <w:color w:val="000000"/>
        </w:rPr>
        <w:t>65.7</w:t>
      </w:r>
      <w:r>
        <w:rPr>
          <w:color w:val="000000"/>
        </w:rPr>
        <w:t>1</w:t>
      </w:r>
      <w:r w:rsidRPr="0054104C">
        <w:rPr>
          <w:color w:val="000000"/>
        </w:rPr>
        <w:t xml:space="preserve"> (</w:t>
      </w:r>
      <w:r>
        <w:rPr>
          <w:color w:val="000000"/>
        </w:rPr>
        <w:t>$</w:t>
      </w:r>
      <w:r w:rsidRPr="0054104C">
        <w:rPr>
          <w:color w:val="000000"/>
        </w:rPr>
        <w:t>31.29 + 110%)</w:t>
      </w:r>
    </w:p>
    <w:p w:rsidR="00962FC7" w:rsidP="00962FC7" w14:paraId="56E11D33" w14:textId="77777777">
      <w:pPr>
        <w:pBdr>
          <w:top w:val="single" w:sz="6" w:space="0" w:color="FFFFFF"/>
          <w:left w:val="single" w:sz="6" w:space="0" w:color="FFFFFF"/>
          <w:bottom w:val="single" w:sz="6" w:space="0" w:color="FFFFFF"/>
          <w:right w:val="single" w:sz="6" w:space="0" w:color="FFFFFF"/>
        </w:pBdr>
        <w:spacing w:after="0"/>
        <w:ind w:firstLine="720"/>
        <w:rPr>
          <w:color w:val="000000"/>
        </w:rPr>
      </w:pPr>
    </w:p>
    <w:p w:rsidR="009F05D1" w:rsidP="009F05D1" w14:paraId="07A2BEC3" w14:textId="5572C51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Pr="00AD653F">
        <w:rPr>
          <w:color w:val="000000"/>
        </w:rPr>
        <w:t xml:space="preserve">September </w:t>
      </w:r>
      <w:r w:rsidRPr="001C2432">
        <w:rPr>
          <w:color w:val="000000"/>
        </w:rPr>
        <w:t>2022, “</w:t>
      </w:r>
      <w:r>
        <w:rPr>
          <w:color w:val="000000"/>
        </w:rPr>
        <w:t xml:space="preserve">Table 2. Civilian workers by occupational and industry group.” The rates are from column 1, “Total compensation.” </w:t>
      </w:r>
      <w:r w:rsidRP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Pr>
          <w:color w:val="000000"/>
        </w:rPr>
        <w:t>.</w:t>
      </w:r>
      <w:r w:rsidRPr="009F05D1">
        <w:rPr>
          <w:color w:val="000000"/>
        </w:rPr>
        <w:t xml:space="preserve"> </w:t>
      </w:r>
    </w:p>
    <w:p w:rsidR="00ED57A4" w:rsidRPr="00962FC7" w:rsidP="009F05D1" w14:paraId="68F435BE" w14:textId="0B75FF38">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w:t>
      </w:r>
      <w:r>
        <w:t>,</w:t>
      </w:r>
      <w:r w:rsidRPr="003C677A">
        <w:t xml:space="preserve"> because the typical tasks for managers are to review and approve reports. Clerical burdens are assumed to take 10% of the time required for technical tasks</w:t>
      </w:r>
      <w:r>
        <w:t>,</w:t>
      </w:r>
      <w:r w:rsidRPr="003C677A">
        <w:t xml:space="preserve"> because the typical duties of clerical staff are to proofread the reports, make copies</w:t>
      </w:r>
      <w:r>
        <w:t>,</w:t>
      </w:r>
      <w:r w:rsidRPr="003C677A">
        <w:t xml:space="preserve">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2"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2"/>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C4246" w:rsidRPr="005C4246" w:rsidP="005C4246" w14:paraId="431B8578" w14:textId="6FFA1890">
      <w:pPr>
        <w:pBdr>
          <w:top w:val="single" w:sz="6" w:space="0" w:color="FFFFFF"/>
          <w:left w:val="single" w:sz="6" w:space="0" w:color="FFFFFF"/>
          <w:bottom w:val="single" w:sz="6" w:space="0" w:color="FFFFFF"/>
          <w:right w:val="single" w:sz="6" w:space="0" w:color="FFFFFF"/>
        </w:pBdr>
        <w:ind w:firstLine="720"/>
      </w:pPr>
      <w:r w:rsidRPr="00AD653F">
        <w:t>The type of industry costs associated with the information collection activities in the</w:t>
      </w:r>
      <w:r>
        <w:t>se</w:t>
      </w:r>
      <w:r w:rsidRPr="00AD653F">
        <w:t xml:space="preserve"> subject standards are both labor costs</w:t>
      </w:r>
      <w:r>
        <w:t>,</w:t>
      </w:r>
      <w:r w:rsidRPr="00AD653F">
        <w:t xml:space="preserve"> which are addressed elsewhere in this ICR</w:t>
      </w:r>
      <w:r>
        <w:t>,</w:t>
      </w:r>
      <w:r w:rsidRPr="00AD653F">
        <w:t xml:space="preserve"> and the costs associated with continuous monitoring. The capital/startup costs are one-time costs when a facility becomes subject to the</w:t>
      </w:r>
      <w:r>
        <w:t>se</w:t>
      </w:r>
      <w:r w:rsidRPr="00AD653F">
        <w:t xml:space="preserve"> regulation</w:t>
      </w:r>
      <w:r>
        <w:t>s</w:t>
      </w:r>
      <w:r w:rsidRPr="00AD653F">
        <w:t>. The annual operation and maintenance costs are the ongoing costs to maintain the monitors and other costs such as photocopying and postage.</w:t>
      </w:r>
    </w:p>
    <w:tbl>
      <w:tblPr>
        <w:tblStyle w:val="TableGrid"/>
        <w:tblW w:w="9360" w:type="dxa"/>
        <w:tblLayout w:type="fixed"/>
        <w:tblLook w:val="0000"/>
      </w:tblPr>
      <w:tblGrid>
        <w:gridCol w:w="1230"/>
        <w:gridCol w:w="1465"/>
        <w:gridCol w:w="1265"/>
        <w:gridCol w:w="1440"/>
        <w:gridCol w:w="1350"/>
        <w:gridCol w:w="1260"/>
        <w:gridCol w:w="1350"/>
      </w:tblGrid>
      <w:tr w14:paraId="2E51365E" w14:textId="77777777" w:rsidTr="001F4553">
        <w:tblPrEx>
          <w:tblW w:w="9360" w:type="dxa"/>
          <w:tblLayout w:type="fixed"/>
          <w:tblLook w:val="0000"/>
        </w:tblPrEx>
        <w:tc>
          <w:tcPr>
            <w:tcW w:w="9360" w:type="dxa"/>
            <w:gridSpan w:val="7"/>
          </w:tcPr>
          <w:p w:rsidR="005C4246" w:rsidP="001F4553" w14:paraId="11DC1D4B" w14:textId="77777777">
            <w:pPr>
              <w:spacing w:line="120" w:lineRule="exact"/>
              <w:rPr>
                <w:color w:val="000000"/>
              </w:rPr>
            </w:pPr>
          </w:p>
          <w:p w:rsidR="005C4246" w:rsidP="001F4553" w14:paraId="445C91C6"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14:paraId="74D7DFB5" w14:textId="77777777" w:rsidTr="001F4553">
        <w:tblPrEx>
          <w:tblW w:w="9360" w:type="dxa"/>
          <w:tblLayout w:type="fixed"/>
          <w:tblLook w:val="0000"/>
        </w:tblPrEx>
        <w:tc>
          <w:tcPr>
            <w:tcW w:w="1230" w:type="dxa"/>
          </w:tcPr>
          <w:p w:rsidR="005C4246" w:rsidP="001F4553" w14:paraId="7C9F7B07" w14:textId="77777777">
            <w:pPr>
              <w:spacing w:line="120" w:lineRule="exact"/>
              <w:rPr>
                <w:b/>
                <w:bCs/>
                <w:color w:val="000000"/>
              </w:rPr>
            </w:pPr>
          </w:p>
          <w:p w:rsidR="005C4246" w:rsidP="001F4553" w14:paraId="0D3FB54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5C4246" w:rsidP="001F4553" w14:paraId="601B2B41"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65" w:type="dxa"/>
          </w:tcPr>
          <w:p w:rsidR="005C4246" w:rsidP="001F4553" w14:paraId="0D57461E" w14:textId="77777777">
            <w:pPr>
              <w:spacing w:line="120" w:lineRule="exact"/>
              <w:rPr>
                <w:color w:val="000000"/>
                <w:sz w:val="20"/>
                <w:szCs w:val="20"/>
              </w:rPr>
            </w:pPr>
          </w:p>
          <w:p w:rsidR="005C4246" w:rsidP="001F4553" w14:paraId="682996C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5C4246" w:rsidP="001F4553" w14:paraId="1E8A651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Capital/Startup Cost for One Respondent </w:t>
            </w:r>
            <w:r w:rsidRPr="004762AA">
              <w:rPr>
                <w:color w:val="000000"/>
                <w:sz w:val="20"/>
                <w:szCs w:val="20"/>
                <w:vertAlign w:val="superscript"/>
              </w:rPr>
              <w:t>b</w:t>
            </w:r>
          </w:p>
        </w:tc>
        <w:tc>
          <w:tcPr>
            <w:tcW w:w="1265" w:type="dxa"/>
          </w:tcPr>
          <w:p w:rsidR="005C4246" w:rsidP="001F4553" w14:paraId="3E55663F" w14:textId="77777777">
            <w:pPr>
              <w:spacing w:line="120" w:lineRule="exact"/>
              <w:rPr>
                <w:color w:val="000000"/>
                <w:sz w:val="20"/>
                <w:szCs w:val="20"/>
              </w:rPr>
            </w:pPr>
          </w:p>
          <w:p w:rsidR="005C4246" w:rsidP="001F4553" w14:paraId="6D40438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5C4246" w:rsidP="001F4553" w14:paraId="556B2DD7"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Pr>
          <w:p w:rsidR="005C4246" w:rsidP="001F4553" w14:paraId="0BCA79EF" w14:textId="77777777">
            <w:pPr>
              <w:spacing w:line="120" w:lineRule="exact"/>
              <w:rPr>
                <w:color w:val="000000"/>
                <w:sz w:val="20"/>
                <w:szCs w:val="20"/>
              </w:rPr>
            </w:pPr>
          </w:p>
          <w:p w:rsidR="005C4246" w:rsidP="001F4553" w14:paraId="71B47DB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5C4246" w:rsidP="001F4553" w14:paraId="3447E904"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Pr>
          <w:p w:rsidR="005C4246" w:rsidP="001F4553" w14:paraId="45C30AF4" w14:textId="77777777">
            <w:pPr>
              <w:spacing w:line="120" w:lineRule="exact"/>
              <w:rPr>
                <w:color w:val="000000"/>
                <w:sz w:val="20"/>
                <w:szCs w:val="20"/>
              </w:rPr>
            </w:pPr>
          </w:p>
          <w:p w:rsidR="005C4246" w:rsidP="001F4553" w14:paraId="66881DF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5C4246" w:rsidP="001F4553" w14:paraId="0EF15E3A"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Annual O&amp;M Costs for One Respondent </w:t>
            </w:r>
            <w:r w:rsidRPr="004762AA">
              <w:rPr>
                <w:color w:val="000000"/>
                <w:sz w:val="20"/>
                <w:szCs w:val="20"/>
                <w:vertAlign w:val="superscript"/>
              </w:rPr>
              <w:t>c</w:t>
            </w:r>
          </w:p>
        </w:tc>
        <w:tc>
          <w:tcPr>
            <w:tcW w:w="1260" w:type="dxa"/>
          </w:tcPr>
          <w:p w:rsidR="005C4246" w:rsidP="001F4553" w14:paraId="5CB888F9" w14:textId="77777777">
            <w:pPr>
              <w:spacing w:line="120" w:lineRule="exact"/>
              <w:rPr>
                <w:color w:val="000000"/>
                <w:sz w:val="20"/>
                <w:szCs w:val="20"/>
              </w:rPr>
            </w:pPr>
          </w:p>
          <w:p w:rsidR="005C4246" w:rsidP="001F4553" w14:paraId="2E6B914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5C4246" w:rsidP="001F4553" w14:paraId="6FB00117"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Respondents with O&amp;M </w:t>
            </w:r>
            <w:r w:rsidRPr="004762AA">
              <w:rPr>
                <w:color w:val="000000"/>
                <w:sz w:val="20"/>
                <w:szCs w:val="20"/>
                <w:vertAlign w:val="superscript"/>
              </w:rPr>
              <w:t>d</w:t>
            </w:r>
          </w:p>
        </w:tc>
        <w:tc>
          <w:tcPr>
            <w:tcW w:w="1350" w:type="dxa"/>
          </w:tcPr>
          <w:p w:rsidR="005C4246" w:rsidP="001F4553" w14:paraId="4E26BC13" w14:textId="77777777">
            <w:pPr>
              <w:spacing w:line="120" w:lineRule="exact"/>
              <w:rPr>
                <w:color w:val="000000"/>
                <w:sz w:val="20"/>
                <w:szCs w:val="20"/>
              </w:rPr>
            </w:pPr>
          </w:p>
          <w:p w:rsidR="005C4246" w:rsidP="001F4553" w14:paraId="3F0A145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5C4246" w:rsidP="001F4553" w14:paraId="00BA6B74"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5C4246" w:rsidP="001F4553" w14:paraId="0AB8F691"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14:paraId="01CDAA44" w14:textId="77777777" w:rsidTr="001F4553">
        <w:tblPrEx>
          <w:tblW w:w="9360" w:type="dxa"/>
          <w:tblLayout w:type="fixed"/>
          <w:tblLook w:val="0000"/>
        </w:tblPrEx>
        <w:tc>
          <w:tcPr>
            <w:tcW w:w="1230" w:type="dxa"/>
          </w:tcPr>
          <w:p w:rsidR="005C4246" w:rsidRPr="00184031" w:rsidP="001F4553" w14:paraId="18AE0F97" w14:textId="77777777">
            <w:pPr>
              <w:pBdr>
                <w:top w:val="single" w:sz="6" w:space="0" w:color="FFFFFF"/>
                <w:left w:val="single" w:sz="6" w:space="0" w:color="FFFFFF"/>
                <w:bottom w:val="single" w:sz="6" w:space="0" w:color="FFFFFF"/>
                <w:right w:val="single" w:sz="6" w:space="0" w:color="FFFFFF"/>
              </w:pBdr>
              <w:rPr>
                <w:color w:val="000000"/>
                <w:sz w:val="20"/>
                <w:szCs w:val="20"/>
              </w:rPr>
            </w:pPr>
            <w:r w:rsidRPr="00184031">
              <w:rPr>
                <w:color w:val="000000"/>
                <w:sz w:val="20"/>
                <w:szCs w:val="20"/>
              </w:rPr>
              <w:t>SO</w:t>
            </w:r>
            <w:r w:rsidRPr="00AD653F">
              <w:rPr>
                <w:color w:val="000000"/>
                <w:sz w:val="20"/>
                <w:szCs w:val="20"/>
                <w:vertAlign w:val="subscript"/>
              </w:rPr>
              <w:t>2</w:t>
            </w:r>
            <w:r w:rsidRPr="00184031">
              <w:rPr>
                <w:color w:val="000000"/>
                <w:sz w:val="20"/>
                <w:szCs w:val="20"/>
              </w:rPr>
              <w:t xml:space="preserve"> CEM, control outlet (only for </w:t>
            </w:r>
            <w:r>
              <w:rPr>
                <w:color w:val="000000"/>
                <w:sz w:val="20"/>
                <w:szCs w:val="20"/>
              </w:rPr>
              <w:t>S</w:t>
            </w:r>
            <w:r w:rsidRPr="00184031">
              <w:rPr>
                <w:color w:val="000000"/>
                <w:sz w:val="20"/>
                <w:szCs w:val="20"/>
              </w:rPr>
              <w:t>ubpart LLL)</w:t>
            </w:r>
            <w:r>
              <w:rPr>
                <w:color w:val="000000"/>
                <w:sz w:val="20"/>
                <w:szCs w:val="20"/>
              </w:rPr>
              <w:t xml:space="preserve"> </w:t>
            </w:r>
            <w:r w:rsidRPr="004762AA">
              <w:rPr>
                <w:color w:val="000000"/>
                <w:sz w:val="20"/>
                <w:szCs w:val="20"/>
                <w:vertAlign w:val="superscript"/>
              </w:rPr>
              <w:t>a</w:t>
            </w:r>
          </w:p>
        </w:tc>
        <w:tc>
          <w:tcPr>
            <w:tcW w:w="1465" w:type="dxa"/>
          </w:tcPr>
          <w:p w:rsidR="005C4246" w:rsidRPr="00184031" w:rsidP="001F4553" w14:paraId="6898D437"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 xml:space="preserve">$103,525 </w:t>
            </w:r>
          </w:p>
        </w:tc>
        <w:tc>
          <w:tcPr>
            <w:tcW w:w="1265" w:type="dxa"/>
          </w:tcPr>
          <w:p w:rsidR="005C4246" w:rsidRPr="00184031" w:rsidP="001F4553" w14:paraId="4A12434E"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0</w:t>
            </w:r>
          </w:p>
        </w:tc>
        <w:tc>
          <w:tcPr>
            <w:tcW w:w="1440" w:type="dxa"/>
          </w:tcPr>
          <w:p w:rsidR="005C4246" w:rsidRPr="00184031" w:rsidP="001F4553" w14:paraId="39ACF4CF"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 xml:space="preserve">$0 </w:t>
            </w:r>
          </w:p>
        </w:tc>
        <w:tc>
          <w:tcPr>
            <w:tcW w:w="1350" w:type="dxa"/>
          </w:tcPr>
          <w:p w:rsidR="005C4246" w:rsidRPr="00184031" w:rsidP="001F4553" w14:paraId="3B386B23"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 xml:space="preserve">$24,250 </w:t>
            </w:r>
          </w:p>
        </w:tc>
        <w:tc>
          <w:tcPr>
            <w:tcW w:w="1260" w:type="dxa"/>
          </w:tcPr>
          <w:p w:rsidR="005C4246" w:rsidRPr="00184031" w:rsidP="001F4553" w14:paraId="7E72F18E" w14:textId="77777777">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4</w:t>
            </w:r>
          </w:p>
        </w:tc>
        <w:tc>
          <w:tcPr>
            <w:tcW w:w="1350" w:type="dxa"/>
          </w:tcPr>
          <w:p w:rsidR="005C4246" w:rsidRPr="00184031" w:rsidP="001F4553" w14:paraId="1AA9DE9B" w14:textId="77777777">
            <w:pPr>
              <w:pBdr>
                <w:top w:val="single" w:sz="6" w:space="0" w:color="FFFFFF"/>
                <w:left w:val="single" w:sz="6" w:space="0" w:color="FFFFFF"/>
                <w:bottom w:val="single" w:sz="6" w:space="0" w:color="FFFFFF"/>
                <w:right w:val="single" w:sz="6" w:space="0" w:color="FFFFFF"/>
              </w:pBdr>
              <w:rPr>
                <w:color w:val="000000"/>
              </w:rPr>
            </w:pPr>
            <w:r>
              <w:rPr>
                <w:sz w:val="20"/>
                <w:szCs w:val="20"/>
              </w:rPr>
              <w:t xml:space="preserve">$97,001 </w:t>
            </w:r>
          </w:p>
        </w:tc>
      </w:tr>
    </w:tbl>
    <w:p w:rsidR="005C4246" w:rsidRPr="006E5D4D" w:rsidP="005C4246" w14:paraId="4A09B0E5" w14:textId="77777777">
      <w:pPr>
        <w:pBdr>
          <w:top w:val="single" w:sz="6" w:space="0" w:color="FFFFFF"/>
          <w:left w:val="single" w:sz="6" w:space="0" w:color="FFFFFF"/>
          <w:bottom w:val="single" w:sz="6" w:space="0" w:color="FFFFFF"/>
          <w:right w:val="single" w:sz="6" w:space="0" w:color="FFFFFF"/>
        </w:pBdr>
        <w:spacing w:after="0"/>
        <w:ind w:left="720"/>
        <w:rPr>
          <w:color w:val="000000"/>
          <w:sz w:val="20"/>
          <w:szCs w:val="20"/>
        </w:rPr>
      </w:pPr>
      <w:r w:rsidRPr="00A35EFE">
        <w:rPr>
          <w:color w:val="000000"/>
          <w:sz w:val="20"/>
          <w:szCs w:val="20"/>
          <w:vertAlign w:val="superscript"/>
        </w:rPr>
        <w:t>a</w:t>
      </w:r>
      <w:r>
        <w:rPr>
          <w:color w:val="000000"/>
          <w:sz w:val="20"/>
          <w:szCs w:val="20"/>
          <w:vertAlign w:val="superscript"/>
        </w:rPr>
        <w:t xml:space="preserve"> </w:t>
      </w:r>
      <w:r w:rsidRPr="006E5D4D">
        <w:rPr>
          <w:color w:val="000000"/>
          <w:sz w:val="20"/>
          <w:szCs w:val="20"/>
        </w:rPr>
        <w:t>Costs reflect installation and maintenance of an in-situ SO2 CEM after the control device and assume installation occurred during the construction of the facility.</w:t>
      </w:r>
    </w:p>
    <w:p w:rsidR="005C4246" w:rsidRPr="00A35EFE" w:rsidP="005C4246" w14:paraId="70D411E4" w14:textId="77777777">
      <w:pPr>
        <w:pBdr>
          <w:top w:val="single" w:sz="6" w:space="0" w:color="FFFFFF"/>
          <w:left w:val="single" w:sz="6" w:space="0" w:color="FFFFFF"/>
          <w:bottom w:val="single" w:sz="6" w:space="0" w:color="FFFFFF"/>
          <w:right w:val="single" w:sz="6" w:space="0" w:color="FFFFFF"/>
        </w:pBdr>
        <w:spacing w:after="0"/>
        <w:ind w:left="720"/>
        <w:rPr>
          <w:color w:val="000000"/>
          <w:sz w:val="20"/>
          <w:szCs w:val="20"/>
          <w:vertAlign w:val="superscript"/>
        </w:rPr>
      </w:pPr>
      <w:r w:rsidRPr="00A35EFE">
        <w:rPr>
          <w:color w:val="000000"/>
          <w:sz w:val="20"/>
          <w:szCs w:val="20"/>
          <w:vertAlign w:val="superscript"/>
        </w:rPr>
        <w:t>b</w:t>
      </w:r>
      <w:r>
        <w:rPr>
          <w:color w:val="000000"/>
          <w:sz w:val="20"/>
          <w:szCs w:val="20"/>
          <w:vertAlign w:val="superscript"/>
        </w:rPr>
        <w:t xml:space="preserve"> </w:t>
      </w:r>
      <w:r w:rsidRPr="006E5D4D">
        <w:rPr>
          <w:color w:val="000000"/>
          <w:sz w:val="20"/>
          <w:szCs w:val="20"/>
        </w:rPr>
        <w:t>Assume that capital/startup costs for a new sulfur CEMS and control outlet is $103,525. Capital costs have been increased from 2008 to 2022 $ using the CEPCI Equipment Cost Index</w:t>
      </w:r>
      <w:r>
        <w:rPr>
          <w:color w:val="000000"/>
          <w:sz w:val="20"/>
          <w:szCs w:val="20"/>
        </w:rPr>
        <w:t>.</w:t>
      </w:r>
    </w:p>
    <w:p w:rsidR="005C4246" w:rsidRPr="00A35EFE" w:rsidP="005C4246" w14:paraId="12BF3A5D" w14:textId="77777777">
      <w:pPr>
        <w:pBdr>
          <w:top w:val="single" w:sz="6" w:space="0" w:color="FFFFFF"/>
          <w:left w:val="single" w:sz="6" w:space="0" w:color="FFFFFF"/>
          <w:bottom w:val="single" w:sz="6" w:space="0" w:color="FFFFFF"/>
          <w:right w:val="single" w:sz="6" w:space="0" w:color="FFFFFF"/>
        </w:pBdr>
        <w:spacing w:after="0"/>
        <w:ind w:left="720"/>
        <w:rPr>
          <w:color w:val="000000"/>
          <w:sz w:val="20"/>
          <w:szCs w:val="20"/>
          <w:vertAlign w:val="superscript"/>
        </w:rPr>
      </w:pPr>
      <w:r w:rsidRPr="00A35EFE">
        <w:rPr>
          <w:color w:val="000000"/>
          <w:sz w:val="20"/>
          <w:szCs w:val="20"/>
          <w:vertAlign w:val="superscript"/>
        </w:rPr>
        <w:t>c</w:t>
      </w:r>
      <w:r>
        <w:rPr>
          <w:color w:val="000000"/>
          <w:sz w:val="20"/>
          <w:szCs w:val="20"/>
          <w:vertAlign w:val="superscript"/>
        </w:rPr>
        <w:t xml:space="preserve"> </w:t>
      </w:r>
      <w:r w:rsidRPr="006E5D4D">
        <w:rPr>
          <w:color w:val="000000"/>
          <w:sz w:val="20"/>
          <w:szCs w:val="20"/>
        </w:rPr>
        <w:t>Assume that the annual O&amp;M costs of the sulfur CEMS and control outlet is $24,250. Costs have been increased from 2008 to 2022 $ using the CEPCI Equipment Cost Index.</w:t>
      </w:r>
    </w:p>
    <w:p w:rsidR="005C4246" w:rsidP="005C4246" w14:paraId="4D2EAFDE" w14:textId="77777777">
      <w:pPr>
        <w:pBdr>
          <w:top w:val="single" w:sz="6" w:space="0" w:color="FFFFFF"/>
          <w:left w:val="single" w:sz="6" w:space="0" w:color="FFFFFF"/>
          <w:bottom w:val="single" w:sz="6" w:space="0" w:color="FFFFFF"/>
          <w:right w:val="single" w:sz="6" w:space="0" w:color="FFFFFF"/>
        </w:pBdr>
        <w:spacing w:after="0"/>
        <w:ind w:left="720"/>
        <w:rPr>
          <w:color w:val="000000"/>
          <w:sz w:val="20"/>
          <w:szCs w:val="20"/>
        </w:rPr>
      </w:pPr>
      <w:r w:rsidRPr="00A35EFE">
        <w:rPr>
          <w:color w:val="000000"/>
          <w:sz w:val="20"/>
          <w:szCs w:val="20"/>
          <w:vertAlign w:val="superscript"/>
        </w:rPr>
        <w:t>d</w:t>
      </w:r>
      <w:r>
        <w:rPr>
          <w:color w:val="000000"/>
          <w:sz w:val="20"/>
          <w:szCs w:val="20"/>
          <w:vertAlign w:val="superscript"/>
        </w:rPr>
        <w:t xml:space="preserve"> </w:t>
      </w:r>
      <w:r w:rsidRPr="006E5D4D">
        <w:rPr>
          <w:color w:val="000000"/>
          <w:sz w:val="20"/>
          <w:szCs w:val="20"/>
        </w:rPr>
        <w:t>We expect 4 existing facilities to have annual O&amp;M costs for monitoring under subpart LLL</w:t>
      </w:r>
      <w:r>
        <w:rPr>
          <w:color w:val="000000"/>
          <w:sz w:val="20"/>
          <w:szCs w:val="20"/>
        </w:rPr>
        <w:t>.</w:t>
      </w:r>
    </w:p>
    <w:p w:rsidR="005C4246" w:rsidP="005C4246" w14:paraId="0EA08367" w14:textId="77777777">
      <w:pPr>
        <w:pBdr>
          <w:top w:val="single" w:sz="6" w:space="0" w:color="FFFFFF"/>
          <w:left w:val="single" w:sz="6" w:space="0" w:color="FFFFFF"/>
          <w:bottom w:val="single" w:sz="6" w:space="0" w:color="FFFFFF"/>
          <w:right w:val="single" w:sz="6" w:space="0" w:color="FFFFFF"/>
        </w:pBdr>
        <w:spacing w:after="0"/>
        <w:ind w:left="720"/>
        <w:rPr>
          <w:color w:val="000000"/>
          <w:sz w:val="20"/>
          <w:szCs w:val="20"/>
          <w:vertAlign w:val="superscript"/>
        </w:rPr>
      </w:pPr>
    </w:p>
    <w:p w:rsidR="00BB3410" w:rsidRPr="005C4246" w:rsidP="00854AAE" w14:paraId="678BA42F" w14:textId="3E2AB9DA">
      <w:pPr>
        <w:pBdr>
          <w:top w:val="single" w:sz="6" w:space="0" w:color="FFFFFF"/>
          <w:left w:val="single" w:sz="6" w:space="0" w:color="FFFFFF"/>
          <w:bottom w:val="single" w:sz="6" w:space="0" w:color="FFFFFF"/>
          <w:right w:val="single" w:sz="6" w:space="0" w:color="FFFFFF"/>
        </w:pBdr>
        <w:rPr>
          <w:sz w:val="20"/>
          <w:szCs w:val="20"/>
        </w:rPr>
      </w:pPr>
      <w:r w:rsidRPr="009E13BB">
        <w:rPr>
          <w:color w:val="000000"/>
        </w:rPr>
        <w:tab/>
      </w:r>
      <w:r w:rsidRPr="00AD653F">
        <w:t>The average annual cost for capital/startup and operation and maintenance costs to industry over the next three years of the ICR is estimated to be $</w:t>
      </w:r>
      <w:r>
        <w:t>97,001</w:t>
      </w:r>
      <w:r w:rsidRPr="00AD653F">
        <w:t>.</w:t>
      </w:r>
      <w:r>
        <w:t xml:space="preserve"> </w:t>
      </w:r>
      <w:r w:rsidRPr="00AD653F">
        <w:t>These are</w:t>
      </w:r>
      <w:r>
        <w:t xml:space="preserve"> the</w:t>
      </w:r>
      <w:r w:rsidRPr="00AD653F">
        <w:t xml:space="preserve"> </w:t>
      </w:r>
      <w:r>
        <w:rPr>
          <w:color w:val="000000"/>
        </w:rPr>
        <w:t xml:space="preserve">recordkeeping costs. </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3" w:name="_Toc156593387"/>
      <w:r w:rsidRPr="4BDBF0A0">
        <w:rPr>
          <w:b/>
          <w:bCs/>
        </w:rPr>
        <w:t xml:space="preserve">AGENCY </w:t>
      </w:r>
      <w:bookmarkStart w:id="24" w:name="_Toc156593388"/>
      <w:bookmarkEnd w:id="23"/>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FC7" w:rsidP="00962FC7" w14:paraId="22EE23ED" w14:textId="7AEC77D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EPA conducts the following activities in connection with the acquisition, analysis, storage, and distribution of the required information:</w:t>
      </w:r>
    </w:p>
    <w:tbl>
      <w:tblPr>
        <w:tblStyle w:val="TableGrid"/>
        <w:tblW w:w="9625" w:type="dxa"/>
        <w:tblLook w:val="04A0"/>
      </w:tblPr>
      <w:tblGrid>
        <w:gridCol w:w="9625"/>
      </w:tblGrid>
      <w:tr w14:paraId="00D76A17" w14:textId="77777777" w:rsidTr="001F4553">
        <w:tblPrEx>
          <w:tblW w:w="9625" w:type="dxa"/>
          <w:tblLook w:val="04A0"/>
        </w:tblPrEx>
        <w:trPr>
          <w:trHeight w:val="432"/>
        </w:trPr>
        <w:tc>
          <w:tcPr>
            <w:tcW w:w="9625" w:type="dxa"/>
          </w:tcPr>
          <w:p w:rsidR="00962FC7" w:rsidRPr="00E835B0" w:rsidP="001F4553" w14:paraId="24E50401" w14:textId="77777777">
            <w:pPr>
              <w:jc w:val="center"/>
              <w:rPr>
                <w:b/>
                <w:bCs/>
                <w:color w:val="000000"/>
              </w:rPr>
            </w:pPr>
            <w:r>
              <w:rPr>
                <w:b/>
                <w:bCs/>
                <w:color w:val="000000"/>
              </w:rPr>
              <w:t>Agency Activities</w:t>
            </w:r>
          </w:p>
        </w:tc>
      </w:tr>
      <w:tr w14:paraId="1F735677" w14:textId="77777777" w:rsidTr="001F4553">
        <w:tblPrEx>
          <w:tblW w:w="9625" w:type="dxa"/>
          <w:tblLook w:val="04A0"/>
        </w:tblPrEx>
        <w:trPr>
          <w:trHeight w:val="701"/>
        </w:trPr>
        <w:tc>
          <w:tcPr>
            <w:tcW w:w="9625" w:type="dxa"/>
            <w:vAlign w:val="center"/>
          </w:tcPr>
          <w:p w:rsidR="00962FC7" w:rsidP="001F4553" w14:paraId="630DB205" w14:textId="77777777">
            <w:pPr>
              <w:rPr>
                <w:color w:val="000000"/>
              </w:rPr>
            </w:pPr>
            <w:r w:rsidRPr="00E835B0">
              <w:rPr>
                <w:color w:val="000000"/>
              </w:rPr>
              <w:t>Review notifications and reports, including performance test reports, and excess emissions reports, required to be submitted by industry.</w:t>
            </w:r>
          </w:p>
        </w:tc>
      </w:tr>
      <w:tr w14:paraId="0361528E" w14:textId="77777777" w:rsidTr="001F4553">
        <w:tblPrEx>
          <w:tblW w:w="9625" w:type="dxa"/>
          <w:tblLook w:val="04A0"/>
        </w:tblPrEx>
        <w:trPr>
          <w:trHeight w:val="432"/>
        </w:trPr>
        <w:tc>
          <w:tcPr>
            <w:tcW w:w="9625" w:type="dxa"/>
            <w:vAlign w:val="center"/>
          </w:tcPr>
          <w:p w:rsidR="00962FC7" w:rsidP="001F4553" w14:paraId="26C8E0B5" w14:textId="77777777">
            <w:pPr>
              <w:rPr>
                <w:color w:val="000000"/>
              </w:rPr>
            </w:pPr>
            <w:r w:rsidRPr="00E835B0">
              <w:rPr>
                <w:color w:val="000000"/>
              </w:rPr>
              <w:t>Audit facility records.</w:t>
            </w:r>
          </w:p>
        </w:tc>
      </w:tr>
      <w:tr w14:paraId="2EF63B7F" w14:textId="77777777" w:rsidTr="001F4553">
        <w:tblPrEx>
          <w:tblW w:w="9625" w:type="dxa"/>
          <w:tblLook w:val="04A0"/>
        </w:tblPrEx>
        <w:trPr>
          <w:trHeight w:val="692"/>
        </w:trPr>
        <w:tc>
          <w:tcPr>
            <w:tcW w:w="9625" w:type="dxa"/>
            <w:vAlign w:val="center"/>
          </w:tcPr>
          <w:p w:rsidR="00962FC7" w:rsidP="001F4553" w14:paraId="47A8BA0C" w14:textId="77777777">
            <w:pPr>
              <w:rPr>
                <w:color w:val="000000"/>
              </w:rPr>
            </w:pPr>
            <w:r w:rsidRPr="00E835B0">
              <w:rPr>
                <w:color w:val="000000"/>
              </w:rPr>
              <w:t>Input, analyze, and maintain data in the Enforcement and Compliance History Online (ECHO) and ICIS.</w:t>
            </w:r>
          </w:p>
        </w:tc>
      </w:tr>
    </w:tbl>
    <w:p w:rsidR="009F1E00" w:rsidRPr="00BB3410" w:rsidP="00854AAE" w14:paraId="647FDC77" w14:textId="370E255A">
      <w:pPr>
        <w:keepNext/>
        <w:keepLines/>
        <w:spacing w:before="60"/>
        <w:rPr>
          <w:rFonts w:cstheme="minorHAnsi"/>
        </w:rPr>
      </w:pP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5C4246" w:rsidP="005C4246" w14:paraId="6C6C8E8A" w14:textId="6C60F90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The EPA's overall compliance and enforcement program includes such </w:t>
      </w:r>
      <w:r>
        <w:rPr>
          <w:color w:val="000000"/>
        </w:rPr>
        <w:t>activities  as</w:t>
      </w:r>
      <w:r>
        <w:rPr>
          <w:color w:val="000000"/>
        </w:rPr>
        <w:t xml:space="preserve"> the examination of records maintained by the respondents, periodic inspection of sources of emissions, and the publication and distribution of collected information. The average annual Agency cost during the three years of the ICR is estimated to be $</w:t>
      </w:r>
      <w:r w:rsidRPr="00AD653F">
        <w:t xml:space="preserve">299,000. </w:t>
      </w:r>
    </w:p>
    <w:p w:rsidR="005C4246" w:rsidP="005C4246" w14:paraId="2DDB1D49"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5C4246" w:rsidP="005C4246" w14:paraId="6153776E" w14:textId="77777777">
      <w:pPr>
        <w:spacing w:after="0"/>
      </w:pPr>
      <w:r>
        <w:tab/>
      </w:r>
      <w:r w:rsidRPr="00D2273E">
        <w:tab/>
        <w:t>Managerial</w:t>
      </w:r>
      <w:r w:rsidRPr="00D2273E">
        <w:tab/>
      </w:r>
      <w:r w:rsidRPr="00B538C1">
        <w:t xml:space="preserve"> $73.46 (GS-13, Step 5, $45.91 + 60%)</w:t>
      </w:r>
      <w:r>
        <w:tab/>
      </w:r>
      <w:r w:rsidRPr="00D2273E">
        <w:tab/>
      </w:r>
    </w:p>
    <w:p w:rsidR="005C4246" w:rsidRPr="00D2273E" w:rsidP="005C4246" w14:paraId="5A19AC26" w14:textId="77777777">
      <w:pPr>
        <w:spacing w:after="0"/>
        <w:ind w:left="720" w:firstLine="720"/>
      </w:pPr>
      <w:r w:rsidRPr="00D2273E">
        <w:t>Technical</w:t>
      </w:r>
      <w:r w:rsidRPr="00D2273E">
        <w:tab/>
      </w:r>
      <w:r w:rsidRPr="00EE6C42">
        <w:t xml:space="preserve"> $54.51 (GS-12, Step 1, $34.07 + 60%)</w:t>
      </w:r>
    </w:p>
    <w:p w:rsidR="005C4246" w:rsidP="005C4246" w14:paraId="382690EC" w14:textId="7A93A70F">
      <w:pPr>
        <w:spacing w:after="0"/>
      </w:pPr>
      <w:r>
        <w:tab/>
      </w:r>
      <w:r w:rsidRPr="00D2273E">
        <w:tab/>
        <w:t>Clerical</w:t>
      </w:r>
      <w:r w:rsidRPr="00D2273E">
        <w:tab/>
      </w:r>
      <w:r w:rsidRPr="00B538C1">
        <w:t xml:space="preserve"> $29.50 (GS-6, Step 3, $18.44 + 60%)</w:t>
      </w:r>
    </w:p>
    <w:p w:rsidR="005C4246" w:rsidRPr="005C4246" w:rsidP="005C4246" w14:paraId="0C84F785" w14:textId="77777777">
      <w:pPr>
        <w:spacing w:after="0"/>
      </w:pPr>
    </w:p>
    <w:p w:rsidR="00BB3410" w:rsidP="005C4246" w14:paraId="5BA12778" w14:textId="64185838">
      <w:pPr>
        <w:pBdr>
          <w:top w:val="single" w:sz="6" w:space="0" w:color="FFFFFF"/>
          <w:left w:val="single" w:sz="6" w:space="0" w:color="FFFFFF"/>
          <w:bottom w:val="single" w:sz="6" w:space="0" w:color="FFFFFF"/>
          <w:right w:val="single" w:sz="6" w:space="0" w:color="FFFFFF"/>
        </w:pBdr>
        <w:spacing w:before="60"/>
        <w:rPr>
          <w:color w:val="000000" w:themeColor="text1"/>
        </w:rPr>
      </w:pPr>
      <w:r w:rsidRPr="56D9BFF8">
        <w:rPr>
          <w:color w:val="000000" w:themeColor="text1"/>
        </w:rPr>
        <w:t xml:space="preserve">These rates are from the Office of Personnel Management (OPM), </w:t>
      </w:r>
      <w:r>
        <w:rPr>
          <w:color w:val="000000" w:themeColor="text1"/>
        </w:rPr>
        <w:t>2023</w:t>
      </w:r>
      <w:r w:rsidRPr="56D9BFF8">
        <w:rPr>
          <w:color w:val="000000" w:themeColor="text1"/>
        </w:rPr>
        <w:t xml:space="preserve"> General Schedule, which excludes locality rates of pay. The rates have been increased by 60 percent to account for the benefit packages available to </w:t>
      </w:r>
      <w:r>
        <w:rPr>
          <w:color w:val="000000" w:themeColor="text1"/>
        </w:rPr>
        <w:t xml:space="preserve">Federal </w:t>
      </w:r>
      <w:r>
        <w:rPr>
          <w:color w:val="000000" w:themeColor="text1"/>
        </w:rPr>
        <w:t>g</w:t>
      </w:r>
      <w:r w:rsidRPr="56D9BFF8">
        <w:rPr>
          <w:color w:val="000000" w:themeColor="text1"/>
        </w:rPr>
        <w:t>overnment employees</w:t>
      </w:r>
      <w:r>
        <w:t xml:space="preserve">. </w:t>
      </w:r>
      <w:r w:rsidRPr="56D9BFF8">
        <w:rPr>
          <w:color w:val="000000" w:themeColor="text1"/>
        </w:rPr>
        <w:t>Details upon which this estimate is based appear at the end of this document in Table</w:t>
      </w:r>
      <w:r>
        <w:rPr>
          <w:color w:val="000000" w:themeColor="text1"/>
        </w:rPr>
        <w:t>s</w:t>
      </w:r>
      <w:r w:rsidRPr="56D9BFF8">
        <w:rPr>
          <w:color w:val="000000" w:themeColor="text1"/>
        </w:rPr>
        <w:t xml:space="preserve"> 2</w:t>
      </w:r>
      <w:r>
        <w:rPr>
          <w:color w:val="000000" w:themeColor="text1"/>
        </w:rPr>
        <w:t>a</w:t>
      </w:r>
      <w:r w:rsidRPr="56D9BFF8">
        <w:rPr>
          <w:color w:val="000000" w:themeColor="text1"/>
        </w:rPr>
        <w:t xml:space="preserve">: </w:t>
      </w:r>
      <w:r>
        <w:t xml:space="preserve">Average Annual EPA Burden and Cost </w:t>
      </w:r>
      <w:r w:rsidRPr="00283F6E">
        <w:rPr>
          <w:color w:val="000000"/>
        </w:rPr>
        <w:t xml:space="preserve">– NSPS for Onshore Natural Gas Processing Plants (40 CFR Part 60, Subpart KKK) (Renewal) and 2b: Average Annual EPA Burden and Costs </w:t>
      </w:r>
      <w:r>
        <w:t>–</w:t>
      </w:r>
      <w:r w:rsidRPr="56D9BFF8">
        <w:rPr>
          <w:color w:val="000000" w:themeColor="text1"/>
        </w:rPr>
        <w:t xml:space="preserve"> </w:t>
      </w:r>
      <w:r w:rsidRPr="004E0302">
        <w:rPr>
          <w:color w:val="000000" w:themeColor="text1"/>
        </w:rPr>
        <w:t>NSPS for Onshore Natural Gas Processing Plants (40 CFR Part 60, Subpart LLL) (Renewal).</w:t>
      </w:r>
    </w:p>
    <w:p w:rsidR="00AD2146" w:rsidRPr="00BB3410" w:rsidP="009F05D1" w14:paraId="40C7839D" w14:textId="5F1F27B6">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3C677A">
        <w:t>We assume that burdens for managerial tasks take 5% of the time required for technical tasks</w:t>
      </w:r>
      <w:r>
        <w:t>,</w:t>
      </w:r>
      <w:r w:rsidRPr="003C677A">
        <w:t xml:space="preserve"> because the typical tasks for managers are to review and approve reports. Clerical burdens are assumed to take 10% of the time required for technical tasks</w:t>
      </w:r>
      <w:r>
        <w:t>,</w:t>
      </w:r>
      <w:r w:rsidRPr="003C677A">
        <w:t xml:space="preserve"> because the typical duties of clerical staff are to proofread the reports, make copies</w:t>
      </w:r>
      <w:r>
        <w:t>,</w:t>
      </w:r>
      <w:r w:rsidRPr="003C677A">
        <w:t xml:space="preserve">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6EA90F8F">
      <w:pPr>
        <w:spacing w:before="60"/>
        <w:rPr>
          <w:rFonts w:cstheme="minorHAnsi"/>
        </w:rPr>
      </w:pPr>
      <w:r>
        <w:rPr>
          <w:rFonts w:cstheme="minorHAnsi"/>
        </w:rPr>
        <w:t>There are no Agency non-labor costs.</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4"/>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32356F" w:rsidP="0032356F" w14:paraId="18F76AB6" w14:textId="3499B831">
      <w:pPr>
        <w:ind w:firstLine="720"/>
      </w:pPr>
      <w:bookmarkStart w:id="25" w:name="_Hlk141271145"/>
      <w:r w:rsidRPr="00336B1F">
        <w:t xml:space="preserve">There is an adjustment decrease in the total estimated burden as currently identified in the OMB Inventory of Approved Burdens. This </w:t>
      </w:r>
      <w:r>
        <w:t>decrease</w:t>
      </w:r>
      <w:r w:rsidRPr="00336B1F">
        <w:t xml:space="preserve"> is not due to any program changes. </w:t>
      </w:r>
      <w:r w:rsidRPr="00E36379">
        <w:t xml:space="preserve">The change in the burden and cost estimates occurred because the number of respondents subject to these requirements has decreased as those respondents modify their sources and become subject to another NSPS standard. </w:t>
      </w:r>
      <w:r>
        <w:t xml:space="preserve">This estimate assumes the same growth rate as stated in the previous ICR. </w:t>
      </w:r>
      <w:r w:rsidRPr="00E36379">
        <w:t xml:space="preserve">As sources subject to </w:t>
      </w:r>
      <w:r>
        <w:t xml:space="preserve">NSPS </w:t>
      </w:r>
      <w:r w:rsidRPr="00E36379">
        <w:t xml:space="preserve">Subparts KKK and LLL modify, they become subject to NSPS Subpart </w:t>
      </w:r>
      <w:r w:rsidRPr="00E36379">
        <w:t>OOOO</w:t>
      </w:r>
      <w:r>
        <w:t>a</w:t>
      </w:r>
      <w:r>
        <w:t xml:space="preserve"> and cease being subject to NSPS Subparts KKK and LLL</w:t>
      </w:r>
      <w:r w:rsidRPr="00E36379">
        <w:t>.</w:t>
      </w:r>
      <w:r>
        <w:t xml:space="preserve"> Although there is a decrease in the overall burden, there is an increase in the operation &amp; maintenance costs due to an adjustment to </w:t>
      </w:r>
      <w:r w:rsidRPr="006B1A22">
        <w:t>increase from 2008 to 2022 $ using the CEPCI Equipment Cost Index.</w:t>
      </w:r>
      <w:bookmarkEnd w:id="25"/>
    </w:p>
    <w:p w:rsidR="005D140B" w:rsidRPr="00163C69" w:rsidP="4BDBF0A0" w14:paraId="3604F417" w14:textId="5D0F3160">
      <w:pPr>
        <w:pStyle w:val="ListParagraph"/>
        <w:numPr>
          <w:ilvl w:val="0"/>
          <w:numId w:val="27"/>
        </w:numPr>
        <w:spacing w:before="240" w:after="0"/>
        <w:rPr>
          <w:b/>
          <w:bCs/>
        </w:rPr>
      </w:pPr>
      <w:bookmarkStart w:id="26" w:name="_Toc156593389"/>
      <w:r w:rsidRPr="4BDBF0A0">
        <w:rPr>
          <w:b/>
          <w:bCs/>
        </w:rPr>
        <w:t xml:space="preserve">PUBLICATION OF </w:t>
      </w:r>
      <w:bookmarkStart w:id="27" w:name="_Toc156593390"/>
      <w:bookmarkEnd w:id="26"/>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E12797" w14:paraId="5CBE5491" w14:textId="77FF1688">
      <w:r w:rsidRPr="00FC40A4">
        <w:t>Although this rule does not require electronic reporting, respondents could cho</w:t>
      </w:r>
      <w:r>
        <w:t>o</w:t>
      </w:r>
      <w:r w:rsidRPr="00FC40A4">
        <w:t>se to submit notifications or reports electronically.</w:t>
      </w:r>
      <w:r>
        <w:t xml:space="preserve"> </w:t>
      </w:r>
      <w:r w:rsidRPr="00C161AD">
        <w:t xml:space="preserve">All non-CBI data submitted electronically to the Agency through CEDRI are available to the public for review and printing and are accessible using </w:t>
      </w:r>
      <w:r w:rsidRPr="00C161AD">
        <w:t>WebFIRE</w:t>
      </w:r>
      <w:r w:rsidRPr="00C161AD">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0" w:history="1">
        <w:r w:rsidRPr="00C161AD">
          <w:rPr>
            <w:rStyle w:val="Hyperlink"/>
          </w:rPr>
          <w:t>https://www.epa.gov/chief/chief-listserv</w:t>
        </w:r>
      </w:hyperlink>
      <w:r w:rsidRPr="00C161AD">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1" w:history="1">
        <w:r w:rsidRPr="00C161AD">
          <w:rPr>
            <w:rStyle w:val="Hyperlink"/>
          </w:rPr>
          <w:t>https://www.regulations.gov/</w:t>
        </w:r>
      </w:hyperlink>
      <w:r w:rsidRPr="00C161AD">
        <w:t xml:space="preserve">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7"/>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5BE7F1D1">
      <w:pPr>
        <w:pBdr>
          <w:top w:val="single" w:sz="6" w:space="0" w:color="FFFFFF"/>
          <w:left w:val="single" w:sz="6" w:space="0" w:color="FFFFFF"/>
          <w:bottom w:val="single" w:sz="6" w:space="0" w:color="FFFFFF"/>
          <w:right w:val="single" w:sz="6" w:space="0" w:color="FFFFFF"/>
        </w:pBdr>
      </w:pPr>
      <w:r>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8" w:name="_Toc156593391"/>
      <w:r w:rsidRPr="00163C69">
        <w:rPr>
          <w:rFonts w:cstheme="minorHAnsi"/>
          <w:b/>
          <w:bCs/>
        </w:rPr>
        <w:t>CERTIFICATION STATEMENT</w:t>
      </w:r>
      <w:bookmarkEnd w:id="28"/>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AD2146" w:rsidP="00DE7D97" w14:paraId="61A1C983" w14:textId="77777777">
      <w:pPr>
        <w:pBdr>
          <w:top w:val="single" w:sz="6" w:space="0" w:color="FFFFFF"/>
          <w:left w:val="single" w:sz="6" w:space="0" w:color="FFFFFF"/>
          <w:bottom w:val="single" w:sz="6" w:space="0" w:color="FFFFFF"/>
          <w:right w:val="single" w:sz="6" w:space="0" w:color="FFFFFF"/>
        </w:pBdr>
        <w:sectPr w:rsidSect="00DE7D97">
          <w:footerReference w:type="default" r:id="rId12"/>
          <w:pgSz w:w="12240" w:h="15840"/>
          <w:pgMar w:top="1440" w:right="1440" w:bottom="1440" w:left="1440" w:header="720" w:footer="720" w:gutter="0"/>
          <w:cols w:space="720"/>
          <w:docGrid w:linePitch="360"/>
        </w:sectPr>
      </w:pPr>
      <w:r>
        <w:t>There are not exceptions to the topics of the certification statement.</w:t>
      </w:r>
    </w:p>
    <w:tbl>
      <w:tblPr>
        <w:tblW w:w="14231" w:type="dxa"/>
        <w:tblInd w:w="-540" w:type="dxa"/>
        <w:tblLook w:val="04A0"/>
      </w:tblPr>
      <w:tblGrid>
        <w:gridCol w:w="3260"/>
        <w:gridCol w:w="1349"/>
        <w:gridCol w:w="1443"/>
        <w:gridCol w:w="1363"/>
        <w:gridCol w:w="1523"/>
        <w:gridCol w:w="1216"/>
        <w:gridCol w:w="1563"/>
        <w:gridCol w:w="1029"/>
        <w:gridCol w:w="1685"/>
      </w:tblGrid>
      <w:tr w14:paraId="4DE2D019" w14:textId="77777777" w:rsidTr="001F4553">
        <w:tblPrEx>
          <w:tblW w:w="14231" w:type="dxa"/>
          <w:tblInd w:w="-540" w:type="dxa"/>
          <w:tblLook w:val="04A0"/>
        </w:tblPrEx>
        <w:trPr>
          <w:trHeight w:val="315"/>
        </w:trPr>
        <w:tc>
          <w:tcPr>
            <w:tcW w:w="14231" w:type="dxa"/>
            <w:gridSpan w:val="9"/>
            <w:tcBorders>
              <w:top w:val="nil"/>
              <w:left w:val="nil"/>
              <w:bottom w:val="nil"/>
              <w:right w:val="nil"/>
            </w:tcBorders>
            <w:shd w:val="clear" w:color="auto" w:fill="auto"/>
            <w:hideMark/>
          </w:tcPr>
          <w:p w:rsidR="00AD2146" w:rsidRPr="005041CF" w:rsidP="001F4553" w14:paraId="6A39FE6F" w14:textId="77777777">
            <w:pPr>
              <w:pStyle w:val="Heading1"/>
              <w:rPr>
                <w:rFonts w:ascii="Times New Roman" w:hAnsi="Times New Roman" w:cs="Times New Roman"/>
                <w:b/>
                <w:bCs/>
                <w:sz w:val="24"/>
                <w:szCs w:val="24"/>
              </w:rPr>
            </w:pPr>
            <w:r w:rsidRPr="005041CF">
              <w:rPr>
                <w:rFonts w:ascii="Times New Roman" w:hAnsi="Times New Roman" w:cs="Times New Roman"/>
                <w:b/>
                <w:bCs/>
                <w:color w:val="auto"/>
                <w:sz w:val="24"/>
                <w:szCs w:val="24"/>
              </w:rPr>
              <w:t>Table 1a: Annual Respondent Burden and Cost - NSPS for Onshore Natural Gas Processing Plants (40 CFR Part 60, Subpart KKK) (Renewal)</w:t>
            </w:r>
          </w:p>
        </w:tc>
      </w:tr>
      <w:tr w14:paraId="57317734" w14:textId="77777777" w:rsidTr="001F4553">
        <w:tblPrEx>
          <w:tblW w:w="14231" w:type="dxa"/>
          <w:tblInd w:w="-540" w:type="dxa"/>
          <w:tblLook w:val="04A0"/>
        </w:tblPrEx>
        <w:trPr>
          <w:trHeight w:val="315"/>
        </w:trPr>
        <w:tc>
          <w:tcPr>
            <w:tcW w:w="3060" w:type="dxa"/>
            <w:tcBorders>
              <w:top w:val="nil"/>
              <w:left w:val="nil"/>
              <w:bottom w:val="nil"/>
              <w:right w:val="nil"/>
            </w:tcBorders>
            <w:shd w:val="clear" w:color="auto" w:fill="auto"/>
            <w:noWrap/>
            <w:vAlign w:val="bottom"/>
            <w:hideMark/>
          </w:tcPr>
          <w:p w:rsidR="00AD2146" w:rsidRPr="00E36379" w:rsidP="001F4553" w14:paraId="11563EE1" w14:textId="77777777">
            <w:pPr>
              <w:rPr>
                <w:b/>
                <w:bCs/>
                <w:color w:val="000000"/>
              </w:rPr>
            </w:pPr>
          </w:p>
        </w:tc>
        <w:tc>
          <w:tcPr>
            <w:tcW w:w="1349" w:type="dxa"/>
            <w:tcBorders>
              <w:top w:val="nil"/>
              <w:left w:val="nil"/>
              <w:bottom w:val="nil"/>
              <w:right w:val="nil"/>
            </w:tcBorders>
            <w:shd w:val="clear" w:color="auto" w:fill="auto"/>
            <w:noWrap/>
            <w:vAlign w:val="bottom"/>
            <w:hideMark/>
          </w:tcPr>
          <w:p w:rsidR="00AD2146" w:rsidRPr="00E36379" w:rsidP="001F4553" w14:paraId="34B6F184"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E36379" w:rsidP="001F4553" w14:paraId="695C1C22" w14:textId="77777777">
            <w:pPr>
              <w:rPr>
                <w:sz w:val="20"/>
                <w:szCs w:val="20"/>
              </w:rPr>
            </w:pPr>
          </w:p>
        </w:tc>
        <w:tc>
          <w:tcPr>
            <w:tcW w:w="1363" w:type="dxa"/>
            <w:tcBorders>
              <w:top w:val="nil"/>
              <w:left w:val="nil"/>
              <w:bottom w:val="nil"/>
              <w:right w:val="nil"/>
            </w:tcBorders>
            <w:shd w:val="clear" w:color="auto" w:fill="auto"/>
            <w:noWrap/>
            <w:vAlign w:val="bottom"/>
            <w:hideMark/>
          </w:tcPr>
          <w:p w:rsidR="00AD2146" w:rsidRPr="00E36379" w:rsidP="001F4553" w14:paraId="0DB033A0" w14:textId="77777777">
            <w:pPr>
              <w:rPr>
                <w:sz w:val="20"/>
                <w:szCs w:val="20"/>
              </w:rPr>
            </w:pPr>
          </w:p>
        </w:tc>
        <w:tc>
          <w:tcPr>
            <w:tcW w:w="1523" w:type="dxa"/>
            <w:tcBorders>
              <w:top w:val="nil"/>
              <w:left w:val="nil"/>
              <w:bottom w:val="nil"/>
              <w:right w:val="nil"/>
            </w:tcBorders>
            <w:shd w:val="clear" w:color="auto" w:fill="auto"/>
            <w:noWrap/>
            <w:vAlign w:val="bottom"/>
            <w:hideMark/>
          </w:tcPr>
          <w:p w:rsidR="00AD2146" w:rsidRPr="00E36379" w:rsidP="001F4553" w14:paraId="3BB92A7C"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E36379" w:rsidP="001F4553" w14:paraId="499FBB13"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E36379" w:rsidP="001F4553" w14:paraId="0FD8B48D"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E36379" w:rsidP="001F4553" w14:paraId="0793473D" w14:textId="77777777">
            <w:pPr>
              <w:rPr>
                <w:sz w:val="20"/>
                <w:szCs w:val="20"/>
              </w:rPr>
            </w:pPr>
          </w:p>
        </w:tc>
        <w:tc>
          <w:tcPr>
            <w:tcW w:w="1685" w:type="dxa"/>
            <w:tcBorders>
              <w:top w:val="nil"/>
              <w:left w:val="nil"/>
              <w:bottom w:val="nil"/>
              <w:right w:val="nil"/>
            </w:tcBorders>
            <w:shd w:val="clear" w:color="auto" w:fill="auto"/>
            <w:noWrap/>
            <w:vAlign w:val="bottom"/>
            <w:hideMark/>
          </w:tcPr>
          <w:p w:rsidR="00AD2146" w:rsidRPr="00E36379" w:rsidP="001F4553" w14:paraId="3820A39C" w14:textId="77777777">
            <w:pPr>
              <w:rPr>
                <w:sz w:val="20"/>
                <w:szCs w:val="20"/>
              </w:rPr>
            </w:pPr>
          </w:p>
        </w:tc>
      </w:tr>
      <w:tr w14:paraId="3CB09F09" w14:textId="77777777" w:rsidTr="001F4553">
        <w:tblPrEx>
          <w:tblW w:w="14231" w:type="dxa"/>
          <w:tblInd w:w="-540" w:type="dxa"/>
          <w:tblLook w:val="04A0"/>
        </w:tblPrEx>
        <w:trPr>
          <w:trHeight w:val="18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46" w:rsidRPr="00E36379" w:rsidP="001F4553" w14:paraId="1FB6F66F" w14:textId="77777777">
            <w:pPr>
              <w:jc w:val="center"/>
              <w:rPr>
                <w:b/>
                <w:bCs/>
                <w:color w:val="000000"/>
              </w:rPr>
            </w:pPr>
            <w:r w:rsidRPr="00E36379">
              <w:rPr>
                <w:b/>
                <w:bCs/>
                <w:color w:val="000000"/>
              </w:rPr>
              <w:t>Burden Item</w:t>
            </w:r>
          </w:p>
        </w:tc>
        <w:tc>
          <w:tcPr>
            <w:tcW w:w="1349"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4918D36B" w14:textId="77777777">
            <w:pPr>
              <w:jc w:val="center"/>
              <w:rPr>
                <w:b/>
                <w:bCs/>
                <w:color w:val="000000"/>
              </w:rPr>
            </w:pPr>
            <w:r w:rsidRPr="00E36379">
              <w:rPr>
                <w:b/>
                <w:bCs/>
                <w:color w:val="000000"/>
              </w:rPr>
              <w:t xml:space="preserve">(A) </w:t>
            </w:r>
            <w:r w:rsidRPr="00E36379">
              <w:rPr>
                <w:b/>
                <w:bCs/>
                <w:color w:val="000000"/>
              </w:rPr>
              <w:br/>
              <w:t>Person- hours per occurrence</w:t>
            </w:r>
          </w:p>
        </w:tc>
        <w:tc>
          <w:tcPr>
            <w:tcW w:w="1443"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58739A91" w14:textId="77777777">
            <w:pPr>
              <w:jc w:val="center"/>
              <w:rPr>
                <w:b/>
                <w:bCs/>
                <w:color w:val="000000"/>
              </w:rPr>
            </w:pPr>
            <w:r w:rsidRPr="00E36379">
              <w:rPr>
                <w:b/>
                <w:bCs/>
                <w:color w:val="000000"/>
              </w:rPr>
              <w:t xml:space="preserve">(B) </w:t>
            </w:r>
            <w:r w:rsidRPr="00E36379">
              <w:rPr>
                <w:b/>
                <w:bCs/>
                <w:color w:val="000000"/>
              </w:rPr>
              <w:br/>
              <w:t>No. of occurrences per respondent per year</w:t>
            </w:r>
          </w:p>
        </w:tc>
        <w:tc>
          <w:tcPr>
            <w:tcW w:w="1363"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65FD9FB0" w14:textId="77777777">
            <w:pPr>
              <w:jc w:val="center"/>
              <w:rPr>
                <w:b/>
                <w:bCs/>
                <w:color w:val="000000"/>
              </w:rPr>
            </w:pPr>
            <w:r w:rsidRPr="00E36379">
              <w:rPr>
                <w:b/>
                <w:bCs/>
                <w:color w:val="000000"/>
              </w:rPr>
              <w:t xml:space="preserve">(C) </w:t>
            </w:r>
            <w:r w:rsidRPr="00E36379">
              <w:rPr>
                <w:b/>
                <w:bCs/>
                <w:color w:val="000000"/>
              </w:rPr>
              <w:br/>
              <w:t>Person- hours per respondent per year (</w:t>
            </w:r>
            <w:r w:rsidRPr="00E36379">
              <w:rPr>
                <w:b/>
                <w:bCs/>
                <w:color w:val="000000"/>
              </w:rPr>
              <w:t>AxB</w:t>
            </w:r>
            <w:r w:rsidRPr="00E36379">
              <w:rPr>
                <w:b/>
                <w:bCs/>
                <w:color w:val="000000"/>
              </w:rPr>
              <w:t>)</w:t>
            </w:r>
          </w:p>
        </w:tc>
        <w:tc>
          <w:tcPr>
            <w:tcW w:w="1523"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4DE41C2C" w14:textId="77777777">
            <w:pPr>
              <w:jc w:val="center"/>
              <w:rPr>
                <w:b/>
                <w:bCs/>
                <w:color w:val="000000"/>
              </w:rPr>
            </w:pPr>
            <w:r w:rsidRPr="00E36379">
              <w:rPr>
                <w:b/>
                <w:bCs/>
                <w:color w:val="000000"/>
              </w:rPr>
              <w:t xml:space="preserve">(D) Respondents per </w:t>
            </w:r>
            <w:r w:rsidRPr="00E36379">
              <w:rPr>
                <w:b/>
                <w:bCs/>
                <w:color w:val="000000"/>
              </w:rPr>
              <w:t>year</w:t>
            </w:r>
            <w:r w:rsidRPr="00E36379">
              <w:rPr>
                <w:b/>
                <w:bCs/>
                <w:color w:val="000000"/>
                <w:vertAlign w:val="superscript"/>
              </w:rPr>
              <w:t>a</w:t>
            </w:r>
          </w:p>
        </w:tc>
        <w:tc>
          <w:tcPr>
            <w:tcW w:w="1216"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431999C7" w14:textId="77777777">
            <w:pPr>
              <w:jc w:val="center"/>
              <w:rPr>
                <w:b/>
                <w:bCs/>
                <w:color w:val="000000"/>
              </w:rPr>
            </w:pPr>
            <w:r w:rsidRPr="00E36379">
              <w:rPr>
                <w:b/>
                <w:bCs/>
                <w:color w:val="000000"/>
              </w:rPr>
              <w:t xml:space="preserve">(E) Technical person- hours per year </w:t>
            </w:r>
            <w:r w:rsidRPr="00E36379">
              <w:rPr>
                <w:b/>
                <w:bCs/>
                <w:color w:val="000000"/>
              </w:rPr>
              <w:br/>
              <w:t>(</w:t>
            </w:r>
            <w:r w:rsidRPr="00E36379">
              <w:rPr>
                <w:b/>
                <w:bCs/>
                <w:color w:val="000000"/>
              </w:rPr>
              <w:t>CxD</w:t>
            </w:r>
            <w:r w:rsidRPr="00E36379">
              <w:rPr>
                <w:b/>
                <w:bCs/>
                <w:color w:val="000000"/>
              </w:rPr>
              <w:t>)</w:t>
            </w:r>
          </w:p>
        </w:tc>
        <w:tc>
          <w:tcPr>
            <w:tcW w:w="1563"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482D404F" w14:textId="77777777">
            <w:pPr>
              <w:jc w:val="center"/>
              <w:rPr>
                <w:b/>
                <w:bCs/>
                <w:color w:val="000000"/>
              </w:rPr>
            </w:pPr>
            <w:r w:rsidRPr="00E36379">
              <w:rPr>
                <w:b/>
                <w:bCs/>
                <w:color w:val="000000"/>
              </w:rPr>
              <w:t xml:space="preserve">(F) </w:t>
            </w:r>
            <w:r w:rsidRPr="00E36379">
              <w:rPr>
                <w:b/>
                <w:bCs/>
                <w:color w:val="000000"/>
              </w:rPr>
              <w:br/>
              <w:t>Management person-hours per year (Ex0.05)</w:t>
            </w:r>
          </w:p>
        </w:tc>
        <w:tc>
          <w:tcPr>
            <w:tcW w:w="1029"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0B08E873" w14:textId="77777777">
            <w:pPr>
              <w:jc w:val="center"/>
              <w:rPr>
                <w:b/>
                <w:bCs/>
                <w:color w:val="000000"/>
              </w:rPr>
            </w:pPr>
            <w:r w:rsidRPr="00E36379">
              <w:rPr>
                <w:b/>
                <w:bCs/>
                <w:color w:val="000000"/>
              </w:rPr>
              <w:t xml:space="preserve">(G) </w:t>
            </w:r>
            <w:r w:rsidRPr="00E36379">
              <w:rPr>
                <w:b/>
                <w:bCs/>
                <w:color w:val="000000"/>
              </w:rPr>
              <w:br/>
              <w:t xml:space="preserve">Clerical person-hours per year </w:t>
            </w:r>
            <w:r w:rsidRPr="00E36379">
              <w:rPr>
                <w:b/>
                <w:bCs/>
                <w:color w:val="000000"/>
              </w:rPr>
              <w:br/>
              <w:t>(Ex0.1)</w:t>
            </w:r>
          </w:p>
        </w:tc>
        <w:tc>
          <w:tcPr>
            <w:tcW w:w="1685" w:type="dxa"/>
            <w:tcBorders>
              <w:top w:val="single" w:sz="4" w:space="0" w:color="auto"/>
              <w:left w:val="nil"/>
              <w:bottom w:val="single" w:sz="4" w:space="0" w:color="auto"/>
              <w:right w:val="single" w:sz="4" w:space="0" w:color="auto"/>
            </w:tcBorders>
            <w:shd w:val="clear" w:color="auto" w:fill="auto"/>
            <w:hideMark/>
          </w:tcPr>
          <w:p w:rsidR="00AD2146" w:rsidRPr="00E36379" w:rsidP="001F4553" w14:paraId="6FCA3DC5" w14:textId="77777777">
            <w:pPr>
              <w:jc w:val="center"/>
              <w:rPr>
                <w:b/>
                <w:bCs/>
                <w:color w:val="000000"/>
              </w:rPr>
            </w:pPr>
            <w:r w:rsidRPr="00E36379">
              <w:rPr>
                <w:b/>
                <w:bCs/>
                <w:color w:val="000000"/>
              </w:rPr>
              <w:t xml:space="preserve">(H) </w:t>
            </w:r>
            <w:r w:rsidRPr="00E36379">
              <w:rPr>
                <w:b/>
                <w:bCs/>
                <w:color w:val="000000"/>
              </w:rPr>
              <w:br/>
              <w:t xml:space="preserve">Cost </w:t>
            </w:r>
            <w:r w:rsidRPr="00E36379">
              <w:rPr>
                <w:b/>
                <w:bCs/>
                <w:color w:val="000000"/>
                <w:vertAlign w:val="superscript"/>
              </w:rPr>
              <w:t>b</w:t>
            </w:r>
            <w:r w:rsidRPr="00E36379">
              <w:rPr>
                <w:b/>
                <w:bCs/>
                <w:color w:val="000000"/>
              </w:rPr>
              <w:t xml:space="preserve"> </w:t>
            </w:r>
          </w:p>
        </w:tc>
      </w:tr>
      <w:tr w14:paraId="0AB4C1D4"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5ED1E878" w14:textId="77777777">
            <w:pPr>
              <w:rPr>
                <w:color w:val="000000"/>
              </w:rPr>
            </w:pPr>
            <w:r w:rsidRPr="00E36379">
              <w:rPr>
                <w:color w:val="000000"/>
              </w:rPr>
              <w:t>1.</w:t>
            </w:r>
            <w:r>
              <w:rPr>
                <w:color w:val="000000"/>
              </w:rPr>
              <w:t xml:space="preserve"> </w:t>
            </w:r>
            <w:r w:rsidRPr="00E36379">
              <w:rPr>
                <w:color w:val="000000"/>
              </w:rPr>
              <w:t>Applications</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E36379" w:rsidP="001F4553" w14:paraId="35D03962" w14:textId="77777777">
            <w:pPr>
              <w:jc w:val="center"/>
              <w:rPr>
                <w:color w:val="000000"/>
              </w:rPr>
            </w:pPr>
            <w:r>
              <w:rPr>
                <w:color w:val="000000"/>
              </w:rPr>
              <w:t>N/A</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10362CC3" w14:textId="77777777">
            <w:pPr>
              <w:jc w:val="center"/>
              <w:rPr>
                <w:color w:val="000000"/>
              </w:rPr>
            </w:pPr>
            <w:r>
              <w:rPr>
                <w:color w:val="000000"/>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095FE53F" w14:textId="77777777">
            <w:pPr>
              <w:jc w:val="center"/>
              <w:rPr>
                <w:color w:val="000000"/>
              </w:rPr>
            </w:pPr>
            <w:r>
              <w:rPr>
                <w:color w:val="000000"/>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3EEA6266" w14:textId="77777777">
            <w:pPr>
              <w:jc w:val="center"/>
              <w:rPr>
                <w:color w:val="000000"/>
              </w:rPr>
            </w:pPr>
            <w:r>
              <w:rPr>
                <w:color w:val="000000"/>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40CDCBF4" w14:textId="77777777">
            <w:pPr>
              <w:jc w:val="center"/>
              <w:rPr>
                <w:color w:val="000000"/>
              </w:rPr>
            </w:pPr>
            <w:r>
              <w:rPr>
                <w:color w:val="000000"/>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321634DF" w14:textId="77777777">
            <w:pPr>
              <w:jc w:val="center"/>
              <w:rPr>
                <w:color w:val="000000"/>
              </w:rPr>
            </w:pPr>
            <w:r>
              <w:rPr>
                <w:color w:val="000000"/>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18F711B3" w14:textId="77777777">
            <w:pPr>
              <w:jc w:val="center"/>
              <w:rPr>
                <w:color w:val="000000"/>
              </w:rPr>
            </w:pPr>
            <w:r>
              <w:rPr>
                <w:color w:val="000000"/>
              </w:rPr>
              <w:t> </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596ECCD4" w14:textId="77777777">
            <w:pPr>
              <w:jc w:val="right"/>
              <w:rPr>
                <w:color w:val="000000"/>
              </w:rPr>
            </w:pPr>
            <w:r>
              <w:rPr>
                <w:color w:val="000000"/>
              </w:rPr>
              <w:t> </w:t>
            </w:r>
          </w:p>
        </w:tc>
      </w:tr>
      <w:tr w14:paraId="05E5E565"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537C8934" w14:textId="77777777">
            <w:pPr>
              <w:rPr>
                <w:color w:val="000000"/>
              </w:rPr>
            </w:pPr>
            <w:r w:rsidRPr="00E36379">
              <w:rPr>
                <w:color w:val="000000"/>
              </w:rPr>
              <w:t>2.</w:t>
            </w:r>
            <w:r>
              <w:rPr>
                <w:color w:val="000000"/>
              </w:rPr>
              <w:t xml:space="preserve"> </w:t>
            </w:r>
            <w:r w:rsidRPr="00E36379">
              <w:rPr>
                <w:color w:val="000000"/>
              </w:rPr>
              <w:t>Survey and Studies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6BA869A7"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36EA1CBC"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4E5D35E2"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68E8F3EB"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4BE26FE3"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48EB386C"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2E062BA"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753824BA" w14:textId="77777777">
            <w:pPr>
              <w:jc w:val="right"/>
              <w:rPr>
                <w:color w:val="000000"/>
              </w:rPr>
            </w:pPr>
            <w:r>
              <w:rPr>
                <w:color w:val="000000"/>
              </w:rPr>
              <w:t> </w:t>
            </w:r>
          </w:p>
        </w:tc>
      </w:tr>
      <w:tr w14:paraId="6FFCADD1"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5F9DF46F" w14:textId="77777777">
            <w:pPr>
              <w:rPr>
                <w:color w:val="000000"/>
              </w:rPr>
            </w:pPr>
            <w:r w:rsidRPr="00E36379">
              <w:rPr>
                <w:color w:val="000000"/>
              </w:rPr>
              <w:t>3.</w:t>
            </w:r>
            <w:r>
              <w:rPr>
                <w:color w:val="000000"/>
              </w:rPr>
              <w:t xml:space="preserve"> </w:t>
            </w:r>
            <w:r w:rsidRPr="00E36379">
              <w:rPr>
                <w:color w:val="000000"/>
              </w:rPr>
              <w:t>Reporting requirements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9B72EA0" w14:textId="77777777">
            <w:pPr>
              <w:jc w:val="center"/>
              <w:rPr>
                <w:color w:val="000000"/>
              </w:rPr>
            </w:pPr>
            <w:r>
              <w:rPr>
                <w:color w:val="000000"/>
              </w:rPr>
              <w:t xml:space="preserve"> </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138483F9"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5DC7A4BF"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4F08238E"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0648D535"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332804D5"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214E2A29"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4EB42502" w14:textId="77777777">
            <w:pPr>
              <w:jc w:val="right"/>
              <w:rPr>
                <w:color w:val="000000"/>
              </w:rPr>
            </w:pPr>
            <w:r>
              <w:rPr>
                <w:color w:val="000000"/>
              </w:rPr>
              <w:t> </w:t>
            </w:r>
          </w:p>
        </w:tc>
      </w:tr>
      <w:tr w14:paraId="23B014DD" w14:textId="77777777" w:rsidTr="001F4553">
        <w:tblPrEx>
          <w:tblW w:w="14231" w:type="dxa"/>
          <w:tblInd w:w="-540" w:type="dxa"/>
          <w:tblLook w:val="04A0"/>
        </w:tblPrEx>
        <w:trPr>
          <w:trHeight w:val="630"/>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4BA520F0" w14:textId="77777777">
            <w:pPr>
              <w:ind w:left="521" w:hanging="270"/>
              <w:rPr>
                <w:color w:val="000000"/>
              </w:rPr>
            </w:pPr>
            <w:r w:rsidRPr="00E36379">
              <w:rPr>
                <w:color w:val="000000"/>
              </w:rPr>
              <w:t>A.</w:t>
            </w:r>
            <w:r>
              <w:rPr>
                <w:color w:val="000000"/>
              </w:rPr>
              <w:t xml:space="preserve"> </w:t>
            </w:r>
            <w:r w:rsidRPr="00E36379">
              <w:rPr>
                <w:color w:val="000000"/>
              </w:rPr>
              <w:t>Familiarization with Regulatory Requirements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8ED7453" w14:textId="77777777">
            <w:pPr>
              <w:jc w:val="center"/>
              <w:rPr>
                <w:color w:val="000000"/>
              </w:rPr>
            </w:pPr>
            <w:r>
              <w:rPr>
                <w:color w:val="000000"/>
              </w:rPr>
              <w:t>1</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68946586"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2007A990" w14:textId="77777777">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6100B1A8" w14:textId="77777777">
            <w:pPr>
              <w:jc w:val="center"/>
              <w:rPr>
                <w:color w:val="000000"/>
              </w:rPr>
            </w:pPr>
            <w:r>
              <w:rPr>
                <w:color w:val="000000"/>
              </w:rPr>
              <w:t>291</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72AC6AA5" w14:textId="77777777">
            <w:pPr>
              <w:jc w:val="center"/>
              <w:rPr>
                <w:color w:val="000000"/>
              </w:rPr>
            </w:pPr>
            <w:r>
              <w:rPr>
                <w:color w:val="000000"/>
              </w:rPr>
              <w:t>291</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B843C5E" w14:textId="77777777">
            <w:pPr>
              <w:jc w:val="center"/>
              <w:rPr>
                <w:color w:val="000000"/>
              </w:rPr>
            </w:pPr>
            <w:r>
              <w:rPr>
                <w:color w:val="000000"/>
              </w:rPr>
              <w:t>15</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7B0CC8DF" w14:textId="77777777">
            <w:pPr>
              <w:jc w:val="center"/>
              <w:rPr>
                <w:color w:val="000000"/>
              </w:rPr>
            </w:pPr>
            <w:r>
              <w:rPr>
                <w:color w:val="000000"/>
              </w:rPr>
              <w:t>29</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34831457" w14:textId="77777777">
            <w:pPr>
              <w:jc w:val="right"/>
              <w:rPr>
                <w:color w:val="000000"/>
              </w:rPr>
            </w:pPr>
            <w:r>
              <w:rPr>
                <w:color w:val="000000"/>
              </w:rPr>
              <w:t xml:space="preserve">$42,197.76 </w:t>
            </w:r>
          </w:p>
        </w:tc>
      </w:tr>
      <w:tr w14:paraId="25467539"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351D3229" w14:textId="77777777">
            <w:pPr>
              <w:ind w:left="521" w:hanging="270"/>
              <w:rPr>
                <w:color w:val="000000"/>
              </w:rPr>
            </w:pPr>
            <w:r w:rsidRPr="00E36379">
              <w:rPr>
                <w:color w:val="000000"/>
              </w:rPr>
              <w:t>B.</w:t>
            </w:r>
            <w:r>
              <w:rPr>
                <w:color w:val="000000"/>
              </w:rPr>
              <w:t xml:space="preserve"> </w:t>
            </w:r>
            <w:r w:rsidRPr="00E36379">
              <w:rPr>
                <w:color w:val="000000"/>
              </w:rPr>
              <w:t>Required activities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3C1A1A7F"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50775E8A"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0E72BD43"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62D360BF"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62335C12"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676012D3"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6BBF2541"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1F053171" w14:textId="77777777">
            <w:pPr>
              <w:jc w:val="right"/>
              <w:rPr>
                <w:color w:val="000000"/>
              </w:rPr>
            </w:pPr>
            <w:r>
              <w:rPr>
                <w:color w:val="000000"/>
              </w:rPr>
              <w:t> </w:t>
            </w:r>
          </w:p>
        </w:tc>
      </w:tr>
      <w:tr w14:paraId="5ECA9AAC" w14:textId="77777777" w:rsidTr="001F4553">
        <w:tblPrEx>
          <w:tblW w:w="14231" w:type="dxa"/>
          <w:tblInd w:w="-540" w:type="dxa"/>
          <w:tblLook w:val="04A0"/>
        </w:tblPrEx>
        <w:trPr>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B0BD5E3" w14:textId="77777777">
            <w:pPr>
              <w:ind w:left="521"/>
              <w:rPr>
                <w:color w:val="000000"/>
              </w:rPr>
            </w:pPr>
            <w:r w:rsidRPr="00E36379">
              <w:rPr>
                <w:color w:val="000000"/>
              </w:rPr>
              <w:t xml:space="preserve">Notification of construction/reconstruction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30193890"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529BB0A5"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39D49CF5"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2C9635E0"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199DA82C"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04952A3"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27F408F7"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5808A5B9" w14:textId="77777777">
            <w:pPr>
              <w:jc w:val="right"/>
              <w:rPr>
                <w:color w:val="000000"/>
              </w:rPr>
            </w:pPr>
            <w:r>
              <w:rPr>
                <w:color w:val="000000"/>
              </w:rPr>
              <w:t xml:space="preserve">$0 </w:t>
            </w:r>
          </w:p>
        </w:tc>
      </w:tr>
      <w:tr w14:paraId="32BDD79D"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D9CAAFA" w14:textId="77777777">
            <w:pPr>
              <w:ind w:left="521"/>
              <w:rPr>
                <w:color w:val="000000"/>
              </w:rPr>
            </w:pPr>
            <w:r w:rsidRPr="00E36379">
              <w:rPr>
                <w:color w:val="000000"/>
              </w:rPr>
              <w:t>Notification of modification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E580147" w14:textId="77777777">
            <w:pPr>
              <w:jc w:val="center"/>
              <w:rPr>
                <w:color w:val="000000"/>
              </w:rPr>
            </w:pPr>
            <w:r>
              <w:rPr>
                <w:color w:val="000000"/>
              </w:rPr>
              <w:t>8</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3135CD12"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780901EE" w14:textId="77777777">
            <w:pPr>
              <w:jc w:val="center"/>
              <w:rPr>
                <w:color w:val="000000"/>
              </w:rPr>
            </w:pPr>
            <w:r>
              <w:rPr>
                <w:color w:val="000000"/>
              </w:rPr>
              <w:t>8</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0C9BF1DD"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559A5C10"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1DCAB52B"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49506EB"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6437261B" w14:textId="77777777">
            <w:pPr>
              <w:jc w:val="right"/>
              <w:rPr>
                <w:color w:val="000000"/>
              </w:rPr>
            </w:pPr>
            <w:r>
              <w:rPr>
                <w:color w:val="000000"/>
              </w:rPr>
              <w:t xml:space="preserve">$0 </w:t>
            </w:r>
          </w:p>
        </w:tc>
      </w:tr>
      <w:tr w14:paraId="12CF6EE0"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38057AE7" w14:textId="77777777">
            <w:pPr>
              <w:ind w:left="521"/>
              <w:rPr>
                <w:color w:val="000000"/>
              </w:rPr>
            </w:pPr>
            <w:r w:rsidRPr="00E36379">
              <w:rPr>
                <w:color w:val="000000"/>
              </w:rPr>
              <w:t xml:space="preserve">Notification of anticipated startup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548B3BA"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1123CF2C"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25CF9457"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277AA0C7"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2676BD99"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34545F1D"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23D1AEC8"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3E2B00EE" w14:textId="77777777">
            <w:pPr>
              <w:jc w:val="right"/>
              <w:rPr>
                <w:color w:val="000000"/>
              </w:rPr>
            </w:pPr>
            <w:r>
              <w:rPr>
                <w:color w:val="000000"/>
              </w:rPr>
              <w:t xml:space="preserve">$0 </w:t>
            </w:r>
          </w:p>
        </w:tc>
      </w:tr>
      <w:tr w14:paraId="5BB035A9"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3ADD34A2" w14:textId="77777777">
            <w:pPr>
              <w:ind w:left="521"/>
              <w:rPr>
                <w:color w:val="000000"/>
              </w:rPr>
            </w:pPr>
            <w:r w:rsidRPr="00E36379">
              <w:rPr>
                <w:color w:val="000000"/>
              </w:rPr>
              <w:t xml:space="preserve">Notification of actual startup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338F99A"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BCC5F1D"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7A69B106"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43B93D0C"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3467D797"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0EC69AB8"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742A36AB"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1280364F" w14:textId="77777777">
            <w:pPr>
              <w:jc w:val="right"/>
              <w:rPr>
                <w:color w:val="000000"/>
              </w:rPr>
            </w:pPr>
            <w:r>
              <w:rPr>
                <w:color w:val="000000"/>
              </w:rPr>
              <w:t xml:space="preserve">$0 </w:t>
            </w:r>
          </w:p>
        </w:tc>
      </w:tr>
      <w:tr w14:paraId="43D91166" w14:textId="77777777" w:rsidTr="001F4553">
        <w:tblPrEx>
          <w:tblW w:w="14231" w:type="dxa"/>
          <w:tblInd w:w="-540" w:type="dxa"/>
          <w:tblLook w:val="04A0"/>
        </w:tblPrEx>
        <w:trPr>
          <w:trHeight w:val="69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20780BE" w14:textId="77777777">
            <w:pPr>
              <w:ind w:left="521"/>
              <w:rPr>
                <w:color w:val="000000"/>
              </w:rPr>
            </w:pPr>
            <w:r w:rsidRPr="00E36379">
              <w:rPr>
                <w:color w:val="000000"/>
              </w:rPr>
              <w:t xml:space="preserve">Notification of electing to comply with alternative standards for valves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4E2C586" w14:textId="77777777">
            <w:pPr>
              <w:jc w:val="center"/>
              <w:rPr>
                <w:color w:val="000000"/>
              </w:rPr>
            </w:pPr>
            <w:r>
              <w:rPr>
                <w:color w:val="000000"/>
              </w:rPr>
              <w:t>8</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AC090FA"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5886A4DB" w14:textId="77777777">
            <w:pPr>
              <w:jc w:val="center"/>
              <w:rPr>
                <w:color w:val="000000"/>
              </w:rPr>
            </w:pPr>
            <w:r>
              <w:rPr>
                <w:color w:val="000000"/>
              </w:rPr>
              <w:t>8</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406F3DD3"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06A3A072"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4E4EF241"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45B09456"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22377039" w14:textId="77777777">
            <w:pPr>
              <w:jc w:val="right"/>
              <w:rPr>
                <w:color w:val="000000"/>
              </w:rPr>
            </w:pPr>
            <w:r>
              <w:rPr>
                <w:color w:val="000000"/>
              </w:rPr>
              <w:t xml:space="preserve">$0 </w:t>
            </w:r>
          </w:p>
        </w:tc>
      </w:tr>
      <w:tr w14:paraId="62F0AEEC"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797D55F6" w14:textId="77777777">
            <w:pPr>
              <w:ind w:left="521"/>
              <w:rPr>
                <w:color w:val="000000"/>
              </w:rPr>
            </w:pPr>
            <w:r w:rsidRPr="00E36379">
              <w:rPr>
                <w:color w:val="000000"/>
              </w:rPr>
              <w:t xml:space="preserve">Notification of initial performance test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857AB63"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3656D9E5"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3CF1F35E"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29123A70"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3B5893A2"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024897D"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24BB5FDF"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4359B139" w14:textId="77777777">
            <w:pPr>
              <w:jc w:val="right"/>
              <w:rPr>
                <w:color w:val="000000"/>
              </w:rPr>
            </w:pPr>
            <w:r>
              <w:rPr>
                <w:color w:val="000000"/>
              </w:rPr>
              <w:t xml:space="preserve">$0 </w:t>
            </w:r>
          </w:p>
        </w:tc>
      </w:tr>
      <w:tr w14:paraId="139FAD6A"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6737E0F" w14:textId="77777777">
            <w:pPr>
              <w:ind w:left="521"/>
              <w:rPr>
                <w:color w:val="000000"/>
              </w:rPr>
            </w:pPr>
            <w:r w:rsidRPr="00E36379">
              <w:rPr>
                <w:color w:val="000000"/>
              </w:rPr>
              <w:t>Affirmative defense</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7B7D59F" w14:textId="77777777">
            <w:pPr>
              <w:jc w:val="center"/>
              <w:rPr>
                <w:color w:val="000000"/>
              </w:rPr>
            </w:pPr>
            <w:r>
              <w:rPr>
                <w:color w:val="000000"/>
              </w:rPr>
              <w:t>30</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28B1C3D"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6DC72414" w14:textId="77777777">
            <w:pPr>
              <w:jc w:val="center"/>
              <w:rPr>
                <w:color w:val="000000"/>
              </w:rPr>
            </w:pPr>
            <w:r>
              <w:rPr>
                <w:color w:val="000000"/>
              </w:rPr>
              <w:t>30</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0BBFFDE4"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5F7BD996"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2D572D74"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4778C71"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79538198" w14:textId="77777777">
            <w:pPr>
              <w:jc w:val="right"/>
              <w:rPr>
                <w:color w:val="000000"/>
              </w:rPr>
            </w:pPr>
            <w:r>
              <w:rPr>
                <w:color w:val="000000"/>
              </w:rPr>
              <w:t xml:space="preserve">$0 </w:t>
            </w:r>
          </w:p>
        </w:tc>
      </w:tr>
      <w:tr w14:paraId="7129A401"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6FCC8576" w14:textId="77777777">
            <w:pPr>
              <w:ind w:left="521"/>
              <w:rPr>
                <w:color w:val="000000"/>
              </w:rPr>
            </w:pPr>
            <w:r w:rsidRPr="00E36379">
              <w:rPr>
                <w:color w:val="000000"/>
              </w:rPr>
              <w:t xml:space="preserve">Semiannual reports </w:t>
            </w:r>
            <w:r w:rsidRPr="00E36379">
              <w:rPr>
                <w:color w:val="000000"/>
                <w:vertAlign w:val="superscript"/>
              </w:rPr>
              <w:t>d</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428E46D" w14:textId="77777777">
            <w:pPr>
              <w:jc w:val="center"/>
              <w:rPr>
                <w:color w:val="000000"/>
              </w:rPr>
            </w:pPr>
            <w:r>
              <w:rPr>
                <w:color w:val="000000"/>
              </w:rPr>
              <w:t>8</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7FCFD414" w14:textId="77777777">
            <w:pPr>
              <w:jc w:val="center"/>
              <w:rPr>
                <w:color w:val="000000"/>
              </w:rPr>
            </w:pPr>
            <w:r>
              <w:rPr>
                <w:color w:val="000000"/>
              </w:rPr>
              <w:t>2</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63080317" w14:textId="77777777">
            <w:pPr>
              <w:jc w:val="center"/>
              <w:rPr>
                <w:color w:val="000000"/>
              </w:rPr>
            </w:pPr>
            <w:r>
              <w:rPr>
                <w:color w:val="000000"/>
              </w:rPr>
              <w:t>16</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456B8510" w14:textId="77777777">
            <w:pPr>
              <w:jc w:val="center"/>
              <w:rPr>
                <w:color w:val="000000"/>
              </w:rPr>
            </w:pPr>
            <w:r>
              <w:rPr>
                <w:color w:val="000000"/>
              </w:rPr>
              <w:t>291</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48DC8C61" w14:textId="77777777">
            <w:pPr>
              <w:jc w:val="center"/>
              <w:rPr>
                <w:color w:val="000000"/>
              </w:rPr>
            </w:pPr>
            <w:r>
              <w:rPr>
                <w:color w:val="000000"/>
              </w:rPr>
              <w:t>4,656</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0024FB6" w14:textId="77777777">
            <w:pPr>
              <w:jc w:val="center"/>
              <w:rPr>
                <w:color w:val="000000"/>
              </w:rPr>
            </w:pPr>
            <w:r>
              <w:rPr>
                <w:color w:val="000000"/>
              </w:rPr>
              <w:t>232.8</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3B8D73B" w14:textId="77777777">
            <w:pPr>
              <w:jc w:val="center"/>
              <w:rPr>
                <w:color w:val="000000"/>
              </w:rPr>
            </w:pPr>
            <w:r>
              <w:rPr>
                <w:color w:val="000000"/>
              </w:rPr>
              <w:t>465.6</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6525AB4D" w14:textId="77777777">
            <w:pPr>
              <w:jc w:val="right"/>
              <w:rPr>
                <w:color w:val="000000"/>
              </w:rPr>
            </w:pPr>
            <w:r>
              <w:rPr>
                <w:color w:val="000000"/>
              </w:rPr>
              <w:t xml:space="preserve">$675,164.23 </w:t>
            </w:r>
          </w:p>
        </w:tc>
      </w:tr>
      <w:tr w14:paraId="778D4DD0"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65859DF1" w14:textId="77777777">
            <w:pPr>
              <w:ind w:left="521" w:hanging="270"/>
              <w:rPr>
                <w:color w:val="000000"/>
              </w:rPr>
            </w:pPr>
            <w:r w:rsidRPr="00E36379">
              <w:rPr>
                <w:color w:val="000000"/>
              </w:rPr>
              <w:t>C.</w:t>
            </w:r>
            <w:r>
              <w:rPr>
                <w:color w:val="000000"/>
              </w:rPr>
              <w:t xml:space="preserve"> </w:t>
            </w:r>
            <w:r w:rsidRPr="00E36379">
              <w:rPr>
                <w:color w:val="000000"/>
              </w:rPr>
              <w:t>Create Information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2090FD3"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0B0F35C"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5F74E4DD"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227CE753"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2CC32A5A"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63C984F"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6DABF1D4"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786937C4" w14:textId="77777777">
            <w:pPr>
              <w:jc w:val="right"/>
              <w:rPr>
                <w:color w:val="000000"/>
              </w:rPr>
            </w:pPr>
            <w:r>
              <w:rPr>
                <w:color w:val="000000"/>
              </w:rPr>
              <w:t> </w:t>
            </w:r>
          </w:p>
        </w:tc>
      </w:tr>
      <w:tr w14:paraId="3B37A786"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02EF2F42" w14:textId="77777777">
            <w:pPr>
              <w:ind w:left="521"/>
              <w:rPr>
                <w:color w:val="000000"/>
              </w:rPr>
            </w:pPr>
            <w:r w:rsidRPr="00E36379">
              <w:rPr>
                <w:color w:val="000000"/>
              </w:rPr>
              <w:t xml:space="preserve">Initial performance test </w:t>
            </w:r>
            <w:r w:rsidRPr="00E10655">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2CF4B2D9"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27DE755"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732070B5"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3E90BEDF"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51F7593C"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1927460A"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12B6AF0C"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056628CB" w14:textId="77777777">
            <w:pPr>
              <w:jc w:val="right"/>
              <w:rPr>
                <w:color w:val="000000"/>
              </w:rPr>
            </w:pPr>
            <w:r>
              <w:rPr>
                <w:color w:val="000000"/>
              </w:rPr>
              <w:t> </w:t>
            </w:r>
          </w:p>
        </w:tc>
      </w:tr>
      <w:tr w14:paraId="1FD7603E"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612286DC" w14:textId="77777777">
            <w:pPr>
              <w:ind w:left="521" w:hanging="270"/>
              <w:rPr>
                <w:color w:val="000000"/>
              </w:rPr>
            </w:pPr>
            <w:r w:rsidRPr="00E36379">
              <w:rPr>
                <w:color w:val="000000"/>
              </w:rPr>
              <w:t>D.</w:t>
            </w:r>
            <w:r>
              <w:rPr>
                <w:color w:val="000000"/>
              </w:rPr>
              <w:t xml:space="preserve"> </w:t>
            </w:r>
            <w:r w:rsidRPr="00E36379">
              <w:rPr>
                <w:color w:val="000000"/>
              </w:rPr>
              <w:t xml:space="preserve">Gather existing information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049C9532"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06144887"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532F20B5"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5206AC66"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6510AD6E"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4BDA2FC6"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C679E77"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7E370568" w14:textId="77777777">
            <w:pPr>
              <w:jc w:val="right"/>
              <w:rPr>
                <w:color w:val="000000"/>
              </w:rPr>
            </w:pPr>
            <w:r>
              <w:rPr>
                <w:color w:val="000000"/>
              </w:rPr>
              <w:t> </w:t>
            </w:r>
          </w:p>
        </w:tc>
      </w:tr>
      <w:tr w14:paraId="0ECD157E"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2493EEEF" w14:textId="77777777">
            <w:pPr>
              <w:ind w:left="521" w:hanging="270"/>
              <w:rPr>
                <w:color w:val="000000"/>
              </w:rPr>
            </w:pPr>
            <w:r w:rsidRPr="00E36379">
              <w:rPr>
                <w:color w:val="000000"/>
              </w:rPr>
              <w:t>E.</w:t>
            </w:r>
            <w:r>
              <w:rPr>
                <w:color w:val="000000"/>
              </w:rPr>
              <w:t xml:space="preserve"> </w:t>
            </w:r>
            <w:r w:rsidRPr="00E36379">
              <w:rPr>
                <w:color w:val="000000"/>
              </w:rPr>
              <w:t>Write report</w:t>
            </w:r>
            <w:r>
              <w:rPr>
                <w:color w:val="000000"/>
              </w:rPr>
              <w:t xml:space="preserve">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A421A71" w14:textId="77777777">
            <w:pPr>
              <w:jc w:val="center"/>
              <w:rPr>
                <w:color w:val="000000"/>
              </w:rPr>
            </w:pPr>
            <w:r>
              <w:rPr>
                <w:color w:val="000000"/>
              </w:rPr>
              <w:t>See 3B</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34FD562A"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75DF5F6C"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155CAE18"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1F8F8BF0"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60F83906"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2DB075EB"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65A890EF" w14:textId="77777777">
            <w:pPr>
              <w:jc w:val="right"/>
              <w:rPr>
                <w:color w:val="000000"/>
              </w:rPr>
            </w:pPr>
            <w:r>
              <w:rPr>
                <w:color w:val="000000"/>
              </w:rPr>
              <w:t> </w:t>
            </w:r>
          </w:p>
        </w:tc>
      </w:tr>
      <w:tr w14:paraId="4C761859"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6CBE2F21" w14:textId="77777777">
            <w:pPr>
              <w:rPr>
                <w:b/>
                <w:bCs/>
                <w:i/>
                <w:iCs/>
                <w:color w:val="000000"/>
              </w:rPr>
            </w:pPr>
            <w:r w:rsidRPr="00E36379">
              <w:rPr>
                <w:b/>
                <w:bCs/>
                <w:i/>
                <w:iCs/>
                <w:color w:val="000000"/>
              </w:rPr>
              <w:t>Reporting Subtotal</w:t>
            </w:r>
          </w:p>
        </w:tc>
        <w:tc>
          <w:tcPr>
            <w:tcW w:w="1349" w:type="dxa"/>
            <w:tcBorders>
              <w:top w:val="nil"/>
              <w:left w:val="nil"/>
              <w:bottom w:val="single" w:sz="4" w:space="0" w:color="auto"/>
              <w:right w:val="single" w:sz="4" w:space="0" w:color="auto"/>
            </w:tcBorders>
            <w:shd w:val="clear" w:color="auto" w:fill="auto"/>
            <w:vAlign w:val="center"/>
            <w:hideMark/>
          </w:tcPr>
          <w:p w:rsidR="00AD2146" w:rsidRPr="00E36379" w:rsidP="001F4553" w14:paraId="5722F335" w14:textId="77777777">
            <w:pPr>
              <w:jc w:val="center"/>
              <w:rPr>
                <w:b/>
                <w:bCs/>
                <w:i/>
                <w:iCs/>
                <w:color w:val="000000"/>
              </w:rPr>
            </w:pPr>
            <w:r w:rsidRPr="00E36379">
              <w:rPr>
                <w:b/>
                <w:bCs/>
                <w:i/>
                <w:i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72D91995" w14:textId="77777777">
            <w:pPr>
              <w:jc w:val="center"/>
              <w:rPr>
                <w:b/>
                <w:bCs/>
                <w:i/>
                <w:iCs/>
                <w:color w:val="000000"/>
              </w:rPr>
            </w:pPr>
            <w:r w:rsidRPr="00E36379">
              <w:rPr>
                <w:b/>
                <w:bCs/>
                <w:i/>
                <w:i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0DB76776" w14:textId="77777777">
            <w:pPr>
              <w:jc w:val="center"/>
              <w:rPr>
                <w:b/>
                <w:bCs/>
                <w:i/>
                <w:iCs/>
                <w:color w:val="000000"/>
              </w:rPr>
            </w:pPr>
            <w:r w:rsidRPr="00E36379">
              <w:rPr>
                <w:b/>
                <w:bCs/>
                <w:i/>
                <w:i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5008D6EF" w14:textId="77777777">
            <w:pPr>
              <w:jc w:val="center"/>
              <w:rPr>
                <w:b/>
                <w:bCs/>
                <w:i/>
                <w:iCs/>
                <w:color w:val="000000"/>
              </w:rPr>
            </w:pPr>
            <w:r w:rsidRPr="00E36379">
              <w:rPr>
                <w:b/>
                <w:bCs/>
                <w:i/>
                <w:iCs/>
                <w:color w:val="000000"/>
              </w:rPr>
              <w:t> </w:t>
            </w:r>
          </w:p>
        </w:tc>
        <w:tc>
          <w:tcPr>
            <w:tcW w:w="3808" w:type="dxa"/>
            <w:gridSpan w:val="3"/>
            <w:tcBorders>
              <w:top w:val="single" w:sz="4" w:space="0" w:color="auto"/>
              <w:left w:val="nil"/>
              <w:bottom w:val="single" w:sz="4" w:space="0" w:color="auto"/>
              <w:right w:val="single" w:sz="4" w:space="0" w:color="000000"/>
            </w:tcBorders>
            <w:shd w:val="clear" w:color="auto" w:fill="auto"/>
            <w:vAlign w:val="center"/>
            <w:hideMark/>
          </w:tcPr>
          <w:p w:rsidR="00AD2146" w:rsidRPr="00E36379" w:rsidP="001F4553" w14:paraId="7E2A6A15" w14:textId="77777777">
            <w:pPr>
              <w:jc w:val="center"/>
              <w:rPr>
                <w:b/>
                <w:bCs/>
                <w:i/>
                <w:iCs/>
                <w:color w:val="000000"/>
              </w:rPr>
            </w:pPr>
            <w:r>
              <w:rPr>
                <w:b/>
                <w:bCs/>
                <w:i/>
                <w:iCs/>
                <w:color w:val="000000"/>
              </w:rPr>
              <w:t>5,689</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3C34B0F9" w14:textId="77777777">
            <w:pPr>
              <w:jc w:val="right"/>
              <w:rPr>
                <w:b/>
                <w:bCs/>
                <w:i/>
                <w:iCs/>
                <w:color w:val="000000"/>
              </w:rPr>
            </w:pPr>
            <w:r w:rsidRPr="00F80F6E">
              <w:rPr>
                <w:b/>
                <w:bCs/>
                <w:i/>
                <w:iCs/>
                <w:color w:val="000000"/>
              </w:rPr>
              <w:t>$717,362</w:t>
            </w:r>
            <w:r>
              <w:rPr>
                <w:b/>
                <w:bCs/>
                <w:i/>
                <w:iCs/>
                <w:color w:val="000000"/>
              </w:rPr>
              <w:t xml:space="preserve"> </w:t>
            </w:r>
          </w:p>
        </w:tc>
      </w:tr>
      <w:tr w14:paraId="0F23C870"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6990EAA4" w14:textId="77777777">
            <w:pPr>
              <w:rPr>
                <w:color w:val="000000"/>
              </w:rPr>
            </w:pPr>
            <w:r w:rsidRPr="00E36379">
              <w:rPr>
                <w:color w:val="000000"/>
              </w:rPr>
              <w:t>4.</w:t>
            </w:r>
            <w:r>
              <w:rPr>
                <w:color w:val="000000"/>
              </w:rPr>
              <w:t xml:space="preserve"> </w:t>
            </w:r>
            <w:r w:rsidRPr="00E36379">
              <w:rPr>
                <w:color w:val="000000"/>
              </w:rPr>
              <w:t>Recordkeeping requirements</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E36379" w:rsidP="001F4553" w14:paraId="77868D63" w14:textId="77777777">
            <w:pPr>
              <w:jc w:val="center"/>
              <w:rPr>
                <w:color w:val="000000"/>
              </w:rPr>
            </w:pPr>
            <w:r>
              <w:rPr>
                <w:color w:val="000000"/>
              </w:rPr>
              <w:t>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7FEAF9CF" w14:textId="77777777">
            <w:pPr>
              <w:jc w:val="center"/>
              <w:rPr>
                <w:color w:val="000000"/>
              </w:rPr>
            </w:pPr>
            <w:r>
              <w:rPr>
                <w:color w:val="000000"/>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747E7B4C" w14:textId="77777777">
            <w:pPr>
              <w:jc w:val="center"/>
              <w:rPr>
                <w:color w:val="000000"/>
              </w:rPr>
            </w:pPr>
            <w:r>
              <w:rPr>
                <w:color w:val="000000"/>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334D119D" w14:textId="77777777">
            <w:pPr>
              <w:jc w:val="center"/>
              <w:rPr>
                <w:color w:val="000000"/>
              </w:rPr>
            </w:pPr>
            <w:r>
              <w:rPr>
                <w:color w:val="000000"/>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2EA98961" w14:textId="77777777">
            <w:pPr>
              <w:jc w:val="center"/>
              <w:rPr>
                <w:color w:val="000000"/>
              </w:rPr>
            </w:pPr>
            <w:r>
              <w:rPr>
                <w:color w:val="000000"/>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390823CF" w14:textId="77777777">
            <w:pPr>
              <w:jc w:val="center"/>
              <w:rPr>
                <w:color w:val="000000"/>
              </w:rPr>
            </w:pPr>
            <w:r>
              <w:rPr>
                <w:color w:val="000000"/>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08528050" w14:textId="77777777">
            <w:pPr>
              <w:jc w:val="center"/>
              <w:rPr>
                <w:color w:val="000000"/>
              </w:rPr>
            </w:pPr>
            <w:r>
              <w:rPr>
                <w:color w:val="000000"/>
              </w:rPr>
              <w:t> </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601134CF" w14:textId="77777777">
            <w:pPr>
              <w:jc w:val="right"/>
              <w:rPr>
                <w:color w:val="000000"/>
              </w:rPr>
            </w:pPr>
            <w:r>
              <w:rPr>
                <w:color w:val="000000"/>
              </w:rPr>
              <w:t> </w:t>
            </w:r>
          </w:p>
        </w:tc>
      </w:tr>
      <w:tr w14:paraId="49E17D4E" w14:textId="77777777" w:rsidTr="001F4553">
        <w:tblPrEx>
          <w:tblW w:w="14231" w:type="dxa"/>
          <w:tblInd w:w="-540" w:type="dxa"/>
          <w:tblLook w:val="04A0"/>
        </w:tblPrEx>
        <w:trPr>
          <w:trHeight w:val="63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6ACD1EFE" w14:textId="77777777">
            <w:pPr>
              <w:ind w:left="521" w:hanging="270"/>
              <w:rPr>
                <w:color w:val="000000"/>
              </w:rPr>
            </w:pPr>
            <w:r w:rsidRPr="00E36379">
              <w:rPr>
                <w:color w:val="000000"/>
              </w:rPr>
              <w:t>A.</w:t>
            </w:r>
            <w:r>
              <w:rPr>
                <w:color w:val="000000"/>
              </w:rPr>
              <w:t xml:space="preserve"> </w:t>
            </w:r>
            <w:r w:rsidRPr="00E36379">
              <w:rPr>
                <w:color w:val="000000"/>
              </w:rPr>
              <w:t>Familiarization with Regulatory Requirements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A2AD9DA" w14:textId="77777777">
            <w:pPr>
              <w:jc w:val="center"/>
              <w:rPr>
                <w:color w:val="000000"/>
              </w:rPr>
            </w:pPr>
            <w:r>
              <w:rPr>
                <w:color w:val="000000"/>
              </w:rPr>
              <w:t>See 4C</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38F46978"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137F024E"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0A88186C"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221D8F8C"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6318BD0F"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4719C210"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4236C2F1" w14:textId="77777777">
            <w:pPr>
              <w:jc w:val="right"/>
              <w:rPr>
                <w:color w:val="000000"/>
              </w:rPr>
            </w:pPr>
            <w:r>
              <w:rPr>
                <w:color w:val="000000"/>
              </w:rPr>
              <w:t> </w:t>
            </w:r>
          </w:p>
        </w:tc>
      </w:tr>
      <w:tr w14:paraId="45852F14"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6A90E66F" w14:textId="77777777">
            <w:pPr>
              <w:ind w:left="521" w:hanging="270"/>
              <w:rPr>
                <w:color w:val="000000"/>
              </w:rPr>
            </w:pPr>
            <w:r w:rsidRPr="00E36379">
              <w:rPr>
                <w:color w:val="000000"/>
              </w:rPr>
              <w:t>B.</w:t>
            </w:r>
            <w:r>
              <w:rPr>
                <w:color w:val="000000"/>
              </w:rPr>
              <w:t xml:space="preserve"> </w:t>
            </w:r>
            <w:r w:rsidRPr="00E36379">
              <w:rPr>
                <w:color w:val="000000"/>
              </w:rPr>
              <w:t>Plan activities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3E52D01" w14:textId="77777777">
            <w:pPr>
              <w:jc w:val="center"/>
              <w:rPr>
                <w:color w:val="000000"/>
              </w:rPr>
            </w:pPr>
            <w:r>
              <w:rPr>
                <w:color w:val="000000"/>
              </w:rPr>
              <w:t>See 4C</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19FC62CC"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0266E103"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3FD2ECB5"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19CFB393"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028D462"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4968A677"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4EC70E87" w14:textId="77777777">
            <w:pPr>
              <w:jc w:val="right"/>
              <w:rPr>
                <w:color w:val="000000"/>
              </w:rPr>
            </w:pPr>
            <w:r>
              <w:rPr>
                <w:color w:val="000000"/>
              </w:rPr>
              <w:t> </w:t>
            </w:r>
          </w:p>
        </w:tc>
      </w:tr>
      <w:tr w14:paraId="5F61DFE0"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216BEA89" w14:textId="77777777">
            <w:pPr>
              <w:ind w:left="521" w:hanging="270"/>
              <w:rPr>
                <w:color w:val="000000"/>
              </w:rPr>
            </w:pPr>
            <w:r w:rsidRPr="00E36379">
              <w:rPr>
                <w:color w:val="000000"/>
              </w:rPr>
              <w:t>C.</w:t>
            </w:r>
            <w:r>
              <w:rPr>
                <w:color w:val="000000"/>
              </w:rPr>
              <w:t xml:space="preserve"> </w:t>
            </w:r>
            <w:r w:rsidRPr="00E36379">
              <w:rPr>
                <w:color w:val="000000"/>
              </w:rPr>
              <w:t>Implement activities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4113C32" w14:textId="77777777">
            <w:pPr>
              <w:jc w:val="center"/>
              <w:rPr>
                <w:color w:val="000000"/>
              </w:rPr>
            </w:pPr>
            <w:r>
              <w:rPr>
                <w:color w:val="000000"/>
              </w:rPr>
              <w:t>See 3E</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643F2D5E"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66BC5BDE"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631D42FD"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749FE0F6"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348643A4"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1DDDB13D"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5CE52FA6" w14:textId="77777777">
            <w:pPr>
              <w:jc w:val="right"/>
              <w:rPr>
                <w:color w:val="000000"/>
              </w:rPr>
            </w:pPr>
            <w:r>
              <w:rPr>
                <w:color w:val="000000"/>
              </w:rPr>
              <w:t> </w:t>
            </w:r>
          </w:p>
        </w:tc>
      </w:tr>
      <w:tr w14:paraId="4F1ACCC0"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48D675C8" w14:textId="77777777">
            <w:pPr>
              <w:ind w:left="521"/>
              <w:rPr>
                <w:color w:val="000000"/>
              </w:rPr>
            </w:pPr>
            <w:r w:rsidRPr="00E36379">
              <w:rPr>
                <w:color w:val="000000"/>
              </w:rPr>
              <w:t>Filing and maintaining records</w:t>
            </w:r>
            <w:r w:rsidRPr="00E36379">
              <w:rPr>
                <w:color w:val="000000"/>
                <w:vertAlign w:val="superscript"/>
              </w:rPr>
              <w:t xml:space="preserve"> e</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66715897" w14:textId="77777777">
            <w:pPr>
              <w:jc w:val="center"/>
              <w:rPr>
                <w:color w:val="000000"/>
              </w:rPr>
            </w:pPr>
            <w:r>
              <w:rPr>
                <w:color w:val="000000"/>
              </w:rPr>
              <w:t>80</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25607804"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00E8FF28" w14:textId="77777777">
            <w:pPr>
              <w:jc w:val="center"/>
              <w:rPr>
                <w:color w:val="000000"/>
              </w:rPr>
            </w:pPr>
            <w:r>
              <w:rPr>
                <w:color w:val="000000"/>
              </w:rPr>
              <w:t>80</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059162DF" w14:textId="77777777">
            <w:pPr>
              <w:jc w:val="center"/>
              <w:rPr>
                <w:color w:val="000000"/>
              </w:rPr>
            </w:pPr>
            <w:r>
              <w:rPr>
                <w:color w:val="000000"/>
              </w:rPr>
              <w:t>291</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358AC77A" w14:textId="77777777">
            <w:pPr>
              <w:jc w:val="center"/>
              <w:rPr>
                <w:color w:val="000000"/>
              </w:rPr>
            </w:pPr>
            <w:r>
              <w:rPr>
                <w:color w:val="000000"/>
              </w:rPr>
              <w:t>23,280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281356B7" w14:textId="77777777">
            <w:pPr>
              <w:jc w:val="center"/>
              <w:rPr>
                <w:color w:val="000000"/>
              </w:rPr>
            </w:pPr>
            <w:r>
              <w:rPr>
                <w:color w:val="000000"/>
              </w:rPr>
              <w:t>1164</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8F27856" w14:textId="77777777">
            <w:pPr>
              <w:jc w:val="center"/>
              <w:rPr>
                <w:color w:val="000000"/>
              </w:rPr>
            </w:pPr>
            <w:r>
              <w:rPr>
                <w:color w:val="000000"/>
              </w:rPr>
              <w:t>2,328</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58FF2427" w14:textId="77777777">
            <w:pPr>
              <w:jc w:val="right"/>
              <w:rPr>
                <w:color w:val="000000"/>
              </w:rPr>
            </w:pPr>
            <w:r>
              <w:rPr>
                <w:color w:val="000000"/>
              </w:rPr>
              <w:t xml:space="preserve">$3,375,821.16 </w:t>
            </w:r>
          </w:p>
        </w:tc>
      </w:tr>
      <w:tr w14:paraId="7FCFB235"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522DC0C2" w14:textId="77777777">
            <w:pPr>
              <w:ind w:left="521"/>
              <w:rPr>
                <w:color w:val="000000"/>
              </w:rPr>
            </w:pPr>
            <w:r w:rsidRPr="00E36379">
              <w:rPr>
                <w:color w:val="000000"/>
              </w:rPr>
              <w:t>Startup, shutdown, or malfunction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048B89B" w14:textId="77777777">
            <w:pPr>
              <w:jc w:val="center"/>
              <w:rPr>
                <w:color w:val="000000"/>
              </w:rPr>
            </w:pPr>
            <w:r>
              <w:rPr>
                <w:color w:val="000000"/>
              </w:rPr>
              <w:t>80</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0DEDBE3"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40A67B8A" w14:textId="77777777">
            <w:pPr>
              <w:jc w:val="center"/>
              <w:rPr>
                <w:color w:val="000000"/>
              </w:rPr>
            </w:pPr>
            <w:r>
              <w:rPr>
                <w:color w:val="000000"/>
              </w:rPr>
              <w:t>80</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4DDE426F"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62A78C57"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0BFD4A6"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6A4DC57C" w14:textId="77777777">
            <w:pPr>
              <w:jc w:val="center"/>
              <w:rPr>
                <w:color w:val="000000"/>
              </w:rPr>
            </w:pPr>
            <w:r>
              <w:rPr>
                <w:color w:val="000000"/>
              </w:rPr>
              <w:t>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449E1670" w14:textId="77777777">
            <w:pPr>
              <w:jc w:val="right"/>
              <w:rPr>
                <w:color w:val="000000"/>
              </w:rPr>
            </w:pPr>
            <w:r>
              <w:rPr>
                <w:color w:val="000000"/>
              </w:rPr>
              <w:t xml:space="preserve">$0 </w:t>
            </w:r>
          </w:p>
        </w:tc>
      </w:tr>
      <w:tr w14:paraId="03642042"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5DF48E31" w14:textId="77777777">
            <w:pPr>
              <w:ind w:left="521"/>
              <w:rPr>
                <w:color w:val="000000"/>
              </w:rPr>
            </w:pPr>
            <w:r w:rsidRPr="00E36379">
              <w:rPr>
                <w:color w:val="000000"/>
              </w:rPr>
              <w:t>Recalibrate monitors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09FFE038" w14:textId="77777777">
            <w:pPr>
              <w:jc w:val="center"/>
              <w:rPr>
                <w:color w:val="000000"/>
              </w:rPr>
            </w:pPr>
            <w:r>
              <w:rPr>
                <w:color w:val="000000"/>
              </w:rPr>
              <w:t>4</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384985D5" w14:textId="77777777">
            <w:pPr>
              <w:jc w:val="center"/>
              <w:rPr>
                <w:color w:val="000000"/>
              </w:rPr>
            </w:pPr>
            <w:r>
              <w:rPr>
                <w:color w:val="000000"/>
              </w:rPr>
              <w:t>12</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77A00CC6" w14:textId="77777777">
            <w:pPr>
              <w:jc w:val="center"/>
              <w:rPr>
                <w:color w:val="000000"/>
              </w:rPr>
            </w:pPr>
            <w:r>
              <w:rPr>
                <w:color w:val="000000"/>
              </w:rPr>
              <w:t>48</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5217044F" w14:textId="77777777">
            <w:pPr>
              <w:jc w:val="center"/>
              <w:rPr>
                <w:color w:val="000000"/>
              </w:rPr>
            </w:pPr>
            <w:r>
              <w:rPr>
                <w:color w:val="000000"/>
              </w:rPr>
              <w:t>291</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580D389E" w14:textId="77777777">
            <w:pPr>
              <w:jc w:val="center"/>
              <w:rPr>
                <w:color w:val="000000"/>
              </w:rPr>
            </w:pPr>
            <w:r>
              <w:rPr>
                <w:color w:val="000000"/>
              </w:rPr>
              <w:t>13,968</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0E41F126" w14:textId="77777777">
            <w:pPr>
              <w:jc w:val="center"/>
              <w:rPr>
                <w:color w:val="000000"/>
              </w:rPr>
            </w:pPr>
            <w:r>
              <w:rPr>
                <w:color w:val="000000"/>
              </w:rPr>
              <w:t>698</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12CCF9ED" w14:textId="77777777">
            <w:pPr>
              <w:jc w:val="center"/>
              <w:rPr>
                <w:color w:val="000000"/>
              </w:rPr>
            </w:pPr>
            <w:r>
              <w:rPr>
                <w:color w:val="000000"/>
              </w:rPr>
              <w:t>1,397</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5C9CB8A3" w14:textId="77777777">
            <w:pPr>
              <w:jc w:val="right"/>
              <w:rPr>
                <w:color w:val="000000"/>
              </w:rPr>
            </w:pPr>
            <w:r>
              <w:rPr>
                <w:color w:val="000000"/>
              </w:rPr>
              <w:t xml:space="preserve">$2,025,492.70 </w:t>
            </w:r>
          </w:p>
        </w:tc>
      </w:tr>
      <w:tr w14:paraId="2FB6C18D"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33362BB1" w14:textId="77777777">
            <w:pPr>
              <w:ind w:left="521"/>
              <w:rPr>
                <w:color w:val="000000"/>
              </w:rPr>
            </w:pPr>
            <w:r w:rsidRPr="00E36379">
              <w:rPr>
                <w:color w:val="000000"/>
              </w:rPr>
              <w:t>Method 21 performance evaluation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036E31E"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14B3CA1F" w14:textId="77777777">
            <w:pPr>
              <w:jc w:val="center"/>
              <w:rPr>
                <w:color w:val="000000"/>
              </w:rPr>
            </w:pPr>
            <w:r>
              <w:rPr>
                <w:color w:val="000000"/>
              </w:rPr>
              <w:t>2</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505DC108" w14:textId="77777777">
            <w:pPr>
              <w:jc w:val="center"/>
              <w:rPr>
                <w:color w:val="000000"/>
              </w:rPr>
            </w:pPr>
            <w:r>
              <w:rPr>
                <w:color w:val="000000"/>
              </w:rPr>
              <w:t>4</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37C32B78" w14:textId="77777777">
            <w:pPr>
              <w:jc w:val="center"/>
              <w:rPr>
                <w:color w:val="000000"/>
              </w:rPr>
            </w:pPr>
            <w:r>
              <w:rPr>
                <w:color w:val="000000"/>
              </w:rPr>
              <w:t>291</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55677315" w14:textId="77777777">
            <w:pPr>
              <w:jc w:val="center"/>
              <w:rPr>
                <w:color w:val="000000"/>
              </w:rPr>
            </w:pPr>
            <w:r>
              <w:rPr>
                <w:color w:val="000000"/>
              </w:rPr>
              <w:t>1,164</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7CB6DA52" w14:textId="77777777">
            <w:pPr>
              <w:jc w:val="center"/>
              <w:rPr>
                <w:color w:val="000000"/>
              </w:rPr>
            </w:pPr>
            <w:r>
              <w:rPr>
                <w:color w:val="000000"/>
              </w:rPr>
              <w:t>58.2</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DE278FF" w14:textId="77777777">
            <w:pPr>
              <w:jc w:val="center"/>
              <w:rPr>
                <w:color w:val="000000"/>
              </w:rPr>
            </w:pPr>
            <w:r>
              <w:rPr>
                <w:color w:val="000000"/>
              </w:rPr>
              <w:t>116.4</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44489631" w14:textId="77777777">
            <w:pPr>
              <w:jc w:val="right"/>
              <w:rPr>
                <w:color w:val="000000"/>
              </w:rPr>
            </w:pPr>
            <w:r>
              <w:rPr>
                <w:color w:val="000000"/>
              </w:rPr>
              <w:t xml:space="preserve">$168,791.06 </w:t>
            </w:r>
          </w:p>
        </w:tc>
      </w:tr>
      <w:tr w14:paraId="7C3AF0F0"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112BF958" w14:textId="77777777">
            <w:pPr>
              <w:ind w:left="521" w:hanging="270"/>
              <w:rPr>
                <w:color w:val="000000"/>
              </w:rPr>
            </w:pPr>
            <w:r w:rsidRPr="00E36379">
              <w:rPr>
                <w:color w:val="000000"/>
              </w:rPr>
              <w:t>D.</w:t>
            </w:r>
            <w:r>
              <w:rPr>
                <w:color w:val="000000"/>
              </w:rPr>
              <w:t xml:space="preserve"> </w:t>
            </w:r>
            <w:r w:rsidRPr="00E36379">
              <w:rPr>
                <w:color w:val="000000"/>
              </w:rPr>
              <w:t xml:space="preserve">Develop record system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F096482" w14:textId="77777777">
            <w:pPr>
              <w:jc w:val="center"/>
              <w:rPr>
                <w:color w:val="000000"/>
              </w:rPr>
            </w:pPr>
            <w:r>
              <w:rPr>
                <w:color w:val="000000"/>
              </w:rPr>
              <w:t>See 4C</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0661AA45"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6BCDC0C7"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4F697679"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1BF2D441"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4DC5825A"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2D268E23"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3B27AD95" w14:textId="77777777">
            <w:pPr>
              <w:jc w:val="right"/>
              <w:rPr>
                <w:color w:val="000000"/>
              </w:rPr>
            </w:pPr>
            <w:r>
              <w:rPr>
                <w:color w:val="000000"/>
              </w:rPr>
              <w:t> </w:t>
            </w:r>
          </w:p>
        </w:tc>
      </w:tr>
      <w:tr w14:paraId="1A9A897D"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7C3A0FC9" w14:textId="77777777">
            <w:pPr>
              <w:ind w:left="521" w:hanging="270"/>
              <w:rPr>
                <w:color w:val="000000"/>
              </w:rPr>
            </w:pPr>
            <w:r w:rsidRPr="00E36379">
              <w:rPr>
                <w:color w:val="000000"/>
              </w:rPr>
              <w:t>E.</w:t>
            </w:r>
            <w:r>
              <w:rPr>
                <w:color w:val="000000"/>
              </w:rPr>
              <w:t xml:space="preserve"> </w:t>
            </w:r>
            <w:r w:rsidRPr="00E36379">
              <w:rPr>
                <w:color w:val="000000"/>
              </w:rPr>
              <w:t>Time to enter information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A7C81BD" w14:textId="77777777">
            <w:pPr>
              <w:jc w:val="center"/>
              <w:rPr>
                <w:color w:val="000000"/>
              </w:rPr>
            </w:pPr>
            <w:r>
              <w:rPr>
                <w:color w:val="000000"/>
              </w:rPr>
              <w:t>See 4C</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758A02E7"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4A9E508D"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36851C25"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2B959900"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251B5B82"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25926125"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7BA596E3" w14:textId="77777777">
            <w:pPr>
              <w:jc w:val="right"/>
              <w:rPr>
                <w:color w:val="000000"/>
              </w:rPr>
            </w:pPr>
            <w:r>
              <w:rPr>
                <w:color w:val="000000"/>
              </w:rPr>
              <w:t> </w:t>
            </w:r>
          </w:p>
        </w:tc>
      </w:tr>
      <w:tr w14:paraId="002410E5"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3599402D" w14:textId="77777777">
            <w:pPr>
              <w:ind w:left="161" w:firstLine="70" w:firstLineChars="32"/>
              <w:rPr>
                <w:color w:val="000000"/>
              </w:rPr>
            </w:pPr>
            <w:r w:rsidRPr="00E36379">
              <w:rPr>
                <w:color w:val="000000"/>
              </w:rPr>
              <w:t>F.</w:t>
            </w:r>
            <w:r>
              <w:rPr>
                <w:color w:val="000000"/>
              </w:rPr>
              <w:t xml:space="preserve"> </w:t>
            </w:r>
            <w:r w:rsidRPr="00E36379">
              <w:rPr>
                <w:color w:val="000000"/>
              </w:rPr>
              <w:t>Train personnel</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33FC7ED" w14:textId="77777777">
            <w:pPr>
              <w:jc w:val="center"/>
              <w:rPr>
                <w:color w:val="000000"/>
              </w:rPr>
            </w:pPr>
            <w:r>
              <w:rPr>
                <w:color w:val="000000"/>
              </w:rPr>
              <w:t>See 4C</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50E5B72C"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17B0F84A"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7B31F889"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47188ED0"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142BA2E6"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69150328"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6626F8CF" w14:textId="77777777">
            <w:pPr>
              <w:jc w:val="right"/>
              <w:rPr>
                <w:color w:val="000000"/>
              </w:rPr>
            </w:pPr>
            <w:r>
              <w:rPr>
                <w:color w:val="000000"/>
              </w:rPr>
              <w:t> </w:t>
            </w:r>
          </w:p>
        </w:tc>
      </w:tr>
      <w:tr w14:paraId="69B8EC19"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02A8BFB1" w14:textId="77777777">
            <w:pPr>
              <w:ind w:left="161" w:firstLine="70" w:firstLineChars="32"/>
              <w:rPr>
                <w:color w:val="000000"/>
              </w:rPr>
            </w:pPr>
            <w:r w:rsidRPr="00E36379">
              <w:rPr>
                <w:color w:val="000000"/>
              </w:rPr>
              <w:t>G.</w:t>
            </w:r>
            <w:r>
              <w:rPr>
                <w:color w:val="000000"/>
              </w:rPr>
              <w:t xml:space="preserve"> </w:t>
            </w:r>
            <w:r w:rsidRPr="00E36379">
              <w:rPr>
                <w:color w:val="000000"/>
              </w:rPr>
              <w:t>Audits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ECE9A02"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76F7031F"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7D3FB65B"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1043AD7C"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0F631B3B"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68186E36"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C490E46" w14:textId="77777777">
            <w:pPr>
              <w:jc w:val="center"/>
              <w:rPr>
                <w:color w:val="000000"/>
              </w:rPr>
            </w:pPr>
            <w:r>
              <w:rPr>
                <w:color w:val="000000"/>
              </w:rPr>
              <w:t> </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69B5422F" w14:textId="77777777">
            <w:pPr>
              <w:jc w:val="right"/>
              <w:rPr>
                <w:color w:val="000000"/>
              </w:rPr>
            </w:pPr>
            <w:r>
              <w:rPr>
                <w:color w:val="000000"/>
              </w:rPr>
              <w:t> </w:t>
            </w:r>
          </w:p>
        </w:tc>
      </w:tr>
      <w:tr w14:paraId="4502A4EA" w14:textId="77777777" w:rsidTr="001F4553">
        <w:tblPrEx>
          <w:tblW w:w="14231" w:type="dxa"/>
          <w:tblInd w:w="-540" w:type="dxa"/>
          <w:tblLook w:val="04A0"/>
        </w:tblPrEx>
        <w:trPr>
          <w:trHeight w:val="31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764671EA" w14:textId="77777777">
            <w:pPr>
              <w:rPr>
                <w:b/>
                <w:bCs/>
                <w:i/>
                <w:iCs/>
                <w:color w:val="000000"/>
              </w:rPr>
            </w:pPr>
            <w:r w:rsidRPr="00E36379">
              <w:rPr>
                <w:b/>
                <w:bCs/>
                <w:i/>
                <w:iCs/>
                <w:color w:val="000000"/>
              </w:rPr>
              <w:t>Recordkeeping Subtotal</w:t>
            </w:r>
          </w:p>
        </w:tc>
        <w:tc>
          <w:tcPr>
            <w:tcW w:w="1349" w:type="dxa"/>
            <w:tcBorders>
              <w:top w:val="nil"/>
              <w:left w:val="nil"/>
              <w:bottom w:val="single" w:sz="4" w:space="0" w:color="auto"/>
              <w:right w:val="single" w:sz="4" w:space="0" w:color="auto"/>
            </w:tcBorders>
            <w:shd w:val="clear" w:color="auto" w:fill="auto"/>
            <w:vAlign w:val="center"/>
            <w:hideMark/>
          </w:tcPr>
          <w:p w:rsidR="00AD2146" w:rsidRPr="00E36379" w:rsidP="001F4553" w14:paraId="078D215C" w14:textId="77777777">
            <w:pPr>
              <w:jc w:val="center"/>
              <w:rPr>
                <w:b/>
                <w:bCs/>
                <w:i/>
                <w:iCs/>
                <w:color w:val="000000"/>
              </w:rPr>
            </w:pPr>
            <w:r w:rsidRPr="00E36379">
              <w:rPr>
                <w:b/>
                <w:bCs/>
                <w:i/>
                <w:i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C4589EF" w14:textId="77777777">
            <w:pPr>
              <w:jc w:val="center"/>
              <w:rPr>
                <w:b/>
                <w:bCs/>
                <w:i/>
                <w:iCs/>
                <w:color w:val="000000"/>
              </w:rPr>
            </w:pPr>
            <w:r w:rsidRPr="00E36379">
              <w:rPr>
                <w:b/>
                <w:bCs/>
                <w:i/>
                <w:i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22C9628E" w14:textId="77777777">
            <w:pPr>
              <w:jc w:val="center"/>
              <w:rPr>
                <w:b/>
                <w:bCs/>
                <w:i/>
                <w:iCs/>
                <w:color w:val="000000"/>
              </w:rPr>
            </w:pPr>
            <w:r w:rsidRPr="00E36379">
              <w:rPr>
                <w:b/>
                <w:bCs/>
                <w:i/>
                <w:i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22D69510" w14:textId="77777777">
            <w:pPr>
              <w:jc w:val="center"/>
              <w:rPr>
                <w:b/>
                <w:bCs/>
                <w:i/>
                <w:iCs/>
                <w:color w:val="000000"/>
              </w:rPr>
            </w:pPr>
            <w:r w:rsidRPr="00E36379">
              <w:rPr>
                <w:b/>
                <w:bCs/>
                <w:i/>
                <w:i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E36379" w:rsidP="001F4553" w14:paraId="1D21587D" w14:textId="77777777">
            <w:pPr>
              <w:jc w:val="center"/>
              <w:rPr>
                <w:b/>
                <w:bCs/>
                <w:i/>
                <w:iCs/>
                <w:color w:val="000000"/>
              </w:rPr>
            </w:pPr>
            <w:r>
              <w:rPr>
                <w:b/>
                <w:bCs/>
                <w:i/>
                <w:iCs/>
                <w:color w:val="000000"/>
              </w:rPr>
              <w:t>44,174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234C6670" w14:textId="77777777">
            <w:pPr>
              <w:jc w:val="right"/>
              <w:rPr>
                <w:b/>
                <w:bCs/>
                <w:i/>
                <w:iCs/>
                <w:color w:val="000000"/>
              </w:rPr>
            </w:pPr>
            <w:r>
              <w:rPr>
                <w:b/>
                <w:bCs/>
                <w:i/>
                <w:iCs/>
                <w:color w:val="000000"/>
              </w:rPr>
              <w:t xml:space="preserve">$5,570,105 </w:t>
            </w:r>
          </w:p>
        </w:tc>
      </w:tr>
      <w:tr w14:paraId="115D8EAB"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117D70C3" w14:textId="77777777">
            <w:pPr>
              <w:rPr>
                <w:b/>
                <w:bCs/>
                <w:color w:val="000000"/>
              </w:rPr>
            </w:pPr>
            <w:r w:rsidRPr="00E36379">
              <w:rPr>
                <w:b/>
                <w:bCs/>
                <w:color w:val="000000"/>
              </w:rPr>
              <w:t xml:space="preserve">Total Labor Burden and Costs (Rounded) </w:t>
            </w:r>
            <w:r w:rsidRPr="00E36379">
              <w:rPr>
                <w:b/>
                <w:bCs/>
                <w:color w:val="000000"/>
                <w:vertAlign w:val="superscript"/>
              </w:rPr>
              <w:t>f</w:t>
            </w:r>
          </w:p>
        </w:tc>
        <w:tc>
          <w:tcPr>
            <w:tcW w:w="1349" w:type="dxa"/>
            <w:tcBorders>
              <w:top w:val="nil"/>
              <w:left w:val="nil"/>
              <w:bottom w:val="single" w:sz="4" w:space="0" w:color="auto"/>
              <w:right w:val="single" w:sz="4" w:space="0" w:color="auto"/>
            </w:tcBorders>
            <w:shd w:val="clear" w:color="auto" w:fill="auto"/>
            <w:vAlign w:val="center"/>
            <w:hideMark/>
          </w:tcPr>
          <w:p w:rsidR="00AD2146" w:rsidRPr="00E36379" w:rsidP="001F4553" w14:paraId="145BB4D2" w14:textId="77777777">
            <w:pPr>
              <w:jc w:val="center"/>
              <w:rPr>
                <w:b/>
                <w:bCs/>
                <w:color w:val="000000"/>
              </w:rPr>
            </w:pPr>
            <w:r w:rsidRPr="00E36379">
              <w:rPr>
                <w:b/>
                <w:b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1D3496CF" w14:textId="77777777">
            <w:pPr>
              <w:jc w:val="center"/>
              <w:rPr>
                <w:b/>
                <w:bCs/>
                <w:color w:val="000000"/>
              </w:rPr>
            </w:pPr>
            <w:r w:rsidRPr="00E36379">
              <w:rPr>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E36379" w:rsidP="001F4553" w14:paraId="058A57B9" w14:textId="77777777">
            <w:pPr>
              <w:jc w:val="center"/>
              <w:rPr>
                <w:b/>
                <w:bCs/>
                <w:color w:val="000000"/>
              </w:rPr>
            </w:pPr>
            <w:r w:rsidRPr="00E36379">
              <w:rPr>
                <w:b/>
                <w:b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E36379" w:rsidP="001F4553" w14:paraId="2754037D" w14:textId="77777777">
            <w:pPr>
              <w:jc w:val="center"/>
              <w:rPr>
                <w:b/>
                <w:bCs/>
                <w:color w:val="000000"/>
              </w:rPr>
            </w:pPr>
            <w:r w:rsidRPr="00E36379">
              <w:rPr>
                <w:b/>
                <w:b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E36379" w:rsidP="001F4553" w14:paraId="5D169D7D" w14:textId="77777777">
            <w:pPr>
              <w:jc w:val="center"/>
              <w:rPr>
                <w:b/>
                <w:bCs/>
                <w:color w:val="000000"/>
              </w:rPr>
            </w:pPr>
            <w:r>
              <w:rPr>
                <w:b/>
                <w:bCs/>
                <w:color w:val="000000"/>
              </w:rPr>
              <w:t>49,900</w:t>
            </w:r>
          </w:p>
        </w:tc>
        <w:tc>
          <w:tcPr>
            <w:tcW w:w="1685" w:type="dxa"/>
            <w:tcBorders>
              <w:top w:val="nil"/>
              <w:left w:val="nil"/>
              <w:bottom w:val="single" w:sz="4" w:space="0" w:color="auto"/>
              <w:right w:val="single" w:sz="4" w:space="0" w:color="auto"/>
            </w:tcBorders>
            <w:shd w:val="clear" w:color="auto" w:fill="auto"/>
            <w:vAlign w:val="center"/>
            <w:hideMark/>
          </w:tcPr>
          <w:p w:rsidR="00AD2146" w:rsidRPr="00E36379" w:rsidP="001F4553" w14:paraId="47A49E66" w14:textId="77777777">
            <w:pPr>
              <w:jc w:val="right"/>
              <w:rPr>
                <w:b/>
                <w:bCs/>
                <w:color w:val="000000"/>
              </w:rPr>
            </w:pPr>
            <w:r>
              <w:rPr>
                <w:b/>
                <w:bCs/>
                <w:color w:val="000000"/>
              </w:rPr>
              <w:t xml:space="preserve">$6,290,000 </w:t>
            </w:r>
          </w:p>
        </w:tc>
      </w:tr>
      <w:tr w14:paraId="6D894062"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000000" w:fill="FFFFFF"/>
            <w:vAlign w:val="center"/>
            <w:hideMark/>
          </w:tcPr>
          <w:p w:rsidR="00AD2146" w:rsidRPr="00E36379" w:rsidP="001F4553" w14:paraId="4D36E0E8" w14:textId="77777777">
            <w:pPr>
              <w:rPr>
                <w:b/>
                <w:bCs/>
              </w:rPr>
            </w:pPr>
            <w:r w:rsidRPr="00E36379">
              <w:rPr>
                <w:b/>
                <w:bCs/>
              </w:rPr>
              <w:t xml:space="preserve">Total Capital and O&amp;M Costs (Rounded) </w:t>
            </w:r>
            <w:r w:rsidRPr="00E36379">
              <w:rPr>
                <w:b/>
                <w:bCs/>
                <w:vertAlign w:val="superscript"/>
              </w:rPr>
              <w:t>f</w:t>
            </w:r>
          </w:p>
        </w:tc>
        <w:tc>
          <w:tcPr>
            <w:tcW w:w="1349"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4D5EF341" w14:textId="77777777">
            <w:pPr>
              <w:rPr>
                <w:b/>
                <w:bCs/>
                <w:color w:val="000000"/>
              </w:rPr>
            </w:pPr>
            <w:r w:rsidRPr="00E36379">
              <w:rPr>
                <w:b/>
                <w:bCs/>
                <w:color w:val="000000"/>
              </w:rPr>
              <w:t> </w:t>
            </w:r>
          </w:p>
        </w:tc>
        <w:tc>
          <w:tcPr>
            <w:tcW w:w="1443"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4EA6EFAF" w14:textId="77777777">
            <w:pPr>
              <w:rPr>
                <w:b/>
                <w:bCs/>
                <w:color w:val="000000"/>
              </w:rPr>
            </w:pPr>
            <w:r w:rsidRPr="00E36379">
              <w:rPr>
                <w:b/>
                <w:bCs/>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7545FC11" w14:textId="77777777">
            <w:pPr>
              <w:rPr>
                <w:b/>
                <w:bCs/>
                <w:color w:val="000000"/>
              </w:rPr>
            </w:pPr>
            <w:r w:rsidRPr="00E36379">
              <w:rPr>
                <w:b/>
                <w:bCs/>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18E3FCCF" w14:textId="77777777">
            <w:pPr>
              <w:rPr>
                <w:b/>
                <w:bCs/>
                <w:color w:val="000000"/>
              </w:rPr>
            </w:pPr>
            <w:r w:rsidRPr="00E36379">
              <w:rPr>
                <w:b/>
                <w:bCs/>
                <w:color w:val="000000"/>
              </w:rPr>
              <w:t> </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D2146" w:rsidRPr="00E36379" w:rsidP="001F4553" w14:paraId="7D664293" w14:textId="77777777">
            <w:pPr>
              <w:rPr>
                <w:b/>
                <w:bCs/>
                <w:color w:val="000000"/>
              </w:rPr>
            </w:pPr>
            <w:r>
              <w:rPr>
                <w:b/>
                <w:bCs/>
                <w:color w:val="000000"/>
              </w:rPr>
              <w:t> </w:t>
            </w:r>
          </w:p>
        </w:tc>
        <w:tc>
          <w:tcPr>
            <w:tcW w:w="1563"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5714F624" w14:textId="77777777">
            <w:pPr>
              <w:rPr>
                <w:b/>
                <w:bCs/>
                <w:color w:val="000000"/>
              </w:rPr>
            </w:pPr>
            <w:r>
              <w:rPr>
                <w:b/>
                <w:bCs/>
                <w:color w:val="000000"/>
              </w:rPr>
              <w:t> </w:t>
            </w:r>
          </w:p>
        </w:tc>
        <w:tc>
          <w:tcPr>
            <w:tcW w:w="1029"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5A339CEA" w14:textId="77777777">
            <w:pPr>
              <w:rPr>
                <w:b/>
                <w:bCs/>
                <w:color w:val="000000"/>
              </w:rPr>
            </w:pPr>
            <w:r>
              <w:rPr>
                <w:b/>
                <w:bCs/>
                <w:color w:val="000000"/>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0917B50C" w14:textId="77777777">
            <w:pPr>
              <w:jc w:val="right"/>
              <w:rPr>
                <w:b/>
                <w:bCs/>
                <w:color w:val="000000"/>
              </w:rPr>
            </w:pPr>
            <w:r>
              <w:rPr>
                <w:b/>
                <w:bCs/>
                <w:color w:val="000000"/>
              </w:rPr>
              <w:t>$0</w:t>
            </w:r>
          </w:p>
        </w:tc>
      </w:tr>
      <w:tr w14:paraId="0249B83A" w14:textId="77777777" w:rsidTr="001F4553">
        <w:tblPrEx>
          <w:tblW w:w="14231" w:type="dxa"/>
          <w:tblInd w:w="-540" w:type="dxa"/>
          <w:tblLook w:val="04A0"/>
        </w:tblPrEx>
        <w:trPr>
          <w:trHeight w:val="375"/>
        </w:trPr>
        <w:tc>
          <w:tcPr>
            <w:tcW w:w="3060" w:type="dxa"/>
            <w:tcBorders>
              <w:top w:val="nil"/>
              <w:left w:val="single" w:sz="4" w:space="0" w:color="auto"/>
              <w:bottom w:val="single" w:sz="4" w:space="0" w:color="auto"/>
              <w:right w:val="single" w:sz="4" w:space="0" w:color="auto"/>
            </w:tcBorders>
            <w:shd w:val="clear" w:color="000000" w:fill="FFFFFF"/>
            <w:vAlign w:val="center"/>
            <w:hideMark/>
          </w:tcPr>
          <w:p w:rsidR="00AD2146" w:rsidRPr="00E36379" w:rsidP="001F4553" w14:paraId="4577E431" w14:textId="77777777">
            <w:pPr>
              <w:rPr>
                <w:b/>
                <w:bCs/>
              </w:rPr>
            </w:pPr>
            <w:r w:rsidRPr="00E36379">
              <w:rPr>
                <w:b/>
                <w:bCs/>
              </w:rPr>
              <w:t xml:space="preserve">Grand Total (Rounded) </w:t>
            </w:r>
            <w:r w:rsidRPr="00E36379">
              <w:rPr>
                <w:b/>
                <w:bCs/>
                <w:vertAlign w:val="superscript"/>
              </w:rPr>
              <w:t>f</w:t>
            </w:r>
          </w:p>
        </w:tc>
        <w:tc>
          <w:tcPr>
            <w:tcW w:w="1349"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2379F78E" w14:textId="77777777">
            <w:pPr>
              <w:rPr>
                <w:b/>
                <w:bCs/>
                <w:color w:val="000000"/>
              </w:rPr>
            </w:pPr>
            <w:r w:rsidRPr="00E36379">
              <w:rPr>
                <w:b/>
                <w:bCs/>
                <w:color w:val="000000"/>
              </w:rPr>
              <w:t> </w:t>
            </w:r>
          </w:p>
        </w:tc>
        <w:tc>
          <w:tcPr>
            <w:tcW w:w="1443"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191ACE91" w14:textId="77777777">
            <w:pPr>
              <w:rPr>
                <w:b/>
                <w:bCs/>
                <w:color w:val="000000"/>
              </w:rPr>
            </w:pPr>
            <w:r w:rsidRPr="00E36379">
              <w:rPr>
                <w:b/>
                <w:bCs/>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34734B32" w14:textId="77777777">
            <w:pPr>
              <w:rPr>
                <w:b/>
                <w:bCs/>
                <w:color w:val="000000"/>
              </w:rPr>
            </w:pPr>
            <w:r w:rsidRPr="00E36379">
              <w:rPr>
                <w:b/>
                <w:bCs/>
                <w:color w:val="000000"/>
              </w:rPr>
              <w:t> </w:t>
            </w:r>
          </w:p>
        </w:tc>
        <w:tc>
          <w:tcPr>
            <w:tcW w:w="1523"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461891AF" w14:textId="77777777">
            <w:pPr>
              <w:rPr>
                <w:b/>
                <w:bCs/>
                <w:color w:val="000000"/>
              </w:rPr>
            </w:pPr>
            <w:r w:rsidRPr="00E36379">
              <w:rPr>
                <w:b/>
                <w:b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146" w:rsidRPr="00E36379" w:rsidP="001F4553" w14:paraId="3799BC38" w14:textId="77777777">
            <w:pPr>
              <w:jc w:val="center"/>
              <w:rPr>
                <w:b/>
                <w:bCs/>
                <w:color w:val="000000"/>
              </w:rPr>
            </w:pPr>
            <w:r>
              <w:rPr>
                <w:b/>
                <w:bCs/>
                <w:color w:val="000000"/>
              </w:rPr>
              <w:t>49,900</w:t>
            </w:r>
          </w:p>
        </w:tc>
        <w:tc>
          <w:tcPr>
            <w:tcW w:w="1685" w:type="dxa"/>
            <w:tcBorders>
              <w:top w:val="nil"/>
              <w:left w:val="nil"/>
              <w:bottom w:val="single" w:sz="4" w:space="0" w:color="auto"/>
              <w:right w:val="single" w:sz="4" w:space="0" w:color="auto"/>
            </w:tcBorders>
            <w:shd w:val="clear" w:color="auto" w:fill="auto"/>
            <w:noWrap/>
            <w:vAlign w:val="bottom"/>
            <w:hideMark/>
          </w:tcPr>
          <w:p w:rsidR="00AD2146" w:rsidRPr="00E36379" w:rsidP="001F4553" w14:paraId="1FD67B6D" w14:textId="77777777">
            <w:pPr>
              <w:jc w:val="right"/>
              <w:rPr>
                <w:b/>
                <w:bCs/>
                <w:color w:val="000000"/>
              </w:rPr>
            </w:pPr>
            <w:r>
              <w:rPr>
                <w:b/>
                <w:bCs/>
                <w:color w:val="000000"/>
              </w:rPr>
              <w:t>$6,290,000</w:t>
            </w:r>
          </w:p>
        </w:tc>
      </w:tr>
      <w:tr w14:paraId="675B4EEC" w14:textId="77777777" w:rsidTr="001F4553">
        <w:tblPrEx>
          <w:tblW w:w="14231" w:type="dxa"/>
          <w:tblInd w:w="-540" w:type="dxa"/>
          <w:tblLook w:val="04A0"/>
        </w:tblPrEx>
        <w:trPr>
          <w:trHeight w:val="315"/>
        </w:trPr>
        <w:tc>
          <w:tcPr>
            <w:tcW w:w="3060" w:type="dxa"/>
            <w:tcBorders>
              <w:top w:val="nil"/>
              <w:left w:val="nil"/>
              <w:bottom w:val="nil"/>
              <w:right w:val="nil"/>
            </w:tcBorders>
            <w:shd w:val="clear" w:color="auto" w:fill="auto"/>
            <w:noWrap/>
            <w:vAlign w:val="bottom"/>
            <w:hideMark/>
          </w:tcPr>
          <w:p w:rsidR="00AD2146" w:rsidRPr="00E36379" w:rsidP="001F4553" w14:paraId="612D4250" w14:textId="77777777">
            <w:pPr>
              <w:jc w:val="right"/>
              <w:rPr>
                <w:b/>
                <w:bCs/>
                <w:color w:val="000000"/>
              </w:rPr>
            </w:pPr>
          </w:p>
        </w:tc>
        <w:tc>
          <w:tcPr>
            <w:tcW w:w="1349" w:type="dxa"/>
            <w:tcBorders>
              <w:top w:val="nil"/>
              <w:left w:val="nil"/>
              <w:bottom w:val="nil"/>
              <w:right w:val="nil"/>
            </w:tcBorders>
            <w:shd w:val="clear" w:color="auto" w:fill="auto"/>
            <w:noWrap/>
            <w:vAlign w:val="bottom"/>
            <w:hideMark/>
          </w:tcPr>
          <w:p w:rsidR="00AD2146" w:rsidRPr="00E36379" w:rsidP="001F4553" w14:paraId="2055EE94"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E36379" w:rsidP="001F4553" w14:paraId="1BAE6362" w14:textId="77777777">
            <w:pPr>
              <w:rPr>
                <w:sz w:val="20"/>
                <w:szCs w:val="20"/>
              </w:rPr>
            </w:pPr>
          </w:p>
        </w:tc>
        <w:tc>
          <w:tcPr>
            <w:tcW w:w="1363" w:type="dxa"/>
            <w:tcBorders>
              <w:top w:val="nil"/>
              <w:left w:val="nil"/>
              <w:bottom w:val="nil"/>
              <w:right w:val="nil"/>
            </w:tcBorders>
            <w:shd w:val="clear" w:color="auto" w:fill="auto"/>
            <w:noWrap/>
            <w:vAlign w:val="bottom"/>
            <w:hideMark/>
          </w:tcPr>
          <w:p w:rsidR="00AD2146" w:rsidRPr="00E36379" w:rsidP="001F4553" w14:paraId="0C27623F" w14:textId="77777777">
            <w:pPr>
              <w:rPr>
                <w:sz w:val="20"/>
                <w:szCs w:val="20"/>
              </w:rPr>
            </w:pPr>
          </w:p>
        </w:tc>
        <w:tc>
          <w:tcPr>
            <w:tcW w:w="1523" w:type="dxa"/>
            <w:tcBorders>
              <w:top w:val="nil"/>
              <w:left w:val="nil"/>
              <w:bottom w:val="nil"/>
              <w:right w:val="nil"/>
            </w:tcBorders>
            <w:shd w:val="clear" w:color="auto" w:fill="auto"/>
            <w:noWrap/>
            <w:vAlign w:val="bottom"/>
            <w:hideMark/>
          </w:tcPr>
          <w:p w:rsidR="00AD2146" w:rsidRPr="00E36379" w:rsidP="001F4553" w14:paraId="5DF0D4D7"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E36379" w:rsidP="001F4553" w14:paraId="7B2220A8"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E36379" w:rsidP="001F4553" w14:paraId="674BC417"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E36379" w:rsidP="001F4553" w14:paraId="60AE9852" w14:textId="77777777">
            <w:pPr>
              <w:rPr>
                <w:sz w:val="20"/>
                <w:szCs w:val="20"/>
              </w:rPr>
            </w:pPr>
          </w:p>
        </w:tc>
        <w:tc>
          <w:tcPr>
            <w:tcW w:w="1685" w:type="dxa"/>
            <w:tcBorders>
              <w:top w:val="nil"/>
              <w:left w:val="nil"/>
              <w:bottom w:val="nil"/>
              <w:right w:val="nil"/>
            </w:tcBorders>
            <w:shd w:val="clear" w:color="auto" w:fill="auto"/>
            <w:noWrap/>
            <w:vAlign w:val="bottom"/>
            <w:hideMark/>
          </w:tcPr>
          <w:p w:rsidR="00AD2146" w:rsidRPr="00E36379" w:rsidP="001F4553" w14:paraId="25166632" w14:textId="77777777">
            <w:pPr>
              <w:rPr>
                <w:sz w:val="20"/>
                <w:szCs w:val="20"/>
              </w:rPr>
            </w:pPr>
          </w:p>
        </w:tc>
      </w:tr>
      <w:tr w14:paraId="20C3FE5B" w14:textId="77777777" w:rsidTr="001F4553">
        <w:tblPrEx>
          <w:tblW w:w="14231" w:type="dxa"/>
          <w:tblInd w:w="-540" w:type="dxa"/>
          <w:tblLook w:val="04A0"/>
        </w:tblPrEx>
        <w:trPr>
          <w:trHeight w:val="315"/>
        </w:trPr>
        <w:tc>
          <w:tcPr>
            <w:tcW w:w="3060" w:type="dxa"/>
            <w:tcBorders>
              <w:top w:val="nil"/>
              <w:left w:val="nil"/>
              <w:bottom w:val="nil"/>
              <w:right w:val="nil"/>
            </w:tcBorders>
            <w:shd w:val="clear" w:color="auto" w:fill="auto"/>
            <w:noWrap/>
            <w:vAlign w:val="center"/>
            <w:hideMark/>
          </w:tcPr>
          <w:p w:rsidR="00AD2146" w:rsidRPr="00E36379" w:rsidP="001F4553" w14:paraId="34EFADDE" w14:textId="77777777">
            <w:pPr>
              <w:rPr>
                <w:b/>
                <w:bCs/>
                <w:color w:val="000000"/>
              </w:rPr>
            </w:pPr>
            <w:r w:rsidRPr="00E36379">
              <w:rPr>
                <w:b/>
                <w:bCs/>
                <w:color w:val="000000"/>
              </w:rPr>
              <w:t>Assumptions:</w:t>
            </w:r>
          </w:p>
        </w:tc>
        <w:tc>
          <w:tcPr>
            <w:tcW w:w="1349" w:type="dxa"/>
            <w:tcBorders>
              <w:top w:val="nil"/>
              <w:left w:val="nil"/>
              <w:bottom w:val="nil"/>
              <w:right w:val="nil"/>
            </w:tcBorders>
            <w:shd w:val="clear" w:color="auto" w:fill="auto"/>
            <w:noWrap/>
            <w:vAlign w:val="bottom"/>
            <w:hideMark/>
          </w:tcPr>
          <w:p w:rsidR="00AD2146" w:rsidRPr="00E36379" w:rsidP="001F4553" w14:paraId="69EDFA55" w14:textId="77777777">
            <w:pPr>
              <w:rPr>
                <w:b/>
                <w:bCs/>
                <w:color w:val="000000"/>
              </w:rPr>
            </w:pPr>
          </w:p>
        </w:tc>
        <w:tc>
          <w:tcPr>
            <w:tcW w:w="1443" w:type="dxa"/>
            <w:tcBorders>
              <w:top w:val="nil"/>
              <w:left w:val="nil"/>
              <w:bottom w:val="nil"/>
              <w:right w:val="nil"/>
            </w:tcBorders>
            <w:shd w:val="clear" w:color="auto" w:fill="auto"/>
            <w:noWrap/>
            <w:vAlign w:val="bottom"/>
            <w:hideMark/>
          </w:tcPr>
          <w:p w:rsidR="00AD2146" w:rsidRPr="00E36379" w:rsidP="001F4553" w14:paraId="69A9832A" w14:textId="77777777">
            <w:pPr>
              <w:rPr>
                <w:sz w:val="20"/>
                <w:szCs w:val="20"/>
              </w:rPr>
            </w:pPr>
          </w:p>
        </w:tc>
        <w:tc>
          <w:tcPr>
            <w:tcW w:w="1363" w:type="dxa"/>
            <w:tcBorders>
              <w:top w:val="nil"/>
              <w:left w:val="nil"/>
              <w:bottom w:val="nil"/>
              <w:right w:val="nil"/>
            </w:tcBorders>
            <w:shd w:val="clear" w:color="auto" w:fill="auto"/>
            <w:noWrap/>
            <w:vAlign w:val="bottom"/>
            <w:hideMark/>
          </w:tcPr>
          <w:p w:rsidR="00AD2146" w:rsidRPr="00E36379" w:rsidP="001F4553" w14:paraId="2719DEDE" w14:textId="77777777">
            <w:pPr>
              <w:rPr>
                <w:sz w:val="20"/>
                <w:szCs w:val="20"/>
              </w:rPr>
            </w:pPr>
          </w:p>
        </w:tc>
        <w:tc>
          <w:tcPr>
            <w:tcW w:w="1523" w:type="dxa"/>
            <w:tcBorders>
              <w:top w:val="nil"/>
              <w:left w:val="nil"/>
              <w:bottom w:val="nil"/>
              <w:right w:val="nil"/>
            </w:tcBorders>
            <w:shd w:val="clear" w:color="auto" w:fill="auto"/>
            <w:noWrap/>
            <w:vAlign w:val="bottom"/>
            <w:hideMark/>
          </w:tcPr>
          <w:p w:rsidR="00AD2146" w:rsidRPr="00E36379" w:rsidP="001F4553" w14:paraId="2687A0C0"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E36379" w:rsidP="001F4553" w14:paraId="3C2E9EC5"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E36379" w:rsidP="001F4553" w14:paraId="638DCE2C"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E36379" w:rsidP="001F4553" w14:paraId="522B4952" w14:textId="77777777">
            <w:pPr>
              <w:rPr>
                <w:sz w:val="20"/>
                <w:szCs w:val="20"/>
              </w:rPr>
            </w:pPr>
          </w:p>
        </w:tc>
        <w:tc>
          <w:tcPr>
            <w:tcW w:w="1685" w:type="dxa"/>
            <w:tcBorders>
              <w:top w:val="nil"/>
              <w:left w:val="nil"/>
              <w:bottom w:val="nil"/>
              <w:right w:val="nil"/>
            </w:tcBorders>
            <w:shd w:val="clear" w:color="auto" w:fill="auto"/>
            <w:noWrap/>
            <w:vAlign w:val="bottom"/>
            <w:hideMark/>
          </w:tcPr>
          <w:p w:rsidR="00AD2146" w:rsidRPr="00E36379" w:rsidP="001F4553" w14:paraId="61A8B8BC" w14:textId="77777777">
            <w:pPr>
              <w:rPr>
                <w:sz w:val="20"/>
                <w:szCs w:val="20"/>
              </w:rPr>
            </w:pPr>
          </w:p>
        </w:tc>
      </w:tr>
      <w:tr w14:paraId="5000AA57" w14:textId="77777777" w:rsidTr="001F4553">
        <w:tblPrEx>
          <w:tblW w:w="14231" w:type="dxa"/>
          <w:tblInd w:w="-540" w:type="dxa"/>
          <w:tblLook w:val="04A0"/>
        </w:tblPrEx>
        <w:trPr>
          <w:trHeight w:val="873"/>
        </w:trPr>
        <w:tc>
          <w:tcPr>
            <w:tcW w:w="14231" w:type="dxa"/>
            <w:gridSpan w:val="9"/>
            <w:tcBorders>
              <w:top w:val="nil"/>
              <w:left w:val="nil"/>
              <w:bottom w:val="nil"/>
              <w:right w:val="nil"/>
            </w:tcBorders>
            <w:shd w:val="clear" w:color="auto" w:fill="auto"/>
            <w:hideMark/>
          </w:tcPr>
          <w:p w:rsidR="00AD2146" w:rsidRPr="00E36379" w:rsidP="001F4553" w14:paraId="1A01BEC7" w14:textId="77777777">
            <w:pPr>
              <w:rPr>
                <w:color w:val="000000"/>
              </w:rPr>
            </w:pPr>
            <w:r w:rsidRPr="00E36379">
              <w:rPr>
                <w:color w:val="000000"/>
                <w:vertAlign w:val="superscript"/>
              </w:rPr>
              <w:t>a</w:t>
            </w:r>
            <w:r>
              <w:rPr>
                <w:color w:val="000000"/>
              </w:rPr>
              <w:t xml:space="preserve"> </w:t>
            </w:r>
            <w:r w:rsidRPr="00E36379">
              <w:rPr>
                <w:color w:val="000000"/>
              </w:rPr>
              <w:t xml:space="preserve">We have assumed that the average number of existing respondents that will be subject to Subpart KKK will be </w:t>
            </w:r>
            <w:r>
              <w:rPr>
                <w:color w:val="000000"/>
              </w:rPr>
              <w:t>291</w:t>
            </w:r>
            <w:r w:rsidRPr="00E36379">
              <w:rPr>
                <w:color w:val="000000"/>
              </w:rPr>
              <w:t xml:space="preserve">. This estimated average accounts for modified facilities after August 23, </w:t>
            </w:r>
            <w:r w:rsidRPr="00E36379">
              <w:rPr>
                <w:color w:val="000000"/>
              </w:rPr>
              <w:t>2011</w:t>
            </w:r>
            <w:r w:rsidRPr="00E36379">
              <w:rPr>
                <w:color w:val="000000"/>
              </w:rPr>
              <w:t xml:space="preserve"> subject to Subpart KKK that will become subject to </w:t>
            </w:r>
            <w:r w:rsidRPr="00D30185">
              <w:rPr>
                <w:color w:val="000000"/>
              </w:rPr>
              <w:t xml:space="preserve">40 CFR Part 60, </w:t>
            </w:r>
            <w:r w:rsidRPr="00E36379">
              <w:rPr>
                <w:color w:val="000000"/>
              </w:rPr>
              <w:t xml:space="preserve">Subpart </w:t>
            </w:r>
            <w:r w:rsidRPr="00E36379">
              <w:rPr>
                <w:color w:val="000000"/>
              </w:rPr>
              <w:t>OOOO</w:t>
            </w:r>
            <w:r>
              <w:rPr>
                <w:color w:val="000000"/>
              </w:rPr>
              <w:t>a</w:t>
            </w:r>
            <w:r w:rsidRPr="00E36379">
              <w:rPr>
                <w:color w:val="000000"/>
              </w:rPr>
              <w:t xml:space="preserve"> and therefore, would no longer report under these rules. </w:t>
            </w:r>
          </w:p>
        </w:tc>
      </w:tr>
      <w:tr w14:paraId="6EA67EF0" w14:textId="77777777" w:rsidTr="001F4553">
        <w:tblPrEx>
          <w:tblW w:w="14231" w:type="dxa"/>
          <w:tblInd w:w="-540" w:type="dxa"/>
          <w:tblLook w:val="04A0"/>
        </w:tblPrEx>
        <w:trPr>
          <w:trHeight w:val="1080"/>
        </w:trPr>
        <w:tc>
          <w:tcPr>
            <w:tcW w:w="14231" w:type="dxa"/>
            <w:gridSpan w:val="9"/>
            <w:tcBorders>
              <w:top w:val="nil"/>
              <w:left w:val="nil"/>
              <w:bottom w:val="nil"/>
              <w:right w:val="nil"/>
            </w:tcBorders>
            <w:shd w:val="clear" w:color="auto" w:fill="auto"/>
            <w:hideMark/>
          </w:tcPr>
          <w:p w:rsidR="00AD2146" w:rsidRPr="00E36379" w:rsidP="001F4553" w14:paraId="4493A179" w14:textId="77777777">
            <w:pPr>
              <w:rPr>
                <w:color w:val="000000"/>
              </w:rPr>
            </w:pPr>
            <w:r w:rsidRPr="00CB3F85">
              <w:rPr>
                <w:color w:val="000000"/>
                <w:vertAlign w:val="superscript"/>
              </w:rPr>
              <w:t>b</w:t>
            </w:r>
            <w:r>
              <w:rPr>
                <w:color w:val="000000"/>
                <w:vertAlign w:val="superscript"/>
              </w:rPr>
              <w:t xml:space="preserve"> </w:t>
            </w:r>
            <w:r w:rsidRPr="00336B1F">
              <w:rPr>
                <w:color w:val="000000"/>
              </w:rPr>
              <w:t xml:space="preserve">This ICR uses the following labor rates: $163.17 ($77.70 + 110%) per hour for Executive, Administrative, and Managerial labor; $130.28 ($62.04 + 110%) per hour for </w:t>
            </w:r>
            <w:r w:rsidRPr="00336B1F">
              <w:rPr>
                <w:color w:val="000000"/>
              </w:rPr>
              <w:t>Technical</w:t>
            </w:r>
            <w:r w:rsidRPr="00336B1F">
              <w:rPr>
                <w:color w:val="000000"/>
              </w:rPr>
              <w:t xml:space="preserve"> labor, and $65.71 ($31.29 + 110%) per hour for Clerical labor.</w:t>
            </w:r>
            <w:r>
              <w:rPr>
                <w:color w:val="000000"/>
              </w:rPr>
              <w:t xml:space="preserve"> </w:t>
            </w:r>
            <w:r w:rsidRPr="00336B1F">
              <w:rPr>
                <w:color w:val="000000"/>
              </w:rPr>
              <w:t xml:space="preserve">These rates are from the United States Department of Labor, Bureau of Labor Statistics, September 2022, “Table 2. Civilian workers by occupational and industry group.” The rates are from column 1, “Total compensation.” The rates have </w:t>
            </w:r>
            <w:r w:rsidRPr="00336B1F">
              <w:rPr>
                <w:color w:val="000000"/>
              </w:rPr>
              <w:t>been increased by 110 percent to account for varying industry wage rates and the additional overhead business costs of employing workers beyond their wages and benefits, including business expenses associated with hiring, training, and equipping their employees.</w:t>
            </w:r>
            <w:r w:rsidRPr="00CB3F85">
              <w:rPr>
                <w:color w:val="000000"/>
                <w:vertAlign w:val="superscript"/>
              </w:rPr>
              <w:tab/>
            </w:r>
            <w:r w:rsidRPr="00CB3F85">
              <w:rPr>
                <w:color w:val="000000"/>
                <w:vertAlign w:val="superscript"/>
              </w:rPr>
              <w:tab/>
            </w:r>
            <w:r w:rsidRPr="00CB3F85">
              <w:rPr>
                <w:color w:val="000000"/>
                <w:vertAlign w:val="superscript"/>
              </w:rPr>
              <w:tab/>
            </w:r>
            <w:r w:rsidRPr="00CB3F85">
              <w:rPr>
                <w:color w:val="000000"/>
                <w:vertAlign w:val="superscript"/>
              </w:rPr>
              <w:tab/>
            </w:r>
            <w:r w:rsidRPr="00CB3F85">
              <w:rPr>
                <w:color w:val="000000"/>
                <w:vertAlign w:val="superscript"/>
              </w:rPr>
              <w:tab/>
            </w:r>
          </w:p>
        </w:tc>
      </w:tr>
      <w:tr w14:paraId="0C79EC15" w14:textId="77777777" w:rsidTr="001F4553">
        <w:tblPrEx>
          <w:tblW w:w="14231" w:type="dxa"/>
          <w:tblInd w:w="-540" w:type="dxa"/>
          <w:tblLook w:val="04A0"/>
        </w:tblPrEx>
        <w:trPr>
          <w:trHeight w:val="375"/>
        </w:trPr>
        <w:tc>
          <w:tcPr>
            <w:tcW w:w="14231" w:type="dxa"/>
            <w:gridSpan w:val="9"/>
            <w:tcBorders>
              <w:top w:val="nil"/>
              <w:left w:val="nil"/>
              <w:bottom w:val="nil"/>
              <w:right w:val="nil"/>
            </w:tcBorders>
            <w:shd w:val="clear" w:color="auto" w:fill="auto"/>
            <w:noWrap/>
            <w:hideMark/>
          </w:tcPr>
          <w:p w:rsidR="00AD2146" w:rsidRPr="00E36379" w:rsidP="001F4553" w14:paraId="0460B12E" w14:textId="77777777">
            <w:pPr>
              <w:rPr>
                <w:color w:val="000000"/>
              </w:rPr>
            </w:pPr>
            <w:r w:rsidRPr="00E36379">
              <w:rPr>
                <w:color w:val="000000"/>
                <w:vertAlign w:val="superscript"/>
              </w:rPr>
              <w:t>c</w:t>
            </w:r>
            <w:r>
              <w:rPr>
                <w:color w:val="000000"/>
              </w:rPr>
              <w:t xml:space="preserve"> </w:t>
            </w:r>
            <w:r w:rsidRPr="00E36379">
              <w:rPr>
                <w:color w:val="000000"/>
              </w:rPr>
              <w:t>New</w:t>
            </w:r>
            <w:r w:rsidRPr="00E36379">
              <w:rPr>
                <w:color w:val="000000"/>
              </w:rPr>
              <w:t xml:space="preserve"> respondents will be subject to </w:t>
            </w:r>
            <w:r w:rsidRPr="00D30185">
              <w:rPr>
                <w:color w:val="000000"/>
              </w:rPr>
              <w:t xml:space="preserve">40 CFR Part 60, </w:t>
            </w:r>
            <w:r w:rsidRPr="00E36379">
              <w:rPr>
                <w:color w:val="000000"/>
              </w:rPr>
              <w:t xml:space="preserve">Subpart </w:t>
            </w:r>
            <w:r w:rsidRPr="00E36379">
              <w:rPr>
                <w:color w:val="000000"/>
              </w:rPr>
              <w:t>OOOO</w:t>
            </w:r>
            <w:r>
              <w:rPr>
                <w:color w:val="000000"/>
              </w:rPr>
              <w:t>a</w:t>
            </w:r>
            <w:r w:rsidRPr="00E36379">
              <w:rPr>
                <w:color w:val="000000"/>
              </w:rPr>
              <w:t xml:space="preserve">. </w:t>
            </w:r>
          </w:p>
        </w:tc>
      </w:tr>
      <w:tr w14:paraId="2FDBFD81" w14:textId="77777777" w:rsidTr="001F4553">
        <w:tblPrEx>
          <w:tblW w:w="14231" w:type="dxa"/>
          <w:tblInd w:w="-540" w:type="dxa"/>
          <w:tblLook w:val="04A0"/>
        </w:tblPrEx>
        <w:trPr>
          <w:trHeight w:val="375"/>
        </w:trPr>
        <w:tc>
          <w:tcPr>
            <w:tcW w:w="14231" w:type="dxa"/>
            <w:gridSpan w:val="9"/>
            <w:tcBorders>
              <w:top w:val="nil"/>
              <w:left w:val="nil"/>
              <w:bottom w:val="nil"/>
              <w:right w:val="nil"/>
            </w:tcBorders>
            <w:shd w:val="clear" w:color="auto" w:fill="auto"/>
            <w:noWrap/>
            <w:hideMark/>
          </w:tcPr>
          <w:p w:rsidR="00AD2146" w:rsidRPr="00E36379" w:rsidP="001F4553" w14:paraId="3C62A836" w14:textId="77777777">
            <w:pPr>
              <w:rPr>
                <w:color w:val="000000"/>
              </w:rPr>
            </w:pPr>
            <w:r w:rsidRPr="00E36379">
              <w:rPr>
                <w:color w:val="000000"/>
                <w:vertAlign w:val="superscript"/>
              </w:rPr>
              <w:t>d</w:t>
            </w:r>
            <w:r>
              <w:rPr>
                <w:color w:val="000000"/>
              </w:rPr>
              <w:t xml:space="preserve"> </w:t>
            </w:r>
            <w:r w:rsidRPr="00E36379">
              <w:rPr>
                <w:color w:val="000000"/>
              </w:rPr>
              <w:t>We have assumed that each existing respondent will take 8 hours, two times per year to write semiannual reports.</w:t>
            </w:r>
          </w:p>
        </w:tc>
      </w:tr>
      <w:tr w14:paraId="7ADC20D4" w14:textId="77777777" w:rsidTr="001F4553">
        <w:tblPrEx>
          <w:tblW w:w="14231" w:type="dxa"/>
          <w:tblInd w:w="-540" w:type="dxa"/>
          <w:tblLook w:val="04A0"/>
        </w:tblPrEx>
        <w:trPr>
          <w:trHeight w:val="375"/>
        </w:trPr>
        <w:tc>
          <w:tcPr>
            <w:tcW w:w="14231" w:type="dxa"/>
            <w:gridSpan w:val="9"/>
            <w:tcBorders>
              <w:top w:val="nil"/>
              <w:left w:val="nil"/>
              <w:bottom w:val="nil"/>
              <w:right w:val="nil"/>
            </w:tcBorders>
            <w:shd w:val="clear" w:color="auto" w:fill="auto"/>
            <w:noWrap/>
            <w:hideMark/>
          </w:tcPr>
          <w:p w:rsidR="00AD2146" w:rsidRPr="00E36379" w:rsidP="001F4553" w14:paraId="25990832" w14:textId="77777777">
            <w:pPr>
              <w:rPr>
                <w:color w:val="000000"/>
              </w:rPr>
            </w:pPr>
            <w:r w:rsidRPr="00E36379">
              <w:rPr>
                <w:color w:val="000000"/>
                <w:vertAlign w:val="superscript"/>
              </w:rPr>
              <w:t>e</w:t>
            </w:r>
            <w:r>
              <w:rPr>
                <w:color w:val="000000"/>
              </w:rPr>
              <w:t xml:space="preserve"> </w:t>
            </w:r>
            <w:r w:rsidRPr="00E36379">
              <w:rPr>
                <w:color w:val="000000"/>
              </w:rPr>
              <w:t>We have assumed that each existing respondent will take 80 hours to file and maintain records.</w:t>
            </w:r>
          </w:p>
        </w:tc>
      </w:tr>
      <w:tr w14:paraId="7B56784A" w14:textId="77777777" w:rsidTr="001F4553">
        <w:tblPrEx>
          <w:tblW w:w="14231" w:type="dxa"/>
          <w:tblInd w:w="-540" w:type="dxa"/>
          <w:tblLook w:val="04A0"/>
        </w:tblPrEx>
        <w:trPr>
          <w:trHeight w:val="375"/>
        </w:trPr>
        <w:tc>
          <w:tcPr>
            <w:tcW w:w="14231" w:type="dxa"/>
            <w:gridSpan w:val="9"/>
            <w:tcBorders>
              <w:top w:val="nil"/>
              <w:left w:val="nil"/>
              <w:bottom w:val="nil"/>
              <w:right w:val="nil"/>
            </w:tcBorders>
            <w:shd w:val="clear" w:color="auto" w:fill="auto"/>
            <w:noWrap/>
            <w:vAlign w:val="center"/>
            <w:hideMark/>
          </w:tcPr>
          <w:p w:rsidR="00AD2146" w:rsidRPr="00E36379" w:rsidP="001F4553" w14:paraId="69E46DD5" w14:textId="77777777">
            <w:pPr>
              <w:rPr>
                <w:color w:val="000000"/>
              </w:rPr>
            </w:pPr>
            <w:r w:rsidRPr="00E36379">
              <w:rPr>
                <w:color w:val="000000"/>
                <w:vertAlign w:val="superscript"/>
              </w:rPr>
              <w:t xml:space="preserve">f </w:t>
            </w:r>
            <w:r w:rsidRPr="00E36379">
              <w:rPr>
                <w:color w:val="000000"/>
              </w:rPr>
              <w:t xml:space="preserve">Totals are rounded to three significant figures. Figures may not add exactly due to rounding. </w:t>
            </w:r>
          </w:p>
        </w:tc>
      </w:tr>
    </w:tbl>
    <w:p w:rsidR="00AD2146" w:rsidP="00AD2146" w14:paraId="3F51AF03" w14:textId="77777777">
      <w:r>
        <w:br w:type="page"/>
      </w:r>
    </w:p>
    <w:tbl>
      <w:tblPr>
        <w:tblW w:w="17239" w:type="dxa"/>
        <w:tblInd w:w="-450" w:type="dxa"/>
        <w:tblLook w:val="04A0"/>
      </w:tblPr>
      <w:tblGrid>
        <w:gridCol w:w="3260"/>
        <w:gridCol w:w="1349"/>
        <w:gridCol w:w="1443"/>
        <w:gridCol w:w="1363"/>
        <w:gridCol w:w="1523"/>
        <w:gridCol w:w="1216"/>
        <w:gridCol w:w="1563"/>
        <w:gridCol w:w="1029"/>
        <w:gridCol w:w="1443"/>
        <w:gridCol w:w="1501"/>
        <w:gridCol w:w="1549"/>
      </w:tblGrid>
      <w:tr w14:paraId="7C6398FF" w14:textId="77777777" w:rsidTr="001F4553">
        <w:tblPrEx>
          <w:tblW w:w="17239" w:type="dxa"/>
          <w:tblInd w:w="-450" w:type="dxa"/>
          <w:tblLook w:val="04A0"/>
        </w:tblPrEx>
        <w:trPr>
          <w:gridAfter w:val="2"/>
          <w:wAfter w:w="3160" w:type="dxa"/>
          <w:trHeight w:val="315"/>
        </w:trPr>
        <w:tc>
          <w:tcPr>
            <w:tcW w:w="14079" w:type="dxa"/>
            <w:gridSpan w:val="9"/>
            <w:tcBorders>
              <w:top w:val="nil"/>
              <w:left w:val="nil"/>
              <w:bottom w:val="nil"/>
              <w:right w:val="nil"/>
            </w:tcBorders>
            <w:shd w:val="clear" w:color="auto" w:fill="auto"/>
            <w:hideMark/>
          </w:tcPr>
          <w:p w:rsidR="00AD2146" w:rsidRPr="00BF51F1" w:rsidP="001F4553" w14:paraId="3BB3D0F2" w14:textId="77777777">
            <w:pPr>
              <w:rPr>
                <w:b/>
                <w:bCs/>
                <w:color w:val="000000"/>
              </w:rPr>
            </w:pPr>
            <w:r w:rsidRPr="00BF51F1">
              <w:rPr>
                <w:b/>
                <w:bCs/>
                <w:color w:val="000000"/>
              </w:rPr>
              <w:t>Table 1b: Annual Respondent Burden and Cost - NSPS for Onshore Natural Gas Processing Plants (40 CFR Part 60, Subpart LLL)</w:t>
            </w:r>
            <w:r>
              <w:rPr>
                <w:b/>
                <w:bCs/>
                <w:color w:val="000000"/>
              </w:rPr>
              <w:t xml:space="preserve"> (Renewal)</w:t>
            </w:r>
          </w:p>
        </w:tc>
      </w:tr>
      <w:tr w14:paraId="34E8A132" w14:textId="77777777" w:rsidTr="001F4553">
        <w:tblPrEx>
          <w:tblW w:w="17239" w:type="dxa"/>
          <w:tblInd w:w="-450" w:type="dxa"/>
          <w:tblLook w:val="04A0"/>
        </w:tblPrEx>
        <w:trPr>
          <w:gridAfter w:val="2"/>
          <w:wAfter w:w="3160" w:type="dxa"/>
          <w:trHeight w:val="315"/>
        </w:trPr>
        <w:tc>
          <w:tcPr>
            <w:tcW w:w="3150" w:type="dxa"/>
            <w:tcBorders>
              <w:top w:val="nil"/>
              <w:left w:val="nil"/>
              <w:bottom w:val="nil"/>
              <w:right w:val="nil"/>
            </w:tcBorders>
            <w:shd w:val="clear" w:color="auto" w:fill="auto"/>
            <w:noWrap/>
            <w:vAlign w:val="bottom"/>
            <w:hideMark/>
          </w:tcPr>
          <w:p w:rsidR="00AD2146" w:rsidRPr="00BF51F1" w:rsidP="001F4553" w14:paraId="13F15A9D" w14:textId="77777777">
            <w:pPr>
              <w:rPr>
                <w:b/>
                <w:bCs/>
                <w:color w:val="000000"/>
              </w:rPr>
            </w:pPr>
          </w:p>
        </w:tc>
        <w:tc>
          <w:tcPr>
            <w:tcW w:w="1349" w:type="dxa"/>
            <w:tcBorders>
              <w:top w:val="nil"/>
              <w:left w:val="nil"/>
              <w:bottom w:val="nil"/>
              <w:right w:val="nil"/>
            </w:tcBorders>
            <w:shd w:val="clear" w:color="auto" w:fill="auto"/>
            <w:noWrap/>
            <w:vAlign w:val="bottom"/>
            <w:hideMark/>
          </w:tcPr>
          <w:p w:rsidR="00AD2146" w:rsidRPr="00BF51F1" w:rsidP="001F4553" w14:paraId="2D2DE2C6"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BF51F1" w:rsidP="001F4553" w14:paraId="54618013" w14:textId="77777777">
            <w:pPr>
              <w:rPr>
                <w:sz w:val="20"/>
                <w:szCs w:val="20"/>
              </w:rPr>
            </w:pPr>
          </w:p>
        </w:tc>
        <w:tc>
          <w:tcPr>
            <w:tcW w:w="1363" w:type="dxa"/>
            <w:tcBorders>
              <w:top w:val="nil"/>
              <w:left w:val="nil"/>
              <w:bottom w:val="nil"/>
              <w:right w:val="nil"/>
            </w:tcBorders>
            <w:shd w:val="clear" w:color="auto" w:fill="auto"/>
            <w:noWrap/>
            <w:vAlign w:val="bottom"/>
            <w:hideMark/>
          </w:tcPr>
          <w:p w:rsidR="00AD2146" w:rsidRPr="00BF51F1" w:rsidP="001F4553" w14:paraId="3B7B30F2" w14:textId="77777777">
            <w:pPr>
              <w:rPr>
                <w:sz w:val="20"/>
                <w:szCs w:val="20"/>
              </w:rPr>
            </w:pPr>
          </w:p>
        </w:tc>
        <w:tc>
          <w:tcPr>
            <w:tcW w:w="1523" w:type="dxa"/>
            <w:tcBorders>
              <w:top w:val="nil"/>
              <w:left w:val="nil"/>
              <w:bottom w:val="nil"/>
              <w:right w:val="nil"/>
            </w:tcBorders>
            <w:shd w:val="clear" w:color="auto" w:fill="auto"/>
            <w:noWrap/>
            <w:vAlign w:val="bottom"/>
            <w:hideMark/>
          </w:tcPr>
          <w:p w:rsidR="00AD2146" w:rsidRPr="00BF51F1" w:rsidP="001F4553" w14:paraId="001177CE"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BF51F1" w:rsidP="001F4553" w14:paraId="392DBCAE"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BF51F1" w:rsidP="001F4553" w14:paraId="2AAC2473"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BF51F1" w:rsidP="001F4553" w14:paraId="28FF0A99"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BF51F1" w:rsidP="001F4553" w14:paraId="5B46599C" w14:textId="77777777">
            <w:pPr>
              <w:rPr>
                <w:sz w:val="20"/>
                <w:szCs w:val="20"/>
              </w:rPr>
            </w:pPr>
          </w:p>
        </w:tc>
      </w:tr>
      <w:tr w14:paraId="5B9F3CC1" w14:textId="77777777" w:rsidTr="001F4553">
        <w:tblPrEx>
          <w:tblW w:w="17239" w:type="dxa"/>
          <w:tblInd w:w="-450" w:type="dxa"/>
          <w:tblLook w:val="04A0"/>
        </w:tblPrEx>
        <w:trPr>
          <w:gridAfter w:val="2"/>
          <w:wAfter w:w="3160" w:type="dxa"/>
          <w:trHeight w:val="2205"/>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46" w:rsidRPr="00BF51F1" w:rsidP="001F4553" w14:paraId="5B7CC7BD" w14:textId="77777777">
            <w:pPr>
              <w:jc w:val="center"/>
              <w:rPr>
                <w:b/>
                <w:bCs/>
                <w:color w:val="000000"/>
              </w:rPr>
            </w:pPr>
            <w:r w:rsidRPr="00BF51F1">
              <w:rPr>
                <w:b/>
                <w:bCs/>
                <w:color w:val="000000"/>
              </w:rPr>
              <w:t>Burden Item</w:t>
            </w:r>
          </w:p>
        </w:tc>
        <w:tc>
          <w:tcPr>
            <w:tcW w:w="1349"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5D078FED" w14:textId="77777777">
            <w:pPr>
              <w:jc w:val="center"/>
              <w:rPr>
                <w:b/>
                <w:bCs/>
                <w:color w:val="000000"/>
              </w:rPr>
            </w:pPr>
            <w:r w:rsidRPr="00BF51F1">
              <w:rPr>
                <w:b/>
                <w:bCs/>
                <w:color w:val="000000"/>
              </w:rPr>
              <w:t xml:space="preserve">(A) </w:t>
            </w:r>
            <w:r w:rsidRPr="00BF51F1">
              <w:rPr>
                <w:b/>
                <w:bCs/>
                <w:color w:val="000000"/>
              </w:rPr>
              <w:br/>
              <w:t>Person- hours per occurrence</w:t>
            </w:r>
          </w:p>
        </w:tc>
        <w:tc>
          <w:tcPr>
            <w:tcW w:w="1443"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06295104" w14:textId="77777777">
            <w:pPr>
              <w:jc w:val="center"/>
              <w:rPr>
                <w:b/>
                <w:bCs/>
                <w:color w:val="000000"/>
              </w:rPr>
            </w:pPr>
            <w:r w:rsidRPr="00BF51F1">
              <w:rPr>
                <w:b/>
                <w:bCs/>
                <w:color w:val="000000"/>
              </w:rPr>
              <w:t xml:space="preserve">(B) </w:t>
            </w:r>
            <w:r w:rsidRPr="00BF51F1">
              <w:rPr>
                <w:b/>
                <w:bCs/>
                <w:color w:val="000000"/>
              </w:rPr>
              <w:br/>
              <w:t>No. of occurrences per respondent per year</w:t>
            </w:r>
          </w:p>
        </w:tc>
        <w:tc>
          <w:tcPr>
            <w:tcW w:w="1363"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7A15B8BA" w14:textId="77777777">
            <w:pPr>
              <w:jc w:val="center"/>
              <w:rPr>
                <w:b/>
                <w:bCs/>
                <w:color w:val="000000"/>
              </w:rPr>
            </w:pPr>
            <w:r w:rsidRPr="00BF51F1">
              <w:rPr>
                <w:b/>
                <w:bCs/>
                <w:color w:val="000000"/>
              </w:rPr>
              <w:t xml:space="preserve">(C) </w:t>
            </w:r>
            <w:r w:rsidRPr="00BF51F1">
              <w:rPr>
                <w:b/>
                <w:bCs/>
                <w:color w:val="000000"/>
              </w:rPr>
              <w:br/>
              <w:t>Person- hours per respondent per year (</w:t>
            </w:r>
            <w:r w:rsidRPr="00BF51F1">
              <w:rPr>
                <w:b/>
                <w:bCs/>
                <w:color w:val="000000"/>
              </w:rPr>
              <w:t>AxB</w:t>
            </w:r>
            <w:r w:rsidRPr="00BF51F1">
              <w:rPr>
                <w:b/>
                <w:bCs/>
                <w:color w:val="000000"/>
              </w:rPr>
              <w:t>)</w:t>
            </w:r>
          </w:p>
        </w:tc>
        <w:tc>
          <w:tcPr>
            <w:tcW w:w="1523"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2E5CB334" w14:textId="77777777">
            <w:pPr>
              <w:jc w:val="center"/>
              <w:rPr>
                <w:b/>
                <w:bCs/>
                <w:color w:val="000000"/>
              </w:rPr>
            </w:pPr>
            <w:r w:rsidRPr="00BF51F1">
              <w:rPr>
                <w:b/>
                <w:bCs/>
                <w:color w:val="000000"/>
              </w:rPr>
              <w:t xml:space="preserve">(D) Respondents per </w:t>
            </w:r>
            <w:r w:rsidRPr="00BF51F1">
              <w:rPr>
                <w:b/>
                <w:bCs/>
                <w:color w:val="000000"/>
              </w:rPr>
              <w:t>year</w:t>
            </w:r>
            <w:r w:rsidRPr="00BF51F1">
              <w:rPr>
                <w:b/>
                <w:bCs/>
                <w:color w:val="000000"/>
                <w:vertAlign w:val="superscript"/>
              </w:rPr>
              <w:t>a</w:t>
            </w:r>
          </w:p>
        </w:tc>
        <w:tc>
          <w:tcPr>
            <w:tcW w:w="1216"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3553A0A4" w14:textId="77777777">
            <w:pPr>
              <w:jc w:val="center"/>
              <w:rPr>
                <w:b/>
                <w:bCs/>
                <w:color w:val="000000"/>
              </w:rPr>
            </w:pPr>
            <w:r w:rsidRPr="00BF51F1">
              <w:rPr>
                <w:b/>
                <w:bCs/>
                <w:color w:val="000000"/>
              </w:rPr>
              <w:t xml:space="preserve">(E) </w:t>
            </w:r>
            <w:r w:rsidRPr="00BF51F1">
              <w:rPr>
                <w:b/>
                <w:bCs/>
                <w:color w:val="000000"/>
              </w:rPr>
              <w:br/>
              <w:t xml:space="preserve">Technical person- hours per year </w:t>
            </w:r>
            <w:r w:rsidRPr="00BF51F1">
              <w:rPr>
                <w:b/>
                <w:bCs/>
                <w:color w:val="000000"/>
              </w:rPr>
              <w:br/>
              <w:t>(</w:t>
            </w:r>
            <w:r w:rsidRPr="00BF51F1">
              <w:rPr>
                <w:b/>
                <w:bCs/>
                <w:color w:val="000000"/>
              </w:rPr>
              <w:t>CxD</w:t>
            </w:r>
            <w:r w:rsidRPr="00BF51F1">
              <w:rPr>
                <w:b/>
                <w:bCs/>
                <w:color w:val="000000"/>
              </w:rPr>
              <w:t>)</w:t>
            </w:r>
          </w:p>
        </w:tc>
        <w:tc>
          <w:tcPr>
            <w:tcW w:w="1563"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644689BE" w14:textId="77777777">
            <w:pPr>
              <w:jc w:val="center"/>
              <w:rPr>
                <w:b/>
                <w:bCs/>
                <w:color w:val="000000"/>
              </w:rPr>
            </w:pPr>
            <w:r w:rsidRPr="00BF51F1">
              <w:rPr>
                <w:b/>
                <w:bCs/>
                <w:color w:val="000000"/>
              </w:rPr>
              <w:t xml:space="preserve">(F) Management person-hours per year </w:t>
            </w:r>
            <w:r w:rsidRPr="00BF51F1">
              <w:rPr>
                <w:b/>
                <w:bCs/>
                <w:color w:val="000000"/>
              </w:rPr>
              <w:br/>
              <w:t>(Ex0.05)</w:t>
            </w:r>
          </w:p>
        </w:tc>
        <w:tc>
          <w:tcPr>
            <w:tcW w:w="1029"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011F39E2" w14:textId="77777777">
            <w:pPr>
              <w:jc w:val="center"/>
              <w:rPr>
                <w:b/>
                <w:bCs/>
                <w:color w:val="000000"/>
              </w:rPr>
            </w:pPr>
            <w:r w:rsidRPr="00BF51F1">
              <w:rPr>
                <w:b/>
                <w:bCs/>
                <w:color w:val="000000"/>
              </w:rPr>
              <w:t xml:space="preserve">(G) </w:t>
            </w:r>
            <w:r w:rsidRPr="00BF51F1">
              <w:rPr>
                <w:b/>
                <w:bCs/>
                <w:color w:val="000000"/>
              </w:rPr>
              <w:br/>
              <w:t xml:space="preserve">Clerical person-hours per year </w:t>
            </w:r>
            <w:r w:rsidRPr="00BF51F1">
              <w:rPr>
                <w:b/>
                <w:bCs/>
                <w:color w:val="000000"/>
              </w:rPr>
              <w:br/>
              <w:t>(Ex0.1)</w:t>
            </w:r>
          </w:p>
        </w:tc>
        <w:tc>
          <w:tcPr>
            <w:tcW w:w="1443" w:type="dxa"/>
            <w:tcBorders>
              <w:top w:val="single" w:sz="4" w:space="0" w:color="auto"/>
              <w:left w:val="nil"/>
              <w:bottom w:val="single" w:sz="4" w:space="0" w:color="auto"/>
              <w:right w:val="single" w:sz="4" w:space="0" w:color="auto"/>
            </w:tcBorders>
            <w:shd w:val="clear" w:color="auto" w:fill="auto"/>
            <w:hideMark/>
          </w:tcPr>
          <w:p w:rsidR="00AD2146" w:rsidRPr="00BF51F1" w:rsidP="001F4553" w14:paraId="25FC503F" w14:textId="77777777">
            <w:pPr>
              <w:jc w:val="center"/>
              <w:rPr>
                <w:b/>
                <w:bCs/>
                <w:color w:val="000000"/>
              </w:rPr>
            </w:pPr>
            <w:r w:rsidRPr="00BF51F1">
              <w:rPr>
                <w:b/>
                <w:bCs/>
                <w:color w:val="000000"/>
              </w:rPr>
              <w:t xml:space="preserve">(H) </w:t>
            </w:r>
            <w:r w:rsidRPr="00BF51F1">
              <w:rPr>
                <w:b/>
                <w:bCs/>
                <w:color w:val="000000"/>
              </w:rPr>
              <w:br/>
              <w:t xml:space="preserve">Cost </w:t>
            </w:r>
            <w:r w:rsidRPr="00BF51F1">
              <w:rPr>
                <w:b/>
                <w:bCs/>
                <w:color w:val="000000"/>
                <w:vertAlign w:val="superscript"/>
              </w:rPr>
              <w:t>b</w:t>
            </w:r>
            <w:r w:rsidRPr="00BF51F1">
              <w:rPr>
                <w:b/>
                <w:bCs/>
                <w:color w:val="000000"/>
              </w:rPr>
              <w:t xml:space="preserve"> </w:t>
            </w:r>
          </w:p>
        </w:tc>
      </w:tr>
      <w:tr w14:paraId="778464E6"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6EAA27A" w14:textId="77777777">
            <w:pPr>
              <w:rPr>
                <w:color w:val="000000"/>
              </w:rPr>
            </w:pPr>
            <w:r w:rsidRPr="00BF51F1">
              <w:rPr>
                <w:color w:val="000000"/>
              </w:rPr>
              <w:t>1.</w:t>
            </w:r>
            <w:r>
              <w:rPr>
                <w:color w:val="000000"/>
              </w:rPr>
              <w:t xml:space="preserve"> </w:t>
            </w:r>
            <w:r w:rsidRPr="00BF51F1">
              <w:rPr>
                <w:color w:val="000000"/>
              </w:rPr>
              <w:t>Applications</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BF51F1" w:rsidP="001F4553" w14:paraId="7267E2C2" w14:textId="77777777">
            <w:pPr>
              <w:jc w:val="center"/>
              <w:rPr>
                <w:color w:val="000000"/>
              </w:rPr>
            </w:pPr>
            <w:r>
              <w:rPr>
                <w:color w:val="000000"/>
              </w:rPr>
              <w:t>N/A</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16730E69" w14:textId="77777777">
            <w:pPr>
              <w:jc w:val="center"/>
              <w:rPr>
                <w:color w:val="000000"/>
              </w:rPr>
            </w:pPr>
            <w:r>
              <w:rPr>
                <w:color w:val="000000"/>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56FC9534" w14:textId="77777777">
            <w:pPr>
              <w:jc w:val="center"/>
              <w:rPr>
                <w:color w:val="000000"/>
              </w:rPr>
            </w:pPr>
            <w:r>
              <w:rPr>
                <w:color w:val="000000"/>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32F4DB89" w14:textId="77777777">
            <w:pPr>
              <w:jc w:val="center"/>
              <w:rPr>
                <w:color w:val="000000"/>
              </w:rPr>
            </w:pPr>
            <w:r>
              <w:rPr>
                <w:color w:val="000000"/>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7696E2F8" w14:textId="77777777">
            <w:pPr>
              <w:jc w:val="center"/>
              <w:rPr>
                <w:color w:val="000000"/>
              </w:rPr>
            </w:pPr>
            <w:r>
              <w:rPr>
                <w:color w:val="000000"/>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158E39E2" w14:textId="77777777">
            <w:pPr>
              <w:jc w:val="center"/>
              <w:rPr>
                <w:color w:val="000000"/>
              </w:rPr>
            </w:pPr>
            <w:r>
              <w:rPr>
                <w:color w:val="000000"/>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0C4F5B43" w14:textId="77777777">
            <w:pPr>
              <w:jc w:val="center"/>
              <w:rPr>
                <w:color w:val="000000"/>
              </w:rPr>
            </w:pPr>
            <w:r>
              <w:rPr>
                <w:color w:val="000000"/>
              </w:rPr>
              <w:t>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5B6CC9BE" w14:textId="77777777">
            <w:pPr>
              <w:jc w:val="right"/>
              <w:rPr>
                <w:color w:val="000000"/>
              </w:rPr>
            </w:pPr>
            <w:r>
              <w:rPr>
                <w:color w:val="000000"/>
              </w:rPr>
              <w:t> </w:t>
            </w:r>
          </w:p>
        </w:tc>
      </w:tr>
      <w:tr w14:paraId="4C709A8D"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2D1FB475" w14:textId="77777777">
            <w:pPr>
              <w:rPr>
                <w:color w:val="000000"/>
              </w:rPr>
            </w:pPr>
            <w:r w:rsidRPr="00BF51F1">
              <w:rPr>
                <w:color w:val="000000"/>
              </w:rPr>
              <w:t>2.</w:t>
            </w:r>
            <w:r>
              <w:rPr>
                <w:color w:val="000000"/>
              </w:rPr>
              <w:t xml:space="preserve"> </w:t>
            </w:r>
            <w:r w:rsidRPr="00BF51F1">
              <w:rPr>
                <w:color w:val="000000"/>
              </w:rPr>
              <w:t>Survey and Studies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45AAB5F"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56D1E33"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162C5755"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3E1F1253"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490EC7B4"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57101E27"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2061AF3D"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E8C6E4E" w14:textId="77777777">
            <w:pPr>
              <w:jc w:val="right"/>
              <w:rPr>
                <w:color w:val="000000"/>
              </w:rPr>
            </w:pPr>
            <w:r>
              <w:rPr>
                <w:color w:val="000000"/>
              </w:rPr>
              <w:t> </w:t>
            </w:r>
          </w:p>
        </w:tc>
      </w:tr>
      <w:tr w14:paraId="1FA73CBD"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16E5E280" w14:textId="77777777">
            <w:pPr>
              <w:rPr>
                <w:color w:val="000000"/>
              </w:rPr>
            </w:pPr>
            <w:r w:rsidRPr="00BF51F1">
              <w:rPr>
                <w:color w:val="000000"/>
              </w:rPr>
              <w:t>3.</w:t>
            </w:r>
            <w:r>
              <w:rPr>
                <w:color w:val="000000"/>
              </w:rPr>
              <w:t xml:space="preserve"> </w:t>
            </w:r>
            <w:r w:rsidRPr="00BF51F1">
              <w:rPr>
                <w:color w:val="000000"/>
              </w:rPr>
              <w:t>Reporting requirements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C2F02B9" w14:textId="77777777">
            <w:pPr>
              <w:jc w:val="center"/>
              <w:rPr>
                <w:color w:val="000000"/>
              </w:rPr>
            </w:pPr>
            <w:r>
              <w:rPr>
                <w:color w:val="000000"/>
              </w:rPr>
              <w:t xml:space="preserve">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2882BDB"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3D073053"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7D5A9BC"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3ADD6A03"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5B38D153"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2DC34DFF"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3893F83E" w14:textId="77777777">
            <w:pPr>
              <w:jc w:val="right"/>
              <w:rPr>
                <w:color w:val="000000"/>
              </w:rPr>
            </w:pPr>
            <w:r>
              <w:rPr>
                <w:color w:val="000000"/>
              </w:rPr>
              <w:t> </w:t>
            </w:r>
          </w:p>
        </w:tc>
      </w:tr>
      <w:tr w14:paraId="42DF6ADC" w14:textId="77777777" w:rsidTr="001F4553">
        <w:tblPrEx>
          <w:tblW w:w="17239" w:type="dxa"/>
          <w:tblInd w:w="-450" w:type="dxa"/>
          <w:tblLook w:val="04A0"/>
        </w:tblPrEx>
        <w:trPr>
          <w:gridAfter w:val="2"/>
          <w:wAfter w:w="3160" w:type="dxa"/>
          <w:trHeight w:val="630"/>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6DD1ECCF" w14:textId="77777777">
            <w:pPr>
              <w:ind w:left="521" w:hanging="270"/>
              <w:rPr>
                <w:color w:val="000000"/>
              </w:rPr>
            </w:pPr>
            <w:r w:rsidRPr="00BF51F1">
              <w:rPr>
                <w:color w:val="000000"/>
              </w:rPr>
              <w:t>A.</w:t>
            </w:r>
            <w:r>
              <w:rPr>
                <w:color w:val="000000"/>
              </w:rPr>
              <w:t xml:space="preserve"> </w:t>
            </w:r>
            <w:r w:rsidRPr="00BF51F1">
              <w:rPr>
                <w:color w:val="000000"/>
              </w:rPr>
              <w:t>Familiarization with Regulatory Requirements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2976AC59" w14:textId="77777777">
            <w:pPr>
              <w:jc w:val="center"/>
              <w:rPr>
                <w:color w:val="000000"/>
              </w:rPr>
            </w:pPr>
            <w:r>
              <w:rPr>
                <w:color w:val="000000"/>
              </w:rPr>
              <w:t>1</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8BEA294"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546FF636" w14:textId="77777777">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6645456A" w14:textId="77777777">
            <w:pPr>
              <w:jc w:val="center"/>
              <w:rPr>
                <w:color w:val="000000"/>
              </w:rPr>
            </w:pPr>
            <w:r>
              <w:rPr>
                <w:color w:val="000000"/>
              </w:rPr>
              <w:t>14</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0A84DE82" w14:textId="77777777">
            <w:pPr>
              <w:jc w:val="center"/>
              <w:rPr>
                <w:color w:val="000000"/>
              </w:rPr>
            </w:pPr>
            <w:r>
              <w:rPr>
                <w:color w:val="000000"/>
              </w:rPr>
              <w:t>14</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658E364" w14:textId="77777777">
            <w:pPr>
              <w:jc w:val="center"/>
              <w:rPr>
                <w:color w:val="000000"/>
              </w:rPr>
            </w:pPr>
            <w:r>
              <w:rPr>
                <w:color w:val="000000"/>
              </w:rPr>
              <w:t>0.7</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3B1835B7" w14:textId="77777777">
            <w:pPr>
              <w:jc w:val="center"/>
              <w:rPr>
                <w:color w:val="000000"/>
              </w:rPr>
            </w:pPr>
            <w:r>
              <w:rPr>
                <w:color w:val="000000"/>
              </w:rPr>
              <w:t>1.4</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2AD184C6" w14:textId="77777777">
            <w:pPr>
              <w:jc w:val="right"/>
              <w:rPr>
                <w:color w:val="000000"/>
              </w:rPr>
            </w:pPr>
            <w:r>
              <w:rPr>
                <w:color w:val="000000"/>
              </w:rPr>
              <w:t xml:space="preserve">$2,030.13 </w:t>
            </w:r>
          </w:p>
        </w:tc>
      </w:tr>
      <w:tr w14:paraId="11F00B6B"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101345FA" w14:textId="77777777">
            <w:pPr>
              <w:ind w:left="521" w:hanging="270"/>
              <w:rPr>
                <w:color w:val="000000"/>
              </w:rPr>
            </w:pPr>
            <w:r w:rsidRPr="00BF51F1">
              <w:rPr>
                <w:color w:val="000000"/>
              </w:rPr>
              <w:t>B.</w:t>
            </w:r>
            <w:r>
              <w:rPr>
                <w:color w:val="000000"/>
              </w:rPr>
              <w:t xml:space="preserve"> </w:t>
            </w:r>
            <w:r w:rsidRPr="00BF51F1">
              <w:rPr>
                <w:color w:val="000000"/>
              </w:rPr>
              <w:t>Required activities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4E70494F"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4B92C19"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0EDD911A"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65145A00"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58CD9DBF"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632989DE"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4B9AEF8D"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1E4CF43" w14:textId="77777777">
            <w:pPr>
              <w:jc w:val="right"/>
              <w:rPr>
                <w:color w:val="000000"/>
              </w:rPr>
            </w:pPr>
            <w:r>
              <w:rPr>
                <w:color w:val="000000"/>
              </w:rPr>
              <w:t> </w:t>
            </w:r>
          </w:p>
        </w:tc>
      </w:tr>
      <w:tr w14:paraId="49BC668E"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40F2C5B0" w14:textId="77777777">
            <w:pPr>
              <w:ind w:left="521"/>
              <w:rPr>
                <w:color w:val="000000"/>
              </w:rPr>
            </w:pPr>
            <w:r w:rsidRPr="00BF51F1">
              <w:rPr>
                <w:color w:val="000000"/>
              </w:rPr>
              <w:t xml:space="preserve">Initial performance test </w:t>
            </w:r>
            <w:r w:rsidRPr="00E10655">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C96C528" w14:textId="77777777">
            <w:pPr>
              <w:jc w:val="center"/>
              <w:rPr>
                <w:color w:val="000000"/>
              </w:rPr>
            </w:pPr>
            <w:r>
              <w:rPr>
                <w:color w:val="000000"/>
              </w:rPr>
              <w:t>60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F166FA9"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1AC6A853" w14:textId="77777777">
            <w:pPr>
              <w:jc w:val="center"/>
              <w:rPr>
                <w:color w:val="000000"/>
              </w:rPr>
            </w:pPr>
            <w:r>
              <w:rPr>
                <w:color w:val="000000"/>
              </w:rPr>
              <w:t>60</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2342A6E"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364C933B"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32B90D09"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0035DA81"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2D0C3E3D" w14:textId="77777777">
            <w:pPr>
              <w:jc w:val="right"/>
              <w:rPr>
                <w:color w:val="000000"/>
              </w:rPr>
            </w:pPr>
            <w:r>
              <w:rPr>
                <w:color w:val="000000"/>
              </w:rPr>
              <w:t xml:space="preserve">$0 </w:t>
            </w:r>
          </w:p>
        </w:tc>
      </w:tr>
      <w:tr w14:paraId="174157AB"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5BB726E2" w14:textId="77777777">
            <w:pPr>
              <w:ind w:left="521"/>
              <w:rPr>
                <w:color w:val="000000"/>
              </w:rPr>
            </w:pPr>
            <w:r w:rsidRPr="00BF51F1">
              <w:rPr>
                <w:color w:val="000000"/>
              </w:rPr>
              <w:t>Repeat performance test</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C5B8904" w14:textId="77777777">
            <w:pPr>
              <w:jc w:val="center"/>
              <w:rPr>
                <w:color w:val="000000"/>
              </w:rPr>
            </w:pPr>
            <w:r>
              <w:rPr>
                <w:color w:val="000000"/>
              </w:rPr>
              <w:t>60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EA41AEB" w14:textId="77777777">
            <w:pPr>
              <w:jc w:val="center"/>
              <w:rPr>
                <w:color w:val="000000"/>
              </w:rPr>
            </w:pPr>
            <w:r>
              <w:rPr>
                <w:color w:val="000000"/>
              </w:rPr>
              <w:t>0.2</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78A9999C" w14:textId="77777777">
            <w:pPr>
              <w:jc w:val="center"/>
              <w:rPr>
                <w:color w:val="000000"/>
              </w:rPr>
            </w:pPr>
            <w:r>
              <w:rPr>
                <w:color w:val="000000"/>
              </w:rPr>
              <w:t>12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1D76F9C6"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7858DD65"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04325BF0"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1AFDBD90"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35DF9B5" w14:textId="77777777">
            <w:pPr>
              <w:jc w:val="right"/>
              <w:rPr>
                <w:color w:val="000000"/>
              </w:rPr>
            </w:pPr>
            <w:r>
              <w:rPr>
                <w:color w:val="000000"/>
              </w:rPr>
              <w:t xml:space="preserve">$0 </w:t>
            </w:r>
          </w:p>
        </w:tc>
      </w:tr>
      <w:tr w14:paraId="79538B4C"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40CCF677" w14:textId="77777777">
            <w:pPr>
              <w:ind w:left="521"/>
              <w:rPr>
                <w:color w:val="000000"/>
              </w:rPr>
            </w:pPr>
            <w:r w:rsidRPr="00BF51F1">
              <w:rPr>
                <w:color w:val="000000"/>
              </w:rPr>
              <w:t>Demonstration of CEMS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21807AE" w14:textId="77777777">
            <w:pPr>
              <w:jc w:val="center"/>
              <w:rPr>
                <w:color w:val="000000"/>
              </w:rPr>
            </w:pPr>
            <w:r>
              <w:rPr>
                <w:color w:val="000000"/>
              </w:rPr>
              <w:t>80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3EEB4686" w14:textId="77777777">
            <w:pPr>
              <w:jc w:val="center"/>
              <w:rPr>
                <w:color w:val="000000"/>
              </w:rPr>
            </w:pPr>
            <w:r>
              <w:rPr>
                <w:color w:val="000000"/>
              </w:rPr>
              <w:t>0.2</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62FD51E1" w14:textId="77777777">
            <w:pPr>
              <w:jc w:val="center"/>
              <w:rPr>
                <w:color w:val="000000"/>
              </w:rPr>
            </w:pPr>
            <w:r>
              <w:rPr>
                <w:color w:val="000000"/>
              </w:rPr>
              <w:t>16</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2B3AFE5B"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113CA5D4"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5EB27567"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7F4EE3E1"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0892B6C" w14:textId="77777777">
            <w:pPr>
              <w:jc w:val="right"/>
              <w:rPr>
                <w:color w:val="000000"/>
              </w:rPr>
            </w:pPr>
            <w:r>
              <w:rPr>
                <w:color w:val="000000"/>
              </w:rPr>
              <w:t xml:space="preserve">$0 </w:t>
            </w:r>
          </w:p>
        </w:tc>
      </w:tr>
      <w:tr w14:paraId="4C798CDE"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1513E43D" w14:textId="77777777">
            <w:pPr>
              <w:ind w:left="521"/>
              <w:rPr>
                <w:color w:val="000000"/>
              </w:rPr>
            </w:pPr>
            <w:r w:rsidRPr="00BF51F1">
              <w:rPr>
                <w:color w:val="000000"/>
              </w:rPr>
              <w:t>Repeat Demonstration of CEMS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727B4EE" w14:textId="77777777">
            <w:pPr>
              <w:jc w:val="center"/>
              <w:rPr>
                <w:color w:val="000000"/>
              </w:rPr>
            </w:pPr>
            <w:r>
              <w:rPr>
                <w:color w:val="000000"/>
              </w:rPr>
              <w:t>80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954CDDB" w14:textId="77777777">
            <w:pPr>
              <w:jc w:val="center"/>
              <w:rPr>
                <w:color w:val="000000"/>
              </w:rPr>
            </w:pPr>
            <w:r>
              <w:rPr>
                <w:color w:val="000000"/>
              </w:rPr>
              <w:t>0.2</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1569F14D" w14:textId="77777777">
            <w:pPr>
              <w:jc w:val="center"/>
              <w:rPr>
                <w:color w:val="000000"/>
              </w:rPr>
            </w:pPr>
            <w:r>
              <w:rPr>
                <w:color w:val="000000"/>
              </w:rPr>
              <w:t>16</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1C5AC6EE"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18E5587"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C73F74F"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77E34E50"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6640513D" w14:textId="77777777">
            <w:pPr>
              <w:jc w:val="right"/>
              <w:rPr>
                <w:color w:val="000000"/>
              </w:rPr>
            </w:pPr>
            <w:r>
              <w:rPr>
                <w:color w:val="000000"/>
              </w:rPr>
              <w:t xml:space="preserve">$0 </w:t>
            </w:r>
          </w:p>
        </w:tc>
      </w:tr>
      <w:tr w14:paraId="0B5AD8E9"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6E1DF637" w14:textId="77777777">
            <w:pPr>
              <w:ind w:left="521" w:hanging="270"/>
              <w:rPr>
                <w:color w:val="000000"/>
              </w:rPr>
            </w:pPr>
            <w:r w:rsidRPr="00BF51F1">
              <w:rPr>
                <w:color w:val="000000"/>
              </w:rPr>
              <w:t>C.</w:t>
            </w:r>
            <w:r>
              <w:rPr>
                <w:color w:val="000000"/>
              </w:rPr>
              <w:t xml:space="preserve"> </w:t>
            </w:r>
            <w:r w:rsidRPr="00BF51F1">
              <w:rPr>
                <w:color w:val="000000"/>
              </w:rPr>
              <w:t>Create Information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E7B8675" w14:textId="77777777">
            <w:pPr>
              <w:jc w:val="center"/>
              <w:rPr>
                <w:color w:val="000000"/>
              </w:rPr>
            </w:pPr>
            <w:r>
              <w:rPr>
                <w:color w:val="000000"/>
              </w:rPr>
              <w:t>See 3B</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33E1EE54"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7D80CC5A"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12C8F9B"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358E1157"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63BFCE4"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666178D7"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465AAEB" w14:textId="77777777">
            <w:pPr>
              <w:jc w:val="right"/>
              <w:rPr>
                <w:color w:val="000000"/>
              </w:rPr>
            </w:pPr>
            <w:r>
              <w:rPr>
                <w:color w:val="000000"/>
              </w:rPr>
              <w:t> </w:t>
            </w:r>
          </w:p>
        </w:tc>
      </w:tr>
      <w:tr w14:paraId="6DF04930"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37400676" w14:textId="77777777">
            <w:pPr>
              <w:ind w:left="521" w:hanging="270"/>
              <w:rPr>
                <w:color w:val="000000"/>
              </w:rPr>
            </w:pPr>
            <w:r w:rsidRPr="00BF51F1">
              <w:rPr>
                <w:color w:val="000000"/>
              </w:rPr>
              <w:t>D.</w:t>
            </w:r>
            <w:r>
              <w:rPr>
                <w:color w:val="000000"/>
              </w:rPr>
              <w:t xml:space="preserve"> </w:t>
            </w:r>
            <w:r w:rsidRPr="00BF51F1">
              <w:rPr>
                <w:color w:val="000000"/>
              </w:rPr>
              <w:t xml:space="preserve">Gather existing information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2E44AFF7" w14:textId="77777777">
            <w:pPr>
              <w:jc w:val="center"/>
              <w:rPr>
                <w:color w:val="000000"/>
              </w:rPr>
            </w:pPr>
            <w:r>
              <w:rPr>
                <w:color w:val="000000"/>
              </w:rPr>
              <w:t>See 3B</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C1F5B11"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79F567D3"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69D02E3"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0849468"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593E40BB"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444635CD"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48ADA94" w14:textId="77777777">
            <w:pPr>
              <w:jc w:val="right"/>
              <w:rPr>
                <w:color w:val="000000"/>
              </w:rPr>
            </w:pPr>
            <w:r>
              <w:rPr>
                <w:color w:val="000000"/>
              </w:rPr>
              <w:t> </w:t>
            </w:r>
          </w:p>
        </w:tc>
      </w:tr>
      <w:tr w14:paraId="099F797E"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3634A615" w14:textId="77777777">
            <w:pPr>
              <w:ind w:left="521" w:hanging="270"/>
              <w:rPr>
                <w:color w:val="000000"/>
              </w:rPr>
            </w:pPr>
            <w:r w:rsidRPr="00BF51F1">
              <w:rPr>
                <w:color w:val="000000"/>
              </w:rPr>
              <w:t>E.</w:t>
            </w:r>
            <w:r>
              <w:rPr>
                <w:color w:val="000000"/>
              </w:rPr>
              <w:t xml:space="preserve"> </w:t>
            </w:r>
            <w:r w:rsidRPr="00BF51F1">
              <w:rPr>
                <w:color w:val="000000"/>
              </w:rPr>
              <w:t>Write report</w:t>
            </w:r>
            <w:r>
              <w:rPr>
                <w:color w:val="000000"/>
              </w:rPr>
              <w:t xml:space="preserve">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CD43FFC"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5A75D8C"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50BC83C6"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6B181A72"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16BB6740"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E74C204"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5043DD08"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68363FB" w14:textId="77777777">
            <w:pPr>
              <w:jc w:val="right"/>
              <w:rPr>
                <w:color w:val="000000"/>
              </w:rPr>
            </w:pPr>
            <w:r>
              <w:rPr>
                <w:color w:val="000000"/>
              </w:rPr>
              <w:t> </w:t>
            </w:r>
          </w:p>
        </w:tc>
      </w:tr>
      <w:tr w14:paraId="364FEFA5" w14:textId="77777777" w:rsidTr="001F4553">
        <w:tblPrEx>
          <w:tblW w:w="17239" w:type="dxa"/>
          <w:tblInd w:w="-450" w:type="dxa"/>
          <w:tblLook w:val="04A0"/>
        </w:tblPrEx>
        <w:trPr>
          <w:gridAfter w:val="2"/>
          <w:wAfter w:w="3160" w:type="dxa"/>
          <w:trHeight w:val="34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46047A11" w14:textId="77777777">
            <w:pPr>
              <w:ind w:left="521"/>
              <w:rPr>
                <w:color w:val="000000"/>
              </w:rPr>
            </w:pPr>
            <w:r w:rsidRPr="00BF51F1">
              <w:rPr>
                <w:color w:val="000000"/>
              </w:rPr>
              <w:t xml:space="preserve">Notification of construction/reconstruction </w:t>
            </w:r>
            <w:r w:rsidRPr="00E10655">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4CBA6DB"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3CD00BF"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6AA2430D"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6DF3353E"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264E7E77"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C566749"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09C51D03"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69F6A61F" w14:textId="77777777">
            <w:pPr>
              <w:jc w:val="right"/>
              <w:rPr>
                <w:color w:val="000000"/>
              </w:rPr>
            </w:pPr>
            <w:r>
              <w:rPr>
                <w:color w:val="000000"/>
              </w:rPr>
              <w:t xml:space="preserve">$0 </w:t>
            </w:r>
          </w:p>
        </w:tc>
      </w:tr>
      <w:tr w14:paraId="72FDDF83"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33A95480" w14:textId="77777777">
            <w:pPr>
              <w:ind w:left="521"/>
              <w:rPr>
                <w:color w:val="000000"/>
              </w:rPr>
            </w:pPr>
            <w:r w:rsidRPr="00BF51F1">
              <w:rPr>
                <w:color w:val="000000"/>
              </w:rPr>
              <w:t xml:space="preserve">Notification of modification </w:t>
            </w:r>
            <w:r w:rsidRPr="00E10655">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21B77E3"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2D2FA95"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22E40C09"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21AE8106"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3E988F28"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7DB8D269"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366D0107"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ECD3F30" w14:textId="77777777">
            <w:pPr>
              <w:jc w:val="right"/>
              <w:rPr>
                <w:color w:val="000000"/>
              </w:rPr>
            </w:pPr>
            <w:r>
              <w:rPr>
                <w:color w:val="000000"/>
              </w:rPr>
              <w:t xml:space="preserve">$0 </w:t>
            </w:r>
          </w:p>
        </w:tc>
      </w:tr>
      <w:tr w14:paraId="38F8D28C"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1074A4F2" w14:textId="77777777">
            <w:pPr>
              <w:ind w:left="521"/>
              <w:rPr>
                <w:color w:val="000000"/>
              </w:rPr>
            </w:pPr>
            <w:r w:rsidRPr="00BF51F1">
              <w:rPr>
                <w:color w:val="000000"/>
              </w:rPr>
              <w:t>Notification of anticipated startup </w:t>
            </w:r>
            <w:r w:rsidRPr="00E10655">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65E8913B"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261882EA"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156315DD"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154A845F"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6C4F61E"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D22D349"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2C10710F"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DCE289D" w14:textId="77777777">
            <w:pPr>
              <w:jc w:val="right"/>
              <w:rPr>
                <w:color w:val="000000"/>
              </w:rPr>
            </w:pPr>
            <w:r>
              <w:rPr>
                <w:color w:val="000000"/>
              </w:rPr>
              <w:t xml:space="preserve">$0 </w:t>
            </w:r>
          </w:p>
        </w:tc>
      </w:tr>
      <w:tr w14:paraId="35E4192A"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3CB21196" w14:textId="77777777">
            <w:pPr>
              <w:ind w:left="521"/>
              <w:rPr>
                <w:color w:val="000000"/>
              </w:rPr>
            </w:pPr>
            <w:r w:rsidRPr="00BF51F1">
              <w:rPr>
                <w:color w:val="000000"/>
              </w:rPr>
              <w:t xml:space="preserve">Notification of actual startup </w:t>
            </w:r>
            <w:r w:rsidRPr="00E10655">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6598156"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2C36B8E"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1E01D99D"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48062A43"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2F902F19"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496B94FE"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3F3FB5FB"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A3532A2" w14:textId="77777777">
            <w:pPr>
              <w:jc w:val="right"/>
              <w:rPr>
                <w:color w:val="000000"/>
              </w:rPr>
            </w:pPr>
            <w:r>
              <w:rPr>
                <w:color w:val="000000"/>
              </w:rPr>
              <w:t xml:space="preserve">$0 </w:t>
            </w:r>
          </w:p>
        </w:tc>
      </w:tr>
      <w:tr w14:paraId="40F5896A"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AA62F76" w14:textId="77777777">
            <w:pPr>
              <w:ind w:left="521"/>
              <w:rPr>
                <w:color w:val="000000"/>
              </w:rPr>
            </w:pPr>
            <w:r w:rsidRPr="00BF51F1">
              <w:rPr>
                <w:color w:val="000000"/>
              </w:rPr>
              <w:t xml:space="preserve">Notification of initial performance test </w:t>
            </w:r>
            <w:r w:rsidRPr="00E10655">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2477751F"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5D4E308"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2316694C"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2DD255B6"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792EFD6E"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1ABD6EC2"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704EBD73"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7C6CEBB" w14:textId="77777777">
            <w:pPr>
              <w:jc w:val="right"/>
              <w:rPr>
                <w:color w:val="000000"/>
              </w:rPr>
            </w:pPr>
            <w:r>
              <w:rPr>
                <w:color w:val="000000"/>
              </w:rPr>
              <w:t xml:space="preserve">$0 </w:t>
            </w:r>
          </w:p>
        </w:tc>
      </w:tr>
      <w:tr w14:paraId="0DC7F791"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26A58B2A" w14:textId="77777777">
            <w:pPr>
              <w:ind w:left="521"/>
              <w:rPr>
                <w:color w:val="000000"/>
              </w:rPr>
            </w:pPr>
            <w:r w:rsidRPr="00BF51F1">
              <w:rPr>
                <w:color w:val="000000"/>
              </w:rPr>
              <w:t xml:space="preserve">Notification of CMS demonstration </w:t>
            </w:r>
            <w:r w:rsidRPr="00E10655">
              <w:rPr>
                <w:color w:val="000000"/>
                <w:vertAlign w:val="superscript"/>
              </w:rPr>
              <w:t xml:space="preserve">c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7D89410"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AB5006F"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5CDE54E6"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86BECB2"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3F644D25"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05F04E2D"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6EF3BDA1"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7BECCEA" w14:textId="77777777">
            <w:pPr>
              <w:jc w:val="right"/>
              <w:rPr>
                <w:color w:val="000000"/>
              </w:rPr>
            </w:pPr>
            <w:r>
              <w:rPr>
                <w:color w:val="000000"/>
              </w:rPr>
              <w:t xml:space="preserve">$0 </w:t>
            </w:r>
          </w:p>
        </w:tc>
      </w:tr>
      <w:tr w14:paraId="551B2796"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4B711EE3" w14:textId="77777777">
            <w:pPr>
              <w:ind w:left="521"/>
              <w:rPr>
                <w:color w:val="000000"/>
              </w:rPr>
            </w:pPr>
            <w:r w:rsidRPr="00BF51F1">
              <w:rPr>
                <w:color w:val="000000"/>
              </w:rPr>
              <w:t xml:space="preserve">CMS demonstration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4DBAC08F" w14:textId="77777777">
            <w:pPr>
              <w:jc w:val="center"/>
              <w:rPr>
                <w:color w:val="000000"/>
              </w:rPr>
            </w:pPr>
            <w:r>
              <w:rPr>
                <w:color w:val="000000"/>
              </w:rPr>
              <w:t>See 3B</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079FC7A"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32D79596"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139256FD"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701FE3ED"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1277E7E6"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1D080C24"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8C693A6" w14:textId="77777777">
            <w:pPr>
              <w:jc w:val="right"/>
              <w:rPr>
                <w:color w:val="000000"/>
              </w:rPr>
            </w:pPr>
            <w:r>
              <w:rPr>
                <w:color w:val="000000"/>
              </w:rPr>
              <w:t> </w:t>
            </w:r>
          </w:p>
        </w:tc>
      </w:tr>
      <w:tr w14:paraId="5174C869"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DCA8EFF" w14:textId="77777777">
            <w:pPr>
              <w:ind w:left="521"/>
              <w:rPr>
                <w:color w:val="000000"/>
              </w:rPr>
            </w:pPr>
            <w:r w:rsidRPr="00BF51F1">
              <w:rPr>
                <w:color w:val="000000"/>
              </w:rPr>
              <w:t xml:space="preserve">Semiannual report </w:t>
            </w:r>
            <w:r w:rsidRPr="00E10655">
              <w:rPr>
                <w:color w:val="000000"/>
                <w:vertAlign w:val="superscript"/>
              </w:rPr>
              <w:t>d</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2EDC7686" w14:textId="77777777">
            <w:pPr>
              <w:jc w:val="center"/>
              <w:rPr>
                <w:color w:val="000000"/>
              </w:rPr>
            </w:pPr>
            <w:r>
              <w:rPr>
                <w:color w:val="000000"/>
              </w:rPr>
              <w:t>40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ABBBAC2" w14:textId="77777777">
            <w:pPr>
              <w:jc w:val="center"/>
              <w:rPr>
                <w:color w:val="000000"/>
              </w:rPr>
            </w:pPr>
            <w:r>
              <w:rPr>
                <w:color w:val="000000"/>
              </w:rPr>
              <w:t>2</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6EF89AA3" w14:textId="77777777">
            <w:pPr>
              <w:jc w:val="center"/>
              <w:rPr>
                <w:color w:val="000000"/>
              </w:rPr>
            </w:pPr>
            <w:r>
              <w:rPr>
                <w:color w:val="000000"/>
              </w:rPr>
              <w:t>80</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2514A36" w14:textId="77777777">
            <w:pPr>
              <w:jc w:val="center"/>
              <w:rPr>
                <w:color w:val="000000"/>
              </w:rPr>
            </w:pPr>
            <w:r>
              <w:rPr>
                <w:color w:val="000000"/>
              </w:rPr>
              <w:t>14</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1398E225" w14:textId="77777777">
            <w:pPr>
              <w:jc w:val="center"/>
              <w:rPr>
                <w:color w:val="000000"/>
              </w:rPr>
            </w:pPr>
            <w:r>
              <w:rPr>
                <w:color w:val="000000"/>
              </w:rPr>
              <w:t>1,120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6B2867D3" w14:textId="77777777">
            <w:pPr>
              <w:jc w:val="center"/>
              <w:rPr>
                <w:color w:val="000000"/>
              </w:rPr>
            </w:pPr>
            <w:r>
              <w:rPr>
                <w:color w:val="000000"/>
              </w:rPr>
              <w:t>56</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08240750" w14:textId="77777777">
            <w:pPr>
              <w:jc w:val="center"/>
              <w:rPr>
                <w:color w:val="000000"/>
              </w:rPr>
            </w:pPr>
            <w:r>
              <w:rPr>
                <w:color w:val="000000"/>
              </w:rPr>
              <w:t>112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69392CB3" w14:textId="77777777">
            <w:pPr>
              <w:jc w:val="right"/>
              <w:rPr>
                <w:color w:val="000000"/>
              </w:rPr>
            </w:pPr>
            <w:r>
              <w:rPr>
                <w:color w:val="000000"/>
              </w:rPr>
              <w:t xml:space="preserve">$162,410.64 </w:t>
            </w:r>
          </w:p>
        </w:tc>
      </w:tr>
      <w:tr w14:paraId="3ED83101"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83947E1" w14:textId="77777777">
            <w:pPr>
              <w:rPr>
                <w:b/>
                <w:bCs/>
                <w:i/>
                <w:iCs/>
                <w:color w:val="000000"/>
              </w:rPr>
            </w:pPr>
            <w:r w:rsidRPr="00BF51F1">
              <w:rPr>
                <w:b/>
                <w:bCs/>
                <w:i/>
                <w:iCs/>
                <w:color w:val="000000"/>
              </w:rPr>
              <w:t>Reporting Subtotal</w:t>
            </w:r>
          </w:p>
        </w:tc>
        <w:tc>
          <w:tcPr>
            <w:tcW w:w="1349" w:type="dxa"/>
            <w:tcBorders>
              <w:top w:val="nil"/>
              <w:left w:val="nil"/>
              <w:bottom w:val="single" w:sz="4" w:space="0" w:color="auto"/>
              <w:right w:val="single" w:sz="4" w:space="0" w:color="auto"/>
            </w:tcBorders>
            <w:shd w:val="clear" w:color="auto" w:fill="auto"/>
            <w:vAlign w:val="center"/>
            <w:hideMark/>
          </w:tcPr>
          <w:p w:rsidR="00AD2146" w:rsidRPr="00BF51F1" w:rsidP="001F4553" w14:paraId="18872D27" w14:textId="77777777">
            <w:pPr>
              <w:jc w:val="center"/>
              <w:rPr>
                <w:b/>
                <w:bCs/>
                <w:i/>
                <w:iCs/>
                <w:color w:val="000000"/>
              </w:rPr>
            </w:pPr>
            <w:r w:rsidRPr="00BF51F1">
              <w:rPr>
                <w:b/>
                <w:bCs/>
                <w:i/>
                <w:i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4DBDD4E" w14:textId="77777777">
            <w:pPr>
              <w:jc w:val="center"/>
              <w:rPr>
                <w:b/>
                <w:bCs/>
                <w:i/>
                <w:iCs/>
                <w:color w:val="000000"/>
              </w:rPr>
            </w:pPr>
            <w:r w:rsidRPr="00BF51F1">
              <w:rPr>
                <w:b/>
                <w:bCs/>
                <w:i/>
                <w:i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51C5AC49" w14:textId="77777777">
            <w:pPr>
              <w:jc w:val="center"/>
              <w:rPr>
                <w:b/>
                <w:bCs/>
                <w:i/>
                <w:iCs/>
                <w:color w:val="000000"/>
              </w:rPr>
            </w:pPr>
            <w:r w:rsidRPr="00BF51F1">
              <w:rPr>
                <w:b/>
                <w:bCs/>
                <w:i/>
                <w:i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276F5A24" w14:textId="77777777">
            <w:pPr>
              <w:jc w:val="center"/>
              <w:rPr>
                <w:b/>
                <w:bCs/>
                <w:i/>
                <w:iCs/>
                <w:color w:val="000000"/>
              </w:rPr>
            </w:pPr>
            <w:r w:rsidRPr="00BF51F1">
              <w:rPr>
                <w:b/>
                <w:bCs/>
                <w:i/>
                <w:i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BF51F1" w:rsidP="001F4553" w14:paraId="75E1E6F3" w14:textId="77777777">
            <w:pPr>
              <w:jc w:val="center"/>
              <w:rPr>
                <w:b/>
                <w:bCs/>
                <w:i/>
                <w:iCs/>
                <w:color w:val="000000"/>
              </w:rPr>
            </w:pPr>
            <w:r>
              <w:rPr>
                <w:b/>
                <w:bCs/>
                <w:i/>
                <w:iCs/>
                <w:color w:val="000000"/>
              </w:rPr>
              <w:t>1,304</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7665EA3E" w14:textId="77777777">
            <w:pPr>
              <w:jc w:val="right"/>
              <w:rPr>
                <w:b/>
                <w:bCs/>
                <w:i/>
                <w:iCs/>
                <w:color w:val="000000"/>
              </w:rPr>
            </w:pPr>
            <w:r>
              <w:rPr>
                <w:b/>
                <w:bCs/>
                <w:i/>
                <w:iCs/>
                <w:color w:val="000000"/>
              </w:rPr>
              <w:t xml:space="preserve">$164,441 </w:t>
            </w:r>
          </w:p>
        </w:tc>
      </w:tr>
      <w:tr w14:paraId="74447953"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6DCBD2C" w14:textId="77777777">
            <w:pPr>
              <w:rPr>
                <w:color w:val="000000"/>
              </w:rPr>
            </w:pPr>
            <w:r w:rsidRPr="00BF51F1">
              <w:rPr>
                <w:color w:val="000000"/>
              </w:rPr>
              <w:t>4.</w:t>
            </w:r>
            <w:r>
              <w:rPr>
                <w:color w:val="000000"/>
              </w:rPr>
              <w:t xml:space="preserve"> </w:t>
            </w:r>
            <w:r w:rsidRPr="00BF51F1">
              <w:rPr>
                <w:color w:val="000000"/>
              </w:rPr>
              <w:t>Recordkeeping requirements</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BF51F1" w:rsidP="001F4553" w14:paraId="5D51F13D" w14:textId="77777777">
            <w:pPr>
              <w:jc w:val="center"/>
              <w:rPr>
                <w:color w:val="000000"/>
              </w:rPr>
            </w:pPr>
            <w:r>
              <w:rPr>
                <w:color w:val="000000"/>
              </w:rPr>
              <w:t>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2BA08A1A" w14:textId="77777777">
            <w:pPr>
              <w:jc w:val="center"/>
              <w:rPr>
                <w:color w:val="000000"/>
              </w:rPr>
            </w:pPr>
            <w:r>
              <w:rPr>
                <w:color w:val="000000"/>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48DED239" w14:textId="77777777">
            <w:pPr>
              <w:jc w:val="center"/>
              <w:rPr>
                <w:color w:val="000000"/>
              </w:rPr>
            </w:pPr>
            <w:r>
              <w:rPr>
                <w:color w:val="000000"/>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2733B930" w14:textId="77777777">
            <w:pPr>
              <w:jc w:val="center"/>
              <w:rPr>
                <w:color w:val="000000"/>
              </w:rPr>
            </w:pPr>
            <w:r>
              <w:rPr>
                <w:color w:val="000000"/>
              </w:rPr>
              <w:t>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0654302C" w14:textId="77777777">
            <w:pPr>
              <w:jc w:val="center"/>
              <w:rPr>
                <w:color w:val="000000"/>
              </w:rPr>
            </w:pPr>
            <w:r>
              <w:rPr>
                <w:color w:val="000000"/>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66C8B145" w14:textId="77777777">
            <w:pPr>
              <w:jc w:val="center"/>
              <w:rPr>
                <w:color w:val="000000"/>
              </w:rPr>
            </w:pPr>
            <w:r>
              <w:rPr>
                <w:color w:val="000000"/>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3C458121" w14:textId="77777777">
            <w:pPr>
              <w:jc w:val="center"/>
              <w:rPr>
                <w:color w:val="000000"/>
              </w:rPr>
            </w:pPr>
            <w:r>
              <w:rPr>
                <w:color w:val="000000"/>
              </w:rPr>
              <w:t>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51779964" w14:textId="77777777">
            <w:pPr>
              <w:jc w:val="right"/>
              <w:rPr>
                <w:color w:val="000000"/>
              </w:rPr>
            </w:pPr>
            <w:r>
              <w:rPr>
                <w:color w:val="000000"/>
              </w:rPr>
              <w:t> </w:t>
            </w:r>
          </w:p>
        </w:tc>
      </w:tr>
      <w:tr w14:paraId="06B5BC42" w14:textId="77777777" w:rsidTr="001F4553">
        <w:tblPrEx>
          <w:tblW w:w="17239" w:type="dxa"/>
          <w:tblInd w:w="-450" w:type="dxa"/>
          <w:tblLook w:val="04A0"/>
        </w:tblPrEx>
        <w:trPr>
          <w:gridAfter w:val="2"/>
          <w:wAfter w:w="3160" w:type="dxa"/>
          <w:trHeight w:val="630"/>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1EF69DB" w14:textId="77777777">
            <w:pPr>
              <w:ind w:left="521" w:hanging="270"/>
              <w:rPr>
                <w:color w:val="000000"/>
              </w:rPr>
            </w:pPr>
            <w:r w:rsidRPr="00BF51F1">
              <w:rPr>
                <w:color w:val="000000"/>
              </w:rPr>
              <w:t>A.</w:t>
            </w:r>
            <w:r>
              <w:rPr>
                <w:color w:val="000000"/>
              </w:rPr>
              <w:t xml:space="preserve"> </w:t>
            </w:r>
            <w:r w:rsidRPr="00BF51F1">
              <w:rPr>
                <w:color w:val="000000"/>
              </w:rPr>
              <w:t>Familiarization with Regulatory Requirements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58BC9E0B" w14:textId="77777777">
            <w:pPr>
              <w:jc w:val="center"/>
              <w:rPr>
                <w:color w:val="000000"/>
              </w:rPr>
            </w:pPr>
            <w:r>
              <w:rPr>
                <w:color w:val="000000"/>
              </w:rPr>
              <w:t>See 3A</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70801A3"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69339B6F"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7BDEEDA0"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324F2071"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09C58B5"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2903E070"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4C5E382" w14:textId="77777777">
            <w:pPr>
              <w:jc w:val="right"/>
              <w:rPr>
                <w:color w:val="000000"/>
              </w:rPr>
            </w:pPr>
            <w:r>
              <w:rPr>
                <w:color w:val="000000"/>
              </w:rPr>
              <w:t> </w:t>
            </w:r>
          </w:p>
        </w:tc>
      </w:tr>
      <w:tr w14:paraId="399AEC16"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503F524" w14:textId="77777777">
            <w:pPr>
              <w:ind w:left="521" w:hanging="270"/>
              <w:rPr>
                <w:color w:val="000000"/>
              </w:rPr>
            </w:pPr>
            <w:r w:rsidRPr="00BF51F1">
              <w:rPr>
                <w:color w:val="000000"/>
              </w:rPr>
              <w:t>B.</w:t>
            </w:r>
            <w:r>
              <w:rPr>
                <w:color w:val="000000"/>
              </w:rPr>
              <w:t xml:space="preserve"> </w:t>
            </w:r>
            <w:r w:rsidRPr="00BF51F1">
              <w:rPr>
                <w:color w:val="000000"/>
              </w:rPr>
              <w:t>Plan activities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3E00C4C"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5446526"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6BE93CB7"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6DCB377B"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281C6564"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646A82F8"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652F5589"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63F142C2" w14:textId="77777777">
            <w:pPr>
              <w:jc w:val="right"/>
              <w:rPr>
                <w:color w:val="000000"/>
              </w:rPr>
            </w:pPr>
            <w:r>
              <w:rPr>
                <w:color w:val="000000"/>
              </w:rPr>
              <w:t> </w:t>
            </w:r>
          </w:p>
        </w:tc>
      </w:tr>
      <w:tr w14:paraId="49F6A6CF"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075FD925" w14:textId="77777777">
            <w:pPr>
              <w:ind w:left="521" w:hanging="270"/>
              <w:rPr>
                <w:color w:val="000000"/>
              </w:rPr>
            </w:pPr>
            <w:r w:rsidRPr="00BF51F1">
              <w:rPr>
                <w:color w:val="000000"/>
              </w:rPr>
              <w:t>C.</w:t>
            </w:r>
            <w:r>
              <w:rPr>
                <w:color w:val="000000"/>
              </w:rPr>
              <w:t xml:space="preserve"> </w:t>
            </w:r>
            <w:r w:rsidRPr="00BF51F1">
              <w:rPr>
                <w:color w:val="000000"/>
              </w:rPr>
              <w:t>Implement activities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31A090E"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8DA22CC"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0375B53F"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5B6E0CA"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3DA9A58"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54601090"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0468420D"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2EBAA91E" w14:textId="77777777">
            <w:pPr>
              <w:jc w:val="right"/>
              <w:rPr>
                <w:color w:val="000000"/>
              </w:rPr>
            </w:pPr>
            <w:r>
              <w:rPr>
                <w:color w:val="000000"/>
              </w:rPr>
              <w:t> </w:t>
            </w:r>
          </w:p>
        </w:tc>
      </w:tr>
      <w:tr w14:paraId="425EBA71"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166A34E9" w14:textId="77777777">
            <w:pPr>
              <w:ind w:left="521" w:hanging="270"/>
              <w:rPr>
                <w:color w:val="000000"/>
              </w:rPr>
            </w:pPr>
            <w:r w:rsidRPr="00BF51F1">
              <w:rPr>
                <w:color w:val="000000"/>
              </w:rPr>
              <w:t>D.</w:t>
            </w:r>
            <w:r>
              <w:rPr>
                <w:color w:val="000000"/>
              </w:rPr>
              <w:t xml:space="preserve"> </w:t>
            </w:r>
            <w:r w:rsidRPr="00BF51F1">
              <w:rPr>
                <w:color w:val="000000"/>
              </w:rPr>
              <w:t xml:space="preserve">Develop record system </w:t>
            </w:r>
            <w:r w:rsidRPr="00E10655">
              <w:rPr>
                <w:color w:val="000000"/>
                <w:vertAlign w:val="superscript"/>
              </w:rPr>
              <w:t>e</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37C7CBB" w14:textId="77777777">
            <w:pPr>
              <w:jc w:val="center"/>
              <w:rPr>
                <w:color w:val="000000"/>
              </w:rPr>
            </w:pPr>
            <w:r>
              <w:rPr>
                <w:color w:val="000000"/>
              </w:rPr>
              <w:t>40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9C9BA3E"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2AFAD216" w14:textId="77777777">
            <w:pPr>
              <w:jc w:val="center"/>
              <w:rPr>
                <w:color w:val="000000"/>
              </w:rPr>
            </w:pPr>
            <w:r>
              <w:rPr>
                <w:color w:val="000000"/>
              </w:rPr>
              <w:t>40</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735A6F9B"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F787070"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7A7E5E83"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5CFCC219"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67AF1252" w14:textId="77777777">
            <w:pPr>
              <w:jc w:val="right"/>
              <w:rPr>
                <w:color w:val="000000"/>
              </w:rPr>
            </w:pPr>
            <w:r>
              <w:rPr>
                <w:color w:val="000000"/>
              </w:rPr>
              <w:t xml:space="preserve">$0 </w:t>
            </w:r>
          </w:p>
        </w:tc>
      </w:tr>
      <w:tr w14:paraId="699A261A"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4723550C" w14:textId="77777777">
            <w:pPr>
              <w:ind w:left="521" w:hanging="270"/>
              <w:rPr>
                <w:color w:val="000000"/>
              </w:rPr>
            </w:pPr>
            <w:r w:rsidRPr="00BF51F1">
              <w:rPr>
                <w:color w:val="000000"/>
              </w:rPr>
              <w:t>E.</w:t>
            </w:r>
            <w:r>
              <w:rPr>
                <w:color w:val="000000"/>
              </w:rPr>
              <w:t xml:space="preserve"> </w:t>
            </w:r>
            <w:r w:rsidRPr="00BF51F1">
              <w:rPr>
                <w:color w:val="000000"/>
              </w:rPr>
              <w:t>Time to enter information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1827897"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558FA6A"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718BB23C"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1741A036"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4BABE732"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1CD1501E"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24FB5868"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97B4886" w14:textId="77777777">
            <w:pPr>
              <w:jc w:val="right"/>
              <w:rPr>
                <w:color w:val="000000"/>
              </w:rPr>
            </w:pPr>
            <w:r>
              <w:rPr>
                <w:color w:val="000000"/>
              </w:rPr>
              <w:t> </w:t>
            </w:r>
          </w:p>
        </w:tc>
      </w:tr>
      <w:tr w14:paraId="0E8953F2" w14:textId="77777777" w:rsidTr="001F4553">
        <w:tblPrEx>
          <w:tblW w:w="17239" w:type="dxa"/>
          <w:tblInd w:w="-450" w:type="dxa"/>
          <w:tblLook w:val="04A0"/>
        </w:tblPrEx>
        <w:trPr>
          <w:gridAfter w:val="2"/>
          <w:wAfter w:w="3160" w:type="dxa"/>
          <w:trHeight w:val="630"/>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59B4A316" w14:textId="77777777">
            <w:pPr>
              <w:ind w:left="521"/>
              <w:rPr>
                <w:color w:val="000000"/>
              </w:rPr>
            </w:pPr>
            <w:r w:rsidRPr="00BF51F1">
              <w:rPr>
                <w:color w:val="000000"/>
              </w:rPr>
              <w:t>Records of startup, shutdown, or malfunction</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1E17590" w14:textId="77777777">
            <w:pPr>
              <w:jc w:val="center"/>
              <w:rPr>
                <w:color w:val="000000"/>
              </w:rPr>
            </w:pPr>
            <w:r>
              <w:rPr>
                <w:color w:val="000000"/>
              </w:rPr>
              <w:t>1.5</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167BE60" w14:textId="77777777">
            <w:pPr>
              <w:jc w:val="center"/>
              <w:rPr>
                <w:color w:val="000000"/>
              </w:rPr>
            </w:pPr>
            <w:r>
              <w:rPr>
                <w:color w:val="000000"/>
              </w:rPr>
              <w:t>12</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43FF3109" w14:textId="77777777">
            <w:pPr>
              <w:jc w:val="center"/>
              <w:rPr>
                <w:color w:val="000000"/>
              </w:rPr>
            </w:pPr>
            <w:r>
              <w:rPr>
                <w:color w:val="000000"/>
              </w:rPr>
              <w:t>18</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3008EDAD"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192E3A8"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5B348DC1"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0A2F0A45" w14:textId="77777777">
            <w:pPr>
              <w:jc w:val="center"/>
              <w:rPr>
                <w:color w:val="000000"/>
              </w:rPr>
            </w:pPr>
            <w:r>
              <w:rPr>
                <w:color w:val="000000"/>
              </w:rPr>
              <w:t>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9A9B4C9" w14:textId="77777777">
            <w:pPr>
              <w:jc w:val="right"/>
              <w:rPr>
                <w:color w:val="000000"/>
              </w:rPr>
            </w:pPr>
            <w:r>
              <w:rPr>
                <w:color w:val="000000"/>
              </w:rPr>
              <w:t xml:space="preserve">$0 </w:t>
            </w:r>
          </w:p>
        </w:tc>
      </w:tr>
      <w:tr w14:paraId="3B826947"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456624FC" w14:textId="77777777">
            <w:pPr>
              <w:ind w:left="521"/>
              <w:rPr>
                <w:color w:val="000000"/>
              </w:rPr>
            </w:pPr>
            <w:r w:rsidRPr="00BF51F1">
              <w:rPr>
                <w:color w:val="000000"/>
              </w:rPr>
              <w:t>Records of continuous recording</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7AA5A89E" w14:textId="77777777">
            <w:pPr>
              <w:jc w:val="center"/>
              <w:rPr>
                <w:color w:val="000000"/>
              </w:rPr>
            </w:pPr>
            <w:r>
              <w:rPr>
                <w:color w:val="000000"/>
              </w:rPr>
              <w:t>0.5</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042A3C5" w14:textId="77777777">
            <w:pPr>
              <w:jc w:val="center"/>
              <w:rPr>
                <w:color w:val="000000"/>
              </w:rPr>
            </w:pPr>
            <w:r>
              <w:rPr>
                <w:color w:val="000000"/>
              </w:rPr>
              <w:t>700</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57918578" w14:textId="77777777">
            <w:pPr>
              <w:jc w:val="center"/>
              <w:rPr>
                <w:color w:val="000000"/>
              </w:rPr>
            </w:pPr>
            <w:r>
              <w:rPr>
                <w:color w:val="000000"/>
              </w:rPr>
              <w:t>350</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04BA42AF" w14:textId="77777777">
            <w:pPr>
              <w:jc w:val="center"/>
              <w:rPr>
                <w:color w:val="000000"/>
              </w:rPr>
            </w:pPr>
            <w:r>
              <w:rPr>
                <w:color w:val="000000"/>
              </w:rPr>
              <w:t>14</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789CF13D" w14:textId="77777777">
            <w:pPr>
              <w:jc w:val="center"/>
              <w:rPr>
                <w:color w:val="000000"/>
              </w:rPr>
            </w:pPr>
            <w:r>
              <w:rPr>
                <w:color w:val="000000"/>
              </w:rPr>
              <w:t>4,900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37DF9DCF" w14:textId="77777777">
            <w:pPr>
              <w:jc w:val="center"/>
              <w:rPr>
                <w:color w:val="000000"/>
              </w:rPr>
            </w:pPr>
            <w:r>
              <w:rPr>
                <w:color w:val="000000"/>
              </w:rPr>
              <w:t>245</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18B5D05D" w14:textId="77777777">
            <w:pPr>
              <w:jc w:val="center"/>
              <w:rPr>
                <w:color w:val="000000"/>
              </w:rPr>
            </w:pPr>
            <w:r>
              <w:rPr>
                <w:color w:val="000000"/>
              </w:rPr>
              <w:t>490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207422D" w14:textId="77777777">
            <w:pPr>
              <w:jc w:val="right"/>
              <w:rPr>
                <w:color w:val="000000"/>
              </w:rPr>
            </w:pPr>
            <w:r>
              <w:rPr>
                <w:color w:val="000000"/>
              </w:rPr>
              <w:t xml:space="preserve">$710,546.55 </w:t>
            </w:r>
          </w:p>
        </w:tc>
      </w:tr>
      <w:tr w14:paraId="3A3D4B60"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150D93B9" w14:textId="77777777">
            <w:pPr>
              <w:ind w:left="521"/>
              <w:rPr>
                <w:color w:val="000000"/>
              </w:rPr>
            </w:pPr>
            <w:r w:rsidRPr="00BF51F1">
              <w:rPr>
                <w:color w:val="000000"/>
              </w:rPr>
              <w:t>Records of capacity data</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44E8EC42"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36BC87D4" w14:textId="77777777">
            <w:pPr>
              <w:jc w:val="center"/>
              <w:rPr>
                <w:color w:val="000000"/>
              </w:rPr>
            </w:pPr>
            <w:r>
              <w:rPr>
                <w:color w:val="000000"/>
              </w:rPr>
              <w:t>1</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79B3A069" w14:textId="77777777">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7B1DD886" w14:textId="77777777">
            <w:pPr>
              <w:jc w:val="center"/>
              <w:rPr>
                <w:color w:val="000000"/>
              </w:rPr>
            </w:pPr>
            <w:r>
              <w:rPr>
                <w:color w:val="000000"/>
              </w:rPr>
              <w:t>3</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43087A9A" w14:textId="77777777">
            <w:pPr>
              <w:jc w:val="center"/>
              <w:rPr>
                <w:color w:val="000000"/>
              </w:rPr>
            </w:pPr>
            <w:r>
              <w:rPr>
                <w:color w:val="000000"/>
              </w:rPr>
              <w:t>6</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37542B68" w14:textId="77777777">
            <w:pPr>
              <w:jc w:val="center"/>
              <w:rPr>
                <w:color w:val="000000"/>
              </w:rPr>
            </w:pPr>
            <w:r>
              <w:rPr>
                <w:color w:val="000000"/>
              </w:rPr>
              <w:t>0.3</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3311F6DE" w14:textId="77777777">
            <w:pPr>
              <w:jc w:val="center"/>
              <w:rPr>
                <w:color w:val="000000"/>
              </w:rPr>
            </w:pPr>
            <w:r>
              <w:rPr>
                <w:color w:val="000000"/>
              </w:rPr>
              <w:t>0.6</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338846E" w14:textId="77777777">
            <w:pPr>
              <w:jc w:val="right"/>
              <w:rPr>
                <w:color w:val="000000"/>
              </w:rPr>
            </w:pPr>
            <w:r>
              <w:rPr>
                <w:color w:val="000000"/>
              </w:rPr>
              <w:t xml:space="preserve">$870.06 </w:t>
            </w:r>
          </w:p>
        </w:tc>
      </w:tr>
      <w:tr w14:paraId="7F294425"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5C816C6D" w14:textId="77777777">
            <w:pPr>
              <w:ind w:left="521" w:hanging="270"/>
              <w:rPr>
                <w:color w:val="000000"/>
              </w:rPr>
            </w:pPr>
            <w:r w:rsidRPr="00BF51F1">
              <w:rPr>
                <w:color w:val="000000"/>
              </w:rPr>
              <w:t>F.</w:t>
            </w:r>
            <w:r>
              <w:rPr>
                <w:color w:val="000000"/>
              </w:rPr>
              <w:t xml:space="preserve"> </w:t>
            </w:r>
            <w:r w:rsidRPr="00BF51F1">
              <w:rPr>
                <w:color w:val="000000"/>
              </w:rPr>
              <w:t>Train personnel</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6C298788"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04168DE"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3860B4E3"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710830B1"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240FA66"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71D2FDE2"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4662B758"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42088B4" w14:textId="77777777">
            <w:pPr>
              <w:jc w:val="right"/>
              <w:rPr>
                <w:color w:val="000000"/>
              </w:rPr>
            </w:pPr>
            <w:r>
              <w:rPr>
                <w:color w:val="000000"/>
              </w:rPr>
              <w:t> </w:t>
            </w:r>
          </w:p>
        </w:tc>
      </w:tr>
      <w:tr w14:paraId="1C18897D"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6D2828B7" w14:textId="77777777">
            <w:pPr>
              <w:ind w:left="521" w:hanging="270"/>
              <w:rPr>
                <w:color w:val="000000"/>
              </w:rPr>
            </w:pPr>
            <w:r w:rsidRPr="00BF51F1">
              <w:rPr>
                <w:color w:val="000000"/>
              </w:rPr>
              <w:t>G.</w:t>
            </w:r>
            <w:r>
              <w:rPr>
                <w:color w:val="000000"/>
              </w:rPr>
              <w:t xml:space="preserve"> </w:t>
            </w:r>
            <w:r w:rsidRPr="00BF51F1">
              <w:rPr>
                <w:color w:val="000000"/>
              </w:rPr>
              <w:t>Audits</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8AED643" w14:textId="77777777">
            <w:pPr>
              <w:jc w:val="center"/>
              <w:rPr>
                <w:color w:val="000000"/>
              </w:rPr>
            </w:pPr>
            <w:r>
              <w:rPr>
                <w:color w:val="000000"/>
              </w:rPr>
              <w:t>N/A</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265EA3D4" w14:textId="77777777">
            <w:pPr>
              <w:jc w:val="center"/>
              <w:rPr>
                <w:color w:val="000000"/>
              </w:rPr>
            </w:pPr>
            <w:r>
              <w:rPr>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17BFCD8A" w14:textId="77777777">
            <w:pPr>
              <w:jc w:val="center"/>
              <w:rPr>
                <w:color w:val="000000"/>
              </w:rPr>
            </w:pPr>
            <w:r>
              <w:rPr>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343CF296" w14:textId="77777777">
            <w:pPr>
              <w:jc w:val="center"/>
              <w:rPr>
                <w:color w:val="000000"/>
              </w:rPr>
            </w:pPr>
            <w:r>
              <w:rPr>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21333AF6" w14:textId="77777777">
            <w:pPr>
              <w:jc w:val="center"/>
              <w:rPr>
                <w:color w:val="000000"/>
              </w:rPr>
            </w:pPr>
            <w:r>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4569BA5F" w14:textId="77777777">
            <w:pPr>
              <w:jc w:val="center"/>
              <w:rPr>
                <w:color w:val="000000"/>
              </w:rPr>
            </w:pPr>
            <w:r>
              <w:rPr>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041FA189" w14:textId="77777777">
            <w:pPr>
              <w:jc w:val="center"/>
              <w:rPr>
                <w:color w:val="000000"/>
              </w:rPr>
            </w:pPr>
            <w:r>
              <w:rPr>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C84C223" w14:textId="77777777">
            <w:pPr>
              <w:jc w:val="right"/>
              <w:rPr>
                <w:color w:val="000000"/>
              </w:rPr>
            </w:pPr>
            <w:r>
              <w:rPr>
                <w:color w:val="000000"/>
              </w:rPr>
              <w:t> </w:t>
            </w:r>
          </w:p>
        </w:tc>
      </w:tr>
      <w:tr w14:paraId="7D34C298" w14:textId="77777777" w:rsidTr="001F4553">
        <w:tblPrEx>
          <w:tblW w:w="17239" w:type="dxa"/>
          <w:tblInd w:w="-450" w:type="dxa"/>
          <w:tblLook w:val="04A0"/>
        </w:tblPrEx>
        <w:trPr>
          <w:gridAfter w:val="2"/>
          <w:wAfter w:w="3160" w:type="dxa"/>
          <w:trHeight w:val="31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745F52E7" w14:textId="77777777">
            <w:pPr>
              <w:rPr>
                <w:b/>
                <w:bCs/>
                <w:i/>
                <w:iCs/>
                <w:color w:val="000000"/>
              </w:rPr>
            </w:pPr>
            <w:r w:rsidRPr="00BF51F1">
              <w:rPr>
                <w:b/>
                <w:bCs/>
                <w:i/>
                <w:iCs/>
                <w:color w:val="000000"/>
              </w:rPr>
              <w:t>Recordkeeping Subtotal</w:t>
            </w:r>
          </w:p>
        </w:tc>
        <w:tc>
          <w:tcPr>
            <w:tcW w:w="1349" w:type="dxa"/>
            <w:tcBorders>
              <w:top w:val="nil"/>
              <w:left w:val="nil"/>
              <w:bottom w:val="single" w:sz="4" w:space="0" w:color="auto"/>
              <w:right w:val="single" w:sz="4" w:space="0" w:color="auto"/>
            </w:tcBorders>
            <w:shd w:val="clear" w:color="auto" w:fill="auto"/>
            <w:vAlign w:val="center"/>
            <w:hideMark/>
          </w:tcPr>
          <w:p w:rsidR="00AD2146" w:rsidRPr="00BF51F1" w:rsidP="001F4553" w14:paraId="07FC6799" w14:textId="77777777">
            <w:pPr>
              <w:jc w:val="center"/>
              <w:rPr>
                <w:b/>
                <w:bCs/>
                <w:i/>
                <w:iCs/>
                <w:color w:val="000000"/>
              </w:rPr>
            </w:pPr>
            <w:r w:rsidRPr="00BF51F1">
              <w:rPr>
                <w:b/>
                <w:bCs/>
                <w:i/>
                <w:i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91F1FD6" w14:textId="77777777">
            <w:pPr>
              <w:jc w:val="center"/>
              <w:rPr>
                <w:b/>
                <w:bCs/>
                <w:i/>
                <w:iCs/>
                <w:color w:val="000000"/>
              </w:rPr>
            </w:pPr>
            <w:r w:rsidRPr="00BF51F1">
              <w:rPr>
                <w:b/>
                <w:bCs/>
                <w:i/>
                <w:i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3A154AFB" w14:textId="77777777">
            <w:pPr>
              <w:jc w:val="center"/>
              <w:rPr>
                <w:b/>
                <w:bCs/>
                <w:i/>
                <w:iCs/>
                <w:color w:val="000000"/>
              </w:rPr>
            </w:pPr>
            <w:r w:rsidRPr="00BF51F1">
              <w:rPr>
                <w:b/>
                <w:bCs/>
                <w:i/>
                <w:i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5DEA4AEF" w14:textId="77777777">
            <w:pPr>
              <w:jc w:val="center"/>
              <w:rPr>
                <w:b/>
                <w:bCs/>
                <w:i/>
                <w:iCs/>
                <w:color w:val="000000"/>
              </w:rPr>
            </w:pPr>
            <w:r w:rsidRPr="00BF51F1">
              <w:rPr>
                <w:b/>
                <w:bCs/>
                <w:i/>
                <w:i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BF51F1" w:rsidP="001F4553" w14:paraId="0049A52B" w14:textId="77777777">
            <w:pPr>
              <w:jc w:val="center"/>
              <w:rPr>
                <w:b/>
                <w:bCs/>
                <w:i/>
                <w:iCs/>
                <w:color w:val="000000"/>
              </w:rPr>
            </w:pPr>
            <w:r>
              <w:rPr>
                <w:b/>
                <w:bCs/>
                <w:i/>
                <w:iCs/>
                <w:color w:val="000000"/>
              </w:rPr>
              <w:t>5,642</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24521D24" w14:textId="77777777">
            <w:pPr>
              <w:jc w:val="right"/>
              <w:rPr>
                <w:b/>
                <w:bCs/>
                <w:i/>
                <w:iCs/>
                <w:color w:val="000000"/>
              </w:rPr>
            </w:pPr>
            <w:r>
              <w:rPr>
                <w:b/>
                <w:bCs/>
                <w:i/>
                <w:iCs/>
                <w:color w:val="000000"/>
              </w:rPr>
              <w:t xml:space="preserve">$711,417 </w:t>
            </w:r>
          </w:p>
        </w:tc>
      </w:tr>
      <w:tr w14:paraId="7816BFDD"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auto" w:fill="auto"/>
            <w:hideMark/>
          </w:tcPr>
          <w:p w:rsidR="00AD2146" w:rsidRPr="00BF51F1" w:rsidP="001F4553" w14:paraId="6C1A4B9C" w14:textId="77777777">
            <w:pPr>
              <w:rPr>
                <w:b/>
                <w:bCs/>
                <w:color w:val="000000"/>
              </w:rPr>
            </w:pPr>
            <w:r w:rsidRPr="00BF51F1">
              <w:rPr>
                <w:b/>
                <w:bCs/>
                <w:color w:val="000000"/>
              </w:rPr>
              <w:t xml:space="preserve">Total Labor Burden and Costs (Rounded) </w:t>
            </w:r>
            <w:r w:rsidRPr="00BF51F1">
              <w:rPr>
                <w:b/>
                <w:bCs/>
                <w:color w:val="000000"/>
                <w:vertAlign w:val="superscript"/>
              </w:rPr>
              <w:t>f</w:t>
            </w:r>
          </w:p>
        </w:tc>
        <w:tc>
          <w:tcPr>
            <w:tcW w:w="1349" w:type="dxa"/>
            <w:tcBorders>
              <w:top w:val="nil"/>
              <w:left w:val="nil"/>
              <w:bottom w:val="single" w:sz="4" w:space="0" w:color="auto"/>
              <w:right w:val="single" w:sz="4" w:space="0" w:color="auto"/>
            </w:tcBorders>
            <w:shd w:val="clear" w:color="auto" w:fill="auto"/>
            <w:vAlign w:val="center"/>
            <w:hideMark/>
          </w:tcPr>
          <w:p w:rsidR="00AD2146" w:rsidRPr="00BF51F1" w:rsidP="001F4553" w14:paraId="47D38C65" w14:textId="77777777">
            <w:pPr>
              <w:jc w:val="center"/>
              <w:rPr>
                <w:b/>
                <w:bCs/>
                <w:color w:val="000000"/>
              </w:rPr>
            </w:pPr>
            <w:r w:rsidRPr="00BF51F1">
              <w:rPr>
                <w:b/>
                <w:b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19BDC7C0" w14:textId="77777777">
            <w:pPr>
              <w:jc w:val="center"/>
              <w:rPr>
                <w:b/>
                <w:bCs/>
                <w:color w:val="000000"/>
              </w:rPr>
            </w:pPr>
            <w:r w:rsidRPr="00BF51F1">
              <w:rPr>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20A4C80D" w14:textId="77777777">
            <w:pPr>
              <w:jc w:val="center"/>
              <w:rPr>
                <w:b/>
                <w:bCs/>
                <w:color w:val="000000"/>
              </w:rPr>
            </w:pPr>
            <w:r w:rsidRPr="00BF51F1">
              <w:rPr>
                <w:b/>
                <w:b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6C9B5025" w14:textId="77777777">
            <w:pPr>
              <w:jc w:val="center"/>
              <w:rPr>
                <w:b/>
                <w:bCs/>
                <w:color w:val="000000"/>
              </w:rPr>
            </w:pPr>
            <w:r w:rsidRPr="00BF51F1">
              <w:rPr>
                <w:b/>
                <w:b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BF51F1" w:rsidP="001F4553" w14:paraId="1D5E88D7" w14:textId="77777777">
            <w:pPr>
              <w:jc w:val="center"/>
              <w:rPr>
                <w:b/>
                <w:bCs/>
                <w:color w:val="000000"/>
              </w:rPr>
            </w:pPr>
            <w:r>
              <w:rPr>
                <w:b/>
                <w:bCs/>
                <w:color w:val="000000"/>
              </w:rPr>
              <w:t>6,950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EB45B13" w14:textId="77777777">
            <w:pPr>
              <w:jc w:val="right"/>
              <w:rPr>
                <w:b/>
                <w:bCs/>
                <w:color w:val="000000"/>
              </w:rPr>
            </w:pPr>
            <w:r>
              <w:rPr>
                <w:b/>
                <w:bCs/>
                <w:color w:val="000000"/>
              </w:rPr>
              <w:t xml:space="preserve">$876,000 </w:t>
            </w:r>
          </w:p>
        </w:tc>
      </w:tr>
      <w:tr w14:paraId="39D6C86C" w14:textId="77777777" w:rsidTr="001F4553">
        <w:tblPrEx>
          <w:tblW w:w="17239" w:type="dxa"/>
          <w:tblInd w:w="-450" w:type="dxa"/>
          <w:tblLook w:val="04A0"/>
        </w:tblPrEx>
        <w:trPr>
          <w:gridAfter w:val="2"/>
          <w:wAfter w:w="3160" w:type="dxa"/>
          <w:trHeight w:val="375"/>
        </w:trPr>
        <w:tc>
          <w:tcPr>
            <w:tcW w:w="3150" w:type="dxa"/>
            <w:tcBorders>
              <w:top w:val="nil"/>
              <w:left w:val="single" w:sz="4" w:space="0" w:color="auto"/>
              <w:bottom w:val="single" w:sz="4" w:space="0" w:color="auto"/>
              <w:right w:val="single" w:sz="4" w:space="0" w:color="auto"/>
            </w:tcBorders>
            <w:shd w:val="clear" w:color="000000" w:fill="FFFFFF"/>
            <w:vAlign w:val="center"/>
            <w:hideMark/>
          </w:tcPr>
          <w:p w:rsidR="00AD2146" w:rsidRPr="00BF51F1" w:rsidP="001F4553" w14:paraId="1BCB8AEE" w14:textId="77777777">
            <w:pPr>
              <w:rPr>
                <w:b/>
                <w:bCs/>
              </w:rPr>
            </w:pPr>
            <w:r w:rsidRPr="00BF51F1">
              <w:rPr>
                <w:b/>
                <w:bCs/>
              </w:rPr>
              <w:t xml:space="preserve">Total Capital and O&amp;M Costs (Rounded) </w:t>
            </w:r>
            <w:r w:rsidRPr="00BF51F1">
              <w:rPr>
                <w:b/>
                <w:bCs/>
                <w:vertAlign w:val="superscript"/>
              </w:rPr>
              <w:t>f</w:t>
            </w:r>
          </w:p>
        </w:tc>
        <w:tc>
          <w:tcPr>
            <w:tcW w:w="1349" w:type="dxa"/>
            <w:tcBorders>
              <w:top w:val="nil"/>
              <w:left w:val="nil"/>
              <w:bottom w:val="single" w:sz="4" w:space="0" w:color="auto"/>
              <w:right w:val="single" w:sz="4" w:space="0" w:color="auto"/>
            </w:tcBorders>
            <w:shd w:val="clear" w:color="auto" w:fill="auto"/>
            <w:vAlign w:val="center"/>
            <w:hideMark/>
          </w:tcPr>
          <w:p w:rsidR="00AD2146" w:rsidRPr="00BF51F1" w:rsidP="001F4553" w14:paraId="6A9D99DC" w14:textId="77777777">
            <w:pPr>
              <w:jc w:val="center"/>
              <w:rPr>
                <w:b/>
                <w:bCs/>
                <w:color w:val="000000"/>
              </w:rPr>
            </w:pPr>
            <w:r w:rsidRPr="00BF51F1">
              <w:rPr>
                <w:b/>
                <w:b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3B247F1D" w14:textId="77777777">
            <w:pPr>
              <w:jc w:val="center"/>
              <w:rPr>
                <w:b/>
                <w:bCs/>
                <w:color w:val="000000"/>
              </w:rPr>
            </w:pPr>
            <w:r w:rsidRPr="00BF51F1">
              <w:rPr>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022D4E7C" w14:textId="77777777">
            <w:pPr>
              <w:jc w:val="center"/>
              <w:rPr>
                <w:b/>
                <w:bCs/>
                <w:color w:val="000000"/>
              </w:rPr>
            </w:pPr>
            <w:r w:rsidRPr="00BF51F1">
              <w:rPr>
                <w:b/>
                <w:b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1F28A172" w14:textId="77777777">
            <w:pPr>
              <w:jc w:val="center"/>
              <w:rPr>
                <w:b/>
                <w:bCs/>
                <w:color w:val="000000"/>
              </w:rPr>
            </w:pPr>
            <w:r w:rsidRPr="00BF51F1">
              <w:rPr>
                <w:b/>
                <w:bCs/>
                <w:color w:val="000000"/>
              </w:rPr>
              <w:t> </w:t>
            </w:r>
          </w:p>
        </w:tc>
        <w:tc>
          <w:tcPr>
            <w:tcW w:w="1216"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74C6674F" w14:textId="77777777">
            <w:pPr>
              <w:jc w:val="center"/>
              <w:rPr>
                <w:b/>
                <w:bCs/>
                <w:color w:val="000000"/>
              </w:rPr>
            </w:pPr>
            <w:r>
              <w:rPr>
                <w:b/>
                <w:bCs/>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7A762AD2" w14:textId="77777777">
            <w:pPr>
              <w:jc w:val="center"/>
              <w:rPr>
                <w:b/>
                <w:bCs/>
                <w:color w:val="000000"/>
              </w:rPr>
            </w:pPr>
            <w:r>
              <w:rPr>
                <w:b/>
                <w:bCs/>
                <w:color w:val="000000"/>
              </w:rPr>
              <w:t> </w:t>
            </w:r>
          </w:p>
        </w:tc>
        <w:tc>
          <w:tcPr>
            <w:tcW w:w="1029" w:type="dxa"/>
            <w:tcBorders>
              <w:top w:val="nil"/>
              <w:left w:val="nil"/>
              <w:bottom w:val="single" w:sz="4" w:space="0" w:color="auto"/>
              <w:right w:val="single" w:sz="4" w:space="0" w:color="auto"/>
            </w:tcBorders>
            <w:shd w:val="clear" w:color="auto" w:fill="auto"/>
            <w:vAlign w:val="center"/>
            <w:hideMark/>
          </w:tcPr>
          <w:p w:rsidR="00AD2146" w:rsidRPr="00BF51F1" w:rsidP="001F4553" w14:paraId="2255B480" w14:textId="77777777">
            <w:pPr>
              <w:jc w:val="center"/>
              <w:rPr>
                <w:b/>
                <w:bCs/>
                <w:color w:val="000000"/>
              </w:rPr>
            </w:pPr>
            <w:r>
              <w:rPr>
                <w:b/>
                <w:bCs/>
                <w:color w:val="000000"/>
              </w:rPr>
              <w:t>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BF51F1" w:rsidP="001F4553" w14:paraId="4CFA4FDE" w14:textId="77777777">
            <w:pPr>
              <w:jc w:val="right"/>
              <w:rPr>
                <w:b/>
                <w:bCs/>
                <w:color w:val="000000"/>
              </w:rPr>
            </w:pPr>
            <w:r>
              <w:rPr>
                <w:b/>
                <w:bCs/>
                <w:color w:val="000000"/>
              </w:rPr>
              <w:t xml:space="preserve">$97,001 </w:t>
            </w:r>
          </w:p>
        </w:tc>
      </w:tr>
      <w:tr w14:paraId="2FA08C85" w14:textId="77777777" w:rsidTr="001F4553">
        <w:tblPrEx>
          <w:tblW w:w="17239" w:type="dxa"/>
          <w:tblInd w:w="-450" w:type="dxa"/>
          <w:tblLook w:val="04A0"/>
        </w:tblPrEx>
        <w:trPr>
          <w:trHeight w:val="375"/>
        </w:trPr>
        <w:tc>
          <w:tcPr>
            <w:tcW w:w="3150" w:type="dxa"/>
            <w:tcBorders>
              <w:top w:val="nil"/>
              <w:left w:val="single" w:sz="4" w:space="0" w:color="auto"/>
              <w:bottom w:val="single" w:sz="4" w:space="0" w:color="auto"/>
              <w:right w:val="single" w:sz="4" w:space="0" w:color="auto"/>
            </w:tcBorders>
            <w:shd w:val="clear" w:color="000000" w:fill="FFFFFF"/>
            <w:vAlign w:val="center"/>
            <w:hideMark/>
          </w:tcPr>
          <w:p w:rsidR="00AD2146" w:rsidRPr="00BF51F1" w:rsidP="001F4553" w14:paraId="7FD3A9BA" w14:textId="77777777">
            <w:pPr>
              <w:rPr>
                <w:b/>
                <w:bCs/>
              </w:rPr>
            </w:pPr>
            <w:r w:rsidRPr="00BF51F1">
              <w:rPr>
                <w:b/>
                <w:bCs/>
              </w:rPr>
              <w:t xml:space="preserve">Grand Total (Rounded) </w:t>
            </w:r>
            <w:r w:rsidRPr="00BF51F1">
              <w:rPr>
                <w:b/>
                <w:bCs/>
                <w:vertAlign w:val="superscript"/>
              </w:rPr>
              <w:t>f</w:t>
            </w:r>
          </w:p>
        </w:tc>
        <w:tc>
          <w:tcPr>
            <w:tcW w:w="1349" w:type="dxa"/>
            <w:tcBorders>
              <w:top w:val="nil"/>
              <w:left w:val="nil"/>
              <w:bottom w:val="single" w:sz="4" w:space="0" w:color="auto"/>
              <w:right w:val="single" w:sz="4" w:space="0" w:color="auto"/>
            </w:tcBorders>
            <w:shd w:val="clear" w:color="auto" w:fill="auto"/>
            <w:vAlign w:val="center"/>
            <w:hideMark/>
          </w:tcPr>
          <w:p w:rsidR="00AD2146" w:rsidRPr="00BF51F1" w:rsidP="001F4553" w14:paraId="7623443F" w14:textId="77777777">
            <w:pPr>
              <w:jc w:val="center"/>
              <w:rPr>
                <w:b/>
                <w:bCs/>
                <w:color w:val="000000"/>
              </w:rPr>
            </w:pPr>
            <w:r w:rsidRPr="00BF51F1">
              <w:rPr>
                <w:b/>
                <w:b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41FE1282" w14:textId="77777777">
            <w:pPr>
              <w:jc w:val="center"/>
              <w:rPr>
                <w:b/>
                <w:bCs/>
                <w:color w:val="000000"/>
              </w:rPr>
            </w:pPr>
            <w:r w:rsidRPr="00BF51F1">
              <w:rPr>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AD2146" w:rsidRPr="00BF51F1" w:rsidP="001F4553" w14:paraId="4B18D52D" w14:textId="77777777">
            <w:pPr>
              <w:jc w:val="center"/>
              <w:rPr>
                <w:b/>
                <w:bCs/>
                <w:color w:val="000000"/>
              </w:rPr>
            </w:pPr>
            <w:r w:rsidRPr="00BF51F1">
              <w:rPr>
                <w:b/>
                <w:bCs/>
                <w:color w:val="000000"/>
              </w:rPr>
              <w:t> </w:t>
            </w:r>
          </w:p>
        </w:tc>
        <w:tc>
          <w:tcPr>
            <w:tcW w:w="1523" w:type="dxa"/>
            <w:tcBorders>
              <w:top w:val="nil"/>
              <w:left w:val="nil"/>
              <w:bottom w:val="single" w:sz="4" w:space="0" w:color="auto"/>
              <w:right w:val="single" w:sz="4" w:space="0" w:color="auto"/>
            </w:tcBorders>
            <w:shd w:val="clear" w:color="auto" w:fill="auto"/>
            <w:vAlign w:val="center"/>
            <w:hideMark/>
          </w:tcPr>
          <w:p w:rsidR="00AD2146" w:rsidRPr="00BF51F1" w:rsidP="001F4553" w14:paraId="12B6F1EC" w14:textId="77777777">
            <w:pPr>
              <w:jc w:val="center"/>
              <w:rPr>
                <w:b/>
                <w:bCs/>
                <w:color w:val="000000"/>
              </w:rPr>
            </w:pPr>
            <w:r w:rsidRPr="00BF51F1">
              <w:rPr>
                <w:b/>
                <w:b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BF51F1" w:rsidP="001F4553" w14:paraId="0F6BA4A8" w14:textId="77777777">
            <w:pPr>
              <w:jc w:val="center"/>
              <w:rPr>
                <w:b/>
                <w:bCs/>
                <w:color w:val="000000"/>
              </w:rPr>
            </w:pPr>
            <w:r>
              <w:rPr>
                <w:b/>
                <w:bCs/>
                <w:color w:val="000000"/>
              </w:rPr>
              <w:t>6,950</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2F98842B" w14:textId="77777777">
            <w:pPr>
              <w:jc w:val="right"/>
              <w:rPr>
                <w:b/>
                <w:bCs/>
                <w:color w:val="000000"/>
              </w:rPr>
            </w:pPr>
            <w:r w:rsidRPr="00A35EFE">
              <w:rPr>
                <w:b/>
                <w:bCs/>
                <w:color w:val="000000"/>
              </w:rPr>
              <w:t>$973,000</w:t>
            </w:r>
            <w:r>
              <w:rPr>
                <w:b/>
                <w:bCs/>
                <w:color w:val="000000"/>
              </w:rPr>
              <w:t xml:space="preserve"> </w:t>
            </w:r>
          </w:p>
        </w:tc>
        <w:tc>
          <w:tcPr>
            <w:tcW w:w="1580" w:type="dxa"/>
          </w:tcPr>
          <w:p w:rsidR="00AD2146" w:rsidRPr="00BF51F1" w:rsidP="001F4553" w14:paraId="091335DF" w14:textId="77777777"/>
        </w:tc>
        <w:tc>
          <w:tcPr>
            <w:tcW w:w="1580" w:type="dxa"/>
            <w:tcBorders>
              <w:top w:val="nil"/>
              <w:left w:val="single" w:sz="4" w:space="0" w:color="auto"/>
              <w:bottom w:val="single" w:sz="4" w:space="0" w:color="auto"/>
              <w:right w:val="single" w:sz="4" w:space="0" w:color="auto"/>
            </w:tcBorders>
            <w:shd w:val="clear" w:color="auto" w:fill="auto"/>
            <w:vAlign w:val="center"/>
          </w:tcPr>
          <w:p w:rsidR="00AD2146" w:rsidRPr="00BF51F1" w:rsidP="001F4553" w14:paraId="41067418" w14:textId="77777777">
            <w:r>
              <w:rPr>
                <w:b/>
                <w:bCs/>
                <w:color w:val="000000"/>
              </w:rPr>
              <w:t xml:space="preserve">$973,000 </w:t>
            </w:r>
          </w:p>
        </w:tc>
      </w:tr>
      <w:tr w14:paraId="6D7231AA" w14:textId="77777777" w:rsidTr="001F4553">
        <w:tblPrEx>
          <w:tblW w:w="17239" w:type="dxa"/>
          <w:tblInd w:w="-450" w:type="dxa"/>
          <w:tblLook w:val="04A0"/>
        </w:tblPrEx>
        <w:trPr>
          <w:gridAfter w:val="2"/>
          <w:wAfter w:w="3160" w:type="dxa"/>
          <w:trHeight w:val="315"/>
        </w:trPr>
        <w:tc>
          <w:tcPr>
            <w:tcW w:w="3150" w:type="dxa"/>
            <w:tcBorders>
              <w:top w:val="nil"/>
              <w:left w:val="nil"/>
              <w:bottom w:val="nil"/>
              <w:right w:val="nil"/>
            </w:tcBorders>
            <w:shd w:val="clear" w:color="auto" w:fill="auto"/>
            <w:noWrap/>
            <w:vAlign w:val="bottom"/>
            <w:hideMark/>
          </w:tcPr>
          <w:p w:rsidR="00AD2146" w:rsidRPr="00BF51F1" w:rsidP="001F4553" w14:paraId="3D3B8EF4" w14:textId="77777777">
            <w:pPr>
              <w:jc w:val="right"/>
              <w:rPr>
                <w:b/>
                <w:bCs/>
                <w:color w:val="000000"/>
              </w:rPr>
            </w:pPr>
          </w:p>
        </w:tc>
        <w:tc>
          <w:tcPr>
            <w:tcW w:w="1349" w:type="dxa"/>
            <w:tcBorders>
              <w:top w:val="nil"/>
              <w:left w:val="nil"/>
              <w:bottom w:val="nil"/>
              <w:right w:val="nil"/>
            </w:tcBorders>
            <w:shd w:val="clear" w:color="auto" w:fill="auto"/>
            <w:noWrap/>
            <w:vAlign w:val="bottom"/>
            <w:hideMark/>
          </w:tcPr>
          <w:p w:rsidR="00AD2146" w:rsidRPr="00BF51F1" w:rsidP="001F4553" w14:paraId="30E7E8CE"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BF51F1" w:rsidP="001F4553" w14:paraId="4BDAE939" w14:textId="77777777">
            <w:pPr>
              <w:rPr>
                <w:sz w:val="20"/>
                <w:szCs w:val="20"/>
              </w:rPr>
            </w:pPr>
          </w:p>
        </w:tc>
        <w:tc>
          <w:tcPr>
            <w:tcW w:w="1363" w:type="dxa"/>
            <w:tcBorders>
              <w:top w:val="nil"/>
              <w:left w:val="nil"/>
              <w:bottom w:val="nil"/>
              <w:right w:val="nil"/>
            </w:tcBorders>
            <w:shd w:val="clear" w:color="auto" w:fill="auto"/>
            <w:noWrap/>
            <w:vAlign w:val="bottom"/>
            <w:hideMark/>
          </w:tcPr>
          <w:p w:rsidR="00AD2146" w:rsidRPr="00BF51F1" w:rsidP="001F4553" w14:paraId="28320700" w14:textId="77777777">
            <w:pPr>
              <w:rPr>
                <w:sz w:val="20"/>
                <w:szCs w:val="20"/>
              </w:rPr>
            </w:pPr>
          </w:p>
        </w:tc>
        <w:tc>
          <w:tcPr>
            <w:tcW w:w="1523" w:type="dxa"/>
            <w:tcBorders>
              <w:top w:val="nil"/>
              <w:left w:val="nil"/>
              <w:bottom w:val="nil"/>
              <w:right w:val="nil"/>
            </w:tcBorders>
            <w:shd w:val="clear" w:color="auto" w:fill="auto"/>
            <w:noWrap/>
            <w:vAlign w:val="bottom"/>
            <w:hideMark/>
          </w:tcPr>
          <w:p w:rsidR="00AD2146" w:rsidRPr="00BF51F1" w:rsidP="001F4553" w14:paraId="224355EE"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BF51F1" w:rsidP="001F4553" w14:paraId="0C445784"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BF51F1" w:rsidP="001F4553" w14:paraId="34DE2471"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BF51F1" w:rsidP="001F4553" w14:paraId="4928D373"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BF51F1" w:rsidP="001F4553" w14:paraId="3E44B8CC" w14:textId="77777777">
            <w:pPr>
              <w:rPr>
                <w:sz w:val="20"/>
                <w:szCs w:val="20"/>
              </w:rPr>
            </w:pPr>
          </w:p>
        </w:tc>
      </w:tr>
      <w:tr w14:paraId="3EB9B4F6" w14:textId="77777777" w:rsidTr="001F4553">
        <w:tblPrEx>
          <w:tblW w:w="17239" w:type="dxa"/>
          <w:tblInd w:w="-450" w:type="dxa"/>
          <w:tblLook w:val="04A0"/>
        </w:tblPrEx>
        <w:trPr>
          <w:gridAfter w:val="2"/>
          <w:wAfter w:w="3160" w:type="dxa"/>
          <w:trHeight w:val="315"/>
        </w:trPr>
        <w:tc>
          <w:tcPr>
            <w:tcW w:w="3150" w:type="dxa"/>
            <w:tcBorders>
              <w:top w:val="nil"/>
              <w:left w:val="nil"/>
              <w:bottom w:val="nil"/>
              <w:right w:val="nil"/>
            </w:tcBorders>
            <w:shd w:val="clear" w:color="auto" w:fill="auto"/>
            <w:noWrap/>
            <w:vAlign w:val="center"/>
            <w:hideMark/>
          </w:tcPr>
          <w:p w:rsidR="00AD2146" w:rsidRPr="00BF51F1" w:rsidP="001F4553" w14:paraId="50E83281" w14:textId="77777777">
            <w:pPr>
              <w:rPr>
                <w:b/>
                <w:bCs/>
                <w:color w:val="000000"/>
              </w:rPr>
            </w:pPr>
            <w:r w:rsidRPr="00BF51F1">
              <w:rPr>
                <w:b/>
                <w:bCs/>
                <w:color w:val="000000"/>
              </w:rPr>
              <w:t>Assumptions:</w:t>
            </w:r>
          </w:p>
        </w:tc>
        <w:tc>
          <w:tcPr>
            <w:tcW w:w="1349" w:type="dxa"/>
            <w:tcBorders>
              <w:top w:val="nil"/>
              <w:left w:val="nil"/>
              <w:bottom w:val="nil"/>
              <w:right w:val="nil"/>
            </w:tcBorders>
            <w:shd w:val="clear" w:color="auto" w:fill="auto"/>
            <w:noWrap/>
            <w:vAlign w:val="bottom"/>
            <w:hideMark/>
          </w:tcPr>
          <w:p w:rsidR="00AD2146" w:rsidRPr="00BF51F1" w:rsidP="001F4553" w14:paraId="76E6607E" w14:textId="77777777">
            <w:pPr>
              <w:rPr>
                <w:b/>
                <w:bCs/>
                <w:color w:val="000000"/>
              </w:rPr>
            </w:pPr>
          </w:p>
        </w:tc>
        <w:tc>
          <w:tcPr>
            <w:tcW w:w="1443" w:type="dxa"/>
            <w:tcBorders>
              <w:top w:val="nil"/>
              <w:left w:val="nil"/>
              <w:bottom w:val="nil"/>
              <w:right w:val="nil"/>
            </w:tcBorders>
            <w:shd w:val="clear" w:color="auto" w:fill="auto"/>
            <w:noWrap/>
            <w:vAlign w:val="bottom"/>
            <w:hideMark/>
          </w:tcPr>
          <w:p w:rsidR="00AD2146" w:rsidRPr="00BF51F1" w:rsidP="001F4553" w14:paraId="7F10B59C" w14:textId="77777777">
            <w:pPr>
              <w:rPr>
                <w:sz w:val="20"/>
                <w:szCs w:val="20"/>
              </w:rPr>
            </w:pPr>
          </w:p>
        </w:tc>
        <w:tc>
          <w:tcPr>
            <w:tcW w:w="1363" w:type="dxa"/>
            <w:tcBorders>
              <w:top w:val="nil"/>
              <w:left w:val="nil"/>
              <w:bottom w:val="nil"/>
              <w:right w:val="nil"/>
            </w:tcBorders>
            <w:shd w:val="clear" w:color="auto" w:fill="auto"/>
            <w:noWrap/>
            <w:vAlign w:val="bottom"/>
            <w:hideMark/>
          </w:tcPr>
          <w:p w:rsidR="00AD2146" w:rsidRPr="00BF51F1" w:rsidP="001F4553" w14:paraId="3F141AFB" w14:textId="77777777">
            <w:pPr>
              <w:rPr>
                <w:sz w:val="20"/>
                <w:szCs w:val="20"/>
              </w:rPr>
            </w:pPr>
          </w:p>
        </w:tc>
        <w:tc>
          <w:tcPr>
            <w:tcW w:w="1523" w:type="dxa"/>
            <w:tcBorders>
              <w:top w:val="nil"/>
              <w:left w:val="nil"/>
              <w:bottom w:val="nil"/>
              <w:right w:val="nil"/>
            </w:tcBorders>
            <w:shd w:val="clear" w:color="auto" w:fill="auto"/>
            <w:noWrap/>
            <w:vAlign w:val="bottom"/>
            <w:hideMark/>
          </w:tcPr>
          <w:p w:rsidR="00AD2146" w:rsidRPr="00BF51F1" w:rsidP="001F4553" w14:paraId="015BEC06"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BF51F1" w:rsidP="001F4553" w14:paraId="3E7A57AE"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BF51F1" w:rsidP="001F4553" w14:paraId="76827C36"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BF51F1" w:rsidP="001F4553" w14:paraId="06E40C4C"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BF51F1" w:rsidP="001F4553" w14:paraId="75B869A4" w14:textId="77777777">
            <w:pPr>
              <w:rPr>
                <w:sz w:val="20"/>
                <w:szCs w:val="20"/>
              </w:rPr>
            </w:pPr>
          </w:p>
        </w:tc>
      </w:tr>
      <w:tr w14:paraId="0043317C" w14:textId="77777777" w:rsidTr="001F4553">
        <w:tblPrEx>
          <w:tblW w:w="17239" w:type="dxa"/>
          <w:tblInd w:w="-450" w:type="dxa"/>
          <w:tblLook w:val="04A0"/>
        </w:tblPrEx>
        <w:trPr>
          <w:gridAfter w:val="2"/>
          <w:wAfter w:w="3160" w:type="dxa"/>
          <w:trHeight w:val="927"/>
        </w:trPr>
        <w:tc>
          <w:tcPr>
            <w:tcW w:w="14079" w:type="dxa"/>
            <w:gridSpan w:val="9"/>
            <w:tcBorders>
              <w:top w:val="nil"/>
              <w:left w:val="nil"/>
              <w:bottom w:val="nil"/>
              <w:right w:val="nil"/>
            </w:tcBorders>
            <w:shd w:val="clear" w:color="auto" w:fill="auto"/>
            <w:vAlign w:val="center"/>
            <w:hideMark/>
          </w:tcPr>
          <w:p w:rsidR="00AD2146" w:rsidRPr="00BF51F1" w:rsidP="001F4553" w14:paraId="756008EC" w14:textId="77777777">
            <w:pPr>
              <w:rPr>
                <w:color w:val="000000"/>
              </w:rPr>
            </w:pPr>
            <w:r w:rsidRPr="00BF51F1">
              <w:rPr>
                <w:color w:val="000000"/>
                <w:vertAlign w:val="superscript"/>
              </w:rPr>
              <w:t>a</w:t>
            </w:r>
            <w:r>
              <w:rPr>
                <w:color w:val="000000"/>
              </w:rPr>
              <w:t xml:space="preserve"> </w:t>
            </w:r>
            <w:r w:rsidRPr="00BF51F1">
              <w:rPr>
                <w:color w:val="000000"/>
              </w:rPr>
              <w:t>We have assumed that the average number of existing respondents that will be subject to subpart LLL will be 1</w:t>
            </w:r>
            <w:r>
              <w:rPr>
                <w:color w:val="000000"/>
              </w:rPr>
              <w:t>4</w:t>
            </w:r>
            <w:r w:rsidRPr="00BF51F1">
              <w:rPr>
                <w:color w:val="000000"/>
              </w:rPr>
              <w:t>.</w:t>
            </w:r>
            <w:r>
              <w:rPr>
                <w:color w:val="000000"/>
              </w:rPr>
              <w:t xml:space="preserve"> </w:t>
            </w:r>
            <w:r w:rsidRPr="00BF51F1">
              <w:rPr>
                <w:color w:val="000000"/>
              </w:rPr>
              <w:t xml:space="preserve">This estimated average accounts for modified facilities after August 2, </w:t>
            </w:r>
            <w:r w:rsidRPr="00BF51F1">
              <w:rPr>
                <w:color w:val="000000"/>
              </w:rPr>
              <w:t>2016</w:t>
            </w:r>
            <w:r w:rsidRPr="00BF51F1">
              <w:rPr>
                <w:color w:val="000000"/>
              </w:rPr>
              <w:t xml:space="preserve"> subject to Subpart LLL that will become subject to </w:t>
            </w:r>
            <w:r w:rsidRPr="00D30185">
              <w:rPr>
                <w:color w:val="000000"/>
              </w:rPr>
              <w:t xml:space="preserve">40 CFR Part 60, </w:t>
            </w:r>
            <w:r w:rsidRPr="00BF51F1">
              <w:rPr>
                <w:color w:val="000000"/>
              </w:rPr>
              <w:t xml:space="preserve">Subpart </w:t>
            </w:r>
            <w:r w:rsidRPr="00BF51F1">
              <w:rPr>
                <w:color w:val="000000"/>
              </w:rPr>
              <w:t>OOOOa</w:t>
            </w:r>
            <w:r w:rsidRPr="00BF51F1">
              <w:rPr>
                <w:color w:val="000000"/>
              </w:rPr>
              <w:t xml:space="preserve"> and therefore, would no longer report under these rules. </w:t>
            </w:r>
          </w:p>
        </w:tc>
      </w:tr>
      <w:tr w14:paraId="231C741A" w14:textId="77777777" w:rsidTr="001F4553">
        <w:tblPrEx>
          <w:tblW w:w="17239" w:type="dxa"/>
          <w:tblInd w:w="-450" w:type="dxa"/>
          <w:tblLook w:val="04A0"/>
        </w:tblPrEx>
        <w:trPr>
          <w:gridAfter w:val="2"/>
          <w:wAfter w:w="3160" w:type="dxa"/>
          <w:trHeight w:val="375"/>
        </w:trPr>
        <w:tc>
          <w:tcPr>
            <w:tcW w:w="14079" w:type="dxa"/>
            <w:gridSpan w:val="9"/>
            <w:tcBorders>
              <w:top w:val="nil"/>
              <w:left w:val="nil"/>
              <w:bottom w:val="nil"/>
              <w:right w:val="nil"/>
            </w:tcBorders>
            <w:shd w:val="clear" w:color="auto" w:fill="auto"/>
            <w:noWrap/>
            <w:vAlign w:val="center"/>
            <w:hideMark/>
          </w:tcPr>
          <w:p w:rsidR="00AD2146" w:rsidRPr="00336B1F" w:rsidP="001F4553" w14:paraId="2CCE1D51" w14:textId="77777777">
            <w:r>
              <w:rPr>
                <w:vertAlign w:val="superscript"/>
              </w:rPr>
              <w:t>b</w:t>
            </w:r>
            <w:r>
              <w:t xml:space="preserve"> This ICR uses the following labor rates: $163.17 ($77.70 + 110%) per hour for Executive, Administrative, and Managerial labor; $130.28 ($62.04 + 110%) per hour for </w:t>
            </w:r>
            <w:r>
              <w:t>Technical</w:t>
            </w:r>
            <w:r>
              <w:t xml:space="preserve"> labor, and $65.71 ($31.29 + 110%) per hour for Clerical labor. These rates are from the United States Department of Labor, Bureau of </w:t>
            </w:r>
            <w:r>
              <w:t>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AD2146" w:rsidRPr="00BF51F1" w:rsidP="001F4553" w14:paraId="7A4779E6" w14:textId="77777777">
            <w:pPr>
              <w:rPr>
                <w:color w:val="000000"/>
              </w:rPr>
            </w:pPr>
            <w:r w:rsidRPr="00BF51F1">
              <w:rPr>
                <w:color w:val="000000"/>
                <w:vertAlign w:val="superscript"/>
              </w:rPr>
              <w:t>c</w:t>
            </w:r>
            <w:r>
              <w:rPr>
                <w:color w:val="000000"/>
              </w:rPr>
              <w:t xml:space="preserve"> </w:t>
            </w:r>
            <w:r w:rsidRPr="00BF51F1">
              <w:rPr>
                <w:color w:val="000000"/>
              </w:rPr>
              <w:t>New</w:t>
            </w:r>
            <w:r w:rsidRPr="00BF51F1">
              <w:rPr>
                <w:color w:val="000000"/>
              </w:rPr>
              <w:t xml:space="preserve"> respondents will be subject to </w:t>
            </w:r>
            <w:r w:rsidRPr="00D30185">
              <w:rPr>
                <w:color w:val="000000"/>
              </w:rPr>
              <w:t xml:space="preserve">40 CFR Part 60, </w:t>
            </w:r>
            <w:r w:rsidRPr="00BF51F1">
              <w:rPr>
                <w:color w:val="000000"/>
              </w:rPr>
              <w:t xml:space="preserve">Subpart </w:t>
            </w:r>
            <w:r w:rsidRPr="00BF51F1">
              <w:rPr>
                <w:color w:val="000000"/>
              </w:rPr>
              <w:t>OOOOa</w:t>
            </w:r>
            <w:r w:rsidRPr="00BF51F1">
              <w:rPr>
                <w:color w:val="000000"/>
              </w:rPr>
              <w:t xml:space="preserve">. </w:t>
            </w:r>
          </w:p>
        </w:tc>
      </w:tr>
      <w:tr w14:paraId="0926945A" w14:textId="77777777" w:rsidTr="001F4553">
        <w:tblPrEx>
          <w:tblW w:w="17239" w:type="dxa"/>
          <w:tblInd w:w="-450" w:type="dxa"/>
          <w:tblLook w:val="04A0"/>
        </w:tblPrEx>
        <w:trPr>
          <w:gridAfter w:val="2"/>
          <w:wAfter w:w="3160" w:type="dxa"/>
          <w:trHeight w:val="375"/>
        </w:trPr>
        <w:tc>
          <w:tcPr>
            <w:tcW w:w="14079" w:type="dxa"/>
            <w:gridSpan w:val="9"/>
            <w:tcBorders>
              <w:top w:val="nil"/>
              <w:left w:val="nil"/>
              <w:bottom w:val="nil"/>
              <w:right w:val="nil"/>
            </w:tcBorders>
            <w:shd w:val="clear" w:color="auto" w:fill="auto"/>
            <w:noWrap/>
            <w:vAlign w:val="center"/>
            <w:hideMark/>
          </w:tcPr>
          <w:p w:rsidR="00AD2146" w:rsidRPr="00BF51F1" w:rsidP="001F4553" w14:paraId="159ED38D" w14:textId="77777777">
            <w:pPr>
              <w:rPr>
                <w:color w:val="000000"/>
              </w:rPr>
            </w:pPr>
            <w:r w:rsidRPr="00BF51F1">
              <w:rPr>
                <w:color w:val="000000"/>
                <w:vertAlign w:val="superscript"/>
              </w:rPr>
              <w:t>d</w:t>
            </w:r>
            <w:r>
              <w:rPr>
                <w:color w:val="000000"/>
              </w:rPr>
              <w:t xml:space="preserve"> </w:t>
            </w:r>
            <w:r w:rsidRPr="00BF51F1">
              <w:rPr>
                <w:color w:val="000000"/>
              </w:rPr>
              <w:t>We have assumed that each existing respondent will take 40 hours, two times per year to write semiannual reports.</w:t>
            </w:r>
          </w:p>
        </w:tc>
      </w:tr>
      <w:tr w14:paraId="7069E971" w14:textId="77777777" w:rsidTr="001F4553">
        <w:tblPrEx>
          <w:tblW w:w="17239" w:type="dxa"/>
          <w:tblInd w:w="-450" w:type="dxa"/>
          <w:tblLook w:val="04A0"/>
        </w:tblPrEx>
        <w:trPr>
          <w:gridAfter w:val="2"/>
          <w:wAfter w:w="3160" w:type="dxa"/>
          <w:trHeight w:val="675"/>
        </w:trPr>
        <w:tc>
          <w:tcPr>
            <w:tcW w:w="14079" w:type="dxa"/>
            <w:gridSpan w:val="9"/>
            <w:tcBorders>
              <w:top w:val="nil"/>
              <w:left w:val="nil"/>
              <w:bottom w:val="nil"/>
              <w:right w:val="nil"/>
            </w:tcBorders>
            <w:shd w:val="clear" w:color="auto" w:fill="auto"/>
            <w:vAlign w:val="center"/>
            <w:hideMark/>
          </w:tcPr>
          <w:p w:rsidR="00AD2146" w:rsidRPr="00BF51F1" w:rsidP="001F4553" w14:paraId="28160927" w14:textId="77777777">
            <w:pPr>
              <w:rPr>
                <w:color w:val="000000"/>
              </w:rPr>
            </w:pPr>
            <w:r w:rsidRPr="00BF51F1">
              <w:rPr>
                <w:color w:val="000000"/>
                <w:vertAlign w:val="superscript"/>
              </w:rPr>
              <w:t>e</w:t>
            </w:r>
            <w:r>
              <w:rPr>
                <w:color w:val="000000"/>
              </w:rPr>
              <w:t xml:space="preserve"> </w:t>
            </w:r>
            <w:r w:rsidRPr="00BF51F1">
              <w:rPr>
                <w:color w:val="000000"/>
              </w:rPr>
              <w:t>We have assumed that each existing respondent will take 40 hours to develop record system.</w:t>
            </w:r>
            <w:r>
              <w:rPr>
                <w:color w:val="000000"/>
              </w:rPr>
              <w:t xml:space="preserve"> </w:t>
            </w:r>
            <w:r w:rsidRPr="00BF51F1">
              <w:rPr>
                <w:color w:val="000000"/>
              </w:rPr>
              <w:t xml:space="preserve">New respondents will be subject to </w:t>
            </w:r>
            <w:r w:rsidRPr="00D30185">
              <w:rPr>
                <w:color w:val="000000"/>
              </w:rPr>
              <w:t xml:space="preserve">40 CFR Part 60, </w:t>
            </w:r>
            <w:r w:rsidRPr="00BF51F1">
              <w:rPr>
                <w:color w:val="000000"/>
              </w:rPr>
              <w:t xml:space="preserve">Subpart </w:t>
            </w:r>
            <w:r w:rsidRPr="00BF51F1">
              <w:rPr>
                <w:color w:val="000000"/>
              </w:rPr>
              <w:t>OOOOa</w:t>
            </w:r>
            <w:r w:rsidRPr="00BF51F1">
              <w:rPr>
                <w:color w:val="000000"/>
              </w:rPr>
              <w:t xml:space="preserve"> recordkeeping requirements.</w:t>
            </w:r>
            <w:r>
              <w:rPr>
                <w:color w:val="000000"/>
              </w:rPr>
              <w:t xml:space="preserve"> </w:t>
            </w:r>
            <w:r w:rsidRPr="00BF51F1">
              <w:rPr>
                <w:color w:val="000000"/>
              </w:rPr>
              <w:t>However, Subpart LLL sources that have modified would need to track capacity data during the year it modified.</w:t>
            </w:r>
          </w:p>
        </w:tc>
      </w:tr>
      <w:tr w14:paraId="3119194F" w14:textId="77777777" w:rsidTr="001F4553">
        <w:tblPrEx>
          <w:tblW w:w="17239" w:type="dxa"/>
          <w:tblInd w:w="-450" w:type="dxa"/>
          <w:tblLook w:val="04A0"/>
        </w:tblPrEx>
        <w:trPr>
          <w:gridAfter w:val="2"/>
          <w:wAfter w:w="3160" w:type="dxa"/>
          <w:trHeight w:val="375"/>
        </w:trPr>
        <w:tc>
          <w:tcPr>
            <w:tcW w:w="14079" w:type="dxa"/>
            <w:gridSpan w:val="9"/>
            <w:tcBorders>
              <w:top w:val="nil"/>
              <w:left w:val="nil"/>
              <w:bottom w:val="nil"/>
              <w:right w:val="nil"/>
            </w:tcBorders>
            <w:shd w:val="clear" w:color="auto" w:fill="auto"/>
            <w:noWrap/>
            <w:vAlign w:val="center"/>
            <w:hideMark/>
          </w:tcPr>
          <w:p w:rsidR="00AD2146" w:rsidRPr="00BF51F1" w:rsidP="001F4553" w14:paraId="2A2D90CF" w14:textId="77777777">
            <w:pPr>
              <w:rPr>
                <w:color w:val="000000"/>
              </w:rPr>
            </w:pPr>
            <w:r w:rsidRPr="00BF51F1">
              <w:rPr>
                <w:color w:val="000000"/>
                <w:vertAlign w:val="superscript"/>
              </w:rPr>
              <w:t>f</w:t>
            </w:r>
            <w:r w:rsidRPr="00BF51F1">
              <w:rPr>
                <w:color w:val="000000"/>
              </w:rPr>
              <w:t xml:space="preserve"> Totals are rounded to three significant figures. Figures may not add exactly due to rounding. </w:t>
            </w:r>
          </w:p>
        </w:tc>
      </w:tr>
    </w:tbl>
    <w:p w:rsidR="00AD2146" w:rsidP="00AD2146" w14:paraId="2AECC9D0" w14:textId="77777777">
      <w:r>
        <w:br w:type="page"/>
      </w:r>
    </w:p>
    <w:p w:rsidR="00AD2146" w:rsidP="00AD2146" w14:paraId="5906E96F" w14:textId="77777777">
      <w:pPr>
        <w:rPr>
          <w:b/>
          <w:bCs/>
        </w:rPr>
      </w:pPr>
    </w:p>
    <w:p w:rsidR="00AD2146" w:rsidP="00AD2146" w14:paraId="79361BFD" w14:textId="77777777">
      <w:r w:rsidRPr="00AE785F">
        <w:rPr>
          <w:b/>
          <w:bCs/>
        </w:rPr>
        <w:t>Table 2a: Average Annual EPA Burden and Cost - NSPS for Onshore Natural Gas Production (40 CFR Part 60, Subpart KKK) (Renewal)</w:t>
      </w:r>
    </w:p>
    <w:tbl>
      <w:tblPr>
        <w:tblW w:w="13816" w:type="dxa"/>
        <w:tblInd w:w="-540" w:type="dxa"/>
        <w:tblLook w:val="04A0"/>
      </w:tblPr>
      <w:tblGrid>
        <w:gridCol w:w="3420"/>
        <w:gridCol w:w="1349"/>
        <w:gridCol w:w="1443"/>
        <w:gridCol w:w="1203"/>
        <w:gridCol w:w="960"/>
        <w:gridCol w:w="1216"/>
        <w:gridCol w:w="1563"/>
        <w:gridCol w:w="1029"/>
        <w:gridCol w:w="1633"/>
      </w:tblGrid>
      <w:tr w14:paraId="33C7AB70" w14:textId="77777777" w:rsidTr="001F4553">
        <w:tblPrEx>
          <w:tblW w:w="13816" w:type="dxa"/>
          <w:tblInd w:w="-540" w:type="dxa"/>
          <w:tblLook w:val="04A0"/>
        </w:tblPrEx>
        <w:trPr>
          <w:trHeight w:val="315"/>
        </w:trPr>
        <w:tc>
          <w:tcPr>
            <w:tcW w:w="3420" w:type="dxa"/>
            <w:tcBorders>
              <w:top w:val="nil"/>
              <w:left w:val="nil"/>
              <w:bottom w:val="nil"/>
              <w:right w:val="nil"/>
            </w:tcBorders>
            <w:shd w:val="clear" w:color="auto" w:fill="auto"/>
            <w:noWrap/>
            <w:vAlign w:val="bottom"/>
            <w:hideMark/>
          </w:tcPr>
          <w:p w:rsidR="00AD2146" w:rsidRPr="00E36379" w:rsidP="001F4553" w14:paraId="2BDCC2DB" w14:textId="77777777"/>
        </w:tc>
        <w:tc>
          <w:tcPr>
            <w:tcW w:w="1349" w:type="dxa"/>
            <w:tcBorders>
              <w:top w:val="nil"/>
              <w:left w:val="nil"/>
              <w:bottom w:val="nil"/>
              <w:right w:val="nil"/>
            </w:tcBorders>
            <w:shd w:val="clear" w:color="auto" w:fill="auto"/>
            <w:noWrap/>
            <w:vAlign w:val="bottom"/>
            <w:hideMark/>
          </w:tcPr>
          <w:p w:rsidR="00AD2146" w:rsidRPr="00E36379" w:rsidP="001F4553" w14:paraId="4F2C0E78"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E36379" w:rsidP="001F4553" w14:paraId="6833F34C" w14:textId="77777777">
            <w:pPr>
              <w:rPr>
                <w:sz w:val="20"/>
                <w:szCs w:val="20"/>
              </w:rPr>
            </w:pPr>
          </w:p>
        </w:tc>
        <w:tc>
          <w:tcPr>
            <w:tcW w:w="1203" w:type="dxa"/>
            <w:tcBorders>
              <w:top w:val="nil"/>
              <w:left w:val="nil"/>
              <w:bottom w:val="nil"/>
              <w:right w:val="nil"/>
            </w:tcBorders>
            <w:shd w:val="clear" w:color="auto" w:fill="auto"/>
            <w:noWrap/>
            <w:vAlign w:val="bottom"/>
            <w:hideMark/>
          </w:tcPr>
          <w:p w:rsidR="00AD2146" w:rsidRPr="00E36379" w:rsidP="001F4553" w14:paraId="2C09A56B" w14:textId="77777777">
            <w:pPr>
              <w:rPr>
                <w:sz w:val="20"/>
                <w:szCs w:val="20"/>
              </w:rPr>
            </w:pPr>
          </w:p>
        </w:tc>
        <w:tc>
          <w:tcPr>
            <w:tcW w:w="960" w:type="dxa"/>
            <w:tcBorders>
              <w:top w:val="nil"/>
              <w:left w:val="nil"/>
              <w:bottom w:val="nil"/>
              <w:right w:val="nil"/>
            </w:tcBorders>
            <w:shd w:val="clear" w:color="auto" w:fill="auto"/>
            <w:noWrap/>
            <w:vAlign w:val="bottom"/>
            <w:hideMark/>
          </w:tcPr>
          <w:p w:rsidR="00AD2146" w:rsidRPr="00E36379" w:rsidP="001F4553" w14:paraId="091BC88D"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E36379" w:rsidP="001F4553" w14:paraId="09E97210"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E36379" w:rsidP="001F4553" w14:paraId="5BC98310"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E36379" w:rsidP="001F4553" w14:paraId="5CB5DFF1" w14:textId="77777777">
            <w:pPr>
              <w:rPr>
                <w:sz w:val="20"/>
                <w:szCs w:val="20"/>
              </w:rPr>
            </w:pPr>
          </w:p>
        </w:tc>
        <w:tc>
          <w:tcPr>
            <w:tcW w:w="1633" w:type="dxa"/>
            <w:tcBorders>
              <w:top w:val="nil"/>
              <w:left w:val="nil"/>
              <w:bottom w:val="nil"/>
              <w:right w:val="nil"/>
            </w:tcBorders>
            <w:shd w:val="clear" w:color="auto" w:fill="auto"/>
            <w:noWrap/>
            <w:vAlign w:val="bottom"/>
            <w:hideMark/>
          </w:tcPr>
          <w:p w:rsidR="00AD2146" w:rsidRPr="00E36379" w:rsidP="001F4553" w14:paraId="485D064E" w14:textId="77777777">
            <w:pPr>
              <w:rPr>
                <w:sz w:val="20"/>
                <w:szCs w:val="20"/>
              </w:rPr>
            </w:pPr>
          </w:p>
        </w:tc>
      </w:tr>
      <w:tr w14:paraId="11FCC574" w14:textId="77777777" w:rsidTr="001F4553">
        <w:tblPrEx>
          <w:tblW w:w="13816" w:type="dxa"/>
          <w:tblInd w:w="-540" w:type="dxa"/>
          <w:tblLook w:val="04A0"/>
        </w:tblPrEx>
        <w:trPr>
          <w:trHeight w:val="2205"/>
        </w:trPr>
        <w:tc>
          <w:tcPr>
            <w:tcW w:w="3420" w:type="dxa"/>
            <w:tcBorders>
              <w:top w:val="single" w:sz="4" w:space="0" w:color="auto"/>
              <w:left w:val="single" w:sz="4" w:space="0" w:color="auto"/>
              <w:bottom w:val="nil"/>
              <w:right w:val="single" w:sz="4" w:space="0" w:color="auto"/>
            </w:tcBorders>
            <w:shd w:val="clear" w:color="auto" w:fill="auto"/>
            <w:vAlign w:val="center"/>
            <w:hideMark/>
          </w:tcPr>
          <w:p w:rsidR="00AD2146" w:rsidRPr="00E36379" w:rsidP="001F4553" w14:paraId="0E08BE02" w14:textId="77777777">
            <w:pPr>
              <w:jc w:val="center"/>
              <w:rPr>
                <w:b/>
                <w:bCs/>
                <w:color w:val="000000"/>
              </w:rPr>
            </w:pPr>
            <w:r w:rsidRPr="00E36379">
              <w:rPr>
                <w:b/>
                <w:bCs/>
                <w:color w:val="000000"/>
              </w:rPr>
              <w:t>Activity</w:t>
            </w:r>
          </w:p>
        </w:tc>
        <w:tc>
          <w:tcPr>
            <w:tcW w:w="1349" w:type="dxa"/>
            <w:tcBorders>
              <w:top w:val="single" w:sz="4" w:space="0" w:color="auto"/>
              <w:left w:val="nil"/>
              <w:bottom w:val="nil"/>
              <w:right w:val="single" w:sz="4" w:space="0" w:color="auto"/>
            </w:tcBorders>
            <w:shd w:val="clear" w:color="auto" w:fill="auto"/>
            <w:hideMark/>
          </w:tcPr>
          <w:p w:rsidR="00AD2146" w:rsidRPr="00E36379" w:rsidP="001F4553" w14:paraId="006E0FCC" w14:textId="77777777">
            <w:pPr>
              <w:jc w:val="center"/>
              <w:rPr>
                <w:b/>
                <w:bCs/>
                <w:color w:val="000000"/>
              </w:rPr>
            </w:pPr>
            <w:r w:rsidRPr="00E36379">
              <w:rPr>
                <w:b/>
                <w:bCs/>
                <w:color w:val="000000"/>
              </w:rPr>
              <w:t xml:space="preserve">(A) </w:t>
            </w:r>
            <w:r w:rsidRPr="00E36379">
              <w:rPr>
                <w:b/>
                <w:bCs/>
                <w:color w:val="000000"/>
              </w:rPr>
              <w:br/>
              <w:t>EPA person- hours per occurrence</w:t>
            </w:r>
          </w:p>
        </w:tc>
        <w:tc>
          <w:tcPr>
            <w:tcW w:w="1443" w:type="dxa"/>
            <w:tcBorders>
              <w:top w:val="single" w:sz="4" w:space="0" w:color="auto"/>
              <w:left w:val="nil"/>
              <w:bottom w:val="nil"/>
              <w:right w:val="single" w:sz="4" w:space="0" w:color="auto"/>
            </w:tcBorders>
            <w:shd w:val="clear" w:color="auto" w:fill="auto"/>
            <w:hideMark/>
          </w:tcPr>
          <w:p w:rsidR="00AD2146" w:rsidRPr="00E36379" w:rsidP="001F4553" w14:paraId="1960BA03" w14:textId="77777777">
            <w:pPr>
              <w:jc w:val="center"/>
              <w:rPr>
                <w:b/>
                <w:bCs/>
                <w:color w:val="000000"/>
              </w:rPr>
            </w:pPr>
            <w:r w:rsidRPr="00E36379">
              <w:rPr>
                <w:b/>
                <w:bCs/>
                <w:color w:val="000000"/>
              </w:rPr>
              <w:t xml:space="preserve">(B) </w:t>
            </w:r>
            <w:r w:rsidRPr="00E36379">
              <w:rPr>
                <w:b/>
                <w:bCs/>
                <w:color w:val="000000"/>
              </w:rPr>
              <w:br/>
              <w:t>No. of occurrences per plant per year</w:t>
            </w:r>
          </w:p>
        </w:tc>
        <w:tc>
          <w:tcPr>
            <w:tcW w:w="1203" w:type="dxa"/>
            <w:tcBorders>
              <w:top w:val="single" w:sz="4" w:space="0" w:color="auto"/>
              <w:left w:val="nil"/>
              <w:bottom w:val="nil"/>
              <w:right w:val="single" w:sz="4" w:space="0" w:color="auto"/>
            </w:tcBorders>
            <w:shd w:val="clear" w:color="auto" w:fill="auto"/>
            <w:hideMark/>
          </w:tcPr>
          <w:p w:rsidR="00AD2146" w:rsidRPr="00E36379" w:rsidP="001F4553" w14:paraId="2ECCC1B6" w14:textId="77777777">
            <w:pPr>
              <w:jc w:val="center"/>
              <w:rPr>
                <w:b/>
                <w:bCs/>
                <w:color w:val="000000"/>
              </w:rPr>
            </w:pPr>
            <w:r w:rsidRPr="00E36379">
              <w:rPr>
                <w:b/>
                <w:bCs/>
                <w:color w:val="000000"/>
              </w:rPr>
              <w:t xml:space="preserve">(C) </w:t>
            </w:r>
            <w:r w:rsidRPr="00E36379">
              <w:rPr>
                <w:b/>
                <w:bCs/>
                <w:color w:val="000000"/>
              </w:rPr>
              <w:br/>
              <w:t xml:space="preserve">EPA person- hours per plant per year </w:t>
            </w:r>
            <w:r w:rsidRPr="00E36379">
              <w:rPr>
                <w:b/>
                <w:bCs/>
                <w:color w:val="000000"/>
              </w:rPr>
              <w:br/>
              <w:t>(</w:t>
            </w:r>
            <w:r w:rsidRPr="00E36379">
              <w:rPr>
                <w:b/>
                <w:bCs/>
                <w:color w:val="000000"/>
              </w:rPr>
              <w:t>AxB</w:t>
            </w:r>
            <w:r w:rsidRPr="00E36379">
              <w:rPr>
                <w:b/>
                <w:bCs/>
                <w:color w:val="000000"/>
              </w:rPr>
              <w:t>)</w:t>
            </w:r>
          </w:p>
        </w:tc>
        <w:tc>
          <w:tcPr>
            <w:tcW w:w="960" w:type="dxa"/>
            <w:tcBorders>
              <w:top w:val="single" w:sz="4" w:space="0" w:color="auto"/>
              <w:left w:val="nil"/>
              <w:bottom w:val="nil"/>
              <w:right w:val="single" w:sz="4" w:space="0" w:color="auto"/>
            </w:tcBorders>
            <w:shd w:val="clear" w:color="auto" w:fill="auto"/>
            <w:hideMark/>
          </w:tcPr>
          <w:p w:rsidR="00AD2146" w:rsidRPr="00E36379" w:rsidP="001F4553" w14:paraId="00302013" w14:textId="77777777">
            <w:pPr>
              <w:jc w:val="center"/>
              <w:rPr>
                <w:b/>
                <w:bCs/>
                <w:color w:val="000000"/>
              </w:rPr>
            </w:pPr>
            <w:r w:rsidRPr="00E36379">
              <w:rPr>
                <w:b/>
                <w:bCs/>
                <w:color w:val="000000"/>
              </w:rPr>
              <w:t xml:space="preserve">(D) </w:t>
            </w:r>
            <w:r w:rsidRPr="00E36379">
              <w:rPr>
                <w:b/>
                <w:bCs/>
                <w:color w:val="000000"/>
              </w:rPr>
              <w:br/>
              <w:t xml:space="preserve">Plants per year </w:t>
            </w:r>
            <w:r w:rsidRPr="00E36379">
              <w:rPr>
                <w:b/>
                <w:bCs/>
                <w:color w:val="000000"/>
                <w:vertAlign w:val="superscript"/>
              </w:rPr>
              <w:t>a</w:t>
            </w:r>
          </w:p>
        </w:tc>
        <w:tc>
          <w:tcPr>
            <w:tcW w:w="1216" w:type="dxa"/>
            <w:tcBorders>
              <w:top w:val="single" w:sz="4" w:space="0" w:color="auto"/>
              <w:left w:val="nil"/>
              <w:bottom w:val="nil"/>
              <w:right w:val="single" w:sz="4" w:space="0" w:color="auto"/>
            </w:tcBorders>
            <w:shd w:val="clear" w:color="auto" w:fill="auto"/>
            <w:hideMark/>
          </w:tcPr>
          <w:p w:rsidR="00AD2146" w:rsidRPr="00E36379" w:rsidP="001F4553" w14:paraId="514B3688" w14:textId="77777777">
            <w:pPr>
              <w:jc w:val="center"/>
              <w:rPr>
                <w:b/>
                <w:bCs/>
                <w:color w:val="000000"/>
              </w:rPr>
            </w:pPr>
            <w:r w:rsidRPr="00E36379">
              <w:rPr>
                <w:b/>
                <w:bCs/>
                <w:color w:val="000000"/>
              </w:rPr>
              <w:t xml:space="preserve">(E) </w:t>
            </w:r>
            <w:r w:rsidRPr="00E36379">
              <w:rPr>
                <w:b/>
                <w:bCs/>
                <w:color w:val="000000"/>
              </w:rPr>
              <w:br/>
              <w:t xml:space="preserve">Technical person- hours per year </w:t>
            </w:r>
            <w:r w:rsidRPr="00E36379">
              <w:rPr>
                <w:b/>
                <w:bCs/>
                <w:color w:val="000000"/>
              </w:rPr>
              <w:br/>
              <w:t>(</w:t>
            </w:r>
            <w:r w:rsidRPr="00E36379">
              <w:rPr>
                <w:b/>
                <w:bCs/>
                <w:color w:val="000000"/>
              </w:rPr>
              <w:t>CxD</w:t>
            </w:r>
            <w:r w:rsidRPr="00E36379">
              <w:rPr>
                <w:b/>
                <w:bCs/>
                <w:color w:val="000000"/>
              </w:rPr>
              <w:t>)</w:t>
            </w:r>
          </w:p>
        </w:tc>
        <w:tc>
          <w:tcPr>
            <w:tcW w:w="1563" w:type="dxa"/>
            <w:tcBorders>
              <w:top w:val="single" w:sz="4" w:space="0" w:color="auto"/>
              <w:left w:val="nil"/>
              <w:bottom w:val="nil"/>
              <w:right w:val="single" w:sz="4" w:space="0" w:color="auto"/>
            </w:tcBorders>
            <w:shd w:val="clear" w:color="auto" w:fill="auto"/>
            <w:hideMark/>
          </w:tcPr>
          <w:p w:rsidR="00AD2146" w:rsidRPr="00E36379" w:rsidP="001F4553" w14:paraId="4D77D563" w14:textId="77777777">
            <w:pPr>
              <w:jc w:val="center"/>
              <w:rPr>
                <w:b/>
                <w:bCs/>
                <w:color w:val="000000"/>
              </w:rPr>
            </w:pPr>
            <w:r w:rsidRPr="00E36379">
              <w:rPr>
                <w:b/>
                <w:bCs/>
                <w:color w:val="000000"/>
              </w:rPr>
              <w:t xml:space="preserve">(F) </w:t>
            </w:r>
            <w:r w:rsidRPr="00E36379">
              <w:rPr>
                <w:b/>
                <w:bCs/>
                <w:color w:val="000000"/>
              </w:rPr>
              <w:br/>
              <w:t xml:space="preserve">Management person-hours per year </w:t>
            </w:r>
            <w:r w:rsidRPr="00E36379">
              <w:rPr>
                <w:b/>
                <w:bCs/>
                <w:color w:val="000000"/>
              </w:rPr>
              <w:br/>
              <w:t>(Ex0.05)</w:t>
            </w:r>
          </w:p>
        </w:tc>
        <w:tc>
          <w:tcPr>
            <w:tcW w:w="1029" w:type="dxa"/>
            <w:tcBorders>
              <w:top w:val="single" w:sz="4" w:space="0" w:color="auto"/>
              <w:left w:val="nil"/>
              <w:bottom w:val="nil"/>
              <w:right w:val="single" w:sz="4" w:space="0" w:color="auto"/>
            </w:tcBorders>
            <w:shd w:val="clear" w:color="auto" w:fill="auto"/>
            <w:hideMark/>
          </w:tcPr>
          <w:p w:rsidR="00AD2146" w:rsidRPr="00E36379" w:rsidP="001F4553" w14:paraId="09421C92" w14:textId="77777777">
            <w:pPr>
              <w:jc w:val="center"/>
              <w:rPr>
                <w:b/>
                <w:bCs/>
                <w:color w:val="000000"/>
              </w:rPr>
            </w:pPr>
            <w:r w:rsidRPr="00E36379">
              <w:rPr>
                <w:b/>
                <w:bCs/>
                <w:color w:val="000000"/>
              </w:rPr>
              <w:t xml:space="preserve">(G) </w:t>
            </w:r>
            <w:r w:rsidRPr="00E36379">
              <w:rPr>
                <w:b/>
                <w:bCs/>
                <w:color w:val="000000"/>
              </w:rPr>
              <w:br/>
              <w:t xml:space="preserve">Clerical person-hours per year </w:t>
            </w:r>
            <w:r w:rsidRPr="00E36379">
              <w:rPr>
                <w:b/>
                <w:bCs/>
                <w:color w:val="000000"/>
              </w:rPr>
              <w:br/>
              <w:t>(Ex0.1)</w:t>
            </w:r>
          </w:p>
        </w:tc>
        <w:tc>
          <w:tcPr>
            <w:tcW w:w="1633" w:type="dxa"/>
            <w:tcBorders>
              <w:top w:val="single" w:sz="4" w:space="0" w:color="auto"/>
              <w:left w:val="nil"/>
              <w:bottom w:val="nil"/>
              <w:right w:val="single" w:sz="4" w:space="0" w:color="auto"/>
            </w:tcBorders>
            <w:shd w:val="clear" w:color="auto" w:fill="auto"/>
            <w:hideMark/>
          </w:tcPr>
          <w:p w:rsidR="00AD2146" w:rsidRPr="00E36379" w:rsidP="001F4553" w14:paraId="484ECC34" w14:textId="77777777">
            <w:pPr>
              <w:jc w:val="center"/>
              <w:rPr>
                <w:b/>
                <w:bCs/>
                <w:color w:val="000000"/>
              </w:rPr>
            </w:pPr>
            <w:r w:rsidRPr="00E36379">
              <w:rPr>
                <w:b/>
                <w:bCs/>
                <w:color w:val="000000"/>
              </w:rPr>
              <w:t xml:space="preserve">(H) </w:t>
            </w:r>
            <w:r w:rsidRPr="00E36379">
              <w:rPr>
                <w:b/>
                <w:bCs/>
                <w:color w:val="000000"/>
              </w:rPr>
              <w:br/>
              <w:t xml:space="preserve">Cost </w:t>
            </w:r>
            <w:r w:rsidRPr="00E36379">
              <w:rPr>
                <w:b/>
                <w:bCs/>
                <w:color w:val="000000"/>
                <w:vertAlign w:val="superscript"/>
              </w:rPr>
              <w:t>b</w:t>
            </w:r>
            <w:r w:rsidRPr="00E36379">
              <w:rPr>
                <w:b/>
                <w:bCs/>
                <w:color w:val="000000"/>
              </w:rPr>
              <w:t xml:space="preserve"> </w:t>
            </w:r>
          </w:p>
        </w:tc>
      </w:tr>
      <w:tr w14:paraId="69EABFEC" w14:textId="77777777" w:rsidTr="001F4553">
        <w:tblPrEx>
          <w:tblW w:w="13816" w:type="dxa"/>
          <w:tblInd w:w="-540" w:type="dxa"/>
          <w:tblLook w:val="04A0"/>
        </w:tblPrEx>
        <w:trPr>
          <w:trHeight w:val="375"/>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E36379" w:rsidP="001F4553" w14:paraId="292FAF76" w14:textId="77777777">
            <w:pPr>
              <w:rPr>
                <w:color w:val="000000"/>
              </w:rPr>
            </w:pPr>
            <w:r w:rsidRPr="00E36379">
              <w:rPr>
                <w:color w:val="000000"/>
              </w:rPr>
              <w:t xml:space="preserve">Notification of construction/reconstruction </w:t>
            </w:r>
            <w:r w:rsidRPr="00E36379">
              <w:rPr>
                <w:color w:val="000000"/>
                <w:vertAlign w:val="superscript"/>
              </w:rPr>
              <w:t>c</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E36379" w:rsidP="001F4553" w14:paraId="256AFDD0" w14:textId="77777777">
            <w:pPr>
              <w:jc w:val="center"/>
              <w:rPr>
                <w:color w:val="000000"/>
              </w:rPr>
            </w:pPr>
            <w:r>
              <w:rPr>
                <w:color w:val="000000"/>
              </w:rPr>
              <w:t>2</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1497D408" w14:textId="77777777">
            <w:pPr>
              <w:jc w:val="center"/>
              <w:rPr>
                <w:color w:val="000000"/>
              </w:rPr>
            </w:pPr>
            <w:r>
              <w:rPr>
                <w:color w:val="000000"/>
              </w:rPr>
              <w:t>1</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1FADE49D" w14:textId="77777777">
            <w:pPr>
              <w:jc w:val="center"/>
              <w:rPr>
                <w:color w:val="000000"/>
              </w:rPr>
            </w:pPr>
            <w:r>
              <w:rPr>
                <w:color w:val="00000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6D282D3B" w14:textId="77777777">
            <w:pPr>
              <w:jc w:val="center"/>
              <w:rPr>
                <w:color w:val="000000"/>
              </w:rPr>
            </w:pPr>
            <w:r>
              <w:rPr>
                <w:color w:val="000000"/>
              </w:rPr>
              <w:t>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395C143D" w14:textId="77777777">
            <w:pPr>
              <w:jc w:val="center"/>
              <w:rPr>
                <w:color w:val="000000"/>
              </w:rPr>
            </w:pPr>
            <w:r>
              <w:rPr>
                <w:color w:val="000000"/>
              </w:rPr>
              <w:t>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1C813FE7" w14:textId="77777777">
            <w:pPr>
              <w:jc w:val="center"/>
              <w:rPr>
                <w:color w:val="000000"/>
              </w:rPr>
            </w:pPr>
            <w:r>
              <w:rPr>
                <w:color w:val="000000"/>
              </w:rPr>
              <w:t>0</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257D4F4B" w14:textId="77777777">
            <w:pPr>
              <w:jc w:val="center"/>
              <w:rPr>
                <w:color w:val="000000"/>
              </w:rPr>
            </w:pPr>
            <w:r>
              <w:rPr>
                <w:color w:val="000000"/>
              </w:rPr>
              <w:t>0</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5357C9EF" w14:textId="77777777">
            <w:pPr>
              <w:jc w:val="right"/>
              <w:rPr>
                <w:color w:val="000000"/>
              </w:rPr>
            </w:pPr>
            <w:r>
              <w:rPr>
                <w:color w:val="000000"/>
              </w:rPr>
              <w:t xml:space="preserve">$0 </w:t>
            </w:r>
          </w:p>
        </w:tc>
      </w:tr>
      <w:tr w14:paraId="363981D1"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6DD1A25D" w14:textId="77777777">
            <w:pPr>
              <w:rPr>
                <w:color w:val="000000"/>
              </w:rPr>
            </w:pPr>
            <w:r w:rsidRPr="00E36379">
              <w:rPr>
                <w:color w:val="000000"/>
              </w:rPr>
              <w:t xml:space="preserve">Review notification of modification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1E4EBDA0"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4DCD7612" w14:textId="77777777">
            <w:pPr>
              <w:jc w:val="center"/>
              <w:rPr>
                <w:color w:val="000000"/>
              </w:rPr>
            </w:pPr>
            <w:r>
              <w:rPr>
                <w:color w:val="000000"/>
              </w:rPr>
              <w:t>1</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5E376D4C" w14:textId="77777777">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0F68F7DF"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48F9D1C5"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32F14F67"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6E7FFE47" w14:textId="77777777">
            <w:pPr>
              <w:jc w:val="center"/>
              <w:rPr>
                <w:color w:val="000000"/>
              </w:rPr>
            </w:pPr>
            <w:r>
              <w:rPr>
                <w:color w:val="000000"/>
              </w:rPr>
              <w:t>0</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3F4ADE28" w14:textId="77777777">
            <w:pPr>
              <w:jc w:val="right"/>
              <w:rPr>
                <w:color w:val="000000"/>
              </w:rPr>
            </w:pPr>
            <w:r>
              <w:rPr>
                <w:color w:val="000000"/>
              </w:rPr>
              <w:t xml:space="preserve">$0 </w:t>
            </w:r>
          </w:p>
        </w:tc>
      </w:tr>
      <w:tr w14:paraId="29D12AF5"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7360E3C" w14:textId="77777777">
            <w:pPr>
              <w:rPr>
                <w:color w:val="000000"/>
              </w:rPr>
            </w:pPr>
            <w:r w:rsidRPr="00E36379">
              <w:rPr>
                <w:color w:val="000000"/>
              </w:rPr>
              <w:t xml:space="preserve">Review notification of anticipated startup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FCCEF6F"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040A54C9" w14:textId="77777777">
            <w:pPr>
              <w:jc w:val="center"/>
              <w:rPr>
                <w:color w:val="000000"/>
              </w:rPr>
            </w:pPr>
            <w:r>
              <w:rPr>
                <w:color w:val="000000"/>
              </w:rPr>
              <w:t>1</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1B63663C" w14:textId="77777777">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4F55BCA6"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273316A1"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6DF7EEA9"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5B8BB0DF" w14:textId="77777777">
            <w:pPr>
              <w:jc w:val="center"/>
              <w:rPr>
                <w:color w:val="000000"/>
              </w:rPr>
            </w:pPr>
            <w:r>
              <w:rPr>
                <w:color w:val="000000"/>
              </w:rPr>
              <w:t>0</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190D2F02" w14:textId="77777777">
            <w:pPr>
              <w:jc w:val="right"/>
              <w:rPr>
                <w:color w:val="000000"/>
              </w:rPr>
            </w:pPr>
            <w:r>
              <w:rPr>
                <w:color w:val="000000"/>
              </w:rPr>
              <w:t xml:space="preserve">$0 </w:t>
            </w:r>
          </w:p>
        </w:tc>
      </w:tr>
      <w:tr w14:paraId="11287E45"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869BA91" w14:textId="77777777">
            <w:pPr>
              <w:rPr>
                <w:color w:val="000000"/>
              </w:rPr>
            </w:pPr>
            <w:r w:rsidRPr="00E36379">
              <w:rPr>
                <w:color w:val="000000"/>
              </w:rPr>
              <w:t xml:space="preserve">Review notification of actual startup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6B27240A"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579E8BE4" w14:textId="77777777">
            <w:pPr>
              <w:jc w:val="center"/>
              <w:rPr>
                <w:color w:val="000000"/>
              </w:rPr>
            </w:pPr>
            <w:r>
              <w:rPr>
                <w:color w:val="000000"/>
              </w:rPr>
              <w:t>1</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78699832" w14:textId="77777777">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0600A55D"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61D4832D"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30B93D80"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4D791D68" w14:textId="77777777">
            <w:pPr>
              <w:jc w:val="center"/>
              <w:rPr>
                <w:color w:val="000000"/>
              </w:rPr>
            </w:pPr>
            <w:r>
              <w:rPr>
                <w:color w:val="000000"/>
              </w:rPr>
              <w:t>0</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3A6A0AAE" w14:textId="77777777">
            <w:pPr>
              <w:jc w:val="right"/>
              <w:rPr>
                <w:color w:val="000000"/>
              </w:rPr>
            </w:pPr>
            <w:r>
              <w:rPr>
                <w:color w:val="000000"/>
              </w:rPr>
              <w:t xml:space="preserve">$0 </w:t>
            </w:r>
          </w:p>
        </w:tc>
      </w:tr>
      <w:tr w14:paraId="1C3FAFC7"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980D45D" w14:textId="77777777">
            <w:pPr>
              <w:rPr>
                <w:color w:val="000000"/>
              </w:rPr>
            </w:pPr>
            <w:r w:rsidRPr="00E36379">
              <w:rPr>
                <w:color w:val="000000"/>
              </w:rPr>
              <w:t xml:space="preserve">Notification of demonstration of CEMS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3E5FCF93"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7CAB016E" w14:textId="77777777">
            <w:pPr>
              <w:jc w:val="center"/>
              <w:rPr>
                <w:color w:val="000000"/>
              </w:rPr>
            </w:pPr>
            <w:r>
              <w:rPr>
                <w:color w:val="000000"/>
              </w:rPr>
              <w:t>1</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4762E0A8" w14:textId="77777777">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37516513"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489F4DCA"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22780797"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71C7F116" w14:textId="77777777">
            <w:pPr>
              <w:jc w:val="center"/>
              <w:rPr>
                <w:color w:val="000000"/>
              </w:rPr>
            </w:pPr>
            <w:r>
              <w:rPr>
                <w:color w:val="000000"/>
              </w:rPr>
              <w:t>0</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1E78D2E7" w14:textId="77777777">
            <w:pPr>
              <w:jc w:val="right"/>
              <w:rPr>
                <w:color w:val="000000"/>
              </w:rPr>
            </w:pPr>
            <w:r>
              <w:rPr>
                <w:color w:val="000000"/>
              </w:rPr>
              <w:t xml:space="preserve">$0 </w:t>
            </w:r>
          </w:p>
        </w:tc>
      </w:tr>
      <w:tr w14:paraId="70C457CD"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2472030" w14:textId="77777777">
            <w:pPr>
              <w:rPr>
                <w:color w:val="000000"/>
              </w:rPr>
            </w:pPr>
            <w:r w:rsidRPr="00E36379">
              <w:rPr>
                <w:color w:val="000000"/>
              </w:rPr>
              <w:t xml:space="preserve">Review initial CEMS demonstration report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0DAAA270"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662663B9" w14:textId="77777777">
            <w:pPr>
              <w:jc w:val="center"/>
              <w:rPr>
                <w:color w:val="000000"/>
              </w:rPr>
            </w:pPr>
            <w:r>
              <w:rPr>
                <w:color w:val="000000"/>
              </w:rPr>
              <w:t>1</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69CCA385" w14:textId="77777777">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6AAA140F"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19D06F20"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6C43D2C6"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0F9DFF5" w14:textId="77777777">
            <w:pPr>
              <w:jc w:val="center"/>
              <w:rPr>
                <w:color w:val="000000"/>
              </w:rPr>
            </w:pPr>
            <w:r>
              <w:rPr>
                <w:color w:val="000000"/>
              </w:rPr>
              <w:t>0</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0D116E62" w14:textId="77777777">
            <w:pPr>
              <w:jc w:val="right"/>
              <w:rPr>
                <w:color w:val="000000"/>
              </w:rPr>
            </w:pPr>
            <w:r>
              <w:rPr>
                <w:color w:val="000000"/>
              </w:rPr>
              <w:t xml:space="preserve">$0 </w:t>
            </w:r>
          </w:p>
        </w:tc>
      </w:tr>
      <w:tr w14:paraId="78075A9B"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376953A3" w14:textId="77777777">
            <w:pPr>
              <w:rPr>
                <w:color w:val="000000"/>
              </w:rPr>
            </w:pPr>
            <w:r w:rsidRPr="00E36379">
              <w:rPr>
                <w:color w:val="000000"/>
              </w:rPr>
              <w:t xml:space="preserve">Review notification of performance test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5EBA75B2"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32421391" w14:textId="77777777">
            <w:pPr>
              <w:jc w:val="center"/>
              <w:rPr>
                <w:color w:val="000000"/>
              </w:rPr>
            </w:pPr>
            <w:r>
              <w:rPr>
                <w:color w:val="000000"/>
              </w:rPr>
              <w:t>1</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2BF57CB7" w14:textId="77777777">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03BE468F"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35A599C4"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2D08C86D"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44FDB75E" w14:textId="77777777">
            <w:pPr>
              <w:jc w:val="center"/>
              <w:rPr>
                <w:color w:val="000000"/>
              </w:rPr>
            </w:pPr>
            <w:r>
              <w:rPr>
                <w:color w:val="000000"/>
              </w:rPr>
              <w:t>0</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54706CB6" w14:textId="77777777">
            <w:pPr>
              <w:jc w:val="right"/>
              <w:rPr>
                <w:color w:val="000000"/>
              </w:rPr>
            </w:pPr>
            <w:r>
              <w:rPr>
                <w:color w:val="000000"/>
              </w:rPr>
              <w:t xml:space="preserve">$0 </w:t>
            </w:r>
          </w:p>
        </w:tc>
      </w:tr>
      <w:tr w14:paraId="15A48E8F"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4D2BDA01" w14:textId="77777777">
            <w:pPr>
              <w:rPr>
                <w:color w:val="000000"/>
              </w:rPr>
            </w:pPr>
            <w:r w:rsidRPr="00E36379">
              <w:rPr>
                <w:color w:val="000000"/>
              </w:rPr>
              <w:t xml:space="preserve">Review results of performance test </w:t>
            </w:r>
            <w:r w:rsidRPr="00E36379">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26572F35"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79BACBBB" w14:textId="77777777">
            <w:pPr>
              <w:jc w:val="center"/>
              <w:rPr>
                <w:color w:val="000000"/>
              </w:rPr>
            </w:pPr>
            <w:r>
              <w:rPr>
                <w:color w:val="000000"/>
              </w:rPr>
              <w:t>1</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0E26D014" w14:textId="77777777">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02094E96"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3A187043"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69794C8" w14:textId="77777777">
            <w:pPr>
              <w:jc w:val="center"/>
              <w:rPr>
                <w:color w:val="000000"/>
              </w:rPr>
            </w:pPr>
            <w:r>
              <w:rPr>
                <w:color w:val="000000"/>
              </w:rPr>
              <w:t>0</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1033905B" w14:textId="77777777">
            <w:pPr>
              <w:jc w:val="center"/>
              <w:rPr>
                <w:color w:val="000000"/>
              </w:rPr>
            </w:pPr>
            <w:r>
              <w:rPr>
                <w:color w:val="000000"/>
              </w:rPr>
              <w:t>0</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2535A26A" w14:textId="77777777">
            <w:pPr>
              <w:jc w:val="right"/>
              <w:rPr>
                <w:color w:val="000000"/>
              </w:rPr>
            </w:pPr>
            <w:r>
              <w:rPr>
                <w:color w:val="000000"/>
              </w:rPr>
              <w:t xml:space="preserve">$0 </w:t>
            </w:r>
          </w:p>
        </w:tc>
      </w:tr>
      <w:tr w14:paraId="6ED747B3"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64FDB374" w14:textId="77777777">
            <w:pPr>
              <w:rPr>
                <w:color w:val="000000"/>
              </w:rPr>
            </w:pPr>
            <w:r w:rsidRPr="00E36379">
              <w:rPr>
                <w:color w:val="000000"/>
              </w:rPr>
              <w:t xml:space="preserve">Review semiannual reports </w:t>
            </w:r>
            <w:r w:rsidRPr="00E36379">
              <w:rPr>
                <w:color w:val="000000"/>
                <w:vertAlign w:val="superscript"/>
              </w:rPr>
              <w:t>d</w:t>
            </w:r>
            <w:r w:rsidRPr="00E36379">
              <w:rPr>
                <w:color w:val="000000"/>
              </w:rPr>
              <w:t xml:space="preserve"> </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E36379" w:rsidP="001F4553" w14:paraId="73DA491F" w14:textId="77777777">
            <w:pPr>
              <w:jc w:val="center"/>
              <w:rPr>
                <w:color w:val="000000"/>
              </w:rPr>
            </w:pPr>
            <w:r>
              <w:rPr>
                <w:color w:val="000000"/>
              </w:rPr>
              <w:t>8</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18341E41" w14:textId="77777777">
            <w:pPr>
              <w:jc w:val="center"/>
              <w:rPr>
                <w:color w:val="000000"/>
              </w:rPr>
            </w:pPr>
            <w:r>
              <w:rPr>
                <w:color w:val="000000"/>
              </w:rPr>
              <w:t>2</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22795DFC" w14:textId="77777777">
            <w:pPr>
              <w:jc w:val="center"/>
              <w:rPr>
                <w:color w:val="000000"/>
              </w:rPr>
            </w:pPr>
            <w:r>
              <w:rPr>
                <w:color w:val="000000"/>
              </w:rPr>
              <w:t>16</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25175322" w14:textId="77777777">
            <w:pPr>
              <w:jc w:val="center"/>
              <w:rPr>
                <w:color w:val="000000"/>
              </w:rPr>
            </w:pPr>
            <w:r>
              <w:rPr>
                <w:color w:val="000000"/>
              </w:rPr>
              <w:t>291</w:t>
            </w:r>
          </w:p>
        </w:tc>
        <w:tc>
          <w:tcPr>
            <w:tcW w:w="1216" w:type="dxa"/>
            <w:tcBorders>
              <w:top w:val="nil"/>
              <w:left w:val="nil"/>
              <w:bottom w:val="single" w:sz="4" w:space="0" w:color="auto"/>
              <w:right w:val="single" w:sz="4" w:space="0" w:color="auto"/>
            </w:tcBorders>
            <w:shd w:val="clear" w:color="auto" w:fill="auto"/>
            <w:vAlign w:val="center"/>
            <w:hideMark/>
          </w:tcPr>
          <w:p w:rsidR="00AD2146" w:rsidRPr="00E36379" w:rsidP="001F4553" w14:paraId="0ADCF6E1" w14:textId="77777777">
            <w:pPr>
              <w:jc w:val="center"/>
              <w:rPr>
                <w:color w:val="000000"/>
              </w:rPr>
            </w:pPr>
            <w:r>
              <w:rPr>
                <w:color w:val="000000"/>
              </w:rPr>
              <w:t>4,656</w:t>
            </w:r>
          </w:p>
        </w:tc>
        <w:tc>
          <w:tcPr>
            <w:tcW w:w="1563" w:type="dxa"/>
            <w:tcBorders>
              <w:top w:val="nil"/>
              <w:left w:val="nil"/>
              <w:bottom w:val="single" w:sz="4" w:space="0" w:color="auto"/>
              <w:right w:val="single" w:sz="4" w:space="0" w:color="auto"/>
            </w:tcBorders>
            <w:shd w:val="clear" w:color="auto" w:fill="auto"/>
            <w:vAlign w:val="center"/>
            <w:hideMark/>
          </w:tcPr>
          <w:p w:rsidR="00AD2146" w:rsidRPr="00E36379" w:rsidP="001F4553" w14:paraId="59F7B9B4" w14:textId="77777777">
            <w:pPr>
              <w:jc w:val="center"/>
              <w:rPr>
                <w:color w:val="000000"/>
              </w:rPr>
            </w:pPr>
            <w:r>
              <w:rPr>
                <w:color w:val="000000"/>
              </w:rPr>
              <w:t>232.8</w:t>
            </w:r>
          </w:p>
        </w:tc>
        <w:tc>
          <w:tcPr>
            <w:tcW w:w="1029" w:type="dxa"/>
            <w:tcBorders>
              <w:top w:val="nil"/>
              <w:left w:val="nil"/>
              <w:bottom w:val="single" w:sz="4" w:space="0" w:color="auto"/>
              <w:right w:val="single" w:sz="4" w:space="0" w:color="auto"/>
            </w:tcBorders>
            <w:shd w:val="clear" w:color="auto" w:fill="auto"/>
            <w:vAlign w:val="center"/>
            <w:hideMark/>
          </w:tcPr>
          <w:p w:rsidR="00AD2146" w:rsidRPr="00E36379" w:rsidP="001F4553" w14:paraId="0F9C0F6D" w14:textId="77777777">
            <w:pPr>
              <w:jc w:val="center"/>
              <w:rPr>
                <w:color w:val="000000"/>
              </w:rPr>
            </w:pPr>
            <w:r>
              <w:rPr>
                <w:color w:val="000000"/>
              </w:rPr>
              <w:t>465.6</w:t>
            </w:r>
          </w:p>
        </w:tc>
        <w:tc>
          <w:tcPr>
            <w:tcW w:w="1633" w:type="dxa"/>
            <w:tcBorders>
              <w:top w:val="nil"/>
              <w:left w:val="nil"/>
              <w:bottom w:val="single" w:sz="4" w:space="0" w:color="auto"/>
              <w:right w:val="single" w:sz="4" w:space="0" w:color="auto"/>
            </w:tcBorders>
            <w:shd w:val="clear" w:color="auto" w:fill="auto"/>
            <w:vAlign w:val="center"/>
            <w:hideMark/>
          </w:tcPr>
          <w:p w:rsidR="00AD2146" w:rsidRPr="00E36379" w:rsidP="001F4553" w14:paraId="710884B0" w14:textId="77777777">
            <w:pPr>
              <w:jc w:val="right"/>
              <w:rPr>
                <w:color w:val="000000"/>
              </w:rPr>
            </w:pPr>
            <w:r>
              <w:rPr>
                <w:color w:val="000000"/>
              </w:rPr>
              <w:t xml:space="preserve">$284,635.25 </w:t>
            </w:r>
          </w:p>
        </w:tc>
      </w:tr>
      <w:tr w14:paraId="68E079B3" w14:textId="77777777" w:rsidTr="001F4553">
        <w:tblPrEx>
          <w:tblW w:w="13816" w:type="dxa"/>
          <w:tblInd w:w="-540" w:type="dxa"/>
          <w:tblLook w:val="04A0"/>
        </w:tblPrEx>
        <w:trPr>
          <w:trHeight w:val="375"/>
        </w:trPr>
        <w:tc>
          <w:tcPr>
            <w:tcW w:w="3420" w:type="dxa"/>
            <w:tcBorders>
              <w:top w:val="nil"/>
              <w:left w:val="single" w:sz="4" w:space="0" w:color="auto"/>
              <w:bottom w:val="single" w:sz="4" w:space="0" w:color="auto"/>
              <w:right w:val="single" w:sz="4" w:space="0" w:color="auto"/>
            </w:tcBorders>
            <w:shd w:val="clear" w:color="auto" w:fill="auto"/>
            <w:hideMark/>
          </w:tcPr>
          <w:p w:rsidR="00AD2146" w:rsidRPr="00E36379" w:rsidP="001F4553" w14:paraId="53E6904B" w14:textId="77777777">
            <w:pPr>
              <w:rPr>
                <w:b/>
                <w:bCs/>
                <w:color w:val="000000"/>
              </w:rPr>
            </w:pPr>
            <w:r w:rsidRPr="00E36379">
              <w:rPr>
                <w:b/>
                <w:bCs/>
                <w:color w:val="000000"/>
              </w:rPr>
              <w:t xml:space="preserve">TOTAL (Rounded) </w:t>
            </w:r>
            <w:r w:rsidRPr="00E36379">
              <w:rPr>
                <w:b/>
                <w:bCs/>
                <w:color w:val="000000"/>
                <w:vertAlign w:val="superscript"/>
              </w:rPr>
              <w:t>e</w:t>
            </w:r>
          </w:p>
        </w:tc>
        <w:tc>
          <w:tcPr>
            <w:tcW w:w="1349" w:type="dxa"/>
            <w:tcBorders>
              <w:top w:val="nil"/>
              <w:left w:val="nil"/>
              <w:bottom w:val="single" w:sz="4" w:space="0" w:color="auto"/>
              <w:right w:val="single" w:sz="4" w:space="0" w:color="auto"/>
            </w:tcBorders>
            <w:shd w:val="clear" w:color="auto" w:fill="auto"/>
            <w:vAlign w:val="center"/>
            <w:hideMark/>
          </w:tcPr>
          <w:p w:rsidR="00AD2146" w:rsidRPr="00E36379" w:rsidP="001F4553" w14:paraId="4F3A673C" w14:textId="77777777">
            <w:pPr>
              <w:jc w:val="center"/>
              <w:rPr>
                <w:b/>
                <w:bCs/>
                <w:color w:val="000000"/>
              </w:rPr>
            </w:pPr>
            <w:r w:rsidRPr="00E36379">
              <w:rPr>
                <w:b/>
                <w:b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E36379" w:rsidP="001F4553" w14:paraId="0E974869" w14:textId="77777777">
            <w:pPr>
              <w:jc w:val="center"/>
              <w:rPr>
                <w:b/>
                <w:bCs/>
                <w:color w:val="000000"/>
              </w:rPr>
            </w:pPr>
            <w:r w:rsidRPr="00E36379">
              <w:rPr>
                <w:b/>
                <w:bCs/>
                <w:color w:val="000000"/>
              </w:rPr>
              <w:t> </w:t>
            </w:r>
          </w:p>
        </w:tc>
        <w:tc>
          <w:tcPr>
            <w:tcW w:w="1203" w:type="dxa"/>
            <w:tcBorders>
              <w:top w:val="nil"/>
              <w:left w:val="nil"/>
              <w:bottom w:val="single" w:sz="4" w:space="0" w:color="auto"/>
              <w:right w:val="single" w:sz="4" w:space="0" w:color="auto"/>
            </w:tcBorders>
            <w:shd w:val="clear" w:color="auto" w:fill="auto"/>
            <w:vAlign w:val="center"/>
            <w:hideMark/>
          </w:tcPr>
          <w:p w:rsidR="00AD2146" w:rsidRPr="00E36379" w:rsidP="001F4553" w14:paraId="5CC18EED" w14:textId="77777777">
            <w:pPr>
              <w:jc w:val="center"/>
              <w:rPr>
                <w:b/>
                <w:bCs/>
                <w:color w:val="000000"/>
              </w:rPr>
            </w:pPr>
            <w:r w:rsidRPr="00E36379">
              <w:rPr>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AD2146" w:rsidRPr="00E36379" w:rsidP="001F4553" w14:paraId="08950F70" w14:textId="77777777">
            <w:pPr>
              <w:jc w:val="center"/>
              <w:rPr>
                <w:b/>
                <w:bCs/>
                <w:color w:val="000000"/>
              </w:rPr>
            </w:pPr>
            <w:r w:rsidRPr="00E36379">
              <w:rPr>
                <w:b/>
                <w:bCs/>
                <w:color w:val="000000"/>
              </w:rPr>
              <w:t> </w:t>
            </w:r>
          </w:p>
        </w:tc>
        <w:tc>
          <w:tcPr>
            <w:tcW w:w="38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E36379" w:rsidP="001F4553" w14:paraId="597E0065" w14:textId="77777777">
            <w:pPr>
              <w:jc w:val="center"/>
              <w:rPr>
                <w:b/>
                <w:bCs/>
                <w:color w:val="000000"/>
              </w:rPr>
            </w:pPr>
            <w:r>
              <w:rPr>
                <w:b/>
                <w:bCs/>
                <w:color w:val="000000"/>
              </w:rPr>
              <w:t>5,350</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AD2146" w:rsidRPr="00E36379" w:rsidP="001F4553" w14:paraId="51E2122F" w14:textId="77777777">
            <w:pPr>
              <w:jc w:val="right"/>
              <w:rPr>
                <w:b/>
                <w:bCs/>
                <w:color w:val="000000"/>
              </w:rPr>
            </w:pPr>
            <w:r>
              <w:rPr>
                <w:b/>
                <w:bCs/>
                <w:color w:val="000000"/>
              </w:rPr>
              <w:t xml:space="preserve">$285,000 </w:t>
            </w:r>
          </w:p>
        </w:tc>
      </w:tr>
      <w:tr w14:paraId="60313A9A" w14:textId="77777777" w:rsidTr="001F4553">
        <w:tblPrEx>
          <w:tblW w:w="13816" w:type="dxa"/>
          <w:tblInd w:w="-540" w:type="dxa"/>
          <w:tblLook w:val="04A0"/>
        </w:tblPrEx>
        <w:trPr>
          <w:trHeight w:val="315"/>
        </w:trPr>
        <w:tc>
          <w:tcPr>
            <w:tcW w:w="3420" w:type="dxa"/>
            <w:tcBorders>
              <w:top w:val="nil"/>
              <w:left w:val="nil"/>
              <w:bottom w:val="nil"/>
              <w:right w:val="nil"/>
            </w:tcBorders>
            <w:shd w:val="clear" w:color="auto" w:fill="auto"/>
            <w:noWrap/>
            <w:vAlign w:val="bottom"/>
            <w:hideMark/>
          </w:tcPr>
          <w:p w:rsidR="00AD2146" w:rsidRPr="00E36379" w:rsidP="001F4553" w14:paraId="06A9C610" w14:textId="77777777">
            <w:pPr>
              <w:jc w:val="right"/>
              <w:rPr>
                <w:b/>
                <w:bCs/>
                <w:color w:val="000000"/>
              </w:rPr>
            </w:pPr>
          </w:p>
        </w:tc>
        <w:tc>
          <w:tcPr>
            <w:tcW w:w="1349" w:type="dxa"/>
            <w:tcBorders>
              <w:top w:val="nil"/>
              <w:left w:val="nil"/>
              <w:bottom w:val="nil"/>
              <w:right w:val="nil"/>
            </w:tcBorders>
            <w:shd w:val="clear" w:color="auto" w:fill="auto"/>
            <w:noWrap/>
            <w:vAlign w:val="bottom"/>
            <w:hideMark/>
          </w:tcPr>
          <w:p w:rsidR="00AD2146" w:rsidRPr="00E36379" w:rsidP="001F4553" w14:paraId="3A1FF4DB"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E36379" w:rsidP="001F4553" w14:paraId="7701535E" w14:textId="77777777">
            <w:pPr>
              <w:rPr>
                <w:sz w:val="20"/>
                <w:szCs w:val="20"/>
              </w:rPr>
            </w:pPr>
          </w:p>
        </w:tc>
        <w:tc>
          <w:tcPr>
            <w:tcW w:w="1203" w:type="dxa"/>
            <w:tcBorders>
              <w:top w:val="nil"/>
              <w:left w:val="nil"/>
              <w:bottom w:val="nil"/>
              <w:right w:val="nil"/>
            </w:tcBorders>
            <w:shd w:val="clear" w:color="auto" w:fill="auto"/>
            <w:noWrap/>
            <w:vAlign w:val="bottom"/>
            <w:hideMark/>
          </w:tcPr>
          <w:p w:rsidR="00AD2146" w:rsidRPr="00E36379" w:rsidP="001F4553" w14:paraId="08E826E0" w14:textId="77777777">
            <w:pPr>
              <w:rPr>
                <w:sz w:val="20"/>
                <w:szCs w:val="20"/>
              </w:rPr>
            </w:pPr>
          </w:p>
        </w:tc>
        <w:tc>
          <w:tcPr>
            <w:tcW w:w="960" w:type="dxa"/>
            <w:tcBorders>
              <w:top w:val="nil"/>
              <w:left w:val="nil"/>
              <w:bottom w:val="nil"/>
              <w:right w:val="nil"/>
            </w:tcBorders>
            <w:shd w:val="clear" w:color="auto" w:fill="auto"/>
            <w:noWrap/>
            <w:vAlign w:val="bottom"/>
            <w:hideMark/>
          </w:tcPr>
          <w:p w:rsidR="00AD2146" w:rsidRPr="00E36379" w:rsidP="001F4553" w14:paraId="4D281E3D"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E36379" w:rsidP="001F4553" w14:paraId="171CF336"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E36379" w:rsidP="001F4553" w14:paraId="4CAB2B6B"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E36379" w:rsidP="001F4553" w14:paraId="5DAD88AD" w14:textId="77777777">
            <w:pPr>
              <w:rPr>
                <w:sz w:val="20"/>
                <w:szCs w:val="20"/>
              </w:rPr>
            </w:pPr>
          </w:p>
        </w:tc>
        <w:tc>
          <w:tcPr>
            <w:tcW w:w="1633" w:type="dxa"/>
            <w:tcBorders>
              <w:top w:val="nil"/>
              <w:left w:val="nil"/>
              <w:bottom w:val="nil"/>
              <w:right w:val="nil"/>
            </w:tcBorders>
            <w:shd w:val="clear" w:color="auto" w:fill="auto"/>
            <w:noWrap/>
            <w:vAlign w:val="bottom"/>
            <w:hideMark/>
          </w:tcPr>
          <w:p w:rsidR="00AD2146" w:rsidRPr="00E36379" w:rsidP="001F4553" w14:paraId="656148C2" w14:textId="77777777">
            <w:pPr>
              <w:rPr>
                <w:sz w:val="20"/>
                <w:szCs w:val="20"/>
              </w:rPr>
            </w:pPr>
          </w:p>
        </w:tc>
      </w:tr>
      <w:tr w14:paraId="25FA9C18" w14:textId="77777777" w:rsidTr="001F4553">
        <w:tblPrEx>
          <w:tblW w:w="13816" w:type="dxa"/>
          <w:tblInd w:w="-540" w:type="dxa"/>
          <w:tblLook w:val="04A0"/>
        </w:tblPrEx>
        <w:trPr>
          <w:trHeight w:val="315"/>
        </w:trPr>
        <w:tc>
          <w:tcPr>
            <w:tcW w:w="3420" w:type="dxa"/>
            <w:tcBorders>
              <w:top w:val="nil"/>
              <w:left w:val="nil"/>
              <w:bottom w:val="nil"/>
              <w:right w:val="nil"/>
            </w:tcBorders>
            <w:shd w:val="clear" w:color="auto" w:fill="auto"/>
            <w:noWrap/>
            <w:vAlign w:val="center"/>
            <w:hideMark/>
          </w:tcPr>
          <w:p w:rsidR="00AD2146" w:rsidRPr="00E36379" w:rsidP="001F4553" w14:paraId="5BA21703" w14:textId="77777777">
            <w:pPr>
              <w:rPr>
                <w:b/>
                <w:bCs/>
                <w:color w:val="000000"/>
              </w:rPr>
            </w:pPr>
            <w:r w:rsidRPr="00E36379">
              <w:rPr>
                <w:b/>
                <w:bCs/>
                <w:color w:val="000000"/>
              </w:rPr>
              <w:t>Assumptions:</w:t>
            </w:r>
          </w:p>
        </w:tc>
        <w:tc>
          <w:tcPr>
            <w:tcW w:w="1349" w:type="dxa"/>
            <w:tcBorders>
              <w:top w:val="nil"/>
              <w:left w:val="nil"/>
              <w:bottom w:val="nil"/>
              <w:right w:val="nil"/>
            </w:tcBorders>
            <w:shd w:val="clear" w:color="auto" w:fill="auto"/>
            <w:noWrap/>
            <w:vAlign w:val="bottom"/>
            <w:hideMark/>
          </w:tcPr>
          <w:p w:rsidR="00AD2146" w:rsidRPr="00E36379" w:rsidP="001F4553" w14:paraId="7459AB99" w14:textId="77777777">
            <w:pPr>
              <w:rPr>
                <w:b/>
                <w:bCs/>
                <w:color w:val="000000"/>
              </w:rPr>
            </w:pPr>
          </w:p>
        </w:tc>
        <w:tc>
          <w:tcPr>
            <w:tcW w:w="1443" w:type="dxa"/>
            <w:tcBorders>
              <w:top w:val="nil"/>
              <w:left w:val="nil"/>
              <w:bottom w:val="nil"/>
              <w:right w:val="nil"/>
            </w:tcBorders>
            <w:shd w:val="clear" w:color="auto" w:fill="auto"/>
            <w:noWrap/>
            <w:vAlign w:val="bottom"/>
            <w:hideMark/>
          </w:tcPr>
          <w:p w:rsidR="00AD2146" w:rsidRPr="00E36379" w:rsidP="001F4553" w14:paraId="2F1900CC" w14:textId="77777777">
            <w:pPr>
              <w:rPr>
                <w:sz w:val="20"/>
                <w:szCs w:val="20"/>
              </w:rPr>
            </w:pPr>
          </w:p>
        </w:tc>
        <w:tc>
          <w:tcPr>
            <w:tcW w:w="1203" w:type="dxa"/>
            <w:tcBorders>
              <w:top w:val="nil"/>
              <w:left w:val="nil"/>
              <w:bottom w:val="nil"/>
              <w:right w:val="nil"/>
            </w:tcBorders>
            <w:shd w:val="clear" w:color="auto" w:fill="auto"/>
            <w:noWrap/>
            <w:vAlign w:val="bottom"/>
            <w:hideMark/>
          </w:tcPr>
          <w:p w:rsidR="00AD2146" w:rsidRPr="00E36379" w:rsidP="001F4553" w14:paraId="6D406175" w14:textId="77777777">
            <w:pPr>
              <w:rPr>
                <w:sz w:val="20"/>
                <w:szCs w:val="20"/>
              </w:rPr>
            </w:pPr>
          </w:p>
        </w:tc>
        <w:tc>
          <w:tcPr>
            <w:tcW w:w="960" w:type="dxa"/>
            <w:tcBorders>
              <w:top w:val="nil"/>
              <w:left w:val="nil"/>
              <w:bottom w:val="nil"/>
              <w:right w:val="nil"/>
            </w:tcBorders>
            <w:shd w:val="clear" w:color="auto" w:fill="auto"/>
            <w:noWrap/>
            <w:vAlign w:val="bottom"/>
            <w:hideMark/>
          </w:tcPr>
          <w:p w:rsidR="00AD2146" w:rsidRPr="00E36379" w:rsidP="001F4553" w14:paraId="59E7AD0E"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E36379" w:rsidP="001F4553" w14:paraId="27E6CD20"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E36379" w:rsidP="001F4553" w14:paraId="5C5812B3" w14:textId="77777777">
            <w:pPr>
              <w:rPr>
                <w:sz w:val="20"/>
                <w:szCs w:val="20"/>
              </w:rPr>
            </w:pPr>
          </w:p>
        </w:tc>
        <w:tc>
          <w:tcPr>
            <w:tcW w:w="1029" w:type="dxa"/>
            <w:tcBorders>
              <w:top w:val="nil"/>
              <w:left w:val="nil"/>
              <w:bottom w:val="nil"/>
              <w:right w:val="nil"/>
            </w:tcBorders>
            <w:shd w:val="clear" w:color="auto" w:fill="auto"/>
            <w:noWrap/>
            <w:vAlign w:val="bottom"/>
            <w:hideMark/>
          </w:tcPr>
          <w:p w:rsidR="00AD2146" w:rsidRPr="00E36379" w:rsidP="001F4553" w14:paraId="39D24135" w14:textId="77777777">
            <w:pPr>
              <w:rPr>
                <w:sz w:val="20"/>
                <w:szCs w:val="20"/>
              </w:rPr>
            </w:pPr>
          </w:p>
        </w:tc>
        <w:tc>
          <w:tcPr>
            <w:tcW w:w="1633" w:type="dxa"/>
            <w:tcBorders>
              <w:top w:val="nil"/>
              <w:left w:val="nil"/>
              <w:bottom w:val="nil"/>
              <w:right w:val="nil"/>
            </w:tcBorders>
            <w:shd w:val="clear" w:color="auto" w:fill="auto"/>
            <w:noWrap/>
            <w:vAlign w:val="bottom"/>
            <w:hideMark/>
          </w:tcPr>
          <w:p w:rsidR="00AD2146" w:rsidRPr="00E36379" w:rsidP="001F4553" w14:paraId="521C6279" w14:textId="77777777">
            <w:pPr>
              <w:rPr>
                <w:sz w:val="20"/>
                <w:szCs w:val="20"/>
              </w:rPr>
            </w:pPr>
          </w:p>
        </w:tc>
      </w:tr>
      <w:tr w14:paraId="167A84DD" w14:textId="77777777" w:rsidTr="001F4553">
        <w:tblPrEx>
          <w:tblW w:w="13816" w:type="dxa"/>
          <w:tblInd w:w="-540" w:type="dxa"/>
          <w:tblLook w:val="04A0"/>
        </w:tblPrEx>
        <w:trPr>
          <w:trHeight w:val="975"/>
        </w:trPr>
        <w:tc>
          <w:tcPr>
            <w:tcW w:w="13816" w:type="dxa"/>
            <w:gridSpan w:val="9"/>
            <w:tcBorders>
              <w:top w:val="nil"/>
              <w:left w:val="nil"/>
              <w:bottom w:val="nil"/>
              <w:right w:val="nil"/>
            </w:tcBorders>
            <w:shd w:val="clear" w:color="auto" w:fill="auto"/>
            <w:vAlign w:val="center"/>
            <w:hideMark/>
          </w:tcPr>
          <w:p w:rsidR="00AD2146" w:rsidRPr="00E36379" w:rsidP="001F4553" w14:paraId="1A42F9EC" w14:textId="77777777">
            <w:pPr>
              <w:rPr>
                <w:color w:val="000000"/>
              </w:rPr>
            </w:pPr>
            <w:r w:rsidRPr="00E36379">
              <w:rPr>
                <w:color w:val="000000"/>
                <w:vertAlign w:val="superscript"/>
              </w:rPr>
              <w:t>a</w:t>
            </w:r>
            <w:r>
              <w:rPr>
                <w:color w:val="000000"/>
              </w:rPr>
              <w:t xml:space="preserve"> </w:t>
            </w:r>
            <w:r w:rsidRPr="00E36379">
              <w:rPr>
                <w:color w:val="000000"/>
              </w:rPr>
              <w:t xml:space="preserve">We have assumed that the average number of existing respondents that will be subject to Subpart KKK will be </w:t>
            </w:r>
            <w:r>
              <w:rPr>
                <w:color w:val="000000"/>
              </w:rPr>
              <w:t>291</w:t>
            </w:r>
            <w:r w:rsidRPr="00E36379">
              <w:rPr>
                <w:color w:val="000000"/>
              </w:rPr>
              <w:t xml:space="preserve">. This estimated average accounts for modified facilities after August 23, </w:t>
            </w:r>
            <w:r w:rsidRPr="00E36379">
              <w:rPr>
                <w:color w:val="000000"/>
              </w:rPr>
              <w:t>2011</w:t>
            </w:r>
            <w:r w:rsidRPr="00E36379">
              <w:rPr>
                <w:color w:val="000000"/>
              </w:rPr>
              <w:t xml:space="preserve"> subject to Subpart KKK will become subject to </w:t>
            </w:r>
            <w:r w:rsidRPr="00D30185">
              <w:rPr>
                <w:color w:val="000000"/>
              </w:rPr>
              <w:t xml:space="preserve">40 CFR Part 60, </w:t>
            </w:r>
            <w:r w:rsidRPr="00E36379">
              <w:rPr>
                <w:color w:val="000000"/>
              </w:rPr>
              <w:t xml:space="preserve">Subpart </w:t>
            </w:r>
            <w:r w:rsidRPr="00E36379">
              <w:rPr>
                <w:color w:val="000000"/>
              </w:rPr>
              <w:t>OOOO</w:t>
            </w:r>
            <w:r>
              <w:rPr>
                <w:color w:val="000000"/>
              </w:rPr>
              <w:t>a</w:t>
            </w:r>
            <w:r w:rsidRPr="00E36379">
              <w:rPr>
                <w:color w:val="000000"/>
              </w:rPr>
              <w:t xml:space="preserve"> and therefore, would no longer report under these rules. </w:t>
            </w:r>
          </w:p>
        </w:tc>
      </w:tr>
      <w:tr w14:paraId="6074593D" w14:textId="77777777" w:rsidTr="001F4553">
        <w:tblPrEx>
          <w:tblW w:w="13816" w:type="dxa"/>
          <w:tblInd w:w="-540" w:type="dxa"/>
          <w:tblLook w:val="04A0"/>
        </w:tblPrEx>
        <w:trPr>
          <w:trHeight w:val="1275"/>
        </w:trPr>
        <w:tc>
          <w:tcPr>
            <w:tcW w:w="13816" w:type="dxa"/>
            <w:gridSpan w:val="9"/>
            <w:tcBorders>
              <w:top w:val="nil"/>
              <w:left w:val="nil"/>
              <w:bottom w:val="nil"/>
              <w:right w:val="nil"/>
            </w:tcBorders>
            <w:shd w:val="clear" w:color="auto" w:fill="auto"/>
            <w:vAlign w:val="center"/>
            <w:hideMark/>
          </w:tcPr>
          <w:p w:rsidR="00AD2146" w:rsidRPr="00AE785F" w:rsidP="001F4553" w14:paraId="7547D99D" w14:textId="77777777">
            <w:r>
              <w:rPr>
                <w:vertAlign w:val="superscript"/>
              </w:rPr>
              <w:t>b</w:t>
            </w:r>
            <w:r>
              <w:t xml:space="preserve"> </w:t>
            </w:r>
            <w:r>
              <w:t>The</w:t>
            </w:r>
            <w: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40CF5603" w14:textId="77777777" w:rsidTr="001F4553">
        <w:tblPrEx>
          <w:tblW w:w="13816" w:type="dxa"/>
          <w:tblInd w:w="-540" w:type="dxa"/>
          <w:tblLook w:val="04A0"/>
        </w:tblPrEx>
        <w:trPr>
          <w:trHeight w:val="375"/>
        </w:trPr>
        <w:tc>
          <w:tcPr>
            <w:tcW w:w="13816" w:type="dxa"/>
            <w:gridSpan w:val="9"/>
            <w:tcBorders>
              <w:top w:val="nil"/>
              <w:left w:val="nil"/>
              <w:bottom w:val="nil"/>
              <w:right w:val="nil"/>
            </w:tcBorders>
            <w:shd w:val="clear" w:color="auto" w:fill="auto"/>
            <w:noWrap/>
            <w:vAlign w:val="center"/>
            <w:hideMark/>
          </w:tcPr>
          <w:p w:rsidR="00AD2146" w:rsidRPr="00E36379" w:rsidP="001F4553" w14:paraId="6A906714" w14:textId="77777777">
            <w:pPr>
              <w:rPr>
                <w:color w:val="000000"/>
              </w:rPr>
            </w:pPr>
            <w:r w:rsidRPr="00E36379">
              <w:rPr>
                <w:color w:val="000000"/>
                <w:vertAlign w:val="superscript"/>
              </w:rPr>
              <w:t>c</w:t>
            </w:r>
            <w:r>
              <w:rPr>
                <w:color w:val="000000"/>
              </w:rPr>
              <w:t xml:space="preserve"> </w:t>
            </w:r>
            <w:r w:rsidRPr="00E36379">
              <w:rPr>
                <w:color w:val="000000"/>
              </w:rPr>
              <w:t>New</w:t>
            </w:r>
            <w:r w:rsidRPr="00E36379">
              <w:rPr>
                <w:color w:val="000000"/>
              </w:rPr>
              <w:t xml:space="preserve"> respondents will become subject to </w:t>
            </w:r>
            <w:r w:rsidRPr="00D30185">
              <w:rPr>
                <w:color w:val="000000"/>
              </w:rPr>
              <w:t xml:space="preserve">40 CFR Part 60, </w:t>
            </w:r>
            <w:r w:rsidRPr="00E36379">
              <w:rPr>
                <w:color w:val="000000"/>
              </w:rPr>
              <w:t xml:space="preserve">Subpart </w:t>
            </w:r>
            <w:r w:rsidRPr="00E36379">
              <w:rPr>
                <w:color w:val="000000"/>
              </w:rPr>
              <w:t>OOOO</w:t>
            </w:r>
            <w:r>
              <w:rPr>
                <w:color w:val="000000"/>
              </w:rPr>
              <w:t>a</w:t>
            </w:r>
            <w:r w:rsidRPr="00E36379">
              <w:rPr>
                <w:color w:val="000000"/>
              </w:rPr>
              <w:t>.</w:t>
            </w:r>
          </w:p>
        </w:tc>
      </w:tr>
      <w:tr w14:paraId="08BAD0F2" w14:textId="77777777" w:rsidTr="001F4553">
        <w:tblPrEx>
          <w:tblW w:w="13816" w:type="dxa"/>
          <w:tblInd w:w="-540" w:type="dxa"/>
          <w:tblLook w:val="04A0"/>
        </w:tblPrEx>
        <w:trPr>
          <w:trHeight w:val="375"/>
        </w:trPr>
        <w:tc>
          <w:tcPr>
            <w:tcW w:w="13816" w:type="dxa"/>
            <w:gridSpan w:val="9"/>
            <w:tcBorders>
              <w:top w:val="nil"/>
              <w:left w:val="nil"/>
              <w:bottom w:val="nil"/>
              <w:right w:val="nil"/>
            </w:tcBorders>
            <w:shd w:val="clear" w:color="auto" w:fill="auto"/>
            <w:noWrap/>
            <w:vAlign w:val="center"/>
            <w:hideMark/>
          </w:tcPr>
          <w:p w:rsidR="00AD2146" w:rsidRPr="00E36379" w:rsidP="001F4553" w14:paraId="6D239292" w14:textId="77777777">
            <w:pPr>
              <w:rPr>
                <w:color w:val="000000"/>
              </w:rPr>
            </w:pPr>
            <w:r w:rsidRPr="00E36379">
              <w:rPr>
                <w:color w:val="000000"/>
                <w:vertAlign w:val="superscript"/>
              </w:rPr>
              <w:t>d</w:t>
            </w:r>
            <w:r>
              <w:rPr>
                <w:color w:val="000000"/>
              </w:rPr>
              <w:t xml:space="preserve"> </w:t>
            </w:r>
            <w:r w:rsidRPr="00E36379">
              <w:rPr>
                <w:color w:val="000000"/>
              </w:rPr>
              <w:t xml:space="preserve">We have assumed that it will take </w:t>
            </w:r>
            <w:r>
              <w:rPr>
                <w:color w:val="000000"/>
              </w:rPr>
              <w:t>the agency</w:t>
            </w:r>
            <w:r w:rsidRPr="00E36379">
              <w:rPr>
                <w:color w:val="000000"/>
              </w:rPr>
              <w:t xml:space="preserve"> eight hours, two times per year to review semiannual reports.</w:t>
            </w:r>
          </w:p>
        </w:tc>
      </w:tr>
      <w:tr w14:paraId="36FAD6EE" w14:textId="77777777" w:rsidTr="001F4553">
        <w:tblPrEx>
          <w:tblW w:w="13816" w:type="dxa"/>
          <w:tblInd w:w="-540" w:type="dxa"/>
          <w:tblLook w:val="04A0"/>
        </w:tblPrEx>
        <w:trPr>
          <w:trHeight w:val="375"/>
        </w:trPr>
        <w:tc>
          <w:tcPr>
            <w:tcW w:w="13816" w:type="dxa"/>
            <w:gridSpan w:val="9"/>
            <w:tcBorders>
              <w:top w:val="nil"/>
              <w:left w:val="nil"/>
              <w:bottom w:val="nil"/>
              <w:right w:val="nil"/>
            </w:tcBorders>
            <w:shd w:val="clear" w:color="auto" w:fill="auto"/>
            <w:noWrap/>
            <w:vAlign w:val="bottom"/>
            <w:hideMark/>
          </w:tcPr>
          <w:p w:rsidR="00AD2146" w:rsidRPr="00E36379" w:rsidP="001F4553" w14:paraId="01EE8898" w14:textId="77777777">
            <w:pPr>
              <w:rPr>
                <w:color w:val="000000"/>
              </w:rPr>
            </w:pPr>
            <w:r w:rsidRPr="00E36379">
              <w:rPr>
                <w:color w:val="000000"/>
                <w:vertAlign w:val="superscript"/>
              </w:rPr>
              <w:t>e</w:t>
            </w:r>
            <w:r w:rsidRPr="00E36379">
              <w:rPr>
                <w:color w:val="000000"/>
              </w:rPr>
              <w:t xml:space="preserve"> Totals are rounded to three significant figures. Figures may not add exactly due to rounding. </w:t>
            </w:r>
          </w:p>
        </w:tc>
      </w:tr>
    </w:tbl>
    <w:p w:rsidR="00AD2146" w:rsidP="00AD2146" w14:paraId="50144CA4" w14:textId="77777777">
      <w:pPr>
        <w:rPr>
          <w:b/>
          <w:bCs/>
          <w:color w:val="000000"/>
        </w:rPr>
      </w:pPr>
    </w:p>
    <w:tbl>
      <w:tblPr>
        <w:tblW w:w="13773" w:type="dxa"/>
        <w:tblInd w:w="-450" w:type="dxa"/>
        <w:tblLook w:val="04A0"/>
      </w:tblPr>
      <w:tblGrid>
        <w:gridCol w:w="3510"/>
        <w:gridCol w:w="1349"/>
        <w:gridCol w:w="1443"/>
        <w:gridCol w:w="1212"/>
        <w:gridCol w:w="950"/>
        <w:gridCol w:w="1216"/>
        <w:gridCol w:w="1563"/>
        <w:gridCol w:w="1233"/>
        <w:gridCol w:w="1297"/>
      </w:tblGrid>
      <w:tr w14:paraId="188A018B" w14:textId="77777777" w:rsidTr="001F4553">
        <w:tblPrEx>
          <w:tblW w:w="13773" w:type="dxa"/>
          <w:tblInd w:w="-450" w:type="dxa"/>
          <w:tblLook w:val="04A0"/>
        </w:tblPrEx>
        <w:trPr>
          <w:trHeight w:val="315"/>
        </w:trPr>
        <w:tc>
          <w:tcPr>
            <w:tcW w:w="13773" w:type="dxa"/>
            <w:gridSpan w:val="9"/>
            <w:tcBorders>
              <w:top w:val="nil"/>
              <w:left w:val="nil"/>
              <w:bottom w:val="nil"/>
              <w:right w:val="nil"/>
            </w:tcBorders>
            <w:shd w:val="clear" w:color="auto" w:fill="auto"/>
            <w:hideMark/>
          </w:tcPr>
          <w:p w:rsidR="00AD2146" w:rsidRPr="00BF51F1" w:rsidP="001F4553" w14:paraId="35CD1ACD" w14:textId="77777777">
            <w:pPr>
              <w:rPr>
                <w:b/>
                <w:bCs/>
                <w:color w:val="000000"/>
              </w:rPr>
            </w:pPr>
            <w:r w:rsidRPr="00BF51F1">
              <w:rPr>
                <w:b/>
                <w:bCs/>
                <w:color w:val="000000"/>
              </w:rPr>
              <w:t>Table 2b: Average Annual EPA Burden and Cost - NSPS for Onshore Natural Gas Processing Plants (40 CFR Part 60, Subpart LLL) (Renewal)</w:t>
            </w:r>
          </w:p>
        </w:tc>
      </w:tr>
      <w:tr w14:paraId="62DBF433" w14:textId="77777777" w:rsidTr="001F4553">
        <w:tblPrEx>
          <w:tblW w:w="13773" w:type="dxa"/>
          <w:tblInd w:w="-450" w:type="dxa"/>
          <w:tblLook w:val="04A0"/>
        </w:tblPrEx>
        <w:trPr>
          <w:trHeight w:val="315"/>
        </w:trPr>
        <w:tc>
          <w:tcPr>
            <w:tcW w:w="3510" w:type="dxa"/>
            <w:tcBorders>
              <w:top w:val="nil"/>
              <w:left w:val="nil"/>
              <w:bottom w:val="nil"/>
              <w:right w:val="nil"/>
            </w:tcBorders>
            <w:shd w:val="clear" w:color="auto" w:fill="auto"/>
            <w:noWrap/>
            <w:vAlign w:val="bottom"/>
            <w:hideMark/>
          </w:tcPr>
          <w:p w:rsidR="00AD2146" w:rsidRPr="00BF51F1" w:rsidP="001F4553" w14:paraId="0169E786" w14:textId="77777777">
            <w:pPr>
              <w:rPr>
                <w:b/>
                <w:bCs/>
                <w:color w:val="000000"/>
              </w:rPr>
            </w:pPr>
          </w:p>
        </w:tc>
        <w:tc>
          <w:tcPr>
            <w:tcW w:w="1349" w:type="dxa"/>
            <w:tcBorders>
              <w:top w:val="nil"/>
              <w:left w:val="nil"/>
              <w:bottom w:val="nil"/>
              <w:right w:val="nil"/>
            </w:tcBorders>
            <w:shd w:val="clear" w:color="auto" w:fill="auto"/>
            <w:noWrap/>
            <w:vAlign w:val="bottom"/>
            <w:hideMark/>
          </w:tcPr>
          <w:p w:rsidR="00AD2146" w:rsidRPr="00BF51F1" w:rsidP="001F4553" w14:paraId="56E3B1BB"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BF51F1" w:rsidP="001F4553" w14:paraId="782639A9" w14:textId="77777777">
            <w:pPr>
              <w:rPr>
                <w:sz w:val="20"/>
                <w:szCs w:val="20"/>
              </w:rPr>
            </w:pPr>
          </w:p>
        </w:tc>
        <w:tc>
          <w:tcPr>
            <w:tcW w:w="1212" w:type="dxa"/>
            <w:tcBorders>
              <w:top w:val="nil"/>
              <w:left w:val="nil"/>
              <w:bottom w:val="nil"/>
              <w:right w:val="nil"/>
            </w:tcBorders>
            <w:shd w:val="clear" w:color="auto" w:fill="auto"/>
            <w:noWrap/>
            <w:vAlign w:val="bottom"/>
            <w:hideMark/>
          </w:tcPr>
          <w:p w:rsidR="00AD2146" w:rsidRPr="00BF51F1" w:rsidP="001F4553" w14:paraId="6D7EEED2" w14:textId="77777777">
            <w:pPr>
              <w:rPr>
                <w:sz w:val="20"/>
                <w:szCs w:val="20"/>
              </w:rPr>
            </w:pPr>
          </w:p>
        </w:tc>
        <w:tc>
          <w:tcPr>
            <w:tcW w:w="950" w:type="dxa"/>
            <w:tcBorders>
              <w:top w:val="nil"/>
              <w:left w:val="nil"/>
              <w:bottom w:val="nil"/>
              <w:right w:val="nil"/>
            </w:tcBorders>
            <w:shd w:val="clear" w:color="auto" w:fill="auto"/>
            <w:noWrap/>
            <w:vAlign w:val="bottom"/>
            <w:hideMark/>
          </w:tcPr>
          <w:p w:rsidR="00AD2146" w:rsidRPr="00BF51F1" w:rsidP="001F4553" w14:paraId="399CD3D1"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BF51F1" w:rsidP="001F4553" w14:paraId="5076D78F"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BF51F1" w:rsidP="001F4553" w14:paraId="7A387298" w14:textId="77777777">
            <w:pPr>
              <w:rPr>
                <w:sz w:val="20"/>
                <w:szCs w:val="20"/>
              </w:rPr>
            </w:pPr>
          </w:p>
        </w:tc>
        <w:tc>
          <w:tcPr>
            <w:tcW w:w="1233" w:type="dxa"/>
            <w:tcBorders>
              <w:top w:val="nil"/>
              <w:left w:val="nil"/>
              <w:bottom w:val="nil"/>
              <w:right w:val="nil"/>
            </w:tcBorders>
            <w:shd w:val="clear" w:color="auto" w:fill="auto"/>
            <w:noWrap/>
            <w:vAlign w:val="bottom"/>
            <w:hideMark/>
          </w:tcPr>
          <w:p w:rsidR="00AD2146" w:rsidRPr="00BF51F1" w:rsidP="001F4553" w14:paraId="629135C4" w14:textId="77777777">
            <w:pPr>
              <w:rPr>
                <w:sz w:val="20"/>
                <w:szCs w:val="20"/>
              </w:rPr>
            </w:pPr>
          </w:p>
        </w:tc>
        <w:tc>
          <w:tcPr>
            <w:tcW w:w="1297" w:type="dxa"/>
            <w:tcBorders>
              <w:top w:val="nil"/>
              <w:left w:val="nil"/>
              <w:bottom w:val="nil"/>
              <w:right w:val="nil"/>
            </w:tcBorders>
            <w:shd w:val="clear" w:color="auto" w:fill="auto"/>
            <w:noWrap/>
            <w:vAlign w:val="bottom"/>
            <w:hideMark/>
          </w:tcPr>
          <w:p w:rsidR="00AD2146" w:rsidRPr="00BF51F1" w:rsidP="001F4553" w14:paraId="77C8867A" w14:textId="77777777">
            <w:pPr>
              <w:rPr>
                <w:sz w:val="20"/>
                <w:szCs w:val="20"/>
              </w:rPr>
            </w:pPr>
          </w:p>
        </w:tc>
      </w:tr>
      <w:tr w14:paraId="0C7E1C5F" w14:textId="77777777" w:rsidTr="001F4553">
        <w:tblPrEx>
          <w:tblW w:w="13773" w:type="dxa"/>
          <w:tblInd w:w="-450" w:type="dxa"/>
          <w:tblLook w:val="04A0"/>
        </w:tblPrEx>
        <w:trPr>
          <w:trHeight w:val="2205"/>
        </w:trPr>
        <w:tc>
          <w:tcPr>
            <w:tcW w:w="3510" w:type="dxa"/>
            <w:tcBorders>
              <w:top w:val="single" w:sz="4" w:space="0" w:color="auto"/>
              <w:left w:val="single" w:sz="4" w:space="0" w:color="auto"/>
              <w:bottom w:val="nil"/>
              <w:right w:val="single" w:sz="4" w:space="0" w:color="auto"/>
            </w:tcBorders>
            <w:shd w:val="clear" w:color="auto" w:fill="auto"/>
            <w:vAlign w:val="center"/>
            <w:hideMark/>
          </w:tcPr>
          <w:p w:rsidR="00AD2146" w:rsidRPr="00BF51F1" w:rsidP="001F4553" w14:paraId="2B34285D" w14:textId="77777777">
            <w:pPr>
              <w:jc w:val="center"/>
              <w:rPr>
                <w:b/>
                <w:bCs/>
                <w:color w:val="000000"/>
              </w:rPr>
            </w:pPr>
            <w:r w:rsidRPr="00BF51F1">
              <w:rPr>
                <w:b/>
                <w:bCs/>
                <w:color w:val="000000"/>
              </w:rPr>
              <w:t>Activity</w:t>
            </w:r>
          </w:p>
        </w:tc>
        <w:tc>
          <w:tcPr>
            <w:tcW w:w="1349" w:type="dxa"/>
            <w:tcBorders>
              <w:top w:val="single" w:sz="4" w:space="0" w:color="auto"/>
              <w:left w:val="nil"/>
              <w:bottom w:val="nil"/>
              <w:right w:val="single" w:sz="4" w:space="0" w:color="auto"/>
            </w:tcBorders>
            <w:shd w:val="clear" w:color="auto" w:fill="auto"/>
            <w:hideMark/>
          </w:tcPr>
          <w:p w:rsidR="00AD2146" w:rsidRPr="00BF51F1" w:rsidP="001F4553" w14:paraId="0AFD377A" w14:textId="77777777">
            <w:pPr>
              <w:jc w:val="center"/>
              <w:rPr>
                <w:b/>
                <w:bCs/>
                <w:color w:val="000000"/>
              </w:rPr>
            </w:pPr>
            <w:r w:rsidRPr="00BF51F1">
              <w:rPr>
                <w:b/>
                <w:bCs/>
                <w:color w:val="000000"/>
              </w:rPr>
              <w:t xml:space="preserve">(A) </w:t>
            </w:r>
            <w:r w:rsidRPr="00BF51F1">
              <w:rPr>
                <w:b/>
                <w:bCs/>
                <w:color w:val="000000"/>
              </w:rPr>
              <w:br/>
              <w:t>EPA person- hours per occurrence</w:t>
            </w:r>
          </w:p>
        </w:tc>
        <w:tc>
          <w:tcPr>
            <w:tcW w:w="1443" w:type="dxa"/>
            <w:tcBorders>
              <w:top w:val="single" w:sz="4" w:space="0" w:color="auto"/>
              <w:left w:val="nil"/>
              <w:bottom w:val="nil"/>
              <w:right w:val="single" w:sz="4" w:space="0" w:color="auto"/>
            </w:tcBorders>
            <w:shd w:val="clear" w:color="auto" w:fill="auto"/>
            <w:hideMark/>
          </w:tcPr>
          <w:p w:rsidR="00AD2146" w:rsidRPr="00BF51F1" w:rsidP="001F4553" w14:paraId="2F4605EF" w14:textId="77777777">
            <w:pPr>
              <w:jc w:val="center"/>
              <w:rPr>
                <w:b/>
                <w:bCs/>
                <w:color w:val="000000"/>
              </w:rPr>
            </w:pPr>
            <w:r w:rsidRPr="00BF51F1">
              <w:rPr>
                <w:b/>
                <w:bCs/>
                <w:color w:val="000000"/>
              </w:rPr>
              <w:t xml:space="preserve">(B) </w:t>
            </w:r>
            <w:r w:rsidRPr="00BF51F1">
              <w:rPr>
                <w:b/>
                <w:bCs/>
                <w:color w:val="000000"/>
              </w:rPr>
              <w:br/>
              <w:t>No. of occurrences per plant per year</w:t>
            </w:r>
          </w:p>
        </w:tc>
        <w:tc>
          <w:tcPr>
            <w:tcW w:w="1212" w:type="dxa"/>
            <w:tcBorders>
              <w:top w:val="single" w:sz="4" w:space="0" w:color="auto"/>
              <w:left w:val="nil"/>
              <w:bottom w:val="nil"/>
              <w:right w:val="single" w:sz="4" w:space="0" w:color="auto"/>
            </w:tcBorders>
            <w:shd w:val="clear" w:color="auto" w:fill="auto"/>
            <w:hideMark/>
          </w:tcPr>
          <w:p w:rsidR="00AD2146" w:rsidRPr="00BF51F1" w:rsidP="001F4553" w14:paraId="2C5E67A9" w14:textId="77777777">
            <w:pPr>
              <w:jc w:val="center"/>
              <w:rPr>
                <w:b/>
                <w:bCs/>
                <w:color w:val="000000"/>
              </w:rPr>
            </w:pPr>
            <w:r w:rsidRPr="00BF51F1">
              <w:rPr>
                <w:b/>
                <w:bCs/>
                <w:color w:val="000000"/>
              </w:rPr>
              <w:t xml:space="preserve">(C) </w:t>
            </w:r>
            <w:r w:rsidRPr="00BF51F1">
              <w:rPr>
                <w:b/>
                <w:bCs/>
                <w:color w:val="000000"/>
              </w:rPr>
              <w:br/>
              <w:t xml:space="preserve">EPA person- hours per plant per year </w:t>
            </w:r>
            <w:r w:rsidRPr="00BF51F1">
              <w:rPr>
                <w:b/>
                <w:bCs/>
                <w:color w:val="000000"/>
              </w:rPr>
              <w:br/>
              <w:t>(</w:t>
            </w:r>
            <w:r w:rsidRPr="00BF51F1">
              <w:rPr>
                <w:b/>
                <w:bCs/>
                <w:color w:val="000000"/>
              </w:rPr>
              <w:t>AxB</w:t>
            </w:r>
            <w:r w:rsidRPr="00BF51F1">
              <w:rPr>
                <w:b/>
                <w:bCs/>
                <w:color w:val="000000"/>
              </w:rPr>
              <w:t>)</w:t>
            </w:r>
          </w:p>
        </w:tc>
        <w:tc>
          <w:tcPr>
            <w:tcW w:w="950" w:type="dxa"/>
            <w:tcBorders>
              <w:top w:val="single" w:sz="4" w:space="0" w:color="auto"/>
              <w:left w:val="nil"/>
              <w:bottom w:val="nil"/>
              <w:right w:val="single" w:sz="4" w:space="0" w:color="auto"/>
            </w:tcBorders>
            <w:shd w:val="clear" w:color="auto" w:fill="auto"/>
            <w:hideMark/>
          </w:tcPr>
          <w:p w:rsidR="00AD2146" w:rsidRPr="00BF51F1" w:rsidP="001F4553" w14:paraId="3CBB7CF6" w14:textId="77777777">
            <w:pPr>
              <w:jc w:val="center"/>
              <w:rPr>
                <w:b/>
                <w:bCs/>
                <w:color w:val="000000"/>
              </w:rPr>
            </w:pPr>
            <w:r w:rsidRPr="00BF51F1">
              <w:rPr>
                <w:b/>
                <w:bCs/>
                <w:color w:val="000000"/>
              </w:rPr>
              <w:t xml:space="preserve">(D) </w:t>
            </w:r>
            <w:r w:rsidRPr="00BF51F1">
              <w:rPr>
                <w:b/>
                <w:bCs/>
                <w:color w:val="000000"/>
              </w:rPr>
              <w:br/>
              <w:t xml:space="preserve">Plants per year </w:t>
            </w:r>
            <w:r w:rsidRPr="00BF51F1">
              <w:rPr>
                <w:b/>
                <w:bCs/>
                <w:color w:val="000000"/>
                <w:vertAlign w:val="superscript"/>
              </w:rPr>
              <w:t>a</w:t>
            </w:r>
          </w:p>
        </w:tc>
        <w:tc>
          <w:tcPr>
            <w:tcW w:w="1216" w:type="dxa"/>
            <w:tcBorders>
              <w:top w:val="single" w:sz="4" w:space="0" w:color="auto"/>
              <w:left w:val="nil"/>
              <w:bottom w:val="nil"/>
              <w:right w:val="single" w:sz="4" w:space="0" w:color="auto"/>
            </w:tcBorders>
            <w:shd w:val="clear" w:color="auto" w:fill="auto"/>
            <w:hideMark/>
          </w:tcPr>
          <w:p w:rsidR="00AD2146" w:rsidRPr="00BF51F1" w:rsidP="001F4553" w14:paraId="7FB5B68A" w14:textId="77777777">
            <w:pPr>
              <w:jc w:val="center"/>
              <w:rPr>
                <w:b/>
                <w:bCs/>
                <w:color w:val="000000"/>
              </w:rPr>
            </w:pPr>
            <w:r w:rsidRPr="00BF51F1">
              <w:rPr>
                <w:b/>
                <w:bCs/>
                <w:color w:val="000000"/>
              </w:rPr>
              <w:t xml:space="preserve">(E) </w:t>
            </w:r>
            <w:r w:rsidRPr="00BF51F1">
              <w:rPr>
                <w:b/>
                <w:bCs/>
                <w:color w:val="000000"/>
              </w:rPr>
              <w:br/>
              <w:t xml:space="preserve">Technical person- hours per year </w:t>
            </w:r>
            <w:r w:rsidRPr="00BF51F1">
              <w:rPr>
                <w:b/>
                <w:bCs/>
                <w:color w:val="000000"/>
              </w:rPr>
              <w:br/>
              <w:t>(</w:t>
            </w:r>
            <w:r w:rsidRPr="00BF51F1">
              <w:rPr>
                <w:b/>
                <w:bCs/>
                <w:color w:val="000000"/>
              </w:rPr>
              <w:t>CxD</w:t>
            </w:r>
            <w:r w:rsidRPr="00BF51F1">
              <w:rPr>
                <w:b/>
                <w:bCs/>
                <w:color w:val="000000"/>
              </w:rPr>
              <w:t>)</w:t>
            </w:r>
          </w:p>
        </w:tc>
        <w:tc>
          <w:tcPr>
            <w:tcW w:w="1563" w:type="dxa"/>
            <w:tcBorders>
              <w:top w:val="single" w:sz="4" w:space="0" w:color="auto"/>
              <w:left w:val="nil"/>
              <w:bottom w:val="nil"/>
              <w:right w:val="single" w:sz="4" w:space="0" w:color="auto"/>
            </w:tcBorders>
            <w:shd w:val="clear" w:color="auto" w:fill="auto"/>
            <w:hideMark/>
          </w:tcPr>
          <w:p w:rsidR="00AD2146" w:rsidRPr="00BF51F1" w:rsidP="001F4553" w14:paraId="7928CFC7" w14:textId="77777777">
            <w:pPr>
              <w:jc w:val="center"/>
              <w:rPr>
                <w:b/>
                <w:bCs/>
                <w:color w:val="000000"/>
              </w:rPr>
            </w:pPr>
            <w:r w:rsidRPr="00BF51F1">
              <w:rPr>
                <w:b/>
                <w:bCs/>
                <w:color w:val="000000"/>
              </w:rPr>
              <w:t xml:space="preserve">(F) </w:t>
            </w:r>
            <w:r w:rsidRPr="00BF51F1">
              <w:rPr>
                <w:b/>
                <w:bCs/>
                <w:color w:val="000000"/>
              </w:rPr>
              <w:br/>
              <w:t xml:space="preserve">Management person-hours per year </w:t>
            </w:r>
            <w:r w:rsidRPr="00BF51F1">
              <w:rPr>
                <w:b/>
                <w:bCs/>
                <w:color w:val="000000"/>
              </w:rPr>
              <w:br/>
              <w:t>(Ex0.05)</w:t>
            </w:r>
          </w:p>
        </w:tc>
        <w:tc>
          <w:tcPr>
            <w:tcW w:w="1233" w:type="dxa"/>
            <w:tcBorders>
              <w:top w:val="single" w:sz="4" w:space="0" w:color="auto"/>
              <w:left w:val="nil"/>
              <w:bottom w:val="nil"/>
              <w:right w:val="single" w:sz="4" w:space="0" w:color="auto"/>
            </w:tcBorders>
            <w:shd w:val="clear" w:color="auto" w:fill="auto"/>
            <w:hideMark/>
          </w:tcPr>
          <w:p w:rsidR="00AD2146" w:rsidRPr="00BF51F1" w:rsidP="001F4553" w14:paraId="2DB80B0B" w14:textId="77777777">
            <w:pPr>
              <w:jc w:val="center"/>
              <w:rPr>
                <w:b/>
                <w:bCs/>
                <w:color w:val="000000"/>
              </w:rPr>
            </w:pPr>
            <w:r w:rsidRPr="00BF51F1">
              <w:rPr>
                <w:b/>
                <w:bCs/>
                <w:color w:val="000000"/>
              </w:rPr>
              <w:t xml:space="preserve">(G) </w:t>
            </w:r>
            <w:r w:rsidRPr="00BF51F1">
              <w:rPr>
                <w:b/>
                <w:bCs/>
                <w:color w:val="000000"/>
              </w:rPr>
              <w:br/>
              <w:t xml:space="preserve">Clerical person-hours per year </w:t>
            </w:r>
            <w:r w:rsidRPr="00BF51F1">
              <w:rPr>
                <w:b/>
                <w:bCs/>
                <w:color w:val="000000"/>
              </w:rPr>
              <w:br/>
              <w:t>(Ex0.1)</w:t>
            </w:r>
          </w:p>
        </w:tc>
        <w:tc>
          <w:tcPr>
            <w:tcW w:w="1297" w:type="dxa"/>
            <w:tcBorders>
              <w:top w:val="single" w:sz="4" w:space="0" w:color="auto"/>
              <w:left w:val="nil"/>
              <w:bottom w:val="nil"/>
              <w:right w:val="single" w:sz="4" w:space="0" w:color="auto"/>
            </w:tcBorders>
            <w:shd w:val="clear" w:color="auto" w:fill="auto"/>
            <w:hideMark/>
          </w:tcPr>
          <w:p w:rsidR="00AD2146" w:rsidRPr="00BF51F1" w:rsidP="001F4553" w14:paraId="088C6151" w14:textId="77777777">
            <w:pPr>
              <w:jc w:val="center"/>
              <w:rPr>
                <w:b/>
                <w:bCs/>
                <w:color w:val="000000"/>
              </w:rPr>
            </w:pPr>
            <w:r w:rsidRPr="00BF51F1">
              <w:rPr>
                <w:b/>
                <w:bCs/>
                <w:color w:val="000000"/>
              </w:rPr>
              <w:t xml:space="preserve">(H) </w:t>
            </w:r>
            <w:r w:rsidRPr="00BF51F1">
              <w:rPr>
                <w:b/>
                <w:bCs/>
                <w:color w:val="000000"/>
              </w:rPr>
              <w:br/>
              <w:t xml:space="preserve">Cost </w:t>
            </w:r>
            <w:r w:rsidRPr="00BF51F1">
              <w:rPr>
                <w:b/>
                <w:bCs/>
                <w:color w:val="000000"/>
                <w:vertAlign w:val="superscript"/>
              </w:rPr>
              <w:t>b</w:t>
            </w:r>
          </w:p>
        </w:tc>
      </w:tr>
      <w:tr w14:paraId="69100346" w14:textId="77777777" w:rsidTr="001F4553">
        <w:tblPrEx>
          <w:tblW w:w="13773" w:type="dxa"/>
          <w:tblInd w:w="-450" w:type="dxa"/>
          <w:tblLook w:val="04A0"/>
        </w:tblPrEx>
        <w:trPr>
          <w:trHeight w:val="46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BF51F1" w:rsidP="001F4553" w14:paraId="5D1327F9" w14:textId="77777777">
            <w:pPr>
              <w:rPr>
                <w:color w:val="000000"/>
              </w:rPr>
            </w:pPr>
            <w:r w:rsidRPr="00BF51F1">
              <w:rPr>
                <w:color w:val="000000"/>
              </w:rPr>
              <w:t xml:space="preserve">Review notification of construction/reconstruction </w:t>
            </w:r>
            <w:r w:rsidRPr="00BF51F1">
              <w:rPr>
                <w:color w:val="000000"/>
                <w:vertAlign w:val="superscript"/>
              </w:rPr>
              <w:t>c</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46" w:rsidRPr="00BF51F1" w:rsidP="001F4553" w14:paraId="42F175E4" w14:textId="77777777">
            <w:pPr>
              <w:jc w:val="center"/>
              <w:rPr>
                <w:color w:val="000000"/>
              </w:rPr>
            </w:pPr>
            <w:r>
              <w:rPr>
                <w:color w:val="000000"/>
              </w:rPr>
              <w:t>2</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44447E06" w14:textId="77777777">
            <w:pPr>
              <w:jc w:val="center"/>
              <w:rPr>
                <w:color w:val="000000"/>
              </w:rPr>
            </w:pPr>
            <w:r>
              <w:rPr>
                <w:color w:val="000000"/>
              </w:rPr>
              <w:t>1</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12A38FFD" w14:textId="77777777">
            <w:pPr>
              <w:jc w:val="center"/>
              <w:rPr>
                <w:color w:val="000000"/>
              </w:rPr>
            </w:pPr>
            <w:r>
              <w:rPr>
                <w:color w:val="000000"/>
              </w:rPr>
              <w:t>2</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27D78E4A" w14:textId="77777777">
            <w:pPr>
              <w:jc w:val="center"/>
              <w:rPr>
                <w:color w:val="000000"/>
              </w:rPr>
            </w:pPr>
            <w:r>
              <w:rPr>
                <w:color w:val="000000"/>
              </w:rPr>
              <w:t>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137A7B43" w14:textId="77777777">
            <w:pPr>
              <w:jc w:val="center"/>
              <w:rPr>
                <w:color w:val="000000"/>
              </w:rPr>
            </w:pPr>
            <w:r>
              <w:rPr>
                <w:color w:val="000000"/>
              </w:rPr>
              <w:t>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5CD76CAA" w14:textId="77777777">
            <w:pPr>
              <w:jc w:val="center"/>
              <w:rPr>
                <w:color w:val="000000"/>
              </w:rPr>
            </w:pPr>
            <w:r>
              <w:rPr>
                <w:color w:val="000000"/>
              </w:rPr>
              <w:t>0</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4F709FDB" w14:textId="77777777">
            <w:pPr>
              <w:jc w:val="center"/>
              <w:rPr>
                <w:color w:val="000000"/>
              </w:rPr>
            </w:pPr>
            <w:r>
              <w:rPr>
                <w:color w:val="000000"/>
              </w:rPr>
              <w:t>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2EB17631" w14:textId="77777777">
            <w:pPr>
              <w:jc w:val="right"/>
              <w:rPr>
                <w:color w:val="000000"/>
              </w:rPr>
            </w:pPr>
            <w:r>
              <w:rPr>
                <w:color w:val="000000"/>
              </w:rPr>
              <w:t xml:space="preserve">$0 </w:t>
            </w:r>
          </w:p>
        </w:tc>
      </w:tr>
      <w:tr w14:paraId="6F6EC33E" w14:textId="77777777" w:rsidTr="001F4553">
        <w:tblPrEx>
          <w:tblW w:w="13773" w:type="dxa"/>
          <w:tblInd w:w="-450" w:type="dxa"/>
          <w:tblLook w:val="04A0"/>
        </w:tblPrEx>
        <w:trPr>
          <w:trHeight w:val="37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265A8D97" w14:textId="77777777">
            <w:pPr>
              <w:rPr>
                <w:color w:val="000000"/>
              </w:rPr>
            </w:pPr>
            <w:r w:rsidRPr="00BF51F1">
              <w:rPr>
                <w:color w:val="000000"/>
              </w:rPr>
              <w:t xml:space="preserve">Review notification of modification </w:t>
            </w:r>
            <w:r w:rsidRPr="00BF51F1">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7AF6A8AD"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63B1F858" w14:textId="77777777">
            <w:pPr>
              <w:jc w:val="center"/>
              <w:rPr>
                <w:color w:val="000000"/>
              </w:rPr>
            </w:pPr>
            <w:r>
              <w:rPr>
                <w:color w:val="000000"/>
              </w:rPr>
              <w:t>1</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3D913FC8" w14:textId="77777777">
            <w:pPr>
              <w:jc w:val="center"/>
              <w:rPr>
                <w:color w:val="000000"/>
              </w:rPr>
            </w:pPr>
            <w:r>
              <w:rPr>
                <w:color w:val="000000"/>
              </w:rPr>
              <w:t>2</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0848A025"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5345FAA"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546EDC0" w14:textId="77777777">
            <w:pPr>
              <w:jc w:val="center"/>
              <w:rPr>
                <w:color w:val="000000"/>
              </w:rPr>
            </w:pPr>
            <w:r>
              <w:rPr>
                <w:color w:val="000000"/>
              </w:rPr>
              <w:t>0</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2D1BB54B" w14:textId="77777777">
            <w:pPr>
              <w:jc w:val="center"/>
              <w:rPr>
                <w:color w:val="000000"/>
              </w:rPr>
            </w:pPr>
            <w:r>
              <w:rPr>
                <w:color w:val="000000"/>
              </w:rPr>
              <w:t>0</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1B06D038" w14:textId="77777777">
            <w:pPr>
              <w:jc w:val="right"/>
              <w:rPr>
                <w:color w:val="000000"/>
              </w:rPr>
            </w:pPr>
            <w:r>
              <w:rPr>
                <w:color w:val="000000"/>
              </w:rPr>
              <w:t xml:space="preserve">$0 </w:t>
            </w:r>
          </w:p>
        </w:tc>
      </w:tr>
      <w:tr w14:paraId="5E953686" w14:textId="77777777" w:rsidTr="001F4553">
        <w:tblPrEx>
          <w:tblW w:w="13773" w:type="dxa"/>
          <w:tblInd w:w="-450" w:type="dxa"/>
          <w:tblLook w:val="04A0"/>
        </w:tblPrEx>
        <w:trPr>
          <w:trHeight w:val="37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74505A2" w14:textId="77777777">
            <w:pPr>
              <w:rPr>
                <w:color w:val="000000"/>
              </w:rPr>
            </w:pPr>
            <w:r w:rsidRPr="00BF51F1">
              <w:rPr>
                <w:color w:val="000000"/>
              </w:rPr>
              <w:t xml:space="preserve">Review notification of anticipated startup </w:t>
            </w:r>
            <w:r w:rsidRPr="00BF51F1">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7DF5BEBC"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7A33CEA" w14:textId="77777777">
            <w:pPr>
              <w:jc w:val="center"/>
              <w:rPr>
                <w:color w:val="000000"/>
              </w:rPr>
            </w:pPr>
            <w:r>
              <w:rPr>
                <w:color w:val="000000"/>
              </w:rPr>
              <w:t>1</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2C64B859" w14:textId="77777777">
            <w:pPr>
              <w:jc w:val="center"/>
              <w:rPr>
                <w:color w:val="000000"/>
              </w:rPr>
            </w:pPr>
            <w:r>
              <w:rPr>
                <w:color w:val="000000"/>
              </w:rPr>
              <w:t>2</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2F00F1EB"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524D9811"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05CF99E6" w14:textId="77777777">
            <w:pPr>
              <w:jc w:val="center"/>
              <w:rPr>
                <w:color w:val="000000"/>
              </w:rPr>
            </w:pPr>
            <w:r>
              <w:rPr>
                <w:color w:val="000000"/>
              </w:rPr>
              <w:t>0</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084FB83E" w14:textId="77777777">
            <w:pPr>
              <w:jc w:val="center"/>
              <w:rPr>
                <w:color w:val="000000"/>
              </w:rPr>
            </w:pPr>
            <w:r>
              <w:rPr>
                <w:color w:val="000000"/>
              </w:rPr>
              <w:t>0</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755BD206" w14:textId="77777777">
            <w:pPr>
              <w:jc w:val="right"/>
              <w:rPr>
                <w:color w:val="000000"/>
              </w:rPr>
            </w:pPr>
            <w:r>
              <w:rPr>
                <w:color w:val="000000"/>
              </w:rPr>
              <w:t xml:space="preserve">$0 </w:t>
            </w:r>
          </w:p>
        </w:tc>
      </w:tr>
      <w:tr w14:paraId="492C9F96" w14:textId="77777777" w:rsidTr="001F4553">
        <w:tblPrEx>
          <w:tblW w:w="13773" w:type="dxa"/>
          <w:tblInd w:w="-450" w:type="dxa"/>
          <w:tblLook w:val="04A0"/>
        </w:tblPrEx>
        <w:trPr>
          <w:trHeight w:val="40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D59A6BF" w14:textId="77777777">
            <w:pPr>
              <w:rPr>
                <w:color w:val="000000"/>
              </w:rPr>
            </w:pPr>
            <w:r w:rsidRPr="00BF51F1">
              <w:rPr>
                <w:color w:val="000000"/>
              </w:rPr>
              <w:t xml:space="preserve">Review notification of actual startup </w:t>
            </w:r>
            <w:r w:rsidRPr="00BF51F1">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35EAEBA"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3261D808" w14:textId="77777777">
            <w:pPr>
              <w:jc w:val="center"/>
              <w:rPr>
                <w:color w:val="000000"/>
              </w:rPr>
            </w:pPr>
            <w:r>
              <w:rPr>
                <w:color w:val="000000"/>
              </w:rPr>
              <w:t>1</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6EA9892A" w14:textId="77777777">
            <w:pPr>
              <w:jc w:val="center"/>
              <w:rPr>
                <w:color w:val="000000"/>
              </w:rPr>
            </w:pPr>
            <w:r>
              <w:rPr>
                <w:color w:val="000000"/>
              </w:rPr>
              <w:t>2</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78FFFD6D"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0FAA3177"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0F38673E" w14:textId="77777777">
            <w:pPr>
              <w:jc w:val="center"/>
              <w:rPr>
                <w:color w:val="000000"/>
              </w:rPr>
            </w:pPr>
            <w:r>
              <w:rPr>
                <w:color w:val="000000"/>
              </w:rPr>
              <w:t>0</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01DD742B" w14:textId="77777777">
            <w:pPr>
              <w:jc w:val="center"/>
              <w:rPr>
                <w:color w:val="000000"/>
              </w:rPr>
            </w:pPr>
            <w:r>
              <w:rPr>
                <w:color w:val="000000"/>
              </w:rPr>
              <w:t>0</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27BE4367" w14:textId="77777777">
            <w:pPr>
              <w:jc w:val="right"/>
              <w:rPr>
                <w:color w:val="000000"/>
              </w:rPr>
            </w:pPr>
            <w:r>
              <w:rPr>
                <w:color w:val="000000"/>
              </w:rPr>
              <w:t xml:space="preserve">$0 </w:t>
            </w:r>
          </w:p>
        </w:tc>
      </w:tr>
      <w:tr w14:paraId="67B46DBF" w14:textId="77777777" w:rsidTr="001F4553">
        <w:tblPrEx>
          <w:tblW w:w="13773" w:type="dxa"/>
          <w:tblInd w:w="-450" w:type="dxa"/>
          <w:tblLook w:val="04A0"/>
        </w:tblPrEx>
        <w:trPr>
          <w:trHeight w:val="40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4FF30DD1" w14:textId="77777777">
            <w:pPr>
              <w:rPr>
                <w:color w:val="000000"/>
              </w:rPr>
            </w:pPr>
            <w:r w:rsidRPr="00BF51F1">
              <w:rPr>
                <w:color w:val="000000"/>
              </w:rPr>
              <w:t xml:space="preserve">Review notification of demonstration of CEMS </w:t>
            </w:r>
            <w:r w:rsidRPr="00BF51F1">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A65D9FA"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068177F" w14:textId="77777777">
            <w:pPr>
              <w:jc w:val="center"/>
              <w:rPr>
                <w:color w:val="000000"/>
              </w:rPr>
            </w:pPr>
            <w:r>
              <w:rPr>
                <w:color w:val="000000"/>
              </w:rPr>
              <w:t>1</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645A4E82" w14:textId="77777777">
            <w:pPr>
              <w:jc w:val="center"/>
              <w:rPr>
                <w:color w:val="000000"/>
              </w:rPr>
            </w:pPr>
            <w:r>
              <w:rPr>
                <w:color w:val="000000"/>
              </w:rPr>
              <w:t>2</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7782B64D"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C98A972"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37A975D2" w14:textId="77777777">
            <w:pPr>
              <w:jc w:val="center"/>
              <w:rPr>
                <w:color w:val="000000"/>
              </w:rPr>
            </w:pPr>
            <w:r>
              <w:rPr>
                <w:color w:val="000000"/>
              </w:rPr>
              <w:t>0</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7B19D96B" w14:textId="77777777">
            <w:pPr>
              <w:jc w:val="center"/>
              <w:rPr>
                <w:color w:val="000000"/>
              </w:rPr>
            </w:pPr>
            <w:r>
              <w:rPr>
                <w:color w:val="000000"/>
              </w:rPr>
              <w:t>0</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29B6DFCC" w14:textId="77777777">
            <w:pPr>
              <w:jc w:val="right"/>
              <w:rPr>
                <w:color w:val="000000"/>
              </w:rPr>
            </w:pPr>
            <w:r>
              <w:rPr>
                <w:color w:val="000000"/>
              </w:rPr>
              <w:t xml:space="preserve">$0 </w:t>
            </w:r>
          </w:p>
        </w:tc>
      </w:tr>
      <w:tr w14:paraId="0A4D329D" w14:textId="77777777" w:rsidTr="001F4553">
        <w:tblPrEx>
          <w:tblW w:w="13773" w:type="dxa"/>
          <w:tblInd w:w="-450" w:type="dxa"/>
          <w:tblLook w:val="04A0"/>
        </w:tblPrEx>
        <w:trPr>
          <w:trHeight w:val="37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FE33406" w14:textId="77777777">
            <w:pPr>
              <w:rPr>
                <w:color w:val="000000"/>
              </w:rPr>
            </w:pPr>
            <w:r w:rsidRPr="00BF51F1">
              <w:rPr>
                <w:color w:val="000000"/>
              </w:rPr>
              <w:t xml:space="preserve">Review of CEMS demonstration report </w:t>
            </w:r>
            <w:r w:rsidRPr="00BF51F1">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A4F726B"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4E53B19" w14:textId="77777777">
            <w:pPr>
              <w:jc w:val="center"/>
              <w:rPr>
                <w:color w:val="000000"/>
              </w:rPr>
            </w:pPr>
            <w:r>
              <w:rPr>
                <w:color w:val="000000"/>
              </w:rPr>
              <w:t>1</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1919322F" w14:textId="77777777">
            <w:pPr>
              <w:jc w:val="center"/>
              <w:rPr>
                <w:color w:val="000000"/>
              </w:rPr>
            </w:pPr>
            <w:r>
              <w:rPr>
                <w:color w:val="000000"/>
              </w:rPr>
              <w:t>2</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76A6F18A"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7D8D2B5F"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BC5DF9D" w14:textId="77777777">
            <w:pPr>
              <w:jc w:val="center"/>
              <w:rPr>
                <w:color w:val="000000"/>
              </w:rPr>
            </w:pPr>
            <w:r>
              <w:rPr>
                <w:color w:val="000000"/>
              </w:rPr>
              <w:t>0</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61204680" w14:textId="77777777">
            <w:pPr>
              <w:jc w:val="center"/>
              <w:rPr>
                <w:color w:val="000000"/>
              </w:rPr>
            </w:pPr>
            <w:r>
              <w:rPr>
                <w:color w:val="000000"/>
              </w:rPr>
              <w:t>0</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2E3D8CBE" w14:textId="77777777">
            <w:pPr>
              <w:jc w:val="right"/>
              <w:rPr>
                <w:color w:val="000000"/>
              </w:rPr>
            </w:pPr>
            <w:r>
              <w:rPr>
                <w:color w:val="000000"/>
              </w:rPr>
              <w:t xml:space="preserve">$0 </w:t>
            </w:r>
          </w:p>
        </w:tc>
      </w:tr>
      <w:tr w14:paraId="1872AF70" w14:textId="77777777" w:rsidTr="001F4553">
        <w:tblPrEx>
          <w:tblW w:w="13773" w:type="dxa"/>
          <w:tblInd w:w="-450" w:type="dxa"/>
          <w:tblLook w:val="04A0"/>
        </w:tblPrEx>
        <w:trPr>
          <w:trHeight w:val="37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4E9B5F7D" w14:textId="77777777">
            <w:pPr>
              <w:rPr>
                <w:color w:val="000000"/>
              </w:rPr>
            </w:pPr>
            <w:r w:rsidRPr="00BF51F1">
              <w:rPr>
                <w:color w:val="000000"/>
              </w:rPr>
              <w:t xml:space="preserve">Review notification of initial performance test </w:t>
            </w:r>
            <w:r w:rsidRPr="00BF51F1">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9AB2FED"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775A780D" w14:textId="77777777">
            <w:pPr>
              <w:jc w:val="center"/>
              <w:rPr>
                <w:color w:val="000000"/>
              </w:rPr>
            </w:pPr>
            <w:r>
              <w:rPr>
                <w:color w:val="000000"/>
              </w:rPr>
              <w:t>1</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64BC8C92" w14:textId="77777777">
            <w:pPr>
              <w:jc w:val="center"/>
              <w:rPr>
                <w:color w:val="000000"/>
              </w:rPr>
            </w:pPr>
            <w:r>
              <w:rPr>
                <w:color w:val="000000"/>
              </w:rPr>
              <w:t>2</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3069B500"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6251936B"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6E916894" w14:textId="77777777">
            <w:pPr>
              <w:jc w:val="center"/>
              <w:rPr>
                <w:color w:val="000000"/>
              </w:rPr>
            </w:pPr>
            <w:r>
              <w:rPr>
                <w:color w:val="000000"/>
              </w:rPr>
              <w:t>0</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5B65E781" w14:textId="77777777">
            <w:pPr>
              <w:jc w:val="center"/>
              <w:rPr>
                <w:color w:val="000000"/>
              </w:rPr>
            </w:pPr>
            <w:r>
              <w:rPr>
                <w:color w:val="000000"/>
              </w:rPr>
              <w:t>0</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6F6F35DF" w14:textId="77777777">
            <w:pPr>
              <w:jc w:val="right"/>
              <w:rPr>
                <w:color w:val="000000"/>
              </w:rPr>
            </w:pPr>
            <w:r>
              <w:rPr>
                <w:color w:val="000000"/>
              </w:rPr>
              <w:t xml:space="preserve">$0 </w:t>
            </w:r>
          </w:p>
        </w:tc>
      </w:tr>
      <w:tr w14:paraId="4CC4E687" w14:textId="77777777" w:rsidTr="001F4553">
        <w:tblPrEx>
          <w:tblW w:w="13773" w:type="dxa"/>
          <w:tblInd w:w="-450" w:type="dxa"/>
          <w:tblLook w:val="04A0"/>
        </w:tblPrEx>
        <w:trPr>
          <w:trHeight w:val="37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02C1263F" w14:textId="77777777">
            <w:pPr>
              <w:rPr>
                <w:color w:val="000000"/>
              </w:rPr>
            </w:pPr>
            <w:r w:rsidRPr="00BF51F1">
              <w:rPr>
                <w:color w:val="000000"/>
              </w:rPr>
              <w:t xml:space="preserve">Review of semiannual reports </w:t>
            </w:r>
            <w:r w:rsidRPr="00BF51F1">
              <w:rPr>
                <w:color w:val="000000"/>
                <w:vertAlign w:val="superscript"/>
              </w:rPr>
              <w:t>d</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46E4E819" w14:textId="77777777">
            <w:pPr>
              <w:jc w:val="center"/>
              <w:rPr>
                <w:color w:val="000000"/>
              </w:rPr>
            </w:pPr>
            <w:r>
              <w:rPr>
                <w:color w:val="000000"/>
              </w:rPr>
              <w:t>8</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56A8DD2D" w14:textId="77777777">
            <w:pPr>
              <w:jc w:val="center"/>
              <w:rPr>
                <w:color w:val="000000"/>
              </w:rPr>
            </w:pPr>
            <w:r>
              <w:rPr>
                <w:color w:val="000000"/>
              </w:rPr>
              <w:t>2</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2739ECE1" w14:textId="77777777">
            <w:pPr>
              <w:jc w:val="center"/>
              <w:rPr>
                <w:color w:val="000000"/>
              </w:rPr>
            </w:pPr>
            <w:r>
              <w:rPr>
                <w:color w:val="000000"/>
              </w:rPr>
              <w:t>16</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74412BEE" w14:textId="77777777">
            <w:pPr>
              <w:jc w:val="center"/>
              <w:rPr>
                <w:color w:val="000000"/>
              </w:rPr>
            </w:pPr>
            <w:r>
              <w:rPr>
                <w:color w:val="000000"/>
              </w:rPr>
              <w:t>14</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033F5282" w14:textId="77777777">
            <w:pPr>
              <w:jc w:val="center"/>
              <w:rPr>
                <w:color w:val="000000"/>
              </w:rPr>
            </w:pPr>
            <w:r>
              <w:rPr>
                <w:color w:val="000000"/>
              </w:rPr>
              <w:t xml:space="preserve">224 </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2F4D013F" w14:textId="77777777">
            <w:pPr>
              <w:jc w:val="center"/>
              <w:rPr>
                <w:color w:val="000000"/>
              </w:rPr>
            </w:pPr>
            <w:r>
              <w:rPr>
                <w:color w:val="000000"/>
              </w:rPr>
              <w:t>11</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38359453" w14:textId="77777777">
            <w:pPr>
              <w:jc w:val="center"/>
              <w:rPr>
                <w:color w:val="000000"/>
              </w:rPr>
            </w:pPr>
            <w:r>
              <w:rPr>
                <w:color w:val="000000"/>
              </w:rPr>
              <w:t>22</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7A87F4BD" w14:textId="77777777">
            <w:pPr>
              <w:jc w:val="right"/>
              <w:rPr>
                <w:color w:val="000000"/>
              </w:rPr>
            </w:pPr>
            <w:r>
              <w:rPr>
                <w:color w:val="000000"/>
              </w:rPr>
              <w:t xml:space="preserve">$13,693.79 </w:t>
            </w:r>
          </w:p>
        </w:tc>
      </w:tr>
      <w:tr w14:paraId="26BB2B23" w14:textId="77777777" w:rsidTr="001F4553">
        <w:tblPrEx>
          <w:tblW w:w="13773" w:type="dxa"/>
          <w:tblInd w:w="-450" w:type="dxa"/>
          <w:tblLook w:val="04A0"/>
        </w:tblPrEx>
        <w:trPr>
          <w:trHeight w:val="37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38CCAA3A" w14:textId="77777777">
            <w:pPr>
              <w:rPr>
                <w:color w:val="000000"/>
              </w:rPr>
            </w:pPr>
            <w:r w:rsidRPr="00BF51F1">
              <w:rPr>
                <w:color w:val="000000"/>
              </w:rPr>
              <w:t xml:space="preserve">Review results of performance test </w:t>
            </w:r>
            <w:r w:rsidRPr="00BF51F1">
              <w:rPr>
                <w:color w:val="000000"/>
                <w:vertAlign w:val="superscript"/>
              </w:rPr>
              <w:t>c</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1EAB3D1A" w14:textId="77777777">
            <w:pPr>
              <w:jc w:val="center"/>
              <w:rPr>
                <w:color w:val="000000"/>
              </w:rPr>
            </w:pPr>
            <w:r>
              <w:rPr>
                <w:color w:val="000000"/>
              </w:rPr>
              <w:t>2</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2A53D39B" w14:textId="77777777">
            <w:pPr>
              <w:jc w:val="center"/>
              <w:rPr>
                <w:color w:val="000000"/>
              </w:rPr>
            </w:pPr>
            <w:r>
              <w:rPr>
                <w:color w:val="000000"/>
              </w:rPr>
              <w:t>1</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6CE9ADE2" w14:textId="77777777">
            <w:pPr>
              <w:jc w:val="center"/>
              <w:rPr>
                <w:color w:val="000000"/>
              </w:rPr>
            </w:pPr>
            <w:r>
              <w:rPr>
                <w:color w:val="000000"/>
              </w:rPr>
              <w:t>2</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5BC0A95E" w14:textId="77777777">
            <w:pPr>
              <w:jc w:val="center"/>
              <w:rPr>
                <w:color w:val="000000"/>
              </w:rPr>
            </w:pPr>
            <w:r>
              <w:rPr>
                <w:color w:val="000000"/>
              </w:rPr>
              <w:t>0</w:t>
            </w:r>
          </w:p>
        </w:tc>
        <w:tc>
          <w:tcPr>
            <w:tcW w:w="1216" w:type="dxa"/>
            <w:tcBorders>
              <w:top w:val="nil"/>
              <w:left w:val="nil"/>
              <w:bottom w:val="single" w:sz="4" w:space="0" w:color="auto"/>
              <w:right w:val="single" w:sz="4" w:space="0" w:color="auto"/>
            </w:tcBorders>
            <w:shd w:val="clear" w:color="auto" w:fill="auto"/>
            <w:vAlign w:val="center"/>
            <w:hideMark/>
          </w:tcPr>
          <w:p w:rsidR="00AD2146" w:rsidRPr="00BF51F1" w:rsidP="001F4553" w14:paraId="092E5524" w14:textId="77777777">
            <w:pPr>
              <w:jc w:val="center"/>
              <w:rPr>
                <w:color w:val="000000"/>
              </w:rPr>
            </w:pPr>
            <w:r>
              <w:rPr>
                <w:color w:val="000000"/>
              </w:rPr>
              <w:t>0</w:t>
            </w:r>
          </w:p>
        </w:tc>
        <w:tc>
          <w:tcPr>
            <w:tcW w:w="1563" w:type="dxa"/>
            <w:tcBorders>
              <w:top w:val="nil"/>
              <w:left w:val="nil"/>
              <w:bottom w:val="single" w:sz="4" w:space="0" w:color="auto"/>
              <w:right w:val="single" w:sz="4" w:space="0" w:color="auto"/>
            </w:tcBorders>
            <w:shd w:val="clear" w:color="auto" w:fill="auto"/>
            <w:vAlign w:val="center"/>
            <w:hideMark/>
          </w:tcPr>
          <w:p w:rsidR="00AD2146" w:rsidRPr="00BF51F1" w:rsidP="001F4553" w14:paraId="5184FF53" w14:textId="77777777">
            <w:pPr>
              <w:jc w:val="center"/>
              <w:rPr>
                <w:color w:val="000000"/>
              </w:rPr>
            </w:pPr>
            <w:r>
              <w:rPr>
                <w:color w:val="000000"/>
              </w:rPr>
              <w:t>0</w:t>
            </w:r>
          </w:p>
        </w:tc>
        <w:tc>
          <w:tcPr>
            <w:tcW w:w="1233" w:type="dxa"/>
            <w:tcBorders>
              <w:top w:val="nil"/>
              <w:left w:val="nil"/>
              <w:bottom w:val="single" w:sz="4" w:space="0" w:color="auto"/>
              <w:right w:val="single" w:sz="4" w:space="0" w:color="auto"/>
            </w:tcBorders>
            <w:shd w:val="clear" w:color="auto" w:fill="auto"/>
            <w:vAlign w:val="center"/>
            <w:hideMark/>
          </w:tcPr>
          <w:p w:rsidR="00AD2146" w:rsidRPr="00BF51F1" w:rsidP="001F4553" w14:paraId="7643E44C" w14:textId="77777777">
            <w:pPr>
              <w:jc w:val="center"/>
              <w:rPr>
                <w:color w:val="000000"/>
              </w:rPr>
            </w:pPr>
            <w:r>
              <w:rPr>
                <w:color w:val="000000"/>
              </w:rPr>
              <w:t>0</w:t>
            </w:r>
          </w:p>
        </w:tc>
        <w:tc>
          <w:tcPr>
            <w:tcW w:w="1297" w:type="dxa"/>
            <w:tcBorders>
              <w:top w:val="nil"/>
              <w:left w:val="nil"/>
              <w:bottom w:val="single" w:sz="4" w:space="0" w:color="auto"/>
              <w:right w:val="single" w:sz="4" w:space="0" w:color="auto"/>
            </w:tcBorders>
            <w:shd w:val="clear" w:color="auto" w:fill="auto"/>
            <w:vAlign w:val="center"/>
            <w:hideMark/>
          </w:tcPr>
          <w:p w:rsidR="00AD2146" w:rsidRPr="00BF51F1" w:rsidP="001F4553" w14:paraId="259A2CF3" w14:textId="77777777">
            <w:pPr>
              <w:jc w:val="right"/>
              <w:rPr>
                <w:color w:val="000000"/>
              </w:rPr>
            </w:pPr>
            <w:r>
              <w:rPr>
                <w:color w:val="000000"/>
              </w:rPr>
              <w:t xml:space="preserve">$0 </w:t>
            </w:r>
          </w:p>
        </w:tc>
      </w:tr>
      <w:tr w14:paraId="572052CE" w14:textId="77777777" w:rsidTr="001F4553">
        <w:tblPrEx>
          <w:tblW w:w="13773" w:type="dxa"/>
          <w:tblInd w:w="-450" w:type="dxa"/>
          <w:tblLook w:val="04A0"/>
        </w:tblPrEx>
        <w:trPr>
          <w:trHeight w:val="37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AD2146" w:rsidRPr="00BF51F1" w:rsidP="001F4553" w14:paraId="7572B4C7" w14:textId="77777777">
            <w:pPr>
              <w:rPr>
                <w:b/>
                <w:bCs/>
                <w:color w:val="000000"/>
              </w:rPr>
            </w:pPr>
            <w:r w:rsidRPr="00BF51F1">
              <w:rPr>
                <w:b/>
                <w:bCs/>
                <w:color w:val="000000"/>
              </w:rPr>
              <w:t xml:space="preserve">TOTAL (Rounded) </w:t>
            </w:r>
            <w:r w:rsidRPr="00BF51F1">
              <w:rPr>
                <w:b/>
                <w:bCs/>
                <w:color w:val="000000"/>
                <w:vertAlign w:val="superscript"/>
              </w:rPr>
              <w:t>e</w:t>
            </w:r>
            <w:r w:rsidRPr="00BF51F1">
              <w:rPr>
                <w:b/>
                <w:bCs/>
                <w:color w:val="00000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rsidR="00AD2146" w:rsidRPr="00BF51F1" w:rsidP="001F4553" w14:paraId="4C8E390B" w14:textId="77777777">
            <w:pPr>
              <w:jc w:val="center"/>
              <w:rPr>
                <w:b/>
                <w:bCs/>
                <w:color w:val="000000"/>
              </w:rPr>
            </w:pPr>
            <w:r w:rsidRPr="00BF51F1">
              <w:rPr>
                <w:b/>
                <w:bCs/>
                <w:color w:val="000000"/>
              </w:rPr>
              <w:t> </w:t>
            </w:r>
          </w:p>
        </w:tc>
        <w:tc>
          <w:tcPr>
            <w:tcW w:w="1443" w:type="dxa"/>
            <w:tcBorders>
              <w:top w:val="nil"/>
              <w:left w:val="nil"/>
              <w:bottom w:val="single" w:sz="4" w:space="0" w:color="auto"/>
              <w:right w:val="single" w:sz="4" w:space="0" w:color="auto"/>
            </w:tcBorders>
            <w:shd w:val="clear" w:color="auto" w:fill="auto"/>
            <w:vAlign w:val="center"/>
            <w:hideMark/>
          </w:tcPr>
          <w:p w:rsidR="00AD2146" w:rsidRPr="00BF51F1" w:rsidP="001F4553" w14:paraId="072F337D" w14:textId="77777777">
            <w:pPr>
              <w:jc w:val="center"/>
              <w:rPr>
                <w:b/>
                <w:bCs/>
                <w:color w:val="000000"/>
              </w:rPr>
            </w:pPr>
            <w:r w:rsidRPr="00BF51F1">
              <w:rPr>
                <w:b/>
                <w:bCs/>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AD2146" w:rsidRPr="00BF51F1" w:rsidP="001F4553" w14:paraId="38D709BE" w14:textId="77777777">
            <w:pPr>
              <w:jc w:val="center"/>
              <w:rPr>
                <w:b/>
                <w:bCs/>
                <w:color w:val="000000"/>
              </w:rPr>
            </w:pPr>
            <w:r w:rsidRPr="00BF51F1">
              <w:rPr>
                <w:b/>
                <w:bCs/>
                <w:color w:val="000000"/>
              </w:rPr>
              <w:t> </w:t>
            </w:r>
          </w:p>
        </w:tc>
        <w:tc>
          <w:tcPr>
            <w:tcW w:w="950" w:type="dxa"/>
            <w:tcBorders>
              <w:top w:val="nil"/>
              <w:left w:val="nil"/>
              <w:bottom w:val="single" w:sz="4" w:space="0" w:color="auto"/>
              <w:right w:val="single" w:sz="4" w:space="0" w:color="auto"/>
            </w:tcBorders>
            <w:shd w:val="clear" w:color="auto" w:fill="auto"/>
            <w:vAlign w:val="center"/>
            <w:hideMark/>
          </w:tcPr>
          <w:p w:rsidR="00AD2146" w:rsidRPr="00BF51F1" w:rsidP="001F4553" w14:paraId="2C9D94DE" w14:textId="77777777">
            <w:pPr>
              <w:jc w:val="center"/>
              <w:rPr>
                <w:b/>
                <w:bCs/>
                <w:color w:val="000000"/>
              </w:rPr>
            </w:pPr>
            <w:r w:rsidRPr="00BF51F1">
              <w:rPr>
                <w:b/>
                <w:bCs/>
                <w:color w:val="000000"/>
              </w:rPr>
              <w:t> </w:t>
            </w:r>
          </w:p>
        </w:tc>
        <w:tc>
          <w:tcPr>
            <w:tcW w:w="4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2146" w:rsidRPr="00BF51F1" w:rsidP="001F4553" w14:paraId="3464D022" w14:textId="77777777">
            <w:pPr>
              <w:jc w:val="center"/>
              <w:rPr>
                <w:b/>
                <w:bCs/>
                <w:color w:val="000000"/>
              </w:rPr>
            </w:pPr>
            <w:r>
              <w:rPr>
                <w:b/>
                <w:bCs/>
                <w:color w:val="000000"/>
              </w:rPr>
              <w:t>258</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AD2146" w:rsidRPr="00BF51F1" w:rsidP="001F4553" w14:paraId="1A9166C5" w14:textId="77777777">
            <w:pPr>
              <w:jc w:val="right"/>
              <w:rPr>
                <w:b/>
                <w:bCs/>
                <w:color w:val="000000"/>
              </w:rPr>
            </w:pPr>
            <w:r>
              <w:rPr>
                <w:b/>
                <w:bCs/>
                <w:color w:val="000000"/>
              </w:rPr>
              <w:t xml:space="preserve">$13,700 </w:t>
            </w:r>
          </w:p>
        </w:tc>
      </w:tr>
      <w:tr w14:paraId="29F70966" w14:textId="77777777" w:rsidTr="001F4553">
        <w:tblPrEx>
          <w:tblW w:w="13773" w:type="dxa"/>
          <w:tblInd w:w="-450" w:type="dxa"/>
          <w:tblLook w:val="04A0"/>
        </w:tblPrEx>
        <w:trPr>
          <w:trHeight w:val="315"/>
        </w:trPr>
        <w:tc>
          <w:tcPr>
            <w:tcW w:w="3510" w:type="dxa"/>
            <w:tcBorders>
              <w:top w:val="nil"/>
              <w:left w:val="nil"/>
              <w:bottom w:val="nil"/>
              <w:right w:val="nil"/>
            </w:tcBorders>
            <w:shd w:val="clear" w:color="auto" w:fill="auto"/>
            <w:noWrap/>
            <w:vAlign w:val="bottom"/>
            <w:hideMark/>
          </w:tcPr>
          <w:p w:rsidR="00AD2146" w:rsidRPr="00BF51F1" w:rsidP="001F4553" w14:paraId="0E158E5E" w14:textId="77777777">
            <w:pPr>
              <w:jc w:val="right"/>
              <w:rPr>
                <w:b/>
                <w:bCs/>
                <w:color w:val="000000"/>
              </w:rPr>
            </w:pPr>
          </w:p>
        </w:tc>
        <w:tc>
          <w:tcPr>
            <w:tcW w:w="1349" w:type="dxa"/>
            <w:tcBorders>
              <w:top w:val="nil"/>
              <w:left w:val="nil"/>
              <w:bottom w:val="nil"/>
              <w:right w:val="nil"/>
            </w:tcBorders>
            <w:shd w:val="clear" w:color="auto" w:fill="auto"/>
            <w:noWrap/>
            <w:vAlign w:val="bottom"/>
            <w:hideMark/>
          </w:tcPr>
          <w:p w:rsidR="00AD2146" w:rsidRPr="00BF51F1" w:rsidP="001F4553" w14:paraId="6C036458" w14:textId="77777777">
            <w:pPr>
              <w:rPr>
                <w:sz w:val="20"/>
                <w:szCs w:val="20"/>
              </w:rPr>
            </w:pPr>
          </w:p>
        </w:tc>
        <w:tc>
          <w:tcPr>
            <w:tcW w:w="1443" w:type="dxa"/>
            <w:tcBorders>
              <w:top w:val="nil"/>
              <w:left w:val="nil"/>
              <w:bottom w:val="nil"/>
              <w:right w:val="nil"/>
            </w:tcBorders>
            <w:shd w:val="clear" w:color="auto" w:fill="auto"/>
            <w:noWrap/>
            <w:vAlign w:val="bottom"/>
            <w:hideMark/>
          </w:tcPr>
          <w:p w:rsidR="00AD2146" w:rsidRPr="00BF51F1" w:rsidP="001F4553" w14:paraId="592D66A6" w14:textId="77777777">
            <w:pPr>
              <w:rPr>
                <w:sz w:val="20"/>
                <w:szCs w:val="20"/>
              </w:rPr>
            </w:pPr>
          </w:p>
        </w:tc>
        <w:tc>
          <w:tcPr>
            <w:tcW w:w="1212" w:type="dxa"/>
            <w:tcBorders>
              <w:top w:val="nil"/>
              <w:left w:val="nil"/>
              <w:bottom w:val="nil"/>
              <w:right w:val="nil"/>
            </w:tcBorders>
            <w:shd w:val="clear" w:color="auto" w:fill="auto"/>
            <w:noWrap/>
            <w:vAlign w:val="bottom"/>
            <w:hideMark/>
          </w:tcPr>
          <w:p w:rsidR="00AD2146" w:rsidRPr="00BF51F1" w:rsidP="001F4553" w14:paraId="3DC7D0B0" w14:textId="77777777">
            <w:pPr>
              <w:rPr>
                <w:sz w:val="20"/>
                <w:szCs w:val="20"/>
              </w:rPr>
            </w:pPr>
          </w:p>
        </w:tc>
        <w:tc>
          <w:tcPr>
            <w:tcW w:w="950" w:type="dxa"/>
            <w:tcBorders>
              <w:top w:val="nil"/>
              <w:left w:val="nil"/>
              <w:bottom w:val="nil"/>
              <w:right w:val="nil"/>
            </w:tcBorders>
            <w:shd w:val="clear" w:color="auto" w:fill="auto"/>
            <w:noWrap/>
            <w:vAlign w:val="bottom"/>
            <w:hideMark/>
          </w:tcPr>
          <w:p w:rsidR="00AD2146" w:rsidRPr="00BF51F1" w:rsidP="001F4553" w14:paraId="359DB65F"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BF51F1" w:rsidP="001F4553" w14:paraId="7E6A2A75"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BF51F1" w:rsidP="001F4553" w14:paraId="49EBC370" w14:textId="77777777">
            <w:pPr>
              <w:rPr>
                <w:sz w:val="20"/>
                <w:szCs w:val="20"/>
              </w:rPr>
            </w:pPr>
          </w:p>
        </w:tc>
        <w:tc>
          <w:tcPr>
            <w:tcW w:w="1233" w:type="dxa"/>
            <w:tcBorders>
              <w:top w:val="nil"/>
              <w:left w:val="nil"/>
              <w:bottom w:val="nil"/>
              <w:right w:val="nil"/>
            </w:tcBorders>
            <w:shd w:val="clear" w:color="auto" w:fill="auto"/>
            <w:noWrap/>
            <w:vAlign w:val="bottom"/>
            <w:hideMark/>
          </w:tcPr>
          <w:p w:rsidR="00AD2146" w:rsidRPr="00BF51F1" w:rsidP="001F4553" w14:paraId="74B5801E" w14:textId="77777777">
            <w:pPr>
              <w:rPr>
                <w:sz w:val="20"/>
                <w:szCs w:val="20"/>
              </w:rPr>
            </w:pPr>
          </w:p>
        </w:tc>
        <w:tc>
          <w:tcPr>
            <w:tcW w:w="1297" w:type="dxa"/>
            <w:tcBorders>
              <w:top w:val="nil"/>
              <w:left w:val="nil"/>
              <w:bottom w:val="nil"/>
              <w:right w:val="nil"/>
            </w:tcBorders>
            <w:shd w:val="clear" w:color="auto" w:fill="auto"/>
            <w:noWrap/>
            <w:vAlign w:val="bottom"/>
            <w:hideMark/>
          </w:tcPr>
          <w:p w:rsidR="00AD2146" w:rsidRPr="00BF51F1" w:rsidP="001F4553" w14:paraId="7200F655" w14:textId="77777777">
            <w:pPr>
              <w:rPr>
                <w:sz w:val="20"/>
                <w:szCs w:val="20"/>
              </w:rPr>
            </w:pPr>
          </w:p>
        </w:tc>
      </w:tr>
      <w:tr w14:paraId="39B0147A" w14:textId="77777777" w:rsidTr="001F4553">
        <w:tblPrEx>
          <w:tblW w:w="13773" w:type="dxa"/>
          <w:tblInd w:w="-450" w:type="dxa"/>
          <w:tblLook w:val="04A0"/>
        </w:tblPrEx>
        <w:trPr>
          <w:trHeight w:val="315"/>
        </w:trPr>
        <w:tc>
          <w:tcPr>
            <w:tcW w:w="3510" w:type="dxa"/>
            <w:tcBorders>
              <w:top w:val="nil"/>
              <w:left w:val="nil"/>
              <w:bottom w:val="nil"/>
              <w:right w:val="nil"/>
            </w:tcBorders>
            <w:shd w:val="clear" w:color="auto" w:fill="auto"/>
            <w:noWrap/>
            <w:vAlign w:val="center"/>
            <w:hideMark/>
          </w:tcPr>
          <w:p w:rsidR="00AD2146" w:rsidRPr="00BF51F1" w:rsidP="001F4553" w14:paraId="053064E7" w14:textId="77777777">
            <w:pPr>
              <w:rPr>
                <w:b/>
                <w:bCs/>
                <w:color w:val="000000"/>
              </w:rPr>
            </w:pPr>
            <w:r w:rsidRPr="00BF51F1">
              <w:rPr>
                <w:b/>
                <w:bCs/>
                <w:color w:val="000000"/>
              </w:rPr>
              <w:t>Assumptions:</w:t>
            </w:r>
          </w:p>
        </w:tc>
        <w:tc>
          <w:tcPr>
            <w:tcW w:w="1349" w:type="dxa"/>
            <w:tcBorders>
              <w:top w:val="nil"/>
              <w:left w:val="nil"/>
              <w:bottom w:val="nil"/>
              <w:right w:val="nil"/>
            </w:tcBorders>
            <w:shd w:val="clear" w:color="auto" w:fill="auto"/>
            <w:noWrap/>
            <w:vAlign w:val="bottom"/>
            <w:hideMark/>
          </w:tcPr>
          <w:p w:rsidR="00AD2146" w:rsidRPr="00BF51F1" w:rsidP="001F4553" w14:paraId="2C9B930A" w14:textId="77777777">
            <w:pPr>
              <w:rPr>
                <w:b/>
                <w:bCs/>
                <w:color w:val="000000"/>
              </w:rPr>
            </w:pPr>
          </w:p>
        </w:tc>
        <w:tc>
          <w:tcPr>
            <w:tcW w:w="1443" w:type="dxa"/>
            <w:tcBorders>
              <w:top w:val="nil"/>
              <w:left w:val="nil"/>
              <w:bottom w:val="nil"/>
              <w:right w:val="nil"/>
            </w:tcBorders>
            <w:shd w:val="clear" w:color="auto" w:fill="auto"/>
            <w:noWrap/>
            <w:vAlign w:val="bottom"/>
            <w:hideMark/>
          </w:tcPr>
          <w:p w:rsidR="00AD2146" w:rsidRPr="00BF51F1" w:rsidP="001F4553" w14:paraId="6764A50C" w14:textId="77777777">
            <w:pPr>
              <w:rPr>
                <w:sz w:val="20"/>
                <w:szCs w:val="20"/>
              </w:rPr>
            </w:pPr>
          </w:p>
        </w:tc>
        <w:tc>
          <w:tcPr>
            <w:tcW w:w="1212" w:type="dxa"/>
            <w:tcBorders>
              <w:top w:val="nil"/>
              <w:left w:val="nil"/>
              <w:bottom w:val="nil"/>
              <w:right w:val="nil"/>
            </w:tcBorders>
            <w:shd w:val="clear" w:color="auto" w:fill="auto"/>
            <w:noWrap/>
            <w:vAlign w:val="bottom"/>
            <w:hideMark/>
          </w:tcPr>
          <w:p w:rsidR="00AD2146" w:rsidRPr="00BF51F1" w:rsidP="001F4553" w14:paraId="1B1CA2F7" w14:textId="77777777">
            <w:pPr>
              <w:rPr>
                <w:sz w:val="20"/>
                <w:szCs w:val="20"/>
              </w:rPr>
            </w:pPr>
          </w:p>
        </w:tc>
        <w:tc>
          <w:tcPr>
            <w:tcW w:w="950" w:type="dxa"/>
            <w:tcBorders>
              <w:top w:val="nil"/>
              <w:left w:val="nil"/>
              <w:bottom w:val="nil"/>
              <w:right w:val="nil"/>
            </w:tcBorders>
            <w:shd w:val="clear" w:color="auto" w:fill="auto"/>
            <w:noWrap/>
            <w:vAlign w:val="bottom"/>
            <w:hideMark/>
          </w:tcPr>
          <w:p w:rsidR="00AD2146" w:rsidRPr="00BF51F1" w:rsidP="001F4553" w14:paraId="34A49CE5" w14:textId="77777777">
            <w:pPr>
              <w:rPr>
                <w:sz w:val="20"/>
                <w:szCs w:val="20"/>
              </w:rPr>
            </w:pPr>
          </w:p>
        </w:tc>
        <w:tc>
          <w:tcPr>
            <w:tcW w:w="1216" w:type="dxa"/>
            <w:tcBorders>
              <w:top w:val="nil"/>
              <w:left w:val="nil"/>
              <w:bottom w:val="nil"/>
              <w:right w:val="nil"/>
            </w:tcBorders>
            <w:shd w:val="clear" w:color="auto" w:fill="auto"/>
            <w:noWrap/>
            <w:vAlign w:val="bottom"/>
            <w:hideMark/>
          </w:tcPr>
          <w:p w:rsidR="00AD2146" w:rsidRPr="00BF51F1" w:rsidP="001F4553" w14:paraId="2A23DBC1" w14:textId="77777777">
            <w:pPr>
              <w:rPr>
                <w:sz w:val="20"/>
                <w:szCs w:val="20"/>
              </w:rPr>
            </w:pPr>
          </w:p>
        </w:tc>
        <w:tc>
          <w:tcPr>
            <w:tcW w:w="1563" w:type="dxa"/>
            <w:tcBorders>
              <w:top w:val="nil"/>
              <w:left w:val="nil"/>
              <w:bottom w:val="nil"/>
              <w:right w:val="nil"/>
            </w:tcBorders>
            <w:shd w:val="clear" w:color="auto" w:fill="auto"/>
            <w:noWrap/>
            <w:vAlign w:val="bottom"/>
            <w:hideMark/>
          </w:tcPr>
          <w:p w:rsidR="00AD2146" w:rsidRPr="00BF51F1" w:rsidP="001F4553" w14:paraId="3CB2376E" w14:textId="77777777">
            <w:pPr>
              <w:rPr>
                <w:sz w:val="20"/>
                <w:szCs w:val="20"/>
              </w:rPr>
            </w:pPr>
          </w:p>
        </w:tc>
        <w:tc>
          <w:tcPr>
            <w:tcW w:w="1233" w:type="dxa"/>
            <w:tcBorders>
              <w:top w:val="nil"/>
              <w:left w:val="nil"/>
              <w:bottom w:val="nil"/>
              <w:right w:val="nil"/>
            </w:tcBorders>
            <w:shd w:val="clear" w:color="auto" w:fill="auto"/>
            <w:noWrap/>
            <w:vAlign w:val="bottom"/>
            <w:hideMark/>
          </w:tcPr>
          <w:p w:rsidR="00AD2146" w:rsidRPr="00BF51F1" w:rsidP="001F4553" w14:paraId="1C055945" w14:textId="77777777">
            <w:pPr>
              <w:rPr>
                <w:sz w:val="20"/>
                <w:szCs w:val="20"/>
              </w:rPr>
            </w:pPr>
          </w:p>
        </w:tc>
        <w:tc>
          <w:tcPr>
            <w:tcW w:w="1297" w:type="dxa"/>
            <w:tcBorders>
              <w:top w:val="nil"/>
              <w:left w:val="nil"/>
              <w:bottom w:val="nil"/>
              <w:right w:val="nil"/>
            </w:tcBorders>
            <w:shd w:val="clear" w:color="auto" w:fill="auto"/>
            <w:noWrap/>
            <w:vAlign w:val="bottom"/>
            <w:hideMark/>
          </w:tcPr>
          <w:p w:rsidR="00AD2146" w:rsidRPr="00BF51F1" w:rsidP="001F4553" w14:paraId="143E6B89" w14:textId="77777777">
            <w:pPr>
              <w:rPr>
                <w:sz w:val="20"/>
                <w:szCs w:val="20"/>
              </w:rPr>
            </w:pPr>
          </w:p>
        </w:tc>
      </w:tr>
      <w:tr w14:paraId="494CD1C2" w14:textId="77777777" w:rsidTr="001F4553">
        <w:tblPrEx>
          <w:tblW w:w="13773" w:type="dxa"/>
          <w:tblInd w:w="-450" w:type="dxa"/>
          <w:tblLook w:val="04A0"/>
        </w:tblPrEx>
        <w:trPr>
          <w:trHeight w:val="960"/>
        </w:trPr>
        <w:tc>
          <w:tcPr>
            <w:tcW w:w="13773" w:type="dxa"/>
            <w:gridSpan w:val="9"/>
            <w:tcBorders>
              <w:top w:val="nil"/>
              <w:left w:val="nil"/>
              <w:bottom w:val="nil"/>
              <w:right w:val="nil"/>
            </w:tcBorders>
            <w:shd w:val="clear" w:color="auto" w:fill="auto"/>
            <w:vAlign w:val="center"/>
            <w:hideMark/>
          </w:tcPr>
          <w:p w:rsidR="00AD2146" w:rsidRPr="00BF51F1" w:rsidP="001F4553" w14:paraId="330E5E85" w14:textId="77777777">
            <w:pPr>
              <w:rPr>
                <w:color w:val="000000"/>
              </w:rPr>
            </w:pPr>
            <w:r w:rsidRPr="00BF51F1">
              <w:rPr>
                <w:color w:val="000000"/>
                <w:vertAlign w:val="superscript"/>
              </w:rPr>
              <w:t>a</w:t>
            </w:r>
            <w:r>
              <w:rPr>
                <w:color w:val="000000"/>
              </w:rPr>
              <w:t xml:space="preserve"> </w:t>
            </w:r>
            <w:r w:rsidRPr="00BF51F1">
              <w:rPr>
                <w:color w:val="000000"/>
              </w:rPr>
              <w:t>We have assumed that the average number of existing respondents that will be subject to Subpart LLL will be 1</w:t>
            </w:r>
            <w:r>
              <w:rPr>
                <w:color w:val="000000"/>
              </w:rPr>
              <w:t>4</w:t>
            </w:r>
            <w:r w:rsidRPr="00BF51F1">
              <w:rPr>
                <w:color w:val="000000"/>
              </w:rPr>
              <w:t>.</w:t>
            </w:r>
            <w:r>
              <w:rPr>
                <w:color w:val="000000"/>
              </w:rPr>
              <w:t xml:space="preserve"> </w:t>
            </w:r>
            <w:r w:rsidRPr="00BF51F1">
              <w:rPr>
                <w:color w:val="000000"/>
              </w:rPr>
              <w:t xml:space="preserve">This estimated average accounts for modified facilities after August 2, </w:t>
            </w:r>
            <w:r w:rsidRPr="00BF51F1">
              <w:rPr>
                <w:color w:val="000000"/>
              </w:rPr>
              <w:t>2016</w:t>
            </w:r>
            <w:r w:rsidRPr="00BF51F1">
              <w:rPr>
                <w:color w:val="000000"/>
              </w:rPr>
              <w:t xml:space="preserve"> subject to Subpart LLL will become subject to </w:t>
            </w:r>
            <w:r>
              <w:rPr>
                <w:color w:val="000000"/>
              </w:rPr>
              <w:t xml:space="preserve">40 CFR Part 60, </w:t>
            </w:r>
            <w:r w:rsidRPr="00BF51F1">
              <w:rPr>
                <w:color w:val="000000"/>
              </w:rPr>
              <w:t xml:space="preserve">Subpart </w:t>
            </w:r>
            <w:r w:rsidRPr="00BF51F1">
              <w:rPr>
                <w:color w:val="000000"/>
              </w:rPr>
              <w:t>OOOOa</w:t>
            </w:r>
            <w:r w:rsidRPr="00BF51F1">
              <w:rPr>
                <w:color w:val="000000"/>
              </w:rPr>
              <w:t xml:space="preserve"> and therefore, would no longer report under these rules. </w:t>
            </w:r>
          </w:p>
        </w:tc>
      </w:tr>
      <w:tr w14:paraId="64A84DB8" w14:textId="77777777" w:rsidTr="001F4553">
        <w:tblPrEx>
          <w:tblW w:w="13773" w:type="dxa"/>
          <w:tblInd w:w="-450" w:type="dxa"/>
          <w:tblLook w:val="04A0"/>
        </w:tblPrEx>
        <w:trPr>
          <w:trHeight w:val="1305"/>
        </w:trPr>
        <w:tc>
          <w:tcPr>
            <w:tcW w:w="13773" w:type="dxa"/>
            <w:gridSpan w:val="9"/>
            <w:tcBorders>
              <w:top w:val="nil"/>
              <w:left w:val="nil"/>
              <w:bottom w:val="nil"/>
              <w:right w:val="nil"/>
            </w:tcBorders>
            <w:shd w:val="clear" w:color="auto" w:fill="auto"/>
            <w:vAlign w:val="center"/>
            <w:hideMark/>
          </w:tcPr>
          <w:p w:rsidR="00AD2146" w:rsidRPr="00AE785F" w:rsidP="001F4553" w14:paraId="2317D738" w14:textId="77777777">
            <w:r>
              <w:rPr>
                <w:vertAlign w:val="superscript"/>
              </w:rPr>
              <w:t>b</w:t>
            </w:r>
            <w:r>
              <w:t xml:space="preserve"> </w:t>
            </w:r>
            <w:r>
              <w:t>The</w:t>
            </w:r>
            <w: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34D5FC81" w14:textId="77777777" w:rsidTr="001F4553">
        <w:tblPrEx>
          <w:tblW w:w="13773" w:type="dxa"/>
          <w:tblInd w:w="-450" w:type="dxa"/>
          <w:tblLook w:val="04A0"/>
        </w:tblPrEx>
        <w:trPr>
          <w:trHeight w:val="375"/>
        </w:trPr>
        <w:tc>
          <w:tcPr>
            <w:tcW w:w="13773" w:type="dxa"/>
            <w:gridSpan w:val="9"/>
            <w:tcBorders>
              <w:top w:val="nil"/>
              <w:left w:val="nil"/>
              <w:bottom w:val="nil"/>
              <w:right w:val="nil"/>
            </w:tcBorders>
            <w:shd w:val="clear" w:color="auto" w:fill="auto"/>
            <w:noWrap/>
            <w:vAlign w:val="center"/>
            <w:hideMark/>
          </w:tcPr>
          <w:p w:rsidR="00AD2146" w:rsidRPr="00BF51F1" w:rsidP="001F4553" w14:paraId="27BA6589" w14:textId="77777777">
            <w:pPr>
              <w:rPr>
                <w:color w:val="000000"/>
              </w:rPr>
            </w:pPr>
            <w:r w:rsidRPr="00BF51F1">
              <w:rPr>
                <w:color w:val="000000"/>
                <w:vertAlign w:val="superscript"/>
              </w:rPr>
              <w:t>c</w:t>
            </w:r>
            <w:r w:rsidRPr="00BF51F1">
              <w:rPr>
                <w:color w:val="000000"/>
              </w:rPr>
              <w:t xml:space="preserve"> </w:t>
            </w:r>
            <w:r w:rsidRPr="00BF51F1">
              <w:rPr>
                <w:color w:val="000000"/>
              </w:rPr>
              <w:t>New</w:t>
            </w:r>
            <w:r w:rsidRPr="00BF51F1">
              <w:rPr>
                <w:color w:val="000000"/>
              </w:rPr>
              <w:t xml:space="preserve"> respondents will become subject to </w:t>
            </w:r>
            <w:r w:rsidRPr="00D30185">
              <w:rPr>
                <w:color w:val="000000"/>
              </w:rPr>
              <w:t xml:space="preserve">40 CFR Part 60, </w:t>
            </w:r>
            <w:r w:rsidRPr="00BF51F1">
              <w:rPr>
                <w:color w:val="000000"/>
              </w:rPr>
              <w:t xml:space="preserve">Subpart </w:t>
            </w:r>
            <w:r w:rsidRPr="00BF51F1">
              <w:rPr>
                <w:color w:val="000000"/>
              </w:rPr>
              <w:t>OOOOa</w:t>
            </w:r>
            <w:r w:rsidRPr="00BF51F1">
              <w:rPr>
                <w:color w:val="000000"/>
              </w:rPr>
              <w:t xml:space="preserve">. </w:t>
            </w:r>
          </w:p>
        </w:tc>
      </w:tr>
      <w:tr w14:paraId="38E64F9D" w14:textId="77777777" w:rsidTr="001F4553">
        <w:tblPrEx>
          <w:tblW w:w="13773" w:type="dxa"/>
          <w:tblInd w:w="-450" w:type="dxa"/>
          <w:tblLook w:val="04A0"/>
        </w:tblPrEx>
        <w:trPr>
          <w:trHeight w:val="375"/>
        </w:trPr>
        <w:tc>
          <w:tcPr>
            <w:tcW w:w="13773" w:type="dxa"/>
            <w:gridSpan w:val="9"/>
            <w:tcBorders>
              <w:top w:val="nil"/>
              <w:left w:val="nil"/>
              <w:bottom w:val="nil"/>
              <w:right w:val="nil"/>
            </w:tcBorders>
            <w:shd w:val="clear" w:color="auto" w:fill="auto"/>
            <w:noWrap/>
            <w:vAlign w:val="center"/>
            <w:hideMark/>
          </w:tcPr>
          <w:p w:rsidR="00AD2146" w:rsidRPr="00BF51F1" w:rsidP="001F4553" w14:paraId="1044C280" w14:textId="77777777">
            <w:pPr>
              <w:rPr>
                <w:color w:val="000000"/>
              </w:rPr>
            </w:pPr>
            <w:r w:rsidRPr="00BF51F1">
              <w:rPr>
                <w:color w:val="000000"/>
                <w:vertAlign w:val="superscript"/>
              </w:rPr>
              <w:t>d</w:t>
            </w:r>
            <w:r w:rsidRPr="00BF51F1">
              <w:rPr>
                <w:color w:val="000000"/>
              </w:rPr>
              <w:t xml:space="preserve"> We have assumed that it will take </w:t>
            </w:r>
            <w:r>
              <w:rPr>
                <w:color w:val="000000"/>
              </w:rPr>
              <w:t>the agency</w:t>
            </w:r>
            <w:r w:rsidRPr="00BF51F1">
              <w:rPr>
                <w:color w:val="000000"/>
              </w:rPr>
              <w:t xml:space="preserve"> eight hours, two times per year to review semiannual reports.</w:t>
            </w:r>
          </w:p>
        </w:tc>
      </w:tr>
      <w:tr w14:paraId="02BE1635" w14:textId="77777777" w:rsidTr="001F4553">
        <w:tblPrEx>
          <w:tblW w:w="13773" w:type="dxa"/>
          <w:tblInd w:w="-450" w:type="dxa"/>
          <w:tblLook w:val="04A0"/>
        </w:tblPrEx>
        <w:trPr>
          <w:trHeight w:val="375"/>
        </w:trPr>
        <w:tc>
          <w:tcPr>
            <w:tcW w:w="13773" w:type="dxa"/>
            <w:gridSpan w:val="9"/>
            <w:tcBorders>
              <w:top w:val="nil"/>
              <w:left w:val="nil"/>
              <w:bottom w:val="nil"/>
              <w:right w:val="nil"/>
            </w:tcBorders>
            <w:shd w:val="clear" w:color="auto" w:fill="auto"/>
            <w:noWrap/>
            <w:vAlign w:val="center"/>
            <w:hideMark/>
          </w:tcPr>
          <w:p w:rsidR="00AD2146" w:rsidRPr="00BF51F1" w:rsidP="001F4553" w14:paraId="76890CD4" w14:textId="77777777">
            <w:pPr>
              <w:rPr>
                <w:color w:val="000000"/>
              </w:rPr>
            </w:pPr>
            <w:r w:rsidRPr="00BF51F1">
              <w:rPr>
                <w:color w:val="000000"/>
                <w:vertAlign w:val="superscript"/>
              </w:rPr>
              <w:t>e</w:t>
            </w:r>
            <w:r w:rsidRPr="00BF51F1">
              <w:rPr>
                <w:color w:val="000000"/>
              </w:rPr>
              <w:t xml:space="preserve"> Totals are rounded to three significant figures. Figures may not add exactly due to rounding.</w:t>
            </w:r>
          </w:p>
        </w:tc>
      </w:tr>
    </w:tbl>
    <w:p w:rsidR="00BB3410" w:rsidRPr="00DE7D97" w:rsidP="00DE7D97" w14:paraId="02BFB1B4" w14:textId="2A218157">
      <w:pPr>
        <w:pBdr>
          <w:top w:val="single" w:sz="6" w:space="0" w:color="FFFFFF"/>
          <w:left w:val="single" w:sz="6" w:space="0" w:color="FFFFFF"/>
          <w:bottom w:val="single" w:sz="6" w:space="0" w:color="FFFFFF"/>
          <w:right w:val="single" w:sz="6" w:space="0" w:color="FFFFFF"/>
        </w:pBdr>
      </w:pPr>
    </w:p>
    <w:sectPr w:rsidSect="00AD21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2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6"/>
  </w:num>
  <w:num w:numId="3" w16cid:durableId="1158494831">
    <w:abstractNumId w:val="3"/>
  </w:num>
  <w:num w:numId="4" w16cid:durableId="493573829">
    <w:abstractNumId w:val="29"/>
  </w:num>
  <w:num w:numId="5" w16cid:durableId="2055687918">
    <w:abstractNumId w:val="19"/>
  </w:num>
  <w:num w:numId="6" w16cid:durableId="1603025219">
    <w:abstractNumId w:val="27"/>
  </w:num>
  <w:num w:numId="7" w16cid:durableId="423957196">
    <w:abstractNumId w:val="17"/>
  </w:num>
  <w:num w:numId="8" w16cid:durableId="2031829208">
    <w:abstractNumId w:val="23"/>
  </w:num>
  <w:num w:numId="9" w16cid:durableId="218439549">
    <w:abstractNumId w:val="10"/>
  </w:num>
  <w:num w:numId="10" w16cid:durableId="1285231924">
    <w:abstractNumId w:val="5"/>
  </w:num>
  <w:num w:numId="11" w16cid:durableId="327370686">
    <w:abstractNumId w:val="9"/>
  </w:num>
  <w:num w:numId="12" w16cid:durableId="1802993385">
    <w:abstractNumId w:val="12"/>
  </w:num>
  <w:num w:numId="13" w16cid:durableId="1792938267">
    <w:abstractNumId w:val="30"/>
  </w:num>
  <w:num w:numId="14" w16cid:durableId="239490726">
    <w:abstractNumId w:val="7"/>
  </w:num>
  <w:num w:numId="15" w16cid:durableId="1395350314">
    <w:abstractNumId w:val="11"/>
  </w:num>
  <w:num w:numId="16" w16cid:durableId="441535906">
    <w:abstractNumId w:val="15"/>
  </w:num>
  <w:num w:numId="17" w16cid:durableId="2008243381">
    <w:abstractNumId w:val="24"/>
  </w:num>
  <w:num w:numId="18" w16cid:durableId="840463183">
    <w:abstractNumId w:val="22"/>
  </w:num>
  <w:num w:numId="19" w16cid:durableId="469980091">
    <w:abstractNumId w:val="26"/>
  </w:num>
  <w:num w:numId="20" w16cid:durableId="2126730031">
    <w:abstractNumId w:val="13"/>
  </w:num>
  <w:num w:numId="21" w16cid:durableId="106124704">
    <w:abstractNumId w:val="2"/>
  </w:num>
  <w:num w:numId="22" w16cid:durableId="1552418013">
    <w:abstractNumId w:val="16"/>
  </w:num>
  <w:num w:numId="23" w16cid:durableId="1598828334">
    <w:abstractNumId w:val="28"/>
  </w:num>
  <w:num w:numId="24" w16cid:durableId="2051031068">
    <w:abstractNumId w:val="1"/>
  </w:num>
  <w:num w:numId="25" w16cid:durableId="258569098">
    <w:abstractNumId w:val="18"/>
  </w:num>
  <w:num w:numId="26" w16cid:durableId="331181582">
    <w:abstractNumId w:val="21"/>
  </w:num>
  <w:num w:numId="27" w16cid:durableId="1015961391">
    <w:abstractNumId w:val="25"/>
  </w:num>
  <w:num w:numId="28"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9" w16cid:durableId="1844468768">
    <w:abstractNumId w:val="20"/>
  </w:num>
  <w:num w:numId="30" w16cid:durableId="2049602058">
    <w:abstractNumId w:val="4"/>
  </w:num>
  <w:num w:numId="31" w16cid:durableId="67627568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4ED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4CD1"/>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40AD"/>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21B1"/>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403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432"/>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4553"/>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DC7"/>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3F6E"/>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56F"/>
    <w:rsid w:val="00323E74"/>
    <w:rsid w:val="00324F21"/>
    <w:rsid w:val="003256A4"/>
    <w:rsid w:val="00330B87"/>
    <w:rsid w:val="00331168"/>
    <w:rsid w:val="0033211D"/>
    <w:rsid w:val="00333489"/>
    <w:rsid w:val="00336B1F"/>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1AFC"/>
    <w:rsid w:val="003F36DC"/>
    <w:rsid w:val="003F5429"/>
    <w:rsid w:val="003F639F"/>
    <w:rsid w:val="003F6664"/>
    <w:rsid w:val="003F72BB"/>
    <w:rsid w:val="00401C79"/>
    <w:rsid w:val="00402C51"/>
    <w:rsid w:val="00403FAB"/>
    <w:rsid w:val="0040415A"/>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6C0"/>
    <w:rsid w:val="00466B43"/>
    <w:rsid w:val="00470E22"/>
    <w:rsid w:val="00472D33"/>
    <w:rsid w:val="00475BA6"/>
    <w:rsid w:val="004762AA"/>
    <w:rsid w:val="00477D70"/>
    <w:rsid w:val="00480DE8"/>
    <w:rsid w:val="004831CC"/>
    <w:rsid w:val="004836AD"/>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A7C0E"/>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0302"/>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1CF"/>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3809"/>
    <w:rsid w:val="005346D7"/>
    <w:rsid w:val="00535D3D"/>
    <w:rsid w:val="00536768"/>
    <w:rsid w:val="005372F7"/>
    <w:rsid w:val="00537322"/>
    <w:rsid w:val="0054104C"/>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C4246"/>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0F89"/>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1A22"/>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5D4D"/>
    <w:rsid w:val="006E6819"/>
    <w:rsid w:val="006E6A2C"/>
    <w:rsid w:val="006E6C7E"/>
    <w:rsid w:val="006E7D37"/>
    <w:rsid w:val="006F1F1D"/>
    <w:rsid w:val="006F4946"/>
    <w:rsid w:val="00700983"/>
    <w:rsid w:val="0070196C"/>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202C"/>
    <w:rsid w:val="00723574"/>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03C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2FC7"/>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696"/>
    <w:rsid w:val="009D4B0D"/>
    <w:rsid w:val="009D57EC"/>
    <w:rsid w:val="009D5839"/>
    <w:rsid w:val="009D5AD5"/>
    <w:rsid w:val="009D607F"/>
    <w:rsid w:val="009D6EDD"/>
    <w:rsid w:val="009D75E4"/>
    <w:rsid w:val="009D7CC1"/>
    <w:rsid w:val="009E0CD5"/>
    <w:rsid w:val="009E107C"/>
    <w:rsid w:val="009E1340"/>
    <w:rsid w:val="009E13BB"/>
    <w:rsid w:val="009E1EB9"/>
    <w:rsid w:val="009E25DF"/>
    <w:rsid w:val="009E33E8"/>
    <w:rsid w:val="009E3400"/>
    <w:rsid w:val="009E39DB"/>
    <w:rsid w:val="009E3F6A"/>
    <w:rsid w:val="009E40F8"/>
    <w:rsid w:val="009E5EDB"/>
    <w:rsid w:val="009F05D1"/>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9FB"/>
    <w:rsid w:val="00A26E89"/>
    <w:rsid w:val="00A274B4"/>
    <w:rsid w:val="00A27E5C"/>
    <w:rsid w:val="00A306EB"/>
    <w:rsid w:val="00A31484"/>
    <w:rsid w:val="00A321C0"/>
    <w:rsid w:val="00A352DB"/>
    <w:rsid w:val="00A358CC"/>
    <w:rsid w:val="00A35BC3"/>
    <w:rsid w:val="00A35EFE"/>
    <w:rsid w:val="00A35F5B"/>
    <w:rsid w:val="00A361CE"/>
    <w:rsid w:val="00A45770"/>
    <w:rsid w:val="00A45865"/>
    <w:rsid w:val="00A47F98"/>
    <w:rsid w:val="00A508C7"/>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193"/>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B6797"/>
    <w:rsid w:val="00AC105E"/>
    <w:rsid w:val="00AC1131"/>
    <w:rsid w:val="00AC1644"/>
    <w:rsid w:val="00AC1AC4"/>
    <w:rsid w:val="00AC5472"/>
    <w:rsid w:val="00AD15AC"/>
    <w:rsid w:val="00AD1B66"/>
    <w:rsid w:val="00AD1CFF"/>
    <w:rsid w:val="00AD2146"/>
    <w:rsid w:val="00AD2447"/>
    <w:rsid w:val="00AD3F78"/>
    <w:rsid w:val="00AD46F7"/>
    <w:rsid w:val="00AD653F"/>
    <w:rsid w:val="00AE026A"/>
    <w:rsid w:val="00AE1346"/>
    <w:rsid w:val="00AE2594"/>
    <w:rsid w:val="00AE274D"/>
    <w:rsid w:val="00AE3624"/>
    <w:rsid w:val="00AE3760"/>
    <w:rsid w:val="00AE3F7E"/>
    <w:rsid w:val="00AE63B1"/>
    <w:rsid w:val="00AE68CA"/>
    <w:rsid w:val="00AE785F"/>
    <w:rsid w:val="00AE7BE7"/>
    <w:rsid w:val="00AE7FC5"/>
    <w:rsid w:val="00AF2486"/>
    <w:rsid w:val="00AF3D20"/>
    <w:rsid w:val="00AF4218"/>
    <w:rsid w:val="00AF6F5C"/>
    <w:rsid w:val="00B027C5"/>
    <w:rsid w:val="00B02874"/>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2281"/>
    <w:rsid w:val="00B434D7"/>
    <w:rsid w:val="00B45BEF"/>
    <w:rsid w:val="00B47058"/>
    <w:rsid w:val="00B5068E"/>
    <w:rsid w:val="00B51024"/>
    <w:rsid w:val="00B524A9"/>
    <w:rsid w:val="00B538C1"/>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89C"/>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1F1"/>
    <w:rsid w:val="00BF5699"/>
    <w:rsid w:val="00BF6721"/>
    <w:rsid w:val="00C02D9A"/>
    <w:rsid w:val="00C033E9"/>
    <w:rsid w:val="00C0389F"/>
    <w:rsid w:val="00C04326"/>
    <w:rsid w:val="00C046AD"/>
    <w:rsid w:val="00C054E3"/>
    <w:rsid w:val="00C066B7"/>
    <w:rsid w:val="00C07AAE"/>
    <w:rsid w:val="00C07D74"/>
    <w:rsid w:val="00C11ED5"/>
    <w:rsid w:val="00C1385D"/>
    <w:rsid w:val="00C13B84"/>
    <w:rsid w:val="00C14B7B"/>
    <w:rsid w:val="00C14D9D"/>
    <w:rsid w:val="00C161AD"/>
    <w:rsid w:val="00C1628D"/>
    <w:rsid w:val="00C20372"/>
    <w:rsid w:val="00C2356F"/>
    <w:rsid w:val="00C24C6C"/>
    <w:rsid w:val="00C25A7A"/>
    <w:rsid w:val="00C2600C"/>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197D"/>
    <w:rsid w:val="00CA27B9"/>
    <w:rsid w:val="00CA32FE"/>
    <w:rsid w:val="00CA4137"/>
    <w:rsid w:val="00CA5AE4"/>
    <w:rsid w:val="00CA6D14"/>
    <w:rsid w:val="00CA7D74"/>
    <w:rsid w:val="00CB02A1"/>
    <w:rsid w:val="00CB038B"/>
    <w:rsid w:val="00CB1797"/>
    <w:rsid w:val="00CB3F85"/>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1563"/>
    <w:rsid w:val="00D225E2"/>
    <w:rsid w:val="00D2273E"/>
    <w:rsid w:val="00D234AD"/>
    <w:rsid w:val="00D24AC0"/>
    <w:rsid w:val="00D26124"/>
    <w:rsid w:val="00D30185"/>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4A26"/>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655"/>
    <w:rsid w:val="00E10927"/>
    <w:rsid w:val="00E116DC"/>
    <w:rsid w:val="00E12797"/>
    <w:rsid w:val="00E128B1"/>
    <w:rsid w:val="00E14467"/>
    <w:rsid w:val="00E14BF3"/>
    <w:rsid w:val="00E16410"/>
    <w:rsid w:val="00E205A3"/>
    <w:rsid w:val="00E2389F"/>
    <w:rsid w:val="00E25157"/>
    <w:rsid w:val="00E27F78"/>
    <w:rsid w:val="00E30B71"/>
    <w:rsid w:val="00E30F8E"/>
    <w:rsid w:val="00E3122D"/>
    <w:rsid w:val="00E33FC1"/>
    <w:rsid w:val="00E3518D"/>
    <w:rsid w:val="00E35BF8"/>
    <w:rsid w:val="00E36379"/>
    <w:rsid w:val="00E37A2B"/>
    <w:rsid w:val="00E40D81"/>
    <w:rsid w:val="00E42EA6"/>
    <w:rsid w:val="00E439D8"/>
    <w:rsid w:val="00E463E4"/>
    <w:rsid w:val="00E47562"/>
    <w:rsid w:val="00E50CD6"/>
    <w:rsid w:val="00E5311D"/>
    <w:rsid w:val="00E54B97"/>
    <w:rsid w:val="00E55F68"/>
    <w:rsid w:val="00E604E8"/>
    <w:rsid w:val="00E63258"/>
    <w:rsid w:val="00E63B7C"/>
    <w:rsid w:val="00E63D29"/>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5B0"/>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6C42"/>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35A2"/>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0F6E"/>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0A4"/>
    <w:rsid w:val="00FC4CC6"/>
    <w:rsid w:val="00FC4FBB"/>
    <w:rsid w:val="00FC53C7"/>
    <w:rsid w:val="00FC5C0E"/>
    <w:rsid w:val="00FC601F"/>
    <w:rsid w:val="00FC6545"/>
    <w:rsid w:val="00FC7E37"/>
    <w:rsid w:val="00FD0324"/>
    <w:rsid w:val="00FD071A"/>
    <w:rsid w:val="00FD3EF8"/>
    <w:rsid w:val="00FD54EB"/>
    <w:rsid w:val="00FD56E3"/>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D9BFF8"/>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5EC747"/>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cf01">
    <w:name w:val="cf01"/>
    <w:basedOn w:val="DefaultParagraphFont"/>
    <w:rsid w:val="004836AD"/>
    <w:rPr>
      <w:rFonts w:ascii="Segoe UI" w:hAnsi="Segoe UI" w:cs="Segoe UI" w:hint="default"/>
      <w:sz w:val="18"/>
      <w:szCs w:val="18"/>
    </w:rPr>
  </w:style>
  <w:style w:type="character" w:customStyle="1" w:styleId="Hypertext">
    <w:name w:val="Hypertext"/>
    <w:rsid w:val="00AD2146"/>
    <w:rPr>
      <w:color w:val="0000FF"/>
      <w:u w:val="single"/>
    </w:rPr>
  </w:style>
  <w:style w:type="paragraph" w:customStyle="1" w:styleId="Level1">
    <w:name w:val="Level 1"/>
    <w:basedOn w:val="Normal"/>
    <w:rsid w:val="00AD2146"/>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customStyle="1" w:styleId="1">
    <w:name w:val="1"/>
    <w:rsid w:val="00AD2146"/>
  </w:style>
  <w:style w:type="paragraph" w:styleId="DocumentMap">
    <w:name w:val="Document Map"/>
    <w:basedOn w:val="Normal"/>
    <w:link w:val="DocumentMapChar"/>
    <w:rsid w:val="00AD214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D2146"/>
    <w:rPr>
      <w:rFonts w:ascii="Tahoma" w:eastAsia="Times New Roman" w:hAnsi="Tahoma" w:cs="Tahoma"/>
      <w:sz w:val="16"/>
      <w:szCs w:val="16"/>
    </w:rPr>
  </w:style>
  <w:style w:type="character" w:customStyle="1" w:styleId="xmsoins">
    <w:name w:val="x_msoins"/>
    <w:basedOn w:val="DefaultParagraphFont"/>
    <w:rsid w:val="00AD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chief/chief-listserv" TargetMode="External" /><Relationship Id="rId11" Type="http://schemas.openxmlformats.org/officeDocument/2006/relationships/hyperlink" Target="https://gcc02.safelinks.protection.outlook.com/?url=https%3A%2F%2Fwww.regulations.gov%2F&amp;data=04%7C01%7CKerwin.Courtney%40epa.gov%7Ca2b2df5f5dd244e0165a08d9e767cdfc%7C88b378b367484867acf976aacbeca6a7%7C0%7C0%7C637795255283270924%7CUnknown%7CTWFpbGZsb3d8eyJWIjoiMC4wLjAwMDAiLCJQIjoiV2luMzIiLCJBTiI6Ik1haWwiLCJXVCI6Mn0%3D%7C3000&amp;sdata=kxjZp6KZ47FJk2FRlghr2r5PmK1J9tBZYE2RinT5UgI%3D&amp;reserved=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purl.org/dc/dcmitype/"/>
    <ds:schemaRef ds:uri="http://schemas.microsoft.com/office/infopath/2007/PartnerControls"/>
    <ds:schemaRef ds:uri="http://schemas.microsoft.com/office/2006/metadata/properties"/>
    <ds:schemaRef ds:uri="http://schemas.microsoft.com/sharepoint/v3/fields"/>
    <ds:schemaRef ds:uri="http://schemas.microsoft.com/office/2006/documentManagement/types"/>
    <ds:schemaRef ds:uri="http://www.w3.org/XML/1998/namespace"/>
    <ds:schemaRef ds:uri="http://schemas.openxmlformats.org/package/2006/metadata/core-properties"/>
    <ds:schemaRef ds:uri="http://purl.org/dc/elements/1.1/"/>
    <ds:schemaRef ds:uri="4ffa91fb-a0ff-4ac5-b2db-65c790d184a4"/>
    <ds:schemaRef ds:uri="96fc5250-dc30-4f01-945b-7e46a880eeb3"/>
    <ds:schemaRef ds:uri="http://schemas.microsoft.com/sharepoint/v3"/>
    <ds:schemaRef ds:uri="02fe02c4-dc41-46ff-9d52-90c0a1b1f611"/>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27</Pages>
  <Words>7416</Words>
  <Characters>41495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Courtney Kerwin</cp:lastModifiedBy>
  <cp:revision>3</cp:revision>
  <dcterms:created xsi:type="dcterms:W3CDTF">2024-04-08T11:39:00Z</dcterms:created>
  <dcterms:modified xsi:type="dcterms:W3CDTF">2024-04-08T13:35:00Z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