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1DBB" w:rsidP="006C1DBB" w14:paraId="73E9A279" w14:textId="77777777">
      <w:pPr>
        <w:widowControl w:val="0"/>
        <w:tabs>
          <w:tab w:val="center" w:pos="4680"/>
        </w:tabs>
        <w:jc w:val="center"/>
        <w:rPr>
          <w:b/>
          <w:szCs w:val="24"/>
        </w:rPr>
      </w:pPr>
      <w:r w:rsidRPr="00981917">
        <w:rPr>
          <w:b/>
          <w:szCs w:val="24"/>
        </w:rPr>
        <w:t>DEPARTMENT OF TRANSPORTATION</w:t>
      </w:r>
    </w:p>
    <w:p w:rsidR="0088177A" w:rsidRPr="00981917" w:rsidP="006C1DBB" w14:paraId="7AFD9C1A" w14:textId="440BAFC2">
      <w:pPr>
        <w:widowControl w:val="0"/>
        <w:tabs>
          <w:tab w:val="center" w:pos="4680"/>
        </w:tabs>
        <w:jc w:val="center"/>
        <w:rPr>
          <w:b/>
          <w:szCs w:val="24"/>
        </w:rPr>
      </w:pPr>
      <w:r>
        <w:rPr>
          <w:b/>
          <w:szCs w:val="24"/>
        </w:rPr>
        <w:t>FEDERAL HIGHWAY ADMINISTRATION (FHWA)</w:t>
      </w:r>
    </w:p>
    <w:p w:rsidR="006C1DBB" w:rsidRPr="00981917" w:rsidP="006C1DBB" w14:paraId="650AF603" w14:textId="77777777">
      <w:pPr>
        <w:widowControl w:val="0"/>
        <w:tabs>
          <w:tab w:val="center" w:pos="4680"/>
        </w:tabs>
        <w:jc w:val="center"/>
        <w:rPr>
          <w:b/>
          <w:szCs w:val="24"/>
        </w:rPr>
      </w:pPr>
    </w:p>
    <w:p w:rsidR="001D224D" w:rsidRPr="00B94256" w:rsidP="00BF19B6" w14:paraId="708CCD3E" w14:textId="77777777">
      <w:pPr>
        <w:widowControl w:val="0"/>
        <w:tabs>
          <w:tab w:val="center" w:pos="4680"/>
        </w:tabs>
        <w:jc w:val="center"/>
        <w:rPr>
          <w:szCs w:val="24"/>
        </w:rPr>
      </w:pPr>
      <w:r w:rsidRPr="00B94256">
        <w:rPr>
          <w:szCs w:val="24"/>
        </w:rPr>
        <w:fldChar w:fldCharType="begin"/>
      </w:r>
      <w:r w:rsidRPr="00B94256">
        <w:rPr>
          <w:szCs w:val="24"/>
        </w:rPr>
        <w:instrText xml:space="preserve"> SEQ CHAPTER \h \r 1</w:instrText>
      </w:r>
      <w:r w:rsidRPr="00B94256">
        <w:rPr>
          <w:szCs w:val="24"/>
        </w:rPr>
        <w:fldChar w:fldCharType="separate"/>
      </w:r>
      <w:r w:rsidRPr="00B94256">
        <w:rPr>
          <w:szCs w:val="24"/>
        </w:rPr>
        <w:fldChar w:fldCharType="end"/>
      </w:r>
      <w:r w:rsidRPr="00B94256">
        <w:rPr>
          <w:b/>
          <w:szCs w:val="24"/>
        </w:rPr>
        <w:t>INFORMATION COLLECTION</w:t>
      </w:r>
      <w:r w:rsidRPr="00B94256" w:rsidR="00BF19B6">
        <w:rPr>
          <w:szCs w:val="24"/>
        </w:rPr>
        <w:t xml:space="preserve"> </w:t>
      </w:r>
      <w:r w:rsidRPr="00B94256">
        <w:rPr>
          <w:b/>
          <w:szCs w:val="24"/>
        </w:rPr>
        <w:t xml:space="preserve">SUPPORTING </w:t>
      </w:r>
      <w:r w:rsidRPr="00B94256" w:rsidR="00311384">
        <w:rPr>
          <w:b/>
          <w:szCs w:val="24"/>
        </w:rPr>
        <w:t>STATEMENT</w:t>
      </w:r>
    </w:p>
    <w:p w:rsidR="001D224D" w:rsidRPr="00B94256" w14:paraId="64AAC2E6" w14:textId="77777777">
      <w:pPr>
        <w:widowControl w:val="0"/>
        <w:tabs>
          <w:tab w:val="center" w:pos="4680"/>
        </w:tabs>
        <w:rPr>
          <w:b/>
          <w:szCs w:val="24"/>
        </w:rPr>
      </w:pPr>
      <w:r w:rsidRPr="00B94256">
        <w:rPr>
          <w:b/>
          <w:szCs w:val="24"/>
        </w:rPr>
        <w:tab/>
      </w:r>
      <w:r w:rsidRPr="00B94256" w:rsidR="00884CC5">
        <w:rPr>
          <w:b/>
          <w:szCs w:val="24"/>
        </w:rPr>
        <w:t xml:space="preserve">INTERSTATE SYSTEM ACCESS – </w:t>
      </w:r>
      <w:r w:rsidRPr="00B94256" w:rsidR="00E43072">
        <w:rPr>
          <w:b/>
          <w:szCs w:val="24"/>
        </w:rPr>
        <w:t>REPORTS</w:t>
      </w:r>
    </w:p>
    <w:p w:rsidR="00A37A22" w:rsidRPr="00B94256" w:rsidP="00A37A22" w14:paraId="0603E9AB" w14:textId="77777777">
      <w:pPr>
        <w:widowControl w:val="0"/>
        <w:tabs>
          <w:tab w:val="center" w:pos="4680"/>
        </w:tabs>
        <w:jc w:val="center"/>
        <w:rPr>
          <w:b/>
          <w:szCs w:val="24"/>
        </w:rPr>
      </w:pPr>
      <w:r w:rsidRPr="00B94256">
        <w:rPr>
          <w:b/>
          <w:szCs w:val="24"/>
        </w:rPr>
        <w:t>2125-XXXX</w:t>
      </w:r>
    </w:p>
    <w:p w:rsidR="00F45271" w:rsidRPr="00981917" w14:paraId="5F27FF1D" w14:textId="77777777">
      <w:pPr>
        <w:widowControl w:val="0"/>
        <w:tabs>
          <w:tab w:val="center" w:pos="4680"/>
        </w:tabs>
        <w:rPr>
          <w:b/>
          <w:color w:val="FF0000"/>
          <w:szCs w:val="24"/>
        </w:rPr>
      </w:pPr>
    </w:p>
    <w:p w:rsidR="00EC23D6" w:rsidRPr="00981917" w:rsidP="00EC23D6" w14:paraId="1C72EC01" w14:textId="77777777">
      <w:pPr>
        <w:rPr>
          <w:b/>
          <w:szCs w:val="24"/>
          <w:u w:val="single"/>
        </w:rPr>
      </w:pPr>
      <w:r w:rsidRPr="00981917">
        <w:rPr>
          <w:b/>
          <w:szCs w:val="24"/>
          <w:u w:val="single"/>
        </w:rPr>
        <w:t>INTRODUCTION</w:t>
      </w:r>
    </w:p>
    <w:p w:rsidR="00EC23D6" w:rsidRPr="00981917" w:rsidP="00EC23D6" w14:paraId="7FD4AE7D" w14:textId="77777777">
      <w:pPr>
        <w:rPr>
          <w:b/>
          <w:szCs w:val="24"/>
          <w:u w:val="single"/>
        </w:rPr>
      </w:pPr>
    </w:p>
    <w:p w:rsidR="00EC23D6" w:rsidRPr="00981917" w:rsidP="00EC23D6" w14:paraId="1D36E03B" w14:textId="00F995CB">
      <w:pPr>
        <w:rPr>
          <w:szCs w:val="24"/>
        </w:rPr>
      </w:pPr>
      <w:r w:rsidRPr="00981917">
        <w:rPr>
          <w:szCs w:val="24"/>
        </w:rPr>
        <w:t xml:space="preserve">This is to request the Office of Management and Budget’s (OMB) three-year </w:t>
      </w:r>
      <w:r w:rsidR="008723AB">
        <w:rPr>
          <w:szCs w:val="24"/>
        </w:rPr>
        <w:t xml:space="preserve">approval </w:t>
      </w:r>
      <w:r w:rsidR="00994768">
        <w:rPr>
          <w:szCs w:val="24"/>
        </w:rPr>
        <w:t>f</w:t>
      </w:r>
      <w:r w:rsidRPr="00981917">
        <w:rPr>
          <w:szCs w:val="24"/>
        </w:rPr>
        <w:t xml:space="preserve">or the information collection entitled, </w:t>
      </w:r>
      <w:r w:rsidRPr="007E76E3">
        <w:rPr>
          <w:szCs w:val="24"/>
        </w:rPr>
        <w:t>“</w:t>
      </w:r>
      <w:r w:rsidRPr="007E76E3" w:rsidR="00884CC5">
        <w:rPr>
          <w:szCs w:val="24"/>
        </w:rPr>
        <w:t>INTERSTATE SYSTEM ACCESS – REPORT</w:t>
      </w:r>
      <w:r w:rsidR="00E43072">
        <w:rPr>
          <w:szCs w:val="24"/>
        </w:rPr>
        <w:t>S</w:t>
      </w:r>
      <w:r w:rsidRPr="007E76E3">
        <w:rPr>
          <w:szCs w:val="24"/>
        </w:rPr>
        <w:t>”.</w:t>
      </w:r>
      <w:r w:rsidR="00E43072">
        <w:rPr>
          <w:szCs w:val="24"/>
        </w:rPr>
        <w:t xml:space="preserve">  </w:t>
      </w:r>
      <w:r w:rsidR="00BD5FDF">
        <w:rPr>
          <w:szCs w:val="24"/>
        </w:rPr>
        <w:t xml:space="preserve">The Federal Highway Administration (FHWA) is proposing to codify in new Interstate System Access regulations (23 CFR </w:t>
      </w:r>
      <w:r w:rsidR="002F5684">
        <w:rPr>
          <w:szCs w:val="24"/>
        </w:rPr>
        <w:t>P</w:t>
      </w:r>
      <w:r w:rsidR="00BD5FDF">
        <w:rPr>
          <w:szCs w:val="24"/>
        </w:rPr>
        <w:t>art 624) requirements for the submittal of two reports that State Departments of Transportation (State DOTs) have submitted to FHWA for years under existing policy:</w:t>
      </w:r>
      <w:r w:rsidR="00E43072">
        <w:rPr>
          <w:szCs w:val="24"/>
        </w:rPr>
        <w:t xml:space="preserve"> the Interstate </w:t>
      </w:r>
      <w:r w:rsidR="006F6F6F">
        <w:rPr>
          <w:szCs w:val="24"/>
        </w:rPr>
        <w:t xml:space="preserve">Access </w:t>
      </w:r>
      <w:r w:rsidR="00E43072">
        <w:rPr>
          <w:szCs w:val="24"/>
        </w:rPr>
        <w:t>Justification Report (I</w:t>
      </w:r>
      <w:r w:rsidR="006F6F6F">
        <w:rPr>
          <w:szCs w:val="24"/>
        </w:rPr>
        <w:t>A</w:t>
      </w:r>
      <w:r w:rsidR="00E43072">
        <w:rPr>
          <w:szCs w:val="24"/>
        </w:rPr>
        <w:t xml:space="preserve">JR) and </w:t>
      </w:r>
      <w:r w:rsidR="00B64374">
        <w:rPr>
          <w:szCs w:val="24"/>
        </w:rPr>
        <w:t xml:space="preserve">the </w:t>
      </w:r>
      <w:r w:rsidR="00876787">
        <w:rPr>
          <w:szCs w:val="24"/>
        </w:rPr>
        <w:t>Programmatic Agreement (PA) a</w:t>
      </w:r>
      <w:r w:rsidR="00E43072">
        <w:rPr>
          <w:szCs w:val="24"/>
        </w:rPr>
        <w:t xml:space="preserve">nnual </w:t>
      </w:r>
      <w:r w:rsidR="00876787">
        <w:rPr>
          <w:szCs w:val="24"/>
        </w:rPr>
        <w:t>r</w:t>
      </w:r>
      <w:r w:rsidR="00E43072">
        <w:rPr>
          <w:szCs w:val="24"/>
        </w:rPr>
        <w:t xml:space="preserve">eport.  </w:t>
      </w:r>
      <w:r w:rsidR="007B68D5">
        <w:rPr>
          <w:szCs w:val="24"/>
        </w:rPr>
        <w:t>The I</w:t>
      </w:r>
      <w:r w:rsidR="006F6F6F">
        <w:rPr>
          <w:szCs w:val="24"/>
        </w:rPr>
        <w:t>A</w:t>
      </w:r>
      <w:r w:rsidR="007B68D5">
        <w:rPr>
          <w:szCs w:val="24"/>
        </w:rPr>
        <w:t>JR</w:t>
      </w:r>
      <w:r w:rsidR="004C4012">
        <w:rPr>
          <w:szCs w:val="24"/>
        </w:rPr>
        <w:t xml:space="preserve"> has been </w:t>
      </w:r>
      <w:r w:rsidR="006B0EB6">
        <w:rPr>
          <w:szCs w:val="24"/>
        </w:rPr>
        <w:t>submitted</w:t>
      </w:r>
      <w:r w:rsidR="004C4012">
        <w:rPr>
          <w:szCs w:val="24"/>
        </w:rPr>
        <w:t xml:space="preserve"> </w:t>
      </w:r>
      <w:r w:rsidR="009A292F">
        <w:rPr>
          <w:szCs w:val="24"/>
        </w:rPr>
        <w:t>under existing policy since 1990.</w:t>
      </w:r>
      <w:r w:rsidR="003D3FAD">
        <w:rPr>
          <w:szCs w:val="24"/>
        </w:rPr>
        <w:t xml:space="preserve"> </w:t>
      </w:r>
      <w:r w:rsidR="009A292F">
        <w:rPr>
          <w:szCs w:val="24"/>
        </w:rPr>
        <w:t xml:space="preserve"> </w:t>
      </w:r>
      <w:r w:rsidR="006743B3">
        <w:rPr>
          <w:szCs w:val="24"/>
        </w:rPr>
        <w:t>55</w:t>
      </w:r>
      <w:r w:rsidRPr="009A292F" w:rsidR="009A292F">
        <w:rPr>
          <w:szCs w:val="24"/>
        </w:rPr>
        <w:t xml:space="preserve"> FR 4</w:t>
      </w:r>
      <w:r w:rsidR="006615C7">
        <w:rPr>
          <w:szCs w:val="24"/>
        </w:rPr>
        <w:t>2670</w:t>
      </w:r>
      <w:r w:rsidR="006B0EB6">
        <w:rPr>
          <w:szCs w:val="24"/>
        </w:rPr>
        <w:t xml:space="preserve"> (</w:t>
      </w:r>
      <w:r w:rsidRPr="00994768" w:rsidR="006615C7">
        <w:rPr>
          <w:szCs w:val="24"/>
        </w:rPr>
        <w:t>October 22, 1990</w:t>
      </w:r>
      <w:r w:rsidR="006B0EB6">
        <w:rPr>
          <w:szCs w:val="24"/>
        </w:rPr>
        <w:t>).</w:t>
      </w:r>
      <w:r w:rsidR="007B68D5">
        <w:rPr>
          <w:szCs w:val="24"/>
        </w:rPr>
        <w:t xml:space="preserve"> </w:t>
      </w:r>
      <w:r w:rsidR="003D3FAD">
        <w:rPr>
          <w:szCs w:val="24"/>
        </w:rPr>
        <w:t xml:space="preserve"> </w:t>
      </w:r>
      <w:r w:rsidR="009A292F">
        <w:rPr>
          <w:szCs w:val="24"/>
        </w:rPr>
        <w:t xml:space="preserve">It </w:t>
      </w:r>
      <w:r w:rsidR="007B68D5">
        <w:rPr>
          <w:szCs w:val="24"/>
        </w:rPr>
        <w:t>provides the</w:t>
      </w:r>
      <w:r w:rsidRPr="007857BF" w:rsidR="007857BF">
        <w:rPr>
          <w:szCs w:val="24"/>
        </w:rPr>
        <w:t xml:space="preserve"> justification and documentation necessary to substantiate any proposed changes in access to the </w:t>
      </w:r>
      <w:r w:rsidR="00301136">
        <w:rPr>
          <w:szCs w:val="24"/>
        </w:rPr>
        <w:t>Dwight D. Eisenhower National System of Interstate and Defense Highways (</w:t>
      </w:r>
      <w:r w:rsidRPr="007857BF" w:rsidR="007857BF">
        <w:rPr>
          <w:szCs w:val="24"/>
        </w:rPr>
        <w:t>Interstate System</w:t>
      </w:r>
      <w:r w:rsidR="00301136">
        <w:rPr>
          <w:szCs w:val="24"/>
        </w:rPr>
        <w:t>)</w:t>
      </w:r>
      <w:r w:rsidR="009A292F">
        <w:rPr>
          <w:szCs w:val="24"/>
        </w:rPr>
        <w:t xml:space="preserve"> and </w:t>
      </w:r>
      <w:r w:rsidRPr="007857BF" w:rsidR="007857BF">
        <w:rPr>
          <w:szCs w:val="24"/>
        </w:rPr>
        <w:t>facilitates</w:t>
      </w:r>
      <w:r w:rsidR="00555AF9">
        <w:rPr>
          <w:szCs w:val="24"/>
        </w:rPr>
        <w:t xml:space="preserve"> FHWA’s</w:t>
      </w:r>
      <w:r w:rsidRPr="007857BF" w:rsidR="007857BF">
        <w:rPr>
          <w:szCs w:val="24"/>
        </w:rPr>
        <w:t xml:space="preserve"> decision-making </w:t>
      </w:r>
      <w:r w:rsidR="0088177A">
        <w:rPr>
          <w:szCs w:val="24"/>
        </w:rPr>
        <w:t>considering</w:t>
      </w:r>
      <w:r w:rsidR="009A292F">
        <w:rPr>
          <w:szCs w:val="24"/>
        </w:rPr>
        <w:t xml:space="preserve"> the </w:t>
      </w:r>
      <w:r w:rsidRPr="007857BF" w:rsidR="007857BF">
        <w:rPr>
          <w:szCs w:val="24"/>
        </w:rPr>
        <w:t>safety, operations, and engineering</w:t>
      </w:r>
      <w:r w:rsidR="00B917F4">
        <w:rPr>
          <w:szCs w:val="24"/>
        </w:rPr>
        <w:t xml:space="preserve"> (SO&amp;E)</w:t>
      </w:r>
      <w:r w:rsidR="009A292F">
        <w:rPr>
          <w:szCs w:val="24"/>
        </w:rPr>
        <w:t xml:space="preserve"> aspects of the proposed change</w:t>
      </w:r>
      <w:r w:rsidRPr="007857BF" w:rsidR="007857BF">
        <w:rPr>
          <w:szCs w:val="24"/>
        </w:rPr>
        <w:t>.</w:t>
      </w:r>
      <w:r w:rsidR="00555AF9">
        <w:rPr>
          <w:szCs w:val="24"/>
        </w:rPr>
        <w:t xml:space="preserve">  </w:t>
      </w:r>
      <w:r w:rsidR="00876787">
        <w:rPr>
          <w:szCs w:val="24"/>
        </w:rPr>
        <w:t>The PA annual report</w:t>
      </w:r>
      <w:r w:rsidR="009A292F">
        <w:rPr>
          <w:szCs w:val="24"/>
        </w:rPr>
        <w:t xml:space="preserve"> has been </w:t>
      </w:r>
      <w:r w:rsidR="006B0EB6">
        <w:rPr>
          <w:szCs w:val="24"/>
        </w:rPr>
        <w:t>submitted</w:t>
      </w:r>
      <w:r w:rsidR="009A292F">
        <w:rPr>
          <w:szCs w:val="24"/>
        </w:rPr>
        <w:t xml:space="preserve"> since 2013, when programmatic agreement procedures were first established,</w:t>
      </w:r>
      <w:r w:rsidR="00876787">
        <w:rPr>
          <w:szCs w:val="24"/>
        </w:rPr>
        <w:t xml:space="preserve"> </w:t>
      </w:r>
      <w:r w:rsidR="003D0A4E">
        <w:rPr>
          <w:szCs w:val="24"/>
        </w:rPr>
        <w:t>to track I</w:t>
      </w:r>
      <w:r w:rsidR="006F6F6F">
        <w:rPr>
          <w:szCs w:val="24"/>
        </w:rPr>
        <w:t>A</w:t>
      </w:r>
      <w:r w:rsidR="003D0A4E">
        <w:rPr>
          <w:szCs w:val="24"/>
        </w:rPr>
        <w:t xml:space="preserve">JRs that have </w:t>
      </w:r>
      <w:r w:rsidR="008C2CFD">
        <w:rPr>
          <w:szCs w:val="24"/>
        </w:rPr>
        <w:t>received</w:t>
      </w:r>
      <w:r w:rsidR="00B917F4">
        <w:rPr>
          <w:szCs w:val="24"/>
        </w:rPr>
        <w:t xml:space="preserve"> SO&amp;E</w:t>
      </w:r>
      <w:r w:rsidR="00E754C9">
        <w:rPr>
          <w:szCs w:val="24"/>
        </w:rPr>
        <w:t xml:space="preserve"> </w:t>
      </w:r>
      <w:r w:rsidR="008C2CFD">
        <w:rPr>
          <w:szCs w:val="24"/>
        </w:rPr>
        <w:t>determinations</w:t>
      </w:r>
      <w:r w:rsidR="003D0A4E">
        <w:rPr>
          <w:szCs w:val="24"/>
        </w:rPr>
        <w:t xml:space="preserve"> and the processes used to </w:t>
      </w:r>
      <w:r w:rsidR="008C2CFD">
        <w:rPr>
          <w:szCs w:val="24"/>
        </w:rPr>
        <w:t>make</w:t>
      </w:r>
      <w:r w:rsidR="003D0A4E">
        <w:rPr>
          <w:szCs w:val="24"/>
        </w:rPr>
        <w:t xml:space="preserve"> </w:t>
      </w:r>
      <w:r w:rsidR="00E754C9">
        <w:rPr>
          <w:szCs w:val="24"/>
        </w:rPr>
        <w:t>th</w:t>
      </w:r>
      <w:r w:rsidR="00B64374">
        <w:rPr>
          <w:szCs w:val="24"/>
        </w:rPr>
        <w:t>ose</w:t>
      </w:r>
      <w:r w:rsidR="00E754C9">
        <w:rPr>
          <w:szCs w:val="24"/>
        </w:rPr>
        <w:t xml:space="preserve"> determinations</w:t>
      </w:r>
      <w:r w:rsidR="003D0A4E">
        <w:rPr>
          <w:szCs w:val="24"/>
        </w:rPr>
        <w:t xml:space="preserve"> under the PA. </w:t>
      </w:r>
    </w:p>
    <w:p w:rsidR="00EC23D6" w:rsidRPr="00981917" w:rsidP="00EC23D6" w14:paraId="5D4503C9" w14:textId="77777777">
      <w:pPr>
        <w:rPr>
          <w:szCs w:val="24"/>
        </w:rPr>
      </w:pPr>
    </w:p>
    <w:p w:rsidR="00EC23D6" w:rsidRPr="00981917" w:rsidP="00EC23D6" w14:paraId="3BAF1361" w14:textId="77777777">
      <w:pPr>
        <w:rPr>
          <w:b/>
          <w:szCs w:val="24"/>
        </w:rPr>
      </w:pPr>
      <w:r w:rsidRPr="00981917">
        <w:rPr>
          <w:b/>
          <w:szCs w:val="24"/>
        </w:rPr>
        <w:t>Part A. Justification</w:t>
      </w:r>
    </w:p>
    <w:p w:rsidR="00EC23D6" w:rsidRPr="00981917" w:rsidP="00EC23D6" w14:paraId="46875684" w14:textId="77777777">
      <w:pPr>
        <w:jc w:val="center"/>
        <w:rPr>
          <w:b/>
          <w:szCs w:val="24"/>
        </w:rPr>
      </w:pPr>
    </w:p>
    <w:p w:rsidR="008723AB" w:rsidRPr="008723AB" w:rsidP="008723AB" w14:paraId="510EDD78" w14:textId="77777777">
      <w:pPr>
        <w:numPr>
          <w:ilvl w:val="0"/>
          <w:numId w:val="16"/>
        </w:numPr>
        <w:tabs>
          <w:tab w:val="num" w:pos="0"/>
          <w:tab w:val="left" w:pos="540"/>
          <w:tab w:val="clear" w:pos="720"/>
        </w:tabs>
        <w:ind w:left="0" w:firstLine="0"/>
        <w:rPr>
          <w:szCs w:val="24"/>
        </w:rPr>
      </w:pPr>
      <w:r w:rsidRPr="00981917">
        <w:rPr>
          <w:b/>
          <w:szCs w:val="24"/>
          <w:u w:val="single"/>
        </w:rPr>
        <w:t>Circumstances that make the collection of information necessary</w:t>
      </w:r>
      <w:r w:rsidRPr="00981917">
        <w:rPr>
          <w:b/>
          <w:szCs w:val="24"/>
        </w:rPr>
        <w:t xml:space="preserve">.  </w:t>
      </w:r>
    </w:p>
    <w:p w:rsidR="00AE3BD0" w:rsidP="008723AB" w14:paraId="4253246D" w14:textId="2DC1EB27">
      <w:pPr>
        <w:tabs>
          <w:tab w:val="left" w:pos="540"/>
        </w:tabs>
        <w:rPr>
          <w:szCs w:val="24"/>
        </w:rPr>
      </w:pPr>
      <w:r w:rsidRPr="00E752FA">
        <w:rPr>
          <w:szCs w:val="24"/>
        </w:rPr>
        <w:t xml:space="preserve">It is in the national interest to preserve and enhance the Interstate System to meet the needs of the 21st century by assuring that it provides the highest level of service in terms of safety and mobility.  Full control of access along the Interstate </w:t>
      </w:r>
      <w:r w:rsidRPr="00E752FA">
        <w:rPr>
          <w:szCs w:val="24"/>
        </w:rPr>
        <w:t>mainline</w:t>
      </w:r>
      <w:r w:rsidRPr="00E752FA">
        <w:rPr>
          <w:szCs w:val="24"/>
        </w:rPr>
        <w:t xml:space="preserve"> and ramps, along with control of access on the crossroad at interchanges, is critical to such service.</w:t>
      </w:r>
      <w:r w:rsidR="00394106">
        <w:rPr>
          <w:szCs w:val="24"/>
        </w:rPr>
        <w:t xml:space="preserve"> </w:t>
      </w:r>
      <w:r w:rsidRPr="00E752FA">
        <w:rPr>
          <w:szCs w:val="24"/>
        </w:rPr>
        <w:t xml:space="preserve"> </w:t>
      </w:r>
      <w:r w:rsidR="00E752FA">
        <w:rPr>
          <w:szCs w:val="24"/>
        </w:rPr>
        <w:t>Collecting information in the form of an</w:t>
      </w:r>
      <w:r w:rsidRPr="00E752FA" w:rsidR="00E752FA">
        <w:rPr>
          <w:szCs w:val="24"/>
        </w:rPr>
        <w:t xml:space="preserve"> I</w:t>
      </w:r>
      <w:r w:rsidR="00110D22">
        <w:rPr>
          <w:szCs w:val="24"/>
        </w:rPr>
        <w:t>A</w:t>
      </w:r>
      <w:r w:rsidRPr="00E752FA" w:rsidR="00E752FA">
        <w:rPr>
          <w:szCs w:val="24"/>
        </w:rPr>
        <w:t>JR</w:t>
      </w:r>
      <w:r w:rsidR="00E752FA">
        <w:rPr>
          <w:szCs w:val="24"/>
        </w:rPr>
        <w:t xml:space="preserve"> allows FHWA to adequately review </w:t>
      </w:r>
      <w:r w:rsidR="00B66551">
        <w:rPr>
          <w:szCs w:val="24"/>
        </w:rPr>
        <w:t>a State DOT’s</w:t>
      </w:r>
      <w:r w:rsidR="00E752FA">
        <w:rPr>
          <w:szCs w:val="24"/>
        </w:rPr>
        <w:t xml:space="preserve"> proposed changes in access to the Interstate System and determine the safety and mobility impacts prior to </w:t>
      </w:r>
      <w:r w:rsidR="00E752FA">
        <w:rPr>
          <w:szCs w:val="24"/>
        </w:rPr>
        <w:t>making a decision</w:t>
      </w:r>
      <w:r w:rsidR="00E752FA">
        <w:rPr>
          <w:szCs w:val="24"/>
        </w:rPr>
        <w:t xml:space="preserve"> of acceptability of a </w:t>
      </w:r>
      <w:r w:rsidR="00436CDE">
        <w:rPr>
          <w:szCs w:val="24"/>
        </w:rPr>
        <w:t xml:space="preserve">proposed </w:t>
      </w:r>
      <w:r w:rsidR="00E752FA">
        <w:rPr>
          <w:szCs w:val="24"/>
        </w:rPr>
        <w:t>construction project.</w:t>
      </w:r>
      <w:r w:rsidR="00ED77FB">
        <w:rPr>
          <w:szCs w:val="24"/>
        </w:rPr>
        <w:t xml:space="preserve">  </w:t>
      </w:r>
      <w:r w:rsidR="00344CAE">
        <w:rPr>
          <w:szCs w:val="24"/>
        </w:rPr>
        <w:t>In addition,</w:t>
      </w:r>
      <w:r w:rsidR="00ED77FB">
        <w:rPr>
          <w:szCs w:val="24"/>
        </w:rPr>
        <w:t xml:space="preserve"> information collected in the I</w:t>
      </w:r>
      <w:r w:rsidR="00110D22">
        <w:rPr>
          <w:szCs w:val="24"/>
        </w:rPr>
        <w:t>A</w:t>
      </w:r>
      <w:r w:rsidR="00ED77FB">
        <w:rPr>
          <w:szCs w:val="24"/>
        </w:rPr>
        <w:t xml:space="preserve">JRs </w:t>
      </w:r>
      <w:r w:rsidR="00BC7A8D">
        <w:rPr>
          <w:szCs w:val="24"/>
        </w:rPr>
        <w:t>is</w:t>
      </w:r>
      <w:r w:rsidR="00ED77FB">
        <w:rPr>
          <w:szCs w:val="24"/>
        </w:rPr>
        <w:t xml:space="preserve"> streamlined to re</w:t>
      </w:r>
      <w:r w:rsidR="00344CAE">
        <w:rPr>
          <w:szCs w:val="24"/>
        </w:rPr>
        <w:t>move</w:t>
      </w:r>
      <w:r w:rsidR="00ED77FB">
        <w:rPr>
          <w:szCs w:val="24"/>
        </w:rPr>
        <w:t xml:space="preserve"> duplication </w:t>
      </w:r>
      <w:r w:rsidR="00344CAE">
        <w:rPr>
          <w:szCs w:val="24"/>
        </w:rPr>
        <w:t>amongst</w:t>
      </w:r>
      <w:r w:rsidR="00ED77FB">
        <w:rPr>
          <w:szCs w:val="24"/>
        </w:rPr>
        <w:t xml:space="preserve"> other</w:t>
      </w:r>
      <w:r w:rsidR="00344CAE">
        <w:rPr>
          <w:szCs w:val="24"/>
        </w:rPr>
        <w:t xml:space="preserve"> programs within FHWA and reduce administrative burdens to State DOT</w:t>
      </w:r>
      <w:r w:rsidR="00B66551">
        <w:rPr>
          <w:szCs w:val="24"/>
        </w:rPr>
        <w:t>s</w:t>
      </w:r>
      <w:r w:rsidR="00344CAE">
        <w:rPr>
          <w:szCs w:val="24"/>
        </w:rPr>
        <w:t xml:space="preserve">.  </w:t>
      </w:r>
    </w:p>
    <w:p w:rsidR="00AE3BD0" w:rsidP="00930D38" w14:paraId="0AA94FA7" w14:textId="77777777">
      <w:pPr>
        <w:rPr>
          <w:szCs w:val="24"/>
        </w:rPr>
      </w:pPr>
    </w:p>
    <w:p w:rsidR="00E752FA" w:rsidP="00096128" w14:paraId="1C617C48" w14:textId="1305B43C">
      <w:pPr>
        <w:rPr>
          <w:szCs w:val="24"/>
        </w:rPr>
      </w:pPr>
      <w:r>
        <w:rPr>
          <w:szCs w:val="24"/>
        </w:rPr>
        <w:t xml:space="preserve">The FHWA is proposing to codify in regulations requirements for </w:t>
      </w:r>
      <w:r w:rsidR="00D3669C">
        <w:rPr>
          <w:szCs w:val="24"/>
        </w:rPr>
        <w:t xml:space="preserve">State DOT </w:t>
      </w:r>
      <w:r>
        <w:rPr>
          <w:szCs w:val="24"/>
        </w:rPr>
        <w:t>requests for</w:t>
      </w:r>
      <w:r w:rsidR="00994768">
        <w:rPr>
          <w:szCs w:val="24"/>
        </w:rPr>
        <w:t xml:space="preserve"> </w:t>
      </w:r>
      <w:r w:rsidR="00545227">
        <w:rPr>
          <w:szCs w:val="24"/>
        </w:rPr>
        <w:t>FHWA</w:t>
      </w:r>
      <w:r>
        <w:rPr>
          <w:szCs w:val="24"/>
        </w:rPr>
        <w:t xml:space="preserve"> approval of changes in access to the Interstate System.  The requirements include the submission of I</w:t>
      </w:r>
      <w:r w:rsidR="00110D22">
        <w:rPr>
          <w:szCs w:val="24"/>
        </w:rPr>
        <w:t>A</w:t>
      </w:r>
      <w:r>
        <w:rPr>
          <w:szCs w:val="24"/>
        </w:rPr>
        <w:t xml:space="preserve">JRs </w:t>
      </w:r>
      <w:r w:rsidR="00D478BA">
        <w:rPr>
          <w:szCs w:val="24"/>
        </w:rPr>
        <w:t xml:space="preserve">and PA annual reports </w:t>
      </w:r>
      <w:r>
        <w:rPr>
          <w:szCs w:val="24"/>
        </w:rPr>
        <w:t>to FHWA</w:t>
      </w:r>
      <w:r w:rsidR="00CD2F06">
        <w:rPr>
          <w:szCs w:val="24"/>
        </w:rPr>
        <w:t>.</w:t>
      </w:r>
      <w:r>
        <w:rPr>
          <w:szCs w:val="24"/>
        </w:rPr>
        <w:t xml:space="preserve">  </w:t>
      </w:r>
      <w:r w:rsidR="00394106">
        <w:rPr>
          <w:szCs w:val="24"/>
        </w:rPr>
        <w:t xml:space="preserve">This collection aligns with </w:t>
      </w:r>
      <w:r w:rsidR="00A71FAA">
        <w:rPr>
          <w:szCs w:val="24"/>
        </w:rPr>
        <w:t>the DOT</w:t>
      </w:r>
      <w:r w:rsidR="00A6379C">
        <w:rPr>
          <w:szCs w:val="24"/>
        </w:rPr>
        <w:t xml:space="preserve"> </w:t>
      </w:r>
      <w:r w:rsidR="00FE4A66">
        <w:rPr>
          <w:szCs w:val="24"/>
        </w:rPr>
        <w:t xml:space="preserve">Safety </w:t>
      </w:r>
      <w:r w:rsidR="00A6379C">
        <w:rPr>
          <w:szCs w:val="24"/>
        </w:rPr>
        <w:t>priority.</w:t>
      </w:r>
      <w:r>
        <w:rPr>
          <w:rStyle w:val="FootnoteReference"/>
          <w:szCs w:val="24"/>
        </w:rPr>
        <w:footnoteReference w:id="3"/>
      </w:r>
      <w:r w:rsidR="00A6379C">
        <w:rPr>
          <w:szCs w:val="24"/>
        </w:rPr>
        <w:t xml:space="preserve"> </w:t>
      </w:r>
    </w:p>
    <w:p w:rsidR="00457F60" w:rsidP="00930D38" w14:paraId="62E99BFD" w14:textId="77777777">
      <w:pPr>
        <w:rPr>
          <w:szCs w:val="24"/>
        </w:rPr>
      </w:pPr>
    </w:p>
    <w:p w:rsidR="00930D38" w:rsidRPr="009B50CB" w:rsidP="00930D38" w14:paraId="37121DD7" w14:textId="77777777">
      <w:pPr>
        <w:rPr>
          <w:szCs w:val="24"/>
        </w:rPr>
      </w:pPr>
      <w:r>
        <w:rPr>
          <w:szCs w:val="24"/>
        </w:rPr>
        <w:t xml:space="preserve">Under 23 U.S.C. 111, </w:t>
      </w:r>
      <w:r w:rsidRPr="009B50CB">
        <w:rPr>
          <w:szCs w:val="24"/>
        </w:rPr>
        <w:t>all agreement</w:t>
      </w:r>
      <w:r>
        <w:rPr>
          <w:szCs w:val="24"/>
        </w:rPr>
        <w:t xml:space="preserve">s between the Secretary and </w:t>
      </w:r>
      <w:r w:rsidR="00344EB8">
        <w:rPr>
          <w:szCs w:val="24"/>
        </w:rPr>
        <w:t>State D</w:t>
      </w:r>
      <w:r>
        <w:rPr>
          <w:szCs w:val="24"/>
        </w:rPr>
        <w:t xml:space="preserve">OTs </w:t>
      </w:r>
      <w:r w:rsidRPr="009B50CB">
        <w:rPr>
          <w:szCs w:val="24"/>
        </w:rPr>
        <w:t>for the construction of projects on the Interstate System shall contain a clause providing that the State will not add any points of access to, or exit from, the project in addition to those approved by the Secretary in the plans for such project, without the prior approval of the Secretary</w:t>
      </w:r>
      <w:r>
        <w:rPr>
          <w:szCs w:val="24"/>
        </w:rPr>
        <w:t xml:space="preserve">.  </w:t>
      </w:r>
      <w:r w:rsidR="00D478BA">
        <w:rPr>
          <w:szCs w:val="24"/>
        </w:rPr>
        <w:t xml:space="preserve">In addition, </w:t>
      </w:r>
      <w:r w:rsidRPr="00B17E93" w:rsidR="00D478BA">
        <w:rPr>
          <w:szCs w:val="24"/>
        </w:rPr>
        <w:t xml:space="preserve">section 1318(d) of the Moving Ahead for Progress in the 21st Century Act (MAP-21) and 23 U.S.C. 111(e) provide the Secretary with the authority to enter into </w:t>
      </w:r>
      <w:r w:rsidR="008C2CFD">
        <w:rPr>
          <w:szCs w:val="24"/>
        </w:rPr>
        <w:t>PA</w:t>
      </w:r>
      <w:r w:rsidRPr="00B17E93" w:rsidR="00D478BA">
        <w:rPr>
          <w:szCs w:val="24"/>
        </w:rPr>
        <w:t>s with the States that establish efficient administrative procedures for carrying out required project reviews</w:t>
      </w:r>
      <w:r w:rsidR="00D478BA">
        <w:rPr>
          <w:szCs w:val="24"/>
        </w:rPr>
        <w:t xml:space="preserve">.  </w:t>
      </w:r>
      <w:r w:rsidRPr="00915832">
        <w:rPr>
          <w:szCs w:val="24"/>
        </w:rPr>
        <w:t xml:space="preserve">The Secretary has </w:t>
      </w:r>
      <w:r w:rsidRPr="00915832">
        <w:rPr>
          <w:szCs w:val="24"/>
        </w:rPr>
        <w:t xml:space="preserve">delegated authority to administer </w:t>
      </w:r>
      <w:r>
        <w:rPr>
          <w:szCs w:val="24"/>
        </w:rPr>
        <w:t>s</w:t>
      </w:r>
      <w:r w:rsidRPr="00915832">
        <w:rPr>
          <w:szCs w:val="24"/>
        </w:rPr>
        <w:t>ection 111 to the Federal Highway Administrator pursuant to 49</w:t>
      </w:r>
      <w:r>
        <w:rPr>
          <w:szCs w:val="24"/>
        </w:rPr>
        <w:t> </w:t>
      </w:r>
      <w:r w:rsidRPr="00915832">
        <w:rPr>
          <w:szCs w:val="24"/>
        </w:rPr>
        <w:t>CFR</w:t>
      </w:r>
      <w:r>
        <w:rPr>
          <w:szCs w:val="24"/>
        </w:rPr>
        <w:t> </w:t>
      </w:r>
      <w:r w:rsidRPr="00915832">
        <w:rPr>
          <w:szCs w:val="24"/>
        </w:rPr>
        <w:t>1.85(a)(1)</w:t>
      </w:r>
      <w:r>
        <w:rPr>
          <w:szCs w:val="24"/>
        </w:rPr>
        <w:t>.</w:t>
      </w:r>
      <w:r w:rsidR="00D478BA">
        <w:rPr>
          <w:szCs w:val="24"/>
        </w:rPr>
        <w:t xml:space="preserve">  </w:t>
      </w:r>
      <w:r>
        <w:rPr>
          <w:szCs w:val="24"/>
        </w:rPr>
        <w:t xml:space="preserve"> </w:t>
      </w:r>
    </w:p>
    <w:p w:rsidR="001D224D" w:rsidRPr="00981917" w:rsidP="000A6210" w14:paraId="4D0F8E48" w14:textId="77777777">
      <w:pPr>
        <w:widowControl w:val="0"/>
        <w:tabs>
          <w:tab w:val="left" w:pos="540"/>
        </w:tabs>
        <w:ind w:left="1440"/>
        <w:rPr>
          <w:b/>
          <w:szCs w:val="24"/>
        </w:rPr>
      </w:pPr>
    </w:p>
    <w:p w:rsidR="008723AB" w:rsidRPr="00981917" w:rsidP="008723AB" w14:paraId="68D23D71" w14:textId="77777777">
      <w:pPr>
        <w:widowControl w:val="0"/>
        <w:tabs>
          <w:tab w:val="left" w:pos="540"/>
        </w:tabs>
        <w:rPr>
          <w:color w:val="FF0000"/>
          <w:szCs w:val="24"/>
        </w:rPr>
      </w:pPr>
      <w:r w:rsidRPr="008B7D43">
        <w:rPr>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p>
    <w:p w:rsidR="00DC42A0" w:rsidP="002D3A73" w14:paraId="648BF75C" w14:textId="60499FFB">
      <w:pPr>
        <w:widowControl w:val="0"/>
        <w:tabs>
          <w:tab w:val="left" w:pos="540"/>
        </w:tabs>
        <w:rPr>
          <w:szCs w:val="24"/>
        </w:rPr>
      </w:pPr>
      <w:r>
        <w:rPr>
          <w:szCs w:val="24"/>
        </w:rPr>
        <w:t xml:space="preserve">FHWA’s decision to approve </w:t>
      </w:r>
      <w:r w:rsidR="000E56E0">
        <w:rPr>
          <w:szCs w:val="24"/>
        </w:rPr>
        <w:t xml:space="preserve">change in </w:t>
      </w:r>
      <w:r>
        <w:rPr>
          <w:szCs w:val="24"/>
        </w:rPr>
        <w:t xml:space="preserve">access points to the Interstate System must be supported </w:t>
      </w:r>
      <w:r w:rsidR="000E56E0">
        <w:rPr>
          <w:szCs w:val="24"/>
        </w:rPr>
        <w:t>by</w:t>
      </w:r>
      <w:r w:rsidR="00BC7A8D">
        <w:rPr>
          <w:szCs w:val="24"/>
        </w:rPr>
        <w:t xml:space="preserve"> technical information indicating that the proposed </w:t>
      </w:r>
      <w:r w:rsidR="000E56E0">
        <w:rPr>
          <w:szCs w:val="24"/>
        </w:rPr>
        <w:t>change in</w:t>
      </w:r>
      <w:r w:rsidR="00BC7A8D">
        <w:rPr>
          <w:szCs w:val="24"/>
        </w:rPr>
        <w:t xml:space="preserve"> access will</w:t>
      </w:r>
      <w:r>
        <w:rPr>
          <w:szCs w:val="24"/>
        </w:rPr>
        <w:t xml:space="preserve"> </w:t>
      </w:r>
      <w:r w:rsidRPr="00554B80" w:rsidR="00BC7A8D">
        <w:rPr>
          <w:szCs w:val="24"/>
        </w:rPr>
        <w:t>not have a significant adverse impact on the safety</w:t>
      </w:r>
      <w:r w:rsidR="00233FD1">
        <w:rPr>
          <w:szCs w:val="24"/>
        </w:rPr>
        <w:t xml:space="preserve"> for all roadway users</w:t>
      </w:r>
      <w:r w:rsidRPr="00554B80" w:rsidR="00BC7A8D">
        <w:rPr>
          <w:szCs w:val="24"/>
        </w:rPr>
        <w:t xml:space="preserve"> and operation of the Interstate facility</w:t>
      </w:r>
      <w:r w:rsidR="004C0640">
        <w:rPr>
          <w:szCs w:val="24"/>
        </w:rPr>
        <w:t xml:space="preserve">. </w:t>
      </w:r>
      <w:r w:rsidRPr="00554B80" w:rsidR="00BC7A8D">
        <w:rPr>
          <w:szCs w:val="24"/>
        </w:rPr>
        <w:t xml:space="preserve"> </w:t>
      </w:r>
      <w:r w:rsidR="00E43975">
        <w:rPr>
          <w:szCs w:val="24"/>
        </w:rPr>
        <w:t xml:space="preserve">FHWA is proposing to require </w:t>
      </w:r>
      <w:r w:rsidR="005249AB">
        <w:rPr>
          <w:szCs w:val="24"/>
        </w:rPr>
        <w:t xml:space="preserve">in 23 CFR 624.9(a) </w:t>
      </w:r>
      <w:r w:rsidR="00E43975">
        <w:rPr>
          <w:szCs w:val="24"/>
        </w:rPr>
        <w:t xml:space="preserve">that </w:t>
      </w:r>
      <w:r w:rsidR="005249AB">
        <w:rPr>
          <w:szCs w:val="24"/>
        </w:rPr>
        <w:t>such</w:t>
      </w:r>
      <w:r w:rsidR="00BD0A4B">
        <w:rPr>
          <w:szCs w:val="24"/>
        </w:rPr>
        <w:t xml:space="preserve"> technical information </w:t>
      </w:r>
      <w:r w:rsidR="005249AB">
        <w:rPr>
          <w:szCs w:val="24"/>
        </w:rPr>
        <w:t>be submitted</w:t>
      </w:r>
      <w:r w:rsidR="00BD0A4B">
        <w:rPr>
          <w:szCs w:val="24"/>
        </w:rPr>
        <w:t xml:space="preserve"> to FHWA in </w:t>
      </w:r>
      <w:r w:rsidR="00FC03A9">
        <w:rPr>
          <w:szCs w:val="24"/>
        </w:rPr>
        <w:t xml:space="preserve">the form of </w:t>
      </w:r>
      <w:r w:rsidR="00BD0A4B">
        <w:rPr>
          <w:szCs w:val="24"/>
        </w:rPr>
        <w:t>an I</w:t>
      </w:r>
      <w:r w:rsidR="00110D22">
        <w:rPr>
          <w:szCs w:val="24"/>
        </w:rPr>
        <w:t>A</w:t>
      </w:r>
      <w:r w:rsidR="00BD0A4B">
        <w:rPr>
          <w:szCs w:val="24"/>
        </w:rPr>
        <w:t>JR</w:t>
      </w:r>
      <w:r w:rsidR="00CC04A9">
        <w:rPr>
          <w:szCs w:val="24"/>
        </w:rPr>
        <w:t xml:space="preserve"> </w:t>
      </w:r>
      <w:r w:rsidR="005249AB">
        <w:rPr>
          <w:szCs w:val="24"/>
        </w:rPr>
        <w:t xml:space="preserve">that meets the requirements of proposed 23 CFR 624.11, together with a letter requesting the change in access.  </w:t>
      </w:r>
      <w:r w:rsidR="0021667A">
        <w:rPr>
          <w:szCs w:val="24"/>
        </w:rPr>
        <w:t xml:space="preserve">The </w:t>
      </w:r>
      <w:r w:rsidR="00CC04A9">
        <w:rPr>
          <w:szCs w:val="24"/>
        </w:rPr>
        <w:t xml:space="preserve">FHWA staff in the division (field) office </w:t>
      </w:r>
      <w:r w:rsidR="005249AB">
        <w:rPr>
          <w:szCs w:val="24"/>
        </w:rPr>
        <w:t>will review the I</w:t>
      </w:r>
      <w:r w:rsidR="00110D22">
        <w:rPr>
          <w:szCs w:val="24"/>
        </w:rPr>
        <w:t>A</w:t>
      </w:r>
      <w:r w:rsidR="005249AB">
        <w:rPr>
          <w:szCs w:val="24"/>
        </w:rPr>
        <w:t xml:space="preserve">JR </w:t>
      </w:r>
      <w:r w:rsidR="00CC04A9">
        <w:rPr>
          <w:szCs w:val="24"/>
        </w:rPr>
        <w:t xml:space="preserve">to determine whether the request </w:t>
      </w:r>
      <w:r w:rsidR="00956D33">
        <w:rPr>
          <w:szCs w:val="24"/>
        </w:rPr>
        <w:t xml:space="preserve">is consistent with </w:t>
      </w:r>
      <w:r w:rsidR="00CC04A9">
        <w:rPr>
          <w:szCs w:val="24"/>
        </w:rPr>
        <w:t xml:space="preserve">FHWA policy </w:t>
      </w:r>
      <w:r w:rsidR="00956D33">
        <w:rPr>
          <w:szCs w:val="24"/>
        </w:rPr>
        <w:t xml:space="preserve">and applicable requirements </w:t>
      </w:r>
      <w:r w:rsidR="00CC04A9">
        <w:rPr>
          <w:szCs w:val="24"/>
        </w:rPr>
        <w:t>and whether to recommend concurrence.</w:t>
      </w:r>
      <w:r w:rsidR="006F022F">
        <w:rPr>
          <w:szCs w:val="24"/>
        </w:rPr>
        <w:t xml:space="preserve"> </w:t>
      </w:r>
      <w:r w:rsidR="00CC04A9">
        <w:rPr>
          <w:szCs w:val="24"/>
        </w:rPr>
        <w:t xml:space="preserve"> The I</w:t>
      </w:r>
      <w:r w:rsidR="00110D22">
        <w:rPr>
          <w:szCs w:val="24"/>
        </w:rPr>
        <w:t>A</w:t>
      </w:r>
      <w:r w:rsidR="00CC04A9">
        <w:rPr>
          <w:szCs w:val="24"/>
        </w:rPr>
        <w:t>JR may be shared with staff in FHWA’s Resource Center and headquarters depending on the complexity of the analysis where supplemental technical expertise is needed.</w:t>
      </w:r>
      <w:r w:rsidR="006F022F">
        <w:rPr>
          <w:szCs w:val="24"/>
        </w:rPr>
        <w:t xml:space="preserve"> </w:t>
      </w:r>
      <w:r w:rsidR="00CC04A9">
        <w:rPr>
          <w:szCs w:val="24"/>
        </w:rPr>
        <w:t xml:space="preserve"> In some cases, the I</w:t>
      </w:r>
      <w:r w:rsidR="00110D22">
        <w:rPr>
          <w:szCs w:val="24"/>
        </w:rPr>
        <w:t>A</w:t>
      </w:r>
      <w:r w:rsidR="00CC04A9">
        <w:rPr>
          <w:szCs w:val="24"/>
        </w:rPr>
        <w:t xml:space="preserve">JR is then transmitted to FHWA headquarters, Office of Infrastructure, to make the </w:t>
      </w:r>
      <w:r w:rsidR="00983B98">
        <w:rPr>
          <w:szCs w:val="24"/>
        </w:rPr>
        <w:t xml:space="preserve">determination </w:t>
      </w:r>
      <w:r w:rsidR="00CC04A9">
        <w:rPr>
          <w:szCs w:val="24"/>
        </w:rPr>
        <w:t>on the</w:t>
      </w:r>
      <w:r w:rsidR="002173E2">
        <w:rPr>
          <w:szCs w:val="24"/>
        </w:rPr>
        <w:t xml:space="preserve"> I</w:t>
      </w:r>
      <w:r w:rsidR="00110D22">
        <w:rPr>
          <w:szCs w:val="24"/>
        </w:rPr>
        <w:t>A</w:t>
      </w:r>
      <w:r w:rsidR="002173E2">
        <w:rPr>
          <w:szCs w:val="24"/>
        </w:rPr>
        <w:t>JR</w:t>
      </w:r>
      <w:r w:rsidR="00CC04A9">
        <w:rPr>
          <w:szCs w:val="24"/>
        </w:rPr>
        <w:t>.</w:t>
      </w:r>
      <w:r w:rsidR="00DB79B4">
        <w:rPr>
          <w:szCs w:val="24"/>
        </w:rPr>
        <w:t xml:space="preserve">  </w:t>
      </w:r>
    </w:p>
    <w:p w:rsidR="00DC42A0" w:rsidP="002D3A73" w14:paraId="689D600F" w14:textId="77777777">
      <w:pPr>
        <w:widowControl w:val="0"/>
        <w:tabs>
          <w:tab w:val="left" w:pos="540"/>
        </w:tabs>
        <w:rPr>
          <w:szCs w:val="24"/>
        </w:rPr>
      </w:pPr>
    </w:p>
    <w:p w:rsidR="002D3A73" w:rsidP="002D3A73" w14:paraId="787AFEE8" w14:textId="06C23AA4">
      <w:pPr>
        <w:widowControl w:val="0"/>
        <w:tabs>
          <w:tab w:val="left" w:pos="540"/>
        </w:tabs>
        <w:rPr>
          <w:szCs w:val="24"/>
        </w:rPr>
      </w:pPr>
      <w:r>
        <w:rPr>
          <w:szCs w:val="24"/>
        </w:rPr>
        <w:t xml:space="preserve">State DOTs have the option of entering </w:t>
      </w:r>
      <w:r w:rsidR="00817932">
        <w:rPr>
          <w:szCs w:val="24"/>
        </w:rPr>
        <w:t xml:space="preserve">into </w:t>
      </w:r>
      <w:r>
        <w:rPr>
          <w:szCs w:val="24"/>
        </w:rPr>
        <w:t>a PA with FHWA to make safety, operations, and engineering determinations on I</w:t>
      </w:r>
      <w:r w:rsidR="00110D22">
        <w:rPr>
          <w:szCs w:val="24"/>
        </w:rPr>
        <w:t>A</w:t>
      </w:r>
      <w:r>
        <w:rPr>
          <w:szCs w:val="24"/>
        </w:rPr>
        <w:t xml:space="preserve">JRs.  </w:t>
      </w:r>
      <w:r w:rsidR="00792189">
        <w:rPr>
          <w:szCs w:val="24"/>
        </w:rPr>
        <w:t>A</w:t>
      </w:r>
      <w:r>
        <w:rPr>
          <w:szCs w:val="24"/>
        </w:rPr>
        <w:t xml:space="preserve"> State DOT </w:t>
      </w:r>
      <w:r w:rsidR="00792189">
        <w:rPr>
          <w:szCs w:val="24"/>
        </w:rPr>
        <w:t xml:space="preserve">that </w:t>
      </w:r>
      <w:r>
        <w:rPr>
          <w:szCs w:val="24"/>
        </w:rPr>
        <w:t xml:space="preserve">has an approved </w:t>
      </w:r>
      <w:r w:rsidR="00923112">
        <w:rPr>
          <w:szCs w:val="24"/>
        </w:rPr>
        <w:t>PA</w:t>
      </w:r>
      <w:r w:rsidR="00792189">
        <w:rPr>
          <w:szCs w:val="24"/>
        </w:rPr>
        <w:t xml:space="preserve"> is</w:t>
      </w:r>
      <w:r w:rsidR="00923112">
        <w:rPr>
          <w:szCs w:val="24"/>
        </w:rPr>
        <w:t xml:space="preserve"> required to submit a </w:t>
      </w:r>
      <w:r w:rsidR="00DB79B4">
        <w:rPr>
          <w:szCs w:val="24"/>
        </w:rPr>
        <w:t>PA annual repo</w:t>
      </w:r>
      <w:r w:rsidR="00923112">
        <w:rPr>
          <w:szCs w:val="24"/>
        </w:rPr>
        <w:t xml:space="preserve">rt, which is used to </w:t>
      </w:r>
      <w:r w:rsidR="00DB79B4">
        <w:rPr>
          <w:szCs w:val="24"/>
        </w:rPr>
        <w:t xml:space="preserve">monitor the performance of the PA.  The FHWA staff in the division (field) office will review the annual report </w:t>
      </w:r>
      <w:r w:rsidR="00A068BB">
        <w:rPr>
          <w:szCs w:val="24"/>
        </w:rPr>
        <w:t>as part of their oversight of the PA process.</w:t>
      </w:r>
      <w:r w:rsidR="008C2CFD">
        <w:rPr>
          <w:szCs w:val="24"/>
        </w:rPr>
        <w:t xml:space="preserve"> </w:t>
      </w:r>
      <w:r w:rsidR="00DB79B4">
        <w:rPr>
          <w:szCs w:val="24"/>
        </w:rPr>
        <w:t xml:space="preserve">  </w:t>
      </w:r>
    </w:p>
    <w:p w:rsidR="001D224D" w:rsidRPr="00981917" w:rsidP="000A6210" w14:paraId="2191F3DB" w14:textId="77777777">
      <w:pPr>
        <w:widowControl w:val="0"/>
        <w:tabs>
          <w:tab w:val="left" w:pos="540"/>
        </w:tabs>
        <w:rPr>
          <w:b/>
          <w:szCs w:val="24"/>
        </w:rPr>
      </w:pPr>
      <w:r w:rsidRPr="00981917">
        <w:rPr>
          <w:b/>
          <w:szCs w:val="24"/>
        </w:rPr>
        <w:t xml:space="preserve"> </w:t>
      </w:r>
    </w:p>
    <w:p w:rsidR="00F45271" w:rsidRPr="008723AB" w:rsidP="000A6210" w14:paraId="7744EFD9" w14:textId="77777777">
      <w:pPr>
        <w:widowControl w:val="0"/>
        <w:tabs>
          <w:tab w:val="left" w:pos="540"/>
        </w:tabs>
        <w:rPr>
          <w:b/>
          <w:szCs w:val="24"/>
        </w:rPr>
      </w:pPr>
      <w:r w:rsidRPr="008B7D43">
        <w:rPr>
          <w:szCs w:val="24"/>
        </w:rPr>
        <w:t>3.</w:t>
      </w:r>
      <w:r w:rsidRPr="00981917">
        <w:rPr>
          <w:b/>
          <w:szCs w:val="24"/>
        </w:rPr>
        <w:tab/>
      </w:r>
      <w:r w:rsidRPr="00981917">
        <w:rPr>
          <w:b/>
          <w:szCs w:val="24"/>
          <w:u w:val="single"/>
        </w:rPr>
        <w:t>Extent of automated information collection</w:t>
      </w:r>
      <w:r w:rsidRPr="00981917">
        <w:rPr>
          <w:b/>
          <w:szCs w:val="24"/>
        </w:rPr>
        <w:t xml:space="preserve">.  </w:t>
      </w:r>
    </w:p>
    <w:p w:rsidR="00AC777F" w:rsidRPr="008723AB" w:rsidP="000A6210" w14:paraId="2AB24920" w14:textId="33341A49">
      <w:pPr>
        <w:widowControl w:val="0"/>
        <w:tabs>
          <w:tab w:val="left" w:pos="540"/>
        </w:tabs>
        <w:rPr>
          <w:szCs w:val="24"/>
        </w:rPr>
      </w:pPr>
      <w:r>
        <w:rPr>
          <w:szCs w:val="24"/>
        </w:rPr>
        <w:t>S</w:t>
      </w:r>
      <w:r w:rsidR="00344EB8">
        <w:rPr>
          <w:szCs w:val="24"/>
        </w:rPr>
        <w:t>tate DOT</w:t>
      </w:r>
      <w:r>
        <w:rPr>
          <w:szCs w:val="24"/>
        </w:rPr>
        <w:t xml:space="preserve">s </w:t>
      </w:r>
      <w:r w:rsidR="000357A0">
        <w:rPr>
          <w:szCs w:val="24"/>
        </w:rPr>
        <w:t xml:space="preserve">are </w:t>
      </w:r>
      <w:r w:rsidR="001A2F5F">
        <w:rPr>
          <w:szCs w:val="24"/>
        </w:rPr>
        <w:t>required</w:t>
      </w:r>
      <w:r w:rsidR="000357A0">
        <w:rPr>
          <w:szCs w:val="24"/>
        </w:rPr>
        <w:t xml:space="preserve"> to submit</w:t>
      </w:r>
      <w:r w:rsidR="00FC03A9">
        <w:rPr>
          <w:szCs w:val="24"/>
        </w:rPr>
        <w:t xml:space="preserve"> the I</w:t>
      </w:r>
      <w:r w:rsidR="00E51356">
        <w:rPr>
          <w:szCs w:val="24"/>
        </w:rPr>
        <w:t>A</w:t>
      </w:r>
      <w:r w:rsidR="00FC03A9">
        <w:rPr>
          <w:szCs w:val="24"/>
        </w:rPr>
        <w:t>JR</w:t>
      </w:r>
      <w:r w:rsidR="008C2CFD">
        <w:rPr>
          <w:szCs w:val="24"/>
        </w:rPr>
        <w:t xml:space="preserve"> and PA annual report</w:t>
      </w:r>
      <w:r w:rsidR="00FC03A9">
        <w:rPr>
          <w:szCs w:val="24"/>
        </w:rPr>
        <w:t xml:space="preserve"> in</w:t>
      </w:r>
      <w:r w:rsidR="000357A0">
        <w:rPr>
          <w:szCs w:val="24"/>
        </w:rPr>
        <w:t xml:space="preserve"> a</w:t>
      </w:r>
      <w:r w:rsidR="00FC03A9">
        <w:rPr>
          <w:szCs w:val="24"/>
        </w:rPr>
        <w:t>n electronic format (</w:t>
      </w:r>
      <w:r w:rsidR="00FB3572">
        <w:rPr>
          <w:szCs w:val="24"/>
        </w:rPr>
        <w:t>e.g.,</w:t>
      </w:r>
      <w:r w:rsidR="00FC03A9">
        <w:rPr>
          <w:szCs w:val="24"/>
        </w:rPr>
        <w:t xml:space="preserve"> Adobe Acrobat file)</w:t>
      </w:r>
      <w:r w:rsidR="000357A0">
        <w:rPr>
          <w:szCs w:val="24"/>
        </w:rPr>
        <w:t xml:space="preserve"> </w:t>
      </w:r>
      <w:r>
        <w:rPr>
          <w:szCs w:val="24"/>
        </w:rPr>
        <w:t>to FHWA.</w:t>
      </w:r>
      <w:r w:rsidR="00C42B06">
        <w:rPr>
          <w:szCs w:val="24"/>
        </w:rPr>
        <w:t xml:space="preserve">  </w:t>
      </w:r>
      <w:bookmarkStart w:id="0" w:name="_Hlk36023190"/>
      <w:r w:rsidR="00C42B06">
        <w:rPr>
          <w:szCs w:val="24"/>
        </w:rPr>
        <w:t xml:space="preserve">The </w:t>
      </w:r>
      <w:r w:rsidR="00A068BB">
        <w:rPr>
          <w:szCs w:val="24"/>
        </w:rPr>
        <w:t xml:space="preserve">proposed </w:t>
      </w:r>
      <w:r w:rsidR="00FE43B7">
        <w:rPr>
          <w:szCs w:val="24"/>
        </w:rPr>
        <w:t xml:space="preserve">rule </w:t>
      </w:r>
      <w:r w:rsidR="0051357B">
        <w:rPr>
          <w:szCs w:val="24"/>
        </w:rPr>
        <w:t>requires</w:t>
      </w:r>
      <w:r w:rsidR="00FE43B7">
        <w:rPr>
          <w:szCs w:val="24"/>
        </w:rPr>
        <w:t xml:space="preserve"> </w:t>
      </w:r>
      <w:r w:rsidRPr="008723AB" w:rsidR="00FE43B7">
        <w:rPr>
          <w:szCs w:val="24"/>
        </w:rPr>
        <w:t>electronic submissions for these reports.</w:t>
      </w:r>
      <w:r w:rsidRPr="008723AB" w:rsidR="000357A0">
        <w:rPr>
          <w:szCs w:val="24"/>
        </w:rPr>
        <w:t xml:space="preserve"> </w:t>
      </w:r>
      <w:bookmarkEnd w:id="0"/>
    </w:p>
    <w:p w:rsidR="001D224D" w:rsidRPr="008723AB" w:rsidP="000A6210" w14:paraId="14AC1CAE" w14:textId="77777777">
      <w:pPr>
        <w:widowControl w:val="0"/>
        <w:tabs>
          <w:tab w:val="left" w:pos="540"/>
        </w:tabs>
        <w:ind w:left="720"/>
        <w:rPr>
          <w:b/>
          <w:szCs w:val="24"/>
        </w:rPr>
      </w:pPr>
    </w:p>
    <w:p w:rsidR="00577B62" w:rsidRPr="008723AB" w:rsidP="00074398" w14:paraId="29D500B3" w14:textId="77777777">
      <w:pPr>
        <w:widowControl w:val="0"/>
        <w:numPr>
          <w:ilvl w:val="0"/>
          <w:numId w:val="11"/>
        </w:numPr>
        <w:tabs>
          <w:tab w:val="num" w:pos="-90"/>
          <w:tab w:val="left" w:pos="0"/>
          <w:tab w:val="left" w:pos="540"/>
          <w:tab w:val="clear" w:pos="720"/>
        </w:tabs>
        <w:ind w:left="-90" w:firstLine="90"/>
        <w:rPr>
          <w:szCs w:val="24"/>
        </w:rPr>
      </w:pPr>
      <w:r w:rsidRPr="008723AB">
        <w:rPr>
          <w:b/>
          <w:szCs w:val="24"/>
          <w:u w:val="single"/>
        </w:rPr>
        <w:t>Describe efforts to identify duplication.</w:t>
      </w:r>
      <w:r w:rsidRPr="008723AB">
        <w:rPr>
          <w:b/>
          <w:szCs w:val="24"/>
        </w:rPr>
        <w:t xml:space="preserve">   </w:t>
      </w:r>
    </w:p>
    <w:p w:rsidR="00577B62" w:rsidRPr="00577B62" w:rsidP="00074398" w14:paraId="6B88A36C" w14:textId="10027B59">
      <w:pPr>
        <w:widowControl w:val="0"/>
        <w:tabs>
          <w:tab w:val="left" w:pos="0"/>
          <w:tab w:val="left" w:pos="540"/>
        </w:tabs>
        <w:rPr>
          <w:szCs w:val="24"/>
        </w:rPr>
      </w:pPr>
      <w:r w:rsidRPr="008723AB">
        <w:rPr>
          <w:szCs w:val="24"/>
        </w:rPr>
        <w:t xml:space="preserve">The needed safety and operational analysis and associated plan details </w:t>
      </w:r>
      <w:r w:rsidRPr="008723AB" w:rsidR="00644489">
        <w:rPr>
          <w:szCs w:val="24"/>
        </w:rPr>
        <w:t>provided in I</w:t>
      </w:r>
      <w:r w:rsidR="00514BC2">
        <w:rPr>
          <w:szCs w:val="24"/>
        </w:rPr>
        <w:t>A</w:t>
      </w:r>
      <w:r w:rsidRPr="008723AB" w:rsidR="00644489">
        <w:rPr>
          <w:szCs w:val="24"/>
        </w:rPr>
        <w:t xml:space="preserve">JRs </w:t>
      </w:r>
      <w:r w:rsidRPr="008723AB">
        <w:rPr>
          <w:szCs w:val="24"/>
        </w:rPr>
        <w:t>are not available elsewhere.</w:t>
      </w:r>
      <w:r w:rsidRPr="008723AB" w:rsidR="006F022F">
        <w:rPr>
          <w:szCs w:val="24"/>
        </w:rPr>
        <w:t xml:space="preserve"> </w:t>
      </w:r>
      <w:r w:rsidRPr="008723AB">
        <w:rPr>
          <w:szCs w:val="24"/>
        </w:rPr>
        <w:t xml:space="preserve"> While bits and pieces of the needed information</w:t>
      </w:r>
      <w:r>
        <w:rPr>
          <w:szCs w:val="24"/>
        </w:rPr>
        <w:t xml:space="preserve"> may be included in </w:t>
      </w:r>
      <w:r w:rsidR="00E33ACD">
        <w:rPr>
          <w:szCs w:val="24"/>
        </w:rPr>
        <w:t>National Environmental Policy Act (</w:t>
      </w:r>
      <w:r>
        <w:rPr>
          <w:szCs w:val="24"/>
        </w:rPr>
        <w:t>NEPA</w:t>
      </w:r>
      <w:r w:rsidR="00E33ACD">
        <w:rPr>
          <w:szCs w:val="24"/>
        </w:rPr>
        <w:t>)</w:t>
      </w:r>
      <w:r>
        <w:rPr>
          <w:szCs w:val="24"/>
        </w:rPr>
        <w:t xml:space="preserve"> environmental documents, the information there is presented for the purpose of public input and </w:t>
      </w:r>
      <w:r w:rsidR="0094760B">
        <w:rPr>
          <w:szCs w:val="24"/>
        </w:rPr>
        <w:t xml:space="preserve">agency </w:t>
      </w:r>
      <w:r>
        <w:rPr>
          <w:szCs w:val="24"/>
        </w:rPr>
        <w:t>evaluation of environmental impacts and is not as detailed as the technical analysis contained in the I</w:t>
      </w:r>
      <w:r w:rsidR="00110D22">
        <w:rPr>
          <w:szCs w:val="24"/>
        </w:rPr>
        <w:t>A</w:t>
      </w:r>
      <w:r>
        <w:rPr>
          <w:szCs w:val="24"/>
        </w:rPr>
        <w:t>JR.</w:t>
      </w:r>
      <w:r w:rsidR="00F442E7">
        <w:rPr>
          <w:szCs w:val="24"/>
        </w:rPr>
        <w:t xml:space="preserve">  The PA annual report has a focus on performance of the PA </w:t>
      </w:r>
      <w:r w:rsidR="00644489">
        <w:rPr>
          <w:szCs w:val="24"/>
        </w:rPr>
        <w:t xml:space="preserve">and </w:t>
      </w:r>
      <w:r w:rsidR="00F442E7">
        <w:rPr>
          <w:szCs w:val="24"/>
        </w:rPr>
        <w:t>as a result it does not duplicate similar information already available for other purposes.</w:t>
      </w:r>
    </w:p>
    <w:p w:rsidR="00E805F4" w:rsidP="000A6210" w14:paraId="73F2629D" w14:textId="77777777">
      <w:pPr>
        <w:widowControl w:val="0"/>
        <w:tabs>
          <w:tab w:val="left" w:pos="540"/>
        </w:tabs>
        <w:rPr>
          <w:b/>
          <w:szCs w:val="24"/>
        </w:rPr>
      </w:pPr>
    </w:p>
    <w:p w:rsidR="00720D5B" w:rsidP="008723AB" w14:paraId="34BE0EF5" w14:textId="77777777">
      <w:pPr>
        <w:widowControl w:val="0"/>
        <w:tabs>
          <w:tab w:val="left" w:pos="540"/>
        </w:tabs>
        <w:rPr>
          <w:szCs w:val="24"/>
        </w:rPr>
      </w:pPr>
      <w:r w:rsidRPr="008B7D43">
        <w:rPr>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r w:rsidR="00E35D67">
        <w:rPr>
          <w:szCs w:val="24"/>
        </w:rPr>
        <w:tab/>
      </w:r>
    </w:p>
    <w:p w:rsidR="00E35D67" w:rsidP="00E35D67" w14:paraId="7A509276" w14:textId="01F7596E">
      <w:pPr>
        <w:widowControl w:val="0"/>
        <w:tabs>
          <w:tab w:val="left" w:pos="0"/>
          <w:tab w:val="left" w:pos="540"/>
        </w:tabs>
        <w:rPr>
          <w:szCs w:val="24"/>
        </w:rPr>
      </w:pPr>
      <w:r>
        <w:rPr>
          <w:szCs w:val="24"/>
        </w:rPr>
        <w:t>Th</w:t>
      </w:r>
      <w:r w:rsidR="00507057">
        <w:rPr>
          <w:szCs w:val="24"/>
        </w:rPr>
        <w:t>is collection</w:t>
      </w:r>
      <w:r>
        <w:rPr>
          <w:szCs w:val="24"/>
        </w:rPr>
        <w:t xml:space="preserve"> will only be required when a </w:t>
      </w:r>
      <w:r w:rsidR="00344EB8">
        <w:rPr>
          <w:szCs w:val="24"/>
        </w:rPr>
        <w:t>State DOT</w:t>
      </w:r>
      <w:r>
        <w:rPr>
          <w:szCs w:val="24"/>
        </w:rPr>
        <w:t xml:space="preserve"> request</w:t>
      </w:r>
      <w:r w:rsidR="00B61466">
        <w:rPr>
          <w:szCs w:val="24"/>
        </w:rPr>
        <w:t>s</w:t>
      </w:r>
      <w:r>
        <w:rPr>
          <w:szCs w:val="24"/>
        </w:rPr>
        <w:t xml:space="preserve"> a </w:t>
      </w:r>
      <w:r w:rsidR="002B013D">
        <w:rPr>
          <w:szCs w:val="24"/>
        </w:rPr>
        <w:t>change in</w:t>
      </w:r>
      <w:r>
        <w:rPr>
          <w:szCs w:val="24"/>
        </w:rPr>
        <w:t xml:space="preserve"> access to the Interstate System.  </w:t>
      </w:r>
      <w:r w:rsidR="00AA13AB">
        <w:rPr>
          <w:szCs w:val="24"/>
        </w:rPr>
        <w:t xml:space="preserve">The annual report will only </w:t>
      </w:r>
      <w:r w:rsidR="00BF2684">
        <w:rPr>
          <w:szCs w:val="24"/>
        </w:rPr>
        <w:t xml:space="preserve">apply to State DOTs </w:t>
      </w:r>
      <w:r w:rsidR="00923112">
        <w:rPr>
          <w:szCs w:val="24"/>
        </w:rPr>
        <w:t>with approved</w:t>
      </w:r>
      <w:r w:rsidR="00BF2684">
        <w:rPr>
          <w:szCs w:val="24"/>
        </w:rPr>
        <w:t xml:space="preserve"> PAs for Interstate System access and will only be required when a State DOT </w:t>
      </w:r>
      <w:r w:rsidR="00BF2684">
        <w:rPr>
          <w:szCs w:val="24"/>
        </w:rPr>
        <w:t xml:space="preserve">makes </w:t>
      </w:r>
      <w:r w:rsidR="00B77506">
        <w:rPr>
          <w:szCs w:val="24"/>
        </w:rPr>
        <w:t>a determination</w:t>
      </w:r>
      <w:r w:rsidR="00BF2684">
        <w:rPr>
          <w:szCs w:val="24"/>
        </w:rPr>
        <w:t xml:space="preserve"> on an I</w:t>
      </w:r>
      <w:r w:rsidR="00110D22">
        <w:rPr>
          <w:szCs w:val="24"/>
        </w:rPr>
        <w:t>A</w:t>
      </w:r>
      <w:r w:rsidR="00BF2684">
        <w:rPr>
          <w:szCs w:val="24"/>
        </w:rPr>
        <w:t xml:space="preserve">JR.  </w:t>
      </w:r>
      <w:r>
        <w:rPr>
          <w:szCs w:val="24"/>
        </w:rPr>
        <w:t>This request does not place a burden on small business</w:t>
      </w:r>
      <w:r w:rsidR="00D14413">
        <w:rPr>
          <w:szCs w:val="24"/>
        </w:rPr>
        <w:t>es</w:t>
      </w:r>
      <w:r>
        <w:rPr>
          <w:szCs w:val="24"/>
        </w:rPr>
        <w:t xml:space="preserve"> to submit information</w:t>
      </w:r>
      <w:r w:rsidR="00D14413">
        <w:rPr>
          <w:szCs w:val="24"/>
        </w:rPr>
        <w:t>,</w:t>
      </w:r>
      <w:r>
        <w:rPr>
          <w:szCs w:val="24"/>
        </w:rPr>
        <w:t xml:space="preserve"> because S</w:t>
      </w:r>
      <w:r w:rsidR="00344EB8">
        <w:rPr>
          <w:szCs w:val="24"/>
        </w:rPr>
        <w:t>tate DOT</w:t>
      </w:r>
      <w:r>
        <w:rPr>
          <w:szCs w:val="24"/>
        </w:rPr>
        <w:t>s are the only agencies allowed to submit an I</w:t>
      </w:r>
      <w:r w:rsidR="00110D22">
        <w:rPr>
          <w:szCs w:val="24"/>
        </w:rPr>
        <w:t>A</w:t>
      </w:r>
      <w:r>
        <w:rPr>
          <w:szCs w:val="24"/>
        </w:rPr>
        <w:t xml:space="preserve">JR </w:t>
      </w:r>
      <w:r w:rsidR="00BF2684">
        <w:rPr>
          <w:szCs w:val="24"/>
        </w:rPr>
        <w:t xml:space="preserve">and PA annual report </w:t>
      </w:r>
      <w:r>
        <w:rPr>
          <w:szCs w:val="24"/>
        </w:rPr>
        <w:t xml:space="preserve">to </w:t>
      </w:r>
      <w:r>
        <w:rPr>
          <w:szCs w:val="24"/>
        </w:rPr>
        <w:t xml:space="preserve">FHWA.  </w:t>
      </w:r>
      <w:r w:rsidR="00D14413">
        <w:rPr>
          <w:szCs w:val="24"/>
        </w:rPr>
        <w:t xml:space="preserve">This will remain the case under the proposed regulations in 23 CFR </w:t>
      </w:r>
      <w:r w:rsidR="00164D5B">
        <w:rPr>
          <w:szCs w:val="24"/>
        </w:rPr>
        <w:t>P</w:t>
      </w:r>
      <w:r w:rsidR="00D14413">
        <w:rPr>
          <w:szCs w:val="24"/>
        </w:rPr>
        <w:t>art 624.</w:t>
      </w:r>
    </w:p>
    <w:p w:rsidR="00E35D67" w:rsidRPr="00981917" w:rsidP="00720D5B" w14:paraId="000FA152" w14:textId="77777777">
      <w:pPr>
        <w:widowControl w:val="0"/>
        <w:tabs>
          <w:tab w:val="left" w:pos="0"/>
          <w:tab w:val="left" w:pos="540"/>
        </w:tabs>
        <w:ind w:left="-90"/>
        <w:rPr>
          <w:szCs w:val="24"/>
        </w:rPr>
      </w:pPr>
    </w:p>
    <w:p w:rsidR="002A501E" w:rsidP="000A6210" w14:paraId="72AC825B" w14:textId="77777777">
      <w:pPr>
        <w:widowControl w:val="0"/>
        <w:tabs>
          <w:tab w:val="left" w:pos="540"/>
        </w:tabs>
        <w:rPr>
          <w:color w:val="FF0000"/>
          <w:szCs w:val="24"/>
        </w:rPr>
      </w:pPr>
      <w:r w:rsidRPr="008B7D43">
        <w:rPr>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6537B8" w:rsidRPr="006537B8" w:rsidP="000A6210" w14:paraId="5F11C668" w14:textId="1E121544">
      <w:pPr>
        <w:widowControl w:val="0"/>
        <w:tabs>
          <w:tab w:val="left" w:pos="540"/>
        </w:tabs>
        <w:rPr>
          <w:szCs w:val="24"/>
        </w:rPr>
      </w:pPr>
      <w:r>
        <w:rPr>
          <w:szCs w:val="24"/>
        </w:rPr>
        <w:t xml:space="preserve">Information contained in </w:t>
      </w:r>
      <w:r w:rsidR="002948BC">
        <w:rPr>
          <w:szCs w:val="24"/>
        </w:rPr>
        <w:t>I</w:t>
      </w:r>
      <w:r w:rsidR="00110D22">
        <w:rPr>
          <w:szCs w:val="24"/>
        </w:rPr>
        <w:t>A</w:t>
      </w:r>
      <w:r w:rsidR="002948BC">
        <w:rPr>
          <w:szCs w:val="24"/>
        </w:rPr>
        <w:t xml:space="preserve">JRs </w:t>
      </w:r>
      <w:r w:rsidR="00110D22">
        <w:rPr>
          <w:szCs w:val="24"/>
        </w:rPr>
        <w:t>is</w:t>
      </w:r>
      <w:r w:rsidR="00BC7A8D">
        <w:rPr>
          <w:szCs w:val="24"/>
        </w:rPr>
        <w:t xml:space="preserve"> necessary for</w:t>
      </w:r>
      <w:r w:rsidR="002948BC">
        <w:rPr>
          <w:szCs w:val="24"/>
        </w:rPr>
        <w:t xml:space="preserve"> FHWA to determine if individual requests for new or revised access to the Interstate System are </w:t>
      </w:r>
      <w:r w:rsidR="009F630F">
        <w:rPr>
          <w:szCs w:val="24"/>
        </w:rPr>
        <w:t xml:space="preserve">acceptable based on safety, operations, and engineering.  </w:t>
      </w:r>
      <w:r w:rsidR="0034160D">
        <w:rPr>
          <w:szCs w:val="24"/>
        </w:rPr>
        <w:t>The inability to collect the information could result in delays in FHWA approval of changes in access to the Interstate System</w:t>
      </w:r>
      <w:r w:rsidR="00C63611">
        <w:rPr>
          <w:szCs w:val="24"/>
        </w:rPr>
        <w:t xml:space="preserve">, thereby delaying </w:t>
      </w:r>
      <w:r w:rsidR="00B643A2">
        <w:rPr>
          <w:szCs w:val="24"/>
        </w:rPr>
        <w:t>State improvements to Interstate infrastructure</w:t>
      </w:r>
      <w:r w:rsidR="0034160D">
        <w:rPr>
          <w:szCs w:val="24"/>
        </w:rPr>
        <w:t>.</w:t>
      </w:r>
      <w:r w:rsidR="00A42763">
        <w:rPr>
          <w:szCs w:val="24"/>
        </w:rPr>
        <w:t xml:space="preserve">  Information contained in PA annual reports </w:t>
      </w:r>
      <w:r w:rsidR="003F59F8">
        <w:rPr>
          <w:szCs w:val="24"/>
        </w:rPr>
        <w:t>is necessary for FHWA to determine if a State DOT is effectively executing a PA for Interstate System access.  The inability to collect th</w:t>
      </w:r>
      <w:r w:rsidR="00A33682">
        <w:rPr>
          <w:szCs w:val="24"/>
        </w:rPr>
        <w:t>is</w:t>
      </w:r>
      <w:r w:rsidR="003F59F8">
        <w:rPr>
          <w:szCs w:val="24"/>
        </w:rPr>
        <w:t xml:space="preserve"> information would increase the risk associated with FHWA entering into PAs because there would be no </w:t>
      </w:r>
      <w:r w:rsidR="00A33682">
        <w:rPr>
          <w:szCs w:val="24"/>
        </w:rPr>
        <w:t>instrument</w:t>
      </w:r>
      <w:r w:rsidR="003F59F8">
        <w:rPr>
          <w:szCs w:val="24"/>
        </w:rPr>
        <w:t xml:space="preserve"> in place </w:t>
      </w:r>
      <w:r w:rsidR="00A33682">
        <w:rPr>
          <w:szCs w:val="24"/>
        </w:rPr>
        <w:t>to</w:t>
      </w:r>
      <w:r w:rsidR="003F59F8">
        <w:rPr>
          <w:szCs w:val="24"/>
        </w:rPr>
        <w:t xml:space="preserve"> monitor the performance of the PA. </w:t>
      </w:r>
    </w:p>
    <w:p w:rsidR="00743112" w:rsidRPr="00981917" w:rsidP="000A6210" w14:paraId="47F57A3E" w14:textId="77777777">
      <w:pPr>
        <w:widowControl w:val="0"/>
        <w:tabs>
          <w:tab w:val="left" w:pos="540"/>
        </w:tabs>
        <w:rPr>
          <w:szCs w:val="24"/>
        </w:rPr>
      </w:pPr>
    </w:p>
    <w:p w:rsidR="00AE0E55" w:rsidRPr="00AC6B98" w:rsidP="000A6210" w14:paraId="2F5F7D08" w14:textId="77777777">
      <w:pPr>
        <w:widowControl w:val="0"/>
        <w:tabs>
          <w:tab w:val="left" w:pos="540"/>
        </w:tabs>
        <w:rPr>
          <w:color w:val="FF0000"/>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AE0E55" w:rsidP="000A6210" w14:paraId="7D4C73F2" w14:textId="77777777">
      <w:pPr>
        <w:widowControl w:val="0"/>
        <w:tabs>
          <w:tab w:val="left" w:pos="540"/>
        </w:tabs>
        <w:rPr>
          <w:szCs w:val="24"/>
        </w:rPr>
      </w:pPr>
      <w:r>
        <w:rPr>
          <w:szCs w:val="24"/>
        </w:rPr>
        <w:t>FHWA does not have any</w:t>
      </w:r>
      <w:r>
        <w:rPr>
          <w:szCs w:val="24"/>
        </w:rPr>
        <w:t xml:space="preserve"> special circumstances </w:t>
      </w:r>
      <w:r w:rsidR="00761AC1">
        <w:rPr>
          <w:szCs w:val="24"/>
        </w:rPr>
        <w:t>to</w:t>
      </w:r>
      <w:r>
        <w:rPr>
          <w:szCs w:val="24"/>
        </w:rPr>
        <w:t xml:space="preserve"> this information collection.</w:t>
      </w:r>
    </w:p>
    <w:p w:rsidR="001D224D" w:rsidRPr="00981917" w:rsidP="000A6210" w14:paraId="7908F529" w14:textId="77777777">
      <w:pPr>
        <w:widowControl w:val="0"/>
        <w:tabs>
          <w:tab w:val="left" w:pos="540"/>
        </w:tabs>
        <w:rPr>
          <w:szCs w:val="24"/>
        </w:rPr>
      </w:pPr>
      <w:r w:rsidRPr="00981917">
        <w:rPr>
          <w:szCs w:val="24"/>
        </w:rPr>
        <w:t xml:space="preserve"> </w:t>
      </w:r>
    </w:p>
    <w:p w:rsidR="00AC6B98" w:rsidRPr="00981917" w:rsidP="00AC6B98" w14:paraId="67B2159C" w14:textId="77777777">
      <w:pPr>
        <w:widowControl w:val="0"/>
        <w:tabs>
          <w:tab w:val="left" w:pos="540"/>
        </w:tabs>
        <w:rPr>
          <w:b/>
          <w:szCs w:val="24"/>
        </w:rPr>
      </w:pPr>
      <w:r w:rsidRPr="008B7D43">
        <w:rPr>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645550" w:rsidP="000A6210" w14:paraId="35F3FB48" w14:textId="4595387D">
      <w:pPr>
        <w:widowControl w:val="0"/>
        <w:tabs>
          <w:tab w:val="left" w:pos="540"/>
        </w:tabs>
        <w:rPr>
          <w:szCs w:val="24"/>
        </w:rPr>
      </w:pPr>
      <w:r>
        <w:rPr>
          <w:szCs w:val="24"/>
        </w:rPr>
        <w:t>The Notice of Proposed Rulemaking (NPRM) was issued on September 19, 2023 [88 FR 64388].</w:t>
      </w:r>
      <w:r w:rsidR="00A71FAA">
        <w:rPr>
          <w:szCs w:val="24"/>
        </w:rPr>
        <w:t xml:space="preserve">  </w:t>
      </w:r>
      <w:r w:rsidR="00A71FAA">
        <w:t xml:space="preserve">There were 19 comments with approximately 58 questions that were responded to on the NPRM.  None of the comments were related to the Paperwork Reduction Act information collection but were related to the regulatory language in the Interstate System Access policy. </w:t>
      </w:r>
    </w:p>
    <w:p w:rsidR="00645550" w:rsidP="000A6210" w14:paraId="6BFBCB6D" w14:textId="77777777">
      <w:pPr>
        <w:widowControl w:val="0"/>
        <w:tabs>
          <w:tab w:val="left" w:pos="540"/>
        </w:tabs>
        <w:rPr>
          <w:b/>
          <w:szCs w:val="24"/>
        </w:rPr>
      </w:pPr>
    </w:p>
    <w:p w:rsidR="00AA1704" w:rsidRPr="00AC6B98" w:rsidP="003345D8" w14:paraId="35B7FF5F" w14:textId="77777777">
      <w:pPr>
        <w:widowControl w:val="0"/>
        <w:numPr>
          <w:ilvl w:val="0"/>
          <w:numId w:val="9"/>
        </w:numPr>
        <w:tabs>
          <w:tab w:val="num" w:pos="90"/>
          <w:tab w:val="left" w:pos="540"/>
          <w:tab w:val="clear" w:pos="720"/>
        </w:tabs>
        <w:ind w:left="0" w:firstLine="0"/>
        <w:rPr>
          <w:szCs w:val="24"/>
        </w:rPr>
      </w:pPr>
      <w:r w:rsidRPr="00AC6B98">
        <w:rPr>
          <w:b/>
          <w:szCs w:val="24"/>
          <w:u w:val="single"/>
        </w:rPr>
        <w:t>Payment or gifts to respondents.</w:t>
      </w:r>
      <w:r w:rsidRPr="00AC6B98">
        <w:rPr>
          <w:b/>
          <w:szCs w:val="24"/>
        </w:rPr>
        <w:t xml:space="preserve">   </w:t>
      </w:r>
    </w:p>
    <w:p w:rsidR="00410A2E" w:rsidRPr="00410A2E" w:rsidP="000A6210" w14:paraId="6ECCB334" w14:textId="77777777">
      <w:pPr>
        <w:widowControl w:val="0"/>
        <w:tabs>
          <w:tab w:val="left" w:pos="540"/>
        </w:tabs>
        <w:rPr>
          <w:szCs w:val="24"/>
        </w:rPr>
      </w:pPr>
      <w:r>
        <w:rPr>
          <w:szCs w:val="24"/>
        </w:rPr>
        <w:t>No</w:t>
      </w:r>
      <w:r w:rsidR="00E60E2F">
        <w:rPr>
          <w:szCs w:val="24"/>
        </w:rPr>
        <w:t xml:space="preserve"> payments or gif</w:t>
      </w:r>
      <w:r>
        <w:rPr>
          <w:szCs w:val="24"/>
        </w:rPr>
        <w:t>t</w:t>
      </w:r>
      <w:r w:rsidR="00E60E2F">
        <w:rPr>
          <w:szCs w:val="24"/>
        </w:rPr>
        <w:t>s are given to respondents</w:t>
      </w:r>
      <w:r w:rsidR="00F62F8A">
        <w:rPr>
          <w:szCs w:val="24"/>
        </w:rPr>
        <w:t xml:space="preserve"> under the proposed regulations</w:t>
      </w:r>
      <w:r w:rsidR="00E60E2F">
        <w:rPr>
          <w:szCs w:val="24"/>
        </w:rPr>
        <w:t>.</w:t>
      </w:r>
    </w:p>
    <w:p w:rsidR="00410A2E" w:rsidRPr="00981917" w:rsidP="000A6210" w14:paraId="3E03CDF9" w14:textId="77777777">
      <w:pPr>
        <w:widowControl w:val="0"/>
        <w:tabs>
          <w:tab w:val="left" w:pos="540"/>
        </w:tabs>
        <w:rPr>
          <w:szCs w:val="24"/>
        </w:rPr>
      </w:pPr>
    </w:p>
    <w:p w:rsidR="00AA1704" w:rsidP="000A6210" w14:paraId="33019B81" w14:textId="77777777">
      <w:pPr>
        <w:widowControl w:val="0"/>
        <w:tabs>
          <w:tab w:val="left" w:pos="540"/>
        </w:tabs>
        <w:rPr>
          <w:b/>
          <w:szCs w:val="24"/>
        </w:rPr>
      </w:pPr>
      <w:r w:rsidRPr="008B7D43">
        <w:rPr>
          <w:szCs w:val="24"/>
        </w:rPr>
        <w:t>10.</w:t>
      </w:r>
      <w:r w:rsidRPr="00981917">
        <w:rPr>
          <w:b/>
          <w:szCs w:val="24"/>
        </w:rPr>
        <w:tab/>
      </w:r>
      <w:r w:rsidRPr="00981917" w:rsidR="0026419F">
        <w:rPr>
          <w:b/>
          <w:szCs w:val="24"/>
          <w:u w:val="single"/>
        </w:rPr>
        <w:t>Assurance of confidentiality</w:t>
      </w:r>
      <w:r w:rsidR="00AC6B98">
        <w:rPr>
          <w:b/>
          <w:szCs w:val="24"/>
        </w:rPr>
        <w:t>.</w:t>
      </w:r>
    </w:p>
    <w:p w:rsidR="00BF0AA4" w:rsidRPr="00BF0AA4" w:rsidP="000A6210" w14:paraId="5FB779BB" w14:textId="019B0A23">
      <w:pPr>
        <w:widowControl w:val="0"/>
        <w:tabs>
          <w:tab w:val="left" w:pos="540"/>
        </w:tabs>
        <w:rPr>
          <w:szCs w:val="24"/>
        </w:rPr>
      </w:pPr>
      <w:r>
        <w:rPr>
          <w:szCs w:val="24"/>
        </w:rPr>
        <w:t xml:space="preserve">The </w:t>
      </w:r>
      <w:r w:rsidR="008D24A0">
        <w:rPr>
          <w:szCs w:val="24"/>
        </w:rPr>
        <w:t>information contained in the I</w:t>
      </w:r>
      <w:r w:rsidR="00F350C1">
        <w:rPr>
          <w:szCs w:val="24"/>
        </w:rPr>
        <w:t>A</w:t>
      </w:r>
      <w:r w:rsidR="008D24A0">
        <w:rPr>
          <w:szCs w:val="24"/>
        </w:rPr>
        <w:t xml:space="preserve">JR is an engineering technical analysis and is not proprietary in nature.  </w:t>
      </w:r>
      <w:r w:rsidR="00B77F78">
        <w:rPr>
          <w:szCs w:val="24"/>
        </w:rPr>
        <w:t xml:space="preserve">The information contained in the PA annual report is related to State DOT processes that are not proprietary in nature.  </w:t>
      </w:r>
      <w:r w:rsidR="008D24A0">
        <w:rPr>
          <w:szCs w:val="24"/>
        </w:rPr>
        <w:t xml:space="preserve">Therefore, assurance of confidentiality is not required.  </w:t>
      </w:r>
    </w:p>
    <w:p w:rsidR="00BF0AA4" w:rsidRPr="00981917" w:rsidP="000A6210" w14:paraId="1CC5DAEB" w14:textId="77777777">
      <w:pPr>
        <w:widowControl w:val="0"/>
        <w:tabs>
          <w:tab w:val="left" w:pos="540"/>
        </w:tabs>
        <w:rPr>
          <w:b/>
          <w:szCs w:val="24"/>
        </w:rPr>
      </w:pPr>
    </w:p>
    <w:p w:rsidR="00AA1704" w:rsidP="000A6210" w14:paraId="6D6C36FF" w14:textId="77777777">
      <w:pPr>
        <w:widowControl w:val="0"/>
        <w:tabs>
          <w:tab w:val="left" w:pos="540"/>
        </w:tabs>
        <w:rPr>
          <w:b/>
          <w:szCs w:val="24"/>
        </w:rPr>
      </w:pPr>
      <w:r w:rsidRPr="008B7D43">
        <w:rPr>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p>
    <w:p w:rsidR="003E0181" w:rsidP="000A6210" w14:paraId="61BA8A8C" w14:textId="6604D973">
      <w:pPr>
        <w:widowControl w:val="0"/>
        <w:tabs>
          <w:tab w:val="left" w:pos="540"/>
        </w:tabs>
        <w:rPr>
          <w:b/>
          <w:szCs w:val="24"/>
        </w:rPr>
      </w:pPr>
      <w:r>
        <w:rPr>
          <w:szCs w:val="24"/>
        </w:rPr>
        <w:t>The I</w:t>
      </w:r>
      <w:r w:rsidR="00F350C1">
        <w:rPr>
          <w:szCs w:val="24"/>
        </w:rPr>
        <w:t>A</w:t>
      </w:r>
      <w:r>
        <w:rPr>
          <w:szCs w:val="24"/>
        </w:rPr>
        <w:t xml:space="preserve">JRs </w:t>
      </w:r>
      <w:r w:rsidR="00B77F78">
        <w:rPr>
          <w:szCs w:val="24"/>
        </w:rPr>
        <w:t xml:space="preserve">and PA annual reports </w:t>
      </w:r>
      <w:r>
        <w:rPr>
          <w:szCs w:val="24"/>
        </w:rPr>
        <w:t>do not contain sensitive information.</w:t>
      </w:r>
      <w:r w:rsidR="00193E8E">
        <w:rPr>
          <w:b/>
          <w:szCs w:val="24"/>
        </w:rPr>
        <w:br w:type="page"/>
      </w:r>
      <w:r w:rsidRPr="008B7D43" w:rsidR="001D224D">
        <w:rPr>
          <w:szCs w:val="24"/>
        </w:rPr>
        <w:t>12.</w:t>
      </w:r>
      <w:r w:rsidRPr="00981917" w:rsidR="001D224D">
        <w:rPr>
          <w:b/>
          <w:szCs w:val="24"/>
        </w:rPr>
        <w:tab/>
      </w:r>
      <w:r w:rsidRPr="00981917" w:rsidR="006C0638">
        <w:rPr>
          <w:b/>
          <w:szCs w:val="24"/>
          <w:u w:val="single"/>
        </w:rPr>
        <w:t xml:space="preserve">Estimate of burden hours for information requested. </w:t>
      </w:r>
      <w:r w:rsidRPr="00981917" w:rsidR="006C0638">
        <w:rPr>
          <w:b/>
          <w:szCs w:val="24"/>
        </w:rPr>
        <w:t xml:space="preserve"> </w:t>
      </w:r>
    </w:p>
    <w:p w:rsidR="0068048C" w:rsidP="000A6210" w14:paraId="4C621066" w14:textId="77777777">
      <w:pPr>
        <w:widowControl w:val="0"/>
        <w:tabs>
          <w:tab w:val="left" w:pos="540"/>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1"/>
        <w:gridCol w:w="2340"/>
        <w:gridCol w:w="2329"/>
        <w:gridCol w:w="2330"/>
      </w:tblGrid>
      <w:tr w14:paraId="70C646E9" w14:textId="77777777" w:rsidTr="005039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auto"/>
          </w:tcPr>
          <w:p w:rsidR="00B6665A" w:rsidRPr="00C7527D" w:rsidP="00C7527D" w14:paraId="691BF657" w14:textId="60DCCF0F">
            <w:pPr>
              <w:widowControl w:val="0"/>
              <w:tabs>
                <w:tab w:val="left" w:pos="540"/>
              </w:tabs>
              <w:jc w:val="center"/>
              <w:rPr>
                <w:b/>
                <w:szCs w:val="24"/>
              </w:rPr>
            </w:pPr>
            <w:r>
              <w:rPr>
                <w:b/>
                <w:szCs w:val="24"/>
              </w:rPr>
              <w:t>I</w:t>
            </w:r>
            <w:r w:rsidR="00C71A04">
              <w:rPr>
                <w:b/>
                <w:szCs w:val="24"/>
              </w:rPr>
              <w:t>A</w:t>
            </w:r>
            <w:r>
              <w:rPr>
                <w:b/>
                <w:szCs w:val="24"/>
              </w:rPr>
              <w:t>JR (TABLE 1)</w:t>
            </w:r>
          </w:p>
        </w:tc>
      </w:tr>
      <w:tr w14:paraId="749F7420" w14:textId="77777777" w:rsidTr="00C7527D">
        <w:tblPrEx>
          <w:tblW w:w="0" w:type="auto"/>
          <w:tblLook w:val="04A0"/>
        </w:tblPrEx>
        <w:tc>
          <w:tcPr>
            <w:tcW w:w="2394" w:type="dxa"/>
            <w:shd w:val="clear" w:color="auto" w:fill="auto"/>
          </w:tcPr>
          <w:p w:rsidR="00D952B6" w:rsidRPr="00C7527D" w:rsidP="00C7527D" w14:paraId="019B5AA6" w14:textId="77777777">
            <w:pPr>
              <w:widowControl w:val="0"/>
              <w:tabs>
                <w:tab w:val="left" w:pos="540"/>
              </w:tabs>
              <w:jc w:val="center"/>
              <w:rPr>
                <w:b/>
                <w:szCs w:val="24"/>
              </w:rPr>
            </w:pPr>
            <w:r w:rsidRPr="00C7527D">
              <w:rPr>
                <w:b/>
                <w:szCs w:val="24"/>
              </w:rPr>
              <w:t>Number of Respondents</w:t>
            </w:r>
          </w:p>
        </w:tc>
        <w:tc>
          <w:tcPr>
            <w:tcW w:w="2394" w:type="dxa"/>
            <w:shd w:val="clear" w:color="auto" w:fill="auto"/>
          </w:tcPr>
          <w:p w:rsidR="00D952B6" w:rsidRPr="00C7527D" w:rsidP="00C7527D" w14:paraId="3FF14B7A" w14:textId="77777777">
            <w:pPr>
              <w:widowControl w:val="0"/>
              <w:tabs>
                <w:tab w:val="left" w:pos="540"/>
              </w:tabs>
              <w:jc w:val="center"/>
              <w:rPr>
                <w:b/>
                <w:szCs w:val="24"/>
              </w:rPr>
            </w:pPr>
            <w:r w:rsidRPr="00C7527D">
              <w:rPr>
                <w:b/>
                <w:szCs w:val="24"/>
              </w:rPr>
              <w:t>Frequency of Responses</w:t>
            </w:r>
            <w:r w:rsidR="00C35E42">
              <w:rPr>
                <w:b/>
                <w:szCs w:val="24"/>
              </w:rPr>
              <w:t xml:space="preserve"> (annual)</w:t>
            </w:r>
          </w:p>
        </w:tc>
        <w:tc>
          <w:tcPr>
            <w:tcW w:w="2394" w:type="dxa"/>
            <w:shd w:val="clear" w:color="auto" w:fill="auto"/>
          </w:tcPr>
          <w:p w:rsidR="00D952B6" w:rsidRPr="00C7527D" w:rsidP="00C7527D" w14:paraId="26E95181" w14:textId="77777777">
            <w:pPr>
              <w:widowControl w:val="0"/>
              <w:tabs>
                <w:tab w:val="left" w:pos="540"/>
              </w:tabs>
              <w:jc w:val="center"/>
              <w:rPr>
                <w:b/>
                <w:szCs w:val="24"/>
              </w:rPr>
            </w:pPr>
            <w:r w:rsidRPr="00C7527D">
              <w:rPr>
                <w:b/>
                <w:szCs w:val="24"/>
              </w:rPr>
              <w:t>Burden Hours</w:t>
            </w:r>
            <w:r w:rsidRPr="00C7527D" w:rsidR="001D683D">
              <w:rPr>
                <w:b/>
                <w:szCs w:val="24"/>
              </w:rPr>
              <w:t xml:space="preserve"> (annual)</w:t>
            </w:r>
          </w:p>
        </w:tc>
        <w:tc>
          <w:tcPr>
            <w:tcW w:w="2394" w:type="dxa"/>
            <w:shd w:val="clear" w:color="auto" w:fill="auto"/>
          </w:tcPr>
          <w:p w:rsidR="00D952B6" w:rsidRPr="00C7527D" w:rsidP="00C7527D" w14:paraId="5FE87A0F" w14:textId="77777777">
            <w:pPr>
              <w:widowControl w:val="0"/>
              <w:tabs>
                <w:tab w:val="left" w:pos="540"/>
              </w:tabs>
              <w:jc w:val="center"/>
              <w:rPr>
                <w:b/>
                <w:szCs w:val="24"/>
              </w:rPr>
            </w:pPr>
            <w:r w:rsidRPr="00C7527D">
              <w:rPr>
                <w:b/>
                <w:szCs w:val="24"/>
              </w:rPr>
              <w:t>Cost for Hourly Burdens</w:t>
            </w:r>
            <w:r w:rsidRPr="00C7527D" w:rsidR="00CD1478">
              <w:rPr>
                <w:b/>
                <w:szCs w:val="24"/>
              </w:rPr>
              <w:t xml:space="preserve"> </w:t>
            </w:r>
            <w:r w:rsidR="00664639">
              <w:rPr>
                <w:b/>
                <w:szCs w:val="24"/>
              </w:rPr>
              <w:t>(annual)</w:t>
            </w:r>
          </w:p>
        </w:tc>
      </w:tr>
      <w:tr w14:paraId="7D313736" w14:textId="77777777" w:rsidTr="00C7527D">
        <w:tblPrEx>
          <w:tblW w:w="0" w:type="auto"/>
          <w:tblLook w:val="04A0"/>
        </w:tblPrEx>
        <w:tc>
          <w:tcPr>
            <w:tcW w:w="2394" w:type="dxa"/>
            <w:shd w:val="clear" w:color="auto" w:fill="auto"/>
          </w:tcPr>
          <w:p w:rsidR="00D952B6" w:rsidRPr="00C7527D" w:rsidP="00C7527D" w14:paraId="2436F84C" w14:textId="77777777">
            <w:pPr>
              <w:widowControl w:val="0"/>
              <w:tabs>
                <w:tab w:val="left" w:pos="540"/>
              </w:tabs>
              <w:jc w:val="center"/>
              <w:rPr>
                <w:szCs w:val="24"/>
              </w:rPr>
            </w:pPr>
            <w:r w:rsidRPr="00C7527D">
              <w:rPr>
                <w:szCs w:val="24"/>
              </w:rPr>
              <w:t>52</w:t>
            </w:r>
            <w:r w:rsidR="0086766F">
              <w:rPr>
                <w:szCs w:val="24"/>
              </w:rPr>
              <w:t>*</w:t>
            </w:r>
          </w:p>
        </w:tc>
        <w:tc>
          <w:tcPr>
            <w:tcW w:w="2394" w:type="dxa"/>
            <w:shd w:val="clear" w:color="auto" w:fill="auto"/>
          </w:tcPr>
          <w:p w:rsidR="00D952B6" w:rsidRPr="00C7527D" w:rsidP="00C7527D" w14:paraId="6BE03B12" w14:textId="77777777">
            <w:pPr>
              <w:widowControl w:val="0"/>
              <w:tabs>
                <w:tab w:val="left" w:pos="540"/>
              </w:tabs>
              <w:jc w:val="center"/>
              <w:rPr>
                <w:szCs w:val="24"/>
              </w:rPr>
            </w:pPr>
            <w:r>
              <w:rPr>
                <w:szCs w:val="24"/>
              </w:rPr>
              <w:t>30</w:t>
            </w:r>
            <w:r w:rsidR="0086766F">
              <w:rPr>
                <w:szCs w:val="24"/>
              </w:rPr>
              <w:t>*</w:t>
            </w:r>
          </w:p>
        </w:tc>
        <w:tc>
          <w:tcPr>
            <w:tcW w:w="2394" w:type="dxa"/>
            <w:shd w:val="clear" w:color="auto" w:fill="auto"/>
          </w:tcPr>
          <w:p w:rsidR="00D952B6" w:rsidRPr="00C7527D" w:rsidP="00C7527D" w14:paraId="14471BFA" w14:textId="62C1F970">
            <w:pPr>
              <w:widowControl w:val="0"/>
              <w:tabs>
                <w:tab w:val="left" w:pos="540"/>
              </w:tabs>
              <w:jc w:val="center"/>
              <w:rPr>
                <w:szCs w:val="24"/>
              </w:rPr>
            </w:pPr>
            <w:r>
              <w:rPr>
                <w:szCs w:val="24"/>
              </w:rPr>
              <w:t>3</w:t>
            </w:r>
            <w:r w:rsidRPr="00C7527D">
              <w:rPr>
                <w:szCs w:val="24"/>
              </w:rPr>
              <w:t>,</w:t>
            </w:r>
            <w:r>
              <w:rPr>
                <w:szCs w:val="24"/>
              </w:rPr>
              <w:t>90</w:t>
            </w:r>
            <w:r w:rsidR="0026030E">
              <w:rPr>
                <w:szCs w:val="24"/>
              </w:rPr>
              <w:t>0</w:t>
            </w:r>
            <w:r w:rsidR="00A1758C">
              <w:rPr>
                <w:szCs w:val="24"/>
              </w:rPr>
              <w:t>**</w:t>
            </w:r>
          </w:p>
        </w:tc>
        <w:tc>
          <w:tcPr>
            <w:tcW w:w="2394" w:type="dxa"/>
            <w:shd w:val="clear" w:color="auto" w:fill="auto"/>
          </w:tcPr>
          <w:p w:rsidR="00D952B6" w:rsidRPr="00C7527D" w:rsidP="00C7527D" w14:paraId="0708F1CF" w14:textId="51943D28">
            <w:pPr>
              <w:widowControl w:val="0"/>
              <w:tabs>
                <w:tab w:val="left" w:pos="540"/>
              </w:tabs>
              <w:jc w:val="center"/>
              <w:rPr>
                <w:szCs w:val="24"/>
              </w:rPr>
            </w:pPr>
            <w:r w:rsidRPr="00C7527D">
              <w:rPr>
                <w:szCs w:val="24"/>
              </w:rPr>
              <w:t>$</w:t>
            </w:r>
            <w:r w:rsidR="00167C11">
              <w:rPr>
                <w:szCs w:val="24"/>
              </w:rPr>
              <w:t>2</w:t>
            </w:r>
            <w:r w:rsidR="00DA26B3">
              <w:rPr>
                <w:szCs w:val="24"/>
              </w:rPr>
              <w:t>92</w:t>
            </w:r>
            <w:r w:rsidR="0086766F">
              <w:rPr>
                <w:szCs w:val="24"/>
              </w:rPr>
              <w:t>,500</w:t>
            </w:r>
          </w:p>
        </w:tc>
      </w:tr>
    </w:tbl>
    <w:p w:rsidR="00A1758C" w:rsidP="000A6210" w14:paraId="4923F410" w14:textId="77777777">
      <w:pPr>
        <w:widowControl w:val="0"/>
        <w:tabs>
          <w:tab w:val="left" w:pos="540"/>
        </w:tabs>
        <w:rPr>
          <w:szCs w:val="24"/>
        </w:rPr>
      </w:pPr>
      <w:r>
        <w:rPr>
          <w:szCs w:val="24"/>
        </w:rPr>
        <w:t xml:space="preserve">*Please note that </w:t>
      </w:r>
      <w:bookmarkStart w:id="1" w:name="_Hlk35608993"/>
      <w:r>
        <w:rPr>
          <w:szCs w:val="24"/>
        </w:rPr>
        <w:t>I</w:t>
      </w:r>
      <w:r w:rsidR="00C71A04">
        <w:rPr>
          <w:szCs w:val="24"/>
        </w:rPr>
        <w:t>A</w:t>
      </w:r>
      <w:r>
        <w:rPr>
          <w:szCs w:val="24"/>
        </w:rPr>
        <w:t>JRs are submitted based on need, as a result there is no expectation that all respondents will submit I</w:t>
      </w:r>
      <w:r w:rsidR="00C71A04">
        <w:rPr>
          <w:szCs w:val="24"/>
        </w:rPr>
        <w:t>A</w:t>
      </w:r>
      <w:r>
        <w:rPr>
          <w:szCs w:val="24"/>
        </w:rPr>
        <w:t>JRs annually</w:t>
      </w:r>
      <w:bookmarkEnd w:id="1"/>
      <w:r w:rsidR="00E61C79">
        <w:rPr>
          <w:szCs w:val="24"/>
        </w:rPr>
        <w:t xml:space="preserve">. </w:t>
      </w:r>
      <w:bookmarkStart w:id="2" w:name="_Hlk35608954"/>
      <w:r w:rsidR="00C839E5">
        <w:rPr>
          <w:szCs w:val="24"/>
        </w:rPr>
        <w:t xml:space="preserve"> </w:t>
      </w:r>
      <w:r w:rsidR="00E61C79">
        <w:rPr>
          <w:szCs w:val="24"/>
        </w:rPr>
        <w:t xml:space="preserve">Based on historical data, a maximum of </w:t>
      </w:r>
      <w:r>
        <w:rPr>
          <w:szCs w:val="24"/>
        </w:rPr>
        <w:t>30 annual response</w:t>
      </w:r>
      <w:r w:rsidR="00E61C79">
        <w:rPr>
          <w:szCs w:val="24"/>
        </w:rPr>
        <w:t>s are expected</w:t>
      </w:r>
      <w:r>
        <w:rPr>
          <w:szCs w:val="24"/>
        </w:rPr>
        <w:t xml:space="preserve">.  </w:t>
      </w:r>
      <w:bookmarkEnd w:id="2"/>
    </w:p>
    <w:p w:rsidR="00A1758C" w:rsidP="00A1758C" w14:paraId="2D08FF17" w14:textId="5CA22E42">
      <w:pPr>
        <w:widowControl w:val="0"/>
        <w:tabs>
          <w:tab w:val="left" w:pos="540"/>
        </w:tabs>
        <w:rPr>
          <w:szCs w:val="24"/>
        </w:rPr>
      </w:pPr>
      <w:r>
        <w:rPr>
          <w:szCs w:val="24"/>
        </w:rPr>
        <w:t xml:space="preserve">**Estimated burden hours </w:t>
      </w:r>
      <w:r w:rsidR="00F350C1">
        <w:rPr>
          <w:szCs w:val="24"/>
        </w:rPr>
        <w:t xml:space="preserve">were </w:t>
      </w:r>
      <w:r>
        <w:rPr>
          <w:szCs w:val="24"/>
        </w:rPr>
        <w:t xml:space="preserve">calculated as follows: 130 hours (IAJR Development) x 30 IAJRs per year = 3,900 </w:t>
      </w:r>
      <w:r w:rsidR="00557B08">
        <w:rPr>
          <w:szCs w:val="24"/>
        </w:rPr>
        <w:t>b</w:t>
      </w:r>
      <w:r>
        <w:rPr>
          <w:szCs w:val="24"/>
        </w:rPr>
        <w:t xml:space="preserve">urden hours. </w:t>
      </w:r>
    </w:p>
    <w:p w:rsidR="00B6665A" w:rsidP="000A6210" w14:paraId="6420087A" w14:textId="1EAD270F">
      <w:pPr>
        <w:widowControl w:val="0"/>
        <w:tabs>
          <w:tab w:val="left" w:pos="540"/>
        </w:tabs>
        <w:rPr>
          <w:b/>
          <w:szCs w:val="24"/>
        </w:rPr>
      </w:pPr>
    </w:p>
    <w:p w:rsidR="00057BA0" w:rsidP="003E0181" w14:paraId="3BF225E2" w14:textId="0142C77A">
      <w:pPr>
        <w:widowControl w:val="0"/>
        <w:tabs>
          <w:tab w:val="left" w:pos="540"/>
        </w:tabs>
        <w:rPr>
          <w:szCs w:val="24"/>
        </w:rPr>
      </w:pPr>
      <w:r>
        <w:rPr>
          <w:szCs w:val="24"/>
        </w:rPr>
        <w:t>The estimat</w:t>
      </w:r>
      <w:r w:rsidR="00CD1478">
        <w:rPr>
          <w:szCs w:val="24"/>
        </w:rPr>
        <w:t xml:space="preserve">e </w:t>
      </w:r>
      <w:r>
        <w:rPr>
          <w:szCs w:val="24"/>
        </w:rPr>
        <w:t>in Table 1</w:t>
      </w:r>
      <w:r w:rsidR="00CD1478">
        <w:rPr>
          <w:szCs w:val="24"/>
        </w:rPr>
        <w:t xml:space="preserve"> assumes that out of 52 respondents (S</w:t>
      </w:r>
      <w:r w:rsidR="00344EB8">
        <w:rPr>
          <w:szCs w:val="24"/>
        </w:rPr>
        <w:t>tate DOT</w:t>
      </w:r>
      <w:r w:rsidR="00CD1478">
        <w:rPr>
          <w:szCs w:val="24"/>
        </w:rPr>
        <w:t xml:space="preserve">s) FHWA only receives </w:t>
      </w:r>
      <w:r w:rsidR="00834348">
        <w:rPr>
          <w:szCs w:val="24"/>
        </w:rPr>
        <w:t xml:space="preserve">approximately </w:t>
      </w:r>
      <w:r w:rsidR="00275F0E">
        <w:rPr>
          <w:szCs w:val="24"/>
        </w:rPr>
        <w:t>30</w:t>
      </w:r>
      <w:r w:rsidR="00CD1478">
        <w:rPr>
          <w:szCs w:val="24"/>
        </w:rPr>
        <w:t xml:space="preserve"> responses</w:t>
      </w:r>
      <w:r w:rsidR="00834348">
        <w:rPr>
          <w:szCs w:val="24"/>
        </w:rPr>
        <w:t xml:space="preserve"> total per year</w:t>
      </w:r>
      <w:r w:rsidR="00CD1478">
        <w:rPr>
          <w:szCs w:val="24"/>
        </w:rPr>
        <w:t xml:space="preserve"> </w:t>
      </w:r>
      <w:r w:rsidR="00834348">
        <w:rPr>
          <w:szCs w:val="24"/>
        </w:rPr>
        <w:t>(some S</w:t>
      </w:r>
      <w:r w:rsidR="00344EB8">
        <w:rPr>
          <w:szCs w:val="24"/>
        </w:rPr>
        <w:t>tate DOT</w:t>
      </w:r>
      <w:r w:rsidR="00834348">
        <w:rPr>
          <w:szCs w:val="24"/>
        </w:rPr>
        <w:t xml:space="preserve">s may go several years without </w:t>
      </w:r>
      <w:r w:rsidR="00D63762">
        <w:rPr>
          <w:szCs w:val="24"/>
        </w:rPr>
        <w:t>submitting</w:t>
      </w:r>
      <w:r w:rsidR="00834348">
        <w:rPr>
          <w:szCs w:val="24"/>
        </w:rPr>
        <w:t xml:space="preserve"> </w:t>
      </w:r>
      <w:r w:rsidR="00594C3E">
        <w:rPr>
          <w:szCs w:val="24"/>
        </w:rPr>
        <w:t xml:space="preserve">an </w:t>
      </w:r>
      <w:r w:rsidR="00834348">
        <w:rPr>
          <w:szCs w:val="24"/>
        </w:rPr>
        <w:t xml:space="preserve">Interstate Access request) </w:t>
      </w:r>
      <w:r w:rsidR="00CD1478">
        <w:rPr>
          <w:szCs w:val="24"/>
        </w:rPr>
        <w:t>in the form of I</w:t>
      </w:r>
      <w:r w:rsidR="002B135F">
        <w:rPr>
          <w:szCs w:val="24"/>
        </w:rPr>
        <w:t>A</w:t>
      </w:r>
      <w:r w:rsidR="00CD1478">
        <w:rPr>
          <w:szCs w:val="24"/>
        </w:rPr>
        <w:t>JRs for review and approval.</w:t>
      </w:r>
      <w:r w:rsidR="00664639">
        <w:rPr>
          <w:szCs w:val="24"/>
        </w:rPr>
        <w:t xml:space="preserve">  The burden hours account for time expended by respondents to develop the technical analysis needed to justify an </w:t>
      </w:r>
      <w:r w:rsidR="00695865">
        <w:rPr>
          <w:szCs w:val="24"/>
        </w:rPr>
        <w:t xml:space="preserve">Interstate System </w:t>
      </w:r>
      <w:r w:rsidR="00664639">
        <w:rPr>
          <w:szCs w:val="24"/>
        </w:rPr>
        <w:t>access modification and respond with the submittal of an I</w:t>
      </w:r>
      <w:r w:rsidR="00E205B5">
        <w:rPr>
          <w:szCs w:val="24"/>
        </w:rPr>
        <w:t>A</w:t>
      </w:r>
      <w:r w:rsidR="00664639">
        <w:rPr>
          <w:szCs w:val="24"/>
        </w:rPr>
        <w:t>JR to FHWA.</w:t>
      </w:r>
      <w:r w:rsidR="005F10C9">
        <w:rPr>
          <w:szCs w:val="24"/>
        </w:rPr>
        <w:t xml:space="preserve">  </w:t>
      </w:r>
    </w:p>
    <w:p w:rsidR="00057BA0" w:rsidP="003E0181" w14:paraId="53A428B7" w14:textId="77777777">
      <w:pPr>
        <w:widowControl w:val="0"/>
        <w:tabs>
          <w:tab w:val="left" w:pos="540"/>
        </w:tabs>
        <w:rPr>
          <w:szCs w:val="24"/>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340"/>
        <w:gridCol w:w="2329"/>
        <w:gridCol w:w="2329"/>
      </w:tblGrid>
      <w:tr w14:paraId="29EE616D" w14:textId="77777777" w:rsidTr="00057B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auto"/>
          </w:tcPr>
          <w:p w:rsidR="00057BA0" w:rsidRPr="00C7527D" w:rsidP="00057BA0" w14:paraId="5BBAD79C" w14:textId="77777777">
            <w:pPr>
              <w:widowControl w:val="0"/>
              <w:tabs>
                <w:tab w:val="left" w:pos="540"/>
              </w:tabs>
              <w:jc w:val="center"/>
              <w:rPr>
                <w:b/>
                <w:szCs w:val="24"/>
              </w:rPr>
            </w:pPr>
            <w:r>
              <w:rPr>
                <w:b/>
                <w:szCs w:val="24"/>
              </w:rPr>
              <w:t>PA ANNUAL REPORT (TABLE 2)</w:t>
            </w:r>
          </w:p>
        </w:tc>
      </w:tr>
      <w:tr w14:paraId="0F5AE169" w14:textId="77777777" w:rsidTr="00057BA0">
        <w:tblPrEx>
          <w:tblW w:w="0" w:type="auto"/>
          <w:tblLook w:val="04A0"/>
        </w:tblPrEx>
        <w:tc>
          <w:tcPr>
            <w:tcW w:w="2394" w:type="dxa"/>
            <w:shd w:val="clear" w:color="auto" w:fill="auto"/>
          </w:tcPr>
          <w:p w:rsidR="00057BA0" w:rsidRPr="00C7527D" w:rsidP="00057BA0" w14:paraId="391C5FB3" w14:textId="77777777">
            <w:pPr>
              <w:widowControl w:val="0"/>
              <w:tabs>
                <w:tab w:val="left" w:pos="540"/>
              </w:tabs>
              <w:jc w:val="center"/>
              <w:rPr>
                <w:b/>
                <w:szCs w:val="24"/>
              </w:rPr>
            </w:pPr>
            <w:r w:rsidRPr="00C7527D">
              <w:rPr>
                <w:b/>
                <w:szCs w:val="24"/>
              </w:rPr>
              <w:t>Number of Respondents</w:t>
            </w:r>
          </w:p>
        </w:tc>
        <w:tc>
          <w:tcPr>
            <w:tcW w:w="2394" w:type="dxa"/>
            <w:shd w:val="clear" w:color="auto" w:fill="auto"/>
          </w:tcPr>
          <w:p w:rsidR="00057BA0" w:rsidRPr="00C7527D" w:rsidP="00057BA0" w14:paraId="10902C59" w14:textId="77777777">
            <w:pPr>
              <w:widowControl w:val="0"/>
              <w:tabs>
                <w:tab w:val="left" w:pos="540"/>
              </w:tabs>
              <w:jc w:val="center"/>
              <w:rPr>
                <w:b/>
                <w:szCs w:val="24"/>
              </w:rPr>
            </w:pPr>
            <w:r w:rsidRPr="00C7527D">
              <w:rPr>
                <w:b/>
                <w:szCs w:val="24"/>
              </w:rPr>
              <w:t>Frequency of Responses</w:t>
            </w:r>
            <w:r>
              <w:rPr>
                <w:b/>
                <w:szCs w:val="24"/>
              </w:rPr>
              <w:t xml:space="preserve"> (annual)</w:t>
            </w:r>
          </w:p>
        </w:tc>
        <w:tc>
          <w:tcPr>
            <w:tcW w:w="2394" w:type="dxa"/>
            <w:shd w:val="clear" w:color="auto" w:fill="auto"/>
          </w:tcPr>
          <w:p w:rsidR="00057BA0" w:rsidRPr="00C7527D" w:rsidP="00057BA0" w14:paraId="06020F67" w14:textId="77777777">
            <w:pPr>
              <w:widowControl w:val="0"/>
              <w:tabs>
                <w:tab w:val="left" w:pos="540"/>
              </w:tabs>
              <w:jc w:val="center"/>
              <w:rPr>
                <w:b/>
                <w:szCs w:val="24"/>
              </w:rPr>
            </w:pPr>
            <w:r w:rsidRPr="00C7527D">
              <w:rPr>
                <w:b/>
                <w:szCs w:val="24"/>
              </w:rPr>
              <w:t>Burden Hours (annual)</w:t>
            </w:r>
          </w:p>
        </w:tc>
        <w:tc>
          <w:tcPr>
            <w:tcW w:w="2394" w:type="dxa"/>
            <w:shd w:val="clear" w:color="auto" w:fill="auto"/>
          </w:tcPr>
          <w:p w:rsidR="00057BA0" w:rsidRPr="00C7527D" w:rsidP="00057BA0" w14:paraId="18159752" w14:textId="77777777">
            <w:pPr>
              <w:widowControl w:val="0"/>
              <w:tabs>
                <w:tab w:val="left" w:pos="540"/>
              </w:tabs>
              <w:jc w:val="center"/>
              <w:rPr>
                <w:b/>
                <w:szCs w:val="24"/>
              </w:rPr>
            </w:pPr>
            <w:r w:rsidRPr="00C7527D">
              <w:rPr>
                <w:b/>
                <w:szCs w:val="24"/>
              </w:rPr>
              <w:t xml:space="preserve">Cost for Hourly Burdens </w:t>
            </w:r>
            <w:r>
              <w:rPr>
                <w:b/>
                <w:szCs w:val="24"/>
              </w:rPr>
              <w:t>(annual)</w:t>
            </w:r>
          </w:p>
        </w:tc>
      </w:tr>
      <w:tr w14:paraId="0E3BFE8C" w14:textId="77777777" w:rsidTr="00057BA0">
        <w:tblPrEx>
          <w:tblW w:w="0" w:type="auto"/>
          <w:tblLook w:val="04A0"/>
        </w:tblPrEx>
        <w:tc>
          <w:tcPr>
            <w:tcW w:w="2394" w:type="dxa"/>
            <w:shd w:val="clear" w:color="auto" w:fill="auto"/>
          </w:tcPr>
          <w:p w:rsidR="00057BA0" w:rsidRPr="00C7527D" w:rsidP="00057BA0" w14:paraId="2C862A99" w14:textId="77777777">
            <w:pPr>
              <w:widowControl w:val="0"/>
              <w:tabs>
                <w:tab w:val="left" w:pos="540"/>
              </w:tabs>
              <w:jc w:val="center"/>
              <w:rPr>
                <w:szCs w:val="24"/>
              </w:rPr>
            </w:pPr>
            <w:r>
              <w:rPr>
                <w:szCs w:val="24"/>
              </w:rPr>
              <w:t>5*</w:t>
            </w:r>
          </w:p>
        </w:tc>
        <w:tc>
          <w:tcPr>
            <w:tcW w:w="2394" w:type="dxa"/>
            <w:shd w:val="clear" w:color="auto" w:fill="auto"/>
          </w:tcPr>
          <w:p w:rsidR="00057BA0" w:rsidRPr="00C7527D" w:rsidP="00057BA0" w14:paraId="321D04ED" w14:textId="77777777">
            <w:pPr>
              <w:widowControl w:val="0"/>
              <w:tabs>
                <w:tab w:val="left" w:pos="540"/>
              </w:tabs>
              <w:jc w:val="center"/>
              <w:rPr>
                <w:szCs w:val="24"/>
              </w:rPr>
            </w:pPr>
            <w:r>
              <w:rPr>
                <w:szCs w:val="24"/>
              </w:rPr>
              <w:t>5*</w:t>
            </w:r>
          </w:p>
        </w:tc>
        <w:tc>
          <w:tcPr>
            <w:tcW w:w="2394" w:type="dxa"/>
            <w:shd w:val="clear" w:color="auto" w:fill="auto"/>
          </w:tcPr>
          <w:p w:rsidR="00057BA0" w:rsidRPr="00C7527D" w:rsidP="00057BA0" w14:paraId="1E52CDAB" w14:textId="01B22D47">
            <w:pPr>
              <w:widowControl w:val="0"/>
              <w:tabs>
                <w:tab w:val="left" w:pos="540"/>
              </w:tabs>
              <w:jc w:val="center"/>
              <w:rPr>
                <w:szCs w:val="24"/>
              </w:rPr>
            </w:pPr>
            <w:r>
              <w:rPr>
                <w:szCs w:val="24"/>
              </w:rPr>
              <w:t>50</w:t>
            </w:r>
            <w:r w:rsidR="00E205B5">
              <w:rPr>
                <w:szCs w:val="24"/>
              </w:rPr>
              <w:t>**</w:t>
            </w:r>
          </w:p>
        </w:tc>
        <w:tc>
          <w:tcPr>
            <w:tcW w:w="2394" w:type="dxa"/>
            <w:shd w:val="clear" w:color="auto" w:fill="auto"/>
          </w:tcPr>
          <w:p w:rsidR="00057BA0" w:rsidRPr="00C7527D" w:rsidP="00057BA0" w14:paraId="69A8DD3B" w14:textId="3A1BB986">
            <w:pPr>
              <w:widowControl w:val="0"/>
              <w:tabs>
                <w:tab w:val="left" w:pos="540"/>
              </w:tabs>
              <w:jc w:val="center"/>
              <w:rPr>
                <w:szCs w:val="24"/>
              </w:rPr>
            </w:pPr>
            <w:r w:rsidRPr="00C7527D">
              <w:rPr>
                <w:szCs w:val="24"/>
              </w:rPr>
              <w:t>$</w:t>
            </w:r>
            <w:r w:rsidR="00505E30">
              <w:rPr>
                <w:szCs w:val="24"/>
              </w:rPr>
              <w:t>3</w:t>
            </w:r>
            <w:r>
              <w:rPr>
                <w:szCs w:val="24"/>
              </w:rPr>
              <w:t>,750</w:t>
            </w:r>
          </w:p>
        </w:tc>
      </w:tr>
    </w:tbl>
    <w:p w:rsidR="00057BA0" w:rsidRPr="003E4285" w:rsidP="00057BA0" w14:paraId="2EA0F9BB" w14:textId="77777777">
      <w:pPr>
        <w:widowControl w:val="0"/>
        <w:tabs>
          <w:tab w:val="left" w:pos="540"/>
        </w:tabs>
        <w:rPr>
          <w:szCs w:val="24"/>
        </w:rPr>
      </w:pPr>
      <w:r>
        <w:rPr>
          <w:b/>
          <w:szCs w:val="24"/>
        </w:rPr>
        <w:t>*</w:t>
      </w:r>
      <w:r>
        <w:rPr>
          <w:szCs w:val="24"/>
        </w:rPr>
        <w:t>Estimate assumes 5 State DOTs enter into PAs and will submit 1 annual report each year.</w:t>
      </w:r>
    </w:p>
    <w:p w:rsidR="00057BA0" w:rsidP="003E0181" w14:paraId="70994F9A" w14:textId="44EDBE50">
      <w:pPr>
        <w:widowControl w:val="0"/>
        <w:tabs>
          <w:tab w:val="left" w:pos="540"/>
        </w:tabs>
        <w:rPr>
          <w:szCs w:val="24"/>
        </w:rPr>
      </w:pPr>
      <w:r>
        <w:rPr>
          <w:szCs w:val="24"/>
        </w:rPr>
        <w:t xml:space="preserve">**Estimated burden hours </w:t>
      </w:r>
      <w:r w:rsidR="00F350C1">
        <w:rPr>
          <w:szCs w:val="24"/>
        </w:rPr>
        <w:t xml:space="preserve">were </w:t>
      </w:r>
      <w:r>
        <w:rPr>
          <w:szCs w:val="24"/>
        </w:rPr>
        <w:t xml:space="preserve">calculated as follows: 10 hours (PA Report Development) x 5 PA Reports per year = 50 </w:t>
      </w:r>
      <w:r w:rsidR="00557B08">
        <w:rPr>
          <w:szCs w:val="24"/>
        </w:rPr>
        <w:t>b</w:t>
      </w:r>
      <w:r>
        <w:rPr>
          <w:szCs w:val="24"/>
        </w:rPr>
        <w:t>urden hours</w:t>
      </w:r>
    </w:p>
    <w:p w:rsidR="00E205B5" w:rsidP="003E0181" w14:paraId="1CBB95CC" w14:textId="77777777">
      <w:pPr>
        <w:widowControl w:val="0"/>
        <w:tabs>
          <w:tab w:val="left" w:pos="540"/>
        </w:tabs>
        <w:rPr>
          <w:szCs w:val="24"/>
        </w:rPr>
      </w:pPr>
    </w:p>
    <w:p w:rsidR="000F1912" w:rsidP="003E0181" w14:paraId="448FAA86" w14:textId="77777777">
      <w:pPr>
        <w:widowControl w:val="0"/>
        <w:tabs>
          <w:tab w:val="left" w:pos="540"/>
        </w:tabs>
        <w:rPr>
          <w:szCs w:val="24"/>
        </w:rPr>
      </w:pPr>
      <w:r>
        <w:rPr>
          <w:szCs w:val="24"/>
        </w:rPr>
        <w:t>The estimate in Table 2 assumes that 5 State DOTs are working under a PA and that they will submit one annual report each to the FHWA Divis</w:t>
      </w:r>
      <w:r w:rsidR="00F37D47">
        <w:rPr>
          <w:szCs w:val="24"/>
        </w:rPr>
        <w:t>i</w:t>
      </w:r>
      <w:r>
        <w:rPr>
          <w:szCs w:val="24"/>
        </w:rPr>
        <w:t xml:space="preserve">on for review.  The burden hours account for time </w:t>
      </w:r>
      <w:r w:rsidR="005F10C9">
        <w:rPr>
          <w:szCs w:val="24"/>
        </w:rPr>
        <w:t xml:space="preserve">to compile information for </w:t>
      </w:r>
      <w:r w:rsidR="00F37D47">
        <w:rPr>
          <w:szCs w:val="24"/>
        </w:rPr>
        <w:t xml:space="preserve">the </w:t>
      </w:r>
      <w:r w:rsidR="005F10C9">
        <w:rPr>
          <w:szCs w:val="24"/>
        </w:rPr>
        <w:t>annual report and submit the report to FHWA.</w:t>
      </w:r>
      <w:r w:rsidR="0086766F">
        <w:rPr>
          <w:szCs w:val="24"/>
        </w:rPr>
        <w:br/>
      </w:r>
    </w:p>
    <w:p w:rsidR="00BE4FBC" w:rsidRPr="0018423E" w:rsidP="00AA0A6F" w14:paraId="568DBFF4" w14:textId="72CCC7F3">
      <w:pPr>
        <w:widowControl w:val="0"/>
        <w:tabs>
          <w:tab w:val="left" w:pos="540"/>
        </w:tabs>
        <w:rPr>
          <w:szCs w:val="24"/>
        </w:rPr>
      </w:pPr>
      <w:r>
        <w:rPr>
          <w:szCs w:val="24"/>
        </w:rPr>
        <w:t xml:space="preserve">Salary costs associated with the burden of hours </w:t>
      </w:r>
      <w:r w:rsidR="009C1D24">
        <w:rPr>
          <w:szCs w:val="24"/>
        </w:rPr>
        <w:t>was</w:t>
      </w:r>
      <w:r>
        <w:rPr>
          <w:szCs w:val="24"/>
        </w:rPr>
        <w:t xml:space="preserve"> estimated at $</w:t>
      </w:r>
      <w:r w:rsidR="00D80BA9">
        <w:rPr>
          <w:szCs w:val="24"/>
        </w:rPr>
        <w:t>7</w:t>
      </w:r>
      <w:r w:rsidR="00C04DEE">
        <w:rPr>
          <w:szCs w:val="24"/>
        </w:rPr>
        <w:t>5</w:t>
      </w:r>
      <w:r>
        <w:rPr>
          <w:szCs w:val="24"/>
        </w:rPr>
        <w:t xml:space="preserve"> per hour.  </w:t>
      </w:r>
      <w:r w:rsidR="00CD1478">
        <w:rPr>
          <w:szCs w:val="24"/>
        </w:rPr>
        <w:t xml:space="preserve">This rate was </w:t>
      </w:r>
      <w:r>
        <w:rPr>
          <w:szCs w:val="24"/>
        </w:rPr>
        <w:t>derived from the hourly and annual wage data for State DOT employees from the Bureau of Labor Statistics</w:t>
      </w:r>
      <w:r w:rsidR="00037BCF">
        <w:rPr>
          <w:szCs w:val="24"/>
        </w:rPr>
        <w:t xml:space="preserve"> (BLS)</w:t>
      </w:r>
      <w:r>
        <w:rPr>
          <w:szCs w:val="24"/>
        </w:rPr>
        <w:t xml:space="preserve"> Occupational Employment Statistics Research Estimates by State Industry, </w:t>
      </w:r>
      <w:hyperlink r:id="rId9" w:history="1">
        <w:r w:rsidRPr="00F83152" w:rsidR="0088177A">
          <w:rPr>
            <w:rStyle w:val="Hyperlink"/>
            <w:szCs w:val="24"/>
          </w:rPr>
          <w:t>https://www.bls.gov/oes/current/oes_research_estimates.htm.</w:t>
        </w:r>
      </w:hyperlink>
      <w:r>
        <w:rPr>
          <w:szCs w:val="24"/>
        </w:rPr>
        <w:t xml:space="preserve">  The salary information was gathered from the Architectural and Engineering job category.  The mean hourly wage was multiplied by a factor of 1.</w:t>
      </w:r>
      <w:r w:rsidR="000A587B">
        <w:rPr>
          <w:szCs w:val="24"/>
        </w:rPr>
        <w:t xml:space="preserve">7416 </w:t>
      </w:r>
      <w:r>
        <w:rPr>
          <w:szCs w:val="24"/>
        </w:rPr>
        <w:t>to account for the cost of employer-provided benefits</w:t>
      </w:r>
      <w:r w:rsidR="0018423E">
        <w:rPr>
          <w:szCs w:val="24"/>
        </w:rPr>
        <w:t xml:space="preserve">.  The factor was derived from the </w:t>
      </w:r>
      <w:r w:rsidR="00037BCF">
        <w:rPr>
          <w:szCs w:val="24"/>
        </w:rPr>
        <w:t>BLS</w:t>
      </w:r>
      <w:r w:rsidR="0018423E">
        <w:rPr>
          <w:szCs w:val="24"/>
        </w:rPr>
        <w:t xml:space="preserve"> </w:t>
      </w:r>
      <w:r w:rsidR="0018423E">
        <w:rPr>
          <w:i/>
          <w:szCs w:val="24"/>
        </w:rPr>
        <w:t>Employer Costs for Employee Compensation,</w:t>
      </w:r>
      <w:r w:rsidR="0018423E">
        <w:rPr>
          <w:szCs w:val="24"/>
        </w:rPr>
        <w:t xml:space="preserve"> </w:t>
      </w:r>
      <w:r w:rsidR="00DC14CA">
        <w:rPr>
          <w:szCs w:val="24"/>
        </w:rPr>
        <w:t>December</w:t>
      </w:r>
      <w:r w:rsidR="0018423E">
        <w:rPr>
          <w:szCs w:val="24"/>
        </w:rPr>
        <w:t xml:space="preserve"> 20</w:t>
      </w:r>
      <w:r w:rsidR="00DC14CA">
        <w:rPr>
          <w:szCs w:val="24"/>
        </w:rPr>
        <w:t>23</w:t>
      </w:r>
      <w:r w:rsidR="0018423E">
        <w:rPr>
          <w:szCs w:val="24"/>
        </w:rPr>
        <w:t xml:space="preserve">. (Table 5: Management, professional, and related occupations, </w:t>
      </w:r>
      <w:hyperlink r:id="rId10" w:history="1">
        <w:r w:rsidR="00CC1EFC">
          <w:rPr>
            <w:rStyle w:val="Hyperlink"/>
            <w:szCs w:val="24"/>
          </w:rPr>
          <w:t>https://www.bls.gov/news.release/pdf/ecec.pdf</w:t>
        </w:r>
      </w:hyperlink>
      <w:r w:rsidR="0018423E">
        <w:rPr>
          <w:szCs w:val="24"/>
        </w:rPr>
        <w:t xml:space="preserve">.)  </w:t>
      </w:r>
    </w:p>
    <w:p w:rsidR="00FB5C1F" w:rsidRPr="00981917" w:rsidP="000A6210" w14:paraId="1709D55A" w14:textId="77777777">
      <w:pPr>
        <w:widowControl w:val="0"/>
        <w:tabs>
          <w:tab w:val="left" w:pos="540"/>
        </w:tabs>
        <w:rPr>
          <w:b/>
          <w:szCs w:val="24"/>
        </w:rPr>
      </w:pPr>
    </w:p>
    <w:p w:rsidR="00AC6B98" w:rsidRPr="00981917" w:rsidP="00AC6B98" w14:paraId="6F4A8BC6" w14:textId="77777777">
      <w:pPr>
        <w:widowControl w:val="0"/>
        <w:tabs>
          <w:tab w:val="left" w:pos="540"/>
        </w:tabs>
        <w:rPr>
          <w:b/>
          <w:szCs w:val="24"/>
        </w:rPr>
      </w:pPr>
      <w:r w:rsidRPr="008B7D43">
        <w:rPr>
          <w:szCs w:val="24"/>
        </w:rPr>
        <w:t>13.</w:t>
      </w:r>
      <w:r w:rsidRPr="008B7D43">
        <w:rPr>
          <w:szCs w:val="24"/>
        </w:rPr>
        <w:tab/>
      </w:r>
      <w:r w:rsidRPr="00981917" w:rsidR="006C0638">
        <w:rPr>
          <w:b/>
          <w:szCs w:val="24"/>
          <w:u w:val="single"/>
        </w:rPr>
        <w:t>Estimate of the total annual costs burden</w:t>
      </w:r>
      <w:r w:rsidRPr="00981917" w:rsidR="006C0638">
        <w:rPr>
          <w:b/>
          <w:szCs w:val="24"/>
        </w:rPr>
        <w:t xml:space="preserve">.  </w:t>
      </w:r>
    </w:p>
    <w:p w:rsidR="00AA0A6F" w:rsidRPr="00AA0A6F" w:rsidP="000A6210" w14:paraId="19E11FF8" w14:textId="44FF6DEC">
      <w:pPr>
        <w:widowControl w:val="0"/>
        <w:tabs>
          <w:tab w:val="left" w:pos="540"/>
        </w:tabs>
        <w:rPr>
          <w:szCs w:val="24"/>
        </w:rPr>
      </w:pPr>
      <w:r>
        <w:rPr>
          <w:szCs w:val="24"/>
        </w:rPr>
        <w:t>There is no capital/start-up and operation/maintenance cost foreseen for the prep</w:t>
      </w:r>
      <w:r w:rsidR="00D12356">
        <w:rPr>
          <w:szCs w:val="24"/>
        </w:rPr>
        <w:t xml:space="preserve">aration of </w:t>
      </w:r>
      <w:r w:rsidR="00EC48E0">
        <w:rPr>
          <w:szCs w:val="24"/>
        </w:rPr>
        <w:t>I</w:t>
      </w:r>
      <w:r w:rsidR="00F350C1">
        <w:rPr>
          <w:szCs w:val="24"/>
        </w:rPr>
        <w:t>A</w:t>
      </w:r>
      <w:r w:rsidR="00EC48E0">
        <w:rPr>
          <w:szCs w:val="24"/>
        </w:rPr>
        <w:t>JR</w:t>
      </w:r>
      <w:r w:rsidR="00D12356">
        <w:rPr>
          <w:szCs w:val="24"/>
        </w:rPr>
        <w:t>s.</w:t>
      </w:r>
    </w:p>
    <w:p w:rsidR="00717B3B" w:rsidP="000A6210" w14:paraId="0DDFA29B" w14:textId="77777777">
      <w:pPr>
        <w:widowControl w:val="0"/>
        <w:tabs>
          <w:tab w:val="left" w:pos="540"/>
        </w:tabs>
        <w:rPr>
          <w:b/>
          <w:szCs w:val="24"/>
        </w:rPr>
      </w:pPr>
    </w:p>
    <w:p w:rsidR="006C0638" w:rsidP="000A6210" w14:paraId="1AD72DC6" w14:textId="77777777">
      <w:pPr>
        <w:widowControl w:val="0"/>
        <w:tabs>
          <w:tab w:val="left" w:pos="540"/>
        </w:tabs>
        <w:rPr>
          <w:b/>
          <w:szCs w:val="24"/>
        </w:rPr>
      </w:pPr>
      <w:r w:rsidRPr="008B7D43">
        <w:rPr>
          <w:szCs w:val="24"/>
        </w:rPr>
        <w:t>14.</w:t>
      </w:r>
      <w:r w:rsidRPr="00981917">
        <w:rPr>
          <w:b/>
          <w:szCs w:val="24"/>
        </w:rPr>
        <w:tab/>
      </w:r>
      <w:r w:rsidRPr="00981917">
        <w:rPr>
          <w:b/>
          <w:szCs w:val="24"/>
          <w:u w:val="single"/>
        </w:rPr>
        <w:t>Estimates of costs to the Federal Government</w:t>
      </w:r>
      <w:r w:rsidRPr="00981917">
        <w:rPr>
          <w:b/>
          <w:szCs w:val="24"/>
        </w:rPr>
        <w:t xml:space="preserve">. </w:t>
      </w:r>
    </w:p>
    <w:p w:rsidR="0068048C" w:rsidRPr="00981917" w:rsidP="000A6210" w14:paraId="4C03BEB3" w14:textId="77777777">
      <w:pPr>
        <w:widowControl w:val="0"/>
        <w:tabs>
          <w:tab w:val="left" w:pos="540"/>
        </w:tabs>
        <w:rPr>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340"/>
        <w:gridCol w:w="2329"/>
        <w:gridCol w:w="2329"/>
      </w:tblGrid>
      <w:tr w14:paraId="1097DD59" w14:textId="77777777" w:rsidTr="005039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auto"/>
          </w:tcPr>
          <w:p w:rsidR="00B6665A" w:rsidRPr="00C7527D" w:rsidP="003B73BC" w14:paraId="46B7B497" w14:textId="006491D3">
            <w:pPr>
              <w:widowControl w:val="0"/>
              <w:tabs>
                <w:tab w:val="left" w:pos="540"/>
              </w:tabs>
              <w:jc w:val="center"/>
              <w:rPr>
                <w:b/>
                <w:szCs w:val="24"/>
              </w:rPr>
            </w:pPr>
            <w:r>
              <w:rPr>
                <w:b/>
                <w:szCs w:val="24"/>
              </w:rPr>
              <w:t>I</w:t>
            </w:r>
            <w:r w:rsidR="00A1758C">
              <w:rPr>
                <w:b/>
                <w:szCs w:val="24"/>
              </w:rPr>
              <w:t>A</w:t>
            </w:r>
            <w:r>
              <w:rPr>
                <w:b/>
                <w:szCs w:val="24"/>
              </w:rPr>
              <w:t>JR (TABLE 3)</w:t>
            </w:r>
          </w:p>
        </w:tc>
      </w:tr>
      <w:tr w14:paraId="394B238E" w14:textId="77777777" w:rsidTr="003B73BC">
        <w:tblPrEx>
          <w:tblW w:w="0" w:type="auto"/>
          <w:tblLook w:val="04A0"/>
        </w:tblPrEx>
        <w:tc>
          <w:tcPr>
            <w:tcW w:w="2394" w:type="dxa"/>
            <w:shd w:val="clear" w:color="auto" w:fill="auto"/>
          </w:tcPr>
          <w:p w:rsidR="009D5E24" w:rsidRPr="00C7527D" w:rsidP="003B73BC" w14:paraId="2D1366AA" w14:textId="77777777">
            <w:pPr>
              <w:widowControl w:val="0"/>
              <w:tabs>
                <w:tab w:val="left" w:pos="540"/>
              </w:tabs>
              <w:jc w:val="center"/>
              <w:rPr>
                <w:b/>
                <w:szCs w:val="24"/>
              </w:rPr>
            </w:pPr>
            <w:r w:rsidRPr="00C7527D">
              <w:rPr>
                <w:b/>
                <w:szCs w:val="24"/>
              </w:rPr>
              <w:t>Number of Respondents</w:t>
            </w:r>
          </w:p>
        </w:tc>
        <w:tc>
          <w:tcPr>
            <w:tcW w:w="2394" w:type="dxa"/>
            <w:shd w:val="clear" w:color="auto" w:fill="auto"/>
          </w:tcPr>
          <w:p w:rsidR="009D5E24" w:rsidRPr="00C7527D" w:rsidP="003B73BC" w14:paraId="5C565E99" w14:textId="77777777">
            <w:pPr>
              <w:widowControl w:val="0"/>
              <w:tabs>
                <w:tab w:val="left" w:pos="540"/>
              </w:tabs>
              <w:jc w:val="center"/>
              <w:rPr>
                <w:b/>
                <w:szCs w:val="24"/>
              </w:rPr>
            </w:pPr>
            <w:r w:rsidRPr="00C7527D">
              <w:rPr>
                <w:b/>
                <w:szCs w:val="24"/>
              </w:rPr>
              <w:t>Frequency of Responses</w:t>
            </w:r>
            <w:r w:rsidR="00664639">
              <w:rPr>
                <w:b/>
                <w:szCs w:val="24"/>
              </w:rPr>
              <w:t xml:space="preserve"> (annual)</w:t>
            </w:r>
          </w:p>
        </w:tc>
        <w:tc>
          <w:tcPr>
            <w:tcW w:w="2394" w:type="dxa"/>
            <w:shd w:val="clear" w:color="auto" w:fill="auto"/>
          </w:tcPr>
          <w:p w:rsidR="009D5E24" w:rsidRPr="00C7527D" w:rsidP="003B73BC" w14:paraId="7878016C" w14:textId="77777777">
            <w:pPr>
              <w:widowControl w:val="0"/>
              <w:tabs>
                <w:tab w:val="left" w:pos="540"/>
              </w:tabs>
              <w:jc w:val="center"/>
              <w:rPr>
                <w:b/>
                <w:szCs w:val="24"/>
              </w:rPr>
            </w:pPr>
            <w:r w:rsidRPr="00C7527D">
              <w:rPr>
                <w:b/>
                <w:szCs w:val="24"/>
              </w:rPr>
              <w:t>Burden Hours (annual)</w:t>
            </w:r>
          </w:p>
        </w:tc>
        <w:tc>
          <w:tcPr>
            <w:tcW w:w="2394" w:type="dxa"/>
            <w:shd w:val="clear" w:color="auto" w:fill="auto"/>
          </w:tcPr>
          <w:p w:rsidR="009D5E24" w:rsidRPr="00C7527D" w:rsidP="003B73BC" w14:paraId="2EDB9761" w14:textId="77777777">
            <w:pPr>
              <w:widowControl w:val="0"/>
              <w:tabs>
                <w:tab w:val="left" w:pos="540"/>
              </w:tabs>
              <w:jc w:val="center"/>
              <w:rPr>
                <w:b/>
                <w:szCs w:val="24"/>
              </w:rPr>
            </w:pPr>
            <w:r w:rsidRPr="00C7527D">
              <w:rPr>
                <w:b/>
                <w:szCs w:val="24"/>
              </w:rPr>
              <w:t xml:space="preserve">Cost for Hourly Burdens </w:t>
            </w:r>
            <w:r w:rsidR="00664639">
              <w:rPr>
                <w:b/>
                <w:szCs w:val="24"/>
              </w:rPr>
              <w:t>(annual)</w:t>
            </w:r>
          </w:p>
        </w:tc>
      </w:tr>
      <w:tr w14:paraId="51CA98A4" w14:textId="77777777" w:rsidTr="003B73BC">
        <w:tblPrEx>
          <w:tblW w:w="0" w:type="auto"/>
          <w:tblLook w:val="04A0"/>
        </w:tblPrEx>
        <w:tc>
          <w:tcPr>
            <w:tcW w:w="2394" w:type="dxa"/>
            <w:shd w:val="clear" w:color="auto" w:fill="auto"/>
          </w:tcPr>
          <w:p w:rsidR="009D5E24" w:rsidRPr="00C7527D" w:rsidP="003B73BC" w14:paraId="129FC4B9" w14:textId="77777777">
            <w:pPr>
              <w:widowControl w:val="0"/>
              <w:tabs>
                <w:tab w:val="left" w:pos="540"/>
              </w:tabs>
              <w:jc w:val="center"/>
              <w:rPr>
                <w:szCs w:val="24"/>
              </w:rPr>
            </w:pPr>
            <w:r w:rsidRPr="00C7527D">
              <w:rPr>
                <w:szCs w:val="24"/>
              </w:rPr>
              <w:t>52</w:t>
            </w:r>
            <w:r w:rsidR="0086766F">
              <w:rPr>
                <w:szCs w:val="24"/>
              </w:rPr>
              <w:t>*</w:t>
            </w:r>
          </w:p>
        </w:tc>
        <w:tc>
          <w:tcPr>
            <w:tcW w:w="2394" w:type="dxa"/>
            <w:shd w:val="clear" w:color="auto" w:fill="auto"/>
          </w:tcPr>
          <w:p w:rsidR="009D5E24" w:rsidRPr="00C7527D" w:rsidP="003B73BC" w14:paraId="164AA149" w14:textId="77777777">
            <w:pPr>
              <w:widowControl w:val="0"/>
              <w:tabs>
                <w:tab w:val="left" w:pos="540"/>
              </w:tabs>
              <w:jc w:val="center"/>
              <w:rPr>
                <w:szCs w:val="24"/>
              </w:rPr>
            </w:pPr>
            <w:r>
              <w:rPr>
                <w:szCs w:val="24"/>
              </w:rPr>
              <w:t>30</w:t>
            </w:r>
            <w:r w:rsidR="0086766F">
              <w:rPr>
                <w:szCs w:val="24"/>
              </w:rPr>
              <w:t>*</w:t>
            </w:r>
          </w:p>
        </w:tc>
        <w:tc>
          <w:tcPr>
            <w:tcW w:w="2394" w:type="dxa"/>
            <w:shd w:val="clear" w:color="auto" w:fill="auto"/>
          </w:tcPr>
          <w:p w:rsidR="009D5E24" w:rsidRPr="00C7527D" w:rsidP="003B73BC" w14:paraId="481A2A36" w14:textId="6445F4AE">
            <w:pPr>
              <w:widowControl w:val="0"/>
              <w:tabs>
                <w:tab w:val="left" w:pos="540"/>
              </w:tabs>
              <w:jc w:val="center"/>
              <w:rPr>
                <w:szCs w:val="24"/>
              </w:rPr>
            </w:pPr>
            <w:r>
              <w:rPr>
                <w:szCs w:val="24"/>
              </w:rPr>
              <w:t>990</w:t>
            </w:r>
            <w:r w:rsidR="00A1758C">
              <w:rPr>
                <w:szCs w:val="24"/>
              </w:rPr>
              <w:t>**</w:t>
            </w:r>
          </w:p>
        </w:tc>
        <w:tc>
          <w:tcPr>
            <w:tcW w:w="2394" w:type="dxa"/>
            <w:shd w:val="clear" w:color="auto" w:fill="auto"/>
          </w:tcPr>
          <w:p w:rsidR="009D5E24" w:rsidRPr="00C7527D" w:rsidP="003B73BC" w14:paraId="2ED23867" w14:textId="26A11E71">
            <w:pPr>
              <w:widowControl w:val="0"/>
              <w:tabs>
                <w:tab w:val="left" w:pos="540"/>
              </w:tabs>
              <w:jc w:val="center"/>
              <w:rPr>
                <w:szCs w:val="24"/>
              </w:rPr>
            </w:pPr>
            <w:r w:rsidRPr="00C7527D">
              <w:rPr>
                <w:szCs w:val="24"/>
              </w:rPr>
              <w:t>$</w:t>
            </w:r>
            <w:r w:rsidR="00F013F8">
              <w:rPr>
                <w:szCs w:val="24"/>
              </w:rPr>
              <w:t>84</w:t>
            </w:r>
            <w:r w:rsidRPr="00C7527D">
              <w:rPr>
                <w:szCs w:val="24"/>
              </w:rPr>
              <w:t>,</w:t>
            </w:r>
            <w:r w:rsidR="00F013F8">
              <w:rPr>
                <w:szCs w:val="24"/>
              </w:rPr>
              <w:t>150</w:t>
            </w:r>
          </w:p>
        </w:tc>
      </w:tr>
    </w:tbl>
    <w:p w:rsidR="00CC1514" w:rsidP="000A6210" w14:paraId="37975245" w14:textId="0E199784">
      <w:pPr>
        <w:widowControl w:val="0"/>
        <w:tabs>
          <w:tab w:val="left" w:pos="540"/>
        </w:tabs>
        <w:rPr>
          <w:szCs w:val="24"/>
        </w:rPr>
      </w:pPr>
      <w:r>
        <w:rPr>
          <w:szCs w:val="24"/>
        </w:rPr>
        <w:t xml:space="preserve">*Please note that IJRs are submitted based on need, </w:t>
      </w:r>
      <w:r>
        <w:rPr>
          <w:szCs w:val="24"/>
        </w:rPr>
        <w:t xml:space="preserve">and </w:t>
      </w:r>
      <w:r>
        <w:rPr>
          <w:szCs w:val="24"/>
        </w:rPr>
        <w:t>as a result</w:t>
      </w:r>
      <w:r>
        <w:rPr>
          <w:szCs w:val="24"/>
        </w:rPr>
        <w:t>,</w:t>
      </w:r>
      <w:r>
        <w:rPr>
          <w:szCs w:val="24"/>
        </w:rPr>
        <w:t xml:space="preserve"> there is no expectation that all respondents will submit I</w:t>
      </w:r>
      <w:r w:rsidR="00F350C1">
        <w:rPr>
          <w:szCs w:val="24"/>
        </w:rPr>
        <w:t>A</w:t>
      </w:r>
      <w:r>
        <w:rPr>
          <w:szCs w:val="24"/>
        </w:rPr>
        <w:t>JRs annually</w:t>
      </w:r>
      <w:r w:rsidR="00E61C79">
        <w:rPr>
          <w:szCs w:val="24"/>
        </w:rPr>
        <w:t xml:space="preserve">. </w:t>
      </w:r>
      <w:r>
        <w:rPr>
          <w:szCs w:val="24"/>
        </w:rPr>
        <w:t xml:space="preserve"> </w:t>
      </w:r>
      <w:r w:rsidR="00E61C79">
        <w:rPr>
          <w:szCs w:val="24"/>
        </w:rPr>
        <w:t>Based on historical data, a maximum of</w:t>
      </w:r>
      <w:r>
        <w:rPr>
          <w:szCs w:val="24"/>
        </w:rPr>
        <w:t xml:space="preserve"> 30 annual response</w:t>
      </w:r>
      <w:r w:rsidR="00E61C79">
        <w:rPr>
          <w:szCs w:val="24"/>
        </w:rPr>
        <w:t>s are expected</w:t>
      </w:r>
      <w:r>
        <w:rPr>
          <w:szCs w:val="24"/>
        </w:rPr>
        <w:t xml:space="preserve">.  </w:t>
      </w:r>
    </w:p>
    <w:p w:rsidR="00A1758C" w:rsidP="000A6210" w14:paraId="05A5D566" w14:textId="313CBC39">
      <w:pPr>
        <w:widowControl w:val="0"/>
        <w:tabs>
          <w:tab w:val="left" w:pos="540"/>
        </w:tabs>
        <w:rPr>
          <w:szCs w:val="24"/>
        </w:rPr>
      </w:pPr>
      <w:r>
        <w:rPr>
          <w:szCs w:val="24"/>
        </w:rPr>
        <w:t xml:space="preserve">**Estimated burden hours </w:t>
      </w:r>
      <w:r w:rsidR="00F350C1">
        <w:rPr>
          <w:szCs w:val="24"/>
        </w:rPr>
        <w:t xml:space="preserve">were </w:t>
      </w:r>
      <w:r>
        <w:rPr>
          <w:szCs w:val="24"/>
        </w:rPr>
        <w:t xml:space="preserve">calculated as follows: 33 hours (Review/Coordination) x 30 IAJRs per year = 990 </w:t>
      </w:r>
      <w:r w:rsidR="00557B08">
        <w:rPr>
          <w:szCs w:val="24"/>
        </w:rPr>
        <w:t>b</w:t>
      </w:r>
      <w:r>
        <w:rPr>
          <w:szCs w:val="24"/>
        </w:rPr>
        <w:t xml:space="preserve">urden hours. </w:t>
      </w:r>
    </w:p>
    <w:p w:rsidR="00A1758C" w:rsidP="000A6210" w14:paraId="2D225155" w14:textId="77777777">
      <w:pPr>
        <w:widowControl w:val="0"/>
        <w:tabs>
          <w:tab w:val="left" w:pos="540"/>
        </w:tabs>
        <w:rPr>
          <w:szCs w:val="24"/>
        </w:rPr>
      </w:pPr>
    </w:p>
    <w:p w:rsidR="009D5E24" w:rsidP="000A6210" w14:paraId="433BEA92" w14:textId="51C66391">
      <w:pPr>
        <w:widowControl w:val="0"/>
        <w:tabs>
          <w:tab w:val="left" w:pos="540"/>
        </w:tabs>
        <w:rPr>
          <w:szCs w:val="24"/>
        </w:rPr>
      </w:pPr>
      <w:r>
        <w:rPr>
          <w:szCs w:val="24"/>
        </w:rPr>
        <w:t>The estimate</w:t>
      </w:r>
      <w:r w:rsidR="007A0933">
        <w:rPr>
          <w:szCs w:val="24"/>
        </w:rPr>
        <w:t xml:space="preserve"> in Table 3</w:t>
      </w:r>
      <w:r>
        <w:rPr>
          <w:szCs w:val="24"/>
        </w:rPr>
        <w:t xml:space="preserve"> assumes that FHWA will receive</w:t>
      </w:r>
      <w:r w:rsidR="00DD375F">
        <w:rPr>
          <w:szCs w:val="24"/>
        </w:rPr>
        <w:t xml:space="preserve"> approximately</w:t>
      </w:r>
      <w:r>
        <w:rPr>
          <w:szCs w:val="24"/>
        </w:rPr>
        <w:t xml:space="preserve"> </w:t>
      </w:r>
      <w:r w:rsidR="003E47E2">
        <w:rPr>
          <w:szCs w:val="24"/>
        </w:rPr>
        <w:t>30</w:t>
      </w:r>
      <w:r>
        <w:rPr>
          <w:szCs w:val="24"/>
        </w:rPr>
        <w:t xml:space="preserve"> responses in the f</w:t>
      </w:r>
      <w:r w:rsidR="00D11BC0">
        <w:rPr>
          <w:szCs w:val="24"/>
        </w:rPr>
        <w:t>or</w:t>
      </w:r>
      <w:r>
        <w:rPr>
          <w:szCs w:val="24"/>
        </w:rPr>
        <w:t>m of I</w:t>
      </w:r>
      <w:r w:rsidR="00F350C1">
        <w:rPr>
          <w:szCs w:val="24"/>
        </w:rPr>
        <w:t>A</w:t>
      </w:r>
      <w:r>
        <w:rPr>
          <w:szCs w:val="24"/>
        </w:rPr>
        <w:t>JRs</w:t>
      </w:r>
      <w:r w:rsidR="00D11BC0">
        <w:rPr>
          <w:szCs w:val="24"/>
        </w:rPr>
        <w:t xml:space="preserve"> from respondents on an annual basis</w:t>
      </w:r>
      <w:r w:rsidR="0092021E">
        <w:rPr>
          <w:szCs w:val="24"/>
        </w:rPr>
        <w:t xml:space="preserve">, and </w:t>
      </w:r>
      <w:r w:rsidR="0086766F">
        <w:rPr>
          <w:szCs w:val="24"/>
        </w:rPr>
        <w:t>approximately</w:t>
      </w:r>
      <w:r w:rsidR="0092021E">
        <w:rPr>
          <w:szCs w:val="24"/>
        </w:rPr>
        <w:t xml:space="preserve"> half of those will require review by FHWA headquarters staff</w:t>
      </w:r>
      <w:r>
        <w:rPr>
          <w:szCs w:val="24"/>
        </w:rPr>
        <w:t xml:space="preserve">.  The </w:t>
      </w:r>
      <w:r w:rsidR="00D11BC0">
        <w:rPr>
          <w:szCs w:val="24"/>
        </w:rPr>
        <w:t xml:space="preserve">burden </w:t>
      </w:r>
      <w:r>
        <w:rPr>
          <w:szCs w:val="24"/>
        </w:rPr>
        <w:t xml:space="preserve">hours account for the </w:t>
      </w:r>
      <w:r w:rsidR="00D11BC0">
        <w:rPr>
          <w:szCs w:val="24"/>
        </w:rPr>
        <w:t xml:space="preserve">time needed to </w:t>
      </w:r>
      <w:r>
        <w:rPr>
          <w:szCs w:val="24"/>
        </w:rPr>
        <w:t>review</w:t>
      </w:r>
      <w:r w:rsidR="00D11BC0">
        <w:rPr>
          <w:szCs w:val="24"/>
        </w:rPr>
        <w:t xml:space="preserve"> and coordinate I</w:t>
      </w:r>
      <w:r w:rsidR="00F350C1">
        <w:rPr>
          <w:szCs w:val="24"/>
        </w:rPr>
        <w:t>A</w:t>
      </w:r>
      <w:r w:rsidR="00D11BC0">
        <w:rPr>
          <w:szCs w:val="24"/>
        </w:rPr>
        <w:t>JRs by</w:t>
      </w:r>
      <w:r>
        <w:rPr>
          <w:szCs w:val="24"/>
        </w:rPr>
        <w:t xml:space="preserve"> the</w:t>
      </w:r>
      <w:r w:rsidR="00F350C1">
        <w:rPr>
          <w:szCs w:val="24"/>
        </w:rPr>
        <w:t xml:space="preserve"> FHWA</w:t>
      </w:r>
      <w:r>
        <w:rPr>
          <w:szCs w:val="24"/>
        </w:rPr>
        <w:t xml:space="preserve"> </w:t>
      </w:r>
      <w:r w:rsidR="009C1D24">
        <w:rPr>
          <w:szCs w:val="24"/>
        </w:rPr>
        <w:t>Division</w:t>
      </w:r>
      <w:r>
        <w:rPr>
          <w:szCs w:val="24"/>
        </w:rPr>
        <w:t xml:space="preserve"> offices and </w:t>
      </w:r>
      <w:r w:rsidR="009C1D24">
        <w:rPr>
          <w:szCs w:val="24"/>
        </w:rPr>
        <w:t>Headquarters</w:t>
      </w:r>
      <w:r w:rsidR="00D11BC0">
        <w:rPr>
          <w:szCs w:val="24"/>
        </w:rPr>
        <w:t>.</w:t>
      </w:r>
    </w:p>
    <w:p w:rsidR="007A0933" w:rsidP="000A6210" w14:paraId="6CA2C425" w14:textId="77777777">
      <w:pPr>
        <w:widowControl w:val="0"/>
        <w:tabs>
          <w:tab w:val="left" w:pos="540"/>
        </w:tabs>
        <w:rPr>
          <w:szCs w:val="24"/>
        </w:rPr>
      </w:pP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340"/>
        <w:gridCol w:w="2329"/>
        <w:gridCol w:w="2329"/>
      </w:tblGrid>
      <w:tr w14:paraId="609A1600" w14:textId="77777777" w:rsidTr="007A093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4"/>
            <w:shd w:val="clear" w:color="auto" w:fill="auto"/>
          </w:tcPr>
          <w:p w:rsidR="007A0933" w:rsidRPr="00C7527D" w:rsidP="007A0933" w14:paraId="3B4BA8DE" w14:textId="77777777">
            <w:pPr>
              <w:widowControl w:val="0"/>
              <w:tabs>
                <w:tab w:val="left" w:pos="540"/>
              </w:tabs>
              <w:jc w:val="center"/>
              <w:rPr>
                <w:b/>
                <w:szCs w:val="24"/>
              </w:rPr>
            </w:pPr>
            <w:r>
              <w:rPr>
                <w:b/>
                <w:szCs w:val="24"/>
              </w:rPr>
              <w:t>PA ANNUAL REPORT (TABLE 4)</w:t>
            </w:r>
          </w:p>
        </w:tc>
      </w:tr>
      <w:tr w14:paraId="2E69E350" w14:textId="77777777" w:rsidTr="007A0933">
        <w:tblPrEx>
          <w:tblW w:w="0" w:type="auto"/>
          <w:tblLook w:val="04A0"/>
        </w:tblPrEx>
        <w:tc>
          <w:tcPr>
            <w:tcW w:w="2394" w:type="dxa"/>
            <w:shd w:val="clear" w:color="auto" w:fill="auto"/>
          </w:tcPr>
          <w:p w:rsidR="007A0933" w:rsidRPr="00C7527D" w:rsidP="007A0933" w14:paraId="124AF789" w14:textId="77777777">
            <w:pPr>
              <w:widowControl w:val="0"/>
              <w:tabs>
                <w:tab w:val="left" w:pos="540"/>
              </w:tabs>
              <w:jc w:val="center"/>
              <w:rPr>
                <w:b/>
                <w:szCs w:val="24"/>
              </w:rPr>
            </w:pPr>
            <w:r w:rsidRPr="00C7527D">
              <w:rPr>
                <w:b/>
                <w:szCs w:val="24"/>
              </w:rPr>
              <w:t>Number of Respondents</w:t>
            </w:r>
          </w:p>
        </w:tc>
        <w:tc>
          <w:tcPr>
            <w:tcW w:w="2394" w:type="dxa"/>
            <w:shd w:val="clear" w:color="auto" w:fill="auto"/>
          </w:tcPr>
          <w:p w:rsidR="007A0933" w:rsidRPr="00C7527D" w:rsidP="007A0933" w14:paraId="61070E12" w14:textId="77777777">
            <w:pPr>
              <w:widowControl w:val="0"/>
              <w:tabs>
                <w:tab w:val="left" w:pos="540"/>
              </w:tabs>
              <w:jc w:val="center"/>
              <w:rPr>
                <w:b/>
                <w:szCs w:val="24"/>
              </w:rPr>
            </w:pPr>
            <w:r w:rsidRPr="00C7527D">
              <w:rPr>
                <w:b/>
                <w:szCs w:val="24"/>
              </w:rPr>
              <w:t>Frequency of Responses</w:t>
            </w:r>
            <w:r>
              <w:rPr>
                <w:b/>
                <w:szCs w:val="24"/>
              </w:rPr>
              <w:t xml:space="preserve"> (annual)</w:t>
            </w:r>
          </w:p>
        </w:tc>
        <w:tc>
          <w:tcPr>
            <w:tcW w:w="2394" w:type="dxa"/>
            <w:shd w:val="clear" w:color="auto" w:fill="auto"/>
          </w:tcPr>
          <w:p w:rsidR="007A0933" w:rsidRPr="00C7527D" w:rsidP="007A0933" w14:paraId="66B3B76E" w14:textId="77777777">
            <w:pPr>
              <w:widowControl w:val="0"/>
              <w:tabs>
                <w:tab w:val="left" w:pos="540"/>
              </w:tabs>
              <w:jc w:val="center"/>
              <w:rPr>
                <w:b/>
                <w:szCs w:val="24"/>
              </w:rPr>
            </w:pPr>
            <w:r w:rsidRPr="00C7527D">
              <w:rPr>
                <w:b/>
                <w:szCs w:val="24"/>
              </w:rPr>
              <w:t>Burden Hours (annual)</w:t>
            </w:r>
          </w:p>
        </w:tc>
        <w:tc>
          <w:tcPr>
            <w:tcW w:w="2394" w:type="dxa"/>
            <w:shd w:val="clear" w:color="auto" w:fill="auto"/>
          </w:tcPr>
          <w:p w:rsidR="007A0933" w:rsidRPr="00C7527D" w:rsidP="007A0933" w14:paraId="1790F093" w14:textId="77777777">
            <w:pPr>
              <w:widowControl w:val="0"/>
              <w:tabs>
                <w:tab w:val="left" w:pos="540"/>
              </w:tabs>
              <w:jc w:val="center"/>
              <w:rPr>
                <w:b/>
                <w:szCs w:val="24"/>
              </w:rPr>
            </w:pPr>
            <w:r w:rsidRPr="00C7527D">
              <w:rPr>
                <w:b/>
                <w:szCs w:val="24"/>
              </w:rPr>
              <w:t xml:space="preserve">Cost for Hourly Burdens </w:t>
            </w:r>
            <w:r>
              <w:rPr>
                <w:b/>
                <w:szCs w:val="24"/>
              </w:rPr>
              <w:t>(annual)</w:t>
            </w:r>
          </w:p>
        </w:tc>
      </w:tr>
      <w:tr w14:paraId="537D3DC1" w14:textId="77777777" w:rsidTr="007A0933">
        <w:tblPrEx>
          <w:tblW w:w="0" w:type="auto"/>
          <w:tblLook w:val="04A0"/>
        </w:tblPrEx>
        <w:tc>
          <w:tcPr>
            <w:tcW w:w="2394" w:type="dxa"/>
            <w:shd w:val="clear" w:color="auto" w:fill="auto"/>
          </w:tcPr>
          <w:p w:rsidR="007A0933" w:rsidRPr="00C7527D" w:rsidP="007A0933" w14:paraId="2F423879" w14:textId="77777777">
            <w:pPr>
              <w:widowControl w:val="0"/>
              <w:tabs>
                <w:tab w:val="left" w:pos="540"/>
              </w:tabs>
              <w:jc w:val="center"/>
              <w:rPr>
                <w:szCs w:val="24"/>
              </w:rPr>
            </w:pPr>
            <w:r w:rsidRPr="00C7527D">
              <w:rPr>
                <w:szCs w:val="24"/>
              </w:rPr>
              <w:t>5</w:t>
            </w:r>
            <w:r>
              <w:rPr>
                <w:szCs w:val="24"/>
              </w:rPr>
              <w:t>*</w:t>
            </w:r>
          </w:p>
        </w:tc>
        <w:tc>
          <w:tcPr>
            <w:tcW w:w="2394" w:type="dxa"/>
            <w:shd w:val="clear" w:color="auto" w:fill="auto"/>
          </w:tcPr>
          <w:p w:rsidR="007A0933" w:rsidRPr="00C7527D" w:rsidP="007A0933" w14:paraId="1A7D4D94" w14:textId="77777777">
            <w:pPr>
              <w:widowControl w:val="0"/>
              <w:tabs>
                <w:tab w:val="left" w:pos="540"/>
              </w:tabs>
              <w:jc w:val="center"/>
              <w:rPr>
                <w:szCs w:val="24"/>
              </w:rPr>
            </w:pPr>
            <w:r>
              <w:rPr>
                <w:szCs w:val="24"/>
              </w:rPr>
              <w:t>5*</w:t>
            </w:r>
          </w:p>
        </w:tc>
        <w:tc>
          <w:tcPr>
            <w:tcW w:w="2394" w:type="dxa"/>
            <w:shd w:val="clear" w:color="auto" w:fill="auto"/>
          </w:tcPr>
          <w:p w:rsidR="007A0933" w:rsidRPr="00C7527D" w:rsidP="007A0933" w14:paraId="5415F584" w14:textId="3545A2C8">
            <w:pPr>
              <w:widowControl w:val="0"/>
              <w:tabs>
                <w:tab w:val="left" w:pos="540"/>
              </w:tabs>
              <w:jc w:val="center"/>
              <w:rPr>
                <w:szCs w:val="24"/>
              </w:rPr>
            </w:pPr>
            <w:r>
              <w:rPr>
                <w:szCs w:val="24"/>
              </w:rPr>
              <w:t>10</w:t>
            </w:r>
            <w:r w:rsidR="00765739">
              <w:rPr>
                <w:szCs w:val="24"/>
              </w:rPr>
              <w:t>**</w:t>
            </w:r>
          </w:p>
        </w:tc>
        <w:tc>
          <w:tcPr>
            <w:tcW w:w="2394" w:type="dxa"/>
            <w:shd w:val="clear" w:color="auto" w:fill="auto"/>
          </w:tcPr>
          <w:p w:rsidR="007A0933" w:rsidRPr="00C7527D" w:rsidP="007A0933" w14:paraId="69789F1E" w14:textId="331A612C">
            <w:pPr>
              <w:widowControl w:val="0"/>
              <w:tabs>
                <w:tab w:val="left" w:pos="540"/>
              </w:tabs>
              <w:jc w:val="center"/>
              <w:rPr>
                <w:szCs w:val="24"/>
              </w:rPr>
            </w:pPr>
            <w:r w:rsidRPr="00C7527D">
              <w:rPr>
                <w:szCs w:val="24"/>
              </w:rPr>
              <w:t>$</w:t>
            </w:r>
            <w:r w:rsidR="003E1DB1">
              <w:rPr>
                <w:szCs w:val="24"/>
              </w:rPr>
              <w:t>850</w:t>
            </w:r>
          </w:p>
        </w:tc>
      </w:tr>
    </w:tbl>
    <w:p w:rsidR="007A0933" w:rsidP="007A0933" w14:paraId="06B6F89F" w14:textId="77777777">
      <w:pPr>
        <w:widowControl w:val="0"/>
        <w:tabs>
          <w:tab w:val="left" w:pos="540"/>
        </w:tabs>
        <w:rPr>
          <w:szCs w:val="24"/>
        </w:rPr>
      </w:pPr>
      <w:r>
        <w:rPr>
          <w:b/>
          <w:szCs w:val="24"/>
        </w:rPr>
        <w:t>*</w:t>
      </w:r>
      <w:r>
        <w:rPr>
          <w:szCs w:val="24"/>
        </w:rPr>
        <w:t>Estimate assumes 5 State DOTs enter into PAs and will submit 1 annual report each year for review by FHWA.</w:t>
      </w:r>
    </w:p>
    <w:p w:rsidR="00765739" w:rsidP="00765739" w14:paraId="0B8B93F6" w14:textId="6AF891A7">
      <w:pPr>
        <w:widowControl w:val="0"/>
        <w:tabs>
          <w:tab w:val="left" w:pos="540"/>
        </w:tabs>
        <w:rPr>
          <w:szCs w:val="24"/>
        </w:rPr>
      </w:pPr>
      <w:r>
        <w:rPr>
          <w:szCs w:val="24"/>
        </w:rPr>
        <w:t xml:space="preserve">**Estimated burden hours </w:t>
      </w:r>
      <w:r w:rsidR="00F350C1">
        <w:rPr>
          <w:szCs w:val="24"/>
        </w:rPr>
        <w:t xml:space="preserve">were </w:t>
      </w:r>
      <w:r>
        <w:rPr>
          <w:szCs w:val="24"/>
        </w:rPr>
        <w:t xml:space="preserve">calculated as follows: </w:t>
      </w:r>
      <w:r w:rsidR="00557B08">
        <w:rPr>
          <w:szCs w:val="24"/>
        </w:rPr>
        <w:t>2</w:t>
      </w:r>
      <w:r>
        <w:rPr>
          <w:szCs w:val="24"/>
        </w:rPr>
        <w:t xml:space="preserve"> hours (Review/Coordination) x </w:t>
      </w:r>
      <w:r w:rsidR="00557B08">
        <w:rPr>
          <w:szCs w:val="24"/>
        </w:rPr>
        <w:t>5</w:t>
      </w:r>
      <w:r>
        <w:rPr>
          <w:szCs w:val="24"/>
        </w:rPr>
        <w:t xml:space="preserve"> </w:t>
      </w:r>
      <w:r w:rsidR="00557B08">
        <w:rPr>
          <w:szCs w:val="24"/>
        </w:rPr>
        <w:t>PA Reports</w:t>
      </w:r>
      <w:r>
        <w:rPr>
          <w:szCs w:val="24"/>
        </w:rPr>
        <w:t xml:space="preserve"> per year = </w:t>
      </w:r>
      <w:r w:rsidR="00557B08">
        <w:rPr>
          <w:szCs w:val="24"/>
        </w:rPr>
        <w:t>10</w:t>
      </w:r>
      <w:r>
        <w:rPr>
          <w:szCs w:val="24"/>
        </w:rPr>
        <w:t xml:space="preserve"> </w:t>
      </w:r>
      <w:r w:rsidR="00557B08">
        <w:rPr>
          <w:szCs w:val="24"/>
        </w:rPr>
        <w:t>b</w:t>
      </w:r>
      <w:r>
        <w:rPr>
          <w:szCs w:val="24"/>
        </w:rPr>
        <w:t xml:space="preserve">urden hours. </w:t>
      </w:r>
    </w:p>
    <w:p w:rsidR="00D11BC0" w:rsidP="000A6210" w14:paraId="346CA7A1" w14:textId="77777777">
      <w:pPr>
        <w:widowControl w:val="0"/>
        <w:tabs>
          <w:tab w:val="left" w:pos="540"/>
        </w:tabs>
        <w:rPr>
          <w:szCs w:val="24"/>
        </w:rPr>
      </w:pPr>
    </w:p>
    <w:p w:rsidR="007A0933" w:rsidP="000A6210" w14:paraId="4767AA59" w14:textId="77777777">
      <w:pPr>
        <w:widowControl w:val="0"/>
        <w:tabs>
          <w:tab w:val="left" w:pos="540"/>
        </w:tabs>
        <w:rPr>
          <w:szCs w:val="24"/>
        </w:rPr>
      </w:pPr>
      <w:r>
        <w:rPr>
          <w:szCs w:val="24"/>
        </w:rPr>
        <w:t>The estimate in Table 4 assumes that FHWA Division offices will receive 5 annual reports to review from State DOTs that have enter</w:t>
      </w:r>
      <w:r w:rsidR="00705BEF">
        <w:rPr>
          <w:szCs w:val="24"/>
        </w:rPr>
        <w:t>ed</w:t>
      </w:r>
      <w:r>
        <w:rPr>
          <w:szCs w:val="24"/>
        </w:rPr>
        <w:t xml:space="preserve"> into PAs.  The burden hours account for the time needed to review the annual reports.</w:t>
      </w:r>
    </w:p>
    <w:p w:rsidR="007A0933" w:rsidP="000A6210" w14:paraId="6EFEF085" w14:textId="77777777">
      <w:pPr>
        <w:widowControl w:val="0"/>
        <w:tabs>
          <w:tab w:val="left" w:pos="540"/>
        </w:tabs>
        <w:rPr>
          <w:szCs w:val="24"/>
        </w:rPr>
      </w:pPr>
    </w:p>
    <w:p w:rsidR="00D11BC0" w:rsidP="00D11BC0" w14:paraId="455E1680" w14:textId="50D676A2">
      <w:pPr>
        <w:widowControl w:val="0"/>
        <w:tabs>
          <w:tab w:val="left" w:pos="540"/>
        </w:tabs>
        <w:rPr>
          <w:szCs w:val="24"/>
        </w:rPr>
      </w:pPr>
      <w:r>
        <w:rPr>
          <w:szCs w:val="24"/>
        </w:rPr>
        <w:t>Salary costs associated with the burden of hours is estimated at $</w:t>
      </w:r>
      <w:r w:rsidR="00EE3460">
        <w:rPr>
          <w:szCs w:val="24"/>
        </w:rPr>
        <w:t>85</w:t>
      </w:r>
      <w:r>
        <w:rPr>
          <w:szCs w:val="24"/>
        </w:rPr>
        <w:t xml:space="preserve"> per hour.  This rate was derived from the </w:t>
      </w:r>
      <w:r w:rsidRPr="00AD130A" w:rsidR="00AD130A">
        <w:rPr>
          <w:i/>
          <w:szCs w:val="24"/>
        </w:rPr>
        <w:t>20</w:t>
      </w:r>
      <w:r w:rsidR="00EE3460">
        <w:rPr>
          <w:i/>
          <w:szCs w:val="24"/>
        </w:rPr>
        <w:t>24</w:t>
      </w:r>
      <w:r w:rsidRPr="00AD130A" w:rsidR="00AD130A">
        <w:rPr>
          <w:i/>
          <w:szCs w:val="24"/>
        </w:rPr>
        <w:t xml:space="preserve"> </w:t>
      </w:r>
      <w:r w:rsidRPr="00AD130A">
        <w:rPr>
          <w:i/>
          <w:szCs w:val="24"/>
        </w:rPr>
        <w:t>General Schedule (GS) Locality Pay Tables</w:t>
      </w:r>
      <w:r>
        <w:rPr>
          <w:szCs w:val="24"/>
        </w:rPr>
        <w:t xml:space="preserve">, </w:t>
      </w:r>
      <w:hyperlink r:id="rId11" w:history="1">
        <w:r w:rsidR="00F267AA">
          <w:rPr>
            <w:rStyle w:val="Hyperlink"/>
          </w:rPr>
          <w:t>https://www.opm.gov/policy-data-oversight/pay-leave/salaries-wages/2024/general-schedule/</w:t>
        </w:r>
      </w:hyperlink>
      <w:r w:rsidR="00275F0E">
        <w:rPr>
          <w:szCs w:val="24"/>
        </w:rPr>
        <w:t xml:space="preserve">. </w:t>
      </w:r>
    </w:p>
    <w:p w:rsidR="00D11BC0" w:rsidP="00D11BC0" w14:paraId="459213D3" w14:textId="77777777">
      <w:pPr>
        <w:widowControl w:val="0"/>
        <w:tabs>
          <w:tab w:val="left" w:pos="540"/>
        </w:tabs>
        <w:rPr>
          <w:szCs w:val="24"/>
        </w:rPr>
      </w:pPr>
    </w:p>
    <w:p w:rsidR="00F267AA" w:rsidRPr="0018423E" w:rsidP="00F267AA" w14:paraId="1D980C0B" w14:textId="64B31B35">
      <w:pPr>
        <w:widowControl w:val="0"/>
        <w:tabs>
          <w:tab w:val="left" w:pos="540"/>
        </w:tabs>
        <w:rPr>
          <w:szCs w:val="24"/>
        </w:rPr>
      </w:pPr>
      <w:r>
        <w:rPr>
          <w:szCs w:val="24"/>
        </w:rPr>
        <w:t xml:space="preserve">The hourly </w:t>
      </w:r>
      <w:r w:rsidR="00275F0E">
        <w:rPr>
          <w:szCs w:val="24"/>
        </w:rPr>
        <w:t>basic rate</w:t>
      </w:r>
      <w:r>
        <w:rPr>
          <w:szCs w:val="24"/>
        </w:rPr>
        <w:t xml:space="preserve"> </w:t>
      </w:r>
      <w:r w:rsidR="00275F0E">
        <w:rPr>
          <w:szCs w:val="24"/>
        </w:rPr>
        <w:t>for a GS-12</w:t>
      </w:r>
      <w:r w:rsidR="009C1D24">
        <w:rPr>
          <w:szCs w:val="24"/>
        </w:rPr>
        <w:t xml:space="preserve"> </w:t>
      </w:r>
      <w:r w:rsidR="00275F0E">
        <w:rPr>
          <w:szCs w:val="24"/>
        </w:rPr>
        <w:t xml:space="preserve">Step 5 </w:t>
      </w:r>
      <w:r>
        <w:rPr>
          <w:szCs w:val="24"/>
        </w:rPr>
        <w:t>was multiplied by a factor of 1.</w:t>
      </w:r>
      <w:r>
        <w:rPr>
          <w:szCs w:val="24"/>
        </w:rPr>
        <w:t>7416</w:t>
      </w:r>
      <w:r>
        <w:rPr>
          <w:szCs w:val="24"/>
        </w:rPr>
        <w:t xml:space="preserve"> to account for the cost of employer-provided benefits.  </w:t>
      </w:r>
      <w:r>
        <w:rPr>
          <w:szCs w:val="24"/>
        </w:rPr>
        <w:t xml:space="preserve">The factor was derived from the BLS </w:t>
      </w:r>
      <w:r>
        <w:rPr>
          <w:i/>
          <w:szCs w:val="24"/>
        </w:rPr>
        <w:t>Employer Costs for Employee Compensation,</w:t>
      </w:r>
      <w:r>
        <w:rPr>
          <w:szCs w:val="24"/>
        </w:rPr>
        <w:t xml:space="preserve"> December 2023. (Table 5: Management, professional, and related occupations, </w:t>
      </w:r>
      <w:hyperlink r:id="rId10" w:history="1">
        <w:r>
          <w:rPr>
            <w:rStyle w:val="Hyperlink"/>
            <w:szCs w:val="24"/>
          </w:rPr>
          <w:t>https://www.bls.gov/news.release/pdf/ecec.pdf</w:t>
        </w:r>
      </w:hyperlink>
      <w:r>
        <w:rPr>
          <w:szCs w:val="24"/>
        </w:rPr>
        <w:t xml:space="preserve">.)  </w:t>
      </w:r>
    </w:p>
    <w:p w:rsidR="00D11BC0" w:rsidP="000A6210" w14:paraId="3B953681" w14:textId="77777777">
      <w:pPr>
        <w:widowControl w:val="0"/>
        <w:tabs>
          <w:tab w:val="left" w:pos="540"/>
        </w:tabs>
        <w:rPr>
          <w:szCs w:val="24"/>
        </w:rPr>
      </w:pPr>
    </w:p>
    <w:p w:rsidR="001D224D" w:rsidP="00B94256" w14:paraId="6658B7CC" w14:textId="77777777">
      <w:pPr>
        <w:widowControl w:val="0"/>
        <w:numPr>
          <w:ilvl w:val="0"/>
          <w:numId w:val="10"/>
        </w:numPr>
        <w:tabs>
          <w:tab w:val="num" w:pos="0"/>
          <w:tab w:val="left" w:pos="540"/>
          <w:tab w:val="clear" w:pos="720"/>
        </w:tabs>
        <w:ind w:left="0" w:firstLine="0"/>
        <w:rPr>
          <w:szCs w:val="24"/>
        </w:rPr>
      </w:pPr>
      <w:r w:rsidRPr="00981917">
        <w:rPr>
          <w:b/>
          <w:szCs w:val="24"/>
          <w:u w:val="single"/>
        </w:rPr>
        <w:t>Explanation of the program change or adjustments</w:t>
      </w:r>
      <w:r w:rsidRPr="00981917">
        <w:rPr>
          <w:b/>
          <w:szCs w:val="24"/>
        </w:rPr>
        <w:t xml:space="preserve">.  </w:t>
      </w:r>
    </w:p>
    <w:p w:rsidR="00745A6A" w:rsidP="000A6210" w14:paraId="748FEB24" w14:textId="77777777">
      <w:pPr>
        <w:widowControl w:val="0"/>
        <w:tabs>
          <w:tab w:val="left" w:pos="540"/>
        </w:tabs>
        <w:rPr>
          <w:szCs w:val="24"/>
        </w:rPr>
      </w:pPr>
      <w:r>
        <w:rPr>
          <w:szCs w:val="24"/>
        </w:rPr>
        <w:t>This is a new collection</w:t>
      </w:r>
      <w:r w:rsidR="0083477A">
        <w:rPr>
          <w:szCs w:val="24"/>
        </w:rPr>
        <w:t xml:space="preserve">. </w:t>
      </w:r>
    </w:p>
    <w:p w:rsidR="001D224D" w:rsidRPr="00981917" w:rsidP="00717B3B" w14:paraId="460672B2" w14:textId="77777777">
      <w:pPr>
        <w:widowControl w:val="0"/>
        <w:tabs>
          <w:tab w:val="left" w:pos="540"/>
        </w:tabs>
        <w:rPr>
          <w:b/>
          <w:szCs w:val="24"/>
        </w:rPr>
      </w:pPr>
      <w:r w:rsidRPr="008B7D43">
        <w:rPr>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6513FF" w:rsidP="000A6210" w14:paraId="006AE172" w14:textId="77777777">
      <w:pPr>
        <w:widowControl w:val="0"/>
        <w:tabs>
          <w:tab w:val="left" w:pos="540"/>
        </w:tabs>
        <w:rPr>
          <w:szCs w:val="24"/>
        </w:rPr>
      </w:pPr>
      <w:r>
        <w:rPr>
          <w:szCs w:val="24"/>
        </w:rPr>
        <w:t>The collections included in this request will not be published.</w:t>
      </w:r>
    </w:p>
    <w:p w:rsidR="007B68C6" w:rsidRPr="00981917" w:rsidP="000A6210" w14:paraId="1F579088" w14:textId="77777777">
      <w:pPr>
        <w:widowControl w:val="0"/>
        <w:tabs>
          <w:tab w:val="left" w:pos="540"/>
        </w:tabs>
        <w:rPr>
          <w:szCs w:val="24"/>
        </w:rPr>
      </w:pPr>
    </w:p>
    <w:p w:rsidR="001D224D" w:rsidRPr="00981917" w:rsidP="000A6210" w14:paraId="7D507B22" w14:textId="77777777">
      <w:pPr>
        <w:widowControl w:val="0"/>
        <w:tabs>
          <w:tab w:val="left" w:pos="540"/>
        </w:tabs>
        <w:rPr>
          <w:color w:val="FF0000"/>
          <w:szCs w:val="24"/>
        </w:rPr>
      </w:pPr>
      <w:r w:rsidRPr="008B7D43">
        <w:rPr>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6513FF" w:rsidRPr="006513FF" w:rsidP="000A6210" w14:paraId="1390C8DE" w14:textId="77777777">
      <w:pPr>
        <w:widowControl w:val="0"/>
        <w:tabs>
          <w:tab w:val="left" w:pos="540"/>
        </w:tabs>
        <w:rPr>
          <w:szCs w:val="24"/>
        </w:rPr>
      </w:pPr>
      <w:r>
        <w:rPr>
          <w:szCs w:val="24"/>
        </w:rPr>
        <w:t xml:space="preserve">This request is not seeking an approval not to display the expiration date of the OMB approval.   </w:t>
      </w:r>
    </w:p>
    <w:p w:rsidR="006513FF" w:rsidRPr="00981917" w:rsidP="000A6210" w14:paraId="3476B21C" w14:textId="77777777">
      <w:pPr>
        <w:widowControl w:val="0"/>
        <w:tabs>
          <w:tab w:val="left" w:pos="540"/>
        </w:tabs>
        <w:rPr>
          <w:b/>
          <w:szCs w:val="24"/>
        </w:rPr>
      </w:pPr>
    </w:p>
    <w:p w:rsidR="001D224D" w:rsidP="007B68C6" w14:paraId="489B9E42" w14:textId="77777777">
      <w:pPr>
        <w:widowControl w:val="0"/>
        <w:numPr>
          <w:ilvl w:val="0"/>
          <w:numId w:val="18"/>
        </w:numPr>
        <w:tabs>
          <w:tab w:val="num" w:pos="0"/>
          <w:tab w:val="left" w:pos="540"/>
          <w:tab w:val="clear" w:pos="900"/>
        </w:tabs>
        <w:ind w:left="0" w:firstLine="0"/>
        <w:rPr>
          <w:b/>
          <w:szCs w:val="24"/>
        </w:rPr>
      </w:pPr>
      <w:r w:rsidRPr="00981917">
        <w:rPr>
          <w:b/>
          <w:szCs w:val="24"/>
          <w:u w:val="single"/>
        </w:rPr>
        <w:t>Exceptions to the certification statement</w:t>
      </w:r>
      <w:r w:rsidRPr="00981917">
        <w:rPr>
          <w:b/>
          <w:szCs w:val="24"/>
        </w:rPr>
        <w:t xml:space="preserve">.  </w:t>
      </w:r>
      <w:r w:rsidRPr="00981917">
        <w:rPr>
          <w:b/>
          <w:szCs w:val="24"/>
        </w:rPr>
        <w:t>EXPLAIN EACH EXCEPTION TO THE CERTIFICATION STATEMENT "CERTIFICATION FOR PAPERWORK REDUCTION ACT SUBMISSIONS</w:t>
      </w:r>
      <w:r w:rsidRPr="00981917">
        <w:rPr>
          <w:b/>
          <w:szCs w:val="24"/>
        </w:rPr>
        <w:t>.</w:t>
      </w:r>
      <w:r w:rsidRPr="00981917">
        <w:rPr>
          <w:b/>
          <w:szCs w:val="24"/>
        </w:rPr>
        <w:t xml:space="preserve">" </w:t>
      </w:r>
    </w:p>
    <w:p w:rsidR="00671D37" w:rsidP="00EC3DF7" w14:paraId="15132BC3" w14:textId="77777777">
      <w:pPr>
        <w:widowControl w:val="0"/>
        <w:tabs>
          <w:tab w:val="left" w:pos="540"/>
        </w:tabs>
        <w:rPr>
          <w:szCs w:val="24"/>
        </w:rPr>
      </w:pPr>
      <w:r>
        <w:rPr>
          <w:szCs w:val="24"/>
        </w:rPr>
        <w:t>There are no exceptions to the certification statement for this information collection request.</w:t>
      </w:r>
    </w:p>
    <w:p w:rsidR="001D224D" w:rsidRPr="00981917" w:rsidP="00B94256" w14:paraId="1B828CE4" w14:textId="77777777">
      <w:pPr>
        <w:widowControl w:val="0"/>
        <w:tabs>
          <w:tab w:val="left" w:pos="0"/>
        </w:tabs>
        <w:rPr>
          <w:szCs w:val="24"/>
        </w:rPr>
      </w:pPr>
    </w:p>
    <w:sectPr w:rsidSect="000673B2">
      <w:headerReference w:type="even" r:id="rId12"/>
      <w:headerReference w:type="default" r:id="rId13"/>
      <w:footerReference w:type="even" r:id="rId14"/>
      <w:footerReference w:type="default" r:id="rId15"/>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42C" w14:paraId="42CD3167"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42C" w14:paraId="242E6E2A"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2182" w14:paraId="7FC5BCB4" w14:textId="77777777">
      <w:r>
        <w:separator/>
      </w:r>
    </w:p>
  </w:footnote>
  <w:footnote w:type="continuationSeparator" w:id="1">
    <w:p w:rsidR="008A2182" w14:paraId="770B083A" w14:textId="77777777">
      <w:r>
        <w:continuationSeparator/>
      </w:r>
    </w:p>
  </w:footnote>
  <w:footnote w:type="continuationNotice" w:id="2">
    <w:p w:rsidR="005F071B" w14:paraId="3AD37203" w14:textId="77777777"/>
  </w:footnote>
  <w:footnote w:id="3">
    <w:p w:rsidR="00FE4A66" w14:paraId="244B91F0" w14:textId="77777777">
      <w:pPr>
        <w:pStyle w:val="FootnoteText"/>
      </w:pPr>
      <w:r>
        <w:rPr>
          <w:rStyle w:val="FootnoteReference"/>
        </w:rPr>
        <w:footnoteRef/>
      </w:r>
      <w:r>
        <w:t xml:space="preserve"> </w:t>
      </w:r>
      <w:r w:rsidRPr="006E297F">
        <w:rPr>
          <w:i/>
          <w:iCs/>
        </w:rPr>
        <w:t xml:space="preserve">See, e.g., </w:t>
      </w:r>
      <w:hyperlink r:id="rId1" w:history="1">
        <w:r w:rsidRPr="00350C0E">
          <w:rPr>
            <w:rStyle w:val="Hyperlink"/>
          </w:rPr>
          <w:t>https://www.transportation.gov/safety</w:t>
        </w:r>
      </w:hyperlink>
      <w:r w:rsidRPr="006E297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42C" w:rsidP="00A40753" w14:paraId="6A2062E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515">
      <w:rPr>
        <w:rStyle w:val="PageNumber"/>
        <w:noProof/>
      </w:rPr>
      <w:t>6</w:t>
    </w:r>
    <w:r>
      <w:rPr>
        <w:rStyle w:val="PageNumber"/>
      </w:rPr>
      <w:fldChar w:fldCharType="end"/>
    </w:r>
  </w:p>
  <w:p w:rsidR="00F6542C" w14:paraId="777FF084" w14:textId="77777777">
    <w:pPr>
      <w:widowControl w:val="0"/>
    </w:pPr>
  </w:p>
  <w:p w:rsidR="00F6542C" w14:paraId="023AF0AB"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42C" w:rsidP="00A40753" w14:paraId="79B06F1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5515">
      <w:rPr>
        <w:rStyle w:val="PageNumber"/>
        <w:noProof/>
      </w:rPr>
      <w:t>5</w:t>
    </w:r>
    <w:r>
      <w:rPr>
        <w:rStyle w:val="PageNumber"/>
      </w:rPr>
      <w:fldChar w:fldCharType="end"/>
    </w:r>
  </w:p>
  <w:p w:rsidR="00F6542C" w14:paraId="00A28101" w14:textId="77777777">
    <w:pPr>
      <w:widowControl w:val="0"/>
    </w:pPr>
  </w:p>
  <w:p w:rsidR="00F6542C" w14:paraId="753BA6F4"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CC5A41E0"/>
    <w:lvl w:ilvl="0">
      <w:start w:val="1"/>
      <w:numFmt w:val="decimal"/>
      <w:lvlText w:val="%1."/>
      <w:lvlJc w:val="left"/>
      <w:pPr>
        <w:tabs>
          <w:tab w:val="num" w:pos="720"/>
        </w:tabs>
        <w:ind w:left="720" w:hanging="360"/>
      </w:pPr>
      <w:rPr>
        <w:rFonts w:hint="default"/>
        <w:b w:val="0"/>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78A7AD2"/>
    <w:multiLevelType w:val="hybridMultilevel"/>
    <w:tmpl w:val="B060CE1C"/>
    <w:lvl w:ilvl="0">
      <w:start w:val="18"/>
      <w:numFmt w:val="decimal"/>
      <w:lvlText w:val="%1."/>
      <w:lvlJc w:val="left"/>
      <w:pPr>
        <w:tabs>
          <w:tab w:val="num" w:pos="900"/>
        </w:tabs>
        <w:ind w:left="900" w:hanging="54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22666D"/>
    <w:multiLevelType w:val="hybridMultilevel"/>
    <w:tmpl w:val="770EDF24"/>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DA40D28"/>
    <w:multiLevelType w:val="hybridMultilevel"/>
    <w:tmpl w:val="F11078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59537953">
    <w:abstractNumId w:val="0"/>
  </w:num>
  <w:num w:numId="2" w16cid:durableId="419762610">
    <w:abstractNumId w:val="1"/>
  </w:num>
  <w:num w:numId="3" w16cid:durableId="464658408">
    <w:abstractNumId w:val="2"/>
  </w:num>
  <w:num w:numId="4" w16cid:durableId="973095275">
    <w:abstractNumId w:val="3"/>
  </w:num>
  <w:num w:numId="5" w16cid:durableId="1582057769">
    <w:abstractNumId w:val="4"/>
  </w:num>
  <w:num w:numId="6" w16cid:durableId="1871532603">
    <w:abstractNumId w:val="5"/>
  </w:num>
  <w:num w:numId="7" w16cid:durableId="2008628182">
    <w:abstractNumId w:val="6"/>
  </w:num>
  <w:num w:numId="8" w16cid:durableId="1037925158">
    <w:abstractNumId w:val="7"/>
  </w:num>
  <w:num w:numId="9" w16cid:durableId="1130825650">
    <w:abstractNumId w:val="21"/>
  </w:num>
  <w:num w:numId="10" w16cid:durableId="1910920228">
    <w:abstractNumId w:val="16"/>
  </w:num>
  <w:num w:numId="11" w16cid:durableId="715155765">
    <w:abstractNumId w:val="18"/>
  </w:num>
  <w:num w:numId="12" w16cid:durableId="1546481702">
    <w:abstractNumId w:val="8"/>
  </w:num>
  <w:num w:numId="13" w16cid:durableId="1003165419">
    <w:abstractNumId w:val="11"/>
  </w:num>
  <w:num w:numId="14" w16cid:durableId="1597904850">
    <w:abstractNumId w:val="14"/>
  </w:num>
  <w:num w:numId="15" w16cid:durableId="145167337">
    <w:abstractNumId w:val="17"/>
  </w:num>
  <w:num w:numId="16" w16cid:durableId="1968274679">
    <w:abstractNumId w:val="12"/>
  </w:num>
  <w:num w:numId="17" w16cid:durableId="1811552428">
    <w:abstractNumId w:val="22"/>
  </w:num>
  <w:num w:numId="18" w16cid:durableId="885750999">
    <w:abstractNumId w:val="15"/>
  </w:num>
  <w:num w:numId="19" w16cid:durableId="450131396">
    <w:abstractNumId w:val="10"/>
  </w:num>
  <w:num w:numId="20" w16cid:durableId="694231770">
    <w:abstractNumId w:val="24"/>
  </w:num>
  <w:num w:numId="21" w16cid:durableId="885683544">
    <w:abstractNumId w:val="13"/>
  </w:num>
  <w:num w:numId="22" w16cid:durableId="111176452">
    <w:abstractNumId w:val="20"/>
  </w:num>
  <w:num w:numId="23" w16cid:durableId="1348873114">
    <w:abstractNumId w:val="9"/>
  </w:num>
  <w:num w:numId="24" w16cid:durableId="2081100563">
    <w:abstractNumId w:val="19"/>
  </w:num>
  <w:num w:numId="25" w16cid:durableId="16397207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049E6"/>
    <w:rsid w:val="000059B1"/>
    <w:rsid w:val="0001346D"/>
    <w:rsid w:val="0001363C"/>
    <w:rsid w:val="000147FC"/>
    <w:rsid w:val="00016E42"/>
    <w:rsid w:val="00017562"/>
    <w:rsid w:val="00024FFA"/>
    <w:rsid w:val="0003006C"/>
    <w:rsid w:val="00032B3D"/>
    <w:rsid w:val="000357A0"/>
    <w:rsid w:val="00037BCF"/>
    <w:rsid w:val="00044C4B"/>
    <w:rsid w:val="00046647"/>
    <w:rsid w:val="000525A0"/>
    <w:rsid w:val="00052F70"/>
    <w:rsid w:val="00057BA0"/>
    <w:rsid w:val="00061066"/>
    <w:rsid w:val="00061FC6"/>
    <w:rsid w:val="00062604"/>
    <w:rsid w:val="000673B2"/>
    <w:rsid w:val="00067B67"/>
    <w:rsid w:val="00072D8D"/>
    <w:rsid w:val="000736A7"/>
    <w:rsid w:val="000738F3"/>
    <w:rsid w:val="00074398"/>
    <w:rsid w:val="00075E63"/>
    <w:rsid w:val="0007609B"/>
    <w:rsid w:val="000773D0"/>
    <w:rsid w:val="00082B4A"/>
    <w:rsid w:val="00086A03"/>
    <w:rsid w:val="00086A06"/>
    <w:rsid w:val="000907D5"/>
    <w:rsid w:val="000945A3"/>
    <w:rsid w:val="0009490E"/>
    <w:rsid w:val="00096128"/>
    <w:rsid w:val="000A2352"/>
    <w:rsid w:val="000A587B"/>
    <w:rsid w:val="000A6210"/>
    <w:rsid w:val="000A6237"/>
    <w:rsid w:val="000A6651"/>
    <w:rsid w:val="000B1FEC"/>
    <w:rsid w:val="000B65C5"/>
    <w:rsid w:val="000C251D"/>
    <w:rsid w:val="000C3F1D"/>
    <w:rsid w:val="000C5B12"/>
    <w:rsid w:val="000D16E2"/>
    <w:rsid w:val="000D190B"/>
    <w:rsid w:val="000D2339"/>
    <w:rsid w:val="000D24CF"/>
    <w:rsid w:val="000D2714"/>
    <w:rsid w:val="000D3A31"/>
    <w:rsid w:val="000D4B7B"/>
    <w:rsid w:val="000D757A"/>
    <w:rsid w:val="000E129F"/>
    <w:rsid w:val="000E56E0"/>
    <w:rsid w:val="000F02F0"/>
    <w:rsid w:val="000F1731"/>
    <w:rsid w:val="000F1912"/>
    <w:rsid w:val="00103F58"/>
    <w:rsid w:val="0010553F"/>
    <w:rsid w:val="00105786"/>
    <w:rsid w:val="00110A2C"/>
    <w:rsid w:val="00110D22"/>
    <w:rsid w:val="00111012"/>
    <w:rsid w:val="00111C90"/>
    <w:rsid w:val="00113953"/>
    <w:rsid w:val="001200ED"/>
    <w:rsid w:val="0012012B"/>
    <w:rsid w:val="001254D8"/>
    <w:rsid w:val="00125C17"/>
    <w:rsid w:val="00126DF0"/>
    <w:rsid w:val="00143869"/>
    <w:rsid w:val="00143A91"/>
    <w:rsid w:val="0014478D"/>
    <w:rsid w:val="00145724"/>
    <w:rsid w:val="00145EE7"/>
    <w:rsid w:val="0014652B"/>
    <w:rsid w:val="00156B0A"/>
    <w:rsid w:val="001602BD"/>
    <w:rsid w:val="00162850"/>
    <w:rsid w:val="00164D5B"/>
    <w:rsid w:val="00167C11"/>
    <w:rsid w:val="00172D7B"/>
    <w:rsid w:val="0018153A"/>
    <w:rsid w:val="0018423E"/>
    <w:rsid w:val="001875DE"/>
    <w:rsid w:val="00193E8E"/>
    <w:rsid w:val="001943C5"/>
    <w:rsid w:val="001A2F5F"/>
    <w:rsid w:val="001A7AFD"/>
    <w:rsid w:val="001B66DD"/>
    <w:rsid w:val="001B74B1"/>
    <w:rsid w:val="001C3932"/>
    <w:rsid w:val="001C56C9"/>
    <w:rsid w:val="001D1C24"/>
    <w:rsid w:val="001D224D"/>
    <w:rsid w:val="001D683D"/>
    <w:rsid w:val="001F223A"/>
    <w:rsid w:val="001F680E"/>
    <w:rsid w:val="00202FF3"/>
    <w:rsid w:val="00207343"/>
    <w:rsid w:val="00207401"/>
    <w:rsid w:val="00214EA1"/>
    <w:rsid w:val="0021667A"/>
    <w:rsid w:val="00216BBD"/>
    <w:rsid w:val="002173E2"/>
    <w:rsid w:val="00220896"/>
    <w:rsid w:val="002231EF"/>
    <w:rsid w:val="00233FD1"/>
    <w:rsid w:val="00240597"/>
    <w:rsid w:val="00243260"/>
    <w:rsid w:val="00244936"/>
    <w:rsid w:val="00246485"/>
    <w:rsid w:val="00250CAF"/>
    <w:rsid w:val="00254AB4"/>
    <w:rsid w:val="0026030E"/>
    <w:rsid w:val="00262265"/>
    <w:rsid w:val="0026368B"/>
    <w:rsid w:val="0026419F"/>
    <w:rsid w:val="00266660"/>
    <w:rsid w:val="00271E38"/>
    <w:rsid w:val="00272DB7"/>
    <w:rsid w:val="00274753"/>
    <w:rsid w:val="00275F0E"/>
    <w:rsid w:val="00281803"/>
    <w:rsid w:val="0028280E"/>
    <w:rsid w:val="00282AD5"/>
    <w:rsid w:val="00282E6B"/>
    <w:rsid w:val="002843AF"/>
    <w:rsid w:val="00285BC2"/>
    <w:rsid w:val="00285FC3"/>
    <w:rsid w:val="002874C2"/>
    <w:rsid w:val="00290CB3"/>
    <w:rsid w:val="00291331"/>
    <w:rsid w:val="002929B0"/>
    <w:rsid w:val="002948BC"/>
    <w:rsid w:val="002958AA"/>
    <w:rsid w:val="00296026"/>
    <w:rsid w:val="002A055E"/>
    <w:rsid w:val="002A1CB8"/>
    <w:rsid w:val="002A3153"/>
    <w:rsid w:val="002A4DFE"/>
    <w:rsid w:val="002A501E"/>
    <w:rsid w:val="002A5A16"/>
    <w:rsid w:val="002A634D"/>
    <w:rsid w:val="002B013D"/>
    <w:rsid w:val="002B135F"/>
    <w:rsid w:val="002B54A1"/>
    <w:rsid w:val="002B6B54"/>
    <w:rsid w:val="002D2A3F"/>
    <w:rsid w:val="002D3A73"/>
    <w:rsid w:val="002E154D"/>
    <w:rsid w:val="002E3119"/>
    <w:rsid w:val="002E31F7"/>
    <w:rsid w:val="002E3F03"/>
    <w:rsid w:val="002E6B51"/>
    <w:rsid w:val="002E75FB"/>
    <w:rsid w:val="002F283D"/>
    <w:rsid w:val="002F5684"/>
    <w:rsid w:val="00301136"/>
    <w:rsid w:val="0030347C"/>
    <w:rsid w:val="0030454E"/>
    <w:rsid w:val="00306A15"/>
    <w:rsid w:val="0030713B"/>
    <w:rsid w:val="00310C19"/>
    <w:rsid w:val="00311384"/>
    <w:rsid w:val="0031308A"/>
    <w:rsid w:val="0031324F"/>
    <w:rsid w:val="0032066F"/>
    <w:rsid w:val="00323F3E"/>
    <w:rsid w:val="00324D2E"/>
    <w:rsid w:val="003261CB"/>
    <w:rsid w:val="003345D8"/>
    <w:rsid w:val="0034160D"/>
    <w:rsid w:val="00342AD1"/>
    <w:rsid w:val="00344CAE"/>
    <w:rsid w:val="00344EB8"/>
    <w:rsid w:val="00345ADE"/>
    <w:rsid w:val="00350C0E"/>
    <w:rsid w:val="003520AC"/>
    <w:rsid w:val="003533E1"/>
    <w:rsid w:val="0035553B"/>
    <w:rsid w:val="00364904"/>
    <w:rsid w:val="00366EDD"/>
    <w:rsid w:val="00375083"/>
    <w:rsid w:val="003825DD"/>
    <w:rsid w:val="00383C3D"/>
    <w:rsid w:val="003848F8"/>
    <w:rsid w:val="00384FA9"/>
    <w:rsid w:val="0038554D"/>
    <w:rsid w:val="00385DEC"/>
    <w:rsid w:val="003928EA"/>
    <w:rsid w:val="00394106"/>
    <w:rsid w:val="0039412D"/>
    <w:rsid w:val="0039436D"/>
    <w:rsid w:val="00394705"/>
    <w:rsid w:val="00397165"/>
    <w:rsid w:val="00397F24"/>
    <w:rsid w:val="003A06A8"/>
    <w:rsid w:val="003B09ED"/>
    <w:rsid w:val="003B73BC"/>
    <w:rsid w:val="003D0A4E"/>
    <w:rsid w:val="003D128E"/>
    <w:rsid w:val="003D3FAD"/>
    <w:rsid w:val="003E0181"/>
    <w:rsid w:val="003E1DB1"/>
    <w:rsid w:val="003E3CD8"/>
    <w:rsid w:val="003E4285"/>
    <w:rsid w:val="003E47E2"/>
    <w:rsid w:val="003E6814"/>
    <w:rsid w:val="003F04F1"/>
    <w:rsid w:val="003F0921"/>
    <w:rsid w:val="003F21BC"/>
    <w:rsid w:val="003F59F8"/>
    <w:rsid w:val="003F7601"/>
    <w:rsid w:val="00400889"/>
    <w:rsid w:val="00403977"/>
    <w:rsid w:val="00410A2E"/>
    <w:rsid w:val="00411F32"/>
    <w:rsid w:val="00412866"/>
    <w:rsid w:val="0041324A"/>
    <w:rsid w:val="00414833"/>
    <w:rsid w:val="004210E8"/>
    <w:rsid w:val="004257EB"/>
    <w:rsid w:val="00427866"/>
    <w:rsid w:val="00431B7C"/>
    <w:rsid w:val="00436CDE"/>
    <w:rsid w:val="00437DF5"/>
    <w:rsid w:val="0044027E"/>
    <w:rsid w:val="00444116"/>
    <w:rsid w:val="00446D6B"/>
    <w:rsid w:val="00447A44"/>
    <w:rsid w:val="00453785"/>
    <w:rsid w:val="004547EA"/>
    <w:rsid w:val="00457F60"/>
    <w:rsid w:val="00463C8A"/>
    <w:rsid w:val="00463ECB"/>
    <w:rsid w:val="00464527"/>
    <w:rsid w:val="004722AC"/>
    <w:rsid w:val="0048262A"/>
    <w:rsid w:val="0048271C"/>
    <w:rsid w:val="00483E00"/>
    <w:rsid w:val="004845F1"/>
    <w:rsid w:val="004874A4"/>
    <w:rsid w:val="00490FF0"/>
    <w:rsid w:val="00492398"/>
    <w:rsid w:val="004A133B"/>
    <w:rsid w:val="004A2D90"/>
    <w:rsid w:val="004A534F"/>
    <w:rsid w:val="004B0581"/>
    <w:rsid w:val="004B41D5"/>
    <w:rsid w:val="004C0640"/>
    <w:rsid w:val="004C4012"/>
    <w:rsid w:val="004C4A46"/>
    <w:rsid w:val="004C5215"/>
    <w:rsid w:val="004C7C2B"/>
    <w:rsid w:val="004D1083"/>
    <w:rsid w:val="004D1AA9"/>
    <w:rsid w:val="004D1E58"/>
    <w:rsid w:val="004D7BD3"/>
    <w:rsid w:val="004E0A52"/>
    <w:rsid w:val="004E26A0"/>
    <w:rsid w:val="004F164A"/>
    <w:rsid w:val="004F248A"/>
    <w:rsid w:val="00503686"/>
    <w:rsid w:val="005039DB"/>
    <w:rsid w:val="005054BC"/>
    <w:rsid w:val="00505D49"/>
    <w:rsid w:val="00505E30"/>
    <w:rsid w:val="00507057"/>
    <w:rsid w:val="005079C2"/>
    <w:rsid w:val="00507C0F"/>
    <w:rsid w:val="00510A26"/>
    <w:rsid w:val="0051357B"/>
    <w:rsid w:val="00514BC2"/>
    <w:rsid w:val="005150DF"/>
    <w:rsid w:val="00517784"/>
    <w:rsid w:val="00520F03"/>
    <w:rsid w:val="00521940"/>
    <w:rsid w:val="00523FCF"/>
    <w:rsid w:val="005249AB"/>
    <w:rsid w:val="00525138"/>
    <w:rsid w:val="0052547C"/>
    <w:rsid w:val="0053423B"/>
    <w:rsid w:val="00535F6A"/>
    <w:rsid w:val="0054079E"/>
    <w:rsid w:val="00542E46"/>
    <w:rsid w:val="005432AF"/>
    <w:rsid w:val="00545227"/>
    <w:rsid w:val="0054529D"/>
    <w:rsid w:val="0055023E"/>
    <w:rsid w:val="00554B80"/>
    <w:rsid w:val="00555AF9"/>
    <w:rsid w:val="00557B08"/>
    <w:rsid w:val="00561E7E"/>
    <w:rsid w:val="00563610"/>
    <w:rsid w:val="00564AA2"/>
    <w:rsid w:val="00564E8A"/>
    <w:rsid w:val="0056762B"/>
    <w:rsid w:val="00571076"/>
    <w:rsid w:val="0057297F"/>
    <w:rsid w:val="005736A2"/>
    <w:rsid w:val="00576631"/>
    <w:rsid w:val="00577B62"/>
    <w:rsid w:val="00581334"/>
    <w:rsid w:val="0058459E"/>
    <w:rsid w:val="00584EB4"/>
    <w:rsid w:val="00591081"/>
    <w:rsid w:val="00594C3E"/>
    <w:rsid w:val="00597118"/>
    <w:rsid w:val="005A0377"/>
    <w:rsid w:val="005A5526"/>
    <w:rsid w:val="005B0506"/>
    <w:rsid w:val="005B6FF3"/>
    <w:rsid w:val="005B758D"/>
    <w:rsid w:val="005C1E2C"/>
    <w:rsid w:val="005D0A71"/>
    <w:rsid w:val="005D1E0A"/>
    <w:rsid w:val="005E0EDE"/>
    <w:rsid w:val="005E3952"/>
    <w:rsid w:val="005F071B"/>
    <w:rsid w:val="005F0AE8"/>
    <w:rsid w:val="005F10C9"/>
    <w:rsid w:val="005F613E"/>
    <w:rsid w:val="00602613"/>
    <w:rsid w:val="00603CB2"/>
    <w:rsid w:val="00604F68"/>
    <w:rsid w:val="00607316"/>
    <w:rsid w:val="00620F79"/>
    <w:rsid w:val="00624048"/>
    <w:rsid w:val="00630348"/>
    <w:rsid w:val="006306BD"/>
    <w:rsid w:val="0063294F"/>
    <w:rsid w:val="00635ABD"/>
    <w:rsid w:val="00636AA0"/>
    <w:rsid w:val="00644489"/>
    <w:rsid w:val="0064547F"/>
    <w:rsid w:val="00645550"/>
    <w:rsid w:val="0064782C"/>
    <w:rsid w:val="00647958"/>
    <w:rsid w:val="00650EA0"/>
    <w:rsid w:val="006513FF"/>
    <w:rsid w:val="00653714"/>
    <w:rsid w:val="006537B8"/>
    <w:rsid w:val="0065710F"/>
    <w:rsid w:val="006615C7"/>
    <w:rsid w:val="00662FEA"/>
    <w:rsid w:val="00663976"/>
    <w:rsid w:val="00664639"/>
    <w:rsid w:val="00671D37"/>
    <w:rsid w:val="006743B3"/>
    <w:rsid w:val="0068048C"/>
    <w:rsid w:val="00681E37"/>
    <w:rsid w:val="00683988"/>
    <w:rsid w:val="0068484D"/>
    <w:rsid w:val="00687C73"/>
    <w:rsid w:val="00691922"/>
    <w:rsid w:val="00692E5A"/>
    <w:rsid w:val="00693C31"/>
    <w:rsid w:val="00695865"/>
    <w:rsid w:val="00696221"/>
    <w:rsid w:val="006A0320"/>
    <w:rsid w:val="006B0EB6"/>
    <w:rsid w:val="006B5210"/>
    <w:rsid w:val="006B749B"/>
    <w:rsid w:val="006C0638"/>
    <w:rsid w:val="006C1DBB"/>
    <w:rsid w:val="006D453F"/>
    <w:rsid w:val="006D527E"/>
    <w:rsid w:val="006D6A8B"/>
    <w:rsid w:val="006E297F"/>
    <w:rsid w:val="006F022F"/>
    <w:rsid w:val="006F6F6F"/>
    <w:rsid w:val="00705BEF"/>
    <w:rsid w:val="007072BF"/>
    <w:rsid w:val="00717B3B"/>
    <w:rsid w:val="00720D5B"/>
    <w:rsid w:val="0072371F"/>
    <w:rsid w:val="00724627"/>
    <w:rsid w:val="00731CCC"/>
    <w:rsid w:val="00731F93"/>
    <w:rsid w:val="00732531"/>
    <w:rsid w:val="00733432"/>
    <w:rsid w:val="00733E58"/>
    <w:rsid w:val="0074072B"/>
    <w:rsid w:val="00743112"/>
    <w:rsid w:val="00745A6A"/>
    <w:rsid w:val="00746852"/>
    <w:rsid w:val="00750A06"/>
    <w:rsid w:val="00752227"/>
    <w:rsid w:val="00757AD7"/>
    <w:rsid w:val="00761AC1"/>
    <w:rsid w:val="00763417"/>
    <w:rsid w:val="00765739"/>
    <w:rsid w:val="007666F7"/>
    <w:rsid w:val="00767A6B"/>
    <w:rsid w:val="00767BF0"/>
    <w:rsid w:val="007717B6"/>
    <w:rsid w:val="00776ABC"/>
    <w:rsid w:val="007802A7"/>
    <w:rsid w:val="00780824"/>
    <w:rsid w:val="00780D11"/>
    <w:rsid w:val="0078271D"/>
    <w:rsid w:val="00783028"/>
    <w:rsid w:val="00785360"/>
    <w:rsid w:val="007857BF"/>
    <w:rsid w:val="00786565"/>
    <w:rsid w:val="00787F4D"/>
    <w:rsid w:val="00790237"/>
    <w:rsid w:val="00790A27"/>
    <w:rsid w:val="00791079"/>
    <w:rsid w:val="00792189"/>
    <w:rsid w:val="007937A4"/>
    <w:rsid w:val="007975AF"/>
    <w:rsid w:val="007A0933"/>
    <w:rsid w:val="007A0A71"/>
    <w:rsid w:val="007A11F2"/>
    <w:rsid w:val="007A2754"/>
    <w:rsid w:val="007B3022"/>
    <w:rsid w:val="007B6267"/>
    <w:rsid w:val="007B68C6"/>
    <w:rsid w:val="007B68D5"/>
    <w:rsid w:val="007C2F1C"/>
    <w:rsid w:val="007C7278"/>
    <w:rsid w:val="007D7C86"/>
    <w:rsid w:val="007D7EDD"/>
    <w:rsid w:val="007E0401"/>
    <w:rsid w:val="007E2D7F"/>
    <w:rsid w:val="007E30D2"/>
    <w:rsid w:val="007E76E3"/>
    <w:rsid w:val="007E7F05"/>
    <w:rsid w:val="007F35E2"/>
    <w:rsid w:val="007F6FE8"/>
    <w:rsid w:val="0080049A"/>
    <w:rsid w:val="00802D6E"/>
    <w:rsid w:val="0080405D"/>
    <w:rsid w:val="0080603E"/>
    <w:rsid w:val="00806DD6"/>
    <w:rsid w:val="008104A4"/>
    <w:rsid w:val="00811808"/>
    <w:rsid w:val="008128D7"/>
    <w:rsid w:val="00817932"/>
    <w:rsid w:val="00824623"/>
    <w:rsid w:val="00824DA3"/>
    <w:rsid w:val="00827A2E"/>
    <w:rsid w:val="00834348"/>
    <w:rsid w:val="0083477A"/>
    <w:rsid w:val="00842407"/>
    <w:rsid w:val="0084254C"/>
    <w:rsid w:val="00842A4D"/>
    <w:rsid w:val="00843930"/>
    <w:rsid w:val="008529A8"/>
    <w:rsid w:val="00856A35"/>
    <w:rsid w:val="008635CE"/>
    <w:rsid w:val="0086766F"/>
    <w:rsid w:val="008723AB"/>
    <w:rsid w:val="00876787"/>
    <w:rsid w:val="00876A94"/>
    <w:rsid w:val="0088177A"/>
    <w:rsid w:val="00884CC5"/>
    <w:rsid w:val="00884CD2"/>
    <w:rsid w:val="00887390"/>
    <w:rsid w:val="0089033E"/>
    <w:rsid w:val="0089036A"/>
    <w:rsid w:val="008A1713"/>
    <w:rsid w:val="008A2182"/>
    <w:rsid w:val="008A2601"/>
    <w:rsid w:val="008A7AB9"/>
    <w:rsid w:val="008B1820"/>
    <w:rsid w:val="008B18B1"/>
    <w:rsid w:val="008B5371"/>
    <w:rsid w:val="008B7D43"/>
    <w:rsid w:val="008C1952"/>
    <w:rsid w:val="008C2CFD"/>
    <w:rsid w:val="008D24A0"/>
    <w:rsid w:val="008D7571"/>
    <w:rsid w:val="008F5725"/>
    <w:rsid w:val="009038BD"/>
    <w:rsid w:val="00910FC7"/>
    <w:rsid w:val="00912BA0"/>
    <w:rsid w:val="00915832"/>
    <w:rsid w:val="0092021E"/>
    <w:rsid w:val="00923112"/>
    <w:rsid w:val="00923555"/>
    <w:rsid w:val="009256EA"/>
    <w:rsid w:val="00930D38"/>
    <w:rsid w:val="00932D53"/>
    <w:rsid w:val="0093512C"/>
    <w:rsid w:val="00936CC3"/>
    <w:rsid w:val="00936FE9"/>
    <w:rsid w:val="00937715"/>
    <w:rsid w:val="0094084B"/>
    <w:rsid w:val="0094760B"/>
    <w:rsid w:val="009503DE"/>
    <w:rsid w:val="00951E2E"/>
    <w:rsid w:val="00954038"/>
    <w:rsid w:val="009543DF"/>
    <w:rsid w:val="00956241"/>
    <w:rsid w:val="00956D33"/>
    <w:rsid w:val="00962EEB"/>
    <w:rsid w:val="00970D00"/>
    <w:rsid w:val="00973E89"/>
    <w:rsid w:val="00977EE8"/>
    <w:rsid w:val="009800F1"/>
    <w:rsid w:val="00981917"/>
    <w:rsid w:val="00983B98"/>
    <w:rsid w:val="009857FB"/>
    <w:rsid w:val="00990FC4"/>
    <w:rsid w:val="00994768"/>
    <w:rsid w:val="00997784"/>
    <w:rsid w:val="00997834"/>
    <w:rsid w:val="009A265F"/>
    <w:rsid w:val="009A292F"/>
    <w:rsid w:val="009A3299"/>
    <w:rsid w:val="009A7ED3"/>
    <w:rsid w:val="009B3673"/>
    <w:rsid w:val="009B50CB"/>
    <w:rsid w:val="009C1D24"/>
    <w:rsid w:val="009D1826"/>
    <w:rsid w:val="009D2B95"/>
    <w:rsid w:val="009D5E24"/>
    <w:rsid w:val="009D7683"/>
    <w:rsid w:val="009E0772"/>
    <w:rsid w:val="009E1D59"/>
    <w:rsid w:val="009E26B1"/>
    <w:rsid w:val="009E2B72"/>
    <w:rsid w:val="009E4902"/>
    <w:rsid w:val="009E49DB"/>
    <w:rsid w:val="009E4A89"/>
    <w:rsid w:val="009F1D14"/>
    <w:rsid w:val="009F2006"/>
    <w:rsid w:val="009F3D0A"/>
    <w:rsid w:val="009F630F"/>
    <w:rsid w:val="00A003A2"/>
    <w:rsid w:val="00A068BB"/>
    <w:rsid w:val="00A1037E"/>
    <w:rsid w:val="00A1758C"/>
    <w:rsid w:val="00A201D6"/>
    <w:rsid w:val="00A24A66"/>
    <w:rsid w:val="00A32459"/>
    <w:rsid w:val="00A32E48"/>
    <w:rsid w:val="00A33682"/>
    <w:rsid w:val="00A3435C"/>
    <w:rsid w:val="00A36661"/>
    <w:rsid w:val="00A37A22"/>
    <w:rsid w:val="00A40753"/>
    <w:rsid w:val="00A42763"/>
    <w:rsid w:val="00A45FCC"/>
    <w:rsid w:val="00A46ADB"/>
    <w:rsid w:val="00A514A3"/>
    <w:rsid w:val="00A514C8"/>
    <w:rsid w:val="00A5273C"/>
    <w:rsid w:val="00A57EAD"/>
    <w:rsid w:val="00A6379C"/>
    <w:rsid w:val="00A71EC0"/>
    <w:rsid w:val="00A71FAA"/>
    <w:rsid w:val="00A73BE7"/>
    <w:rsid w:val="00A75487"/>
    <w:rsid w:val="00A75515"/>
    <w:rsid w:val="00A767C7"/>
    <w:rsid w:val="00A81368"/>
    <w:rsid w:val="00A81529"/>
    <w:rsid w:val="00A83A95"/>
    <w:rsid w:val="00A86046"/>
    <w:rsid w:val="00A90B33"/>
    <w:rsid w:val="00A9348D"/>
    <w:rsid w:val="00A96472"/>
    <w:rsid w:val="00AA0A6F"/>
    <w:rsid w:val="00AA13AB"/>
    <w:rsid w:val="00AA1704"/>
    <w:rsid w:val="00AA2D42"/>
    <w:rsid w:val="00AA39BC"/>
    <w:rsid w:val="00AA3F7A"/>
    <w:rsid w:val="00AA751D"/>
    <w:rsid w:val="00AB5155"/>
    <w:rsid w:val="00AB7AC4"/>
    <w:rsid w:val="00AC512B"/>
    <w:rsid w:val="00AC6B98"/>
    <w:rsid w:val="00AC777F"/>
    <w:rsid w:val="00AD05BD"/>
    <w:rsid w:val="00AD130A"/>
    <w:rsid w:val="00AD24E5"/>
    <w:rsid w:val="00AE0E55"/>
    <w:rsid w:val="00AE1137"/>
    <w:rsid w:val="00AE1694"/>
    <w:rsid w:val="00AE19BD"/>
    <w:rsid w:val="00AE3BD0"/>
    <w:rsid w:val="00AF0344"/>
    <w:rsid w:val="00AF2582"/>
    <w:rsid w:val="00AF583E"/>
    <w:rsid w:val="00AF604A"/>
    <w:rsid w:val="00AF7D52"/>
    <w:rsid w:val="00B01125"/>
    <w:rsid w:val="00B029B8"/>
    <w:rsid w:val="00B0326B"/>
    <w:rsid w:val="00B114B5"/>
    <w:rsid w:val="00B11502"/>
    <w:rsid w:val="00B13073"/>
    <w:rsid w:val="00B13155"/>
    <w:rsid w:val="00B15EA9"/>
    <w:rsid w:val="00B16A3B"/>
    <w:rsid w:val="00B17E93"/>
    <w:rsid w:val="00B21B10"/>
    <w:rsid w:val="00B23ABE"/>
    <w:rsid w:val="00B2436D"/>
    <w:rsid w:val="00B276F5"/>
    <w:rsid w:val="00B34D95"/>
    <w:rsid w:val="00B40E11"/>
    <w:rsid w:val="00B4158B"/>
    <w:rsid w:val="00B43F37"/>
    <w:rsid w:val="00B457EA"/>
    <w:rsid w:val="00B5557F"/>
    <w:rsid w:val="00B556E4"/>
    <w:rsid w:val="00B5657B"/>
    <w:rsid w:val="00B61466"/>
    <w:rsid w:val="00B623C2"/>
    <w:rsid w:val="00B64374"/>
    <w:rsid w:val="00B643A2"/>
    <w:rsid w:val="00B66551"/>
    <w:rsid w:val="00B6665A"/>
    <w:rsid w:val="00B67C88"/>
    <w:rsid w:val="00B67CA5"/>
    <w:rsid w:val="00B67EB6"/>
    <w:rsid w:val="00B74320"/>
    <w:rsid w:val="00B74F11"/>
    <w:rsid w:val="00B761F0"/>
    <w:rsid w:val="00B77506"/>
    <w:rsid w:val="00B77F78"/>
    <w:rsid w:val="00B80193"/>
    <w:rsid w:val="00B828C8"/>
    <w:rsid w:val="00B917F4"/>
    <w:rsid w:val="00B92A6A"/>
    <w:rsid w:val="00B94256"/>
    <w:rsid w:val="00B97699"/>
    <w:rsid w:val="00BA1528"/>
    <w:rsid w:val="00BA4736"/>
    <w:rsid w:val="00BA5F03"/>
    <w:rsid w:val="00BA60B4"/>
    <w:rsid w:val="00BB1A46"/>
    <w:rsid w:val="00BB4AB4"/>
    <w:rsid w:val="00BB58FE"/>
    <w:rsid w:val="00BC1C6F"/>
    <w:rsid w:val="00BC394E"/>
    <w:rsid w:val="00BC7A8D"/>
    <w:rsid w:val="00BD0A4B"/>
    <w:rsid w:val="00BD5FDF"/>
    <w:rsid w:val="00BD7C75"/>
    <w:rsid w:val="00BE2C8F"/>
    <w:rsid w:val="00BE4FBC"/>
    <w:rsid w:val="00BF0AA4"/>
    <w:rsid w:val="00BF16E9"/>
    <w:rsid w:val="00BF19B6"/>
    <w:rsid w:val="00BF2684"/>
    <w:rsid w:val="00BF3119"/>
    <w:rsid w:val="00BF340A"/>
    <w:rsid w:val="00BF3FEB"/>
    <w:rsid w:val="00BF60D5"/>
    <w:rsid w:val="00C00D75"/>
    <w:rsid w:val="00C0163B"/>
    <w:rsid w:val="00C02808"/>
    <w:rsid w:val="00C03498"/>
    <w:rsid w:val="00C04DEE"/>
    <w:rsid w:val="00C11672"/>
    <w:rsid w:val="00C2648A"/>
    <w:rsid w:val="00C314A7"/>
    <w:rsid w:val="00C3484D"/>
    <w:rsid w:val="00C349DC"/>
    <w:rsid w:val="00C35E42"/>
    <w:rsid w:val="00C41697"/>
    <w:rsid w:val="00C42B06"/>
    <w:rsid w:val="00C433E6"/>
    <w:rsid w:val="00C46E4D"/>
    <w:rsid w:val="00C50B19"/>
    <w:rsid w:val="00C50BFC"/>
    <w:rsid w:val="00C522C7"/>
    <w:rsid w:val="00C532BF"/>
    <w:rsid w:val="00C55B53"/>
    <w:rsid w:val="00C55E10"/>
    <w:rsid w:val="00C565BA"/>
    <w:rsid w:val="00C56F3F"/>
    <w:rsid w:val="00C63611"/>
    <w:rsid w:val="00C63B13"/>
    <w:rsid w:val="00C64B71"/>
    <w:rsid w:val="00C65AE6"/>
    <w:rsid w:val="00C67722"/>
    <w:rsid w:val="00C71A04"/>
    <w:rsid w:val="00C74CCA"/>
    <w:rsid w:val="00C7527D"/>
    <w:rsid w:val="00C75D2A"/>
    <w:rsid w:val="00C839E5"/>
    <w:rsid w:val="00C85215"/>
    <w:rsid w:val="00C861B2"/>
    <w:rsid w:val="00C95090"/>
    <w:rsid w:val="00CA2F8F"/>
    <w:rsid w:val="00CA5901"/>
    <w:rsid w:val="00CB1F75"/>
    <w:rsid w:val="00CB30D6"/>
    <w:rsid w:val="00CB44D2"/>
    <w:rsid w:val="00CC04A9"/>
    <w:rsid w:val="00CC1514"/>
    <w:rsid w:val="00CC1EFC"/>
    <w:rsid w:val="00CC4C8E"/>
    <w:rsid w:val="00CD07B4"/>
    <w:rsid w:val="00CD1478"/>
    <w:rsid w:val="00CD2F06"/>
    <w:rsid w:val="00CE14A5"/>
    <w:rsid w:val="00CE48C3"/>
    <w:rsid w:val="00CE7782"/>
    <w:rsid w:val="00CF168D"/>
    <w:rsid w:val="00CF4CB1"/>
    <w:rsid w:val="00D0495E"/>
    <w:rsid w:val="00D05F3A"/>
    <w:rsid w:val="00D06745"/>
    <w:rsid w:val="00D11BC0"/>
    <w:rsid w:val="00D12356"/>
    <w:rsid w:val="00D14093"/>
    <w:rsid w:val="00D14413"/>
    <w:rsid w:val="00D1476A"/>
    <w:rsid w:val="00D2040D"/>
    <w:rsid w:val="00D214A4"/>
    <w:rsid w:val="00D2326C"/>
    <w:rsid w:val="00D25907"/>
    <w:rsid w:val="00D25987"/>
    <w:rsid w:val="00D267F3"/>
    <w:rsid w:val="00D34C30"/>
    <w:rsid w:val="00D3669C"/>
    <w:rsid w:val="00D37B6D"/>
    <w:rsid w:val="00D404C6"/>
    <w:rsid w:val="00D42D11"/>
    <w:rsid w:val="00D478BA"/>
    <w:rsid w:val="00D50419"/>
    <w:rsid w:val="00D50655"/>
    <w:rsid w:val="00D52331"/>
    <w:rsid w:val="00D546F8"/>
    <w:rsid w:val="00D55503"/>
    <w:rsid w:val="00D57454"/>
    <w:rsid w:val="00D63762"/>
    <w:rsid w:val="00D647D4"/>
    <w:rsid w:val="00D67784"/>
    <w:rsid w:val="00D7060E"/>
    <w:rsid w:val="00D735C7"/>
    <w:rsid w:val="00D759FC"/>
    <w:rsid w:val="00D75AFE"/>
    <w:rsid w:val="00D80BA9"/>
    <w:rsid w:val="00D87116"/>
    <w:rsid w:val="00D952B6"/>
    <w:rsid w:val="00D95ED7"/>
    <w:rsid w:val="00DA1B86"/>
    <w:rsid w:val="00DA26B3"/>
    <w:rsid w:val="00DA298F"/>
    <w:rsid w:val="00DA2E75"/>
    <w:rsid w:val="00DA3702"/>
    <w:rsid w:val="00DB0174"/>
    <w:rsid w:val="00DB0C17"/>
    <w:rsid w:val="00DB3FB5"/>
    <w:rsid w:val="00DB406C"/>
    <w:rsid w:val="00DB4683"/>
    <w:rsid w:val="00DB64A1"/>
    <w:rsid w:val="00DB6E97"/>
    <w:rsid w:val="00DB79B4"/>
    <w:rsid w:val="00DC04EE"/>
    <w:rsid w:val="00DC14CA"/>
    <w:rsid w:val="00DC42A0"/>
    <w:rsid w:val="00DD35F4"/>
    <w:rsid w:val="00DD375F"/>
    <w:rsid w:val="00DE110A"/>
    <w:rsid w:val="00DE3587"/>
    <w:rsid w:val="00DE3BB2"/>
    <w:rsid w:val="00DE403C"/>
    <w:rsid w:val="00E038B3"/>
    <w:rsid w:val="00E03924"/>
    <w:rsid w:val="00E07CCF"/>
    <w:rsid w:val="00E11316"/>
    <w:rsid w:val="00E15198"/>
    <w:rsid w:val="00E16B93"/>
    <w:rsid w:val="00E205B5"/>
    <w:rsid w:val="00E224A0"/>
    <w:rsid w:val="00E226CC"/>
    <w:rsid w:val="00E22A14"/>
    <w:rsid w:val="00E244F9"/>
    <w:rsid w:val="00E25C4A"/>
    <w:rsid w:val="00E27B6B"/>
    <w:rsid w:val="00E27C83"/>
    <w:rsid w:val="00E31627"/>
    <w:rsid w:val="00E33ACD"/>
    <w:rsid w:val="00E35C6E"/>
    <w:rsid w:val="00E35D67"/>
    <w:rsid w:val="00E3745C"/>
    <w:rsid w:val="00E37575"/>
    <w:rsid w:val="00E425E4"/>
    <w:rsid w:val="00E43072"/>
    <w:rsid w:val="00E43975"/>
    <w:rsid w:val="00E459F0"/>
    <w:rsid w:val="00E50143"/>
    <w:rsid w:val="00E50617"/>
    <w:rsid w:val="00E50DA4"/>
    <w:rsid w:val="00E51356"/>
    <w:rsid w:val="00E57640"/>
    <w:rsid w:val="00E60E2F"/>
    <w:rsid w:val="00E61621"/>
    <w:rsid w:val="00E61C79"/>
    <w:rsid w:val="00E667FF"/>
    <w:rsid w:val="00E66A09"/>
    <w:rsid w:val="00E67ED3"/>
    <w:rsid w:val="00E752FA"/>
    <w:rsid w:val="00E754C9"/>
    <w:rsid w:val="00E76DB5"/>
    <w:rsid w:val="00E805F4"/>
    <w:rsid w:val="00E84C36"/>
    <w:rsid w:val="00EA0394"/>
    <w:rsid w:val="00EA4541"/>
    <w:rsid w:val="00EA591D"/>
    <w:rsid w:val="00EA5989"/>
    <w:rsid w:val="00EA7689"/>
    <w:rsid w:val="00EB4240"/>
    <w:rsid w:val="00EB5F6B"/>
    <w:rsid w:val="00EC23D6"/>
    <w:rsid w:val="00EC3DF7"/>
    <w:rsid w:val="00EC48E0"/>
    <w:rsid w:val="00EC65BC"/>
    <w:rsid w:val="00EC7D44"/>
    <w:rsid w:val="00ED226F"/>
    <w:rsid w:val="00ED24F2"/>
    <w:rsid w:val="00ED4F84"/>
    <w:rsid w:val="00ED77FB"/>
    <w:rsid w:val="00EE0E65"/>
    <w:rsid w:val="00EE1E06"/>
    <w:rsid w:val="00EE3460"/>
    <w:rsid w:val="00EE44C5"/>
    <w:rsid w:val="00EE5390"/>
    <w:rsid w:val="00EE6BBC"/>
    <w:rsid w:val="00EF014D"/>
    <w:rsid w:val="00EF4FFB"/>
    <w:rsid w:val="00F013F8"/>
    <w:rsid w:val="00F03BBF"/>
    <w:rsid w:val="00F0720D"/>
    <w:rsid w:val="00F12098"/>
    <w:rsid w:val="00F128D2"/>
    <w:rsid w:val="00F138FF"/>
    <w:rsid w:val="00F152AD"/>
    <w:rsid w:val="00F267AA"/>
    <w:rsid w:val="00F2743D"/>
    <w:rsid w:val="00F31288"/>
    <w:rsid w:val="00F350C1"/>
    <w:rsid w:val="00F35805"/>
    <w:rsid w:val="00F3748A"/>
    <w:rsid w:val="00F37D47"/>
    <w:rsid w:val="00F415DF"/>
    <w:rsid w:val="00F422CF"/>
    <w:rsid w:val="00F42E08"/>
    <w:rsid w:val="00F442E7"/>
    <w:rsid w:val="00F44729"/>
    <w:rsid w:val="00F45141"/>
    <w:rsid w:val="00F45271"/>
    <w:rsid w:val="00F4544F"/>
    <w:rsid w:val="00F45A57"/>
    <w:rsid w:val="00F46D26"/>
    <w:rsid w:val="00F4725F"/>
    <w:rsid w:val="00F503D8"/>
    <w:rsid w:val="00F56521"/>
    <w:rsid w:val="00F57B41"/>
    <w:rsid w:val="00F62F8A"/>
    <w:rsid w:val="00F64C9C"/>
    <w:rsid w:val="00F6542C"/>
    <w:rsid w:val="00F67FCC"/>
    <w:rsid w:val="00F702C1"/>
    <w:rsid w:val="00F7389D"/>
    <w:rsid w:val="00F73E29"/>
    <w:rsid w:val="00F75AD0"/>
    <w:rsid w:val="00F75DB2"/>
    <w:rsid w:val="00F80765"/>
    <w:rsid w:val="00F81CA9"/>
    <w:rsid w:val="00F8202B"/>
    <w:rsid w:val="00F83152"/>
    <w:rsid w:val="00F83CF4"/>
    <w:rsid w:val="00F90453"/>
    <w:rsid w:val="00F9313F"/>
    <w:rsid w:val="00F97793"/>
    <w:rsid w:val="00FA6919"/>
    <w:rsid w:val="00FB3572"/>
    <w:rsid w:val="00FB5C1F"/>
    <w:rsid w:val="00FC03A9"/>
    <w:rsid w:val="00FC5765"/>
    <w:rsid w:val="00FC5D6B"/>
    <w:rsid w:val="00FD167E"/>
    <w:rsid w:val="00FD6B9A"/>
    <w:rsid w:val="00FE000A"/>
    <w:rsid w:val="00FE02B2"/>
    <w:rsid w:val="00FE16F5"/>
    <w:rsid w:val="00FE1BFF"/>
    <w:rsid w:val="00FE206B"/>
    <w:rsid w:val="00FE43B7"/>
    <w:rsid w:val="00FE477B"/>
    <w:rsid w:val="00FE4A66"/>
    <w:rsid w:val="00FE6C11"/>
    <w:rsid w:val="00FF50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2B3E597"/>
  <w15:chartTrackingRefBased/>
  <w15:docId w15:val="{F58D5D4E-961D-4494-8A05-7908894B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D9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4FBC"/>
    <w:rPr>
      <w:color w:val="0563C1"/>
      <w:u w:val="single"/>
    </w:rPr>
  </w:style>
  <w:style w:type="character" w:styleId="UnresolvedMention">
    <w:name w:val="Unresolved Mention"/>
    <w:uiPriority w:val="99"/>
    <w:semiHidden/>
    <w:unhideWhenUsed/>
    <w:rsid w:val="00BE4FBC"/>
    <w:rPr>
      <w:color w:val="605E5C"/>
      <w:shd w:val="clear" w:color="auto" w:fill="E1DFDD"/>
    </w:rPr>
  </w:style>
  <w:style w:type="character" w:styleId="CommentReference">
    <w:name w:val="annotation reference"/>
    <w:rsid w:val="00BD0A4B"/>
    <w:rPr>
      <w:sz w:val="16"/>
      <w:szCs w:val="16"/>
    </w:rPr>
  </w:style>
  <w:style w:type="paragraph" w:styleId="CommentText">
    <w:name w:val="annotation text"/>
    <w:basedOn w:val="Normal"/>
    <w:link w:val="CommentTextChar"/>
    <w:uiPriority w:val="99"/>
    <w:rsid w:val="00BD0A4B"/>
    <w:rPr>
      <w:sz w:val="20"/>
    </w:rPr>
  </w:style>
  <w:style w:type="character" w:customStyle="1" w:styleId="CommentTextChar">
    <w:name w:val="Comment Text Char"/>
    <w:basedOn w:val="DefaultParagraphFont"/>
    <w:link w:val="CommentText"/>
    <w:uiPriority w:val="99"/>
    <w:rsid w:val="00BD0A4B"/>
  </w:style>
  <w:style w:type="paragraph" w:styleId="CommentSubject">
    <w:name w:val="annotation subject"/>
    <w:basedOn w:val="CommentText"/>
    <w:next w:val="CommentText"/>
    <w:link w:val="CommentSubjectChar"/>
    <w:rsid w:val="00BD0A4B"/>
    <w:rPr>
      <w:b/>
      <w:bCs/>
    </w:rPr>
  </w:style>
  <w:style w:type="character" w:customStyle="1" w:styleId="CommentSubjectChar">
    <w:name w:val="Comment Subject Char"/>
    <w:link w:val="CommentSubject"/>
    <w:rsid w:val="00BD0A4B"/>
    <w:rPr>
      <w:b/>
      <w:bCs/>
    </w:rPr>
  </w:style>
  <w:style w:type="character" w:styleId="FollowedHyperlink">
    <w:name w:val="FollowedHyperlink"/>
    <w:rsid w:val="009A292F"/>
    <w:rPr>
      <w:color w:val="954F72"/>
      <w:u w:val="single"/>
    </w:rPr>
  </w:style>
  <w:style w:type="paragraph" w:styleId="FootnoteText">
    <w:name w:val="footnote text"/>
    <w:basedOn w:val="Normal"/>
    <w:link w:val="FootnoteTextChar"/>
    <w:rsid w:val="007F35E2"/>
    <w:rPr>
      <w:sz w:val="20"/>
    </w:rPr>
  </w:style>
  <w:style w:type="character" w:customStyle="1" w:styleId="FootnoteTextChar">
    <w:name w:val="Footnote Text Char"/>
    <w:basedOn w:val="DefaultParagraphFont"/>
    <w:link w:val="FootnoteText"/>
    <w:rsid w:val="007F35E2"/>
  </w:style>
  <w:style w:type="character" w:styleId="FootnoteReference">
    <w:name w:val="footnote reference"/>
    <w:rsid w:val="007F35E2"/>
    <w:rPr>
      <w:vertAlign w:val="superscript"/>
    </w:rPr>
  </w:style>
  <w:style w:type="paragraph" w:styleId="Revision">
    <w:name w:val="Revision"/>
    <w:hidden/>
    <w:uiPriority w:val="99"/>
    <w:semiHidden/>
    <w:rsid w:val="003855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2024/general-schedu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research_estimat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transportation.gov/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8" ma:contentTypeDescription="Create a new document." ma:contentTypeScope="" ma:versionID="60f15eb403fd4424fa175972375508ee">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312d2f9e99b0fffeb160c2ed8a1e34d8"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2.xml><?xml version="1.0" encoding="utf-8"?>
<ds:datastoreItem xmlns:ds="http://schemas.openxmlformats.org/officeDocument/2006/customXml" ds:itemID="{07E9E946-D821-4EA1-999E-20F5C046DA05}">
  <ds:schemaRefs>
    <ds:schemaRef ds:uri="http://schemas.openxmlformats.org/officeDocument/2006/bibliography"/>
  </ds:schemaRefs>
</ds:datastoreItem>
</file>

<file path=customXml/itemProps3.xml><?xml version="1.0" encoding="utf-8"?>
<ds:datastoreItem xmlns:ds="http://schemas.openxmlformats.org/officeDocument/2006/customXml" ds:itemID="{108D4463-154B-4B82-95E2-586A53AFA6FC}">
  <ds:schemaRefs>
    <ds:schemaRef ds:uri="b3ce6949-99fe-4549-b75a-2322037c47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3ed583d-7590-47b9-98bc-2af72f9646ac"/>
    <ds:schemaRef ds:uri="http://www.w3.org/XML/1998/namespace"/>
    <ds:schemaRef ds:uri="http://purl.org/dc/dcmitype/"/>
  </ds:schemaRefs>
</ds:datastoreItem>
</file>

<file path=customXml/itemProps4.xml><?xml version="1.0" encoding="utf-8"?>
<ds:datastoreItem xmlns:ds="http://schemas.openxmlformats.org/officeDocument/2006/customXml" ds:itemID="{3C94E0D7-C400-4938-A5C9-5402DD23B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2067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Lewis, Jazmyne (FHWA)</cp:lastModifiedBy>
  <cp:revision>5</cp:revision>
  <cp:lastPrinted>2020-02-07T16:40:00Z</cp:lastPrinted>
  <dcterms:created xsi:type="dcterms:W3CDTF">2024-04-01T18:10:00Z</dcterms:created>
  <dcterms:modified xsi:type="dcterms:W3CDTF">2024-04-01T20:21:00Z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EmailCc">
    <vt:lpwstr/>
  </property>
  <property fmtid="{D5CDD505-2E9C-101B-9397-08002B2CF9AE}" pid="4" name="EmailFrom">
    <vt:lpwstr/>
  </property>
  <property fmtid="{D5CDD505-2E9C-101B-9397-08002B2CF9AE}" pid="5" name="EmailSender">
    <vt:lpwstr/>
  </property>
  <property fmtid="{D5CDD505-2E9C-101B-9397-08002B2CF9AE}" pid="6" name="EmailSubject">
    <vt:lpwstr/>
  </property>
  <property fmtid="{D5CDD505-2E9C-101B-9397-08002B2CF9AE}" pid="7" name="EmailTo">
    <vt:lpwstr/>
  </property>
</Properties>
</file>