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090F" w:rsidRPr="00D8090F" w:rsidP="00D8090F" w14:paraId="7EB4D824" w14:textId="77777777">
      <w:pPr>
        <w:jc w:val="center"/>
        <w:rPr>
          <w:szCs w:val="24"/>
        </w:rPr>
      </w:pPr>
      <w:r w:rsidRPr="00D21C5F">
        <w:rPr>
          <w:rFonts w:ascii="Calibri" w:hAnsi="Calibri"/>
          <w:szCs w:val="24"/>
        </w:rPr>
        <w:fldChar w:fldCharType="begin"/>
      </w:r>
      <w:r w:rsidRPr="00D21C5F" w:rsidR="009F22C0">
        <w:rPr>
          <w:rFonts w:ascii="Calibri" w:hAnsi="Calibri"/>
          <w:szCs w:val="24"/>
        </w:rPr>
        <w:instrText xml:space="preserve"> SEQ CHAPTER \h \r 1</w:instrText>
      </w:r>
      <w:r w:rsidRPr="00D21C5F">
        <w:rPr>
          <w:rFonts w:ascii="Calibri" w:hAnsi="Calibri"/>
          <w:szCs w:val="24"/>
        </w:rPr>
        <w:fldChar w:fldCharType="separate"/>
      </w:r>
      <w:r w:rsidRPr="00D21C5F">
        <w:rPr>
          <w:rFonts w:ascii="Calibri" w:hAnsi="Calibri"/>
          <w:szCs w:val="24"/>
        </w:rPr>
        <w:fldChar w:fldCharType="end"/>
      </w:r>
      <w:r w:rsidRPr="00CD35B6">
        <w:rPr>
          <w:b/>
          <w:bCs/>
          <w:szCs w:val="24"/>
          <w:lang w:val="en-CA"/>
        </w:rPr>
        <w:fldChar w:fldCharType="begin"/>
      </w:r>
      <w:r w:rsidRPr="00CD35B6" w:rsidR="00C941B7">
        <w:rPr>
          <w:b/>
          <w:bCs/>
          <w:szCs w:val="24"/>
          <w:lang w:val="en-CA"/>
        </w:rPr>
        <w:instrText xml:space="preserve"> SEQ CHAPTER \h \r 1</w:instrText>
      </w:r>
      <w:r w:rsidRPr="00CD35B6">
        <w:rPr>
          <w:b/>
          <w:bCs/>
          <w:szCs w:val="24"/>
          <w:lang w:val="en-CA"/>
        </w:rPr>
        <w:fldChar w:fldCharType="separate"/>
      </w:r>
      <w:r w:rsidRPr="00CD35B6">
        <w:rPr>
          <w:b/>
          <w:bCs/>
          <w:szCs w:val="24"/>
          <w:lang w:val="en-CA"/>
        </w:rPr>
        <w:fldChar w:fldCharType="end"/>
      </w:r>
      <w:r w:rsidRPr="00D8090F">
        <w:rPr>
          <w:b/>
          <w:bCs/>
          <w:szCs w:val="24"/>
        </w:rPr>
        <w:t>SUPPORTING JUSTIFICATION – Part A</w:t>
      </w:r>
    </w:p>
    <w:p w:rsidR="00CD08FC" w:rsidP="00CD08FC" w14:paraId="70564CE0" w14:textId="435B4EC4">
      <w:pPr>
        <w:jc w:val="center"/>
        <w:rPr>
          <w:b/>
        </w:rPr>
      </w:pPr>
      <w:r w:rsidRPr="00BE51F8">
        <w:rPr>
          <w:b/>
        </w:rPr>
        <w:t xml:space="preserve">FRA Workforce Development </w:t>
      </w:r>
      <w:r w:rsidR="0001136C">
        <w:rPr>
          <w:b/>
        </w:rPr>
        <w:t xml:space="preserve">Study </w:t>
      </w:r>
      <w:r w:rsidRPr="00BE51F8">
        <w:rPr>
          <w:b/>
        </w:rPr>
        <w:t xml:space="preserve">on </w:t>
      </w:r>
      <w:r>
        <w:rPr>
          <w:b/>
        </w:rPr>
        <w:t>P</w:t>
      </w:r>
      <w:r w:rsidRPr="00BE51F8">
        <w:rPr>
          <w:b/>
        </w:rPr>
        <w:t xml:space="preserve">erformance </w:t>
      </w:r>
    </w:p>
    <w:p w:rsidR="00300F75" w:rsidRPr="00BE51F8" w:rsidP="00CD08FC" w14:paraId="2A5E83CC" w14:textId="3038064C">
      <w:pPr>
        <w:jc w:val="center"/>
        <w:rPr>
          <w:b/>
        </w:rPr>
      </w:pPr>
      <w:bookmarkStart w:id="0" w:name="_Hlk149815608"/>
      <w:r>
        <w:rPr>
          <w:b/>
        </w:rPr>
        <w:t>M</w:t>
      </w:r>
      <w:r w:rsidRPr="00BE51F8">
        <w:rPr>
          <w:b/>
        </w:rPr>
        <w:t xml:space="preserve">anagement </w:t>
      </w:r>
      <w:r>
        <w:rPr>
          <w:b/>
        </w:rPr>
        <w:t>S</w:t>
      </w:r>
      <w:r w:rsidRPr="00BE51F8">
        <w:rPr>
          <w:b/>
        </w:rPr>
        <w:t>ystems</w:t>
      </w:r>
      <w:r w:rsidR="003912DD">
        <w:rPr>
          <w:b/>
        </w:rPr>
        <w:t xml:space="preserve"> and Organizational Culture and Diversity</w:t>
      </w:r>
    </w:p>
    <w:bookmarkEnd w:id="0"/>
    <w:p w:rsidR="00D8090F" w:rsidRPr="00D8090F" w:rsidP="002620CE" w14:paraId="51627A1D" w14:textId="6E61ABB9">
      <w:pPr>
        <w:jc w:val="center"/>
        <w:rPr>
          <w:b/>
          <w:bCs/>
          <w:szCs w:val="24"/>
        </w:rPr>
      </w:pPr>
      <w:r w:rsidRPr="004A584B">
        <w:rPr>
          <w:b/>
          <w:bCs/>
          <w:szCs w:val="24"/>
        </w:rPr>
        <w:t xml:space="preserve">OMB No. </w:t>
      </w:r>
      <w:r w:rsidRPr="004A584B" w:rsidR="00BE090F">
        <w:rPr>
          <w:b/>
          <w:bCs/>
          <w:szCs w:val="24"/>
        </w:rPr>
        <w:t>2130-</w:t>
      </w:r>
      <w:r w:rsidR="004A584B">
        <w:rPr>
          <w:b/>
          <w:bCs/>
          <w:szCs w:val="24"/>
        </w:rPr>
        <w:t>NEW</w:t>
      </w:r>
    </w:p>
    <w:p w:rsidR="003572CB" w:rsidRPr="00D8090F" w:rsidP="003572CB" w14:paraId="09EB42EB" w14:textId="456E369C">
      <w:pPr>
        <w:jc w:val="center"/>
        <w:rPr>
          <w:b/>
          <w:bCs/>
          <w:szCs w:val="24"/>
        </w:rPr>
      </w:pPr>
      <w:bookmarkStart w:id="1" w:name="_Hlk149815623"/>
      <w:r w:rsidRPr="00D8090F">
        <w:rPr>
          <w:b/>
          <w:bCs/>
          <w:szCs w:val="24"/>
        </w:rPr>
        <w:t xml:space="preserve">Form Number </w:t>
      </w:r>
      <w:bookmarkStart w:id="2" w:name="_Hlk126151802"/>
      <w:r w:rsidRPr="00D8090F">
        <w:rPr>
          <w:b/>
          <w:bCs/>
          <w:szCs w:val="24"/>
        </w:rPr>
        <w:t>FRA F 6180.</w:t>
      </w:r>
      <w:r w:rsidR="00AD5094">
        <w:rPr>
          <w:b/>
          <w:bCs/>
          <w:szCs w:val="24"/>
        </w:rPr>
        <w:t>278</w:t>
      </w:r>
      <w:r w:rsidRPr="00D8090F">
        <w:rPr>
          <w:b/>
          <w:bCs/>
          <w:szCs w:val="24"/>
        </w:rPr>
        <w:t xml:space="preserve">; FRA F </w:t>
      </w:r>
      <w:r>
        <w:rPr>
          <w:b/>
          <w:bCs/>
          <w:szCs w:val="24"/>
        </w:rPr>
        <w:t>6</w:t>
      </w:r>
      <w:r w:rsidRPr="00D8090F">
        <w:rPr>
          <w:b/>
          <w:bCs/>
          <w:szCs w:val="24"/>
        </w:rPr>
        <w:t>180.</w:t>
      </w:r>
      <w:bookmarkEnd w:id="2"/>
      <w:r w:rsidR="00AD5094">
        <w:rPr>
          <w:b/>
          <w:bCs/>
          <w:szCs w:val="24"/>
        </w:rPr>
        <w:t>279</w:t>
      </w:r>
    </w:p>
    <w:bookmarkEnd w:id="1"/>
    <w:p w:rsidR="00A34BCE" w:rsidRPr="00CD35B6" w:rsidP="00D8090F" w14:paraId="1CF3B684" w14:textId="77777777">
      <w:pPr>
        <w:jc w:val="center"/>
        <w:rPr>
          <w:b/>
          <w:bCs/>
          <w:szCs w:val="24"/>
        </w:rPr>
      </w:pPr>
    </w:p>
    <w:p w:rsidR="00A34BCE" w:rsidRPr="00CD35B6" w:rsidP="00F7772C" w14:paraId="4CADB00F" w14:textId="77777777">
      <w:pPr>
        <w:ind w:firstLine="720"/>
        <w:rPr>
          <w:szCs w:val="24"/>
          <w:u w:val="single"/>
        </w:rPr>
      </w:pPr>
      <w:r w:rsidRPr="00CD35B6">
        <w:rPr>
          <w:szCs w:val="24"/>
          <w:u w:val="single"/>
        </w:rPr>
        <w:t>Summary of Submission</w:t>
      </w:r>
    </w:p>
    <w:p w:rsidR="00A34BCE" w:rsidRPr="00CD35B6" w:rsidP="00A34BCE" w14:paraId="3E47FB94" w14:textId="77777777">
      <w:pPr>
        <w:ind w:left="720"/>
        <w:rPr>
          <w:szCs w:val="24"/>
          <w:u w:val="single"/>
        </w:rPr>
      </w:pPr>
    </w:p>
    <w:p w:rsidR="0072706C" w:rsidRPr="00AC4603" w:rsidP="00E36D4C" w14:paraId="67BFD6A4" w14:textId="0358E49D">
      <w:pPr>
        <w:widowControl w:val="0"/>
        <w:numPr>
          <w:ilvl w:val="1"/>
          <w:numId w:val="10"/>
        </w:numPr>
      </w:pPr>
      <w:r w:rsidRPr="00AC4603">
        <w:t>This</w:t>
      </w:r>
      <w:r>
        <w:t xml:space="preserve"> submission</w:t>
      </w:r>
      <w:r w:rsidRPr="00AC4603">
        <w:t xml:space="preserve"> is a new collection of information related to </w:t>
      </w:r>
      <w:r w:rsidR="00EE548D">
        <w:t>how restructuring performance management systems can increase diversity in rail</w:t>
      </w:r>
      <w:r w:rsidRPr="00AC4603">
        <w:t xml:space="preserve"> in the U</w:t>
      </w:r>
      <w:r>
        <w:t xml:space="preserve">nited </w:t>
      </w:r>
      <w:r w:rsidRPr="00AC4603">
        <w:t>S</w:t>
      </w:r>
      <w:r>
        <w:t>tates</w:t>
      </w:r>
      <w:r w:rsidRPr="00AC4603">
        <w:t>.</w:t>
      </w:r>
    </w:p>
    <w:p w:rsidR="0072706C" w:rsidRPr="00AC4603" w:rsidP="0072706C" w14:paraId="459A3682" w14:textId="77777777">
      <w:pPr>
        <w:widowControl w:val="0"/>
        <w:ind w:left="1080"/>
      </w:pPr>
    </w:p>
    <w:p w:rsidR="0072706C" w:rsidRPr="00AC4603" w:rsidP="004A584B" w14:paraId="4829E667" w14:textId="2D8FDEA6">
      <w:pPr>
        <w:widowControl w:val="0"/>
        <w:numPr>
          <w:ilvl w:val="1"/>
          <w:numId w:val="10"/>
        </w:numPr>
        <w:tabs>
          <w:tab w:val="clear" w:pos="1080"/>
        </w:tabs>
      </w:pPr>
      <w:r>
        <w:t>The Federal Railroad Administration (</w:t>
      </w:r>
      <w:r w:rsidR="004A584B">
        <w:t>hereafter “</w:t>
      </w:r>
      <w:r>
        <w:t>FRA</w:t>
      </w:r>
      <w:r w:rsidR="004A584B">
        <w:t>” or “the Agency”</w:t>
      </w:r>
      <w:r>
        <w:t>)</w:t>
      </w:r>
      <w:r w:rsidRPr="00AC4603">
        <w:t xml:space="preserve"> published the required 60-day </w:t>
      </w:r>
      <w:r w:rsidR="004A584B">
        <w:t xml:space="preserve">Notice in the </w:t>
      </w:r>
      <w:r w:rsidRPr="004A584B">
        <w:rPr>
          <w:u w:val="single"/>
        </w:rPr>
        <w:t>Federal</w:t>
      </w:r>
      <w:r w:rsidRPr="00AC4603">
        <w:t xml:space="preserve"> </w:t>
      </w:r>
      <w:r w:rsidRPr="004A584B">
        <w:rPr>
          <w:u w:val="single"/>
        </w:rPr>
        <w:t>Register</w:t>
      </w:r>
      <w:r w:rsidRPr="00AC4603">
        <w:t xml:space="preserve"> on</w:t>
      </w:r>
      <w:r>
        <w:t xml:space="preserve"> </w:t>
      </w:r>
      <w:r w:rsidR="004A584B">
        <w:t>April 2, 2024</w:t>
      </w:r>
      <w:r w:rsidRPr="00AC4603">
        <w:t xml:space="preserve">.  </w:t>
      </w:r>
      <w:r w:rsidRPr="00AC4603">
        <w:rPr>
          <w:u w:val="single"/>
        </w:rPr>
        <w:t>See</w:t>
      </w:r>
      <w:r w:rsidRPr="00AC4603">
        <w:t xml:space="preserve"> 8</w:t>
      </w:r>
      <w:r w:rsidR="004A584B">
        <w:t>9 FR 22767</w:t>
      </w:r>
      <w:r w:rsidRPr="00AC4603">
        <w:t xml:space="preserve">.  FRA received </w:t>
      </w:r>
      <w:r w:rsidR="00B658C2">
        <w:t>no</w:t>
      </w:r>
      <w:r w:rsidR="004A584B">
        <w:t xml:space="preserve"> </w:t>
      </w:r>
      <w:r w:rsidRPr="00AC4603">
        <w:t xml:space="preserve">comments in response to this Notice.   </w:t>
      </w:r>
    </w:p>
    <w:p w:rsidR="0072706C" w:rsidRPr="00AC4603" w:rsidP="0072706C" w14:paraId="0A78DAB5" w14:textId="77777777">
      <w:pPr>
        <w:widowControl w:val="0"/>
      </w:pPr>
    </w:p>
    <w:p w:rsidR="0072706C" w:rsidRPr="00AC4603" w:rsidP="0072706C" w14:paraId="596B0AB3" w14:textId="0DDEC587">
      <w:pPr>
        <w:widowControl w:val="0"/>
        <w:numPr>
          <w:ilvl w:val="1"/>
          <w:numId w:val="10"/>
        </w:numPr>
        <w:outlineLvl w:val="0"/>
      </w:pPr>
      <w:r w:rsidRPr="00AC4603">
        <w:t>The total burden hours requested for this</w:t>
      </w:r>
      <w:r w:rsidRPr="00AC4603">
        <w:rPr>
          <w:sz w:val="22"/>
        </w:rPr>
        <w:t xml:space="preserve"> </w:t>
      </w:r>
      <w:r w:rsidRPr="00AC4603">
        <w:t xml:space="preserve">information collection submission is </w:t>
      </w:r>
      <w:r w:rsidR="005B7219">
        <w:t>25</w:t>
      </w:r>
      <w:r w:rsidRPr="00AC4603">
        <w:t xml:space="preserve"> hours.  </w:t>
      </w:r>
    </w:p>
    <w:p w:rsidR="0072706C" w:rsidRPr="00AC4603" w:rsidP="0072706C" w14:paraId="7A8650A9" w14:textId="77777777">
      <w:pPr>
        <w:pStyle w:val="ListParagraph"/>
      </w:pPr>
    </w:p>
    <w:p w:rsidR="0072706C" w:rsidRPr="00AF2953" w:rsidP="0072706C" w14:paraId="0DD16938" w14:textId="637913E6">
      <w:pPr>
        <w:widowControl w:val="0"/>
        <w:numPr>
          <w:ilvl w:val="1"/>
          <w:numId w:val="10"/>
        </w:numPr>
        <w:outlineLvl w:val="0"/>
      </w:pPr>
      <w:r w:rsidRPr="00AC4603">
        <w:t>Total number of responses requested for this submission is</w:t>
      </w:r>
      <w:r w:rsidR="00E36D4C">
        <w:t xml:space="preserve"> </w:t>
      </w:r>
      <w:r w:rsidR="005B7219">
        <w:t>95</w:t>
      </w:r>
      <w:r w:rsidRPr="00AC4603">
        <w:t xml:space="preserve">. </w:t>
      </w:r>
    </w:p>
    <w:p w:rsidR="0072706C" w:rsidP="0072706C" w14:paraId="48170894" w14:textId="77777777">
      <w:pPr>
        <w:widowControl w:val="0"/>
        <w:outlineLvl w:val="0"/>
      </w:pPr>
    </w:p>
    <w:p w:rsidR="0072706C" w:rsidP="0072706C" w14:paraId="36B0E6B0" w14:textId="77777777">
      <w:pPr>
        <w:widowControl w:val="0"/>
        <w:numPr>
          <w:ilvl w:val="1"/>
          <w:numId w:val="10"/>
        </w:numPr>
        <w:rPr>
          <w:szCs w:val="24"/>
        </w:rPr>
      </w:pPr>
      <w:r>
        <w:rPr>
          <w:szCs w:val="24"/>
        </w:rPr>
        <w:t xml:space="preserve">The answer to question </w:t>
      </w:r>
      <w:r>
        <w:rPr>
          <w:szCs w:val="24"/>
          <w:u w:val="single"/>
        </w:rPr>
        <w:t>number 12</w:t>
      </w:r>
      <w:r>
        <w:rPr>
          <w:szCs w:val="24"/>
        </w:rPr>
        <w:t xml:space="preserve"> </w:t>
      </w:r>
      <w:r>
        <w:t xml:space="preserve">itemizes information collection requirements. </w:t>
      </w:r>
    </w:p>
    <w:p w:rsidR="0072706C" w:rsidP="0072706C" w14:paraId="3B8ECE5F" w14:textId="77777777">
      <w:pPr>
        <w:widowControl w:val="0"/>
        <w:outlineLvl w:val="0"/>
      </w:pPr>
    </w:p>
    <w:p w:rsidR="00A34BCE" w:rsidRPr="00CD35B6" w:rsidP="00F7772C" w14:paraId="28507838" w14:textId="1A16F950">
      <w:pPr>
        <w:widowControl w:val="0"/>
        <w:numPr>
          <w:ilvl w:val="0"/>
          <w:numId w:val="11"/>
        </w:numPr>
        <w:ind w:left="0" w:firstLine="0"/>
        <w:rPr>
          <w:szCs w:val="24"/>
        </w:rPr>
      </w:pPr>
      <w:r w:rsidRPr="00CD35B6">
        <w:rPr>
          <w:b/>
          <w:szCs w:val="24"/>
          <w:u w:val="single"/>
        </w:rPr>
        <w:t>Circumstances that make collection of the information necessary</w:t>
      </w:r>
      <w:r w:rsidRPr="00CD35B6">
        <w:rPr>
          <w:b/>
          <w:szCs w:val="24"/>
        </w:rPr>
        <w:t>.</w:t>
      </w:r>
    </w:p>
    <w:p w:rsidR="00A34BCE" w:rsidRPr="00CD35B6" w:rsidP="00A34BCE" w14:paraId="3220D4E9" w14:textId="77777777">
      <w:pPr>
        <w:ind w:left="360" w:hanging="360"/>
        <w:rPr>
          <w:szCs w:val="24"/>
        </w:rPr>
      </w:pPr>
    </w:p>
    <w:p w:rsidR="000C7B5A" w:rsidP="00A04F4C" w14:paraId="0D161D3D" w14:textId="7F8EED66">
      <w:pPr>
        <w:pStyle w:val="BodyTextIndent"/>
      </w:pPr>
      <w:r w:rsidRPr="002620CE">
        <w:t xml:space="preserve">The Federal Railroad Administration Office of Research, Development and Technology (FRA RD&amp;T) is seeking the approval from the Office of Management and Budget (OMB) to conduct a survey designed to </w:t>
      </w:r>
      <w:bookmarkStart w:id="3" w:name="_Hlk126133455"/>
      <w:r w:rsidRPr="002620CE">
        <w:t>understand</w:t>
      </w:r>
      <w:r w:rsidRPr="00DE5D40" w:rsidR="00DE5D40">
        <w:t xml:space="preserve"> </w:t>
      </w:r>
      <w:r w:rsidRPr="002620CE" w:rsidR="00DE5D40">
        <w:t xml:space="preserve">barriers to entry </w:t>
      </w:r>
      <w:r w:rsidR="00FB486C">
        <w:t>that rail stakeholders</w:t>
      </w:r>
      <w:r w:rsidRPr="002620CE" w:rsidR="00DE5D40">
        <w:t xml:space="preserve"> see and experience as impacting minority populations.</w:t>
      </w:r>
      <w:r w:rsidRPr="00DE5D40" w:rsidR="00DE5D40">
        <w:t xml:space="preserve"> </w:t>
      </w:r>
      <w:r w:rsidR="001A50FB">
        <w:t xml:space="preserve"> </w:t>
      </w:r>
      <w:r>
        <w:t>This project is being conducted in response to a Broad Agency Announcement (BAA)</w:t>
      </w:r>
      <w:r w:rsidR="00855B29">
        <w:t xml:space="preserve"> topic</w:t>
      </w:r>
      <w:r w:rsidR="004B7025">
        <w:t xml:space="preserve"> released in 2020</w:t>
      </w:r>
      <w:r>
        <w:t xml:space="preserve"> </w:t>
      </w:r>
      <w:r w:rsidRPr="000C7B5A">
        <w:t>entitled </w:t>
      </w:r>
      <w:r w:rsidR="00855B29">
        <w:t>“</w:t>
      </w:r>
      <w:r w:rsidRPr="000C7B5A">
        <w:t xml:space="preserve">Research </w:t>
      </w:r>
      <w:r w:rsidR="00855B29">
        <w:t>i</w:t>
      </w:r>
      <w:r w:rsidRPr="000C7B5A">
        <w:t>n Response to Railroad Systems Issues Strategic Priorities.</w:t>
      </w:r>
      <w:r w:rsidR="00855B29">
        <w:t>”</w:t>
      </w:r>
      <w:r>
        <w:t xml:space="preserve"> </w:t>
      </w:r>
      <w:r w:rsidR="001A50FB">
        <w:t xml:space="preserve"> </w:t>
      </w:r>
      <w:r>
        <w:t>T</w:t>
      </w:r>
      <w:r w:rsidRPr="000C7B5A">
        <w:t xml:space="preserve">he FRA has released BAAs aimed at workforce training and development, </w:t>
      </w:r>
      <w:r w:rsidR="00855B29">
        <w:t>developing</w:t>
      </w:r>
      <w:r w:rsidRPr="000C7B5A" w:rsidR="00855B29">
        <w:t xml:space="preserve"> </w:t>
      </w:r>
      <w:r w:rsidRPr="000C7B5A">
        <w:t>educational and vocational pipelines, and addressing issues around equity and inclusivity within the</w:t>
      </w:r>
      <w:r w:rsidR="00855B29">
        <w:t xml:space="preserve"> rail</w:t>
      </w:r>
      <w:r w:rsidRPr="000C7B5A">
        <w:t xml:space="preserve"> industry.</w:t>
      </w:r>
      <w:r w:rsidR="00A04F4C">
        <w:t xml:space="preserve"> </w:t>
      </w:r>
      <w:r w:rsidR="004B7025">
        <w:t>E</w:t>
      </w:r>
      <w:r w:rsidRPr="00764B90" w:rsidR="004B7025">
        <w:t xml:space="preserve">xisting research </w:t>
      </w:r>
      <w:r w:rsidR="004B7025">
        <w:t xml:space="preserve">on demographics, organizational </w:t>
      </w:r>
      <w:r w:rsidR="001A50FB">
        <w:t>practices,</w:t>
      </w:r>
      <w:r w:rsidR="004B7025">
        <w:t xml:space="preserve"> and policies, as well as industry culture need </w:t>
      </w:r>
      <w:r w:rsidRPr="00764B90" w:rsidR="004B7025">
        <w:t xml:space="preserve">to be updated to account for the profound changes in employment practices and workforce dynamics in the last </w:t>
      </w:r>
      <w:r w:rsidR="004B7025">
        <w:t>few</w:t>
      </w:r>
      <w:r w:rsidRPr="00764B90" w:rsidR="004B7025">
        <w:t xml:space="preserve"> years with the ongoing COVID-19 pandemic</w:t>
      </w:r>
      <w:r w:rsidR="004B7025">
        <w:t>, inflation, and supply chain issues</w:t>
      </w:r>
      <w:r w:rsidRPr="00764B90" w:rsidR="004B7025">
        <w:t>.</w:t>
      </w:r>
      <w:r w:rsidR="004B7025">
        <w:t xml:space="preserve"> </w:t>
      </w:r>
      <w:r w:rsidR="001A50FB">
        <w:t xml:space="preserve"> </w:t>
      </w:r>
      <w:r w:rsidR="004B7025">
        <w:t>This data collection effort</w:t>
      </w:r>
      <w:r w:rsidRPr="00764B90" w:rsidR="004B7025">
        <w:t xml:space="preserve"> will improve</w:t>
      </w:r>
      <w:r w:rsidR="004B7025">
        <w:t xml:space="preserve"> the</w:t>
      </w:r>
      <w:r w:rsidRPr="00764B90" w:rsidR="004B7025">
        <w:t xml:space="preserve"> </w:t>
      </w:r>
      <w:r w:rsidRPr="00764B90" w:rsidR="004B7025">
        <w:t>understanding of the current state</w:t>
      </w:r>
      <w:r w:rsidR="004B7025">
        <w:t xml:space="preserve"> of the industry and</w:t>
      </w:r>
      <w:r w:rsidRPr="00764B90" w:rsidR="004B7025">
        <w:t xml:space="preserve"> establish a baseline against which to measure impact</w:t>
      </w:r>
      <w:r w:rsidR="004B7025">
        <w:t>.</w:t>
      </w:r>
      <w:r w:rsidRPr="00764B90" w:rsidR="004B7025">
        <w:t xml:space="preserve"> </w:t>
      </w:r>
      <w:r w:rsidR="001A50FB">
        <w:t xml:space="preserve"> </w:t>
      </w:r>
      <w:r w:rsidRPr="002620CE">
        <w:t>According to a Federal Employee Viewpoint Survey (FEVS) administered in 2019, about a third (33.5%) of FRA employees polled did not think policies and programs alone were sufficient to promote diversity in the workplace</w:t>
      </w:r>
      <w:r w:rsidR="003912DD">
        <w:t>.</w:t>
      </w:r>
      <w:r>
        <w:rPr>
          <w:rStyle w:val="FootnoteReference"/>
        </w:rPr>
        <w:footnoteReference w:id="3"/>
      </w:r>
    </w:p>
    <w:p w:rsidR="000C7B5A" w:rsidP="00CD08FC" w14:paraId="0017968D" w14:textId="77777777">
      <w:pPr>
        <w:pStyle w:val="BodyTextIndent"/>
        <w:ind w:left="0"/>
      </w:pPr>
    </w:p>
    <w:p w:rsidR="000C7B5A" w:rsidP="000C7B5A" w14:paraId="277AB4CB" w14:textId="3BE3BBB5">
      <w:pPr>
        <w:pStyle w:val="BodyTextIndent"/>
      </w:pPr>
      <w:r w:rsidRPr="002620CE">
        <w:t xml:space="preserve">At their best, performance management systems can help counteract unconscious bias and facilitate the promotion of underrepresented groups and individuals who have demonstrated an ability to work with and </w:t>
      </w:r>
      <w:r w:rsidR="00B56534">
        <w:t xml:space="preserve">uplift </w:t>
      </w:r>
      <w:r w:rsidRPr="002620CE">
        <w:t xml:space="preserve">colleagues from minority demographics. </w:t>
      </w:r>
      <w:r w:rsidR="001A50FB">
        <w:t xml:space="preserve"> </w:t>
      </w:r>
      <w:r w:rsidRPr="002620CE">
        <w:t>These more equitable practices build more diverse teams which innovate more and make smarter decisions, leading to better business outcomes</w:t>
      </w:r>
      <w:r w:rsidR="003912DD">
        <w:t>.</w:t>
      </w:r>
      <w:r>
        <w:rPr>
          <w:rStyle w:val="FootnoteReference"/>
        </w:rPr>
        <w:footnoteReference w:id="4"/>
      </w:r>
      <w:r w:rsidRPr="00CD08FC" w:rsidR="00A04F4C">
        <w:rPr>
          <w:vertAlign w:val="superscript"/>
        </w:rPr>
        <w:t>,</w:t>
      </w:r>
      <w:r>
        <w:rPr>
          <w:rStyle w:val="FootnoteReference"/>
        </w:rPr>
        <w:footnoteReference w:id="5"/>
      </w:r>
      <w:r w:rsidRPr="002620CE">
        <w:t xml:space="preserve"> </w:t>
      </w:r>
      <w:r w:rsidR="001A50FB">
        <w:t xml:space="preserve"> </w:t>
      </w:r>
      <w:r w:rsidRPr="002620CE">
        <w:t>They also create cultures which attract top-tier talent; a September 2020 Glassdoor survey found that 76</w:t>
      </w:r>
      <w:r w:rsidR="00B658C2">
        <w:t xml:space="preserve"> percent</w:t>
      </w:r>
      <w:r w:rsidRPr="002620CE">
        <w:t xml:space="preserve"> of employees and job seekers said a diverse workforce was important when evaluating companies and job offers</w:t>
      </w:r>
      <w:r>
        <w:rPr>
          <w:rStyle w:val="FootnoteReference"/>
        </w:rPr>
        <w:footnoteReference w:id="6"/>
      </w:r>
      <w:r w:rsidRPr="002620CE">
        <w:t xml:space="preserve">, meaning that organizations must make this a priority to access the full hiring pool. </w:t>
      </w:r>
    </w:p>
    <w:p w:rsidR="000C7B5A" w:rsidP="00A04F4C" w14:paraId="63EE53AD" w14:textId="5E10937B">
      <w:pPr>
        <w:pStyle w:val="BodyTextIndent"/>
      </w:pPr>
    </w:p>
    <w:p w:rsidR="004547A4" w:rsidP="000C7B5A" w14:paraId="3094BCF2" w14:textId="60899926">
      <w:pPr>
        <w:pStyle w:val="BodyTextIndent"/>
      </w:pPr>
      <w:r>
        <w:t>The</w:t>
      </w:r>
      <w:r w:rsidRPr="002620CE" w:rsidR="008A7AB0">
        <w:t xml:space="preserve"> team</w:t>
      </w:r>
      <w:r>
        <w:t xml:space="preserve"> conducting this research</w:t>
      </w:r>
      <w:r w:rsidRPr="002620CE" w:rsidR="008A7AB0">
        <w:t xml:space="preserve"> will</w:t>
      </w:r>
      <w:r w:rsidR="008A7AB0">
        <w:t xml:space="preserve"> survey and</w:t>
      </w:r>
      <w:r w:rsidRPr="002620CE" w:rsidR="008A7AB0">
        <w:t xml:space="preserve"> interview a cross-section of stakeholders familiar with the current culture in rail, including individuals in leadership, about barriers to entry they see and experience as impacting minority populations. </w:t>
      </w:r>
      <w:r w:rsidR="00B658C2">
        <w:t xml:space="preserve"> </w:t>
      </w:r>
      <w:r w:rsidRPr="002620CE" w:rsidR="008A7AB0">
        <w:t xml:space="preserve">Part of </w:t>
      </w:r>
      <w:r>
        <w:t>the</w:t>
      </w:r>
      <w:r w:rsidRPr="002620CE" w:rsidR="008A7AB0">
        <w:t xml:space="preserve"> data analysis will </w:t>
      </w:r>
      <w:r w:rsidR="00180425">
        <w:t xml:space="preserve">examine </w:t>
      </w:r>
      <w:r w:rsidRPr="002620CE" w:rsidR="008A7AB0">
        <w:t>findings by employment position to determine if the views at the executive or managerial levels are similar or shared by individuals in more entry-level positions.</w:t>
      </w:r>
      <w:r>
        <w:t xml:space="preserve"> </w:t>
      </w:r>
      <w:bookmarkEnd w:id="3"/>
      <w:r w:rsidR="001A50FB">
        <w:t xml:space="preserve"> </w:t>
      </w:r>
      <w:r>
        <w:t>The research team</w:t>
      </w:r>
      <w:r w:rsidR="008A7AB0">
        <w:t xml:space="preserve"> will also </w:t>
      </w:r>
      <w:r w:rsidRPr="002620CE" w:rsidR="008A7AB0">
        <w:t>review</w:t>
      </w:r>
      <w:r w:rsidR="008A7AB0">
        <w:t xml:space="preserve"> </w:t>
      </w:r>
      <w:r w:rsidRPr="002620CE" w:rsidR="008A7AB0">
        <w:t>source documents and artifacts which show how a performance management system was designed and how it is intended to work</w:t>
      </w:r>
      <w:r w:rsidR="008A7AB0">
        <w:t xml:space="preserve">. </w:t>
      </w:r>
      <w:r w:rsidR="00170FD3">
        <w:t xml:space="preserve"> </w:t>
      </w:r>
      <w:r>
        <w:t>D</w:t>
      </w:r>
      <w:r w:rsidRPr="002620CE" w:rsidR="008A7AB0">
        <w:t>ata</w:t>
      </w:r>
      <w:r>
        <w:t xml:space="preserve"> will be collected and compiled</w:t>
      </w:r>
      <w:r w:rsidRPr="002620CE" w:rsidR="008A7AB0">
        <w:t xml:space="preserve"> from interviews and focus groups about how well the system functions in practice, whe</w:t>
      </w:r>
      <w:r w:rsidR="00180425">
        <w:t>ther</w:t>
      </w:r>
      <w:r w:rsidRPr="002620CE" w:rsidR="008A7AB0">
        <w:t xml:space="preserve"> the </w:t>
      </w:r>
      <w:r w:rsidR="00180425">
        <w:t>intended use</w:t>
      </w:r>
      <w:r w:rsidRPr="002620CE" w:rsidR="008A7AB0">
        <w:t xml:space="preserve"> differs from </w:t>
      </w:r>
      <w:r w:rsidR="00180425">
        <w:t>actual use</w:t>
      </w:r>
      <w:r w:rsidRPr="002620CE" w:rsidR="008A7AB0">
        <w:t xml:space="preserve">, and </w:t>
      </w:r>
      <w:r w:rsidR="00180425">
        <w:t>whether</w:t>
      </w:r>
      <w:r w:rsidRPr="002620CE" w:rsidR="008A7AB0">
        <w:t xml:space="preserve"> </w:t>
      </w:r>
      <w:r w:rsidR="00180425">
        <w:t>observed</w:t>
      </w:r>
      <w:r w:rsidRPr="002620CE" w:rsidR="008A7AB0">
        <w:t xml:space="preserve"> differences benefit or hinder efficacy in </w:t>
      </w:r>
      <w:r w:rsidR="00180425">
        <w:t xml:space="preserve">recruiting and </w:t>
      </w:r>
      <w:r w:rsidRPr="002620CE" w:rsidR="008A7AB0">
        <w:t>retaining</w:t>
      </w:r>
      <w:r w:rsidR="00180425">
        <w:t xml:space="preserve"> </w:t>
      </w:r>
      <w:r w:rsidRPr="002620CE" w:rsidR="008A7AB0">
        <w:t>diverse talent</w:t>
      </w:r>
      <w:r w:rsidR="008A7AB0">
        <w:t xml:space="preserve">. </w:t>
      </w:r>
    </w:p>
    <w:p w:rsidR="004547A4" w:rsidP="007102C1" w14:paraId="552162A2" w14:textId="77777777">
      <w:pPr>
        <w:pStyle w:val="BodyTextIndent"/>
      </w:pPr>
    </w:p>
    <w:p w:rsidR="00227459" w:rsidP="00227459" w14:paraId="0BD50126" w14:textId="08D4C4D6">
      <w:pPr>
        <w:pStyle w:val="BodyTextIndent"/>
      </w:pPr>
      <w:r>
        <w:t>The</w:t>
      </w:r>
      <w:r w:rsidRPr="002620CE">
        <w:t xml:space="preserve"> project approach focuses on performance management systems </w:t>
      </w:r>
      <w:r>
        <w:t>because there is evidence that organizational culture</w:t>
      </w:r>
      <w:r w:rsidRPr="002620CE">
        <w:t xml:space="preserve"> play</w:t>
      </w:r>
      <w:r>
        <w:t>s a</w:t>
      </w:r>
      <w:r w:rsidRPr="002620CE">
        <w:t xml:space="preserve"> significant role in shaping the industry demographics</w:t>
      </w:r>
      <w:r>
        <w:t xml:space="preserve">. </w:t>
      </w:r>
      <w:r w:rsidR="00B658C2">
        <w:t xml:space="preserve"> </w:t>
      </w:r>
      <w:r w:rsidRPr="00A46976">
        <w:t>Th</w:t>
      </w:r>
      <w:r>
        <w:t>e findings from this research</w:t>
      </w:r>
      <w:r w:rsidRPr="00A46976">
        <w:t xml:space="preserve"> will provide a better understanding of how employees at various levels are affected by performance management systems and </w:t>
      </w:r>
      <w:r>
        <w:t xml:space="preserve">how these systems contribute to </w:t>
      </w:r>
      <w:r w:rsidRPr="00A46976">
        <w:t xml:space="preserve">organizational culture. </w:t>
      </w:r>
      <w:r w:rsidR="00B658C2">
        <w:t xml:space="preserve"> </w:t>
      </w:r>
      <w:r w:rsidR="002961E8">
        <w:t xml:space="preserve">The project team will provide the FRA with </w:t>
      </w:r>
      <w:r w:rsidR="00180425">
        <w:t>data</w:t>
      </w:r>
      <w:r w:rsidRPr="002620CE" w:rsidR="008A7AB0">
        <w:t xml:space="preserve"> and best practices</w:t>
      </w:r>
      <w:r w:rsidR="00180425">
        <w:t xml:space="preserve"> that could be used to recommend</w:t>
      </w:r>
      <w:r w:rsidRPr="002620CE" w:rsidR="008A7AB0">
        <w:t xml:space="preserve"> </w:t>
      </w:r>
      <w:r w:rsidR="00180425">
        <w:t>workforce development initiatives</w:t>
      </w:r>
      <w:r>
        <w:t>, that may affect organizational culture,</w:t>
      </w:r>
      <w:r w:rsidR="00180425">
        <w:t xml:space="preserve"> for rail organizations and other related industries</w:t>
      </w:r>
      <w:r w:rsidRPr="002620CE" w:rsidR="008A7AB0">
        <w:t xml:space="preserve">. </w:t>
      </w:r>
      <w:r w:rsidR="00170FD3">
        <w:t xml:space="preserve"> </w:t>
      </w:r>
      <w:r>
        <w:t xml:space="preserve">Therefore, the research </w:t>
      </w:r>
      <w:r w:rsidRPr="002620CE" w:rsidR="008A7AB0">
        <w:t>will offer novel, actionable solutions for diversifying the rail workforce.</w:t>
      </w:r>
      <w:r w:rsidRPr="00227459">
        <w:t xml:space="preserve"> </w:t>
      </w:r>
    </w:p>
    <w:p w:rsidR="00227459" w:rsidP="00227459" w14:paraId="785183B8" w14:textId="77777777">
      <w:pPr>
        <w:pStyle w:val="BodyTextIndent"/>
      </w:pPr>
    </w:p>
    <w:p w:rsidR="00227459" w:rsidRPr="001C4AC4" w:rsidP="00227459" w14:paraId="2BB4603F" w14:textId="6CD9C836">
      <w:pPr>
        <w:pStyle w:val="BodyTextIndent"/>
      </w:pPr>
      <w:r>
        <w:t>Currently</w:t>
      </w:r>
      <w:r w:rsidRPr="00A46976">
        <w:t xml:space="preserve">, </w:t>
      </w:r>
      <w:r>
        <w:t>there is limited to no information on the effect of performance management systems on organizational culture and diversity in the rail industry</w:t>
      </w:r>
      <w:r w:rsidRPr="00A46976">
        <w:t>.</w:t>
      </w:r>
      <w:r>
        <w:t xml:space="preserve"> </w:t>
      </w:r>
      <w:r w:rsidR="00B658C2">
        <w:t xml:space="preserve"> </w:t>
      </w:r>
      <w:r w:rsidRPr="00A46976">
        <w:t>With this submission, FRA is requesting permission to</w:t>
      </w:r>
      <w:r>
        <w:t xml:space="preserve"> conduct</w:t>
      </w:r>
      <w:r w:rsidRPr="00A46976">
        <w:t xml:space="preserve"> th</w:t>
      </w:r>
      <w:r>
        <w:t>is information collection</w:t>
      </w:r>
      <w:r w:rsidRPr="00A46976">
        <w:t>.</w:t>
      </w:r>
      <w:r w:rsidRPr="00CD35B6">
        <w:t xml:space="preserve"> </w:t>
      </w:r>
      <w:r w:rsidRPr="00CD35B6">
        <w:rPr>
          <w:color w:val="5F497A"/>
        </w:rPr>
        <w:t xml:space="preserve"> </w:t>
      </w:r>
    </w:p>
    <w:p w:rsidR="009F22C0" w:rsidRPr="00CD35B6" w:rsidP="006C6F35" w14:paraId="6C8183CA" w14:textId="77777777">
      <w:pPr>
        <w:pStyle w:val="BodyTextIndent"/>
        <w:ind w:left="0"/>
      </w:pPr>
    </w:p>
    <w:p w:rsidR="00785C4C" w:rsidRPr="00CD35B6" w:rsidP="00255B3F" w14:paraId="3FA9D3AB" w14:textId="77777777">
      <w:pPr>
        <w:widowControl w:val="0"/>
        <w:numPr>
          <w:ilvl w:val="0"/>
          <w:numId w:val="12"/>
        </w:numPr>
        <w:ind w:left="0" w:firstLine="0"/>
        <w:rPr>
          <w:b/>
          <w:szCs w:val="24"/>
        </w:rPr>
      </w:pPr>
      <w:r w:rsidRPr="00CD35B6">
        <w:rPr>
          <w:b/>
          <w:szCs w:val="24"/>
          <w:u w:val="single"/>
        </w:rPr>
        <w:t>How, by whom, and for what purpose the information is to be used</w:t>
      </w:r>
      <w:r w:rsidRPr="00CD35B6">
        <w:rPr>
          <w:b/>
          <w:szCs w:val="24"/>
        </w:rPr>
        <w:t>.</w:t>
      </w:r>
    </w:p>
    <w:p w:rsidR="009F22C0" w:rsidRPr="00CD35B6" w14:paraId="712A278D" w14:textId="77777777">
      <w:pPr>
        <w:widowControl w:val="0"/>
        <w:rPr>
          <w:b/>
          <w:szCs w:val="24"/>
        </w:rPr>
      </w:pPr>
    </w:p>
    <w:p w:rsidR="000C7B5A" w:rsidRPr="002961E8" w:rsidP="000C7B5A" w14:paraId="156B7EC3" w14:textId="07FF6BDE">
      <w:pPr>
        <w:widowControl w:val="0"/>
        <w:ind w:left="720"/>
      </w:pPr>
      <w:r>
        <w:t xml:space="preserve">This is a </w:t>
      </w:r>
      <w:r w:rsidRPr="0A061F14">
        <w:rPr>
          <w:u w:val="single"/>
        </w:rPr>
        <w:t>new</w:t>
      </w:r>
      <w:r>
        <w:t xml:space="preserve"> collection of </w:t>
      </w:r>
      <w:r w:rsidR="00DB7D55">
        <w:t>information and</w:t>
      </w:r>
      <w:r>
        <w:t xml:space="preserve"> is entirely voluntary.</w:t>
      </w:r>
      <w:r w:rsidR="00B658C2">
        <w:t xml:space="preserve"> </w:t>
      </w:r>
      <w:r>
        <w:t xml:space="preserve"> </w:t>
      </w:r>
      <w:r>
        <w:t>The purpose of this study is not to make regulations</w:t>
      </w:r>
      <w:r w:rsidR="000E36BB">
        <w:t xml:space="preserve"> or policies</w:t>
      </w:r>
      <w:r w:rsidR="00A03A9A">
        <w:t>.</w:t>
      </w:r>
      <w:r>
        <w:t xml:space="preserve"> It is to explore and </w:t>
      </w:r>
      <w:r w:rsidR="509B845F">
        <w:t>make preliminary</w:t>
      </w:r>
      <w:r>
        <w:t xml:space="preserve"> recommendations on how industry stakeholders can most effectively hire, develop, promote, and retain diverse and quality talent.</w:t>
      </w:r>
    </w:p>
    <w:p w:rsidR="005C4CC3" w:rsidP="003912DD" w14:paraId="17FC728E" w14:textId="77777777">
      <w:pPr>
        <w:widowControl w:val="0"/>
        <w:ind w:left="720"/>
        <w:rPr>
          <w:szCs w:val="24"/>
        </w:rPr>
      </w:pPr>
    </w:p>
    <w:p w:rsidR="00DB7D55" w:rsidP="00DB7D55" w14:paraId="4AC36210" w14:textId="77777777">
      <w:pPr>
        <w:widowControl w:val="0"/>
        <w:ind w:left="720"/>
        <w:rPr>
          <w:szCs w:val="24"/>
        </w:rPr>
      </w:pPr>
      <w:bookmarkStart w:id="4" w:name="_Hlk149815584"/>
      <w:r w:rsidRPr="00DB7D55">
        <w:rPr>
          <w:szCs w:val="24"/>
        </w:rPr>
        <w:t>The main objectives in this study are to:</w:t>
      </w:r>
    </w:p>
    <w:p w:rsidR="002E64FB" w:rsidRPr="00DB7D55" w:rsidP="00DB7D55" w14:paraId="6E54D4D8" w14:textId="77777777">
      <w:pPr>
        <w:widowControl w:val="0"/>
        <w:ind w:left="720"/>
        <w:rPr>
          <w:szCs w:val="24"/>
        </w:rPr>
      </w:pPr>
    </w:p>
    <w:p w:rsidR="00DB7D55" w:rsidRPr="00477CD8" w:rsidP="00477CD8" w14:paraId="4495EDA8" w14:textId="150841F0">
      <w:pPr>
        <w:pStyle w:val="ListParagraph"/>
        <w:widowControl w:val="0"/>
        <w:numPr>
          <w:ilvl w:val="0"/>
          <w:numId w:val="33"/>
        </w:numPr>
        <w:ind w:left="1170"/>
        <w:rPr>
          <w:szCs w:val="24"/>
        </w:rPr>
      </w:pPr>
      <w:r w:rsidRPr="00477CD8">
        <w:rPr>
          <w:color w:val="0E101A"/>
          <w:szCs w:val="24"/>
        </w:rPr>
        <w:t xml:space="preserve">Expand on </w:t>
      </w:r>
      <w:r w:rsidRPr="00477CD8">
        <w:rPr>
          <w:color w:val="0E101A"/>
          <w:szCs w:val="24"/>
        </w:rPr>
        <w:t>research done to date</w:t>
      </w:r>
      <w:r w:rsidRPr="00477CD8">
        <w:rPr>
          <w:szCs w:val="24"/>
        </w:rPr>
        <w:t xml:space="preserve"> and </w:t>
      </w:r>
      <w:r w:rsidRPr="00477CD8">
        <w:rPr>
          <w:szCs w:val="24"/>
        </w:rPr>
        <w:t xml:space="preserve">to </w:t>
      </w:r>
      <w:r w:rsidRPr="00477CD8">
        <w:rPr>
          <w:szCs w:val="24"/>
        </w:rPr>
        <w:t xml:space="preserve">gain a better understanding of the </w:t>
      </w:r>
      <w:r w:rsidRPr="00477CD8">
        <w:rPr>
          <w:szCs w:val="24"/>
        </w:rPr>
        <w:t>organizational culture</w:t>
      </w:r>
      <w:r w:rsidRPr="00477CD8">
        <w:rPr>
          <w:szCs w:val="24"/>
        </w:rPr>
        <w:t xml:space="preserve"> and </w:t>
      </w:r>
      <w:r w:rsidRPr="00477CD8">
        <w:rPr>
          <w:szCs w:val="24"/>
        </w:rPr>
        <w:t xml:space="preserve">challenges in recruiting and retaining </w:t>
      </w:r>
      <w:r w:rsidRPr="00477CD8">
        <w:rPr>
          <w:szCs w:val="24"/>
        </w:rPr>
        <w:t xml:space="preserve">underrepresented individuals in the </w:t>
      </w:r>
      <w:r w:rsidRPr="00477CD8">
        <w:rPr>
          <w:szCs w:val="24"/>
        </w:rPr>
        <w:t xml:space="preserve">rail </w:t>
      </w:r>
      <w:r w:rsidRPr="00477CD8">
        <w:rPr>
          <w:szCs w:val="24"/>
        </w:rPr>
        <w:t xml:space="preserve">industry; </w:t>
      </w:r>
    </w:p>
    <w:p w:rsidR="00DB7D55" w:rsidRPr="00477CD8" w:rsidP="00477CD8" w14:paraId="46CB2ACF" w14:textId="3432C3A6">
      <w:pPr>
        <w:pStyle w:val="ListParagraph"/>
        <w:widowControl w:val="0"/>
        <w:numPr>
          <w:ilvl w:val="0"/>
          <w:numId w:val="33"/>
        </w:numPr>
        <w:ind w:left="1170"/>
        <w:rPr>
          <w:szCs w:val="24"/>
        </w:rPr>
      </w:pPr>
      <w:r w:rsidRPr="00477CD8">
        <w:rPr>
          <w:szCs w:val="24"/>
        </w:rPr>
        <w:t xml:space="preserve">Understand how employees at various levels are affected by performance management systems and organizational culture; </w:t>
      </w:r>
      <w:r w:rsidR="00253F61">
        <w:rPr>
          <w:szCs w:val="24"/>
        </w:rPr>
        <w:t>and</w:t>
      </w:r>
    </w:p>
    <w:p w:rsidR="00DB7D55" w:rsidRPr="00477CD8" w:rsidP="00477CD8" w14:paraId="7B362CCC" w14:textId="5BBAF540">
      <w:pPr>
        <w:pStyle w:val="ListParagraph"/>
        <w:widowControl w:val="0"/>
        <w:numPr>
          <w:ilvl w:val="0"/>
          <w:numId w:val="33"/>
        </w:numPr>
        <w:ind w:left="1170"/>
        <w:rPr>
          <w:szCs w:val="24"/>
        </w:rPr>
      </w:pPr>
      <w:r w:rsidRPr="00477CD8">
        <w:rPr>
          <w:szCs w:val="24"/>
        </w:rPr>
        <w:t>Examine and</w:t>
      </w:r>
      <w:r w:rsidRPr="00477CD8" w:rsidR="00EC1BC4">
        <w:rPr>
          <w:szCs w:val="24"/>
        </w:rPr>
        <w:t xml:space="preserve"> identify </w:t>
      </w:r>
      <w:r w:rsidRPr="00477CD8">
        <w:rPr>
          <w:szCs w:val="24"/>
        </w:rPr>
        <w:t>best practices</w:t>
      </w:r>
      <w:r w:rsidRPr="00477CD8" w:rsidR="00EC1BC4">
        <w:rPr>
          <w:szCs w:val="24"/>
        </w:rPr>
        <w:t xml:space="preserve"> for</w:t>
      </w:r>
      <w:r w:rsidRPr="00477CD8">
        <w:rPr>
          <w:szCs w:val="24"/>
        </w:rPr>
        <w:t xml:space="preserve"> </w:t>
      </w:r>
      <w:r w:rsidRPr="00477CD8" w:rsidR="00EC1BC4">
        <w:rPr>
          <w:szCs w:val="24"/>
        </w:rPr>
        <w:t xml:space="preserve">the </w:t>
      </w:r>
      <w:r w:rsidRPr="00477CD8">
        <w:rPr>
          <w:szCs w:val="24"/>
        </w:rPr>
        <w:t>use of performance management systems as a tool for equitable and diverse recruitment, development, retention, and promotion</w:t>
      </w:r>
      <w:r w:rsidRPr="00477CD8" w:rsidR="00EC1BC4">
        <w:rPr>
          <w:szCs w:val="24"/>
        </w:rPr>
        <w:t>.</w:t>
      </w:r>
    </w:p>
    <w:p w:rsidR="00DB7D55" w:rsidP="00477CD8" w14:paraId="68619A00" w14:textId="77777777">
      <w:pPr>
        <w:widowControl w:val="0"/>
        <w:ind w:left="1170"/>
        <w:rPr>
          <w:szCs w:val="24"/>
        </w:rPr>
      </w:pPr>
    </w:p>
    <w:p w:rsidR="00362504" w:rsidRPr="00CD35B6" w:rsidP="00CD08FC" w14:paraId="178B3BC7" w14:textId="18BC39BB">
      <w:pPr>
        <w:widowControl w:val="0"/>
        <w:ind w:left="720"/>
        <w:rPr>
          <w:szCs w:val="24"/>
        </w:rPr>
      </w:pPr>
      <w:r w:rsidRPr="00DB7D55">
        <w:rPr>
          <w:szCs w:val="24"/>
        </w:rPr>
        <w:t xml:space="preserve">Primary users </w:t>
      </w:r>
      <w:r w:rsidR="002961E8">
        <w:rPr>
          <w:szCs w:val="24"/>
        </w:rPr>
        <w:t xml:space="preserve">of this information </w:t>
      </w:r>
      <w:r w:rsidRPr="00DB7D55">
        <w:rPr>
          <w:szCs w:val="24"/>
        </w:rPr>
        <w:t xml:space="preserve">will be </w:t>
      </w:r>
      <w:r w:rsidR="00E108C7">
        <w:rPr>
          <w:szCs w:val="24"/>
        </w:rPr>
        <w:t xml:space="preserve">those in the rail </w:t>
      </w:r>
      <w:r w:rsidR="00E42678">
        <w:rPr>
          <w:szCs w:val="24"/>
        </w:rPr>
        <w:t>indu</w:t>
      </w:r>
      <w:r w:rsidR="00E924DA">
        <w:rPr>
          <w:szCs w:val="24"/>
        </w:rPr>
        <w:t>s</w:t>
      </w:r>
      <w:r w:rsidR="00E42678">
        <w:rPr>
          <w:szCs w:val="24"/>
        </w:rPr>
        <w:t>tr</w:t>
      </w:r>
      <w:r w:rsidR="00E108C7">
        <w:rPr>
          <w:szCs w:val="24"/>
        </w:rPr>
        <w:t>y</w:t>
      </w:r>
      <w:r w:rsidRPr="00DB7D55">
        <w:rPr>
          <w:szCs w:val="24"/>
        </w:rPr>
        <w:t>.</w:t>
      </w:r>
      <w:r w:rsidR="00B658C2">
        <w:rPr>
          <w:szCs w:val="24"/>
        </w:rPr>
        <w:t xml:space="preserve"> </w:t>
      </w:r>
      <w:r w:rsidRPr="00DB7D55">
        <w:rPr>
          <w:szCs w:val="24"/>
        </w:rPr>
        <w:t xml:space="preserve"> The findings of this study will provide </w:t>
      </w:r>
      <w:r>
        <w:rPr>
          <w:szCs w:val="24"/>
        </w:rPr>
        <w:t>qualitative data on the current workforce culture in rail and how performance management systems may affect organizational culture</w:t>
      </w:r>
      <w:r w:rsidRPr="00DB7D55">
        <w:rPr>
          <w:szCs w:val="24"/>
        </w:rPr>
        <w:t>.</w:t>
      </w:r>
      <w:r w:rsidR="002961E8">
        <w:rPr>
          <w:szCs w:val="24"/>
        </w:rPr>
        <w:t xml:space="preserve"> </w:t>
      </w:r>
      <w:r w:rsidR="00E924DA">
        <w:rPr>
          <w:szCs w:val="24"/>
        </w:rPr>
        <w:t>Industry stakeholders</w:t>
      </w:r>
      <w:r w:rsidR="00EC1BC4">
        <w:rPr>
          <w:szCs w:val="24"/>
        </w:rPr>
        <w:t xml:space="preserve">, </w:t>
      </w:r>
      <w:r w:rsidR="002961E8">
        <w:rPr>
          <w:szCs w:val="24"/>
        </w:rPr>
        <w:t>FRA RD&amp;T</w:t>
      </w:r>
      <w:r w:rsidR="00EC1BC4">
        <w:rPr>
          <w:szCs w:val="24"/>
        </w:rPr>
        <w:t>,</w:t>
      </w:r>
      <w:r w:rsidR="002961E8">
        <w:rPr>
          <w:szCs w:val="24"/>
        </w:rPr>
        <w:t xml:space="preserve"> and DOT can use this data to identify gaps</w:t>
      </w:r>
      <w:r w:rsidR="00EC1BC4">
        <w:rPr>
          <w:szCs w:val="24"/>
        </w:rPr>
        <w:t xml:space="preserve">, </w:t>
      </w:r>
      <w:r w:rsidR="002961E8">
        <w:rPr>
          <w:szCs w:val="24"/>
        </w:rPr>
        <w:t>develop approaches</w:t>
      </w:r>
      <w:r w:rsidR="00EC1BC4">
        <w:rPr>
          <w:szCs w:val="24"/>
        </w:rPr>
        <w:t xml:space="preserve">, and create </w:t>
      </w:r>
      <w:r w:rsidR="002961E8">
        <w:rPr>
          <w:szCs w:val="24"/>
        </w:rPr>
        <w:t>interventions</w:t>
      </w:r>
      <w:r w:rsidR="00EC1BC4">
        <w:rPr>
          <w:szCs w:val="24"/>
        </w:rPr>
        <w:t>/solutions to enhance workforce development initiatives for underrepresented groups</w:t>
      </w:r>
      <w:r w:rsidR="002961E8">
        <w:rPr>
          <w:szCs w:val="24"/>
        </w:rPr>
        <w:t xml:space="preserve">. </w:t>
      </w:r>
    </w:p>
    <w:bookmarkEnd w:id="4"/>
    <w:p w:rsidR="005930C8" w:rsidRPr="00CD35B6" w:rsidP="00255B3F" w14:paraId="19964910" w14:textId="77777777">
      <w:pPr>
        <w:widowControl w:val="0"/>
        <w:numPr>
          <w:ilvl w:val="0"/>
          <w:numId w:val="12"/>
        </w:numPr>
        <w:autoSpaceDE w:val="0"/>
        <w:autoSpaceDN w:val="0"/>
        <w:adjustRightInd w:val="0"/>
        <w:ind w:left="0" w:firstLine="0"/>
        <w:rPr>
          <w:b/>
          <w:szCs w:val="24"/>
        </w:rPr>
      </w:pPr>
      <w:r w:rsidRPr="00CD35B6">
        <w:rPr>
          <w:b/>
          <w:szCs w:val="24"/>
          <w:u w:val="single"/>
        </w:rPr>
        <w:t>Extent of automated information collection</w:t>
      </w:r>
      <w:r w:rsidRPr="00CD35B6">
        <w:rPr>
          <w:b/>
          <w:szCs w:val="24"/>
        </w:rPr>
        <w:t>.</w:t>
      </w:r>
    </w:p>
    <w:p w:rsidR="0009657B" w:rsidRPr="00CD35B6" w14:paraId="357DAA21" w14:textId="77777777">
      <w:pPr>
        <w:widowControl w:val="0"/>
        <w:rPr>
          <w:b/>
          <w:szCs w:val="24"/>
        </w:rPr>
      </w:pPr>
    </w:p>
    <w:p w:rsidR="005B011F" w:rsidRPr="00F507BA" w:rsidP="005B011F" w14:paraId="3413FC0C" w14:textId="499C886E">
      <w:pPr>
        <w:widowControl w:val="0"/>
        <w:ind w:left="720"/>
        <w:rPr>
          <w:szCs w:val="24"/>
        </w:rPr>
      </w:pPr>
      <w:r w:rsidRPr="00F507BA">
        <w:rPr>
          <w:szCs w:val="24"/>
        </w:rPr>
        <w:t xml:space="preserve">FRA estimates that approximately </w:t>
      </w:r>
      <w:r>
        <w:rPr>
          <w:szCs w:val="24"/>
        </w:rPr>
        <w:t>100</w:t>
      </w:r>
      <w:r w:rsidRPr="00F507BA">
        <w:rPr>
          <w:szCs w:val="24"/>
        </w:rPr>
        <w:t xml:space="preserve"> percent of all responses are completed electronically</w:t>
      </w:r>
      <w:r>
        <w:rPr>
          <w:szCs w:val="24"/>
        </w:rPr>
        <w:t xml:space="preserve">.  </w:t>
      </w:r>
      <w:r w:rsidRPr="00F507BA">
        <w:rPr>
          <w:szCs w:val="24"/>
        </w:rPr>
        <w:t xml:space="preserve">FRA strongly encourages the use of advanced information technology, wherever feasible, to reduce burden on respondents. </w:t>
      </w:r>
    </w:p>
    <w:p w:rsidR="005B011F" w:rsidP="005B011F" w14:paraId="7DB923BC" w14:textId="77777777">
      <w:pPr>
        <w:widowControl w:val="0"/>
        <w:ind w:left="720"/>
        <w:rPr>
          <w:szCs w:val="24"/>
        </w:rPr>
      </w:pPr>
    </w:p>
    <w:p w:rsidR="00DB7D55" w:rsidP="00AA6E04" w14:paraId="30F47A1F" w14:textId="5B6A5142">
      <w:pPr>
        <w:widowControl w:val="0"/>
        <w:ind w:left="720"/>
        <w:rPr>
          <w:szCs w:val="24"/>
        </w:rPr>
      </w:pPr>
      <w:r w:rsidRPr="00DB7D55">
        <w:rPr>
          <w:szCs w:val="24"/>
        </w:rPr>
        <w:t xml:space="preserve">The primary planned distribution method </w:t>
      </w:r>
      <w:r w:rsidR="00AA6E04">
        <w:rPr>
          <w:szCs w:val="24"/>
        </w:rPr>
        <w:t>of the</w:t>
      </w:r>
      <w:r>
        <w:rPr>
          <w:szCs w:val="24"/>
        </w:rPr>
        <w:t xml:space="preserve"> web-based survey is via a URL distributed through email</w:t>
      </w:r>
      <w:r w:rsidRPr="00DB7D55">
        <w:rPr>
          <w:szCs w:val="24"/>
        </w:rPr>
        <w:t>. We considered all ways to use information technology to reduce the burden of information collection. The online option in the invitation letter eases the burden on the respondent, by not requiring him/her to mail back an envelope</w:t>
      </w:r>
      <w:r w:rsidR="00A03A9A">
        <w:rPr>
          <w:szCs w:val="24"/>
        </w:rPr>
        <w:t>. Additionally, an electronic form reduce</w:t>
      </w:r>
      <w:r w:rsidR="00C24DAA">
        <w:rPr>
          <w:szCs w:val="24"/>
        </w:rPr>
        <w:t>s</w:t>
      </w:r>
      <w:r w:rsidR="00A03A9A">
        <w:rPr>
          <w:szCs w:val="24"/>
        </w:rPr>
        <w:t xml:space="preserve"> potential errors in data processing. </w:t>
      </w:r>
      <w:r w:rsidR="00B658C2">
        <w:rPr>
          <w:szCs w:val="24"/>
        </w:rPr>
        <w:t xml:space="preserve"> </w:t>
      </w:r>
      <w:r w:rsidRPr="00DB7D55">
        <w:rPr>
          <w:szCs w:val="24"/>
        </w:rPr>
        <w:t xml:space="preserve">The web-based version of the survey will be hosted on an Internet survey platform, such as </w:t>
      </w:r>
      <w:r>
        <w:rPr>
          <w:szCs w:val="24"/>
        </w:rPr>
        <w:t>Google Forms</w:t>
      </w:r>
      <w:r w:rsidRPr="00DB7D55">
        <w:rPr>
          <w:szCs w:val="24"/>
        </w:rPr>
        <w:t>, Survey Gizmo, Qualtrix, or Survey Monkey.</w:t>
      </w:r>
      <w:r w:rsidR="008C4011">
        <w:rPr>
          <w:szCs w:val="24"/>
        </w:rPr>
        <w:t xml:space="preserve"> The survey will be something that can also be completed on a mobile phone that has </w:t>
      </w:r>
      <w:r w:rsidR="00B658C2">
        <w:rPr>
          <w:szCs w:val="24"/>
        </w:rPr>
        <w:t>Wi-Fi</w:t>
      </w:r>
      <w:r w:rsidR="004547A4">
        <w:rPr>
          <w:szCs w:val="24"/>
        </w:rPr>
        <w:t xml:space="preserve"> or internet access</w:t>
      </w:r>
      <w:r w:rsidR="008C4011">
        <w:rPr>
          <w:szCs w:val="24"/>
        </w:rPr>
        <w:t>.</w:t>
      </w:r>
    </w:p>
    <w:p w:rsidR="00AA6E04" w:rsidP="00AA6E04" w14:paraId="2DFDD1B4" w14:textId="77777777">
      <w:pPr>
        <w:widowControl w:val="0"/>
        <w:ind w:left="720"/>
        <w:rPr>
          <w:szCs w:val="24"/>
        </w:rPr>
      </w:pPr>
    </w:p>
    <w:p w:rsidR="00AA6E04" w:rsidRPr="00434B70" w:rsidP="00AA6E04" w14:paraId="7D62A314" w14:textId="3E0B87EC">
      <w:pPr>
        <w:pStyle w:val="BodyText"/>
        <w:spacing w:after="0"/>
        <w:ind w:left="720"/>
      </w:pPr>
      <w:r>
        <w:t>Interviews</w:t>
      </w:r>
      <w:r w:rsidR="00C807A3">
        <w:t xml:space="preserve"> and/or focus groups</w:t>
      </w:r>
      <w:r>
        <w:t xml:space="preserve"> will only be conducted after the surveys have been administered to further understand themes that emerged from the surveys. </w:t>
      </w:r>
      <w:r w:rsidR="00B658C2">
        <w:t xml:space="preserve"> </w:t>
      </w:r>
      <w:r w:rsidR="00C807A3">
        <w:t>T</w:t>
      </w:r>
      <w:r w:rsidRPr="00434B70">
        <w:t>he</w:t>
      </w:r>
      <w:r w:rsidR="008C4011">
        <w:t xml:space="preserve"> research team</w:t>
      </w:r>
      <w:r w:rsidRPr="00434B70">
        <w:t xml:space="preserve"> will collect qualitative anecdotal information</w:t>
      </w:r>
      <w:r>
        <w:t xml:space="preserve"> regarding their experiences with performance management systems and organizational culture</w:t>
      </w:r>
      <w:r w:rsidRPr="00434B70">
        <w:t xml:space="preserve"> through in-depth </w:t>
      </w:r>
      <w:r w:rsidR="002465A5">
        <w:t>virtual webinar</w:t>
      </w:r>
      <w:r w:rsidRPr="00434B70">
        <w:t xml:space="preserve"> focus groups</w:t>
      </w:r>
      <w:r w:rsidR="00C807A3">
        <w:t xml:space="preserve"> or </w:t>
      </w:r>
      <w:r w:rsidR="002465A5">
        <w:t xml:space="preserve">virtual </w:t>
      </w:r>
      <w:r w:rsidR="00C807A3">
        <w:t>interviews</w:t>
      </w:r>
      <w:r w:rsidRPr="00434B70">
        <w:t xml:space="preserve"> </w:t>
      </w:r>
      <w:r>
        <w:t>of rail stakeholders at various levels</w:t>
      </w:r>
      <w:r w:rsidRPr="00434B70">
        <w:t xml:space="preserve">. </w:t>
      </w:r>
      <w:r w:rsidR="00B658C2">
        <w:t xml:space="preserve"> </w:t>
      </w:r>
      <w:r w:rsidRPr="00434B70">
        <w:t>The webinar technology will reduce cost and burden for respondents</w:t>
      </w:r>
      <w:r w:rsidR="00A03A9A">
        <w:t xml:space="preserve"> as they will not need to incur any travel costs, take time off work, etc. to participate.</w:t>
      </w:r>
    </w:p>
    <w:p w:rsidR="00477CD8" w:rsidP="00477CD8" w14:paraId="69EEFE97" w14:textId="77777777">
      <w:pPr>
        <w:widowControl w:val="0"/>
        <w:autoSpaceDE w:val="0"/>
        <w:autoSpaceDN w:val="0"/>
        <w:adjustRightInd w:val="0"/>
        <w:ind w:left="360"/>
        <w:rPr>
          <w:b/>
          <w:szCs w:val="24"/>
          <w:u w:val="single"/>
        </w:rPr>
      </w:pPr>
    </w:p>
    <w:p w:rsidR="005B0884" w:rsidRPr="00477CD8" w:rsidP="00477CD8" w14:paraId="20F715C0" w14:textId="78727BBB">
      <w:pPr>
        <w:widowControl w:val="0"/>
        <w:autoSpaceDE w:val="0"/>
        <w:autoSpaceDN w:val="0"/>
        <w:adjustRightInd w:val="0"/>
        <w:rPr>
          <w:b/>
          <w:szCs w:val="24"/>
        </w:rPr>
      </w:pPr>
      <w:r>
        <w:rPr>
          <w:b/>
          <w:szCs w:val="24"/>
        </w:rPr>
        <w:t xml:space="preserve">4. </w:t>
      </w:r>
      <w:r>
        <w:rPr>
          <w:b/>
          <w:szCs w:val="24"/>
        </w:rPr>
        <w:tab/>
      </w:r>
      <w:r w:rsidRPr="00477CD8">
        <w:rPr>
          <w:b/>
          <w:szCs w:val="24"/>
          <w:u w:val="single"/>
        </w:rPr>
        <w:t>Efforts to identify duplication</w:t>
      </w:r>
      <w:r w:rsidRPr="00477CD8">
        <w:rPr>
          <w:b/>
          <w:szCs w:val="24"/>
        </w:rPr>
        <w:t>.</w:t>
      </w:r>
    </w:p>
    <w:p w:rsidR="009F22C0" w:rsidRPr="00CD35B6" w14:paraId="420A2338" w14:textId="77777777">
      <w:pPr>
        <w:widowControl w:val="0"/>
        <w:rPr>
          <w:b/>
          <w:szCs w:val="24"/>
        </w:rPr>
      </w:pPr>
    </w:p>
    <w:p w:rsidR="00917469" w:rsidP="00F65DCC" w14:paraId="19F5E53A" w14:textId="2D83B7AA">
      <w:pPr>
        <w:widowControl w:val="0"/>
        <w:ind w:left="720"/>
        <w:rPr>
          <w:szCs w:val="24"/>
        </w:rPr>
      </w:pPr>
      <w:r w:rsidRPr="00AA6E04">
        <w:rPr>
          <w:szCs w:val="24"/>
        </w:rPr>
        <w:t>To FRA’s knowledge, this is the first data collection effort of its kind</w:t>
      </w:r>
      <w:r w:rsidR="008C4011">
        <w:rPr>
          <w:szCs w:val="24"/>
        </w:rPr>
        <w:t xml:space="preserve"> being funded by the agency. </w:t>
      </w:r>
      <w:r w:rsidR="00B658C2">
        <w:rPr>
          <w:szCs w:val="24"/>
        </w:rPr>
        <w:t xml:space="preserve"> </w:t>
      </w:r>
      <w:r w:rsidR="008C4011">
        <w:rPr>
          <w:szCs w:val="24"/>
        </w:rPr>
        <w:t xml:space="preserve">Related research </w:t>
      </w:r>
      <w:r w:rsidR="00576B83">
        <w:rPr>
          <w:szCs w:val="24"/>
        </w:rPr>
        <w:t>was</w:t>
      </w:r>
      <w:r w:rsidR="008C4011">
        <w:rPr>
          <w:szCs w:val="24"/>
        </w:rPr>
        <w:t xml:space="preserve"> conducted by Rust and Mundy (2020),</w:t>
      </w:r>
      <w:r w:rsidR="00576B83">
        <w:rPr>
          <w:szCs w:val="24"/>
        </w:rPr>
        <w:t xml:space="preserve"> who found using an anonymous data collection that women felt that organizational culture contributed to lack of diversity in the rail industry.</w:t>
      </w:r>
      <w:r w:rsidR="008C4011">
        <w:rPr>
          <w:szCs w:val="24"/>
        </w:rPr>
        <w:t xml:space="preserve"> </w:t>
      </w:r>
      <w:r w:rsidR="002238B1">
        <w:rPr>
          <w:szCs w:val="24"/>
        </w:rPr>
        <w:t xml:space="preserve"> </w:t>
      </w:r>
      <w:r w:rsidR="00576B83">
        <w:rPr>
          <w:szCs w:val="24"/>
        </w:rPr>
        <w:t xml:space="preserve">However, </w:t>
      </w:r>
      <w:r w:rsidR="008C4011">
        <w:rPr>
          <w:szCs w:val="24"/>
        </w:rPr>
        <w:t>th</w:t>
      </w:r>
      <w:r w:rsidR="00576B83">
        <w:rPr>
          <w:szCs w:val="24"/>
        </w:rPr>
        <w:t>at</w:t>
      </w:r>
      <w:r w:rsidR="008C4011">
        <w:rPr>
          <w:szCs w:val="24"/>
        </w:rPr>
        <w:t xml:space="preserve"> research</w:t>
      </w:r>
      <w:r w:rsidR="00576B83">
        <w:rPr>
          <w:szCs w:val="24"/>
        </w:rPr>
        <w:t xml:space="preserve"> did</w:t>
      </w:r>
      <w:r w:rsidR="008C4011">
        <w:rPr>
          <w:szCs w:val="24"/>
        </w:rPr>
        <w:t xml:space="preserve"> not examine the impact of performance management systems</w:t>
      </w:r>
      <w:r w:rsidR="00576B83">
        <w:rPr>
          <w:szCs w:val="24"/>
        </w:rPr>
        <w:t xml:space="preserve"> on organizational culture</w:t>
      </w:r>
      <w:r w:rsidR="008C4011">
        <w:rPr>
          <w:szCs w:val="24"/>
        </w:rPr>
        <w:t xml:space="preserve">. </w:t>
      </w:r>
      <w:r w:rsidR="00B658C2">
        <w:rPr>
          <w:szCs w:val="24"/>
        </w:rPr>
        <w:t xml:space="preserve"> </w:t>
      </w:r>
      <w:r w:rsidR="008C4011">
        <w:rPr>
          <w:szCs w:val="24"/>
        </w:rPr>
        <w:t>While th</w:t>
      </w:r>
      <w:r w:rsidR="00A03A9A">
        <w:rPr>
          <w:szCs w:val="24"/>
        </w:rPr>
        <w:t>is</w:t>
      </w:r>
      <w:r w:rsidR="008C4011">
        <w:rPr>
          <w:szCs w:val="24"/>
        </w:rPr>
        <w:t xml:space="preserve"> project</w:t>
      </w:r>
      <w:r w:rsidR="00A03A9A">
        <w:rPr>
          <w:szCs w:val="24"/>
        </w:rPr>
        <w:t xml:space="preserve"> </w:t>
      </w:r>
      <w:r w:rsidR="008C4011">
        <w:rPr>
          <w:szCs w:val="24"/>
        </w:rPr>
        <w:t xml:space="preserve">may ask some </w:t>
      </w:r>
      <w:r w:rsidR="00F65DCC">
        <w:rPr>
          <w:szCs w:val="24"/>
        </w:rPr>
        <w:t>similar</w:t>
      </w:r>
      <w:r w:rsidR="00576B83">
        <w:rPr>
          <w:szCs w:val="24"/>
        </w:rPr>
        <w:t xml:space="preserve"> demographic</w:t>
      </w:r>
      <w:r w:rsidR="00F65DCC">
        <w:rPr>
          <w:szCs w:val="24"/>
        </w:rPr>
        <w:t xml:space="preserve"> questions, </w:t>
      </w:r>
      <w:r w:rsidR="00A03A9A">
        <w:rPr>
          <w:szCs w:val="24"/>
        </w:rPr>
        <w:t>th</w:t>
      </w:r>
      <w:r w:rsidR="00576B83">
        <w:rPr>
          <w:szCs w:val="24"/>
        </w:rPr>
        <w:t>e</w:t>
      </w:r>
      <w:r w:rsidR="00A03A9A">
        <w:rPr>
          <w:szCs w:val="24"/>
        </w:rPr>
        <w:t xml:space="preserve"> research</w:t>
      </w:r>
      <w:r w:rsidR="00576B83">
        <w:rPr>
          <w:szCs w:val="24"/>
        </w:rPr>
        <w:t xml:space="preserve"> focus on performance management systems and diversity</w:t>
      </w:r>
      <w:r w:rsidR="00F65DCC">
        <w:rPr>
          <w:szCs w:val="24"/>
        </w:rPr>
        <w:t xml:space="preserve"> is novel</w:t>
      </w:r>
      <w:r w:rsidR="00576B83">
        <w:rPr>
          <w:szCs w:val="24"/>
        </w:rPr>
        <w:t>.</w:t>
      </w:r>
    </w:p>
    <w:p w:rsidR="00F65DCC" w:rsidRPr="00F65DCC" w:rsidP="00F65DCC" w14:paraId="0967994C" w14:textId="77777777">
      <w:pPr>
        <w:widowControl w:val="0"/>
        <w:ind w:left="720"/>
        <w:rPr>
          <w:szCs w:val="24"/>
        </w:rPr>
      </w:pPr>
    </w:p>
    <w:p w:rsidR="009816CF" w:rsidRPr="00CD35B6" w:rsidP="00477CD8" w14:paraId="6670A710" w14:textId="31EEAE50">
      <w:pPr>
        <w:widowControl w:val="0"/>
        <w:autoSpaceDE w:val="0"/>
        <w:autoSpaceDN w:val="0"/>
        <w:adjustRightInd w:val="0"/>
        <w:rPr>
          <w:b/>
          <w:szCs w:val="24"/>
        </w:rPr>
      </w:pPr>
      <w:r w:rsidRPr="00477CD8">
        <w:rPr>
          <w:b/>
          <w:szCs w:val="24"/>
        </w:rPr>
        <w:t>5</w:t>
      </w:r>
      <w:r>
        <w:rPr>
          <w:b/>
          <w:szCs w:val="24"/>
        </w:rPr>
        <w:t>.</w:t>
      </w:r>
      <w:r>
        <w:rPr>
          <w:b/>
          <w:szCs w:val="24"/>
        </w:rPr>
        <w:tab/>
      </w:r>
      <w:r w:rsidRPr="00477CD8">
        <w:rPr>
          <w:b/>
          <w:szCs w:val="24"/>
          <w:u w:val="single"/>
        </w:rPr>
        <w:t>Efforts to</w:t>
      </w:r>
      <w:r w:rsidRPr="00CD35B6">
        <w:rPr>
          <w:b/>
          <w:szCs w:val="24"/>
          <w:u w:val="single"/>
        </w:rPr>
        <w:t xml:space="preserve"> minimize the burden on small businesses</w:t>
      </w:r>
      <w:r w:rsidRPr="00CD35B6">
        <w:rPr>
          <w:b/>
          <w:szCs w:val="24"/>
        </w:rPr>
        <w:t>.</w:t>
      </w:r>
    </w:p>
    <w:p w:rsidR="006F3240" w:rsidP="006C6F35" w14:paraId="56C81FFB" w14:textId="77777777">
      <w:pPr>
        <w:widowControl w:val="0"/>
        <w:rPr>
          <w:bCs/>
          <w:szCs w:val="24"/>
        </w:rPr>
      </w:pPr>
    </w:p>
    <w:p w:rsidR="00B526F2" w:rsidRPr="00CD35B6" w:rsidP="0009084A" w14:paraId="69543178" w14:textId="354E40A4">
      <w:pPr>
        <w:widowControl w:val="0"/>
        <w:ind w:left="720"/>
        <w:rPr>
          <w:szCs w:val="24"/>
        </w:rPr>
      </w:pPr>
      <w:r w:rsidRPr="00CD35B6">
        <w:rPr>
          <w:szCs w:val="24"/>
        </w:rPr>
        <w:t xml:space="preserve">Respondents will be </w:t>
      </w:r>
      <w:r w:rsidR="00AA6E04">
        <w:rPr>
          <w:szCs w:val="24"/>
        </w:rPr>
        <w:t>rail stakeholders at all levels of employment</w:t>
      </w:r>
      <w:r w:rsidRPr="00CD35B6" w:rsidR="009F50EB">
        <w:rPr>
          <w:szCs w:val="24"/>
        </w:rPr>
        <w:t xml:space="preserve"> </w:t>
      </w:r>
      <w:r w:rsidRPr="00CD35B6" w:rsidR="007F3485">
        <w:rPr>
          <w:szCs w:val="24"/>
        </w:rPr>
        <w:t>who v</w:t>
      </w:r>
      <w:r w:rsidRPr="00CD35B6" w:rsidR="009F50EB">
        <w:rPr>
          <w:szCs w:val="24"/>
        </w:rPr>
        <w:t>oluntar</w:t>
      </w:r>
      <w:r w:rsidRPr="00CD35B6" w:rsidR="007F3485">
        <w:rPr>
          <w:szCs w:val="24"/>
        </w:rPr>
        <w:t>il</w:t>
      </w:r>
      <w:r w:rsidRPr="00CD35B6" w:rsidR="009F50EB">
        <w:rPr>
          <w:szCs w:val="24"/>
        </w:rPr>
        <w:t>y</w:t>
      </w:r>
      <w:r w:rsidRPr="00CD35B6" w:rsidR="007F3485">
        <w:rPr>
          <w:szCs w:val="24"/>
        </w:rPr>
        <w:t xml:space="preserve"> participate</w:t>
      </w:r>
      <w:r w:rsidRPr="00CD35B6" w:rsidR="00C30F5B">
        <w:rPr>
          <w:szCs w:val="24"/>
        </w:rPr>
        <w:t xml:space="preserve"> in the </w:t>
      </w:r>
      <w:r w:rsidR="00582974">
        <w:rPr>
          <w:szCs w:val="24"/>
        </w:rPr>
        <w:t>study</w:t>
      </w:r>
      <w:r w:rsidRPr="00CD35B6">
        <w:rPr>
          <w:szCs w:val="24"/>
        </w:rPr>
        <w:t>.</w:t>
      </w:r>
      <w:r w:rsidR="00AA6E04">
        <w:rPr>
          <w:szCs w:val="24"/>
        </w:rPr>
        <w:t xml:space="preserve"> </w:t>
      </w:r>
      <w:r w:rsidR="00170FD3">
        <w:rPr>
          <w:szCs w:val="24"/>
        </w:rPr>
        <w:t xml:space="preserve"> </w:t>
      </w:r>
      <w:r w:rsidRPr="00CD35B6" w:rsidR="00823F89">
        <w:rPr>
          <w:szCs w:val="24"/>
        </w:rPr>
        <w:t xml:space="preserve">Some individuals who </w:t>
      </w:r>
      <w:r w:rsidRPr="00CD35B6" w:rsidR="007C61F7">
        <w:rPr>
          <w:szCs w:val="24"/>
        </w:rPr>
        <w:t>participate in the study</w:t>
      </w:r>
      <w:r w:rsidRPr="00CD35B6" w:rsidR="00823F89">
        <w:rPr>
          <w:szCs w:val="24"/>
        </w:rPr>
        <w:t xml:space="preserve"> may be employed by small </w:t>
      </w:r>
      <w:r w:rsidRPr="00CD35B6" w:rsidR="004547A4">
        <w:rPr>
          <w:szCs w:val="24"/>
        </w:rPr>
        <w:t>businesses,</w:t>
      </w:r>
      <w:r w:rsidRPr="00CD35B6" w:rsidR="00823F89">
        <w:rPr>
          <w:szCs w:val="24"/>
        </w:rPr>
        <w:t xml:space="preserve"> but this data collection will not directly impact small businesses.  Therefore, </w:t>
      </w:r>
      <w:r w:rsidRPr="00CD35B6" w:rsidR="00E82EB4">
        <w:rPr>
          <w:szCs w:val="24"/>
        </w:rPr>
        <w:t xml:space="preserve">the </w:t>
      </w:r>
      <w:r w:rsidRPr="00CD35B6" w:rsidR="00823F89">
        <w:rPr>
          <w:szCs w:val="24"/>
        </w:rPr>
        <w:t xml:space="preserve">burden to small businesses should be negligible. </w:t>
      </w:r>
      <w:r w:rsidR="00170FD3">
        <w:rPr>
          <w:szCs w:val="24"/>
        </w:rPr>
        <w:t xml:space="preserve"> </w:t>
      </w:r>
      <w:r w:rsidR="00AA6E04">
        <w:rPr>
          <w:szCs w:val="24"/>
        </w:rPr>
        <w:t xml:space="preserve">Additionally, through </w:t>
      </w:r>
      <w:r w:rsidR="00AA6E04">
        <w:rPr>
          <w:szCs w:val="24"/>
        </w:rPr>
        <w:t>administering the surveys electronically and having all interviews and focus groups webinar-based should reduce the impacts on small entities.</w:t>
      </w:r>
    </w:p>
    <w:p w:rsidR="00A832BA" w:rsidRPr="00CD35B6" w:rsidP="0009084A" w14:paraId="5DFACA71" w14:textId="77777777">
      <w:pPr>
        <w:widowControl w:val="0"/>
        <w:ind w:left="720"/>
        <w:rPr>
          <w:szCs w:val="24"/>
        </w:rPr>
      </w:pPr>
    </w:p>
    <w:p w:rsidR="00E10924" w:rsidP="00477CD8" w14:paraId="793548EF" w14:textId="3B7F44EF">
      <w:pPr>
        <w:widowControl w:val="0"/>
        <w:autoSpaceDE w:val="0"/>
        <w:autoSpaceDN w:val="0"/>
        <w:adjustRightInd w:val="0"/>
        <w:rPr>
          <w:b/>
          <w:szCs w:val="24"/>
        </w:rPr>
      </w:pPr>
      <w:r w:rsidRPr="00477CD8">
        <w:rPr>
          <w:b/>
          <w:szCs w:val="24"/>
        </w:rPr>
        <w:t>6</w:t>
      </w:r>
      <w:r>
        <w:rPr>
          <w:b/>
          <w:szCs w:val="24"/>
        </w:rPr>
        <w:t xml:space="preserve">. </w:t>
      </w:r>
      <w:r>
        <w:rPr>
          <w:b/>
          <w:szCs w:val="24"/>
        </w:rPr>
        <w:tab/>
      </w:r>
      <w:r w:rsidRPr="00477CD8">
        <w:rPr>
          <w:b/>
          <w:szCs w:val="24"/>
          <w:u w:val="single"/>
        </w:rPr>
        <w:t>I</w:t>
      </w:r>
      <w:r w:rsidRPr="00CD35B6">
        <w:rPr>
          <w:b/>
          <w:szCs w:val="24"/>
          <w:u w:val="single"/>
        </w:rPr>
        <w:t>mpact of less frequent collection of information</w:t>
      </w:r>
      <w:r w:rsidRPr="00CD35B6">
        <w:rPr>
          <w:b/>
          <w:szCs w:val="24"/>
        </w:rPr>
        <w:t>.</w:t>
      </w:r>
    </w:p>
    <w:p w:rsidR="0085145A" w:rsidRPr="00CD35B6" w:rsidP="00477CD8" w14:paraId="1C845573" w14:textId="77777777">
      <w:pPr>
        <w:widowControl w:val="0"/>
        <w:autoSpaceDE w:val="0"/>
        <w:autoSpaceDN w:val="0"/>
        <w:adjustRightInd w:val="0"/>
        <w:rPr>
          <w:szCs w:val="24"/>
        </w:rPr>
      </w:pPr>
    </w:p>
    <w:p w:rsidR="00DB0EE8" w:rsidRPr="00CD35B6" w:rsidP="00F65DCC" w14:paraId="71A56C1E" w14:textId="35987F2C">
      <w:pPr>
        <w:widowControl w:val="0"/>
        <w:autoSpaceDE w:val="0"/>
        <w:autoSpaceDN w:val="0"/>
        <w:adjustRightInd w:val="0"/>
        <w:ind w:left="720"/>
        <w:rPr>
          <w:szCs w:val="24"/>
        </w:rPr>
      </w:pPr>
      <w:r w:rsidRPr="00CD35B6">
        <w:rPr>
          <w:szCs w:val="24"/>
        </w:rPr>
        <w:t>If the proposed information collection activities are not conducted, FRA will lose a unique opportunity to study</w:t>
      </w:r>
      <w:r w:rsidR="00582974">
        <w:rPr>
          <w:szCs w:val="24"/>
        </w:rPr>
        <w:t xml:space="preserve"> and explore</w:t>
      </w:r>
      <w:r w:rsidR="00576B83">
        <w:rPr>
          <w:szCs w:val="24"/>
        </w:rPr>
        <w:t xml:space="preserve"> the</w:t>
      </w:r>
      <w:r w:rsidRPr="00CD35B6">
        <w:rPr>
          <w:szCs w:val="24"/>
        </w:rPr>
        <w:t xml:space="preserve"> </w:t>
      </w:r>
      <w:r w:rsidR="00AA6E04">
        <w:rPr>
          <w:szCs w:val="24"/>
        </w:rPr>
        <w:t xml:space="preserve">impact of </w:t>
      </w:r>
      <w:r w:rsidRPr="00AA6E04" w:rsidR="00AA6E04">
        <w:rPr>
          <w:szCs w:val="24"/>
        </w:rPr>
        <w:t xml:space="preserve">performance management systems </w:t>
      </w:r>
      <w:r w:rsidR="00576B83">
        <w:rPr>
          <w:szCs w:val="24"/>
        </w:rPr>
        <w:t>on</w:t>
      </w:r>
      <w:r w:rsidRPr="00AA6E04" w:rsidR="00AA6E04">
        <w:rPr>
          <w:szCs w:val="24"/>
        </w:rPr>
        <w:t xml:space="preserve"> organizational culture</w:t>
      </w:r>
      <w:r w:rsidR="00576B83">
        <w:rPr>
          <w:szCs w:val="24"/>
        </w:rPr>
        <w:t xml:space="preserve"> and</w:t>
      </w:r>
      <w:r w:rsidRPr="00AA6E04" w:rsidR="00AA6E04">
        <w:rPr>
          <w:szCs w:val="24"/>
        </w:rPr>
        <w:t xml:space="preserve"> workforce developmen</w:t>
      </w:r>
      <w:r w:rsidR="006F34FD">
        <w:rPr>
          <w:szCs w:val="24"/>
        </w:rPr>
        <w:t>t</w:t>
      </w:r>
      <w:r w:rsidR="00AA6E04">
        <w:rPr>
          <w:szCs w:val="24"/>
        </w:rPr>
        <w:t>.</w:t>
      </w:r>
      <w:r w:rsidR="00F65DCC">
        <w:rPr>
          <w:szCs w:val="24"/>
        </w:rPr>
        <w:t xml:space="preserve"> </w:t>
      </w:r>
      <w:r w:rsidR="002238B1">
        <w:rPr>
          <w:szCs w:val="24"/>
        </w:rPr>
        <w:t xml:space="preserve"> </w:t>
      </w:r>
      <w:r w:rsidR="00F65DCC">
        <w:rPr>
          <w:szCs w:val="24"/>
        </w:rPr>
        <w:t>Work has not been done to understand t</w:t>
      </w:r>
      <w:r w:rsidR="006F34FD">
        <w:rPr>
          <w:szCs w:val="24"/>
        </w:rPr>
        <w:t>he</w:t>
      </w:r>
      <w:r w:rsidR="00F65DCC">
        <w:rPr>
          <w:szCs w:val="24"/>
        </w:rPr>
        <w:t xml:space="preserve"> </w:t>
      </w:r>
      <w:r w:rsidR="006F34FD">
        <w:rPr>
          <w:szCs w:val="24"/>
        </w:rPr>
        <w:t>relationships between them</w:t>
      </w:r>
      <w:r w:rsidR="00F65DCC">
        <w:rPr>
          <w:szCs w:val="24"/>
        </w:rPr>
        <w:t xml:space="preserve">. </w:t>
      </w:r>
      <w:r w:rsidR="002238B1">
        <w:rPr>
          <w:szCs w:val="24"/>
        </w:rPr>
        <w:t xml:space="preserve"> </w:t>
      </w:r>
      <w:r w:rsidRPr="00CD35B6">
        <w:rPr>
          <w:szCs w:val="24"/>
        </w:rPr>
        <w:t xml:space="preserve">Without this proposed collection of information, FRA will be unable to </w:t>
      </w:r>
      <w:r w:rsidRPr="00AA6E04" w:rsidR="00AA6E04">
        <w:rPr>
          <w:szCs w:val="24"/>
        </w:rPr>
        <w:t>collect best practices</w:t>
      </w:r>
      <w:r w:rsidR="006F34FD">
        <w:rPr>
          <w:szCs w:val="24"/>
        </w:rPr>
        <w:t xml:space="preserve"> and identify</w:t>
      </w:r>
      <w:r w:rsidRPr="00AA6E04" w:rsidR="00AA6E04">
        <w:rPr>
          <w:szCs w:val="24"/>
        </w:rPr>
        <w:t xml:space="preserve"> effective use of performance management systems as a tool for equit</w:t>
      </w:r>
      <w:r w:rsidR="006F34FD">
        <w:rPr>
          <w:szCs w:val="24"/>
        </w:rPr>
        <w:t>y</w:t>
      </w:r>
      <w:r w:rsidRPr="00AA6E04" w:rsidR="00AA6E04">
        <w:rPr>
          <w:szCs w:val="24"/>
        </w:rPr>
        <w:t xml:space="preserve"> and divers</w:t>
      </w:r>
      <w:r w:rsidR="006F34FD">
        <w:rPr>
          <w:szCs w:val="24"/>
        </w:rPr>
        <w:t>ity in</w:t>
      </w:r>
      <w:r w:rsidRPr="00AA6E04" w:rsidR="00AA6E04">
        <w:rPr>
          <w:szCs w:val="24"/>
        </w:rPr>
        <w:t xml:space="preserve"> recruitment, development, retention, and promotion</w:t>
      </w:r>
      <w:r w:rsidR="006F34FD">
        <w:rPr>
          <w:szCs w:val="24"/>
        </w:rPr>
        <w:t xml:space="preserve"> within the rail industry</w:t>
      </w:r>
      <w:r w:rsidRPr="00AA6E04" w:rsidR="00AA6E04">
        <w:rPr>
          <w:szCs w:val="24"/>
        </w:rPr>
        <w:t>.</w:t>
      </w:r>
    </w:p>
    <w:p w:rsidR="0036155F" w:rsidP="00582974" w14:paraId="7231B33B" w14:textId="77777777">
      <w:pPr>
        <w:widowControl w:val="0"/>
        <w:autoSpaceDE w:val="0"/>
        <w:autoSpaceDN w:val="0"/>
        <w:adjustRightInd w:val="0"/>
        <w:rPr>
          <w:szCs w:val="24"/>
        </w:rPr>
      </w:pPr>
    </w:p>
    <w:p w:rsidR="00BA1C40" w:rsidRPr="0072276E" w:rsidP="00477CD8" w14:paraId="158CF796" w14:textId="2B17D727">
      <w:pPr>
        <w:widowControl w:val="0"/>
        <w:autoSpaceDE w:val="0"/>
        <w:autoSpaceDN w:val="0"/>
        <w:adjustRightInd w:val="0"/>
        <w:rPr>
          <w:b/>
          <w:szCs w:val="24"/>
          <w:u w:val="single"/>
        </w:rPr>
      </w:pPr>
      <w:r w:rsidRPr="00395C99">
        <w:rPr>
          <w:b/>
          <w:szCs w:val="24"/>
        </w:rPr>
        <w:t xml:space="preserve">7. </w:t>
      </w:r>
      <w:r w:rsidRPr="00395C99">
        <w:rPr>
          <w:b/>
          <w:szCs w:val="24"/>
        </w:rPr>
        <w:tab/>
      </w:r>
      <w:r w:rsidRPr="00395C99" w:rsidR="007960EB">
        <w:rPr>
          <w:b/>
          <w:szCs w:val="24"/>
          <w:u w:val="single"/>
        </w:rPr>
        <w:t>S</w:t>
      </w:r>
      <w:r w:rsidRPr="00395C99" w:rsidR="00EE5CA6">
        <w:rPr>
          <w:b/>
          <w:szCs w:val="24"/>
          <w:u w:val="single"/>
        </w:rPr>
        <w:t>pecial circumstances</w:t>
      </w:r>
      <w:r w:rsidRPr="00395C99" w:rsidR="00DA32F3">
        <w:rPr>
          <w:b/>
          <w:szCs w:val="24"/>
          <w:u w:val="single"/>
        </w:rPr>
        <w:t>.</w:t>
      </w:r>
    </w:p>
    <w:p w:rsidR="0072276E" w:rsidP="0072276E" w14:paraId="4F8496D3" w14:textId="77777777">
      <w:pPr>
        <w:widowControl w:val="0"/>
        <w:autoSpaceDE w:val="0"/>
        <w:autoSpaceDN w:val="0"/>
        <w:adjustRightInd w:val="0"/>
        <w:ind w:left="720"/>
        <w:rPr>
          <w:szCs w:val="24"/>
        </w:rPr>
      </w:pPr>
    </w:p>
    <w:p w:rsidR="00395C99" w:rsidP="00395C99" w14:paraId="268E76DE" w14:textId="77777777">
      <w:pPr>
        <w:widowControl w:val="0"/>
        <w:autoSpaceDE w:val="0"/>
        <w:autoSpaceDN w:val="0"/>
        <w:adjustRightInd w:val="0"/>
        <w:ind w:left="720"/>
        <w:rPr>
          <w:szCs w:val="24"/>
        </w:rPr>
      </w:pPr>
      <w:r>
        <w:rPr>
          <w:szCs w:val="24"/>
        </w:rPr>
        <w:t xml:space="preserve">We are using the minimum format for race and ethnicity to ensure that respondents remain anonymous. There is a risk in a respondent being identifiable if they provide which carrier or organization they work for (one of our other questions) and are also part of a minority race and clarify their ethnicity further. </w:t>
      </w:r>
    </w:p>
    <w:p w:rsidR="002465A5" w:rsidRPr="0072276E" w:rsidP="0072276E" w14:paraId="7A5F1958" w14:textId="77777777">
      <w:pPr>
        <w:widowControl w:val="0"/>
        <w:ind w:left="720"/>
        <w:rPr>
          <w:szCs w:val="24"/>
        </w:rPr>
      </w:pPr>
    </w:p>
    <w:p w:rsidR="00E77CA7" w:rsidRPr="005B4D79" w:rsidP="00477CD8" w14:paraId="0BE20365" w14:textId="7672EE74">
      <w:pPr>
        <w:widowControl w:val="0"/>
        <w:autoSpaceDE w:val="0"/>
        <w:autoSpaceDN w:val="0"/>
        <w:adjustRightInd w:val="0"/>
        <w:rPr>
          <w:b/>
          <w:szCs w:val="24"/>
          <w:u w:val="single"/>
        </w:rPr>
      </w:pPr>
      <w:r w:rsidRPr="00477CD8">
        <w:rPr>
          <w:b/>
        </w:rPr>
        <w:t>8</w:t>
      </w:r>
      <w:r w:rsidRPr="00477CD8">
        <w:rPr>
          <w:bCs/>
        </w:rPr>
        <w:t xml:space="preserve">. </w:t>
      </w:r>
      <w:r w:rsidRPr="00477CD8">
        <w:rPr>
          <w:bCs/>
        </w:rPr>
        <w:tab/>
      </w:r>
      <w:r w:rsidRPr="00EF4602">
        <w:rPr>
          <w:b/>
          <w:u w:val="single"/>
        </w:rPr>
        <w:t>Compliance with 5 CFR 1320.8</w:t>
      </w:r>
      <w:r w:rsidRPr="00EF4602">
        <w:rPr>
          <w:b/>
        </w:rPr>
        <w:t>.</w:t>
      </w:r>
    </w:p>
    <w:p w:rsidR="0072276E" w:rsidP="0072276E" w14:paraId="17F1C34C" w14:textId="77777777">
      <w:pPr>
        <w:widowControl w:val="0"/>
        <w:autoSpaceDE w:val="0"/>
        <w:autoSpaceDN w:val="0"/>
        <w:adjustRightInd w:val="0"/>
        <w:ind w:left="720"/>
        <w:rPr>
          <w:szCs w:val="24"/>
        </w:rPr>
      </w:pPr>
    </w:p>
    <w:p w:rsidR="00E77CA7" w:rsidP="0072276E" w14:paraId="1C68A14C" w14:textId="1CBF2053">
      <w:pPr>
        <w:widowControl w:val="0"/>
        <w:autoSpaceDE w:val="0"/>
        <w:autoSpaceDN w:val="0"/>
        <w:adjustRightInd w:val="0"/>
        <w:ind w:left="720"/>
        <w:rPr>
          <w:szCs w:val="24"/>
        </w:rPr>
      </w:pPr>
      <w:r w:rsidRPr="00C148D4">
        <w:rPr>
          <w:szCs w:val="24"/>
        </w:rPr>
        <w:t xml:space="preserve">As required by the Paperwork Reduction Act of 1995 (PRA) and 5 CFR 1320, FRA published a notice in the </w:t>
      </w:r>
      <w:r w:rsidRPr="00B658C2">
        <w:rPr>
          <w:i/>
          <w:iCs/>
          <w:szCs w:val="24"/>
        </w:rPr>
        <w:t>Federal Register</w:t>
      </w:r>
      <w:r w:rsidRPr="00C148D4">
        <w:rPr>
          <w:szCs w:val="24"/>
        </w:rPr>
        <w:t xml:space="preserve"> on </w:t>
      </w:r>
      <w:r w:rsidR="00B658C2">
        <w:rPr>
          <w:szCs w:val="24"/>
        </w:rPr>
        <w:t>April 2, 2024</w:t>
      </w:r>
      <w:r w:rsidRPr="00C148D4">
        <w:rPr>
          <w:szCs w:val="24"/>
        </w:rPr>
        <w:t>,</w:t>
      </w:r>
      <w:r w:rsidRPr="00B658C2" w:rsidR="00B658C2">
        <w:rPr>
          <w:rStyle w:val="FootnoteReference"/>
          <w:szCs w:val="24"/>
        </w:rPr>
        <w:t xml:space="preserve"> </w:t>
      </w:r>
      <w:r>
        <w:rPr>
          <w:rStyle w:val="FootnoteReference"/>
          <w:szCs w:val="24"/>
        </w:rPr>
        <w:footnoteReference w:id="7"/>
      </w:r>
      <w:r w:rsidRPr="00C148D4" w:rsidR="00B658C2">
        <w:rPr>
          <w:szCs w:val="24"/>
        </w:rPr>
        <w:t xml:space="preserve"> </w:t>
      </w:r>
      <w:r w:rsidRPr="00C148D4">
        <w:rPr>
          <w:szCs w:val="24"/>
        </w:rPr>
        <w:t>soliciting comments</w:t>
      </w:r>
      <w:r w:rsidR="00B658C2">
        <w:rPr>
          <w:szCs w:val="24"/>
        </w:rPr>
        <w:t xml:space="preserve"> from the public, railroads, and other interested parties on these information collection requirements</w:t>
      </w:r>
      <w:r w:rsidRPr="00C148D4">
        <w:rPr>
          <w:szCs w:val="24"/>
        </w:rPr>
        <w:t xml:space="preserve">. </w:t>
      </w:r>
      <w:r w:rsidR="00B658C2">
        <w:rPr>
          <w:szCs w:val="24"/>
        </w:rPr>
        <w:t xml:space="preserve"> </w:t>
      </w:r>
      <w:r w:rsidRPr="00C148D4">
        <w:rPr>
          <w:szCs w:val="24"/>
        </w:rPr>
        <w:t xml:space="preserve">FRA received </w:t>
      </w:r>
      <w:r w:rsidR="00B658C2">
        <w:rPr>
          <w:szCs w:val="24"/>
        </w:rPr>
        <w:t xml:space="preserve">no </w:t>
      </w:r>
      <w:r w:rsidRPr="00C148D4">
        <w:rPr>
          <w:szCs w:val="24"/>
        </w:rPr>
        <w:t>comment related to the proposed collection of information.</w:t>
      </w:r>
    </w:p>
    <w:p w:rsidR="00EE5CA6" w:rsidP="00EE5CA6" w14:paraId="30FFE5CE" w14:textId="61095BD3">
      <w:pPr>
        <w:rPr>
          <w:b/>
          <w:szCs w:val="24"/>
        </w:rPr>
      </w:pPr>
    </w:p>
    <w:p w:rsidR="00EE5CA6" w:rsidRPr="0072276E" w:rsidP="00477CD8" w14:paraId="641FCB54" w14:textId="4538C777">
      <w:pPr>
        <w:widowControl w:val="0"/>
        <w:autoSpaceDE w:val="0"/>
        <w:autoSpaceDN w:val="0"/>
        <w:adjustRightInd w:val="0"/>
        <w:ind w:left="450" w:hanging="450"/>
        <w:rPr>
          <w:b/>
          <w:szCs w:val="24"/>
          <w:u w:val="single"/>
        </w:rPr>
      </w:pPr>
      <w:r w:rsidRPr="00477CD8">
        <w:rPr>
          <w:b/>
          <w:szCs w:val="24"/>
        </w:rPr>
        <w:t xml:space="preserve">9. </w:t>
      </w:r>
      <w:r>
        <w:rPr>
          <w:b/>
          <w:szCs w:val="24"/>
        </w:rPr>
        <w:tab/>
      </w:r>
      <w:r>
        <w:rPr>
          <w:b/>
          <w:szCs w:val="24"/>
        </w:rPr>
        <w:tab/>
      </w:r>
      <w:r w:rsidRPr="00831BF8" w:rsidR="00831BF8">
        <w:rPr>
          <w:b/>
          <w:szCs w:val="24"/>
          <w:u w:val="single"/>
        </w:rPr>
        <w:t>Payments or gifts to respondents.</w:t>
      </w:r>
    </w:p>
    <w:p w:rsidR="00EE5CA6" w:rsidP="00EE5CA6" w14:paraId="32C837E6" w14:textId="77777777">
      <w:pPr>
        <w:ind w:left="720" w:hanging="720"/>
      </w:pPr>
    </w:p>
    <w:p w:rsidR="006031BA" w:rsidP="006031BA" w14:paraId="627158A9" w14:textId="42509584">
      <w:pPr>
        <w:widowControl w:val="0"/>
        <w:ind w:left="720"/>
        <w:rPr>
          <w:szCs w:val="24"/>
        </w:rPr>
      </w:pPr>
      <w:r w:rsidRPr="00D863FB">
        <w:rPr>
          <w:szCs w:val="24"/>
        </w:rPr>
        <w:t xml:space="preserve">There are no monetary payments or gifts made to respondents associated with the information collection </w:t>
      </w:r>
      <w:r w:rsidR="007E4FCE">
        <w:rPr>
          <w:szCs w:val="24"/>
        </w:rPr>
        <w:t>request</w:t>
      </w:r>
      <w:r w:rsidR="00421068">
        <w:rPr>
          <w:szCs w:val="24"/>
        </w:rPr>
        <w:t>s</w:t>
      </w:r>
      <w:r w:rsidRPr="00D863FB">
        <w:rPr>
          <w:szCs w:val="24"/>
        </w:rPr>
        <w:t>.</w:t>
      </w:r>
    </w:p>
    <w:p w:rsidR="005E5B8F" w:rsidRPr="00D863FB" w:rsidP="006031BA" w14:paraId="2884AE57" w14:textId="77777777">
      <w:pPr>
        <w:widowControl w:val="0"/>
        <w:ind w:left="720"/>
        <w:rPr>
          <w:b/>
          <w:szCs w:val="24"/>
        </w:rPr>
      </w:pPr>
    </w:p>
    <w:p w:rsidR="00EE5CA6" w:rsidRPr="0072276E" w:rsidP="005E5B8F" w14:paraId="7D11F77D" w14:textId="10059C79">
      <w:pPr>
        <w:widowControl w:val="0"/>
        <w:autoSpaceDE w:val="0"/>
        <w:autoSpaceDN w:val="0"/>
        <w:adjustRightInd w:val="0"/>
        <w:rPr>
          <w:b/>
          <w:szCs w:val="24"/>
          <w:u w:val="single"/>
        </w:rPr>
      </w:pPr>
      <w:r w:rsidRPr="005E5B8F">
        <w:rPr>
          <w:b/>
          <w:szCs w:val="24"/>
        </w:rPr>
        <w:t>1</w:t>
      </w:r>
      <w:r>
        <w:rPr>
          <w:b/>
          <w:szCs w:val="24"/>
        </w:rPr>
        <w:t>0</w:t>
      </w:r>
      <w:r>
        <w:rPr>
          <w:b/>
          <w:szCs w:val="24"/>
        </w:rPr>
        <w:tab/>
      </w:r>
      <w:r w:rsidRPr="00CA5175" w:rsidR="00CA5175">
        <w:rPr>
          <w:b/>
          <w:szCs w:val="24"/>
          <w:u w:val="single"/>
        </w:rPr>
        <w:t>Assurance of confidentiality.</w:t>
      </w:r>
    </w:p>
    <w:p w:rsidR="00EE5CA6" w:rsidP="00EE5CA6" w14:paraId="35507D0F" w14:textId="77777777">
      <w:pPr>
        <w:ind w:left="360"/>
        <w:rPr>
          <w:b/>
          <w:bCs/>
        </w:rPr>
      </w:pPr>
    </w:p>
    <w:p w:rsidR="0000600C" w:rsidP="006479F5" w14:paraId="5A8BFB5F" w14:textId="7930D524">
      <w:pPr>
        <w:pStyle w:val="BodyTextIndent2"/>
        <w:widowControl w:val="0"/>
        <w:tabs>
          <w:tab w:val="left" w:pos="360"/>
        </w:tabs>
        <w:spacing w:after="0" w:line="240" w:lineRule="auto"/>
        <w:ind w:left="720"/>
      </w:pPr>
      <w:r>
        <w:t xml:space="preserve">FRA fully complies with all laws pertaining to confidentiality, including the Privacy Act of 1974. Thus, FRA’s </w:t>
      </w:r>
      <w:r>
        <w:t xml:space="preserve">contractor, KEA Technologies, Inc. </w:t>
      </w:r>
      <w:r w:rsidR="00DB6C6A">
        <w:t xml:space="preserve"> </w:t>
      </w:r>
      <w:r>
        <w:t>(KEA), will use information obtained or acquired from</w:t>
      </w:r>
      <w:r w:rsidR="004B7025">
        <w:t xml:space="preserve"> participants</w:t>
      </w:r>
      <w:r>
        <w:t xml:space="preserve"> </w:t>
      </w:r>
      <w:r w:rsidRPr="00A0559D">
        <w:rPr>
          <w:strike/>
        </w:rPr>
        <w:t>FRA grantees</w:t>
      </w:r>
      <w:r>
        <w:t xml:space="preserve"> exclusively for statistical purposes. KEA will not disseminate or disclose information that might be identifying. </w:t>
      </w:r>
    </w:p>
    <w:p w:rsidR="0000600C" w:rsidP="0000600C" w14:paraId="2DEDBFE0" w14:textId="301E0CFA">
      <w:pPr>
        <w:ind w:left="720"/>
        <w:rPr>
          <w:bCs/>
        </w:rPr>
      </w:pPr>
      <w:r>
        <w:rPr>
          <w:bCs/>
        </w:rPr>
        <w:t>P</w:t>
      </w:r>
      <w:r>
        <w:rPr>
          <w:szCs w:val="24"/>
        </w:rPr>
        <w:t xml:space="preserve">articipants will be advised via an introductory email that </w:t>
      </w:r>
      <w:r>
        <w:t>the survey and interviews/focus groups are anonymous.</w:t>
      </w:r>
      <w:r w:rsidR="006F34FD">
        <w:t xml:space="preserve"> </w:t>
      </w:r>
      <w:r w:rsidR="006F34FD">
        <w:rPr>
          <w:szCs w:val="24"/>
        </w:rPr>
        <w:t>P</w:t>
      </w:r>
      <w:r w:rsidRPr="009734D2" w:rsidR="006F34FD">
        <w:rPr>
          <w:szCs w:val="24"/>
        </w:rPr>
        <w:t>articipants will be advised that</w:t>
      </w:r>
      <w:r w:rsidR="006F34FD">
        <w:rPr>
          <w:szCs w:val="24"/>
        </w:rPr>
        <w:t xml:space="preserve"> completely confidentiality</w:t>
      </w:r>
      <w:r w:rsidRPr="009734D2" w:rsidR="006F34FD">
        <w:rPr>
          <w:szCs w:val="24"/>
        </w:rPr>
        <w:t xml:space="preserve"> cannot </w:t>
      </w:r>
      <w:r w:rsidR="006F34FD">
        <w:rPr>
          <w:szCs w:val="24"/>
        </w:rPr>
        <w:t>be guaranteed</w:t>
      </w:r>
      <w:r w:rsidRPr="009734D2" w:rsidR="006F34FD">
        <w:rPr>
          <w:szCs w:val="24"/>
        </w:rPr>
        <w:t>.</w:t>
      </w:r>
      <w:r w:rsidR="006F34FD">
        <w:rPr>
          <w:szCs w:val="24"/>
        </w:rPr>
        <w:t xml:space="preserve"> </w:t>
      </w:r>
      <w:r>
        <w:t xml:space="preserve"> </w:t>
      </w:r>
      <w:r w:rsidR="006479F5">
        <w:t xml:space="preserve">To ensure </w:t>
      </w:r>
      <w:r w:rsidR="006479F5">
        <w:rPr>
          <w:szCs w:val="24"/>
        </w:rPr>
        <w:t>confidentiality for respondents, no individual survey</w:t>
      </w:r>
      <w:r>
        <w:rPr>
          <w:szCs w:val="24"/>
        </w:rPr>
        <w:t xml:space="preserve"> or interview</w:t>
      </w:r>
      <w:r w:rsidR="006479F5">
        <w:rPr>
          <w:szCs w:val="24"/>
        </w:rPr>
        <w:t xml:space="preserve"> responses will be </w:t>
      </w:r>
      <w:r w:rsidR="00C73CAE">
        <w:rPr>
          <w:szCs w:val="24"/>
        </w:rPr>
        <w:t>released,</w:t>
      </w:r>
      <w:r w:rsidR="006479F5">
        <w:rPr>
          <w:szCs w:val="24"/>
        </w:rPr>
        <w:t xml:space="preserve"> and data will only be reported as group means or aggregate summaries. </w:t>
      </w:r>
      <w:r w:rsidR="002238B1">
        <w:rPr>
          <w:szCs w:val="24"/>
        </w:rPr>
        <w:t xml:space="preserve"> </w:t>
      </w:r>
      <w:r>
        <w:rPr>
          <w:bCs/>
        </w:rPr>
        <w:t>KEA will</w:t>
      </w:r>
      <w:r w:rsidRPr="00D7455F">
        <w:rPr>
          <w:bCs/>
        </w:rPr>
        <w:t xml:space="preserve"> only </w:t>
      </w:r>
      <w:r>
        <w:rPr>
          <w:bCs/>
        </w:rPr>
        <w:t xml:space="preserve">make </w:t>
      </w:r>
      <w:r w:rsidRPr="00D7455F">
        <w:rPr>
          <w:bCs/>
        </w:rPr>
        <w:t xml:space="preserve">tabular data </w:t>
      </w:r>
      <w:r>
        <w:rPr>
          <w:bCs/>
        </w:rPr>
        <w:t xml:space="preserve">publicly available. </w:t>
      </w:r>
      <w:r w:rsidR="00170FD3">
        <w:rPr>
          <w:bCs/>
        </w:rPr>
        <w:t xml:space="preserve"> </w:t>
      </w:r>
      <w:r>
        <w:rPr>
          <w:bCs/>
        </w:rPr>
        <w:t>KEA will aggregate a</w:t>
      </w:r>
      <w:r w:rsidRPr="00D7455F">
        <w:rPr>
          <w:bCs/>
        </w:rPr>
        <w:t xml:space="preserve">ny tabular data </w:t>
      </w:r>
      <w:r>
        <w:rPr>
          <w:bCs/>
        </w:rPr>
        <w:t>i</w:t>
      </w:r>
      <w:r w:rsidRPr="00D7455F">
        <w:rPr>
          <w:bCs/>
        </w:rPr>
        <w:t xml:space="preserve">n a manner that prevents identification of a specific </w:t>
      </w:r>
      <w:r>
        <w:rPr>
          <w:bCs/>
        </w:rPr>
        <w:t>respondent</w:t>
      </w:r>
      <w:r w:rsidRPr="00D7455F">
        <w:rPr>
          <w:bCs/>
        </w:rPr>
        <w:t>.</w:t>
      </w:r>
    </w:p>
    <w:p w:rsidR="0000600C" w:rsidP="0000600C" w14:paraId="73378008" w14:textId="77777777">
      <w:pPr>
        <w:ind w:left="720"/>
        <w:rPr>
          <w:bCs/>
        </w:rPr>
      </w:pPr>
    </w:p>
    <w:p w:rsidR="006479F5" w:rsidRPr="0000600C" w:rsidP="00CD08FC" w14:paraId="035D15AF" w14:textId="27DCC3D0">
      <w:pPr>
        <w:ind w:left="720"/>
      </w:pPr>
      <w:r w:rsidRPr="0000600C">
        <w:rPr>
          <w:bCs/>
        </w:rPr>
        <w:t xml:space="preserve">There will be no personally identifying information collected </w:t>
      </w:r>
      <w:r>
        <w:rPr>
          <w:bCs/>
        </w:rPr>
        <w:t xml:space="preserve">in the survey </w:t>
      </w:r>
      <w:r w:rsidRPr="0000600C">
        <w:rPr>
          <w:bCs/>
        </w:rPr>
        <w:t xml:space="preserve">from the respondents. </w:t>
      </w:r>
      <w:r w:rsidR="00B658C2">
        <w:rPr>
          <w:bCs/>
        </w:rPr>
        <w:t xml:space="preserve"> </w:t>
      </w:r>
      <w:r w:rsidRPr="0000600C">
        <w:rPr>
          <w:bCs/>
        </w:rPr>
        <w:t>The respondent will not be able to submit any personal information, such as their name, address, phone number, email address, etc</w:t>
      </w:r>
      <w:r w:rsidR="006F34FD">
        <w:rPr>
          <w:bCs/>
        </w:rPr>
        <w:t>.</w:t>
      </w:r>
      <w:r>
        <w:rPr>
          <w:bCs/>
        </w:rPr>
        <w:t xml:space="preserve"> </w:t>
      </w:r>
      <w:r w:rsidR="006F34FD">
        <w:t>R</w:t>
      </w:r>
      <w:r w:rsidRPr="0000600C">
        <w:t>esponses to the interview or focus group questions will be kept anonymous</w:t>
      </w:r>
      <w:r w:rsidR="006F34FD">
        <w:t xml:space="preserve"> and</w:t>
      </w:r>
      <w:r w:rsidRPr="0000600C">
        <w:t xml:space="preserve"> </w:t>
      </w:r>
      <w:r>
        <w:t>KEA</w:t>
      </w:r>
      <w:r w:rsidRPr="0000600C">
        <w:t xml:space="preserve"> will not tie </w:t>
      </w:r>
      <w:r>
        <w:t>a respondent’s</w:t>
      </w:r>
      <w:r w:rsidRPr="0000600C">
        <w:t xml:space="preserve"> name or other personal identifying information to </w:t>
      </w:r>
      <w:r>
        <w:t>their</w:t>
      </w:r>
      <w:r w:rsidRPr="0000600C">
        <w:t xml:space="preserve"> responses.</w:t>
      </w:r>
      <w:r w:rsidR="006F34FD">
        <w:t xml:space="preserve"> </w:t>
      </w:r>
      <w:r w:rsidR="00B658C2">
        <w:t xml:space="preserve"> </w:t>
      </w:r>
      <w:r w:rsidR="006F34FD">
        <w:t>Findings from interviews will be reported as summaries</w:t>
      </w:r>
      <w:r w:rsidR="00767842">
        <w:rPr>
          <w:szCs w:val="24"/>
        </w:rPr>
        <w:t>.</w:t>
      </w:r>
    </w:p>
    <w:p w:rsidR="0000600C" w:rsidP="006479F5" w14:paraId="499FFFF5" w14:textId="77777777">
      <w:pPr>
        <w:pStyle w:val="BodyTextIndent2"/>
        <w:widowControl w:val="0"/>
        <w:tabs>
          <w:tab w:val="left" w:pos="360"/>
        </w:tabs>
        <w:spacing w:after="0" w:line="240" w:lineRule="auto"/>
        <w:ind w:left="720"/>
        <w:rPr>
          <w:szCs w:val="24"/>
        </w:rPr>
      </w:pPr>
    </w:p>
    <w:p w:rsidR="00EE5CA6" w:rsidRPr="0072276E" w:rsidP="00477CD8" w14:paraId="66BA8FFE" w14:textId="482C66B0">
      <w:pPr>
        <w:widowControl w:val="0"/>
        <w:autoSpaceDE w:val="0"/>
        <w:autoSpaceDN w:val="0"/>
        <w:adjustRightInd w:val="0"/>
        <w:rPr>
          <w:b/>
          <w:szCs w:val="24"/>
          <w:u w:val="single"/>
        </w:rPr>
      </w:pPr>
      <w:r>
        <w:rPr>
          <w:b/>
          <w:szCs w:val="24"/>
        </w:rPr>
        <w:t>11.</w:t>
      </w:r>
      <w:r>
        <w:rPr>
          <w:b/>
          <w:szCs w:val="24"/>
        </w:rPr>
        <w:tab/>
      </w:r>
      <w:r w:rsidRPr="00EA1DC0" w:rsidR="00EA1DC0">
        <w:rPr>
          <w:b/>
          <w:szCs w:val="24"/>
          <w:u w:val="single"/>
        </w:rPr>
        <w:t>Justification for any questions of a sensitive nature.</w:t>
      </w:r>
    </w:p>
    <w:p w:rsidR="00F65DCC" w:rsidP="005B0786" w14:paraId="1E32F9D0" w14:textId="77777777">
      <w:pPr>
        <w:rPr>
          <w:bCs/>
        </w:rPr>
      </w:pPr>
    </w:p>
    <w:p w:rsidR="005B0786" w:rsidP="005B0786" w14:paraId="24A661AD" w14:textId="5B50CF5D">
      <w:pPr>
        <w:ind w:left="720"/>
      </w:pPr>
      <w:r>
        <w:t xml:space="preserve">Participation in this proposed study is voluntary. </w:t>
      </w:r>
      <w:r w:rsidR="00B658C2">
        <w:t xml:space="preserve"> </w:t>
      </w:r>
      <w:r>
        <w:t xml:space="preserve">Thus, only those consenting to participate in the study will do so. </w:t>
      </w:r>
      <w:r w:rsidR="002238B1">
        <w:t xml:space="preserve"> </w:t>
      </w:r>
      <w:r w:rsidR="00F65DCC">
        <w:t>The survey</w:t>
      </w:r>
      <w:r w:rsidR="007102C1">
        <w:t xml:space="preserve"> and interviews</w:t>
      </w:r>
      <w:r w:rsidR="00F65DCC">
        <w:t xml:space="preserve"> </w:t>
      </w:r>
      <w:r>
        <w:t>will</w:t>
      </w:r>
      <w:r w:rsidR="00F65DCC">
        <w:t xml:space="preserve"> ask questions</w:t>
      </w:r>
      <w:r>
        <w:t xml:space="preserve"> related to attitudes around diversity, equity, inclusion</w:t>
      </w:r>
      <w:r w:rsidR="00C807A3">
        <w:t>,</w:t>
      </w:r>
      <w:r>
        <w:t xml:space="preserve"> and workplace culture</w:t>
      </w:r>
      <w:r w:rsidR="009736BC">
        <w:t>, which could be perceived as sensitive</w:t>
      </w:r>
      <w:r>
        <w:t xml:space="preserve">. </w:t>
      </w:r>
      <w:r w:rsidR="002238B1">
        <w:t xml:space="preserve"> </w:t>
      </w:r>
      <w:r>
        <w:t xml:space="preserve">However, those questions need to be asked to meet the goals of this project and all of them focus on matters related to the workplace. </w:t>
      </w:r>
      <w:r w:rsidR="002238B1">
        <w:t xml:space="preserve"> </w:t>
      </w:r>
      <w:r>
        <w:t xml:space="preserve">We will not be asking questions about religious beliefs or other matters that the public would consider private or sensitive in nature. </w:t>
      </w:r>
    </w:p>
    <w:p w:rsidR="00463559" w:rsidP="005B0786" w14:paraId="4A5CCA86" w14:textId="308EF03E">
      <w:pPr>
        <w:ind w:left="720"/>
        <w:rPr>
          <w:bCs/>
        </w:rPr>
      </w:pPr>
    </w:p>
    <w:p w:rsidR="00C378AA" w:rsidP="00C378AA" w14:paraId="74AFDEF8" w14:textId="065693CA">
      <w:pPr>
        <w:rPr>
          <w:b/>
          <w:bCs/>
          <w:szCs w:val="24"/>
        </w:rPr>
      </w:pPr>
      <w:r w:rsidRPr="00F7316B">
        <w:rPr>
          <w:b/>
          <w:bCs/>
          <w:szCs w:val="24"/>
        </w:rPr>
        <w:t xml:space="preserve">12.  </w:t>
      </w:r>
      <w:r w:rsidRPr="00F7316B">
        <w:rPr>
          <w:b/>
          <w:bCs/>
          <w:szCs w:val="24"/>
        </w:rPr>
        <w:tab/>
      </w:r>
      <w:r w:rsidRPr="0096133E">
        <w:rPr>
          <w:b/>
          <w:bCs/>
          <w:szCs w:val="24"/>
          <w:u w:val="single"/>
        </w:rPr>
        <w:t>Estimate of burden hours for information collected</w:t>
      </w:r>
      <w:r w:rsidRPr="0096133E">
        <w:rPr>
          <w:b/>
          <w:bCs/>
          <w:szCs w:val="24"/>
        </w:rPr>
        <w:t>.</w:t>
      </w:r>
    </w:p>
    <w:p w:rsidR="00463559" w:rsidP="00C378AA" w14:paraId="42706541" w14:textId="6CE94348">
      <w:pPr>
        <w:rPr>
          <w:b/>
          <w:bCs/>
          <w:szCs w:val="24"/>
        </w:rPr>
      </w:pPr>
    </w:p>
    <w:tbl>
      <w:tblPr>
        <w:tblW w:w="890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260"/>
        <w:gridCol w:w="1303"/>
        <w:gridCol w:w="1179"/>
        <w:gridCol w:w="1307"/>
        <w:gridCol w:w="1521"/>
      </w:tblGrid>
      <w:tr w14:paraId="4998EA2F" w14:textId="77777777" w:rsidTr="00B658C2">
        <w:tblPrEx>
          <w:tblW w:w="890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tcW w:w="2335" w:type="dxa"/>
            <w:shd w:val="clear" w:color="auto" w:fill="auto"/>
            <w:hideMark/>
          </w:tcPr>
          <w:p w:rsidR="00463559" w:rsidRPr="00463559" w:rsidP="00463559" w14:paraId="132A0D05" w14:textId="77777777">
            <w:pPr>
              <w:jc w:val="center"/>
              <w:rPr>
                <w:color w:val="000000"/>
                <w:sz w:val="20"/>
              </w:rPr>
            </w:pPr>
            <w:r w:rsidRPr="00463559">
              <w:rPr>
                <w:color w:val="000000"/>
                <w:sz w:val="20"/>
              </w:rPr>
              <w:t>CFR Section</w:t>
            </w:r>
          </w:p>
        </w:tc>
        <w:tc>
          <w:tcPr>
            <w:tcW w:w="1260" w:type="dxa"/>
            <w:shd w:val="clear" w:color="auto" w:fill="auto"/>
            <w:hideMark/>
          </w:tcPr>
          <w:p w:rsidR="00463559" w:rsidRPr="00463559" w:rsidP="00463559" w14:paraId="4F4226D2" w14:textId="042EB02A">
            <w:pPr>
              <w:jc w:val="center"/>
              <w:rPr>
                <w:color w:val="000000"/>
                <w:sz w:val="20"/>
              </w:rPr>
            </w:pPr>
            <w:r w:rsidRPr="00463559">
              <w:rPr>
                <w:color w:val="000000"/>
                <w:sz w:val="20"/>
              </w:rPr>
              <w:t xml:space="preserve">Respondent </w:t>
            </w:r>
            <w:r w:rsidR="00724848">
              <w:rPr>
                <w:color w:val="000000"/>
                <w:sz w:val="20"/>
              </w:rPr>
              <w:t>U</w:t>
            </w:r>
            <w:r w:rsidRPr="00463559">
              <w:rPr>
                <w:color w:val="000000"/>
                <w:sz w:val="20"/>
              </w:rPr>
              <w:t>niverse</w:t>
            </w:r>
            <w:r>
              <w:rPr>
                <w:rStyle w:val="FootnoteReference"/>
                <w:color w:val="000000"/>
                <w:sz w:val="20"/>
              </w:rPr>
              <w:footnoteReference w:id="8"/>
            </w:r>
          </w:p>
        </w:tc>
        <w:tc>
          <w:tcPr>
            <w:tcW w:w="1303" w:type="dxa"/>
            <w:shd w:val="clear" w:color="auto" w:fill="auto"/>
            <w:hideMark/>
          </w:tcPr>
          <w:p w:rsidR="00463559" w:rsidRPr="00463559" w:rsidP="00463559" w14:paraId="37D8345C" w14:textId="63AB5026">
            <w:pPr>
              <w:jc w:val="center"/>
              <w:rPr>
                <w:color w:val="000000"/>
                <w:sz w:val="20"/>
              </w:rPr>
            </w:pPr>
            <w:r w:rsidRPr="00463559">
              <w:rPr>
                <w:color w:val="000000"/>
                <w:sz w:val="20"/>
              </w:rPr>
              <w:t xml:space="preserve">Total </w:t>
            </w:r>
            <w:r w:rsidR="00724848">
              <w:rPr>
                <w:color w:val="000000"/>
                <w:sz w:val="20"/>
              </w:rPr>
              <w:t>A</w:t>
            </w:r>
            <w:r w:rsidRPr="00463559">
              <w:rPr>
                <w:color w:val="000000"/>
                <w:sz w:val="20"/>
              </w:rPr>
              <w:t xml:space="preserve">nnual </w:t>
            </w:r>
            <w:r w:rsidR="00724848">
              <w:rPr>
                <w:color w:val="000000"/>
                <w:sz w:val="20"/>
              </w:rPr>
              <w:t>R</w:t>
            </w:r>
            <w:r w:rsidRPr="00463559">
              <w:rPr>
                <w:color w:val="000000"/>
                <w:sz w:val="20"/>
              </w:rPr>
              <w:t>esponses</w:t>
            </w:r>
            <w:r w:rsidRPr="00463559">
              <w:rPr>
                <w:color w:val="000000"/>
                <w:sz w:val="20"/>
              </w:rPr>
              <w:br/>
              <w:t>(A)</w:t>
            </w:r>
          </w:p>
        </w:tc>
        <w:tc>
          <w:tcPr>
            <w:tcW w:w="0" w:type="auto"/>
            <w:shd w:val="clear" w:color="auto" w:fill="auto"/>
            <w:hideMark/>
          </w:tcPr>
          <w:p w:rsidR="00463559" w:rsidRPr="00463559" w:rsidP="00463559" w14:paraId="7C5D80BD" w14:textId="0C5ECA8D">
            <w:pPr>
              <w:jc w:val="center"/>
              <w:rPr>
                <w:color w:val="000000"/>
                <w:sz w:val="20"/>
              </w:rPr>
            </w:pPr>
            <w:r w:rsidRPr="00463559">
              <w:rPr>
                <w:color w:val="000000"/>
                <w:sz w:val="20"/>
              </w:rPr>
              <w:t xml:space="preserve">Average </w:t>
            </w:r>
            <w:r w:rsidR="00724848">
              <w:rPr>
                <w:color w:val="000000"/>
                <w:sz w:val="20"/>
              </w:rPr>
              <w:t>T</w:t>
            </w:r>
            <w:r w:rsidRPr="00463559">
              <w:rPr>
                <w:color w:val="000000"/>
                <w:sz w:val="20"/>
              </w:rPr>
              <w:t xml:space="preserve">ime per </w:t>
            </w:r>
            <w:r w:rsidR="00724848">
              <w:rPr>
                <w:color w:val="000000"/>
                <w:sz w:val="20"/>
              </w:rPr>
              <w:t>R</w:t>
            </w:r>
            <w:r w:rsidRPr="00463559">
              <w:rPr>
                <w:color w:val="000000"/>
                <w:sz w:val="20"/>
              </w:rPr>
              <w:t>esponse</w:t>
            </w:r>
            <w:r w:rsidRPr="00463559">
              <w:rPr>
                <w:color w:val="000000"/>
                <w:sz w:val="20"/>
              </w:rPr>
              <w:br/>
              <w:t>(B)</w:t>
            </w:r>
          </w:p>
        </w:tc>
        <w:tc>
          <w:tcPr>
            <w:tcW w:w="1307" w:type="dxa"/>
            <w:shd w:val="clear" w:color="auto" w:fill="auto"/>
            <w:hideMark/>
          </w:tcPr>
          <w:p w:rsidR="00463559" w:rsidRPr="00463559" w:rsidP="00463559" w14:paraId="2A20D244" w14:textId="57F1DDF4">
            <w:pPr>
              <w:jc w:val="center"/>
              <w:rPr>
                <w:color w:val="000000"/>
                <w:sz w:val="20"/>
              </w:rPr>
            </w:pPr>
            <w:r w:rsidRPr="00463559">
              <w:rPr>
                <w:color w:val="000000"/>
                <w:sz w:val="20"/>
              </w:rPr>
              <w:t xml:space="preserve">Total </w:t>
            </w:r>
            <w:r w:rsidR="00724848">
              <w:rPr>
                <w:color w:val="000000"/>
                <w:sz w:val="20"/>
              </w:rPr>
              <w:t>A</w:t>
            </w:r>
            <w:r w:rsidRPr="00463559">
              <w:rPr>
                <w:color w:val="000000"/>
                <w:sz w:val="20"/>
              </w:rPr>
              <w:t xml:space="preserve">nnual </w:t>
            </w:r>
            <w:r w:rsidR="00724848">
              <w:rPr>
                <w:color w:val="000000"/>
                <w:sz w:val="20"/>
              </w:rPr>
              <w:t>B</w:t>
            </w:r>
            <w:r w:rsidRPr="00463559">
              <w:rPr>
                <w:color w:val="000000"/>
                <w:sz w:val="20"/>
              </w:rPr>
              <w:t xml:space="preserve">urden </w:t>
            </w:r>
            <w:r w:rsidR="00724848">
              <w:rPr>
                <w:color w:val="000000"/>
                <w:sz w:val="20"/>
              </w:rPr>
              <w:t>H</w:t>
            </w:r>
            <w:r w:rsidRPr="00463559">
              <w:rPr>
                <w:color w:val="000000"/>
                <w:sz w:val="20"/>
              </w:rPr>
              <w:t>ours (C =A*B)</w:t>
            </w:r>
          </w:p>
        </w:tc>
        <w:tc>
          <w:tcPr>
            <w:tcW w:w="1521" w:type="dxa"/>
            <w:shd w:val="clear" w:color="auto" w:fill="auto"/>
            <w:hideMark/>
          </w:tcPr>
          <w:p w:rsidR="00463559" w:rsidRPr="00463559" w:rsidP="00463559" w14:paraId="482F3B11" w14:textId="4EAFC870">
            <w:pPr>
              <w:jc w:val="center"/>
              <w:rPr>
                <w:color w:val="000000"/>
                <w:sz w:val="20"/>
              </w:rPr>
            </w:pPr>
            <w:r w:rsidRPr="00463559">
              <w:rPr>
                <w:color w:val="000000"/>
                <w:sz w:val="20"/>
              </w:rPr>
              <w:t xml:space="preserve">Total </w:t>
            </w:r>
            <w:r w:rsidR="00724848">
              <w:rPr>
                <w:color w:val="000000"/>
                <w:sz w:val="20"/>
              </w:rPr>
              <w:t>C</w:t>
            </w:r>
            <w:r w:rsidRPr="00463559">
              <w:rPr>
                <w:color w:val="000000"/>
                <w:sz w:val="20"/>
              </w:rPr>
              <w:t xml:space="preserve">ost </w:t>
            </w:r>
            <w:r w:rsidR="00724848">
              <w:rPr>
                <w:color w:val="000000"/>
                <w:sz w:val="20"/>
              </w:rPr>
              <w:t>E</w:t>
            </w:r>
            <w:r w:rsidRPr="00463559">
              <w:rPr>
                <w:color w:val="000000"/>
                <w:sz w:val="20"/>
              </w:rPr>
              <w:t xml:space="preserve">quivalent in U.S. </w:t>
            </w:r>
            <w:r w:rsidR="00724848">
              <w:rPr>
                <w:color w:val="000000"/>
                <w:sz w:val="20"/>
              </w:rPr>
              <w:t>D</w:t>
            </w:r>
            <w:r w:rsidRPr="00463559">
              <w:rPr>
                <w:color w:val="000000"/>
                <w:sz w:val="20"/>
              </w:rPr>
              <w:t xml:space="preserve">ollar </w:t>
            </w:r>
          </w:p>
          <w:p w:rsidR="00125E8E" w:rsidP="00463559" w14:paraId="156D2511" w14:textId="77777777">
            <w:pPr>
              <w:jc w:val="center"/>
              <w:rPr>
                <w:color w:val="000000"/>
                <w:sz w:val="20"/>
              </w:rPr>
            </w:pPr>
            <w:r w:rsidRPr="00463559">
              <w:rPr>
                <w:color w:val="000000"/>
                <w:sz w:val="20"/>
              </w:rPr>
              <w:t>(D = C*</w:t>
            </w:r>
          </w:p>
          <w:p w:rsidR="00463559" w:rsidRPr="00463559" w:rsidP="00463559" w14:paraId="56F9D623" w14:textId="0F255A8D">
            <w:pPr>
              <w:jc w:val="center"/>
              <w:rPr>
                <w:color w:val="000000"/>
                <w:sz w:val="20"/>
              </w:rPr>
            </w:pPr>
            <w:r w:rsidRPr="00463559">
              <w:rPr>
                <w:color w:val="000000"/>
                <w:sz w:val="20"/>
              </w:rPr>
              <w:t xml:space="preserve"> </w:t>
            </w:r>
            <w:r w:rsidR="00724848">
              <w:rPr>
                <w:color w:val="000000"/>
                <w:sz w:val="20"/>
              </w:rPr>
              <w:t>W</w:t>
            </w:r>
            <w:r w:rsidRPr="00463559">
              <w:rPr>
                <w:color w:val="000000"/>
                <w:sz w:val="20"/>
              </w:rPr>
              <w:t xml:space="preserve">age </w:t>
            </w:r>
            <w:r w:rsidR="00724848">
              <w:rPr>
                <w:color w:val="000000"/>
                <w:sz w:val="20"/>
              </w:rPr>
              <w:t>R</w:t>
            </w:r>
            <w:r w:rsidRPr="00463559">
              <w:rPr>
                <w:color w:val="000000"/>
                <w:sz w:val="20"/>
              </w:rPr>
              <w:t>ates)</w:t>
            </w:r>
            <w:r>
              <w:rPr>
                <w:rStyle w:val="FootnoteReference"/>
                <w:color w:val="000000"/>
                <w:sz w:val="20"/>
              </w:rPr>
              <w:footnoteReference w:id="9"/>
            </w:r>
            <w:r w:rsidRPr="00463559">
              <w:rPr>
                <w:color w:val="000000"/>
                <w:sz w:val="20"/>
                <w:vertAlign w:val="superscript"/>
              </w:rPr>
              <w:t xml:space="preserve"> </w:t>
            </w:r>
          </w:p>
        </w:tc>
      </w:tr>
      <w:tr w14:paraId="24D92CB1" w14:textId="77777777" w:rsidTr="00A0559D">
        <w:tblPrEx>
          <w:tblW w:w="8905" w:type="dxa"/>
          <w:tblInd w:w="805" w:type="dxa"/>
          <w:tblLook w:val="04A0"/>
        </w:tblPrEx>
        <w:trPr>
          <w:trHeight w:val="264"/>
        </w:trPr>
        <w:tc>
          <w:tcPr>
            <w:tcW w:w="2335" w:type="dxa"/>
            <w:shd w:val="clear" w:color="auto" w:fill="auto"/>
          </w:tcPr>
          <w:p w:rsidR="00D13A45" w:rsidRPr="00D13A45" w:rsidP="00D13A45" w14:paraId="2E34EB99" w14:textId="77777777">
            <w:pPr>
              <w:rPr>
                <w:color w:val="000000"/>
                <w:sz w:val="20"/>
              </w:rPr>
            </w:pPr>
            <w:r w:rsidRPr="00D13A45">
              <w:rPr>
                <w:color w:val="000000"/>
                <w:sz w:val="20"/>
              </w:rPr>
              <w:t>Email notification for on-line survey.</w:t>
            </w:r>
          </w:p>
          <w:p w:rsidR="00463559" w:rsidRPr="00463559" w:rsidP="00D13A45" w14:paraId="0A5CF561" w14:textId="3F3F103E">
            <w:pPr>
              <w:rPr>
                <w:color w:val="000000"/>
                <w:sz w:val="20"/>
              </w:rPr>
            </w:pPr>
            <w:r w:rsidRPr="00D13A45">
              <w:rPr>
                <w:color w:val="000000"/>
                <w:sz w:val="20"/>
              </w:rPr>
              <w:t>This notification includes confidentiality statement to potential participants (before the survey)</w:t>
            </w:r>
          </w:p>
        </w:tc>
        <w:tc>
          <w:tcPr>
            <w:tcW w:w="1260" w:type="dxa"/>
            <w:shd w:val="clear" w:color="auto" w:fill="auto"/>
          </w:tcPr>
          <w:p w:rsidR="00463559" w:rsidRPr="00463559" w:rsidP="005E5B8F" w14:paraId="2B3E37B9" w14:textId="6E6DFA7A">
            <w:pPr>
              <w:jc w:val="center"/>
              <w:rPr>
                <w:color w:val="000000"/>
                <w:sz w:val="20"/>
              </w:rPr>
            </w:pPr>
            <w:r w:rsidRPr="00463559">
              <w:rPr>
                <w:color w:val="000000"/>
                <w:sz w:val="20"/>
              </w:rPr>
              <w:t>150</w:t>
            </w:r>
          </w:p>
          <w:p w:rsidR="00463559" w:rsidRPr="00463559" w:rsidP="005E5B8F" w14:paraId="0CEC7180" w14:textId="77777777">
            <w:pPr>
              <w:jc w:val="center"/>
              <w:rPr>
                <w:color w:val="000000"/>
                <w:sz w:val="20"/>
              </w:rPr>
            </w:pPr>
            <w:r w:rsidRPr="00463559">
              <w:rPr>
                <w:color w:val="000000"/>
                <w:sz w:val="20"/>
              </w:rPr>
              <w:t>rail stakeholders</w:t>
            </w:r>
          </w:p>
        </w:tc>
        <w:tc>
          <w:tcPr>
            <w:tcW w:w="1303" w:type="dxa"/>
            <w:shd w:val="clear" w:color="auto" w:fill="auto"/>
          </w:tcPr>
          <w:p w:rsidR="00463559" w:rsidRPr="00463559" w:rsidP="005E5B8F" w14:paraId="65CB054D" w14:textId="77777777">
            <w:pPr>
              <w:jc w:val="center"/>
              <w:rPr>
                <w:color w:val="000000"/>
                <w:sz w:val="20"/>
              </w:rPr>
            </w:pPr>
            <w:r w:rsidRPr="00463559">
              <w:rPr>
                <w:color w:val="000000"/>
                <w:sz w:val="20"/>
              </w:rPr>
              <w:t>50</w:t>
            </w:r>
          </w:p>
        </w:tc>
        <w:tc>
          <w:tcPr>
            <w:tcW w:w="0" w:type="auto"/>
            <w:shd w:val="clear" w:color="auto" w:fill="auto"/>
          </w:tcPr>
          <w:p w:rsidR="00463559" w:rsidRPr="00463559" w:rsidP="005E5B8F" w14:paraId="389757F4" w14:textId="77777777">
            <w:pPr>
              <w:jc w:val="center"/>
              <w:rPr>
                <w:rFonts w:eastAsia="Calibri"/>
                <w:sz w:val="20"/>
              </w:rPr>
            </w:pPr>
            <w:r w:rsidRPr="00463559">
              <w:rPr>
                <w:rFonts w:eastAsia="Calibri"/>
                <w:sz w:val="20"/>
              </w:rPr>
              <w:t>10</w:t>
            </w:r>
          </w:p>
          <w:p w:rsidR="00463559" w:rsidRPr="00463559" w:rsidP="005E5B8F" w14:paraId="21160495" w14:textId="77777777">
            <w:pPr>
              <w:jc w:val="center"/>
              <w:rPr>
                <w:color w:val="000000"/>
                <w:sz w:val="20"/>
              </w:rPr>
            </w:pPr>
            <w:r w:rsidRPr="00463559">
              <w:rPr>
                <w:rFonts w:eastAsia="Calibri"/>
                <w:sz w:val="20"/>
              </w:rPr>
              <w:t>minutes</w:t>
            </w:r>
          </w:p>
        </w:tc>
        <w:tc>
          <w:tcPr>
            <w:tcW w:w="1307" w:type="dxa"/>
            <w:shd w:val="clear" w:color="auto" w:fill="auto"/>
          </w:tcPr>
          <w:p w:rsidR="00463559" w:rsidRPr="00463559" w:rsidP="005E5B8F" w14:paraId="64BA92E8" w14:textId="0C2F1EF2">
            <w:pPr>
              <w:jc w:val="center"/>
              <w:rPr>
                <w:rFonts w:eastAsia="Calibri"/>
                <w:sz w:val="20"/>
              </w:rPr>
            </w:pPr>
            <w:r w:rsidRPr="00463559">
              <w:rPr>
                <w:rFonts w:eastAsia="Calibri"/>
                <w:sz w:val="20"/>
              </w:rPr>
              <w:t>8.33</w:t>
            </w:r>
          </w:p>
          <w:p w:rsidR="00463559" w:rsidRPr="00463559" w:rsidP="005E5B8F" w14:paraId="64A2B2C2" w14:textId="77777777">
            <w:pPr>
              <w:jc w:val="center"/>
              <w:rPr>
                <w:color w:val="000000"/>
                <w:sz w:val="20"/>
              </w:rPr>
            </w:pPr>
            <w:r w:rsidRPr="00463559">
              <w:rPr>
                <w:rFonts w:eastAsia="Calibri"/>
                <w:sz w:val="20"/>
              </w:rPr>
              <w:t>hours</w:t>
            </w:r>
          </w:p>
        </w:tc>
        <w:tc>
          <w:tcPr>
            <w:tcW w:w="1521" w:type="dxa"/>
            <w:shd w:val="clear" w:color="auto" w:fill="auto"/>
          </w:tcPr>
          <w:p w:rsidR="00463559" w:rsidRPr="00463559" w:rsidP="005E5B8F" w14:paraId="50B0AC92" w14:textId="77777777">
            <w:pPr>
              <w:jc w:val="center"/>
              <w:rPr>
                <w:color w:val="000000"/>
                <w:sz w:val="20"/>
              </w:rPr>
            </w:pPr>
            <w:r w:rsidRPr="00463559">
              <w:rPr>
                <w:rFonts w:eastAsia="Calibri"/>
                <w:sz w:val="20"/>
              </w:rPr>
              <w:t>$377.02</w:t>
            </w:r>
          </w:p>
        </w:tc>
      </w:tr>
      <w:tr w14:paraId="52B121BA" w14:textId="77777777" w:rsidTr="00A0559D">
        <w:tblPrEx>
          <w:tblW w:w="8905" w:type="dxa"/>
          <w:tblInd w:w="805" w:type="dxa"/>
          <w:tblLook w:val="04A0"/>
        </w:tblPrEx>
        <w:trPr>
          <w:trHeight w:val="264"/>
        </w:trPr>
        <w:tc>
          <w:tcPr>
            <w:tcW w:w="2335" w:type="dxa"/>
            <w:shd w:val="clear" w:color="auto" w:fill="auto"/>
          </w:tcPr>
          <w:p w:rsidR="00463559" w:rsidP="00463559" w14:paraId="600B6A25" w14:textId="6C08D633">
            <w:pPr>
              <w:rPr>
                <w:color w:val="000000"/>
                <w:sz w:val="20"/>
              </w:rPr>
            </w:pPr>
            <w:r w:rsidRPr="00767C6C">
              <w:rPr>
                <w:color w:val="000000"/>
                <w:sz w:val="20"/>
              </w:rPr>
              <w:t>FRA F 6180</w:t>
            </w:r>
            <w:r>
              <w:rPr>
                <w:color w:val="000000"/>
                <w:sz w:val="20"/>
              </w:rPr>
              <w:t xml:space="preserve">-279— WFD on-line survey. </w:t>
            </w:r>
            <w:r w:rsidR="001975D9">
              <w:rPr>
                <w:color w:val="000000"/>
                <w:sz w:val="20"/>
              </w:rPr>
              <w:t xml:space="preserve"> on Organizational Culture &amp; Performance Management in Rail.</w:t>
            </w:r>
          </w:p>
          <w:p w:rsidR="001975D9" w:rsidRPr="000E03A0" w:rsidP="00463559" w14:paraId="3A943900" w14:textId="747FB617">
            <w:pPr>
              <w:rPr>
                <w:i/>
                <w:iCs/>
                <w:color w:val="000000"/>
                <w:sz w:val="20"/>
              </w:rPr>
            </w:pPr>
            <w:r w:rsidRPr="000E03A0">
              <w:rPr>
                <w:i/>
                <w:iCs/>
                <w:color w:val="000000"/>
                <w:sz w:val="20"/>
              </w:rPr>
              <w:t>(New form)</w:t>
            </w:r>
          </w:p>
        </w:tc>
        <w:tc>
          <w:tcPr>
            <w:tcW w:w="1260" w:type="dxa"/>
            <w:shd w:val="clear" w:color="auto" w:fill="auto"/>
          </w:tcPr>
          <w:p w:rsidR="00463559" w:rsidRPr="00463559" w:rsidP="005E5B8F" w14:paraId="635B7F67" w14:textId="06C2F0E0">
            <w:pPr>
              <w:jc w:val="center"/>
              <w:rPr>
                <w:color w:val="000000"/>
                <w:sz w:val="20"/>
              </w:rPr>
            </w:pPr>
            <w:r w:rsidRPr="00463559">
              <w:rPr>
                <w:color w:val="000000"/>
                <w:sz w:val="20"/>
              </w:rPr>
              <w:t>150</w:t>
            </w:r>
          </w:p>
          <w:p w:rsidR="00463559" w:rsidRPr="00463559" w:rsidP="005E5B8F" w14:paraId="48337A6B" w14:textId="77777777">
            <w:pPr>
              <w:jc w:val="center"/>
              <w:rPr>
                <w:color w:val="000000"/>
                <w:sz w:val="20"/>
              </w:rPr>
            </w:pPr>
            <w:r w:rsidRPr="00463559">
              <w:rPr>
                <w:color w:val="000000"/>
                <w:sz w:val="20"/>
              </w:rPr>
              <w:t>rail stakeholders</w:t>
            </w:r>
          </w:p>
        </w:tc>
        <w:tc>
          <w:tcPr>
            <w:tcW w:w="1303" w:type="dxa"/>
            <w:shd w:val="clear" w:color="auto" w:fill="auto"/>
          </w:tcPr>
          <w:p w:rsidR="00463559" w:rsidRPr="00463559" w:rsidP="005E5B8F" w14:paraId="79EC3934" w14:textId="77777777">
            <w:pPr>
              <w:jc w:val="center"/>
              <w:rPr>
                <w:color w:val="000000"/>
                <w:sz w:val="20"/>
              </w:rPr>
            </w:pPr>
            <w:r w:rsidRPr="00463559">
              <w:rPr>
                <w:color w:val="000000"/>
                <w:sz w:val="20"/>
              </w:rPr>
              <w:t>30</w:t>
            </w:r>
          </w:p>
        </w:tc>
        <w:tc>
          <w:tcPr>
            <w:tcW w:w="0" w:type="auto"/>
            <w:shd w:val="clear" w:color="auto" w:fill="auto"/>
          </w:tcPr>
          <w:p w:rsidR="00463559" w:rsidRPr="00463559" w:rsidP="005E5B8F" w14:paraId="765B7407" w14:textId="77777777">
            <w:pPr>
              <w:jc w:val="center"/>
              <w:rPr>
                <w:color w:val="000000"/>
                <w:sz w:val="20"/>
              </w:rPr>
            </w:pPr>
            <w:r w:rsidRPr="00463559">
              <w:rPr>
                <w:color w:val="000000"/>
                <w:sz w:val="20"/>
              </w:rPr>
              <w:t>20</w:t>
            </w:r>
          </w:p>
          <w:p w:rsidR="00463559" w:rsidRPr="00463559" w:rsidP="005E5B8F" w14:paraId="2D7F1F5D" w14:textId="7F9F755F">
            <w:pPr>
              <w:jc w:val="center"/>
              <w:rPr>
                <w:color w:val="000000"/>
                <w:sz w:val="20"/>
              </w:rPr>
            </w:pPr>
            <w:r w:rsidRPr="00463559">
              <w:rPr>
                <w:color w:val="000000"/>
                <w:sz w:val="20"/>
              </w:rPr>
              <w:t>minutes</w:t>
            </w:r>
          </w:p>
        </w:tc>
        <w:tc>
          <w:tcPr>
            <w:tcW w:w="1307" w:type="dxa"/>
            <w:shd w:val="clear" w:color="auto" w:fill="auto"/>
          </w:tcPr>
          <w:p w:rsidR="00463559" w:rsidRPr="00463559" w:rsidP="005E5B8F" w14:paraId="00E2FF24" w14:textId="77777777">
            <w:pPr>
              <w:jc w:val="center"/>
              <w:rPr>
                <w:color w:val="000000"/>
                <w:sz w:val="20"/>
              </w:rPr>
            </w:pPr>
            <w:r w:rsidRPr="00463559">
              <w:rPr>
                <w:color w:val="000000"/>
                <w:sz w:val="20"/>
              </w:rPr>
              <w:t>10.00</w:t>
            </w:r>
          </w:p>
          <w:p w:rsidR="00463559" w:rsidRPr="00463559" w:rsidP="005E5B8F" w14:paraId="1F62BF14" w14:textId="2366BFF7">
            <w:pPr>
              <w:jc w:val="center"/>
              <w:rPr>
                <w:color w:val="000000"/>
                <w:sz w:val="20"/>
              </w:rPr>
            </w:pPr>
            <w:r w:rsidRPr="00463559">
              <w:rPr>
                <w:color w:val="000000"/>
                <w:sz w:val="20"/>
              </w:rPr>
              <w:t>hours</w:t>
            </w:r>
          </w:p>
        </w:tc>
        <w:tc>
          <w:tcPr>
            <w:tcW w:w="1521" w:type="dxa"/>
            <w:shd w:val="clear" w:color="auto" w:fill="auto"/>
          </w:tcPr>
          <w:p w:rsidR="00463559" w:rsidRPr="00463559" w:rsidP="005E5B8F" w14:paraId="2A49222F" w14:textId="77777777">
            <w:pPr>
              <w:jc w:val="center"/>
              <w:rPr>
                <w:color w:val="000000"/>
                <w:sz w:val="20"/>
              </w:rPr>
            </w:pPr>
            <w:r w:rsidRPr="00463559">
              <w:rPr>
                <w:color w:val="000000"/>
                <w:sz w:val="20"/>
              </w:rPr>
              <w:t>$452.60</w:t>
            </w:r>
          </w:p>
        </w:tc>
      </w:tr>
      <w:tr w14:paraId="1F5943A3" w14:textId="77777777" w:rsidTr="00A0559D">
        <w:tblPrEx>
          <w:tblW w:w="8905" w:type="dxa"/>
          <w:tblInd w:w="805" w:type="dxa"/>
          <w:tblLook w:val="04A0"/>
        </w:tblPrEx>
        <w:trPr>
          <w:trHeight w:val="264"/>
        </w:trPr>
        <w:tc>
          <w:tcPr>
            <w:tcW w:w="2335" w:type="dxa"/>
            <w:shd w:val="clear" w:color="auto" w:fill="auto"/>
          </w:tcPr>
          <w:p w:rsidR="00463559" w:rsidRPr="00463559" w:rsidP="00463559" w14:paraId="7067CB0D" w14:textId="746559FD">
            <w:pPr>
              <w:rPr>
                <w:color w:val="000000"/>
                <w:sz w:val="20"/>
              </w:rPr>
            </w:pPr>
            <w:r>
              <w:rPr>
                <w:color w:val="000000"/>
                <w:sz w:val="20"/>
              </w:rPr>
              <w:t xml:space="preserve">Email notification for Performance Management Systems interview/focus group. This notification </w:t>
            </w:r>
            <w:r w:rsidRPr="00E31B28">
              <w:rPr>
                <w:color w:val="000000"/>
                <w:sz w:val="20"/>
              </w:rPr>
              <w:t>includ</w:t>
            </w:r>
            <w:r>
              <w:rPr>
                <w:color w:val="000000"/>
                <w:sz w:val="20"/>
              </w:rPr>
              <w:t>es</w:t>
            </w:r>
            <w:r w:rsidRPr="00E31B28">
              <w:rPr>
                <w:color w:val="000000"/>
                <w:sz w:val="20"/>
              </w:rPr>
              <w:t xml:space="preserve"> confidentiality statement to potential focus group and interview respondents (before the interview)</w:t>
            </w:r>
          </w:p>
        </w:tc>
        <w:tc>
          <w:tcPr>
            <w:tcW w:w="1260" w:type="dxa"/>
            <w:shd w:val="clear" w:color="auto" w:fill="auto"/>
          </w:tcPr>
          <w:p w:rsidR="00463559" w:rsidRPr="001975D9" w:rsidP="005E5B8F" w14:paraId="58E59839" w14:textId="77777777">
            <w:pPr>
              <w:jc w:val="center"/>
              <w:rPr>
                <w:color w:val="000000"/>
                <w:sz w:val="20"/>
              </w:rPr>
            </w:pPr>
            <w:r w:rsidRPr="001975D9">
              <w:rPr>
                <w:rFonts w:eastAsia="Calibri"/>
                <w:sz w:val="20"/>
              </w:rPr>
              <w:t>Up to 30 Rail stakeholders</w:t>
            </w:r>
          </w:p>
        </w:tc>
        <w:tc>
          <w:tcPr>
            <w:tcW w:w="1303" w:type="dxa"/>
            <w:shd w:val="clear" w:color="auto" w:fill="auto"/>
          </w:tcPr>
          <w:p w:rsidR="00463559" w:rsidRPr="001975D9" w:rsidP="005E5B8F" w14:paraId="7B0DAF20" w14:textId="77777777">
            <w:pPr>
              <w:jc w:val="center"/>
              <w:rPr>
                <w:color w:val="000000"/>
                <w:sz w:val="20"/>
              </w:rPr>
            </w:pPr>
            <w:r w:rsidRPr="001975D9">
              <w:rPr>
                <w:rFonts w:eastAsia="Calibri"/>
                <w:sz w:val="20"/>
              </w:rPr>
              <w:t>10</w:t>
            </w:r>
          </w:p>
        </w:tc>
        <w:tc>
          <w:tcPr>
            <w:tcW w:w="0" w:type="auto"/>
            <w:shd w:val="clear" w:color="auto" w:fill="auto"/>
          </w:tcPr>
          <w:p w:rsidR="001975D9" w:rsidP="005E5B8F" w14:paraId="4F8C1307" w14:textId="77777777">
            <w:pPr>
              <w:jc w:val="center"/>
              <w:rPr>
                <w:rFonts w:eastAsia="Calibri"/>
                <w:sz w:val="20"/>
              </w:rPr>
            </w:pPr>
            <w:r w:rsidRPr="001975D9">
              <w:rPr>
                <w:rFonts w:eastAsia="Calibri"/>
                <w:sz w:val="20"/>
              </w:rPr>
              <w:t xml:space="preserve">10 </w:t>
            </w:r>
          </w:p>
          <w:p w:rsidR="00463559" w:rsidRPr="001975D9" w:rsidP="005E5B8F" w14:paraId="57045875" w14:textId="4A4837A8">
            <w:pPr>
              <w:jc w:val="center"/>
              <w:rPr>
                <w:color w:val="000000"/>
                <w:sz w:val="20"/>
              </w:rPr>
            </w:pPr>
            <w:r w:rsidRPr="001975D9">
              <w:rPr>
                <w:rFonts w:eastAsia="Calibri"/>
                <w:sz w:val="20"/>
              </w:rPr>
              <w:t>minutes</w:t>
            </w:r>
          </w:p>
        </w:tc>
        <w:tc>
          <w:tcPr>
            <w:tcW w:w="1307" w:type="dxa"/>
            <w:shd w:val="clear" w:color="auto" w:fill="auto"/>
          </w:tcPr>
          <w:p w:rsidR="00463559" w:rsidRPr="001975D9" w:rsidP="005E5B8F" w14:paraId="5CC267D4" w14:textId="77777777">
            <w:pPr>
              <w:jc w:val="center"/>
              <w:rPr>
                <w:rFonts w:eastAsia="Calibri"/>
                <w:sz w:val="20"/>
              </w:rPr>
            </w:pPr>
            <w:r w:rsidRPr="001975D9">
              <w:rPr>
                <w:rFonts w:eastAsia="Calibri"/>
                <w:sz w:val="20"/>
              </w:rPr>
              <w:t>1.67</w:t>
            </w:r>
          </w:p>
          <w:p w:rsidR="00463559" w:rsidRPr="001975D9" w:rsidP="005E5B8F" w14:paraId="29161C5D" w14:textId="37DF2359">
            <w:pPr>
              <w:jc w:val="center"/>
              <w:rPr>
                <w:rFonts w:eastAsia="Calibri"/>
                <w:sz w:val="20"/>
              </w:rPr>
            </w:pPr>
            <w:r w:rsidRPr="001975D9">
              <w:rPr>
                <w:rFonts w:eastAsia="Calibri"/>
                <w:sz w:val="20"/>
              </w:rPr>
              <w:t>hours</w:t>
            </w:r>
          </w:p>
          <w:p w:rsidR="00463559" w:rsidRPr="001975D9" w:rsidP="005E5B8F" w14:paraId="504AE849" w14:textId="77777777">
            <w:pPr>
              <w:jc w:val="center"/>
              <w:rPr>
                <w:color w:val="000000"/>
                <w:sz w:val="20"/>
              </w:rPr>
            </w:pPr>
          </w:p>
        </w:tc>
        <w:tc>
          <w:tcPr>
            <w:tcW w:w="1521" w:type="dxa"/>
            <w:shd w:val="clear" w:color="auto" w:fill="auto"/>
          </w:tcPr>
          <w:p w:rsidR="00463559" w:rsidRPr="001975D9" w:rsidP="005E5B8F" w14:paraId="64BE23D1" w14:textId="77777777">
            <w:pPr>
              <w:jc w:val="center"/>
              <w:rPr>
                <w:rFonts w:eastAsia="Calibri"/>
                <w:sz w:val="20"/>
              </w:rPr>
            </w:pPr>
            <w:r w:rsidRPr="001975D9">
              <w:rPr>
                <w:rFonts w:eastAsia="Calibri"/>
                <w:sz w:val="20"/>
              </w:rPr>
              <w:t>$75.58</w:t>
            </w:r>
          </w:p>
          <w:p w:rsidR="00463559" w:rsidRPr="001975D9" w:rsidP="005E5B8F" w14:paraId="6D70E6F5" w14:textId="77777777">
            <w:pPr>
              <w:jc w:val="center"/>
              <w:rPr>
                <w:color w:val="000000"/>
                <w:sz w:val="20"/>
              </w:rPr>
            </w:pPr>
          </w:p>
        </w:tc>
      </w:tr>
      <w:tr w14:paraId="33EBE013" w14:textId="77777777" w:rsidTr="00A0559D">
        <w:tblPrEx>
          <w:tblW w:w="8905" w:type="dxa"/>
          <w:tblInd w:w="805" w:type="dxa"/>
          <w:tblLook w:val="04A0"/>
        </w:tblPrEx>
        <w:trPr>
          <w:trHeight w:val="264"/>
        </w:trPr>
        <w:tc>
          <w:tcPr>
            <w:tcW w:w="2335" w:type="dxa"/>
            <w:shd w:val="clear" w:color="auto" w:fill="auto"/>
          </w:tcPr>
          <w:p w:rsidR="00D13A45" w:rsidRPr="00D13A45" w:rsidP="00D13A45" w14:paraId="32BD739F" w14:textId="77777777">
            <w:pPr>
              <w:rPr>
                <w:color w:val="000000"/>
                <w:sz w:val="20"/>
              </w:rPr>
            </w:pPr>
            <w:r w:rsidRPr="00D13A45">
              <w:rPr>
                <w:color w:val="000000"/>
                <w:sz w:val="20"/>
              </w:rPr>
              <w:t>FRA F 6180.278 —</w:t>
            </w:r>
          </w:p>
          <w:p w:rsidR="00463559" w:rsidRPr="00463559" w:rsidP="00D13A45" w14:paraId="3E8476CB" w14:textId="29096EFC">
            <w:pPr>
              <w:rPr>
                <w:color w:val="000000"/>
                <w:sz w:val="20"/>
              </w:rPr>
            </w:pPr>
            <w:r w:rsidRPr="00D13A45">
              <w:rPr>
                <w:color w:val="000000"/>
                <w:sz w:val="20"/>
              </w:rPr>
              <w:t>WFD Interview Questions.  Semi-structured</w:t>
            </w:r>
            <w:r>
              <w:rPr>
                <w:color w:val="000000"/>
                <w:sz w:val="20"/>
                <w:vertAlign w:val="superscript"/>
              </w:rPr>
              <w:footnoteReference w:id="10"/>
            </w:r>
            <w:r w:rsidRPr="00D13A45">
              <w:rPr>
                <w:color w:val="000000"/>
                <w:sz w:val="20"/>
              </w:rPr>
              <w:t xml:space="preserve"> interview questions/focus groups on experiences with workforce culture &amp; performance Management systems </w:t>
            </w:r>
            <w:r w:rsidRPr="001975D9">
              <w:rPr>
                <w:i/>
                <w:iCs/>
                <w:color w:val="000000"/>
                <w:sz w:val="20"/>
              </w:rPr>
              <w:t>(New form)</w:t>
            </w:r>
          </w:p>
        </w:tc>
        <w:tc>
          <w:tcPr>
            <w:tcW w:w="1260" w:type="dxa"/>
            <w:shd w:val="clear" w:color="auto" w:fill="auto"/>
          </w:tcPr>
          <w:p w:rsidR="00463559" w:rsidRPr="00463559" w:rsidP="005E5B8F" w14:paraId="7ACE1485" w14:textId="77777777">
            <w:pPr>
              <w:jc w:val="center"/>
              <w:rPr>
                <w:color w:val="000000"/>
                <w:sz w:val="20"/>
              </w:rPr>
            </w:pPr>
            <w:r w:rsidRPr="00463559">
              <w:rPr>
                <w:color w:val="000000"/>
                <w:sz w:val="20"/>
              </w:rPr>
              <w:t>Up to 30 Rail stakeholders</w:t>
            </w:r>
          </w:p>
        </w:tc>
        <w:tc>
          <w:tcPr>
            <w:tcW w:w="1303" w:type="dxa"/>
            <w:shd w:val="clear" w:color="auto" w:fill="auto"/>
          </w:tcPr>
          <w:p w:rsidR="00463559" w:rsidRPr="00463559" w:rsidP="005E5B8F" w14:paraId="4EF63D28" w14:textId="77777777">
            <w:pPr>
              <w:jc w:val="center"/>
              <w:rPr>
                <w:color w:val="000000"/>
                <w:sz w:val="20"/>
              </w:rPr>
            </w:pPr>
            <w:r w:rsidRPr="00463559">
              <w:rPr>
                <w:color w:val="000000"/>
                <w:sz w:val="20"/>
              </w:rPr>
              <w:t>5</w:t>
            </w:r>
          </w:p>
        </w:tc>
        <w:tc>
          <w:tcPr>
            <w:tcW w:w="0" w:type="auto"/>
            <w:shd w:val="clear" w:color="auto" w:fill="auto"/>
          </w:tcPr>
          <w:p w:rsidR="00463559" w:rsidRPr="00463559" w:rsidP="005E5B8F" w14:paraId="579517B3" w14:textId="77777777">
            <w:pPr>
              <w:jc w:val="center"/>
              <w:rPr>
                <w:rFonts w:eastAsia="Calibri"/>
                <w:sz w:val="20"/>
              </w:rPr>
            </w:pPr>
            <w:r w:rsidRPr="00463559">
              <w:rPr>
                <w:rFonts w:eastAsia="Calibri"/>
                <w:sz w:val="20"/>
              </w:rPr>
              <w:t>1</w:t>
            </w:r>
          </w:p>
          <w:p w:rsidR="00463559" w:rsidRPr="00463559" w:rsidP="005E5B8F" w14:paraId="0DBB04A6" w14:textId="77777777">
            <w:pPr>
              <w:jc w:val="center"/>
              <w:rPr>
                <w:color w:val="000000"/>
                <w:sz w:val="20"/>
              </w:rPr>
            </w:pPr>
            <w:r w:rsidRPr="00463559">
              <w:rPr>
                <w:color w:val="000000"/>
                <w:sz w:val="20"/>
              </w:rPr>
              <w:t>hour</w:t>
            </w:r>
          </w:p>
        </w:tc>
        <w:tc>
          <w:tcPr>
            <w:tcW w:w="1307" w:type="dxa"/>
            <w:shd w:val="clear" w:color="auto" w:fill="auto"/>
          </w:tcPr>
          <w:p w:rsidR="00463559" w:rsidRPr="00463559" w:rsidP="005E5B8F" w14:paraId="5AAE06E1" w14:textId="77777777">
            <w:pPr>
              <w:jc w:val="center"/>
              <w:rPr>
                <w:color w:val="000000"/>
                <w:sz w:val="20"/>
              </w:rPr>
            </w:pPr>
            <w:r w:rsidRPr="00463559">
              <w:rPr>
                <w:color w:val="000000"/>
                <w:sz w:val="20"/>
              </w:rPr>
              <w:t>5.00</w:t>
            </w:r>
          </w:p>
          <w:p w:rsidR="00463559" w:rsidRPr="00463559" w:rsidP="005E5B8F" w14:paraId="614AD6E1" w14:textId="77777777">
            <w:pPr>
              <w:jc w:val="center"/>
              <w:rPr>
                <w:color w:val="000000"/>
                <w:sz w:val="20"/>
              </w:rPr>
            </w:pPr>
            <w:r w:rsidRPr="00463559">
              <w:rPr>
                <w:color w:val="000000"/>
                <w:sz w:val="20"/>
              </w:rPr>
              <w:t>hours</w:t>
            </w:r>
          </w:p>
        </w:tc>
        <w:tc>
          <w:tcPr>
            <w:tcW w:w="1521" w:type="dxa"/>
            <w:shd w:val="clear" w:color="auto" w:fill="auto"/>
          </w:tcPr>
          <w:p w:rsidR="00463559" w:rsidRPr="00463559" w:rsidP="005E5B8F" w14:paraId="0F225A38" w14:textId="77777777">
            <w:pPr>
              <w:jc w:val="center"/>
              <w:rPr>
                <w:color w:val="000000"/>
                <w:sz w:val="20"/>
              </w:rPr>
            </w:pPr>
            <w:r w:rsidRPr="00463559">
              <w:rPr>
                <w:color w:val="000000"/>
                <w:sz w:val="20"/>
              </w:rPr>
              <w:t>$226.30</w:t>
            </w:r>
          </w:p>
        </w:tc>
      </w:tr>
      <w:tr w14:paraId="0D00D689" w14:textId="77777777" w:rsidTr="00A0559D">
        <w:tblPrEx>
          <w:tblW w:w="8905" w:type="dxa"/>
          <w:tblInd w:w="805" w:type="dxa"/>
          <w:tblLook w:val="04A0"/>
        </w:tblPrEx>
        <w:trPr>
          <w:trHeight w:val="264"/>
        </w:trPr>
        <w:tc>
          <w:tcPr>
            <w:tcW w:w="2335" w:type="dxa"/>
            <w:shd w:val="clear" w:color="auto" w:fill="auto"/>
          </w:tcPr>
          <w:p w:rsidR="00463559" w:rsidRPr="00463559" w:rsidP="00463559" w14:paraId="7B00088C" w14:textId="39BBC3F3">
            <w:pPr>
              <w:rPr>
                <w:color w:val="000000"/>
                <w:sz w:val="20"/>
              </w:rPr>
            </w:pPr>
            <w:r w:rsidRPr="00463559">
              <w:rPr>
                <w:color w:val="000000"/>
                <w:sz w:val="20"/>
              </w:rPr>
              <w:t>Totals</w:t>
            </w:r>
            <w:r>
              <w:rPr>
                <w:rStyle w:val="FootnoteReference"/>
                <w:color w:val="000000"/>
                <w:sz w:val="20"/>
              </w:rPr>
              <w:footnoteReference w:id="11"/>
            </w:r>
          </w:p>
        </w:tc>
        <w:tc>
          <w:tcPr>
            <w:tcW w:w="1260" w:type="dxa"/>
            <w:shd w:val="clear" w:color="auto" w:fill="auto"/>
          </w:tcPr>
          <w:p w:rsidR="00463559" w:rsidRPr="00463559" w:rsidP="005E5B8F" w14:paraId="4B54E649" w14:textId="475D725C">
            <w:pPr>
              <w:jc w:val="center"/>
              <w:rPr>
                <w:color w:val="000000"/>
                <w:sz w:val="20"/>
              </w:rPr>
            </w:pPr>
            <w:r>
              <w:rPr>
                <w:color w:val="000000"/>
                <w:sz w:val="20"/>
              </w:rPr>
              <w:t xml:space="preserve">150 </w:t>
            </w:r>
            <w:r w:rsidRPr="00463559">
              <w:rPr>
                <w:color w:val="000000"/>
                <w:sz w:val="20"/>
              </w:rPr>
              <w:t xml:space="preserve"> railroads</w:t>
            </w:r>
          </w:p>
        </w:tc>
        <w:tc>
          <w:tcPr>
            <w:tcW w:w="1303" w:type="dxa"/>
            <w:shd w:val="clear" w:color="auto" w:fill="auto"/>
          </w:tcPr>
          <w:p w:rsidR="00463559" w:rsidRPr="00463559" w:rsidP="005E5B8F" w14:paraId="13134914" w14:textId="13B81CB0">
            <w:pPr>
              <w:jc w:val="center"/>
              <w:rPr>
                <w:color w:val="000000"/>
                <w:sz w:val="20"/>
              </w:rPr>
            </w:pPr>
            <w:r w:rsidRPr="00463559">
              <w:rPr>
                <w:color w:val="000000"/>
                <w:sz w:val="20"/>
              </w:rPr>
              <w:t>95 Responses</w:t>
            </w:r>
          </w:p>
        </w:tc>
        <w:tc>
          <w:tcPr>
            <w:tcW w:w="0" w:type="auto"/>
            <w:shd w:val="clear" w:color="auto" w:fill="auto"/>
          </w:tcPr>
          <w:p w:rsidR="005E5B8F" w:rsidP="005E5B8F" w14:paraId="6F3AB3AE" w14:textId="77777777">
            <w:pPr>
              <w:jc w:val="center"/>
              <w:rPr>
                <w:color w:val="000000"/>
                <w:sz w:val="20"/>
              </w:rPr>
            </w:pPr>
          </w:p>
          <w:p w:rsidR="00463559" w:rsidRPr="00463559" w:rsidP="005E5B8F" w14:paraId="65E72D79" w14:textId="65C5C59B">
            <w:pPr>
              <w:jc w:val="center"/>
              <w:rPr>
                <w:color w:val="000000"/>
                <w:sz w:val="20"/>
              </w:rPr>
            </w:pPr>
            <w:r w:rsidRPr="00463559">
              <w:rPr>
                <w:color w:val="000000"/>
                <w:sz w:val="20"/>
              </w:rPr>
              <w:t>N/A</w:t>
            </w:r>
          </w:p>
        </w:tc>
        <w:tc>
          <w:tcPr>
            <w:tcW w:w="1307" w:type="dxa"/>
            <w:shd w:val="clear" w:color="auto" w:fill="auto"/>
          </w:tcPr>
          <w:p w:rsidR="00463559" w:rsidRPr="00463559" w:rsidP="005E5B8F" w14:paraId="0FFBE6F6" w14:textId="77777777">
            <w:pPr>
              <w:jc w:val="center"/>
              <w:rPr>
                <w:color w:val="000000"/>
                <w:sz w:val="20"/>
              </w:rPr>
            </w:pPr>
            <w:r w:rsidRPr="00463559">
              <w:rPr>
                <w:color w:val="000000"/>
                <w:sz w:val="20"/>
              </w:rPr>
              <w:t>25</w:t>
            </w:r>
          </w:p>
          <w:p w:rsidR="00463559" w:rsidRPr="00463559" w:rsidP="005E5B8F" w14:paraId="70C87769" w14:textId="4DD82270">
            <w:pPr>
              <w:jc w:val="center"/>
              <w:rPr>
                <w:color w:val="000000"/>
                <w:sz w:val="20"/>
              </w:rPr>
            </w:pPr>
            <w:r w:rsidRPr="00463559">
              <w:rPr>
                <w:color w:val="000000"/>
                <w:sz w:val="20"/>
              </w:rPr>
              <w:t>hours</w:t>
            </w:r>
          </w:p>
        </w:tc>
        <w:tc>
          <w:tcPr>
            <w:tcW w:w="1521" w:type="dxa"/>
            <w:shd w:val="clear" w:color="auto" w:fill="auto"/>
          </w:tcPr>
          <w:p w:rsidR="005E5B8F" w:rsidP="005E5B8F" w14:paraId="3A8C4D20" w14:textId="77777777">
            <w:pPr>
              <w:jc w:val="center"/>
              <w:rPr>
                <w:color w:val="000000"/>
                <w:sz w:val="20"/>
              </w:rPr>
            </w:pPr>
          </w:p>
          <w:p w:rsidR="005E5B8F" w:rsidRPr="00463559" w:rsidP="005E5B8F" w14:paraId="5599EC08" w14:textId="7A5C4212">
            <w:pPr>
              <w:jc w:val="center"/>
              <w:rPr>
                <w:color w:val="000000"/>
                <w:sz w:val="20"/>
              </w:rPr>
            </w:pPr>
            <w:r>
              <w:rPr>
                <w:color w:val="000000"/>
                <w:sz w:val="20"/>
              </w:rPr>
              <w:t>$</w:t>
            </w:r>
            <w:r w:rsidR="000E11C3">
              <w:rPr>
                <w:color w:val="000000"/>
                <w:sz w:val="20"/>
              </w:rPr>
              <w:t xml:space="preserve">1,132 </w:t>
            </w:r>
          </w:p>
        </w:tc>
      </w:tr>
    </w:tbl>
    <w:p w:rsidR="00125E8E" w:rsidP="00A83B21" w14:paraId="0AD355A0" w14:textId="6A2A9A8D">
      <w:pPr>
        <w:widowControl w:val="0"/>
        <w:ind w:left="720" w:hanging="720"/>
        <w:rPr>
          <w:b/>
        </w:rPr>
      </w:pPr>
    </w:p>
    <w:p w:rsidR="00A83B21" w:rsidRPr="00EF4602" w:rsidP="00A83B21" w14:paraId="1D39D24D" w14:textId="774E1D9F">
      <w:pPr>
        <w:widowControl w:val="0"/>
        <w:ind w:left="720" w:hanging="720"/>
        <w:rPr>
          <w:rFonts w:ascii="Courier 10 pitch" w:hAnsi="Courier 10 pitch"/>
          <w:sz w:val="20"/>
          <w:lang w:val="en-CA"/>
        </w:rPr>
      </w:pPr>
      <w:r w:rsidRPr="00EF4602">
        <w:rPr>
          <w:b/>
        </w:rPr>
        <w:t>13.</w:t>
      </w:r>
      <w:r w:rsidRPr="00EF4602">
        <w:rPr>
          <w:b/>
        </w:rPr>
        <w:tab/>
      </w:r>
      <w:r w:rsidRPr="00EF4602">
        <w:rPr>
          <w:b/>
          <w:u w:val="single"/>
        </w:rPr>
        <w:t>Estimate of total annual costs to respondents</w:t>
      </w:r>
      <w:r w:rsidRPr="00EF4602">
        <w:t>.</w:t>
      </w:r>
    </w:p>
    <w:p w:rsidR="00EE5CA6" w:rsidP="00EE5CA6" w14:paraId="0A0B3BEE" w14:textId="77777777">
      <w:pPr>
        <w:ind w:left="1440" w:hanging="720"/>
      </w:pPr>
    </w:p>
    <w:p w:rsidR="00EE5CA6" w:rsidP="00EE5CA6" w14:paraId="6C06DA92" w14:textId="77777777">
      <w:pPr>
        <w:ind w:left="720"/>
      </w:pPr>
      <w:r w:rsidRPr="00830F9C">
        <w:t>There will be no additional cost burden to respondents</w:t>
      </w:r>
      <w:r>
        <w:t>,</w:t>
      </w:r>
      <w:r w:rsidRPr="00830F9C">
        <w:t xml:space="preserve"> beyond any customary and usual expenses associated </w:t>
      </w:r>
      <w:r>
        <w:t>with normal</w:t>
      </w:r>
      <w:r w:rsidRPr="00830F9C">
        <w:t xml:space="preserve"> business or private practices. There will be no need for respondents to keep any records associated with this data collection effort.</w:t>
      </w:r>
    </w:p>
    <w:p w:rsidR="00EE5CA6" w:rsidP="006D4325" w14:paraId="2997ED6A" w14:textId="77777777"/>
    <w:p w:rsidR="0050020E" w:rsidRPr="009B197E" w:rsidP="009B197E" w14:paraId="19BC0D26" w14:textId="4C7C394D">
      <w:pPr>
        <w:widowControl w:val="0"/>
        <w:rPr>
          <w:b/>
        </w:rPr>
      </w:pPr>
      <w:r w:rsidRPr="009B197E">
        <w:rPr>
          <w:b/>
        </w:rPr>
        <w:t>14.</w:t>
      </w:r>
      <w:r w:rsidRPr="009B197E">
        <w:rPr>
          <w:b/>
        </w:rPr>
        <w:tab/>
      </w:r>
      <w:r w:rsidRPr="009B197E">
        <w:rPr>
          <w:b/>
          <w:u w:val="single"/>
        </w:rPr>
        <w:t>Estimate of Cost to Federal Government</w:t>
      </w:r>
      <w:r w:rsidRPr="00EF4602">
        <w:t>.</w:t>
      </w:r>
    </w:p>
    <w:p w:rsidR="00B00096" w:rsidP="005B4D79" w14:paraId="71DC0D78" w14:textId="46300398">
      <w:pPr>
        <w:pStyle w:val="NormalWeb"/>
        <w:spacing w:after="0"/>
        <w:ind w:left="720"/>
        <w:rPr>
          <w:rFonts w:eastAsia="Calibri"/>
          <w:b/>
          <w:sz w:val="22"/>
          <w:szCs w:val="22"/>
        </w:rPr>
      </w:pPr>
      <w:r w:rsidRPr="005B22FE">
        <w:t xml:space="preserve">To calculate the government administrative cost, the </w:t>
      </w:r>
      <w:r>
        <w:t>2023</w:t>
      </w:r>
      <w:r w:rsidRPr="005B22FE">
        <w:t xml:space="preserve"> Office of Personnel Management wage rates were used.  The </w:t>
      </w:r>
      <w:r>
        <w:t>average</w:t>
      </w:r>
      <w:r w:rsidRPr="005B22FE">
        <w:t xml:space="preserve"> </w:t>
      </w:r>
      <w:r>
        <w:t>wage</w:t>
      </w:r>
      <w:r w:rsidR="00A11348">
        <w:t xml:space="preserve"> for research personnel</w:t>
      </w:r>
      <w:r>
        <w:t xml:space="preserve">, </w:t>
      </w:r>
      <w:r w:rsidR="0064094F">
        <w:t xml:space="preserve">GS12 </w:t>
      </w:r>
      <w:r>
        <w:t xml:space="preserve">step 5, </w:t>
      </w:r>
      <w:r w:rsidRPr="005B22FE">
        <w:t xml:space="preserve">was used as a midpoint. </w:t>
      </w:r>
      <w:r w:rsidR="00B658C2">
        <w:t xml:space="preserve"> </w:t>
      </w:r>
      <w:r w:rsidRPr="005B22FE">
        <w:t>Wages were considered at the burdened wage rate by multiplying the actual wage rate by an ov</w:t>
      </w:r>
      <w:r>
        <w:t>erhead cost of 75 percent</w:t>
      </w:r>
      <w:r w:rsidRPr="005B22FE">
        <w:t xml:space="preserve">. </w:t>
      </w:r>
      <w:r w:rsidRPr="00177A8B" w:rsidR="00177A8B">
        <w:t xml:space="preserve">The total estimated Government administrative cost would be </w:t>
      </w:r>
      <w:r w:rsidRPr="00177A8B" w:rsidR="00CD08FC">
        <w:t>$</w:t>
      </w:r>
      <w:r w:rsidR="0064094F">
        <w:t>73,350</w:t>
      </w:r>
      <w:r w:rsidR="00CD08FC">
        <w:t xml:space="preserve"> </w:t>
      </w:r>
      <w:r w:rsidRPr="00CD08FC" w:rsidR="00CD08FC">
        <w:t>over the 3-year information collection activities</w:t>
      </w:r>
      <w:r w:rsidR="00CD08FC">
        <w:t xml:space="preserve">, which amounts to </w:t>
      </w:r>
      <w:r w:rsidRPr="00CD08FC" w:rsidR="00CD08FC">
        <w:t xml:space="preserve">annual </w:t>
      </w:r>
      <w:r w:rsidR="00CD08FC">
        <w:t xml:space="preserve">cost of about </w:t>
      </w:r>
      <w:r w:rsidRPr="00CD08FC" w:rsidR="00CD08FC">
        <w:t>$</w:t>
      </w:r>
      <w:r w:rsidR="0064094F">
        <w:t>24,450</w:t>
      </w:r>
      <w:r>
        <w:t xml:space="preserve">. </w:t>
      </w:r>
      <w:r w:rsidR="00823526">
        <w:t xml:space="preserve"> </w:t>
      </w:r>
    </w:p>
    <w:p w:rsidR="00782190" w:rsidP="00B00096" w14:paraId="1A1E09D6" w14:textId="09F87E56">
      <w:pPr>
        <w:pStyle w:val="NormalWeb"/>
        <w:spacing w:after="0"/>
        <w:ind w:left="720"/>
      </w:pPr>
      <w:r w:rsidRPr="00B00096">
        <w:t xml:space="preserve">There is an additional cost to government as shown in the following table. </w:t>
      </w:r>
      <w:r w:rsidR="00B658C2">
        <w:t xml:space="preserve"> </w:t>
      </w:r>
      <w:r w:rsidRPr="00B00096">
        <w:t xml:space="preserve">This is a one-time data collection and, while it should be done regularly to </w:t>
      </w:r>
      <w:r w:rsidR="0064094F">
        <w:t>update the knowledge of organizational</w:t>
      </w:r>
      <w:r w:rsidRPr="00B00096">
        <w:t xml:space="preserve"> culture</w:t>
      </w:r>
      <w:r w:rsidR="0064094F">
        <w:t xml:space="preserve"> within the rail industry</w:t>
      </w:r>
      <w:r w:rsidRPr="00B00096">
        <w:t xml:space="preserve">, there is no commitment to reoccurrence. </w:t>
      </w:r>
      <w:r w:rsidR="00B658C2">
        <w:t xml:space="preserve"> </w:t>
      </w:r>
      <w:r w:rsidRPr="00B00096">
        <w:t xml:space="preserve">Based </w:t>
      </w:r>
      <w:r w:rsidR="0064094F">
        <w:t xml:space="preserve">on </w:t>
      </w:r>
      <w:r w:rsidRPr="00B00096">
        <w:t xml:space="preserve">current contractor labor rates and estimated supplies and services costs, the total cost to the Federal Government for this </w:t>
      </w:r>
      <w:r w:rsidR="003E1E89">
        <w:t>data collection and reporting effort</w:t>
      </w:r>
      <w:r w:rsidRPr="00B00096">
        <w:t xml:space="preserve"> is estimated at $</w:t>
      </w:r>
      <w:r w:rsidR="007E1203">
        <w:t>78,474</w:t>
      </w:r>
      <w:r w:rsidRPr="00B00096">
        <w:t xml:space="preserve">, which amounts to an annual cost of approximately </w:t>
      </w:r>
      <w:r w:rsidRPr="00CD08FC" w:rsidR="00CD08FC">
        <w:t>$</w:t>
      </w:r>
      <w:r w:rsidR="007E1203">
        <w:t>26,158</w:t>
      </w:r>
      <w:r w:rsidRPr="00CD08FC" w:rsidR="00CD08FC">
        <w:t xml:space="preserve"> </w:t>
      </w:r>
      <w:r w:rsidRPr="00B00096">
        <w:t>per year.</w:t>
      </w:r>
      <w:r w:rsidR="0064094F">
        <w:t xml:space="preserve"> </w:t>
      </w:r>
    </w:p>
    <w:tbl>
      <w:tblPr>
        <w:tblStyle w:val="TableGrid1"/>
        <w:tblW w:w="0" w:type="auto"/>
        <w:jc w:val="center"/>
        <w:tblLook w:val="04A0"/>
      </w:tblPr>
      <w:tblGrid>
        <w:gridCol w:w="1729"/>
        <w:gridCol w:w="996"/>
        <w:gridCol w:w="3882"/>
      </w:tblGrid>
      <w:tr w14:paraId="4DB25D6A" w14:textId="77777777" w:rsidTr="00B00096">
        <w:tblPrEx>
          <w:tblW w:w="0" w:type="auto"/>
          <w:jc w:val="center"/>
          <w:tblLook w:val="04A0"/>
        </w:tblPrEx>
        <w:trPr>
          <w:trHeight w:val="485"/>
          <w:jc w:val="center"/>
        </w:trPr>
        <w:tc>
          <w:tcPr>
            <w:tcW w:w="0" w:type="auto"/>
            <w:shd w:val="clear" w:color="auto" w:fill="auto"/>
          </w:tcPr>
          <w:p w:rsidR="006D4325" w:rsidRPr="00B00096" w:rsidP="006D4325" w14:paraId="55033766"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Cost elements</w:t>
            </w:r>
          </w:p>
        </w:tc>
        <w:tc>
          <w:tcPr>
            <w:tcW w:w="0" w:type="auto"/>
            <w:shd w:val="clear" w:color="auto" w:fill="auto"/>
          </w:tcPr>
          <w:p w:rsidR="006D4325" w:rsidRPr="00B00096" w:rsidP="006D4325" w14:paraId="77712918"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Totals</w:t>
            </w:r>
          </w:p>
        </w:tc>
        <w:tc>
          <w:tcPr>
            <w:tcW w:w="0" w:type="auto"/>
            <w:shd w:val="clear" w:color="auto" w:fill="auto"/>
          </w:tcPr>
          <w:p w:rsidR="006D4325" w:rsidRPr="00B00096" w:rsidP="006D4325" w14:paraId="4B426891"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Comments</w:t>
            </w:r>
          </w:p>
        </w:tc>
      </w:tr>
      <w:tr w14:paraId="54350AE4" w14:textId="77777777" w:rsidTr="00B00096">
        <w:tblPrEx>
          <w:tblW w:w="0" w:type="auto"/>
          <w:jc w:val="center"/>
          <w:tblLook w:val="04A0"/>
        </w:tblPrEx>
        <w:trPr>
          <w:jc w:val="center"/>
        </w:trPr>
        <w:tc>
          <w:tcPr>
            <w:tcW w:w="0" w:type="auto"/>
            <w:shd w:val="clear" w:color="auto" w:fill="auto"/>
          </w:tcPr>
          <w:p w:rsidR="006D4325" w:rsidRPr="00B00096" w:rsidP="006D4325" w14:paraId="4EB68413"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Labor</w:t>
            </w:r>
          </w:p>
        </w:tc>
        <w:tc>
          <w:tcPr>
            <w:tcW w:w="0" w:type="auto"/>
            <w:shd w:val="clear" w:color="auto" w:fill="auto"/>
          </w:tcPr>
          <w:p w:rsidR="006D4325" w:rsidRPr="00B00096" w:rsidP="00B00096" w14:paraId="4AF59B34" w14:textId="536C8ADB">
            <w:pPr>
              <w:spacing w:after="160" w:line="259" w:lineRule="auto"/>
              <w:jc w:val="right"/>
              <w:rPr>
                <w:rFonts w:ascii="Times New Roman" w:hAnsi="Times New Roman" w:cs="Times New Roman"/>
                <w:szCs w:val="24"/>
              </w:rPr>
            </w:pPr>
            <w:r w:rsidRPr="00B00096">
              <w:rPr>
                <w:rFonts w:ascii="Times New Roman" w:hAnsi="Times New Roman" w:cs="Times New Roman"/>
                <w:szCs w:val="24"/>
              </w:rPr>
              <w:t>$</w:t>
            </w:r>
            <w:r w:rsidR="001729E9">
              <w:rPr>
                <w:rFonts w:ascii="Times New Roman" w:hAnsi="Times New Roman" w:cs="Times New Roman"/>
                <w:szCs w:val="24"/>
              </w:rPr>
              <w:t>46,99</w:t>
            </w:r>
            <w:r w:rsidR="007E1203">
              <w:rPr>
                <w:rFonts w:ascii="Times New Roman" w:hAnsi="Times New Roman" w:cs="Times New Roman"/>
                <w:szCs w:val="24"/>
              </w:rPr>
              <w:t>9</w:t>
            </w:r>
          </w:p>
        </w:tc>
        <w:tc>
          <w:tcPr>
            <w:tcW w:w="0" w:type="auto"/>
            <w:shd w:val="clear" w:color="auto" w:fill="auto"/>
          </w:tcPr>
          <w:p w:rsidR="006D4325" w:rsidRPr="00B00096" w:rsidP="006D4325" w14:paraId="4B4FEC9C"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Direct labor, overhead, fringe benefits</w:t>
            </w:r>
          </w:p>
        </w:tc>
      </w:tr>
      <w:tr w14:paraId="13851904" w14:textId="77777777" w:rsidTr="00B00096">
        <w:tblPrEx>
          <w:tblW w:w="0" w:type="auto"/>
          <w:jc w:val="center"/>
          <w:tblLook w:val="04A0"/>
        </w:tblPrEx>
        <w:trPr>
          <w:jc w:val="center"/>
        </w:trPr>
        <w:tc>
          <w:tcPr>
            <w:tcW w:w="0" w:type="auto"/>
            <w:shd w:val="clear" w:color="auto" w:fill="auto"/>
          </w:tcPr>
          <w:p w:rsidR="006D4325" w:rsidRPr="00B00096" w:rsidP="006D4325" w14:paraId="11EFAE17"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Travel</w:t>
            </w:r>
          </w:p>
        </w:tc>
        <w:tc>
          <w:tcPr>
            <w:tcW w:w="0" w:type="auto"/>
            <w:shd w:val="clear" w:color="auto" w:fill="auto"/>
          </w:tcPr>
          <w:p w:rsidR="006D4325" w:rsidRPr="00B00096" w:rsidP="00B00096" w14:paraId="32F652FE" w14:textId="77777777">
            <w:pPr>
              <w:spacing w:after="160" w:line="259" w:lineRule="auto"/>
              <w:jc w:val="right"/>
              <w:rPr>
                <w:rFonts w:ascii="Times New Roman" w:hAnsi="Times New Roman" w:cs="Times New Roman"/>
                <w:szCs w:val="24"/>
              </w:rPr>
            </w:pPr>
            <w:r w:rsidRPr="00B00096">
              <w:rPr>
                <w:rFonts w:ascii="Times New Roman" w:hAnsi="Times New Roman" w:cs="Times New Roman"/>
                <w:szCs w:val="24"/>
              </w:rPr>
              <w:t>$5,000</w:t>
            </w:r>
          </w:p>
        </w:tc>
        <w:tc>
          <w:tcPr>
            <w:tcW w:w="0" w:type="auto"/>
            <w:shd w:val="clear" w:color="auto" w:fill="auto"/>
          </w:tcPr>
          <w:p w:rsidR="006D4325" w:rsidRPr="00B00096" w:rsidP="006D4325" w14:paraId="2EDA9B50" w14:textId="77777777">
            <w:pPr>
              <w:spacing w:after="160" w:line="259" w:lineRule="auto"/>
              <w:rPr>
                <w:rFonts w:ascii="Times New Roman" w:hAnsi="Times New Roman" w:cs="Times New Roman"/>
                <w:szCs w:val="24"/>
              </w:rPr>
            </w:pPr>
          </w:p>
        </w:tc>
      </w:tr>
      <w:tr w14:paraId="069A5DB2" w14:textId="77777777" w:rsidTr="00B00096">
        <w:tblPrEx>
          <w:tblW w:w="0" w:type="auto"/>
          <w:jc w:val="center"/>
          <w:tblLook w:val="04A0"/>
        </w:tblPrEx>
        <w:trPr>
          <w:jc w:val="center"/>
        </w:trPr>
        <w:tc>
          <w:tcPr>
            <w:tcW w:w="0" w:type="auto"/>
            <w:shd w:val="clear" w:color="auto" w:fill="auto"/>
          </w:tcPr>
          <w:p w:rsidR="006D4325" w:rsidRPr="00B00096" w:rsidP="006D4325" w14:paraId="741D76D5"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Subcontractor</w:t>
            </w:r>
          </w:p>
        </w:tc>
        <w:tc>
          <w:tcPr>
            <w:tcW w:w="0" w:type="auto"/>
            <w:shd w:val="clear" w:color="auto" w:fill="auto"/>
          </w:tcPr>
          <w:p w:rsidR="006D4325" w:rsidRPr="00B00096" w:rsidP="00B00096" w14:paraId="2964B50D" w14:textId="7747E825">
            <w:pPr>
              <w:spacing w:after="160" w:line="259" w:lineRule="auto"/>
              <w:jc w:val="right"/>
              <w:rPr>
                <w:rFonts w:ascii="Times New Roman" w:hAnsi="Times New Roman" w:cs="Times New Roman"/>
                <w:szCs w:val="24"/>
              </w:rPr>
            </w:pPr>
            <w:r w:rsidRPr="00B00096">
              <w:rPr>
                <w:rFonts w:ascii="Times New Roman" w:hAnsi="Times New Roman" w:cs="Times New Roman"/>
                <w:szCs w:val="24"/>
              </w:rPr>
              <w:t>$</w:t>
            </w:r>
            <w:r w:rsidR="003E1E89">
              <w:rPr>
                <w:rFonts w:ascii="Times New Roman" w:hAnsi="Times New Roman" w:cs="Times New Roman"/>
                <w:szCs w:val="24"/>
              </w:rPr>
              <w:t>12,197</w:t>
            </w:r>
          </w:p>
        </w:tc>
        <w:tc>
          <w:tcPr>
            <w:tcW w:w="0" w:type="auto"/>
            <w:shd w:val="clear" w:color="auto" w:fill="auto"/>
          </w:tcPr>
          <w:p w:rsidR="006D4325" w:rsidRPr="00B00096" w:rsidP="006D4325" w14:paraId="17828E50"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Consultant costs</w:t>
            </w:r>
          </w:p>
        </w:tc>
      </w:tr>
      <w:tr w14:paraId="1D132020" w14:textId="77777777" w:rsidTr="00B00096">
        <w:tblPrEx>
          <w:tblW w:w="0" w:type="auto"/>
          <w:jc w:val="center"/>
          <w:tblLook w:val="04A0"/>
        </w:tblPrEx>
        <w:trPr>
          <w:jc w:val="center"/>
        </w:trPr>
        <w:tc>
          <w:tcPr>
            <w:tcW w:w="0" w:type="auto"/>
            <w:shd w:val="clear" w:color="auto" w:fill="auto"/>
          </w:tcPr>
          <w:p w:rsidR="006D4325" w:rsidRPr="00B00096" w:rsidP="006D4325" w14:paraId="6B0925D7"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G&amp;A</w:t>
            </w:r>
          </w:p>
        </w:tc>
        <w:tc>
          <w:tcPr>
            <w:tcW w:w="0" w:type="auto"/>
            <w:shd w:val="clear" w:color="auto" w:fill="auto"/>
          </w:tcPr>
          <w:p w:rsidR="006D4325" w:rsidRPr="00B00096" w:rsidP="00B00096" w14:paraId="58FDA170" w14:textId="56989B74">
            <w:pPr>
              <w:spacing w:after="160" w:line="259" w:lineRule="auto"/>
              <w:jc w:val="right"/>
              <w:rPr>
                <w:rFonts w:ascii="Times New Roman" w:hAnsi="Times New Roman" w:cs="Times New Roman"/>
                <w:szCs w:val="24"/>
              </w:rPr>
            </w:pPr>
            <w:r w:rsidRPr="00B00096">
              <w:rPr>
                <w:rFonts w:ascii="Times New Roman" w:hAnsi="Times New Roman" w:cs="Times New Roman"/>
                <w:szCs w:val="24"/>
              </w:rPr>
              <w:t>$</w:t>
            </w:r>
            <w:r w:rsidR="006A27CA">
              <w:rPr>
                <w:rFonts w:ascii="Times New Roman" w:hAnsi="Times New Roman" w:cs="Times New Roman"/>
                <w:szCs w:val="24"/>
              </w:rPr>
              <w:t>9,472</w:t>
            </w:r>
          </w:p>
        </w:tc>
        <w:tc>
          <w:tcPr>
            <w:tcW w:w="0" w:type="auto"/>
            <w:shd w:val="clear" w:color="auto" w:fill="auto"/>
          </w:tcPr>
          <w:p w:rsidR="006D4325" w:rsidRPr="00B00096" w:rsidP="006D4325" w14:paraId="15273B1A"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Administrative Fees</w:t>
            </w:r>
          </w:p>
        </w:tc>
      </w:tr>
      <w:tr w14:paraId="757D8D8E" w14:textId="77777777" w:rsidTr="00B00096">
        <w:tblPrEx>
          <w:tblW w:w="0" w:type="auto"/>
          <w:jc w:val="center"/>
          <w:tblLook w:val="04A0"/>
        </w:tblPrEx>
        <w:trPr>
          <w:trHeight w:val="350"/>
          <w:jc w:val="center"/>
        </w:trPr>
        <w:tc>
          <w:tcPr>
            <w:tcW w:w="0" w:type="auto"/>
            <w:shd w:val="clear" w:color="auto" w:fill="auto"/>
          </w:tcPr>
          <w:p w:rsidR="006D4325" w:rsidRPr="00B00096" w:rsidP="006D4325" w14:paraId="01C430A3" w14:textId="77777777">
            <w:pPr>
              <w:spacing w:after="160" w:line="259" w:lineRule="auto"/>
              <w:rPr>
                <w:rFonts w:ascii="Times New Roman" w:hAnsi="Times New Roman" w:cs="Times New Roman"/>
                <w:szCs w:val="24"/>
              </w:rPr>
            </w:pPr>
            <w:r w:rsidRPr="00B00096">
              <w:rPr>
                <w:rFonts w:ascii="Times New Roman" w:hAnsi="Times New Roman" w:cs="Times New Roman"/>
                <w:szCs w:val="24"/>
              </w:rPr>
              <w:t>Profit/Fee</w:t>
            </w:r>
          </w:p>
        </w:tc>
        <w:tc>
          <w:tcPr>
            <w:tcW w:w="0" w:type="auto"/>
            <w:shd w:val="clear" w:color="auto" w:fill="auto"/>
          </w:tcPr>
          <w:p w:rsidR="006D4325" w:rsidRPr="00B00096" w:rsidP="00B00096" w14:paraId="5E8A9BDA" w14:textId="69CBAAA0">
            <w:pPr>
              <w:spacing w:after="160" w:line="259" w:lineRule="auto"/>
              <w:jc w:val="right"/>
              <w:rPr>
                <w:rFonts w:ascii="Times New Roman" w:hAnsi="Times New Roman" w:cs="Times New Roman"/>
                <w:szCs w:val="24"/>
              </w:rPr>
            </w:pPr>
            <w:r w:rsidRPr="00B00096">
              <w:rPr>
                <w:rFonts w:ascii="Times New Roman" w:hAnsi="Times New Roman" w:cs="Times New Roman"/>
                <w:szCs w:val="24"/>
              </w:rPr>
              <w:t>$</w:t>
            </w:r>
            <w:r w:rsidR="007E1203">
              <w:rPr>
                <w:rFonts w:ascii="Times New Roman" w:hAnsi="Times New Roman" w:cs="Times New Roman"/>
                <w:szCs w:val="24"/>
              </w:rPr>
              <w:t>4,807</w:t>
            </w:r>
          </w:p>
        </w:tc>
        <w:tc>
          <w:tcPr>
            <w:tcW w:w="0" w:type="auto"/>
            <w:shd w:val="clear" w:color="auto" w:fill="auto"/>
          </w:tcPr>
          <w:p w:rsidR="006D4325" w:rsidRPr="00B00096" w:rsidP="006D4325" w14:paraId="0689F4B6" w14:textId="77777777">
            <w:pPr>
              <w:spacing w:after="160" w:line="259" w:lineRule="auto"/>
              <w:rPr>
                <w:rFonts w:ascii="Times New Roman" w:hAnsi="Times New Roman" w:cs="Times New Roman"/>
                <w:szCs w:val="24"/>
              </w:rPr>
            </w:pPr>
          </w:p>
        </w:tc>
      </w:tr>
      <w:tr w14:paraId="073D0441" w14:textId="77777777" w:rsidTr="00B00096">
        <w:tblPrEx>
          <w:tblW w:w="0" w:type="auto"/>
          <w:jc w:val="center"/>
          <w:tblLook w:val="04A0"/>
        </w:tblPrEx>
        <w:trPr>
          <w:jc w:val="center"/>
        </w:trPr>
        <w:tc>
          <w:tcPr>
            <w:tcW w:w="0" w:type="auto"/>
            <w:shd w:val="clear" w:color="auto" w:fill="auto"/>
          </w:tcPr>
          <w:p w:rsidR="006D4325" w:rsidRPr="00B00096" w:rsidP="006D4325" w14:paraId="6CAC7D90" w14:textId="19DD9133">
            <w:pPr>
              <w:spacing w:after="160" w:line="259" w:lineRule="auto"/>
              <w:rPr>
                <w:rFonts w:ascii="Times New Roman" w:hAnsi="Times New Roman" w:cs="Times New Roman"/>
                <w:szCs w:val="24"/>
              </w:rPr>
            </w:pPr>
            <w:r w:rsidRPr="00B00096">
              <w:rPr>
                <w:rFonts w:ascii="Times New Roman" w:hAnsi="Times New Roman" w:cs="Times New Roman"/>
                <w:szCs w:val="24"/>
              </w:rPr>
              <w:t>Total</w:t>
            </w:r>
          </w:p>
        </w:tc>
        <w:tc>
          <w:tcPr>
            <w:tcW w:w="0" w:type="auto"/>
            <w:gridSpan w:val="2"/>
            <w:shd w:val="clear" w:color="auto" w:fill="auto"/>
          </w:tcPr>
          <w:p w:rsidR="006D4325" w:rsidRPr="00B00096" w:rsidP="00B00096" w14:paraId="3059FC9E" w14:textId="278E5D5E">
            <w:pPr>
              <w:spacing w:after="160" w:line="259" w:lineRule="auto"/>
              <w:jc w:val="right"/>
              <w:rPr>
                <w:rFonts w:ascii="Times New Roman" w:hAnsi="Times New Roman" w:cs="Times New Roman"/>
                <w:szCs w:val="24"/>
              </w:rPr>
            </w:pPr>
            <w:r w:rsidRPr="00B00096">
              <w:rPr>
                <w:rFonts w:ascii="Times New Roman" w:hAnsi="Times New Roman" w:cs="Times New Roman"/>
                <w:szCs w:val="24"/>
              </w:rPr>
              <w:t>$</w:t>
            </w:r>
            <w:r w:rsidR="006A27CA">
              <w:rPr>
                <w:rFonts w:ascii="Times New Roman" w:hAnsi="Times New Roman" w:cs="Times New Roman"/>
                <w:szCs w:val="24"/>
              </w:rPr>
              <w:t>7</w:t>
            </w:r>
            <w:r w:rsidR="007E1203">
              <w:rPr>
                <w:rFonts w:ascii="Times New Roman" w:hAnsi="Times New Roman" w:cs="Times New Roman"/>
                <w:szCs w:val="24"/>
              </w:rPr>
              <w:t>8,474</w:t>
            </w:r>
          </w:p>
        </w:tc>
      </w:tr>
      <w:tr w14:paraId="3B2BBF5F" w14:textId="77777777" w:rsidTr="00B00096">
        <w:tblPrEx>
          <w:tblW w:w="0" w:type="auto"/>
          <w:jc w:val="center"/>
          <w:tblLook w:val="04A0"/>
        </w:tblPrEx>
        <w:trPr>
          <w:jc w:val="center"/>
        </w:trPr>
        <w:tc>
          <w:tcPr>
            <w:tcW w:w="0" w:type="auto"/>
            <w:shd w:val="clear" w:color="auto" w:fill="auto"/>
          </w:tcPr>
          <w:p w:rsidR="00B00096" w:rsidRPr="00B00096" w:rsidP="006D4325" w14:paraId="2937FED1" w14:textId="59E3F93D">
            <w:pPr>
              <w:spacing w:after="160" w:line="259" w:lineRule="auto"/>
              <w:rPr>
                <w:rFonts w:ascii="Times New Roman" w:hAnsi="Times New Roman" w:cs="Times New Roman"/>
                <w:szCs w:val="24"/>
              </w:rPr>
            </w:pPr>
            <w:r w:rsidRPr="00B00096">
              <w:rPr>
                <w:rFonts w:ascii="Times New Roman" w:hAnsi="Times New Roman" w:cs="Times New Roman"/>
                <w:szCs w:val="24"/>
              </w:rPr>
              <w:t>Annual average</w:t>
            </w:r>
          </w:p>
        </w:tc>
        <w:tc>
          <w:tcPr>
            <w:tcW w:w="0" w:type="auto"/>
            <w:gridSpan w:val="2"/>
            <w:shd w:val="clear" w:color="auto" w:fill="auto"/>
          </w:tcPr>
          <w:p w:rsidR="00B00096" w:rsidRPr="00C76FBD" w:rsidP="00B00096" w14:paraId="64375E5B" w14:textId="411C52AE">
            <w:pPr>
              <w:spacing w:after="160" w:line="259" w:lineRule="auto"/>
              <w:jc w:val="right"/>
              <w:rPr>
                <w:rFonts w:ascii="Times New Roman" w:hAnsi="Times New Roman" w:cs="Times New Roman"/>
                <w:strike/>
                <w:szCs w:val="24"/>
              </w:rPr>
            </w:pPr>
            <w:r>
              <w:rPr>
                <w:rFonts w:ascii="Times New Roman" w:hAnsi="Times New Roman" w:cs="Times New Roman"/>
              </w:rPr>
              <w:t>$</w:t>
            </w:r>
            <w:r w:rsidRPr="00C76FBD">
              <w:t>2</w:t>
            </w:r>
            <w:r>
              <w:rPr>
                <w:rFonts w:ascii="Times New Roman" w:hAnsi="Times New Roman" w:cs="Times New Roman"/>
              </w:rPr>
              <w:t>6,158</w:t>
            </w:r>
          </w:p>
        </w:tc>
      </w:tr>
    </w:tbl>
    <w:p w:rsidR="00782190" w:rsidP="006D4325" w14:paraId="002F42E9" w14:textId="0C92CCFC">
      <w:pPr>
        <w:pStyle w:val="NormalWeb"/>
        <w:spacing w:after="0"/>
        <w:ind w:left="720"/>
      </w:pPr>
      <w:r>
        <w:t xml:space="preserve">The combined total </w:t>
      </w:r>
      <w:r w:rsidR="00CD08FC">
        <w:t>annual</w:t>
      </w:r>
      <w:r w:rsidR="00963850">
        <w:t xml:space="preserve"> government</w:t>
      </w:r>
      <w:r w:rsidR="00CD08FC">
        <w:t xml:space="preserve"> </w:t>
      </w:r>
      <w:r>
        <w:t>cost is:</w:t>
      </w:r>
      <w:r w:rsidR="00CD08FC">
        <w:t xml:space="preserve"> </w:t>
      </w:r>
      <w:r w:rsidRPr="00CD08FC" w:rsidR="00CD08FC">
        <w:t>$</w:t>
      </w:r>
      <w:r w:rsidR="007E1203">
        <w:t>50,608.</w:t>
      </w:r>
    </w:p>
    <w:p w:rsidR="00EE5CA6" w:rsidP="005B4D79" w14:paraId="6483CA26" w14:textId="7D596394">
      <w:r w:rsidRPr="00EF4602">
        <w:rPr>
          <w:b/>
        </w:rPr>
        <w:t xml:space="preserve">15.  </w:t>
      </w:r>
      <w:r w:rsidRPr="00EF4602">
        <w:rPr>
          <w:b/>
        </w:rPr>
        <w:tab/>
      </w:r>
      <w:r w:rsidRPr="00EF4602">
        <w:rPr>
          <w:b/>
          <w:u w:val="single"/>
        </w:rPr>
        <w:t>Explanation of program changes and adjustments</w:t>
      </w:r>
      <w:r w:rsidRPr="00EF4602">
        <w:t>.</w:t>
      </w:r>
    </w:p>
    <w:p w:rsidR="0057365C" w:rsidP="00EE5CA6" w14:paraId="6C2D703B" w14:textId="77777777">
      <w:pPr>
        <w:ind w:left="720"/>
      </w:pPr>
    </w:p>
    <w:p w:rsidR="00FD014F" w:rsidP="00EE5CA6" w14:paraId="49EA1767" w14:textId="453FD1DE">
      <w:pPr>
        <w:ind w:left="720"/>
      </w:pPr>
      <w:r w:rsidRPr="00CB1628">
        <w:t>Th</w:t>
      </w:r>
      <w:r>
        <w:t xml:space="preserve">is </w:t>
      </w:r>
      <w:r w:rsidR="00E25A29">
        <w:t xml:space="preserve">is a </w:t>
      </w:r>
      <w:r w:rsidRPr="00CB1628">
        <w:t>new information collectio</w:t>
      </w:r>
      <w:r>
        <w:t xml:space="preserve">n </w:t>
      </w:r>
      <w:r w:rsidR="00E25A29">
        <w:t>for</w:t>
      </w:r>
      <w:r>
        <w:t xml:space="preserve"> a</w:t>
      </w:r>
      <w:r w:rsidRPr="00D1799E">
        <w:t xml:space="preserve"> one-time study</w:t>
      </w:r>
      <w:r w:rsidRPr="00FD014F">
        <w:rPr>
          <w:rFonts w:eastAsia="Calibri"/>
        </w:rPr>
        <w:t xml:space="preserve"> </w:t>
      </w:r>
      <w:r w:rsidRPr="00EE2F35">
        <w:rPr>
          <w:rFonts w:eastAsia="Calibri"/>
        </w:rPr>
        <w:t>survey and interview questions on attitudes around diversity, equity, inclusion, and workplace/organizational culture in the rail industry</w:t>
      </w:r>
      <w:r>
        <w:t>.</w:t>
      </w:r>
      <w:r w:rsidRPr="00D1799E">
        <w:t xml:space="preserve"> </w:t>
      </w:r>
      <w:r>
        <w:t>T</w:t>
      </w:r>
      <w:r w:rsidRPr="00082C82">
        <w:t>h</w:t>
      </w:r>
      <w:r>
        <w:t>e</w:t>
      </w:r>
      <w:r w:rsidRPr="00082C82">
        <w:t xml:space="preserve"> study is expected to identify how performance management systems present barriers and deterrents for minorities, including women, in the rail industry. </w:t>
      </w:r>
      <w:r>
        <w:t xml:space="preserve"> </w:t>
      </w:r>
      <w:r w:rsidR="00B658C2">
        <w:t xml:space="preserve"> </w:t>
      </w:r>
    </w:p>
    <w:p w:rsidR="00FD014F" w:rsidP="00EE5CA6" w14:paraId="2B7EAF36" w14:textId="77777777">
      <w:pPr>
        <w:ind w:left="720"/>
      </w:pPr>
    </w:p>
    <w:p w:rsidR="00EE5CA6" w:rsidP="00EE5CA6" w14:paraId="2EEEF344" w14:textId="3490A109">
      <w:pPr>
        <w:ind w:left="720"/>
        <w:rPr>
          <w:szCs w:val="24"/>
        </w:rPr>
      </w:pPr>
      <w:r>
        <w:rPr>
          <w:szCs w:val="24"/>
        </w:rPr>
        <w:t>No adjustments are involved.</w:t>
      </w:r>
    </w:p>
    <w:p w:rsidR="00FA08F5" w:rsidP="00EE5CA6" w14:paraId="28F3DCBC" w14:textId="77777777">
      <w:pPr>
        <w:ind w:left="720"/>
      </w:pPr>
    </w:p>
    <w:p w:rsidR="002D05AA" w:rsidRPr="002D05AA" w:rsidP="002D05AA" w14:paraId="12074682" w14:textId="77777777">
      <w:pPr>
        <w:widowControl w:val="0"/>
        <w:rPr>
          <w:b/>
        </w:rPr>
      </w:pPr>
      <w:r w:rsidRPr="002D05AA">
        <w:rPr>
          <w:b/>
        </w:rPr>
        <w:t>16.</w:t>
      </w:r>
      <w:r w:rsidRPr="002D05AA">
        <w:rPr>
          <w:b/>
        </w:rPr>
        <w:tab/>
      </w:r>
      <w:r w:rsidRPr="002D05AA">
        <w:rPr>
          <w:b/>
          <w:u w:val="single"/>
        </w:rPr>
        <w:t>Publication of results of data collection</w:t>
      </w:r>
      <w:r w:rsidRPr="002D05AA">
        <w:rPr>
          <w:b/>
        </w:rPr>
        <w:t>.</w:t>
      </w:r>
    </w:p>
    <w:p w:rsidR="00EE5CA6" w:rsidP="00EE5CA6" w14:paraId="7CDB4707" w14:textId="77777777">
      <w:pPr>
        <w:ind w:left="720" w:hanging="720"/>
      </w:pPr>
    </w:p>
    <w:p w:rsidR="004F60E5" w:rsidP="004F60E5" w14:paraId="0340CE15" w14:textId="08942AA5">
      <w:pPr>
        <w:ind w:left="720"/>
      </w:pPr>
      <w:r w:rsidRPr="004F60E5">
        <w:t xml:space="preserve">The results of this study will be published in a written format by FRA. </w:t>
      </w:r>
      <w:r w:rsidR="00B658C2">
        <w:t xml:space="preserve"> </w:t>
      </w:r>
      <w:r w:rsidRPr="004F60E5">
        <w:t>A summary of the results may also be presented at technical meetings, such as the annual meeting of the Transportation Research Board</w:t>
      </w:r>
      <w:r>
        <w:t>, or at conferences/talks with professional associations such as W</w:t>
      </w:r>
      <w:r w:rsidR="0000600C">
        <w:t>omen’s Transportation Seminar</w:t>
      </w:r>
      <w:r>
        <w:t xml:space="preserve"> and A</w:t>
      </w:r>
      <w:r w:rsidR="0000600C">
        <w:t xml:space="preserve">merican </w:t>
      </w:r>
      <w:r>
        <w:t>P</w:t>
      </w:r>
      <w:r w:rsidR="0000600C">
        <w:t xml:space="preserve">ublic </w:t>
      </w:r>
      <w:r>
        <w:t>T</w:t>
      </w:r>
      <w:r w:rsidR="0000600C">
        <w:t xml:space="preserve">ransportation </w:t>
      </w:r>
      <w:r>
        <w:t>A</w:t>
      </w:r>
      <w:r w:rsidR="0000600C">
        <w:t>ssociation</w:t>
      </w:r>
      <w:r>
        <w:t>.</w:t>
      </w:r>
    </w:p>
    <w:p w:rsidR="00EE5CA6" w:rsidRPr="008E5692" w:rsidP="00EE5CA6" w14:paraId="1065689D" w14:textId="464EF51F">
      <w:pPr>
        <w:tabs>
          <w:tab w:val="left" w:pos="6780"/>
        </w:tabs>
        <w:ind w:left="720"/>
      </w:pPr>
      <w:r w:rsidRPr="008E5692">
        <w:tab/>
      </w:r>
    </w:p>
    <w:p w:rsidR="008314EB" w:rsidRPr="00EF4602" w:rsidP="008314EB" w14:paraId="09406C21" w14:textId="77777777">
      <w:pPr>
        <w:widowControl w:val="0"/>
        <w:rPr>
          <w:b/>
        </w:rPr>
      </w:pPr>
      <w:r w:rsidRPr="00EF4602">
        <w:rPr>
          <w:b/>
        </w:rPr>
        <w:t>17.</w:t>
      </w:r>
      <w:r w:rsidRPr="00EF4602">
        <w:rPr>
          <w:b/>
        </w:rPr>
        <w:tab/>
      </w:r>
      <w:r w:rsidRPr="00EF4602">
        <w:rPr>
          <w:b/>
          <w:u w:val="single"/>
        </w:rPr>
        <w:t>Approval for not displaying the expiration date for OMB approval</w:t>
      </w:r>
      <w:r w:rsidRPr="00EF4602">
        <w:rPr>
          <w:b/>
        </w:rPr>
        <w:t>.</w:t>
      </w:r>
    </w:p>
    <w:p w:rsidR="008314EB" w:rsidRPr="00EF4602" w:rsidP="008314EB" w14:paraId="0780DEB2" w14:textId="77777777">
      <w:pPr>
        <w:widowControl w:val="0"/>
      </w:pPr>
    </w:p>
    <w:p w:rsidR="008314EB" w:rsidRPr="00EF4602" w:rsidP="008314EB" w14:paraId="75EC08AF" w14:textId="77777777">
      <w:pPr>
        <w:widowControl w:val="0"/>
        <w:ind w:left="720"/>
        <w:rPr>
          <w:b/>
          <w:szCs w:val="24"/>
        </w:rPr>
      </w:pPr>
      <w:r w:rsidRPr="00EF4602">
        <w:rPr>
          <w:szCs w:val="24"/>
        </w:rPr>
        <w:t>FRA is not seeking approval to not display the expiration date.</w:t>
      </w:r>
    </w:p>
    <w:p w:rsidR="008314EB" w:rsidRPr="00EF4602" w:rsidP="008314EB" w14:paraId="7B162059" w14:textId="77777777">
      <w:pPr>
        <w:widowControl w:val="0"/>
        <w:rPr>
          <w:b/>
        </w:rPr>
      </w:pPr>
    </w:p>
    <w:p w:rsidR="008314EB" w:rsidRPr="00EF4602" w:rsidP="008314EB" w14:paraId="1AE4036D" w14:textId="77777777">
      <w:pPr>
        <w:widowControl w:val="0"/>
      </w:pPr>
      <w:r w:rsidRPr="00EF4602">
        <w:rPr>
          <w:b/>
        </w:rPr>
        <w:t>18.</w:t>
      </w:r>
      <w:r w:rsidRPr="00EF4602">
        <w:rPr>
          <w:b/>
        </w:rPr>
        <w:tab/>
      </w:r>
      <w:r w:rsidRPr="00EF4602">
        <w:rPr>
          <w:b/>
          <w:u w:val="single"/>
        </w:rPr>
        <w:t>Exception to certification statement</w:t>
      </w:r>
      <w:r w:rsidRPr="00EF4602">
        <w:rPr>
          <w:b/>
        </w:rPr>
        <w:t>.</w:t>
      </w:r>
      <w:r w:rsidRPr="00EF4602">
        <w:tab/>
      </w:r>
      <w:r w:rsidRPr="00EF4602">
        <w:tab/>
      </w:r>
      <w:r w:rsidRPr="00EF4602">
        <w:tab/>
      </w:r>
      <w:r w:rsidRPr="00EF4602">
        <w:tab/>
      </w:r>
      <w:r w:rsidRPr="00EF4602">
        <w:tab/>
      </w:r>
      <w:r w:rsidRPr="00EF4602">
        <w:tab/>
      </w:r>
      <w:r w:rsidRPr="00EF4602">
        <w:tab/>
      </w:r>
      <w:r w:rsidRPr="00EF4602">
        <w:tab/>
      </w:r>
      <w:bookmarkStart w:id="5" w:name="QuickMark_1"/>
      <w:bookmarkEnd w:id="5"/>
    </w:p>
    <w:p w:rsidR="00963850" w:rsidP="008314EB" w14:paraId="6DD41FE2" w14:textId="77777777">
      <w:pPr>
        <w:widowControl w:val="0"/>
        <w:ind w:left="720"/>
      </w:pPr>
    </w:p>
    <w:p w:rsidR="008314EB" w:rsidP="008314EB" w14:paraId="38642146" w14:textId="76CE926C">
      <w:pPr>
        <w:widowControl w:val="0"/>
        <w:ind w:left="720"/>
      </w:pPr>
      <w:r w:rsidRPr="00EF4602">
        <w:t>No exceptions are taken at this time.</w:t>
      </w:r>
    </w:p>
    <w:p w:rsidR="00E46364" w:rsidP="00E46364" w14:paraId="42002FBE" w14:textId="77777777">
      <w:pPr>
        <w:widowControl w:val="0"/>
        <w:rPr>
          <w:b/>
          <w:color w:val="5F497A"/>
          <w:szCs w:val="24"/>
        </w:rPr>
      </w:pPr>
    </w:p>
    <w:sectPr w:rsidSect="00B658C2">
      <w:footerReference w:type="default" r:id="rId9"/>
      <w:pgSz w:w="15840" w:h="12240" w:orient="landscape"/>
      <w:pgMar w:top="1440" w:right="198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10 pitch">
    <w:altName w:val="Courier New"/>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B89" w:rsidP="00DA0459" w14:paraId="1B3FDD72" w14:textId="77777777">
    <w:pPr>
      <w:pStyle w:val="Footer"/>
      <w:jc w:val="center"/>
    </w:pPr>
    <w:r>
      <w:fldChar w:fldCharType="begin"/>
    </w:r>
    <w:r>
      <w:instrText xml:space="preserve"> PAGE   \* MERGEFORMAT </w:instrText>
    </w:r>
    <w:r>
      <w:fldChar w:fldCharType="separate"/>
    </w:r>
    <w:r w:rsidR="000632FA">
      <w:rPr>
        <w:noProof/>
      </w:rPr>
      <w:t>1</w:t>
    </w:r>
    <w:r>
      <w:rPr>
        <w:noProof/>
      </w:rPr>
      <w:fldChar w:fldCharType="end"/>
    </w:r>
  </w:p>
  <w:p w:rsidR="007E4B89" w14:paraId="7C1F23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FE6" w:rsidRPr="00E01832" w:rsidP="00271AA8" w14:paraId="65FF084A" w14:textId="77777777">
      <w:r>
        <w:separator/>
      </w:r>
    </w:p>
  </w:footnote>
  <w:footnote w:type="continuationSeparator" w:id="1">
    <w:p w:rsidR="00711FE6" w:rsidRPr="00E01832" w:rsidP="00271AA8" w14:paraId="58E4A8C1" w14:textId="77777777">
      <w:r>
        <w:continuationSeparator/>
      </w:r>
    </w:p>
  </w:footnote>
  <w:footnote w:type="continuationNotice" w:id="2">
    <w:p w:rsidR="00711FE6" w14:paraId="21D5482D" w14:textId="77777777"/>
  </w:footnote>
  <w:footnote w:id="3">
    <w:p w:rsidR="00A04F4C" w:rsidRPr="00DA0459" w:rsidP="00DA0459" w14:paraId="4849D1A3" w14:textId="390FFB01">
      <w:pPr>
        <w:widowControl w:val="0"/>
        <w:autoSpaceDE w:val="0"/>
        <w:autoSpaceDN w:val="0"/>
        <w:adjustRightInd w:val="0"/>
        <w:rPr>
          <w:noProof/>
          <w:sz w:val="20"/>
        </w:rPr>
      </w:pPr>
      <w:r w:rsidRPr="00DA0459">
        <w:rPr>
          <w:rStyle w:val="FootnoteReference"/>
          <w:sz w:val="20"/>
        </w:rPr>
        <w:footnoteRef/>
      </w:r>
      <w:r w:rsidR="00DA0459">
        <w:rPr>
          <w:noProof/>
          <w:sz w:val="20"/>
        </w:rPr>
        <w:t xml:space="preserve"> </w:t>
      </w:r>
      <w:r w:rsidRPr="00DA0459" w:rsidR="00DA0459">
        <w:rPr>
          <w:noProof/>
          <w:sz w:val="20"/>
        </w:rPr>
        <w:t>Federal Railroad Administration (FRA) Human Capital Management Plan, 2019. (2021). Retrieved from https://www.governmentattic.org/40docs/FRAhumanCapMgmtPlan_2019.pdf</w:t>
      </w:r>
    </w:p>
    <w:p w:rsidR="00A04F4C" w14:paraId="4D66F0A3" w14:textId="558DA11A">
      <w:pPr>
        <w:pStyle w:val="FootnoteText"/>
      </w:pPr>
    </w:p>
  </w:footnote>
  <w:footnote w:id="4">
    <w:p w:rsidR="00A04F4C" w:rsidRPr="00FD5832" w14:paraId="65883299" w14:textId="4C985915">
      <w:pPr>
        <w:pStyle w:val="FootnoteText"/>
        <w:rPr>
          <w:rFonts w:ascii="Times New Roman" w:hAnsi="Times New Roman"/>
        </w:rPr>
      </w:pPr>
      <w:r w:rsidRPr="00FD5832">
        <w:rPr>
          <w:rStyle w:val="FootnoteReference"/>
          <w:rFonts w:ascii="Times New Roman" w:hAnsi="Times New Roman"/>
        </w:rPr>
        <w:footnoteRef/>
      </w:r>
      <w:r w:rsidRPr="00FD5832">
        <w:rPr>
          <w:rFonts w:ascii="Times New Roman" w:hAnsi="Times New Roman"/>
        </w:rPr>
        <w:t xml:space="preserve"> Hunt, V., Layton, D., &amp; Prince, S. (2015, January 1). Why diversity matters | McKinsey. Retrieved December 17, 2021, from https://www.mckinsey.com/business-functions/people-and-organizational-performance/our-insights/why-diversity-matters</w:t>
      </w:r>
    </w:p>
  </w:footnote>
  <w:footnote w:id="5">
    <w:p w:rsidR="00A04F4C" w:rsidRPr="00FD5832" w14:paraId="3248F6C3" w14:textId="291959D7">
      <w:pPr>
        <w:pStyle w:val="FootnoteText"/>
        <w:rPr>
          <w:rFonts w:ascii="Times New Roman" w:hAnsi="Times New Roman"/>
        </w:rPr>
      </w:pPr>
      <w:r w:rsidRPr="00FD5832">
        <w:rPr>
          <w:rStyle w:val="FootnoteReference"/>
          <w:rFonts w:ascii="Times New Roman" w:hAnsi="Times New Roman"/>
        </w:rPr>
        <w:footnoteRef/>
      </w:r>
      <w:r w:rsidRPr="00FD5832">
        <w:rPr>
          <w:rFonts w:ascii="Times New Roman" w:hAnsi="Times New Roman"/>
        </w:rPr>
        <w:t xml:space="preserve"> Rock, D., &amp; Grant, H. (2016, November 4). Why Diverse Teams Are Smarter. Retrieved December 17, 2021, from https://hbr.org/2016/11/why-diverse-teams-are-smarter</w:t>
      </w:r>
    </w:p>
  </w:footnote>
  <w:footnote w:id="6">
    <w:p w:rsidR="00A04F4C" w:rsidRPr="00FD5832" w:rsidP="00A04F4C" w14:paraId="1E23D1BA" w14:textId="77777777">
      <w:pPr>
        <w:pStyle w:val="FootnoteText"/>
        <w:rPr>
          <w:rFonts w:ascii="Times New Roman" w:hAnsi="Times New Roman"/>
        </w:rPr>
      </w:pPr>
      <w:r w:rsidRPr="00FD5832">
        <w:rPr>
          <w:rStyle w:val="FootnoteReference"/>
          <w:rFonts w:ascii="Times New Roman" w:hAnsi="Times New Roman"/>
        </w:rPr>
        <w:footnoteRef/>
      </w:r>
      <w:r w:rsidRPr="00FD5832">
        <w:rPr>
          <w:rFonts w:ascii="Times New Roman" w:hAnsi="Times New Roman"/>
        </w:rPr>
        <w:t xml:space="preserve"> Glassdoor. (2020, September 30). Diversity &amp; Inclusion Workplace Survey. Retrieved December 17, 2021, from https://www.glassdoor.com/employers/blog/diversity-inclusion-workplace-survey/</w:t>
      </w:r>
    </w:p>
    <w:p w:rsidR="00A04F4C" w14:paraId="37301501" w14:textId="5C14D94D">
      <w:pPr>
        <w:pStyle w:val="FootnoteText"/>
      </w:pPr>
    </w:p>
  </w:footnote>
  <w:footnote w:id="7">
    <w:p w:rsidR="00B658C2" w:rsidRPr="005B4D79" w:rsidP="00B658C2" w14:paraId="087F159F" w14:textId="28AA2F1D">
      <w:pPr>
        <w:pStyle w:val="FootnoteText"/>
        <w:rPr>
          <w:rFonts w:ascii="Times New Roman" w:hAnsi="Times New Roman"/>
        </w:rPr>
      </w:pPr>
      <w:r w:rsidRPr="005B4D79">
        <w:rPr>
          <w:rStyle w:val="FootnoteReference"/>
          <w:rFonts w:ascii="Times New Roman" w:hAnsi="Times New Roman"/>
        </w:rPr>
        <w:footnoteRef/>
      </w:r>
      <w:r w:rsidRPr="005B4D79">
        <w:rPr>
          <w:rFonts w:ascii="Times New Roman" w:hAnsi="Times New Roman"/>
        </w:rPr>
        <w:t>8</w:t>
      </w:r>
      <w:r>
        <w:rPr>
          <w:rFonts w:ascii="Times New Roman" w:hAnsi="Times New Roman"/>
        </w:rPr>
        <w:t>9</w:t>
      </w:r>
      <w:r w:rsidRPr="005B4D79">
        <w:rPr>
          <w:rFonts w:ascii="Times New Roman" w:hAnsi="Times New Roman"/>
        </w:rPr>
        <w:t xml:space="preserve"> FR </w:t>
      </w:r>
      <w:r>
        <w:rPr>
          <w:rFonts w:ascii="Times New Roman" w:hAnsi="Times New Roman"/>
        </w:rPr>
        <w:t>22767</w:t>
      </w:r>
      <w:r w:rsidRPr="005B4D79">
        <w:rPr>
          <w:rFonts w:ascii="Times New Roman" w:hAnsi="Times New Roman"/>
        </w:rPr>
        <w:t>.</w:t>
      </w:r>
    </w:p>
  </w:footnote>
  <w:footnote w:id="8">
    <w:p w:rsidR="00125E8E" w:rsidRPr="00125E8E" w14:paraId="5E512790" w14:textId="27B1E287">
      <w:pPr>
        <w:pStyle w:val="FootnoteText"/>
        <w:rPr>
          <w:rFonts w:ascii="Times New Roman" w:hAnsi="Times New Roman"/>
        </w:rPr>
      </w:pPr>
      <w:r w:rsidRPr="00125E8E">
        <w:rPr>
          <w:rStyle w:val="FootnoteReference"/>
        </w:rPr>
        <w:footnoteRef/>
      </w:r>
      <w:r w:rsidRPr="00125E8E">
        <w:t xml:space="preserve"> </w:t>
      </w:r>
      <w:r w:rsidRPr="00125E8E">
        <w:rPr>
          <w:rFonts w:ascii="Times New Roman" w:hAnsi="Times New Roman"/>
        </w:rPr>
        <w:t>Rail Stakeholders including those in labor positions, carrier management, research/academia, professional association staff, HR personnel, regulators, executive level staff, etc.</w:t>
      </w:r>
    </w:p>
  </w:footnote>
  <w:footnote w:id="9">
    <w:p w:rsidR="00125E8E" w:rsidRPr="00125E8E" w14:paraId="37710CCB" w14:textId="39E5A370">
      <w:pPr>
        <w:pStyle w:val="FootnoteText"/>
        <w:rPr>
          <w:rFonts w:ascii="Times New Roman" w:hAnsi="Times New Roman"/>
        </w:rPr>
      </w:pPr>
      <w:r w:rsidRPr="00125E8E">
        <w:rPr>
          <w:rStyle w:val="FootnoteReference"/>
          <w:rFonts w:ascii="Times New Roman" w:hAnsi="Times New Roman"/>
        </w:rPr>
        <w:footnoteRef/>
      </w:r>
      <w:r w:rsidR="00C76337">
        <w:rPr>
          <w:rFonts w:ascii="Times New Roman" w:hAnsi="Times New Roman"/>
        </w:rPr>
        <w:t xml:space="preserve">The hourly wage rate to calculate the dollar cost equivalent for all occupations under rail transportation amounts to $34.55 per hour plus the benefit calculation of 31 percent.  FRA obtained this information from the Department of Labor, Bureau of Labor Statistics (BLS), Occupational Employment Statistics, classified within NAICS 482100, Rail Transportation.  See </w:t>
      </w:r>
      <w:hyperlink r:id="rId1" w:anchor="00-0000" w:history="1">
        <w:r w:rsidRPr="009F615A" w:rsidR="00C76337">
          <w:rPr>
            <w:rStyle w:val="Hyperlink"/>
            <w:rFonts w:ascii="Times New Roman" w:hAnsi="Times New Roman"/>
          </w:rPr>
          <w:t>http://www.bls.gov/oes/current/naics4_482100.htm#00-0000</w:t>
        </w:r>
      </w:hyperlink>
      <w:r w:rsidR="00C76337">
        <w:rPr>
          <w:rFonts w:ascii="Times New Roman" w:hAnsi="Times New Roman"/>
        </w:rPr>
        <w:t>.</w:t>
      </w:r>
    </w:p>
  </w:footnote>
  <w:footnote w:id="10">
    <w:p w:rsidR="00D13A45" w:rsidRPr="00253F61" w:rsidP="00D13A45" w14:paraId="69F37350" w14:textId="211EE9C3">
      <w:pPr>
        <w:pStyle w:val="FootnoteText"/>
        <w:rPr>
          <w:rFonts w:ascii="Times New Roman" w:hAnsi="Times New Roman"/>
        </w:rPr>
      </w:pPr>
      <w:r w:rsidRPr="00253F61">
        <w:rPr>
          <w:rStyle w:val="FootnoteReference"/>
          <w:rFonts w:ascii="Times New Roman" w:hAnsi="Times New Roman"/>
        </w:rPr>
        <w:footnoteRef/>
      </w:r>
      <w:r w:rsidRPr="00253F61">
        <w:rPr>
          <w:rFonts w:ascii="Times New Roman" w:hAnsi="Times New Roman"/>
        </w:rPr>
        <w:t>A semi-structured interview is a qualitative research method that utilizes some structured questions that will prompt discussion with opportunity for unstructured exploration (additional questions or clarification of responses) of themes as they engage during the discussion.</w:t>
      </w:r>
    </w:p>
  </w:footnote>
  <w:footnote w:id="11">
    <w:p w:rsidR="00C76337" w:rsidRPr="00253F61" w14:paraId="735906F5" w14:textId="0A652FFA">
      <w:pPr>
        <w:pStyle w:val="FootnoteText"/>
        <w:rPr>
          <w:rFonts w:ascii="Times New Roman" w:hAnsi="Times New Roman"/>
        </w:rPr>
      </w:pPr>
      <w:r w:rsidRPr="00253F61">
        <w:rPr>
          <w:rStyle w:val="FootnoteReference"/>
          <w:rFonts w:ascii="Times New Roman" w:hAnsi="Times New Roman"/>
        </w:rPr>
        <w:footnoteRef/>
      </w:r>
      <w:r w:rsidRPr="00253F61">
        <w:rPr>
          <w:rFonts w:ascii="Times New Roman" w:hAnsi="Times New Roman"/>
        </w:rPr>
        <w:t>Totals may not add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7540AA8"/>
    <w:lvl w:ilvl="0">
      <w:start w:val="1"/>
      <w:numFmt w:val="bullet"/>
      <w:pStyle w:val="ListBullet"/>
      <w:lvlText w:val=""/>
      <w:lvlJc w:val="left"/>
      <w:pPr>
        <w:tabs>
          <w:tab w:val="num" w:pos="2790"/>
        </w:tabs>
        <w:ind w:left="2790" w:hanging="360"/>
      </w:pPr>
      <w:rPr>
        <w:rFonts w:ascii="Symbol" w:hAnsi="Symbol" w:hint="default"/>
      </w:rPr>
    </w:lvl>
  </w:abstractNum>
  <w:abstractNum w:abstractNumId="1">
    <w:nsid w:val="051F33B5"/>
    <w:multiLevelType w:val="hybridMultilevel"/>
    <w:tmpl w:val="071E60F4"/>
    <w:lvl w:ilvl="0">
      <w:start w:val="4"/>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CF13DB"/>
    <w:multiLevelType w:val="hybridMultilevel"/>
    <w:tmpl w:val="DF4E6BDE"/>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1B1312"/>
    <w:multiLevelType w:val="hybridMultilevel"/>
    <w:tmpl w:val="27C4FEE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45BB4"/>
    <w:multiLevelType w:val="hybridMultilevel"/>
    <w:tmpl w:val="B8ECC0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DDC2E63"/>
    <w:multiLevelType w:val="hybridMultilevel"/>
    <w:tmpl w:val="7966E11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52410F"/>
    <w:multiLevelType w:val="hybridMultilevel"/>
    <w:tmpl w:val="1660A61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DB4661"/>
    <w:multiLevelType w:val="hybridMultilevel"/>
    <w:tmpl w:val="FF12E454"/>
    <w:lvl w:ilvl="0">
      <w:start w:val="14"/>
      <w:numFmt w:val="decimal"/>
      <w:lvlText w:val="%1."/>
      <w:lvlJc w:val="left"/>
      <w:pPr>
        <w:tabs>
          <w:tab w:val="num" w:pos="720"/>
        </w:tabs>
        <w:ind w:left="720" w:hanging="360"/>
      </w:pPr>
      <w:rPr>
        <w:rFonts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6F83EBE"/>
    <w:multiLevelType w:val="hybridMultilevel"/>
    <w:tmpl w:val="81C261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8E7B62"/>
    <w:multiLevelType w:val="hybridMultilevel"/>
    <w:tmpl w:val="CF4C2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EA61A6"/>
    <w:multiLevelType w:val="hybridMultilevel"/>
    <w:tmpl w:val="E88CE5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CD271B"/>
    <w:multiLevelType w:val="hybridMultilevel"/>
    <w:tmpl w:val="00644AD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2139EF"/>
    <w:multiLevelType w:val="hybridMultilevel"/>
    <w:tmpl w:val="B7FA833E"/>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1B172E"/>
    <w:multiLevelType w:val="hybridMultilevel"/>
    <w:tmpl w:val="E470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E85D15"/>
    <w:multiLevelType w:val="hybridMultilevel"/>
    <w:tmpl w:val="6AF264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F0575F4"/>
    <w:multiLevelType w:val="hybridMultilevel"/>
    <w:tmpl w:val="CB40E93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6">
    <w:nsid w:val="401B185F"/>
    <w:multiLevelType w:val="hybridMultilevel"/>
    <w:tmpl w:val="490EF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011440"/>
    <w:multiLevelType w:val="hybridMultilevel"/>
    <w:tmpl w:val="1580378E"/>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721DFB"/>
    <w:multiLevelType w:val="hybridMultilevel"/>
    <w:tmpl w:val="338286F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3A85279"/>
    <w:multiLevelType w:val="hybridMultilevel"/>
    <w:tmpl w:val="47260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AB758B"/>
    <w:multiLevelType w:val="hybridMultilevel"/>
    <w:tmpl w:val="61D22124"/>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CA3B18"/>
    <w:multiLevelType w:val="hybridMultilevel"/>
    <w:tmpl w:val="87927D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DC40FA"/>
    <w:multiLevelType w:val="hybridMultilevel"/>
    <w:tmpl w:val="F30CD78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54A21EAA"/>
    <w:multiLevelType w:val="hybridMultilevel"/>
    <w:tmpl w:val="F2B0C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E63CD3"/>
    <w:multiLevelType w:val="hybridMultilevel"/>
    <w:tmpl w:val="506EF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0A468D"/>
    <w:multiLevelType w:val="hybridMultilevel"/>
    <w:tmpl w:val="9D80BFE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B714CCD"/>
    <w:multiLevelType w:val="hybridMultilevel"/>
    <w:tmpl w:val="3D52C1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5DD50410"/>
    <w:multiLevelType w:val="hybridMultilevel"/>
    <w:tmpl w:val="1A384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52314A"/>
    <w:multiLevelType w:val="hybridMultilevel"/>
    <w:tmpl w:val="597EC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5B1CA5"/>
    <w:multiLevelType w:val="hybridMultilevel"/>
    <w:tmpl w:val="19C28D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320C50"/>
    <w:multiLevelType w:val="hybridMultilevel"/>
    <w:tmpl w:val="14E2A6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24352D1"/>
    <w:multiLevelType w:val="hybridMultilevel"/>
    <w:tmpl w:val="D2602BC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A51928"/>
    <w:multiLevelType w:val="hybridMultilevel"/>
    <w:tmpl w:val="94BC734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73710919">
    <w:abstractNumId w:val="2"/>
  </w:num>
  <w:num w:numId="2" w16cid:durableId="1308820308">
    <w:abstractNumId w:val="25"/>
  </w:num>
  <w:num w:numId="3" w16cid:durableId="1743479780">
    <w:abstractNumId w:val="29"/>
  </w:num>
  <w:num w:numId="4" w16cid:durableId="170682380">
    <w:abstractNumId w:val="5"/>
  </w:num>
  <w:num w:numId="5" w16cid:durableId="1210726642">
    <w:abstractNumId w:val="21"/>
  </w:num>
  <w:num w:numId="6" w16cid:durableId="1489245963">
    <w:abstractNumId w:val="6"/>
  </w:num>
  <w:num w:numId="7" w16cid:durableId="709838802">
    <w:abstractNumId w:val="18"/>
  </w:num>
  <w:num w:numId="8" w16cid:durableId="901983035">
    <w:abstractNumId w:val="32"/>
  </w:num>
  <w:num w:numId="9" w16cid:durableId="1307515888">
    <w:abstractNumId w:val="1"/>
  </w:num>
  <w:num w:numId="10" w16cid:durableId="5331058">
    <w:abstractNumId w:val="10"/>
  </w:num>
  <w:num w:numId="11" w16cid:durableId="86970344">
    <w:abstractNumId w:val="17"/>
  </w:num>
  <w:num w:numId="12" w16cid:durableId="231811856">
    <w:abstractNumId w:val="12"/>
  </w:num>
  <w:num w:numId="13" w16cid:durableId="1278368269">
    <w:abstractNumId w:val="11"/>
  </w:num>
  <w:num w:numId="14" w16cid:durableId="142935952">
    <w:abstractNumId w:val="30"/>
  </w:num>
  <w:num w:numId="15" w16cid:durableId="1808622793">
    <w:abstractNumId w:val="3"/>
  </w:num>
  <w:num w:numId="16" w16cid:durableId="107555501">
    <w:abstractNumId w:val="9"/>
  </w:num>
  <w:num w:numId="17" w16cid:durableId="1247694581">
    <w:abstractNumId w:val="14"/>
  </w:num>
  <w:num w:numId="18" w16cid:durableId="779448526">
    <w:abstractNumId w:val="27"/>
  </w:num>
  <w:num w:numId="19" w16cid:durableId="358050602">
    <w:abstractNumId w:val="4"/>
  </w:num>
  <w:num w:numId="20" w16cid:durableId="1179546140">
    <w:abstractNumId w:val="13"/>
  </w:num>
  <w:num w:numId="21" w16cid:durableId="183984501">
    <w:abstractNumId w:val="31"/>
  </w:num>
  <w:num w:numId="22" w16cid:durableId="1044599032">
    <w:abstractNumId w:val="24"/>
  </w:num>
  <w:num w:numId="23" w16cid:durableId="723791330">
    <w:abstractNumId w:val="23"/>
  </w:num>
  <w:num w:numId="24" w16cid:durableId="2126538206">
    <w:abstractNumId w:val="26"/>
  </w:num>
  <w:num w:numId="25" w16cid:durableId="1461877585">
    <w:abstractNumId w:val="22"/>
  </w:num>
  <w:num w:numId="26" w16cid:durableId="941764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7638429">
    <w:abstractNumId w:val="20"/>
  </w:num>
  <w:num w:numId="28" w16cid:durableId="1801530518">
    <w:abstractNumId w:val="7"/>
  </w:num>
  <w:num w:numId="29" w16cid:durableId="201942165">
    <w:abstractNumId w:val="28"/>
  </w:num>
  <w:num w:numId="30" w16cid:durableId="1827670266">
    <w:abstractNumId w:val="19"/>
  </w:num>
  <w:num w:numId="31" w16cid:durableId="1303998329">
    <w:abstractNumId w:val="16"/>
  </w:num>
  <w:num w:numId="32" w16cid:durableId="1730495851">
    <w:abstractNumId w:val="0"/>
  </w:num>
  <w:num w:numId="33" w16cid:durableId="964773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2B"/>
    <w:rsid w:val="00003333"/>
    <w:rsid w:val="000042D2"/>
    <w:rsid w:val="0000600C"/>
    <w:rsid w:val="00010F3F"/>
    <w:rsid w:val="0001136C"/>
    <w:rsid w:val="00013A5F"/>
    <w:rsid w:val="0001496A"/>
    <w:rsid w:val="00023721"/>
    <w:rsid w:val="00023C64"/>
    <w:rsid w:val="00023EEF"/>
    <w:rsid w:val="00024607"/>
    <w:rsid w:val="00033D8F"/>
    <w:rsid w:val="0004376E"/>
    <w:rsid w:val="00044A81"/>
    <w:rsid w:val="00045BF9"/>
    <w:rsid w:val="00046E04"/>
    <w:rsid w:val="00047FB7"/>
    <w:rsid w:val="000526D7"/>
    <w:rsid w:val="00052C62"/>
    <w:rsid w:val="00054381"/>
    <w:rsid w:val="00056582"/>
    <w:rsid w:val="00057354"/>
    <w:rsid w:val="00057BF1"/>
    <w:rsid w:val="00060D39"/>
    <w:rsid w:val="000625E7"/>
    <w:rsid w:val="000632FA"/>
    <w:rsid w:val="000639B4"/>
    <w:rsid w:val="000675C6"/>
    <w:rsid w:val="00074F4A"/>
    <w:rsid w:val="00075BA4"/>
    <w:rsid w:val="000776DF"/>
    <w:rsid w:val="00077F86"/>
    <w:rsid w:val="0008117E"/>
    <w:rsid w:val="00081899"/>
    <w:rsid w:val="00082C82"/>
    <w:rsid w:val="00085A07"/>
    <w:rsid w:val="00085E9D"/>
    <w:rsid w:val="0009084A"/>
    <w:rsid w:val="00091FC5"/>
    <w:rsid w:val="000934CD"/>
    <w:rsid w:val="00094869"/>
    <w:rsid w:val="00095E99"/>
    <w:rsid w:val="0009657B"/>
    <w:rsid w:val="000A0447"/>
    <w:rsid w:val="000A05A9"/>
    <w:rsid w:val="000A23ED"/>
    <w:rsid w:val="000A3F01"/>
    <w:rsid w:val="000A4BB5"/>
    <w:rsid w:val="000A4E73"/>
    <w:rsid w:val="000A6BA2"/>
    <w:rsid w:val="000B1951"/>
    <w:rsid w:val="000B23E5"/>
    <w:rsid w:val="000B2ED6"/>
    <w:rsid w:val="000B3BCD"/>
    <w:rsid w:val="000B5082"/>
    <w:rsid w:val="000B6A1A"/>
    <w:rsid w:val="000B7388"/>
    <w:rsid w:val="000B73BE"/>
    <w:rsid w:val="000C04B5"/>
    <w:rsid w:val="000C1FA5"/>
    <w:rsid w:val="000C48A1"/>
    <w:rsid w:val="000C5FBF"/>
    <w:rsid w:val="000C7222"/>
    <w:rsid w:val="000C7B5A"/>
    <w:rsid w:val="000D0DBC"/>
    <w:rsid w:val="000D1EB1"/>
    <w:rsid w:val="000D3045"/>
    <w:rsid w:val="000D6E1C"/>
    <w:rsid w:val="000E03A0"/>
    <w:rsid w:val="000E0767"/>
    <w:rsid w:val="000E0E3C"/>
    <w:rsid w:val="000E11C3"/>
    <w:rsid w:val="000E18DF"/>
    <w:rsid w:val="000E1D23"/>
    <w:rsid w:val="000E1E30"/>
    <w:rsid w:val="000E36BB"/>
    <w:rsid w:val="000E597E"/>
    <w:rsid w:val="000E6468"/>
    <w:rsid w:val="000F23A3"/>
    <w:rsid w:val="000F2F23"/>
    <w:rsid w:val="000F49D6"/>
    <w:rsid w:val="000F5B3F"/>
    <w:rsid w:val="000F6898"/>
    <w:rsid w:val="0010081A"/>
    <w:rsid w:val="00104904"/>
    <w:rsid w:val="00106A2A"/>
    <w:rsid w:val="00110290"/>
    <w:rsid w:val="0011316F"/>
    <w:rsid w:val="00117313"/>
    <w:rsid w:val="00120ACC"/>
    <w:rsid w:val="00121871"/>
    <w:rsid w:val="00122CA0"/>
    <w:rsid w:val="00122DF5"/>
    <w:rsid w:val="0012323F"/>
    <w:rsid w:val="001249B0"/>
    <w:rsid w:val="00125E8E"/>
    <w:rsid w:val="00131025"/>
    <w:rsid w:val="00131443"/>
    <w:rsid w:val="00134076"/>
    <w:rsid w:val="00143D9A"/>
    <w:rsid w:val="00144888"/>
    <w:rsid w:val="00144D2C"/>
    <w:rsid w:val="00150309"/>
    <w:rsid w:val="00150862"/>
    <w:rsid w:val="0015086A"/>
    <w:rsid w:val="00151725"/>
    <w:rsid w:val="001518D6"/>
    <w:rsid w:val="00153245"/>
    <w:rsid w:val="001537D9"/>
    <w:rsid w:val="00156F64"/>
    <w:rsid w:val="001624AB"/>
    <w:rsid w:val="001662ED"/>
    <w:rsid w:val="00170802"/>
    <w:rsid w:val="00170FD3"/>
    <w:rsid w:val="001729E9"/>
    <w:rsid w:val="00177A8B"/>
    <w:rsid w:val="00180425"/>
    <w:rsid w:val="00180AD0"/>
    <w:rsid w:val="00180AD3"/>
    <w:rsid w:val="001829CB"/>
    <w:rsid w:val="00182E31"/>
    <w:rsid w:val="00184FC8"/>
    <w:rsid w:val="00185862"/>
    <w:rsid w:val="00185B6C"/>
    <w:rsid w:val="00187CC3"/>
    <w:rsid w:val="00187E62"/>
    <w:rsid w:val="0019246A"/>
    <w:rsid w:val="00193449"/>
    <w:rsid w:val="001964BD"/>
    <w:rsid w:val="001975D9"/>
    <w:rsid w:val="001A0F10"/>
    <w:rsid w:val="001A476C"/>
    <w:rsid w:val="001A50D6"/>
    <w:rsid w:val="001A50FB"/>
    <w:rsid w:val="001B0778"/>
    <w:rsid w:val="001B1791"/>
    <w:rsid w:val="001B3154"/>
    <w:rsid w:val="001B58F8"/>
    <w:rsid w:val="001B7409"/>
    <w:rsid w:val="001C0737"/>
    <w:rsid w:val="001C4887"/>
    <w:rsid w:val="001C4AC4"/>
    <w:rsid w:val="001C6087"/>
    <w:rsid w:val="001C7ECA"/>
    <w:rsid w:val="001D2BC6"/>
    <w:rsid w:val="001D6718"/>
    <w:rsid w:val="001D6EBC"/>
    <w:rsid w:val="001E0FDE"/>
    <w:rsid w:val="001E42AC"/>
    <w:rsid w:val="001E5363"/>
    <w:rsid w:val="001E67A7"/>
    <w:rsid w:val="001E6C9B"/>
    <w:rsid w:val="001F07D9"/>
    <w:rsid w:val="001F0CA7"/>
    <w:rsid w:val="001F1F99"/>
    <w:rsid w:val="001F274F"/>
    <w:rsid w:val="001F2DFF"/>
    <w:rsid w:val="001F2EDA"/>
    <w:rsid w:val="001F5C30"/>
    <w:rsid w:val="001F63D5"/>
    <w:rsid w:val="001F6C92"/>
    <w:rsid w:val="002005B1"/>
    <w:rsid w:val="002026E8"/>
    <w:rsid w:val="00202F37"/>
    <w:rsid w:val="0020667B"/>
    <w:rsid w:val="00207222"/>
    <w:rsid w:val="00207677"/>
    <w:rsid w:val="00210D4F"/>
    <w:rsid w:val="002116F1"/>
    <w:rsid w:val="00214A56"/>
    <w:rsid w:val="00215C23"/>
    <w:rsid w:val="00215CEF"/>
    <w:rsid w:val="00216603"/>
    <w:rsid w:val="002238B1"/>
    <w:rsid w:val="00227459"/>
    <w:rsid w:val="002316BE"/>
    <w:rsid w:val="0023341D"/>
    <w:rsid w:val="00233FBF"/>
    <w:rsid w:val="0023617F"/>
    <w:rsid w:val="00240607"/>
    <w:rsid w:val="00241220"/>
    <w:rsid w:val="00242E30"/>
    <w:rsid w:val="00244EC2"/>
    <w:rsid w:val="0024602F"/>
    <w:rsid w:val="002465A5"/>
    <w:rsid w:val="00247498"/>
    <w:rsid w:val="00250377"/>
    <w:rsid w:val="00253F61"/>
    <w:rsid w:val="002544CE"/>
    <w:rsid w:val="00255B3F"/>
    <w:rsid w:val="00261D19"/>
    <w:rsid w:val="002620CE"/>
    <w:rsid w:val="00262992"/>
    <w:rsid w:val="00265399"/>
    <w:rsid w:val="00267346"/>
    <w:rsid w:val="00270B5E"/>
    <w:rsid w:val="002715E5"/>
    <w:rsid w:val="00271AA8"/>
    <w:rsid w:val="002721C1"/>
    <w:rsid w:val="0027402C"/>
    <w:rsid w:val="00275969"/>
    <w:rsid w:val="002769F2"/>
    <w:rsid w:val="00281AB0"/>
    <w:rsid w:val="002902D3"/>
    <w:rsid w:val="00290E97"/>
    <w:rsid w:val="00291141"/>
    <w:rsid w:val="00291BAF"/>
    <w:rsid w:val="0029321D"/>
    <w:rsid w:val="002961E8"/>
    <w:rsid w:val="00296411"/>
    <w:rsid w:val="00296F37"/>
    <w:rsid w:val="002A14C3"/>
    <w:rsid w:val="002A212D"/>
    <w:rsid w:val="002A3339"/>
    <w:rsid w:val="002A4A57"/>
    <w:rsid w:val="002B0100"/>
    <w:rsid w:val="002B0AC1"/>
    <w:rsid w:val="002B1120"/>
    <w:rsid w:val="002B48F3"/>
    <w:rsid w:val="002B7DEC"/>
    <w:rsid w:val="002C1345"/>
    <w:rsid w:val="002C20F7"/>
    <w:rsid w:val="002C3732"/>
    <w:rsid w:val="002C542C"/>
    <w:rsid w:val="002C6B20"/>
    <w:rsid w:val="002C6D7B"/>
    <w:rsid w:val="002D05AA"/>
    <w:rsid w:val="002D1A08"/>
    <w:rsid w:val="002D491F"/>
    <w:rsid w:val="002D4967"/>
    <w:rsid w:val="002D6258"/>
    <w:rsid w:val="002D69F9"/>
    <w:rsid w:val="002E0E2B"/>
    <w:rsid w:val="002E1AB3"/>
    <w:rsid w:val="002E1DCA"/>
    <w:rsid w:val="002E2287"/>
    <w:rsid w:val="002E2E0F"/>
    <w:rsid w:val="002E3308"/>
    <w:rsid w:val="002E3465"/>
    <w:rsid w:val="002E6222"/>
    <w:rsid w:val="002E64FB"/>
    <w:rsid w:val="002E7269"/>
    <w:rsid w:val="002E7957"/>
    <w:rsid w:val="002F0AF4"/>
    <w:rsid w:val="002F44CD"/>
    <w:rsid w:val="002F48BD"/>
    <w:rsid w:val="002F5835"/>
    <w:rsid w:val="002F6171"/>
    <w:rsid w:val="002F74BD"/>
    <w:rsid w:val="003004FA"/>
    <w:rsid w:val="00300F75"/>
    <w:rsid w:val="00303562"/>
    <w:rsid w:val="0031200A"/>
    <w:rsid w:val="00314277"/>
    <w:rsid w:val="00314579"/>
    <w:rsid w:val="003145D0"/>
    <w:rsid w:val="00314787"/>
    <w:rsid w:val="00314A8C"/>
    <w:rsid w:val="003165E9"/>
    <w:rsid w:val="00320CDB"/>
    <w:rsid w:val="00321404"/>
    <w:rsid w:val="003258E1"/>
    <w:rsid w:val="003279AB"/>
    <w:rsid w:val="00331A7A"/>
    <w:rsid w:val="00333E83"/>
    <w:rsid w:val="00337765"/>
    <w:rsid w:val="00337CF0"/>
    <w:rsid w:val="0034461E"/>
    <w:rsid w:val="00344D30"/>
    <w:rsid w:val="00345A42"/>
    <w:rsid w:val="00346410"/>
    <w:rsid w:val="00346FB8"/>
    <w:rsid w:val="0034782F"/>
    <w:rsid w:val="003548D2"/>
    <w:rsid w:val="00354E6D"/>
    <w:rsid w:val="00355EE6"/>
    <w:rsid w:val="003572CB"/>
    <w:rsid w:val="0036155F"/>
    <w:rsid w:val="003621BE"/>
    <w:rsid w:val="0036221B"/>
    <w:rsid w:val="00362504"/>
    <w:rsid w:val="003650BC"/>
    <w:rsid w:val="0037031D"/>
    <w:rsid w:val="00375B5D"/>
    <w:rsid w:val="00376327"/>
    <w:rsid w:val="003819FF"/>
    <w:rsid w:val="003838B7"/>
    <w:rsid w:val="00383F96"/>
    <w:rsid w:val="0038798D"/>
    <w:rsid w:val="00387B81"/>
    <w:rsid w:val="00390520"/>
    <w:rsid w:val="00390AD5"/>
    <w:rsid w:val="003912DD"/>
    <w:rsid w:val="00395C99"/>
    <w:rsid w:val="00396FF8"/>
    <w:rsid w:val="003977B1"/>
    <w:rsid w:val="003A0346"/>
    <w:rsid w:val="003A1A77"/>
    <w:rsid w:val="003A2A97"/>
    <w:rsid w:val="003A2B9F"/>
    <w:rsid w:val="003A3967"/>
    <w:rsid w:val="003A4973"/>
    <w:rsid w:val="003A5BBC"/>
    <w:rsid w:val="003A7A11"/>
    <w:rsid w:val="003A7CDE"/>
    <w:rsid w:val="003C1001"/>
    <w:rsid w:val="003C1849"/>
    <w:rsid w:val="003C249A"/>
    <w:rsid w:val="003C3AD2"/>
    <w:rsid w:val="003C46E5"/>
    <w:rsid w:val="003C5B85"/>
    <w:rsid w:val="003D2E50"/>
    <w:rsid w:val="003D505D"/>
    <w:rsid w:val="003D5120"/>
    <w:rsid w:val="003D612F"/>
    <w:rsid w:val="003D6766"/>
    <w:rsid w:val="003D6C7E"/>
    <w:rsid w:val="003D70AD"/>
    <w:rsid w:val="003E0FE7"/>
    <w:rsid w:val="003E1937"/>
    <w:rsid w:val="003E1E89"/>
    <w:rsid w:val="003E3BA6"/>
    <w:rsid w:val="003E636A"/>
    <w:rsid w:val="003E7151"/>
    <w:rsid w:val="003F0E63"/>
    <w:rsid w:val="003F20F7"/>
    <w:rsid w:val="003F31AA"/>
    <w:rsid w:val="003F56D1"/>
    <w:rsid w:val="003F57EA"/>
    <w:rsid w:val="003F7656"/>
    <w:rsid w:val="00401062"/>
    <w:rsid w:val="00402A18"/>
    <w:rsid w:val="00402A41"/>
    <w:rsid w:val="00404716"/>
    <w:rsid w:val="00404E41"/>
    <w:rsid w:val="00405CE4"/>
    <w:rsid w:val="00410EEF"/>
    <w:rsid w:val="00412551"/>
    <w:rsid w:val="00417ABA"/>
    <w:rsid w:val="00420E35"/>
    <w:rsid w:val="00421068"/>
    <w:rsid w:val="00421A38"/>
    <w:rsid w:val="00423462"/>
    <w:rsid w:val="004245DB"/>
    <w:rsid w:val="00424DA1"/>
    <w:rsid w:val="00425891"/>
    <w:rsid w:val="00426EC8"/>
    <w:rsid w:val="00427D67"/>
    <w:rsid w:val="00430D2F"/>
    <w:rsid w:val="004323E2"/>
    <w:rsid w:val="004340A9"/>
    <w:rsid w:val="0043451F"/>
    <w:rsid w:val="00434B70"/>
    <w:rsid w:val="00435797"/>
    <w:rsid w:val="00436F47"/>
    <w:rsid w:val="004376F0"/>
    <w:rsid w:val="00437A0C"/>
    <w:rsid w:val="00437F40"/>
    <w:rsid w:val="0044008E"/>
    <w:rsid w:val="00441C7B"/>
    <w:rsid w:val="00450963"/>
    <w:rsid w:val="00452420"/>
    <w:rsid w:val="004526F2"/>
    <w:rsid w:val="004547A4"/>
    <w:rsid w:val="00455784"/>
    <w:rsid w:val="00456685"/>
    <w:rsid w:val="00457088"/>
    <w:rsid w:val="004616BA"/>
    <w:rsid w:val="00463559"/>
    <w:rsid w:val="00465287"/>
    <w:rsid w:val="004662D1"/>
    <w:rsid w:val="004710D7"/>
    <w:rsid w:val="004745A6"/>
    <w:rsid w:val="00474D69"/>
    <w:rsid w:val="004765F6"/>
    <w:rsid w:val="00477279"/>
    <w:rsid w:val="00477CD8"/>
    <w:rsid w:val="00482639"/>
    <w:rsid w:val="0048363D"/>
    <w:rsid w:val="00484111"/>
    <w:rsid w:val="00484BCE"/>
    <w:rsid w:val="004877B7"/>
    <w:rsid w:val="00490679"/>
    <w:rsid w:val="00491742"/>
    <w:rsid w:val="004920D4"/>
    <w:rsid w:val="00492DCA"/>
    <w:rsid w:val="00497E7E"/>
    <w:rsid w:val="004A3047"/>
    <w:rsid w:val="004A584B"/>
    <w:rsid w:val="004A5919"/>
    <w:rsid w:val="004B5FBE"/>
    <w:rsid w:val="004B7025"/>
    <w:rsid w:val="004C27BE"/>
    <w:rsid w:val="004C380A"/>
    <w:rsid w:val="004C3CE8"/>
    <w:rsid w:val="004C47D3"/>
    <w:rsid w:val="004C5A13"/>
    <w:rsid w:val="004D0015"/>
    <w:rsid w:val="004D1F69"/>
    <w:rsid w:val="004D380D"/>
    <w:rsid w:val="004E08FB"/>
    <w:rsid w:val="004E24B4"/>
    <w:rsid w:val="004E2619"/>
    <w:rsid w:val="004E29E6"/>
    <w:rsid w:val="004E3152"/>
    <w:rsid w:val="004E4445"/>
    <w:rsid w:val="004E4820"/>
    <w:rsid w:val="004E5800"/>
    <w:rsid w:val="004E76D3"/>
    <w:rsid w:val="004E7BB6"/>
    <w:rsid w:val="004E7E38"/>
    <w:rsid w:val="004F2E9B"/>
    <w:rsid w:val="004F3A54"/>
    <w:rsid w:val="004F3C32"/>
    <w:rsid w:val="004F478C"/>
    <w:rsid w:val="004F598B"/>
    <w:rsid w:val="004F60E5"/>
    <w:rsid w:val="004F7A8B"/>
    <w:rsid w:val="005000E5"/>
    <w:rsid w:val="0050020E"/>
    <w:rsid w:val="00501061"/>
    <w:rsid w:val="00504D63"/>
    <w:rsid w:val="00506157"/>
    <w:rsid w:val="00506F0B"/>
    <w:rsid w:val="005137F0"/>
    <w:rsid w:val="00517303"/>
    <w:rsid w:val="00521748"/>
    <w:rsid w:val="00525B04"/>
    <w:rsid w:val="0053098F"/>
    <w:rsid w:val="00530C3C"/>
    <w:rsid w:val="00530E13"/>
    <w:rsid w:val="005357A5"/>
    <w:rsid w:val="00537E47"/>
    <w:rsid w:val="005407F4"/>
    <w:rsid w:val="00540E4C"/>
    <w:rsid w:val="005459F9"/>
    <w:rsid w:val="00551396"/>
    <w:rsid w:val="00551857"/>
    <w:rsid w:val="005523E5"/>
    <w:rsid w:val="00554753"/>
    <w:rsid w:val="005547B3"/>
    <w:rsid w:val="00556253"/>
    <w:rsid w:val="0055625A"/>
    <w:rsid w:val="00557C39"/>
    <w:rsid w:val="00560873"/>
    <w:rsid w:val="00565944"/>
    <w:rsid w:val="0057365C"/>
    <w:rsid w:val="005750D7"/>
    <w:rsid w:val="00576B83"/>
    <w:rsid w:val="00580127"/>
    <w:rsid w:val="00581A66"/>
    <w:rsid w:val="00582974"/>
    <w:rsid w:val="005902FB"/>
    <w:rsid w:val="00591540"/>
    <w:rsid w:val="00592157"/>
    <w:rsid w:val="005930C8"/>
    <w:rsid w:val="00595168"/>
    <w:rsid w:val="005A2449"/>
    <w:rsid w:val="005A3677"/>
    <w:rsid w:val="005A4642"/>
    <w:rsid w:val="005A4925"/>
    <w:rsid w:val="005B011F"/>
    <w:rsid w:val="005B0786"/>
    <w:rsid w:val="005B0884"/>
    <w:rsid w:val="005B0959"/>
    <w:rsid w:val="005B1359"/>
    <w:rsid w:val="005B1CDD"/>
    <w:rsid w:val="005B22FE"/>
    <w:rsid w:val="005B231B"/>
    <w:rsid w:val="005B2931"/>
    <w:rsid w:val="005B4D79"/>
    <w:rsid w:val="005B7219"/>
    <w:rsid w:val="005B777B"/>
    <w:rsid w:val="005C223F"/>
    <w:rsid w:val="005C421C"/>
    <w:rsid w:val="005C4CC3"/>
    <w:rsid w:val="005C5B7B"/>
    <w:rsid w:val="005C7363"/>
    <w:rsid w:val="005D0BCF"/>
    <w:rsid w:val="005D1CCE"/>
    <w:rsid w:val="005D29B6"/>
    <w:rsid w:val="005D57E0"/>
    <w:rsid w:val="005D72B6"/>
    <w:rsid w:val="005D7559"/>
    <w:rsid w:val="005E4B26"/>
    <w:rsid w:val="005E5B8F"/>
    <w:rsid w:val="005E6901"/>
    <w:rsid w:val="005E79B9"/>
    <w:rsid w:val="005F22E8"/>
    <w:rsid w:val="005F3083"/>
    <w:rsid w:val="005F3400"/>
    <w:rsid w:val="00602588"/>
    <w:rsid w:val="00602E0B"/>
    <w:rsid w:val="006031BA"/>
    <w:rsid w:val="00603C65"/>
    <w:rsid w:val="00604C3B"/>
    <w:rsid w:val="00605575"/>
    <w:rsid w:val="00605F14"/>
    <w:rsid w:val="006078CD"/>
    <w:rsid w:val="00611DBA"/>
    <w:rsid w:val="00613A32"/>
    <w:rsid w:val="00614886"/>
    <w:rsid w:val="0061747B"/>
    <w:rsid w:val="006249ED"/>
    <w:rsid w:val="00630A16"/>
    <w:rsid w:val="00632ECC"/>
    <w:rsid w:val="0063314A"/>
    <w:rsid w:val="00633E7A"/>
    <w:rsid w:val="006370E4"/>
    <w:rsid w:val="00640662"/>
    <w:rsid w:val="0064094F"/>
    <w:rsid w:val="0064185E"/>
    <w:rsid w:val="00642AA7"/>
    <w:rsid w:val="00643B3A"/>
    <w:rsid w:val="006466CC"/>
    <w:rsid w:val="00646A94"/>
    <w:rsid w:val="006478EF"/>
    <w:rsid w:val="006479F5"/>
    <w:rsid w:val="00650244"/>
    <w:rsid w:val="00650F00"/>
    <w:rsid w:val="00651AE4"/>
    <w:rsid w:val="00654EBA"/>
    <w:rsid w:val="006575E6"/>
    <w:rsid w:val="006613EA"/>
    <w:rsid w:val="00661D3B"/>
    <w:rsid w:val="00663C08"/>
    <w:rsid w:val="0066702F"/>
    <w:rsid w:val="00680B1E"/>
    <w:rsid w:val="00680C53"/>
    <w:rsid w:val="00683908"/>
    <w:rsid w:val="006841BE"/>
    <w:rsid w:val="00687534"/>
    <w:rsid w:val="006878BC"/>
    <w:rsid w:val="006904AA"/>
    <w:rsid w:val="0069060E"/>
    <w:rsid w:val="00691999"/>
    <w:rsid w:val="006A04D1"/>
    <w:rsid w:val="006A19E2"/>
    <w:rsid w:val="006A27CA"/>
    <w:rsid w:val="006A30D8"/>
    <w:rsid w:val="006A3DD1"/>
    <w:rsid w:val="006A49A9"/>
    <w:rsid w:val="006A5755"/>
    <w:rsid w:val="006A5E60"/>
    <w:rsid w:val="006A6966"/>
    <w:rsid w:val="006B0036"/>
    <w:rsid w:val="006B139F"/>
    <w:rsid w:val="006B6276"/>
    <w:rsid w:val="006B6C3A"/>
    <w:rsid w:val="006B7C6A"/>
    <w:rsid w:val="006C19E9"/>
    <w:rsid w:val="006C2B3D"/>
    <w:rsid w:val="006C3EDF"/>
    <w:rsid w:val="006C4E28"/>
    <w:rsid w:val="006C5915"/>
    <w:rsid w:val="006C6800"/>
    <w:rsid w:val="006C6F35"/>
    <w:rsid w:val="006D27A0"/>
    <w:rsid w:val="006D3BF2"/>
    <w:rsid w:val="006D4325"/>
    <w:rsid w:val="006D49EF"/>
    <w:rsid w:val="006D5015"/>
    <w:rsid w:val="006D72E7"/>
    <w:rsid w:val="006D7954"/>
    <w:rsid w:val="006E4361"/>
    <w:rsid w:val="006E7D3D"/>
    <w:rsid w:val="006F0890"/>
    <w:rsid w:val="006F1340"/>
    <w:rsid w:val="006F2BC4"/>
    <w:rsid w:val="006F2D37"/>
    <w:rsid w:val="006F3240"/>
    <w:rsid w:val="006F34FD"/>
    <w:rsid w:val="006F3F5C"/>
    <w:rsid w:val="006F7820"/>
    <w:rsid w:val="007013FA"/>
    <w:rsid w:val="00702662"/>
    <w:rsid w:val="007026B8"/>
    <w:rsid w:val="00704971"/>
    <w:rsid w:val="0070559B"/>
    <w:rsid w:val="00707674"/>
    <w:rsid w:val="00707873"/>
    <w:rsid w:val="0070791E"/>
    <w:rsid w:val="007102C1"/>
    <w:rsid w:val="00711FE6"/>
    <w:rsid w:val="007149AB"/>
    <w:rsid w:val="0071752A"/>
    <w:rsid w:val="00720784"/>
    <w:rsid w:val="0072086D"/>
    <w:rsid w:val="0072276E"/>
    <w:rsid w:val="00724848"/>
    <w:rsid w:val="00725933"/>
    <w:rsid w:val="00725F5F"/>
    <w:rsid w:val="0072706C"/>
    <w:rsid w:val="00730C0A"/>
    <w:rsid w:val="00730C29"/>
    <w:rsid w:val="0073220C"/>
    <w:rsid w:val="00733AD9"/>
    <w:rsid w:val="00735882"/>
    <w:rsid w:val="007358EB"/>
    <w:rsid w:val="00737B35"/>
    <w:rsid w:val="007418C0"/>
    <w:rsid w:val="00743D4A"/>
    <w:rsid w:val="00744BAD"/>
    <w:rsid w:val="00744DAA"/>
    <w:rsid w:val="007459C6"/>
    <w:rsid w:val="00745C7E"/>
    <w:rsid w:val="00750A57"/>
    <w:rsid w:val="00751664"/>
    <w:rsid w:val="007520CB"/>
    <w:rsid w:val="00755144"/>
    <w:rsid w:val="007569F6"/>
    <w:rsid w:val="00764995"/>
    <w:rsid w:val="00764B90"/>
    <w:rsid w:val="00767842"/>
    <w:rsid w:val="00767C6C"/>
    <w:rsid w:val="007728E8"/>
    <w:rsid w:val="00774C1F"/>
    <w:rsid w:val="00775996"/>
    <w:rsid w:val="00776A98"/>
    <w:rsid w:val="0078176E"/>
    <w:rsid w:val="00782190"/>
    <w:rsid w:val="007824A9"/>
    <w:rsid w:val="00783880"/>
    <w:rsid w:val="00783994"/>
    <w:rsid w:val="00785C4C"/>
    <w:rsid w:val="00785FA6"/>
    <w:rsid w:val="00787DA6"/>
    <w:rsid w:val="00790EBC"/>
    <w:rsid w:val="0079387E"/>
    <w:rsid w:val="007960EB"/>
    <w:rsid w:val="007A0953"/>
    <w:rsid w:val="007A0ED1"/>
    <w:rsid w:val="007A4413"/>
    <w:rsid w:val="007A6CBF"/>
    <w:rsid w:val="007A7FB2"/>
    <w:rsid w:val="007B0A3C"/>
    <w:rsid w:val="007B14FD"/>
    <w:rsid w:val="007B1AFF"/>
    <w:rsid w:val="007B400F"/>
    <w:rsid w:val="007B7A12"/>
    <w:rsid w:val="007C136F"/>
    <w:rsid w:val="007C5202"/>
    <w:rsid w:val="007C61F7"/>
    <w:rsid w:val="007C7FAD"/>
    <w:rsid w:val="007D0740"/>
    <w:rsid w:val="007D185C"/>
    <w:rsid w:val="007E1203"/>
    <w:rsid w:val="007E2E36"/>
    <w:rsid w:val="007E3471"/>
    <w:rsid w:val="007E3806"/>
    <w:rsid w:val="007E44A4"/>
    <w:rsid w:val="007E4B89"/>
    <w:rsid w:val="007E4FCE"/>
    <w:rsid w:val="007E514D"/>
    <w:rsid w:val="007E5FEF"/>
    <w:rsid w:val="007E6693"/>
    <w:rsid w:val="007E6C41"/>
    <w:rsid w:val="007F0768"/>
    <w:rsid w:val="007F0CBF"/>
    <w:rsid w:val="007F3485"/>
    <w:rsid w:val="007F50A1"/>
    <w:rsid w:val="007F5736"/>
    <w:rsid w:val="007F6161"/>
    <w:rsid w:val="007F62B2"/>
    <w:rsid w:val="007F7841"/>
    <w:rsid w:val="007F7B2A"/>
    <w:rsid w:val="007F7CC7"/>
    <w:rsid w:val="00806720"/>
    <w:rsid w:val="008070DD"/>
    <w:rsid w:val="00807321"/>
    <w:rsid w:val="00807E63"/>
    <w:rsid w:val="008113C9"/>
    <w:rsid w:val="00812BFE"/>
    <w:rsid w:val="00815D64"/>
    <w:rsid w:val="00820C88"/>
    <w:rsid w:val="0082205A"/>
    <w:rsid w:val="00822989"/>
    <w:rsid w:val="00823526"/>
    <w:rsid w:val="00823F89"/>
    <w:rsid w:val="00824EDD"/>
    <w:rsid w:val="0083022F"/>
    <w:rsid w:val="00830C13"/>
    <w:rsid w:val="00830F9C"/>
    <w:rsid w:val="008314EB"/>
    <w:rsid w:val="00831BF8"/>
    <w:rsid w:val="008324F3"/>
    <w:rsid w:val="00834127"/>
    <w:rsid w:val="008450A1"/>
    <w:rsid w:val="00847A3E"/>
    <w:rsid w:val="00847C53"/>
    <w:rsid w:val="008509C8"/>
    <w:rsid w:val="0085145A"/>
    <w:rsid w:val="00854200"/>
    <w:rsid w:val="00854AD3"/>
    <w:rsid w:val="00854D41"/>
    <w:rsid w:val="00855B29"/>
    <w:rsid w:val="00860F66"/>
    <w:rsid w:val="00862B6A"/>
    <w:rsid w:val="00862F41"/>
    <w:rsid w:val="00866219"/>
    <w:rsid w:val="00866EF4"/>
    <w:rsid w:val="00867787"/>
    <w:rsid w:val="00871D15"/>
    <w:rsid w:val="00874D3F"/>
    <w:rsid w:val="00884E20"/>
    <w:rsid w:val="00887050"/>
    <w:rsid w:val="0089023B"/>
    <w:rsid w:val="00893956"/>
    <w:rsid w:val="00896337"/>
    <w:rsid w:val="008A05B4"/>
    <w:rsid w:val="008A15E3"/>
    <w:rsid w:val="008A6BE8"/>
    <w:rsid w:val="008A7AB0"/>
    <w:rsid w:val="008B4340"/>
    <w:rsid w:val="008B6888"/>
    <w:rsid w:val="008B6F86"/>
    <w:rsid w:val="008C05A0"/>
    <w:rsid w:val="008C27B7"/>
    <w:rsid w:val="008C2D5E"/>
    <w:rsid w:val="008C303D"/>
    <w:rsid w:val="008C4011"/>
    <w:rsid w:val="008C68AF"/>
    <w:rsid w:val="008D2F90"/>
    <w:rsid w:val="008D60C5"/>
    <w:rsid w:val="008D62A4"/>
    <w:rsid w:val="008D7A33"/>
    <w:rsid w:val="008E5692"/>
    <w:rsid w:val="008E56A1"/>
    <w:rsid w:val="008E7F8E"/>
    <w:rsid w:val="008F4037"/>
    <w:rsid w:val="008F4352"/>
    <w:rsid w:val="00900620"/>
    <w:rsid w:val="00901A67"/>
    <w:rsid w:val="00904245"/>
    <w:rsid w:val="00904729"/>
    <w:rsid w:val="00906893"/>
    <w:rsid w:val="00906C04"/>
    <w:rsid w:val="009129A1"/>
    <w:rsid w:val="0091389F"/>
    <w:rsid w:val="00913D52"/>
    <w:rsid w:val="00914DB5"/>
    <w:rsid w:val="00916D19"/>
    <w:rsid w:val="00917469"/>
    <w:rsid w:val="00920817"/>
    <w:rsid w:val="00925CB0"/>
    <w:rsid w:val="00932D89"/>
    <w:rsid w:val="009360C5"/>
    <w:rsid w:val="00937530"/>
    <w:rsid w:val="00941B15"/>
    <w:rsid w:val="00942601"/>
    <w:rsid w:val="009430A1"/>
    <w:rsid w:val="009439B8"/>
    <w:rsid w:val="00943CEF"/>
    <w:rsid w:val="00944780"/>
    <w:rsid w:val="00950F2E"/>
    <w:rsid w:val="00952AB2"/>
    <w:rsid w:val="00952C64"/>
    <w:rsid w:val="0096133E"/>
    <w:rsid w:val="00961676"/>
    <w:rsid w:val="00963850"/>
    <w:rsid w:val="0096391D"/>
    <w:rsid w:val="00965FF6"/>
    <w:rsid w:val="009734D2"/>
    <w:rsid w:val="00973613"/>
    <w:rsid w:val="009736BC"/>
    <w:rsid w:val="00974A5A"/>
    <w:rsid w:val="009757FA"/>
    <w:rsid w:val="009816CF"/>
    <w:rsid w:val="00983DD0"/>
    <w:rsid w:val="00986264"/>
    <w:rsid w:val="00986FF8"/>
    <w:rsid w:val="00987110"/>
    <w:rsid w:val="0099103A"/>
    <w:rsid w:val="00995AB5"/>
    <w:rsid w:val="009A0D72"/>
    <w:rsid w:val="009A0E67"/>
    <w:rsid w:val="009A2A8D"/>
    <w:rsid w:val="009A3C72"/>
    <w:rsid w:val="009A3F28"/>
    <w:rsid w:val="009A6168"/>
    <w:rsid w:val="009B197E"/>
    <w:rsid w:val="009B5378"/>
    <w:rsid w:val="009C2347"/>
    <w:rsid w:val="009C4B49"/>
    <w:rsid w:val="009D13EE"/>
    <w:rsid w:val="009E012B"/>
    <w:rsid w:val="009E059E"/>
    <w:rsid w:val="009E1C6E"/>
    <w:rsid w:val="009E3063"/>
    <w:rsid w:val="009E31BE"/>
    <w:rsid w:val="009E49EE"/>
    <w:rsid w:val="009E4E77"/>
    <w:rsid w:val="009F1354"/>
    <w:rsid w:val="009F1788"/>
    <w:rsid w:val="009F22C0"/>
    <w:rsid w:val="009F3832"/>
    <w:rsid w:val="009F38CE"/>
    <w:rsid w:val="009F3FC0"/>
    <w:rsid w:val="009F3FFC"/>
    <w:rsid w:val="009F4DB6"/>
    <w:rsid w:val="009F50EB"/>
    <w:rsid w:val="009F615A"/>
    <w:rsid w:val="009F63E6"/>
    <w:rsid w:val="009F693B"/>
    <w:rsid w:val="009F728F"/>
    <w:rsid w:val="00A01004"/>
    <w:rsid w:val="00A01851"/>
    <w:rsid w:val="00A02075"/>
    <w:rsid w:val="00A03A9A"/>
    <w:rsid w:val="00A04E56"/>
    <w:rsid w:val="00A04F4C"/>
    <w:rsid w:val="00A0559D"/>
    <w:rsid w:val="00A11348"/>
    <w:rsid w:val="00A11559"/>
    <w:rsid w:val="00A12CE6"/>
    <w:rsid w:val="00A14F8D"/>
    <w:rsid w:val="00A17F00"/>
    <w:rsid w:val="00A208B9"/>
    <w:rsid w:val="00A22D7D"/>
    <w:rsid w:val="00A272B3"/>
    <w:rsid w:val="00A272F3"/>
    <w:rsid w:val="00A27F25"/>
    <w:rsid w:val="00A3306D"/>
    <w:rsid w:val="00A348EB"/>
    <w:rsid w:val="00A34BCE"/>
    <w:rsid w:val="00A36282"/>
    <w:rsid w:val="00A403F7"/>
    <w:rsid w:val="00A444E9"/>
    <w:rsid w:val="00A44DC7"/>
    <w:rsid w:val="00A46976"/>
    <w:rsid w:val="00A50534"/>
    <w:rsid w:val="00A51597"/>
    <w:rsid w:val="00A56710"/>
    <w:rsid w:val="00A629BE"/>
    <w:rsid w:val="00A636D2"/>
    <w:rsid w:val="00A6403D"/>
    <w:rsid w:val="00A655CF"/>
    <w:rsid w:val="00A70A46"/>
    <w:rsid w:val="00A71EFE"/>
    <w:rsid w:val="00A72633"/>
    <w:rsid w:val="00A76B60"/>
    <w:rsid w:val="00A7788E"/>
    <w:rsid w:val="00A832BA"/>
    <w:rsid w:val="00A83B21"/>
    <w:rsid w:val="00A85981"/>
    <w:rsid w:val="00A90BC6"/>
    <w:rsid w:val="00AA067B"/>
    <w:rsid w:val="00AA139A"/>
    <w:rsid w:val="00AA21CD"/>
    <w:rsid w:val="00AA23F0"/>
    <w:rsid w:val="00AA28F5"/>
    <w:rsid w:val="00AA2A9D"/>
    <w:rsid w:val="00AA464C"/>
    <w:rsid w:val="00AA4903"/>
    <w:rsid w:val="00AA5778"/>
    <w:rsid w:val="00AA6724"/>
    <w:rsid w:val="00AA6C93"/>
    <w:rsid w:val="00AA6E04"/>
    <w:rsid w:val="00AA7DF1"/>
    <w:rsid w:val="00AB0856"/>
    <w:rsid w:val="00AB1F45"/>
    <w:rsid w:val="00AB2073"/>
    <w:rsid w:val="00AB34ED"/>
    <w:rsid w:val="00AB4FDA"/>
    <w:rsid w:val="00AB5FBA"/>
    <w:rsid w:val="00AB5FD6"/>
    <w:rsid w:val="00AC181B"/>
    <w:rsid w:val="00AC265C"/>
    <w:rsid w:val="00AC3674"/>
    <w:rsid w:val="00AC37C4"/>
    <w:rsid w:val="00AC4603"/>
    <w:rsid w:val="00AC4EDD"/>
    <w:rsid w:val="00AC5929"/>
    <w:rsid w:val="00AD00E7"/>
    <w:rsid w:val="00AD16D6"/>
    <w:rsid w:val="00AD27FF"/>
    <w:rsid w:val="00AD3171"/>
    <w:rsid w:val="00AD3A1C"/>
    <w:rsid w:val="00AD5094"/>
    <w:rsid w:val="00AE288F"/>
    <w:rsid w:val="00AE647D"/>
    <w:rsid w:val="00AF19B9"/>
    <w:rsid w:val="00AF2953"/>
    <w:rsid w:val="00AF40F6"/>
    <w:rsid w:val="00AF7517"/>
    <w:rsid w:val="00B00096"/>
    <w:rsid w:val="00B003D8"/>
    <w:rsid w:val="00B00D05"/>
    <w:rsid w:val="00B057DB"/>
    <w:rsid w:val="00B11CB8"/>
    <w:rsid w:val="00B129F5"/>
    <w:rsid w:val="00B12A7C"/>
    <w:rsid w:val="00B139C1"/>
    <w:rsid w:val="00B14945"/>
    <w:rsid w:val="00B15457"/>
    <w:rsid w:val="00B21219"/>
    <w:rsid w:val="00B22064"/>
    <w:rsid w:val="00B2429E"/>
    <w:rsid w:val="00B25B0F"/>
    <w:rsid w:val="00B27D65"/>
    <w:rsid w:val="00B316DC"/>
    <w:rsid w:val="00B31E6D"/>
    <w:rsid w:val="00B330AB"/>
    <w:rsid w:val="00B356E5"/>
    <w:rsid w:val="00B408A7"/>
    <w:rsid w:val="00B51F4E"/>
    <w:rsid w:val="00B523A3"/>
    <w:rsid w:val="00B526F2"/>
    <w:rsid w:val="00B551BB"/>
    <w:rsid w:val="00B56534"/>
    <w:rsid w:val="00B613E2"/>
    <w:rsid w:val="00B62616"/>
    <w:rsid w:val="00B649F4"/>
    <w:rsid w:val="00B658C2"/>
    <w:rsid w:val="00B65ED4"/>
    <w:rsid w:val="00B6737E"/>
    <w:rsid w:val="00B67E29"/>
    <w:rsid w:val="00B72348"/>
    <w:rsid w:val="00B73823"/>
    <w:rsid w:val="00B76AFC"/>
    <w:rsid w:val="00B773E9"/>
    <w:rsid w:val="00B77E35"/>
    <w:rsid w:val="00B822F6"/>
    <w:rsid w:val="00B86521"/>
    <w:rsid w:val="00B9236D"/>
    <w:rsid w:val="00B94123"/>
    <w:rsid w:val="00B965D7"/>
    <w:rsid w:val="00BA1C40"/>
    <w:rsid w:val="00BA7EB1"/>
    <w:rsid w:val="00BB0115"/>
    <w:rsid w:val="00BB2B0F"/>
    <w:rsid w:val="00BB39C2"/>
    <w:rsid w:val="00BB5E97"/>
    <w:rsid w:val="00BB6FCB"/>
    <w:rsid w:val="00BC1363"/>
    <w:rsid w:val="00BC18EA"/>
    <w:rsid w:val="00BC22F4"/>
    <w:rsid w:val="00BC4221"/>
    <w:rsid w:val="00BC4D78"/>
    <w:rsid w:val="00BC6858"/>
    <w:rsid w:val="00BC6E4B"/>
    <w:rsid w:val="00BD153A"/>
    <w:rsid w:val="00BD41E9"/>
    <w:rsid w:val="00BD7FBD"/>
    <w:rsid w:val="00BE0156"/>
    <w:rsid w:val="00BE04F6"/>
    <w:rsid w:val="00BE090F"/>
    <w:rsid w:val="00BE3054"/>
    <w:rsid w:val="00BE51F8"/>
    <w:rsid w:val="00BF035E"/>
    <w:rsid w:val="00BF0C88"/>
    <w:rsid w:val="00BF2151"/>
    <w:rsid w:val="00BF3296"/>
    <w:rsid w:val="00BF32FF"/>
    <w:rsid w:val="00BF51F3"/>
    <w:rsid w:val="00BF543B"/>
    <w:rsid w:val="00BF549A"/>
    <w:rsid w:val="00BF588C"/>
    <w:rsid w:val="00BF5D6E"/>
    <w:rsid w:val="00BF638E"/>
    <w:rsid w:val="00BF68C5"/>
    <w:rsid w:val="00C0189E"/>
    <w:rsid w:val="00C030E8"/>
    <w:rsid w:val="00C04FB7"/>
    <w:rsid w:val="00C0528D"/>
    <w:rsid w:val="00C05D4C"/>
    <w:rsid w:val="00C05E4A"/>
    <w:rsid w:val="00C076FD"/>
    <w:rsid w:val="00C10BD3"/>
    <w:rsid w:val="00C115D1"/>
    <w:rsid w:val="00C148D4"/>
    <w:rsid w:val="00C168AA"/>
    <w:rsid w:val="00C1721A"/>
    <w:rsid w:val="00C17688"/>
    <w:rsid w:val="00C179CC"/>
    <w:rsid w:val="00C2115C"/>
    <w:rsid w:val="00C234FD"/>
    <w:rsid w:val="00C248A2"/>
    <w:rsid w:val="00C24DAA"/>
    <w:rsid w:val="00C30F5B"/>
    <w:rsid w:val="00C3154F"/>
    <w:rsid w:val="00C3274F"/>
    <w:rsid w:val="00C3359A"/>
    <w:rsid w:val="00C356E7"/>
    <w:rsid w:val="00C3725F"/>
    <w:rsid w:val="00C378AA"/>
    <w:rsid w:val="00C402F5"/>
    <w:rsid w:val="00C4320D"/>
    <w:rsid w:val="00C4526F"/>
    <w:rsid w:val="00C50F2B"/>
    <w:rsid w:val="00C510CA"/>
    <w:rsid w:val="00C51486"/>
    <w:rsid w:val="00C5332B"/>
    <w:rsid w:val="00C55031"/>
    <w:rsid w:val="00C555F3"/>
    <w:rsid w:val="00C57B91"/>
    <w:rsid w:val="00C60D5A"/>
    <w:rsid w:val="00C64AAF"/>
    <w:rsid w:val="00C662EA"/>
    <w:rsid w:val="00C715DC"/>
    <w:rsid w:val="00C72DAF"/>
    <w:rsid w:val="00C73422"/>
    <w:rsid w:val="00C73CAE"/>
    <w:rsid w:val="00C76337"/>
    <w:rsid w:val="00C76FBD"/>
    <w:rsid w:val="00C8020D"/>
    <w:rsid w:val="00C807A3"/>
    <w:rsid w:val="00C81005"/>
    <w:rsid w:val="00C825CB"/>
    <w:rsid w:val="00C84B51"/>
    <w:rsid w:val="00C90651"/>
    <w:rsid w:val="00C93C5C"/>
    <w:rsid w:val="00C941B7"/>
    <w:rsid w:val="00C95132"/>
    <w:rsid w:val="00C953CB"/>
    <w:rsid w:val="00C95EE8"/>
    <w:rsid w:val="00C9751C"/>
    <w:rsid w:val="00CA5175"/>
    <w:rsid w:val="00CB0DF6"/>
    <w:rsid w:val="00CB0EB7"/>
    <w:rsid w:val="00CB1628"/>
    <w:rsid w:val="00CB3114"/>
    <w:rsid w:val="00CC1EB6"/>
    <w:rsid w:val="00CC2DE2"/>
    <w:rsid w:val="00CC66B1"/>
    <w:rsid w:val="00CC6F4A"/>
    <w:rsid w:val="00CD08FC"/>
    <w:rsid w:val="00CD15C4"/>
    <w:rsid w:val="00CD1B93"/>
    <w:rsid w:val="00CD232F"/>
    <w:rsid w:val="00CD2557"/>
    <w:rsid w:val="00CD28FE"/>
    <w:rsid w:val="00CD35B6"/>
    <w:rsid w:val="00CD497C"/>
    <w:rsid w:val="00CD66DD"/>
    <w:rsid w:val="00CD706C"/>
    <w:rsid w:val="00CE0A15"/>
    <w:rsid w:val="00CE4C13"/>
    <w:rsid w:val="00CE4C2F"/>
    <w:rsid w:val="00CE5716"/>
    <w:rsid w:val="00CE6137"/>
    <w:rsid w:val="00CF47D4"/>
    <w:rsid w:val="00D04D07"/>
    <w:rsid w:val="00D0790C"/>
    <w:rsid w:val="00D07F6B"/>
    <w:rsid w:val="00D10481"/>
    <w:rsid w:val="00D11B05"/>
    <w:rsid w:val="00D1339F"/>
    <w:rsid w:val="00D13A45"/>
    <w:rsid w:val="00D13D4D"/>
    <w:rsid w:val="00D14337"/>
    <w:rsid w:val="00D146F9"/>
    <w:rsid w:val="00D1545D"/>
    <w:rsid w:val="00D1797F"/>
    <w:rsid w:val="00D1799E"/>
    <w:rsid w:val="00D17A43"/>
    <w:rsid w:val="00D20D5E"/>
    <w:rsid w:val="00D20E5D"/>
    <w:rsid w:val="00D21866"/>
    <w:rsid w:val="00D21C5F"/>
    <w:rsid w:val="00D24AF2"/>
    <w:rsid w:val="00D255A6"/>
    <w:rsid w:val="00D255F2"/>
    <w:rsid w:val="00D25B34"/>
    <w:rsid w:val="00D25EAC"/>
    <w:rsid w:val="00D265DD"/>
    <w:rsid w:val="00D27013"/>
    <w:rsid w:val="00D27290"/>
    <w:rsid w:val="00D27B7C"/>
    <w:rsid w:val="00D334C2"/>
    <w:rsid w:val="00D35561"/>
    <w:rsid w:val="00D374C7"/>
    <w:rsid w:val="00D42C6E"/>
    <w:rsid w:val="00D45917"/>
    <w:rsid w:val="00D47FC0"/>
    <w:rsid w:val="00D505F4"/>
    <w:rsid w:val="00D52263"/>
    <w:rsid w:val="00D57D9F"/>
    <w:rsid w:val="00D6045C"/>
    <w:rsid w:val="00D623BC"/>
    <w:rsid w:val="00D66022"/>
    <w:rsid w:val="00D67104"/>
    <w:rsid w:val="00D67185"/>
    <w:rsid w:val="00D737E3"/>
    <w:rsid w:val="00D73EDE"/>
    <w:rsid w:val="00D73F60"/>
    <w:rsid w:val="00D744EE"/>
    <w:rsid w:val="00D7455F"/>
    <w:rsid w:val="00D8090F"/>
    <w:rsid w:val="00D81B79"/>
    <w:rsid w:val="00D82003"/>
    <w:rsid w:val="00D83121"/>
    <w:rsid w:val="00D8339F"/>
    <w:rsid w:val="00D844DB"/>
    <w:rsid w:val="00D863FB"/>
    <w:rsid w:val="00D8752A"/>
    <w:rsid w:val="00D942E4"/>
    <w:rsid w:val="00D94495"/>
    <w:rsid w:val="00D95171"/>
    <w:rsid w:val="00D9603B"/>
    <w:rsid w:val="00D96AFF"/>
    <w:rsid w:val="00DA0459"/>
    <w:rsid w:val="00DA1131"/>
    <w:rsid w:val="00DA2054"/>
    <w:rsid w:val="00DA2871"/>
    <w:rsid w:val="00DA32F3"/>
    <w:rsid w:val="00DA52C3"/>
    <w:rsid w:val="00DB0EE8"/>
    <w:rsid w:val="00DB2568"/>
    <w:rsid w:val="00DB2D43"/>
    <w:rsid w:val="00DB3D6C"/>
    <w:rsid w:val="00DB6C6A"/>
    <w:rsid w:val="00DB7D55"/>
    <w:rsid w:val="00DC00F6"/>
    <w:rsid w:val="00DC2E99"/>
    <w:rsid w:val="00DC487D"/>
    <w:rsid w:val="00DC4F8B"/>
    <w:rsid w:val="00DC5E09"/>
    <w:rsid w:val="00DD0789"/>
    <w:rsid w:val="00DD090A"/>
    <w:rsid w:val="00DD099D"/>
    <w:rsid w:val="00DD1800"/>
    <w:rsid w:val="00DD336F"/>
    <w:rsid w:val="00DD560D"/>
    <w:rsid w:val="00DE0926"/>
    <w:rsid w:val="00DE163B"/>
    <w:rsid w:val="00DE40EE"/>
    <w:rsid w:val="00DE5D40"/>
    <w:rsid w:val="00DF0E95"/>
    <w:rsid w:val="00DF2CE6"/>
    <w:rsid w:val="00DF3B92"/>
    <w:rsid w:val="00DF552B"/>
    <w:rsid w:val="00E00456"/>
    <w:rsid w:val="00E023A2"/>
    <w:rsid w:val="00E047B5"/>
    <w:rsid w:val="00E07168"/>
    <w:rsid w:val="00E0718B"/>
    <w:rsid w:val="00E108C7"/>
    <w:rsid w:val="00E10924"/>
    <w:rsid w:val="00E113E6"/>
    <w:rsid w:val="00E1311F"/>
    <w:rsid w:val="00E15EE7"/>
    <w:rsid w:val="00E20078"/>
    <w:rsid w:val="00E2048B"/>
    <w:rsid w:val="00E209EF"/>
    <w:rsid w:val="00E22597"/>
    <w:rsid w:val="00E2330C"/>
    <w:rsid w:val="00E23FDA"/>
    <w:rsid w:val="00E25A29"/>
    <w:rsid w:val="00E264C0"/>
    <w:rsid w:val="00E300BB"/>
    <w:rsid w:val="00E30776"/>
    <w:rsid w:val="00E30983"/>
    <w:rsid w:val="00E31B28"/>
    <w:rsid w:val="00E31FC1"/>
    <w:rsid w:val="00E332D5"/>
    <w:rsid w:val="00E35E76"/>
    <w:rsid w:val="00E36D4C"/>
    <w:rsid w:val="00E3703D"/>
    <w:rsid w:val="00E37746"/>
    <w:rsid w:val="00E41743"/>
    <w:rsid w:val="00E42678"/>
    <w:rsid w:val="00E438FD"/>
    <w:rsid w:val="00E44B2C"/>
    <w:rsid w:val="00E451BE"/>
    <w:rsid w:val="00E46364"/>
    <w:rsid w:val="00E46C2E"/>
    <w:rsid w:val="00E5317F"/>
    <w:rsid w:val="00E571AC"/>
    <w:rsid w:val="00E579DF"/>
    <w:rsid w:val="00E601D9"/>
    <w:rsid w:val="00E61EFE"/>
    <w:rsid w:val="00E74EE9"/>
    <w:rsid w:val="00E75138"/>
    <w:rsid w:val="00E76333"/>
    <w:rsid w:val="00E76F94"/>
    <w:rsid w:val="00E77CA7"/>
    <w:rsid w:val="00E802AF"/>
    <w:rsid w:val="00E81006"/>
    <w:rsid w:val="00E82EB4"/>
    <w:rsid w:val="00E83A8B"/>
    <w:rsid w:val="00E85EDC"/>
    <w:rsid w:val="00E903F0"/>
    <w:rsid w:val="00E924DA"/>
    <w:rsid w:val="00E9531B"/>
    <w:rsid w:val="00E96688"/>
    <w:rsid w:val="00E9769D"/>
    <w:rsid w:val="00E97987"/>
    <w:rsid w:val="00EA02BE"/>
    <w:rsid w:val="00EA130D"/>
    <w:rsid w:val="00EA1807"/>
    <w:rsid w:val="00EA1880"/>
    <w:rsid w:val="00EA1DC0"/>
    <w:rsid w:val="00EA5FDD"/>
    <w:rsid w:val="00EA6B2A"/>
    <w:rsid w:val="00EB275B"/>
    <w:rsid w:val="00EB2BBB"/>
    <w:rsid w:val="00EB5B8C"/>
    <w:rsid w:val="00EC1BC4"/>
    <w:rsid w:val="00EC2394"/>
    <w:rsid w:val="00EC2DD3"/>
    <w:rsid w:val="00EC4512"/>
    <w:rsid w:val="00EC6FD2"/>
    <w:rsid w:val="00ED0E61"/>
    <w:rsid w:val="00ED3B49"/>
    <w:rsid w:val="00ED4D7D"/>
    <w:rsid w:val="00ED7097"/>
    <w:rsid w:val="00ED7428"/>
    <w:rsid w:val="00EE24BB"/>
    <w:rsid w:val="00EE2CC8"/>
    <w:rsid w:val="00EE2F35"/>
    <w:rsid w:val="00EE33E4"/>
    <w:rsid w:val="00EE4E78"/>
    <w:rsid w:val="00EE548D"/>
    <w:rsid w:val="00EE5CA6"/>
    <w:rsid w:val="00EE75AB"/>
    <w:rsid w:val="00EF053A"/>
    <w:rsid w:val="00EF2B8E"/>
    <w:rsid w:val="00EF4602"/>
    <w:rsid w:val="00EF58D7"/>
    <w:rsid w:val="00EF5980"/>
    <w:rsid w:val="00F00C58"/>
    <w:rsid w:val="00F014BE"/>
    <w:rsid w:val="00F05C67"/>
    <w:rsid w:val="00F06C21"/>
    <w:rsid w:val="00F10D68"/>
    <w:rsid w:val="00F13477"/>
    <w:rsid w:val="00F141D3"/>
    <w:rsid w:val="00F145C7"/>
    <w:rsid w:val="00F15225"/>
    <w:rsid w:val="00F15B5F"/>
    <w:rsid w:val="00F2132D"/>
    <w:rsid w:val="00F22C9B"/>
    <w:rsid w:val="00F23BA1"/>
    <w:rsid w:val="00F2438F"/>
    <w:rsid w:val="00F24F8F"/>
    <w:rsid w:val="00F256A4"/>
    <w:rsid w:val="00F34B48"/>
    <w:rsid w:val="00F3621D"/>
    <w:rsid w:val="00F36485"/>
    <w:rsid w:val="00F4255B"/>
    <w:rsid w:val="00F45491"/>
    <w:rsid w:val="00F507BA"/>
    <w:rsid w:val="00F50C04"/>
    <w:rsid w:val="00F52972"/>
    <w:rsid w:val="00F56386"/>
    <w:rsid w:val="00F62FB8"/>
    <w:rsid w:val="00F63EDE"/>
    <w:rsid w:val="00F6460E"/>
    <w:rsid w:val="00F65DCC"/>
    <w:rsid w:val="00F67503"/>
    <w:rsid w:val="00F70F5C"/>
    <w:rsid w:val="00F7316B"/>
    <w:rsid w:val="00F73D38"/>
    <w:rsid w:val="00F74DDC"/>
    <w:rsid w:val="00F7650B"/>
    <w:rsid w:val="00F7772C"/>
    <w:rsid w:val="00F815BD"/>
    <w:rsid w:val="00F8310C"/>
    <w:rsid w:val="00F8446A"/>
    <w:rsid w:val="00F8476A"/>
    <w:rsid w:val="00F87F72"/>
    <w:rsid w:val="00F87FA8"/>
    <w:rsid w:val="00F903AE"/>
    <w:rsid w:val="00F92E45"/>
    <w:rsid w:val="00F9364C"/>
    <w:rsid w:val="00F94041"/>
    <w:rsid w:val="00F9437A"/>
    <w:rsid w:val="00F94E47"/>
    <w:rsid w:val="00F953CA"/>
    <w:rsid w:val="00F968DC"/>
    <w:rsid w:val="00F976BB"/>
    <w:rsid w:val="00FA08F5"/>
    <w:rsid w:val="00FA153F"/>
    <w:rsid w:val="00FA3352"/>
    <w:rsid w:val="00FA4093"/>
    <w:rsid w:val="00FA541E"/>
    <w:rsid w:val="00FA7A21"/>
    <w:rsid w:val="00FB25BA"/>
    <w:rsid w:val="00FB346B"/>
    <w:rsid w:val="00FB3CE0"/>
    <w:rsid w:val="00FB486C"/>
    <w:rsid w:val="00FB5FCF"/>
    <w:rsid w:val="00FB6FBB"/>
    <w:rsid w:val="00FB7BBD"/>
    <w:rsid w:val="00FC060E"/>
    <w:rsid w:val="00FC0AF6"/>
    <w:rsid w:val="00FC1A2E"/>
    <w:rsid w:val="00FC29A6"/>
    <w:rsid w:val="00FC3BB6"/>
    <w:rsid w:val="00FC42FC"/>
    <w:rsid w:val="00FC4B5F"/>
    <w:rsid w:val="00FC6F7C"/>
    <w:rsid w:val="00FD014F"/>
    <w:rsid w:val="00FD23FF"/>
    <w:rsid w:val="00FD52A4"/>
    <w:rsid w:val="00FD5832"/>
    <w:rsid w:val="00FE0743"/>
    <w:rsid w:val="00FE1BE5"/>
    <w:rsid w:val="00FE275E"/>
    <w:rsid w:val="00FE660E"/>
    <w:rsid w:val="00FF0794"/>
    <w:rsid w:val="00FF0B8F"/>
    <w:rsid w:val="00FF0F72"/>
    <w:rsid w:val="00FF55D6"/>
    <w:rsid w:val="00FF7E4E"/>
    <w:rsid w:val="0A061F14"/>
    <w:rsid w:val="0BF6A7F7"/>
    <w:rsid w:val="1D5E52F6"/>
    <w:rsid w:val="45C83997"/>
    <w:rsid w:val="509B845F"/>
    <w:rsid w:val="53FF8E4F"/>
    <w:rsid w:val="7A4AA8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EA27E1"/>
  <w15:docId w15:val="{8CA28B9E-F6A5-4445-A7E1-653894D5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iPriority="35"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qFormat/>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qFormat/>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50534"/>
    <w:rPr>
      <w:sz w:val="16"/>
      <w:szCs w:val="16"/>
    </w:rPr>
  </w:style>
  <w:style w:type="paragraph" w:styleId="CommentText">
    <w:name w:val="annotation text"/>
    <w:basedOn w:val="Normal"/>
    <w:link w:val="CommentTextChar"/>
    <w:uiPriority w:val="99"/>
    <w:rsid w:val="00A50534"/>
    <w:rPr>
      <w:sz w:val="20"/>
    </w:rPr>
  </w:style>
  <w:style w:type="character" w:customStyle="1" w:styleId="CommentTextChar">
    <w:name w:val="Comment Text Char"/>
    <w:basedOn w:val="DefaultParagraphFont"/>
    <w:link w:val="CommentText"/>
    <w:uiPriority w:val="99"/>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customStyle="1" w:styleId="Title1">
    <w:name w:val="Title1"/>
    <w:basedOn w:val="Normal"/>
    <w:rsid w:val="00EA1807"/>
    <w:pPr>
      <w:spacing w:before="100" w:beforeAutospacing="1" w:after="100" w:afterAutospacing="1"/>
    </w:pPr>
    <w:rPr>
      <w:szCs w:val="24"/>
    </w:rPr>
  </w:style>
  <w:style w:type="paragraph" w:styleId="PlainText">
    <w:name w:val="Plain Text"/>
    <w:basedOn w:val="Normal"/>
    <w:link w:val="PlainTextChar"/>
    <w:uiPriority w:val="99"/>
    <w:unhideWhenUsed/>
    <w:rsid w:val="00A655CF"/>
    <w:rPr>
      <w:rFonts w:ascii="Calibri" w:eastAsia="Calibri" w:hAnsi="Calibri" w:cs="Consolas"/>
      <w:sz w:val="22"/>
      <w:szCs w:val="21"/>
    </w:rPr>
  </w:style>
  <w:style w:type="character" w:customStyle="1" w:styleId="PlainTextChar">
    <w:name w:val="Plain Text Char"/>
    <w:link w:val="PlainText"/>
    <w:uiPriority w:val="99"/>
    <w:rsid w:val="00A655CF"/>
    <w:rPr>
      <w:rFonts w:ascii="Calibri" w:eastAsia="Calibri" w:hAnsi="Calibri" w:cs="Consolas"/>
      <w:sz w:val="22"/>
      <w:szCs w:val="21"/>
    </w:rPr>
  </w:style>
  <w:style w:type="paragraph" w:styleId="BodyText">
    <w:name w:val="Body Text"/>
    <w:basedOn w:val="Normal"/>
    <w:link w:val="BodyTextChar"/>
    <w:rsid w:val="00AA6E04"/>
    <w:pPr>
      <w:widowControl w:val="0"/>
      <w:autoSpaceDE w:val="0"/>
      <w:autoSpaceDN w:val="0"/>
      <w:adjustRightInd w:val="0"/>
      <w:spacing w:after="120"/>
    </w:pPr>
    <w:rPr>
      <w:szCs w:val="24"/>
    </w:rPr>
  </w:style>
  <w:style w:type="character" w:customStyle="1" w:styleId="BodyTextChar">
    <w:name w:val="Body Text Char"/>
    <w:link w:val="BodyText"/>
    <w:rsid w:val="00AA6E04"/>
    <w:rPr>
      <w:sz w:val="24"/>
      <w:szCs w:val="24"/>
    </w:rPr>
  </w:style>
  <w:style w:type="character" w:styleId="PageNumber">
    <w:name w:val="page number"/>
    <w:basedOn w:val="DefaultParagraphFont"/>
    <w:rsid w:val="00EE5CA6"/>
  </w:style>
  <w:style w:type="paragraph" w:styleId="Caption">
    <w:name w:val="caption"/>
    <w:basedOn w:val="Normal"/>
    <w:next w:val="Normal"/>
    <w:uiPriority w:val="35"/>
    <w:qFormat/>
    <w:rsid w:val="00EE5CA6"/>
    <w:pPr>
      <w:widowControl w:val="0"/>
      <w:spacing w:before="120" w:after="120"/>
    </w:pPr>
    <w:rPr>
      <w:b/>
    </w:rPr>
  </w:style>
  <w:style w:type="character" w:styleId="UnresolvedMention">
    <w:name w:val="Unresolved Mention"/>
    <w:uiPriority w:val="99"/>
    <w:unhideWhenUsed/>
    <w:rsid w:val="00354E6D"/>
    <w:rPr>
      <w:color w:val="605E5C"/>
      <w:shd w:val="clear" w:color="auto" w:fill="E1DFDD"/>
    </w:rPr>
  </w:style>
  <w:style w:type="paragraph" w:styleId="ListBullet">
    <w:name w:val="List Bullet"/>
    <w:basedOn w:val="Normal"/>
    <w:rsid w:val="00FE660E"/>
    <w:pPr>
      <w:numPr>
        <w:numId w:val="32"/>
      </w:numPr>
      <w:contextualSpacing/>
    </w:pPr>
  </w:style>
  <w:style w:type="table" w:customStyle="1" w:styleId="TableGrid1">
    <w:name w:val="Table Grid1"/>
    <w:basedOn w:val="TableNormal"/>
    <w:next w:val="TableGrid"/>
    <w:uiPriority w:val="59"/>
    <w:rsid w:val="006D43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4_482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d20152-c322-43f9-91d7-416fd0fe3651">
      <Terms xmlns="http://schemas.microsoft.com/office/infopath/2007/PartnerControls"/>
    </lcf76f155ced4ddcb4097134ff3c332f>
    <TaxCatchAll xmlns="cfd4859c-9ba2-44ca-beaa-bb98f5beeec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CFD6F2B99DB8643BEFC8BE8E6EA637E" ma:contentTypeVersion="15" ma:contentTypeDescription="Create a new document." ma:contentTypeScope="" ma:versionID="2413b09f6d30ca3396e6cbd769f01739">
  <xsd:schema xmlns:xsd="http://www.w3.org/2001/XMLSchema" xmlns:xs="http://www.w3.org/2001/XMLSchema" xmlns:p="http://schemas.microsoft.com/office/2006/metadata/properties" xmlns:ns2="2bd20152-c322-43f9-91d7-416fd0fe3651" xmlns:ns3="cfd4859c-9ba2-44ca-beaa-bb98f5beeec7" targetNamespace="http://schemas.microsoft.com/office/2006/metadata/properties" ma:root="true" ma:fieldsID="d3a1f6d77c95cc0948576274f8216913" ns2:_="" ns3:_="">
    <xsd:import namespace="2bd20152-c322-43f9-91d7-416fd0fe3651"/>
    <xsd:import namespace="cfd4859c-9ba2-44ca-beaa-bb98f5bee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20152-c322-43f9-91d7-416fd0fe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229974-325c-47c4-8c1d-f7914a9edf8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4859c-9ba2-44ca-beaa-bb98f5bee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98c01-1c46-4612-8ec3-09e2fdca8400}" ma:internalName="TaxCatchAll" ma:showField="CatchAllData" ma:web="cfd4859c-9ba2-44ca-beaa-bb98f5beee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20E46-20F6-4AC7-ACC7-57FE12B6978C}">
  <ds:schemaRefs>
    <ds:schemaRef ds:uri="http://schemas.microsoft.com/sharepoint/v3/contenttype/forms"/>
  </ds:schemaRefs>
</ds:datastoreItem>
</file>

<file path=customXml/itemProps2.xml><?xml version="1.0" encoding="utf-8"?>
<ds:datastoreItem xmlns:ds="http://schemas.openxmlformats.org/officeDocument/2006/customXml" ds:itemID="{8E29CADC-B7AD-4A76-8474-2CDE19106DCF}">
  <ds:schemaRefs>
    <ds:schemaRef ds:uri="http://schemas.microsoft.com/office/2006/metadata/properties"/>
    <ds:schemaRef ds:uri="http://schemas.microsoft.com/office/infopath/2007/PartnerControls"/>
    <ds:schemaRef ds:uri="55c7d747-dc5b-4f68-ad38-82fb59419ad8"/>
    <ds:schemaRef ds:uri="d66ae8a0-813c-4955-929f-5956edcdccbf"/>
    <ds:schemaRef ds:uri="2bd20152-c322-43f9-91d7-416fd0fe3651"/>
    <ds:schemaRef ds:uri="cfd4859c-9ba2-44ca-beaa-bb98f5beeec7"/>
  </ds:schemaRefs>
</ds:datastoreItem>
</file>

<file path=customXml/itemProps3.xml><?xml version="1.0" encoding="utf-8"?>
<ds:datastoreItem xmlns:ds="http://schemas.openxmlformats.org/officeDocument/2006/customXml" ds:itemID="{B40360FF-CD71-9546-8E31-22467BFC8E86}">
  <ds:schemaRefs>
    <ds:schemaRef ds:uri="http://schemas.openxmlformats.org/officeDocument/2006/bibliography"/>
  </ds:schemaRefs>
</ds:datastoreItem>
</file>

<file path=customXml/itemProps4.xml><?xml version="1.0" encoding="utf-8"?>
<ds:datastoreItem xmlns:ds="http://schemas.openxmlformats.org/officeDocument/2006/customXml" ds:itemID="{CFC686D1-5438-4928-ABEE-9E04E2EE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20152-c322-43f9-91d7-416fd0fe3651"/>
    <ds:schemaRef ds:uri="cfd4859c-9ba2-44ca-beaa-bb98f5be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Mussington, Arlette (FRA)</cp:lastModifiedBy>
  <cp:revision>2</cp:revision>
  <cp:lastPrinted>2016-12-13T15:40:00Z</cp:lastPrinted>
  <dcterms:created xsi:type="dcterms:W3CDTF">2024-06-07T12:30:00Z</dcterms:created>
  <dcterms:modified xsi:type="dcterms:W3CDTF">2024-06-07T12:30:00Z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0x0101007CFD6F2B99DB8643BEFC8BE8E6EA637E</vt:lpwstr>
  </property>
  <property fmtid="{D5CDD505-2E9C-101B-9397-08002B2CF9AE}" pid="3" name="lcf76f155ced4ddcb4097134ff3c332f">
    <vt:lpwstr/>
  </property>
  <property fmtid="{D5CDD505-2E9C-101B-9397-08002B2CF9AE}" pid="4" name="MediaServiceImageTags">
    <vt:lpwstr/>
  </property>
  <property fmtid="{D5CDD505-2E9C-101B-9397-08002B2CF9AE}" pid="5" name="Mendeley Citation Style_1">
    <vt:lpwstr>http://www.zotero.org/styles/apa</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6th edition</vt:lpwstr>
  </property>
  <property fmtid="{D5CDD505-2E9C-101B-9397-08002B2CF9AE}" pid="20" name="Mendeley Recent Style Name 3_1">
    <vt:lpwstr>American Sociological Association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Mendeley Unique User Id_1">
    <vt:lpwstr>cdb922d7-6b35-3030-8b48-13a5a2ba6eb8</vt:lpwstr>
  </property>
  <property fmtid="{D5CDD505-2E9C-101B-9397-08002B2CF9AE}" pid="28" name="TaxCatchAll">
    <vt:lpwstr/>
  </property>
</Properties>
</file>