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0716C7" w:rsidRPr="00A10AC3" w:rsidP="00B65FAC" w14:paraId="788691F1" w14:textId="77777777">
      <w:pPr>
        <w:pStyle w:val="NoSpacing"/>
        <w:jc w:val="center"/>
        <w:rPr>
          <w:rFonts w:ascii="Times New Roman" w:hAnsi="Times New Roman" w:cs="Times New Roman"/>
          <w:b/>
          <w:sz w:val="28"/>
          <w:szCs w:val="28"/>
        </w:rPr>
      </w:pPr>
      <w:r>
        <w:rPr>
          <w:rFonts w:ascii="Times New Roman" w:hAnsi="Times New Roman" w:cs="Times New Roman"/>
          <w:b/>
          <w:sz w:val="28"/>
          <w:szCs w:val="28"/>
        </w:rPr>
        <w:t xml:space="preserve">U.S. </w:t>
      </w:r>
      <w:r w:rsidRPr="00A10AC3">
        <w:rPr>
          <w:rFonts w:ascii="Times New Roman" w:hAnsi="Times New Roman" w:cs="Times New Roman"/>
          <w:b/>
          <w:sz w:val="28"/>
          <w:szCs w:val="28"/>
        </w:rPr>
        <w:t>Department of Transportation</w:t>
      </w:r>
    </w:p>
    <w:p w:rsidR="000716C7" w:rsidRPr="00A10AC3" w:rsidP="00B65FAC" w14:paraId="5D99C2CF" w14:textId="77777777">
      <w:pPr>
        <w:pStyle w:val="NoSpacing"/>
        <w:jc w:val="center"/>
        <w:rPr>
          <w:rFonts w:ascii="Times New Roman" w:hAnsi="Times New Roman" w:cs="Times New Roman"/>
          <w:b/>
          <w:sz w:val="28"/>
          <w:szCs w:val="28"/>
        </w:rPr>
      </w:pPr>
      <w:r w:rsidRPr="00A10AC3">
        <w:rPr>
          <w:rFonts w:ascii="Times New Roman" w:hAnsi="Times New Roman" w:cs="Times New Roman"/>
          <w:b/>
          <w:sz w:val="28"/>
          <w:szCs w:val="28"/>
        </w:rPr>
        <w:t>Federal Transit Administration</w:t>
      </w:r>
    </w:p>
    <w:p w:rsidR="00A63334" w:rsidRPr="00A10AC3" w:rsidP="00B65FAC" w14:paraId="6ED36D91" w14:textId="77777777">
      <w:pPr>
        <w:pStyle w:val="NoSpacing"/>
        <w:jc w:val="center"/>
        <w:rPr>
          <w:rFonts w:ascii="Times New Roman" w:hAnsi="Times New Roman" w:cs="Times New Roman"/>
          <w:b/>
          <w:sz w:val="28"/>
          <w:szCs w:val="28"/>
        </w:rPr>
      </w:pPr>
      <w:r w:rsidRPr="00A10AC3">
        <w:rPr>
          <w:rFonts w:ascii="Times New Roman" w:hAnsi="Times New Roman" w:cs="Times New Roman"/>
          <w:b/>
          <w:sz w:val="28"/>
          <w:szCs w:val="28"/>
        </w:rPr>
        <w:t>Supporting Statement for Paperwork Reduction Act Submissions</w:t>
      </w:r>
    </w:p>
    <w:p w:rsidR="001448DD" w:rsidP="64E017F8" w14:paraId="16BF38E8" w14:textId="77777777">
      <w:pPr>
        <w:pStyle w:val="NoSpacing"/>
        <w:jc w:val="center"/>
        <w:rPr>
          <w:rFonts w:ascii="Times New Roman" w:hAnsi="Times New Roman" w:cs="Times New Roman"/>
          <w:b/>
          <w:bCs/>
          <w:sz w:val="28"/>
          <w:szCs w:val="28"/>
        </w:rPr>
      </w:pPr>
    </w:p>
    <w:p w:rsidR="00657292" w:rsidP="64E017F8" w14:paraId="401F42DF" w14:textId="288598C9">
      <w:pPr>
        <w:pStyle w:val="NoSpacing"/>
        <w:jc w:val="center"/>
        <w:rPr>
          <w:rFonts w:ascii="Times New Roman" w:hAnsi="Times New Roman" w:cs="Times New Roman"/>
          <w:b/>
          <w:bCs/>
          <w:sz w:val="28"/>
          <w:szCs w:val="28"/>
        </w:rPr>
      </w:pPr>
      <w:r w:rsidRPr="64E017F8">
        <w:rPr>
          <w:rFonts w:ascii="Times New Roman" w:hAnsi="Times New Roman" w:cs="Times New Roman"/>
          <w:b/>
          <w:bCs/>
          <w:sz w:val="28"/>
          <w:szCs w:val="28"/>
        </w:rPr>
        <w:t>Public Transportation Agency Safety Plan</w:t>
      </w:r>
      <w:r w:rsidRPr="64E017F8" w:rsidR="6739C425">
        <w:rPr>
          <w:rFonts w:ascii="Times New Roman" w:hAnsi="Times New Roman" w:cs="Times New Roman"/>
          <w:b/>
          <w:bCs/>
          <w:sz w:val="28"/>
          <w:szCs w:val="28"/>
        </w:rPr>
        <w:t>s</w:t>
      </w:r>
      <w:r w:rsidR="001448DD">
        <w:rPr>
          <w:rFonts w:ascii="Times New Roman" w:hAnsi="Times New Roman" w:cs="Times New Roman"/>
          <w:b/>
          <w:bCs/>
          <w:sz w:val="28"/>
          <w:szCs w:val="28"/>
        </w:rPr>
        <w:t xml:space="preserve"> (PTASP)</w:t>
      </w:r>
    </w:p>
    <w:p w:rsidR="00A33EA0" w:rsidP="00B65FAC" w14:paraId="1BB6647D" w14:textId="36AD51AF">
      <w:pPr>
        <w:pStyle w:val="NoSpacing"/>
        <w:jc w:val="center"/>
        <w:rPr>
          <w:rFonts w:ascii="Times New Roman" w:hAnsi="Times New Roman" w:cs="Times New Roman"/>
          <w:b/>
          <w:sz w:val="28"/>
          <w:szCs w:val="28"/>
        </w:rPr>
      </w:pPr>
      <w:r>
        <w:rPr>
          <w:rFonts w:ascii="Times New Roman" w:hAnsi="Times New Roman" w:cs="Times New Roman"/>
          <w:b/>
          <w:sz w:val="28"/>
          <w:szCs w:val="28"/>
        </w:rPr>
        <w:t>(OMB# 2132-0580)</w:t>
      </w:r>
    </w:p>
    <w:p w:rsidR="00A33EA0" w:rsidRPr="00A10AC3" w:rsidP="00B65FAC" w14:paraId="7773FFAB" w14:textId="77777777">
      <w:pPr>
        <w:pStyle w:val="NoSpacing"/>
        <w:jc w:val="center"/>
        <w:rPr>
          <w:rFonts w:ascii="Times New Roman" w:hAnsi="Times New Roman" w:cs="Times New Roman"/>
          <w:b/>
          <w:sz w:val="28"/>
          <w:szCs w:val="28"/>
        </w:rPr>
      </w:pPr>
    </w:p>
    <w:p w:rsidR="00983537" w:rsidRPr="00A66850" w:rsidP="00A66850" w14:paraId="0A552DC5" w14:textId="77777777">
      <w:pPr>
        <w:pStyle w:val="NoSpacing"/>
        <w:rPr>
          <w:rFonts w:ascii="Times New Roman" w:hAnsi="Times New Roman" w:cs="Times New Roman"/>
          <w:b/>
          <w:sz w:val="24"/>
          <w:szCs w:val="24"/>
        </w:rPr>
      </w:pPr>
    </w:p>
    <w:p w:rsidR="00983537" w:rsidRPr="00A66850" w:rsidP="00A66850" w14:paraId="521988F7" w14:textId="654D0528">
      <w:pPr>
        <w:pStyle w:val="NoSpacing"/>
        <w:keepNext/>
        <w:rPr>
          <w:rFonts w:ascii="Times New Roman" w:hAnsi="Times New Roman" w:cs="Times New Roman"/>
          <w:b/>
          <w:sz w:val="24"/>
          <w:szCs w:val="24"/>
          <w:u w:val="single"/>
        </w:rPr>
      </w:pPr>
      <w:r>
        <w:rPr>
          <w:rFonts w:ascii="Times New Roman" w:hAnsi="Times New Roman" w:cs="Times New Roman"/>
          <w:b/>
          <w:sz w:val="24"/>
          <w:szCs w:val="24"/>
          <w:u w:val="single"/>
        </w:rPr>
        <w:t>Abstract</w:t>
      </w:r>
    </w:p>
    <w:p w:rsidR="00303296" w:rsidRPr="005202DD" w:rsidP="00A66850" w14:paraId="38A857A1" w14:textId="77777777">
      <w:pPr>
        <w:pStyle w:val="Subtitle"/>
        <w:keepNext/>
        <w:jc w:val="left"/>
        <w:rPr>
          <w:szCs w:val="24"/>
          <w:u w:val="none"/>
        </w:rPr>
      </w:pPr>
    </w:p>
    <w:p w:rsidR="00694CE1" w:rsidRPr="004F7E80" w:rsidP="00367523" w14:paraId="461E39E9" w14:textId="077231EC">
      <w:pPr>
        <w:pStyle w:val="Subtitle"/>
        <w:jc w:val="left"/>
        <w:rPr>
          <w:rStyle w:val="ui-provider"/>
          <w:szCs w:val="24"/>
          <w:u w:val="none"/>
        </w:rPr>
      </w:pPr>
      <w:r w:rsidRPr="004F7E80">
        <w:rPr>
          <w:rStyle w:val="ui-provider"/>
          <w:szCs w:val="24"/>
          <w:u w:val="none"/>
        </w:rPr>
        <w:t>The purpose of this request is to seek the Office of Management and Budget’s (OMB) approval for a currently approved information collection that is associated with a Final Rulemaking. The Notice of Proposed Rulemaking (NPRM) was published on April 26, 2023. OIRA filed comment on the proposed rule on July 14, 2023.  This supporting statement reflects a small increase in the respondent universe from 755 in the previous NPRM submittal to 758, as a result of three new transit agencies being included in the industry. More significantly, this updated supporting statement also reflects a change in the burden hours </w:t>
      </w:r>
      <w:r w:rsidRPr="004F7E80" w:rsidR="00B32EB6">
        <w:rPr>
          <w:rStyle w:val="ui-provider"/>
          <w:szCs w:val="24"/>
          <w:u w:val="none"/>
        </w:rPr>
        <w:t>because of</w:t>
      </w:r>
      <w:r w:rsidRPr="004F7E80">
        <w:rPr>
          <w:rStyle w:val="ui-provider"/>
          <w:szCs w:val="24"/>
          <w:u w:val="none"/>
        </w:rPr>
        <w:t xml:space="preserve"> proposals and comments received during the NPRM stage from the respondent universe. Under the current collection, the estimated total annual burden hours is 252,855. Based on the requirements adopted from the comments and proposals during the NPRM phase, FTA estimates that burden hours would be increased by 299,990 hours, totaling 552,845 hours.</w:t>
      </w:r>
      <w:r w:rsidR="004F7E80">
        <w:rPr>
          <w:rStyle w:val="ui-provider"/>
          <w:szCs w:val="24"/>
          <w:u w:val="none"/>
        </w:rPr>
        <w:t xml:space="preserve">  A summary of the changes </w:t>
      </w:r>
      <w:r w:rsidR="000232A9">
        <w:rPr>
          <w:rStyle w:val="ui-provider"/>
          <w:szCs w:val="24"/>
          <w:u w:val="none"/>
        </w:rPr>
        <w:t>is</w:t>
      </w:r>
      <w:r w:rsidR="004F7E80">
        <w:rPr>
          <w:rStyle w:val="ui-provider"/>
          <w:szCs w:val="24"/>
          <w:u w:val="none"/>
        </w:rPr>
        <w:t xml:space="preserve"> included in response to #14 and </w:t>
      </w:r>
      <w:r w:rsidR="00060B74">
        <w:rPr>
          <w:rStyle w:val="ui-provider"/>
          <w:szCs w:val="24"/>
          <w:u w:val="none"/>
        </w:rPr>
        <w:t>an</w:t>
      </w:r>
      <w:r w:rsidR="004F7E80">
        <w:rPr>
          <w:rStyle w:val="ui-provider"/>
          <w:szCs w:val="24"/>
          <w:u w:val="none"/>
        </w:rPr>
        <w:t xml:space="preserve"> </w:t>
      </w:r>
      <w:r w:rsidR="007F061E">
        <w:rPr>
          <w:rStyle w:val="ui-provider"/>
          <w:szCs w:val="24"/>
          <w:u w:val="none"/>
        </w:rPr>
        <w:t>overview of the changes is also presented in the PowerPoint briefing under supplemental documents.</w:t>
      </w:r>
    </w:p>
    <w:p w:rsidR="001E36AE" w:rsidRPr="00C16E7F" w:rsidP="00367523" w14:paraId="238294E1" w14:textId="77777777">
      <w:pPr>
        <w:pStyle w:val="Subtitle"/>
        <w:jc w:val="left"/>
        <w:rPr>
          <w:u w:val="none"/>
        </w:rPr>
      </w:pPr>
    </w:p>
    <w:p w:rsidR="00A63334" w:rsidRPr="00A66850" w:rsidP="00A66850" w14:paraId="1A137198" w14:textId="77777777">
      <w:pPr>
        <w:pStyle w:val="ListParagraph"/>
        <w:keepNext/>
        <w:numPr>
          <w:ilvl w:val="0"/>
          <w:numId w:val="3"/>
        </w:numPr>
        <w:ind w:left="0" w:firstLine="0"/>
        <w:contextualSpacing w:val="0"/>
        <w:rPr>
          <w:b/>
        </w:rPr>
      </w:pPr>
      <w:r w:rsidRPr="00A66850">
        <w:rPr>
          <w:b/>
        </w:rPr>
        <w:t>Circumstances Making the Col</w:t>
      </w:r>
      <w:r w:rsidRPr="00A66850">
        <w:rPr>
          <w:b/>
        </w:rPr>
        <w:t>lection of Information Necessary</w:t>
      </w:r>
    </w:p>
    <w:p w:rsidR="00A66850" w:rsidRPr="00A66850" w:rsidP="00B719D2" w14:paraId="76F987D7" w14:textId="77777777"/>
    <w:p w:rsidR="0069486B" w:rsidP="00627824" w14:paraId="74852624" w14:textId="2CF71174">
      <w:pPr>
        <w:pStyle w:val="NoSpacing"/>
        <w:rPr>
          <w:rFonts w:ascii="Times New Roman" w:eastAsia="Times New Roman" w:hAnsi="Times New Roman" w:cs="Times New Roman"/>
          <w:color w:val="000000" w:themeColor="text1"/>
          <w:sz w:val="24"/>
          <w:szCs w:val="24"/>
        </w:rPr>
      </w:pPr>
      <w:r w:rsidRPr="427D054D">
        <w:rPr>
          <w:rFonts w:ascii="Times New Roman" w:hAnsi="Times New Roman" w:cs="Times New Roman"/>
          <w:sz w:val="24"/>
          <w:szCs w:val="24"/>
        </w:rPr>
        <w:t xml:space="preserve">Through </w:t>
      </w:r>
      <w:r w:rsidRPr="427D054D" w:rsidR="36ACBCC7">
        <w:rPr>
          <w:rFonts w:ascii="Times New Roman" w:hAnsi="Times New Roman" w:cs="Times New Roman"/>
          <w:sz w:val="24"/>
          <w:szCs w:val="24"/>
        </w:rPr>
        <w:t>th</w:t>
      </w:r>
      <w:r w:rsidRPr="427D054D" w:rsidR="6ADD5F44">
        <w:rPr>
          <w:rFonts w:ascii="Times New Roman" w:hAnsi="Times New Roman" w:cs="Times New Roman"/>
          <w:sz w:val="24"/>
          <w:szCs w:val="24"/>
        </w:rPr>
        <w:t>e</w:t>
      </w:r>
      <w:r w:rsidRPr="427D054D" w:rsidR="7E790692">
        <w:rPr>
          <w:rFonts w:ascii="Times New Roman" w:hAnsi="Times New Roman" w:cs="Times New Roman"/>
          <w:sz w:val="24"/>
          <w:szCs w:val="24"/>
        </w:rPr>
        <w:t xml:space="preserve"> Final Rulemaking</w:t>
      </w:r>
      <w:r w:rsidRPr="427D054D" w:rsidR="00396F40">
        <w:rPr>
          <w:rFonts w:ascii="Times New Roman" w:hAnsi="Times New Roman" w:cs="Times New Roman"/>
          <w:sz w:val="24"/>
          <w:szCs w:val="24"/>
        </w:rPr>
        <w:t xml:space="preserve">, the </w:t>
      </w:r>
      <w:r w:rsidRPr="427D054D" w:rsidR="00627824">
        <w:rPr>
          <w:rFonts w:ascii="Times New Roman" w:eastAsia="Times New Roman" w:hAnsi="Times New Roman" w:cs="Times New Roman"/>
          <w:color w:val="000000" w:themeColor="text1"/>
          <w:sz w:val="24"/>
          <w:szCs w:val="24"/>
        </w:rPr>
        <w:t>Federal Transit Administration (FTA) is proposing new requirements for Public Transportation Agency Safety Plans as authorized by Section 30012 of the Bipartisan Infrastructure Law, enacted as the Infrastructure Investment and Jobs Act (IIJA)</w:t>
      </w:r>
      <w:r w:rsidRPr="427D054D" w:rsidR="005D7AE5">
        <w:rPr>
          <w:rFonts w:ascii="Times New Roman" w:eastAsia="Times New Roman" w:hAnsi="Times New Roman" w:cs="Times New Roman"/>
          <w:color w:val="000000" w:themeColor="text1"/>
          <w:sz w:val="24"/>
          <w:szCs w:val="24"/>
        </w:rPr>
        <w:t xml:space="preserve">, Pub. L. </w:t>
      </w:r>
      <w:r w:rsidRPr="427D054D" w:rsidR="00AE37E4">
        <w:rPr>
          <w:rFonts w:ascii="Times New Roman" w:eastAsia="Times New Roman" w:hAnsi="Times New Roman" w:cs="Times New Roman"/>
          <w:color w:val="000000" w:themeColor="text1"/>
          <w:sz w:val="24"/>
          <w:szCs w:val="24"/>
        </w:rPr>
        <w:t>117-58 (Nov. 15, 2021)</w:t>
      </w:r>
      <w:r w:rsidRPr="427D054D" w:rsidR="00627824">
        <w:rPr>
          <w:rFonts w:ascii="Times New Roman" w:eastAsia="Times New Roman" w:hAnsi="Times New Roman" w:cs="Times New Roman"/>
          <w:color w:val="000000" w:themeColor="text1"/>
          <w:sz w:val="24"/>
          <w:szCs w:val="24"/>
        </w:rPr>
        <w:t>. The Bipartisan Infrastructure Law amends FTA’s safety program at 49 U.S.C. § 5329(d) by adding to the Public Transportation Agency Safety Plan (PTASP) requirements.</w:t>
      </w:r>
      <w:r w:rsidRPr="427D054D" w:rsidR="00F360ED">
        <w:rPr>
          <w:rFonts w:ascii="Times New Roman" w:eastAsia="Times New Roman" w:hAnsi="Times New Roman" w:cs="Times New Roman"/>
          <w:color w:val="000000" w:themeColor="text1"/>
          <w:sz w:val="24"/>
          <w:szCs w:val="24"/>
        </w:rPr>
        <w:t xml:space="preserve"> </w:t>
      </w:r>
      <w:r w:rsidRPr="427D054D" w:rsidR="00627824">
        <w:rPr>
          <w:rFonts w:ascii="Times New Roman" w:eastAsia="Times New Roman" w:hAnsi="Times New Roman" w:cs="Times New Roman"/>
          <w:color w:val="000000" w:themeColor="text1"/>
          <w:sz w:val="24"/>
          <w:szCs w:val="24"/>
        </w:rPr>
        <w:t>These new requirements apply to transit agencies that must have an Agency Safety Plan (ASP) in place under the PTASP regulation (49 CFR part 673).</w:t>
      </w:r>
      <w:r w:rsidRPr="427D054D" w:rsidR="00F360ED">
        <w:rPr>
          <w:rFonts w:ascii="Times New Roman" w:eastAsia="Times New Roman" w:hAnsi="Times New Roman" w:cs="Times New Roman"/>
          <w:color w:val="000000" w:themeColor="text1"/>
          <w:sz w:val="24"/>
          <w:szCs w:val="24"/>
        </w:rPr>
        <w:t xml:space="preserve"> </w:t>
      </w:r>
    </w:p>
    <w:p w:rsidR="00A63CB2" w:rsidP="00627824" w14:paraId="433AE4ED" w14:textId="62494B9A">
      <w:pPr>
        <w:pStyle w:val="NoSpacing"/>
        <w:rPr>
          <w:rFonts w:ascii="Times New Roman" w:hAnsi="Times New Roman" w:cs="Times New Roman"/>
          <w:sz w:val="24"/>
          <w:szCs w:val="24"/>
        </w:rPr>
      </w:pPr>
    </w:p>
    <w:p w:rsidR="00670E31" w:rsidRPr="00670E31" w:rsidP="00670E31" w14:paraId="3828E567" w14:textId="04D55B1B">
      <w:pPr>
        <w:pStyle w:val="NoSpacing"/>
        <w:rPr>
          <w:rFonts w:ascii="Times New Roman" w:hAnsi="Times New Roman" w:cs="Times New Roman"/>
          <w:sz w:val="24"/>
          <w:szCs w:val="24"/>
        </w:rPr>
      </w:pPr>
      <w:r w:rsidRPr="395198BF">
        <w:rPr>
          <w:rFonts w:ascii="Times New Roman" w:hAnsi="Times New Roman" w:cs="Times New Roman"/>
          <w:sz w:val="24"/>
          <w:szCs w:val="24"/>
        </w:rPr>
        <w:t xml:space="preserve">Pursuant to 49 U.S.C. § 5329(d)(1), each </w:t>
      </w:r>
      <w:r w:rsidRPr="395198BF" w:rsidR="00991D63">
        <w:rPr>
          <w:rFonts w:ascii="Times New Roman" w:hAnsi="Times New Roman" w:cs="Times New Roman"/>
          <w:sz w:val="24"/>
          <w:szCs w:val="24"/>
        </w:rPr>
        <w:t>ASP</w:t>
      </w:r>
      <w:r w:rsidRPr="395198BF">
        <w:rPr>
          <w:rFonts w:ascii="Times New Roman" w:hAnsi="Times New Roman" w:cs="Times New Roman"/>
          <w:sz w:val="24"/>
          <w:szCs w:val="24"/>
        </w:rPr>
        <w:t xml:space="preserve"> must include, at minimum:</w:t>
      </w:r>
    </w:p>
    <w:p w:rsidR="00670E31" w:rsidRPr="00670E31" w:rsidP="00670E31" w14:paraId="13F57756" w14:textId="77777777">
      <w:pPr>
        <w:pStyle w:val="NoSpacing"/>
        <w:rPr>
          <w:rFonts w:ascii="Times New Roman" w:hAnsi="Times New Roman" w:cs="Times New Roman"/>
          <w:sz w:val="24"/>
          <w:szCs w:val="24"/>
        </w:rPr>
      </w:pPr>
    </w:p>
    <w:p w:rsidR="00670E31" w:rsidP="00670E31" w14:paraId="3F91BC7A" w14:textId="5BB67314">
      <w:pPr>
        <w:pStyle w:val="NoSpacing"/>
        <w:numPr>
          <w:ilvl w:val="0"/>
          <w:numId w:val="42"/>
        </w:numPr>
        <w:rPr>
          <w:rFonts w:ascii="Times New Roman" w:hAnsi="Times New Roman" w:cs="Times New Roman"/>
          <w:sz w:val="24"/>
          <w:szCs w:val="24"/>
        </w:rPr>
      </w:pPr>
      <w:r w:rsidRPr="0AB7426F">
        <w:rPr>
          <w:rFonts w:ascii="Times New Roman" w:hAnsi="Times New Roman" w:cs="Times New Roman"/>
          <w:sz w:val="24"/>
          <w:szCs w:val="24"/>
        </w:rPr>
        <w:t xml:space="preserve">Approval by the recipient’s Board of Directors, or an Equivalent Authority. </w:t>
      </w:r>
      <w:r w:rsidRPr="0AB7426F" w:rsidR="292210D6">
        <w:rPr>
          <w:rFonts w:ascii="Times New Roman" w:hAnsi="Times New Roman" w:cs="Times New Roman"/>
          <w:sz w:val="24"/>
          <w:szCs w:val="24"/>
        </w:rPr>
        <w:t>I</w:t>
      </w:r>
      <w:r w:rsidRPr="0AB7426F" w:rsidR="4E9EB264">
        <w:rPr>
          <w:rFonts w:ascii="Times New Roman" w:hAnsi="Times New Roman" w:cs="Times New Roman"/>
          <w:sz w:val="24"/>
          <w:szCs w:val="24"/>
        </w:rPr>
        <w:t xml:space="preserve">n the case of a recipient receiving assistance under </w:t>
      </w:r>
      <w:r w:rsidRPr="0AB7426F" w:rsidR="2E40BA76">
        <w:rPr>
          <w:rFonts w:ascii="Times New Roman" w:hAnsi="Times New Roman" w:cs="Times New Roman"/>
          <w:sz w:val="24"/>
          <w:szCs w:val="24"/>
        </w:rPr>
        <w:t xml:space="preserve">49 U.S.C. </w:t>
      </w:r>
      <w:r w:rsidRPr="0AB7426F" w:rsidR="2E40BA76">
        <w:rPr>
          <w:rFonts w:ascii="Times New Roman" w:eastAsia="Times New Roman" w:hAnsi="Times New Roman" w:cs="Times New Roman"/>
          <w:color w:val="000000" w:themeColor="text1"/>
          <w:sz w:val="24"/>
          <w:szCs w:val="24"/>
        </w:rPr>
        <w:t>§</w:t>
      </w:r>
      <w:r w:rsidRPr="0AB7426F" w:rsidR="2E40BA76">
        <w:rPr>
          <w:rFonts w:ascii="Times New Roman" w:hAnsi="Times New Roman" w:cs="Times New Roman"/>
          <w:sz w:val="24"/>
          <w:szCs w:val="24"/>
        </w:rPr>
        <w:t xml:space="preserve"> 5307 (</w:t>
      </w:r>
      <w:r w:rsidRPr="0AB7426F" w:rsidR="4E9EB264">
        <w:rPr>
          <w:rFonts w:ascii="Times New Roman" w:hAnsi="Times New Roman" w:cs="Times New Roman"/>
          <w:sz w:val="24"/>
          <w:szCs w:val="24"/>
        </w:rPr>
        <w:t>section 5307</w:t>
      </w:r>
      <w:r w:rsidRPr="0AB7426F" w:rsidR="2E40BA76">
        <w:rPr>
          <w:rFonts w:ascii="Times New Roman" w:hAnsi="Times New Roman" w:cs="Times New Roman"/>
          <w:sz w:val="24"/>
          <w:szCs w:val="24"/>
        </w:rPr>
        <w:t>)</w:t>
      </w:r>
      <w:r w:rsidRPr="0AB7426F" w:rsidR="4E9EB264">
        <w:rPr>
          <w:rFonts w:ascii="Times New Roman" w:hAnsi="Times New Roman" w:cs="Times New Roman"/>
          <w:sz w:val="24"/>
          <w:szCs w:val="24"/>
        </w:rPr>
        <w:t xml:space="preserve"> that is serving an urbanized area with a population of 200,000 or more, </w:t>
      </w:r>
      <w:r w:rsidRPr="0AB7426F" w:rsidR="1D9F1185">
        <w:rPr>
          <w:rFonts w:ascii="Times New Roman" w:hAnsi="Times New Roman" w:cs="Times New Roman"/>
          <w:sz w:val="24"/>
          <w:szCs w:val="24"/>
        </w:rPr>
        <w:t xml:space="preserve">approval by the </w:t>
      </w:r>
      <w:r w:rsidRPr="0AB7426F" w:rsidR="292210D6">
        <w:rPr>
          <w:rFonts w:ascii="Times New Roman" w:hAnsi="Times New Roman" w:cs="Times New Roman"/>
          <w:sz w:val="24"/>
          <w:szCs w:val="24"/>
        </w:rPr>
        <w:t xml:space="preserve">recipient’s </w:t>
      </w:r>
      <w:r w:rsidRPr="0AB7426F" w:rsidR="6E824B2E">
        <w:rPr>
          <w:rFonts w:ascii="Times New Roman" w:hAnsi="Times New Roman" w:cs="Times New Roman"/>
          <w:sz w:val="24"/>
          <w:szCs w:val="24"/>
        </w:rPr>
        <w:t>S</w:t>
      </w:r>
      <w:r w:rsidRPr="0AB7426F" w:rsidR="4E9EB264">
        <w:rPr>
          <w:rFonts w:ascii="Times New Roman" w:hAnsi="Times New Roman" w:cs="Times New Roman"/>
          <w:sz w:val="24"/>
          <w:szCs w:val="24"/>
        </w:rPr>
        <w:t xml:space="preserve">afety </w:t>
      </w:r>
      <w:r w:rsidRPr="0AB7426F" w:rsidR="6E824B2E">
        <w:rPr>
          <w:rFonts w:ascii="Times New Roman" w:hAnsi="Times New Roman" w:cs="Times New Roman"/>
          <w:sz w:val="24"/>
          <w:szCs w:val="24"/>
        </w:rPr>
        <w:t>C</w:t>
      </w:r>
      <w:r w:rsidRPr="0AB7426F" w:rsidR="4E9EB264">
        <w:rPr>
          <w:rFonts w:ascii="Times New Roman" w:hAnsi="Times New Roman" w:cs="Times New Roman"/>
          <w:sz w:val="24"/>
          <w:szCs w:val="24"/>
        </w:rPr>
        <w:t>ommittee</w:t>
      </w:r>
      <w:r w:rsidRPr="0AB7426F" w:rsidR="292210D6">
        <w:rPr>
          <w:rFonts w:ascii="Times New Roman" w:hAnsi="Times New Roman" w:cs="Times New Roman"/>
          <w:sz w:val="24"/>
          <w:szCs w:val="24"/>
        </w:rPr>
        <w:t xml:space="preserve"> </w:t>
      </w:r>
      <w:r w:rsidRPr="0AB7426F" w:rsidR="1D9F1185">
        <w:rPr>
          <w:rFonts w:ascii="Times New Roman" w:hAnsi="Times New Roman" w:cs="Times New Roman"/>
          <w:sz w:val="24"/>
          <w:szCs w:val="24"/>
        </w:rPr>
        <w:t>is required prior to approval by the recipient’s Board of Directors or Equivalent Authority</w:t>
      </w:r>
      <w:r w:rsidRPr="0AB7426F" w:rsidR="4E9EB264">
        <w:rPr>
          <w:rFonts w:ascii="Times New Roman" w:hAnsi="Times New Roman" w:cs="Times New Roman"/>
          <w:sz w:val="24"/>
          <w:szCs w:val="24"/>
        </w:rPr>
        <w:t>;</w:t>
      </w:r>
    </w:p>
    <w:p w:rsidR="00670E31" w:rsidP="00670E31" w14:paraId="6D727004" w14:textId="77777777">
      <w:pPr>
        <w:pStyle w:val="NoSpacing"/>
        <w:ind w:left="720"/>
        <w:rPr>
          <w:rFonts w:ascii="Times New Roman" w:hAnsi="Times New Roman" w:cs="Times New Roman"/>
          <w:sz w:val="24"/>
          <w:szCs w:val="24"/>
        </w:rPr>
      </w:pPr>
    </w:p>
    <w:p w:rsidR="00670E31" w:rsidP="00670E31" w14:paraId="0378191F" w14:textId="156F879A">
      <w:pPr>
        <w:pStyle w:val="NoSpacing"/>
        <w:numPr>
          <w:ilvl w:val="0"/>
          <w:numId w:val="42"/>
        </w:numPr>
        <w:rPr>
          <w:rFonts w:ascii="Times New Roman" w:hAnsi="Times New Roman" w:cs="Times New Roman"/>
          <w:sz w:val="24"/>
          <w:szCs w:val="24"/>
        </w:rPr>
      </w:pPr>
      <w:r w:rsidRPr="4C4F126C">
        <w:rPr>
          <w:rFonts w:ascii="Times New Roman" w:eastAsia="Times New Roman" w:hAnsi="Times New Roman"/>
          <w:sz w:val="24"/>
          <w:szCs w:val="24"/>
        </w:rPr>
        <w:t>F</w:t>
      </w:r>
      <w:r w:rsidRPr="4C4F126C">
        <w:rPr>
          <w:rFonts w:ascii="Times New Roman" w:eastAsia="Times New Roman" w:hAnsi="Times New Roman"/>
          <w:sz w:val="24"/>
          <w:szCs w:val="24"/>
        </w:rPr>
        <w:t xml:space="preserve">or each recipient serving an urbanized area with a population of fewer than 200,000, a requirement that the </w:t>
      </w:r>
      <w:r w:rsidRPr="4C4F126C" w:rsidR="00991D63">
        <w:rPr>
          <w:rFonts w:ascii="Times New Roman" w:eastAsia="Times New Roman" w:hAnsi="Times New Roman"/>
          <w:sz w:val="24"/>
          <w:szCs w:val="24"/>
        </w:rPr>
        <w:t>ASP</w:t>
      </w:r>
      <w:r w:rsidRPr="4C4F126C">
        <w:rPr>
          <w:rFonts w:ascii="Times New Roman" w:eastAsia="Times New Roman" w:hAnsi="Times New Roman"/>
          <w:sz w:val="24"/>
          <w:szCs w:val="24"/>
        </w:rPr>
        <w:t xml:space="preserve"> be developed in cooperation with frontline employee representatives</w:t>
      </w:r>
      <w:r w:rsidRPr="4C4F126C">
        <w:rPr>
          <w:rFonts w:ascii="Times New Roman" w:hAnsi="Times New Roman" w:cs="Times New Roman"/>
          <w:sz w:val="24"/>
          <w:szCs w:val="24"/>
        </w:rPr>
        <w:t>;</w:t>
      </w:r>
    </w:p>
    <w:p w:rsidR="00670E31" w:rsidP="00670E31" w14:paraId="7051470E" w14:textId="77777777">
      <w:pPr>
        <w:pStyle w:val="NoSpacing"/>
        <w:rPr>
          <w:rFonts w:ascii="Times New Roman" w:hAnsi="Times New Roman" w:cs="Times New Roman"/>
          <w:sz w:val="24"/>
          <w:szCs w:val="24"/>
        </w:rPr>
      </w:pPr>
    </w:p>
    <w:p w:rsidR="00670E31" w:rsidRPr="00670E31" w:rsidP="00670E31" w14:paraId="5D41F6FB" w14:textId="6117FCFC">
      <w:pPr>
        <w:pStyle w:val="NoSpacing"/>
        <w:numPr>
          <w:ilvl w:val="0"/>
          <w:numId w:val="42"/>
        </w:numPr>
        <w:rPr>
          <w:rFonts w:ascii="Times New Roman" w:hAnsi="Times New Roman" w:cs="Times New Roman"/>
          <w:sz w:val="24"/>
          <w:szCs w:val="24"/>
        </w:rPr>
      </w:pPr>
      <w:r w:rsidRPr="00670E31">
        <w:rPr>
          <w:rFonts w:ascii="Times New Roman" w:hAnsi="Times New Roman" w:cs="Times New Roman"/>
          <w:sz w:val="24"/>
          <w:szCs w:val="24"/>
        </w:rPr>
        <w:t>Methods for identifying and evaluating safety risk throughout all elements of the recipient’s public transportation system;</w:t>
      </w:r>
    </w:p>
    <w:p w:rsidR="00670E31" w:rsidRPr="00670E31" w:rsidP="00670E31" w14:paraId="46ACDD44" w14:textId="77777777">
      <w:pPr>
        <w:pStyle w:val="NoSpacing"/>
        <w:rPr>
          <w:rFonts w:ascii="Times New Roman" w:hAnsi="Times New Roman" w:cs="Times New Roman"/>
          <w:sz w:val="24"/>
          <w:szCs w:val="24"/>
        </w:rPr>
      </w:pPr>
    </w:p>
    <w:p w:rsidR="00670E31" w:rsidRPr="00670E31" w:rsidP="00670E31" w14:paraId="70B14A9F" w14:textId="2A3C82E8">
      <w:pPr>
        <w:pStyle w:val="NoSpacing"/>
        <w:numPr>
          <w:ilvl w:val="0"/>
          <w:numId w:val="41"/>
        </w:numPr>
        <w:rPr>
          <w:rFonts w:ascii="Times New Roman" w:hAnsi="Times New Roman" w:cs="Times New Roman"/>
          <w:sz w:val="24"/>
          <w:szCs w:val="24"/>
        </w:rPr>
      </w:pPr>
      <w:r w:rsidRPr="00670E31">
        <w:rPr>
          <w:rFonts w:ascii="Times New Roman" w:hAnsi="Times New Roman" w:cs="Times New Roman"/>
          <w:sz w:val="24"/>
          <w:szCs w:val="24"/>
        </w:rPr>
        <w:t>Strategies to minimize the exposure of the public, personnel, and property to hazards and unsafe conditions</w:t>
      </w:r>
      <w:r>
        <w:rPr>
          <w:rFonts w:ascii="Times New Roman" w:hAnsi="Times New Roman" w:cs="Times New Roman"/>
          <w:sz w:val="24"/>
          <w:szCs w:val="24"/>
        </w:rPr>
        <w:t xml:space="preserve">, </w:t>
      </w:r>
      <w:r w:rsidRPr="0027274B">
        <w:rPr>
          <w:rFonts w:ascii="Times New Roman" w:eastAsia="Times New Roman" w:hAnsi="Times New Roman"/>
          <w:sz w:val="24"/>
          <w:szCs w:val="24"/>
        </w:rPr>
        <w:t>and consistent</w:t>
      </w:r>
      <w:r>
        <w:rPr>
          <w:rFonts w:ascii="Times New Roman" w:eastAsia="Times New Roman" w:hAnsi="Times New Roman"/>
          <w:sz w:val="24"/>
          <w:szCs w:val="24"/>
        </w:rPr>
        <w:t xml:space="preserve"> </w:t>
      </w:r>
      <w:r w:rsidRPr="0027274B">
        <w:rPr>
          <w:rFonts w:ascii="Times New Roman" w:eastAsia="Times New Roman" w:hAnsi="Times New Roman"/>
          <w:sz w:val="24"/>
          <w:szCs w:val="24"/>
        </w:rPr>
        <w:t>with guidelines of the Centers for Disease Control and Prevention or a State health authority, minimize exposure to infectious</w:t>
      </w:r>
      <w:r>
        <w:rPr>
          <w:rFonts w:ascii="Times New Roman" w:eastAsia="Times New Roman" w:hAnsi="Times New Roman"/>
          <w:sz w:val="24"/>
          <w:szCs w:val="24"/>
        </w:rPr>
        <w:t xml:space="preserve"> diseases</w:t>
      </w:r>
      <w:r w:rsidRPr="00670E31">
        <w:rPr>
          <w:rFonts w:ascii="Times New Roman" w:hAnsi="Times New Roman" w:cs="Times New Roman"/>
          <w:sz w:val="24"/>
          <w:szCs w:val="24"/>
        </w:rPr>
        <w:t>;</w:t>
      </w:r>
    </w:p>
    <w:p w:rsidR="00670E31" w:rsidRPr="00670E31" w:rsidP="00670E31" w14:paraId="5C88BC8E" w14:textId="77777777">
      <w:pPr>
        <w:pStyle w:val="NoSpacing"/>
        <w:rPr>
          <w:rFonts w:ascii="Times New Roman" w:hAnsi="Times New Roman" w:cs="Times New Roman"/>
          <w:sz w:val="24"/>
          <w:szCs w:val="24"/>
        </w:rPr>
      </w:pPr>
    </w:p>
    <w:p w:rsidR="00670E31" w:rsidRPr="00670E31" w:rsidP="00670E31" w14:paraId="04B68B1A" w14:textId="07D0CD41">
      <w:pPr>
        <w:pStyle w:val="NoSpacing"/>
        <w:numPr>
          <w:ilvl w:val="0"/>
          <w:numId w:val="41"/>
        </w:numPr>
        <w:rPr>
          <w:rFonts w:ascii="Times New Roman" w:hAnsi="Times New Roman" w:cs="Times New Roman"/>
          <w:sz w:val="24"/>
          <w:szCs w:val="24"/>
        </w:rPr>
      </w:pPr>
      <w:r w:rsidRPr="395198BF">
        <w:rPr>
          <w:rFonts w:ascii="Times New Roman" w:hAnsi="Times New Roman" w:cs="Times New Roman"/>
          <w:sz w:val="24"/>
          <w:szCs w:val="24"/>
        </w:rPr>
        <w:t xml:space="preserve">A process and timeline for conducting an annual review and update of </w:t>
      </w:r>
      <w:r w:rsidRPr="395198BF" w:rsidR="00357676">
        <w:rPr>
          <w:rFonts w:ascii="Times New Roman" w:hAnsi="Times New Roman" w:cs="Times New Roman"/>
          <w:sz w:val="24"/>
          <w:szCs w:val="24"/>
        </w:rPr>
        <w:t>the ASP</w:t>
      </w:r>
      <w:r w:rsidRPr="395198BF">
        <w:rPr>
          <w:rFonts w:ascii="Times New Roman" w:hAnsi="Times New Roman" w:cs="Times New Roman"/>
          <w:sz w:val="24"/>
          <w:szCs w:val="24"/>
        </w:rPr>
        <w:t>;</w:t>
      </w:r>
    </w:p>
    <w:p w:rsidR="00670E31" w:rsidRPr="00670E31" w:rsidP="00670E31" w14:paraId="6A030D0E" w14:textId="77777777">
      <w:pPr>
        <w:pStyle w:val="NoSpacing"/>
        <w:rPr>
          <w:rFonts w:ascii="Times New Roman" w:hAnsi="Times New Roman" w:cs="Times New Roman"/>
          <w:sz w:val="24"/>
          <w:szCs w:val="24"/>
        </w:rPr>
      </w:pPr>
    </w:p>
    <w:p w:rsidR="00670E31" w:rsidRPr="00670E31" w:rsidP="00670E31" w14:paraId="1218BD29" w14:textId="264391FD">
      <w:pPr>
        <w:pStyle w:val="NoSpacing"/>
        <w:numPr>
          <w:ilvl w:val="0"/>
          <w:numId w:val="41"/>
        </w:numPr>
        <w:rPr>
          <w:rFonts w:ascii="Times New Roman" w:hAnsi="Times New Roman" w:cs="Times New Roman"/>
          <w:sz w:val="24"/>
          <w:szCs w:val="24"/>
        </w:rPr>
      </w:pPr>
      <w:r w:rsidRPr="395198BF">
        <w:rPr>
          <w:rFonts w:ascii="Times New Roman" w:hAnsi="Times New Roman" w:cs="Times New Roman"/>
          <w:sz w:val="24"/>
          <w:szCs w:val="24"/>
        </w:rPr>
        <w:t>Performance targets based on the safety performance criteria set out in the National Public Transportation Safety Plan;</w:t>
      </w:r>
    </w:p>
    <w:p w:rsidR="00670E31" w:rsidRPr="00670E31" w:rsidP="00670E31" w14:paraId="5A1D9706" w14:textId="77777777">
      <w:pPr>
        <w:pStyle w:val="NoSpacing"/>
        <w:rPr>
          <w:rFonts w:ascii="Times New Roman" w:hAnsi="Times New Roman" w:cs="Times New Roman"/>
          <w:sz w:val="24"/>
          <w:szCs w:val="24"/>
        </w:rPr>
      </w:pPr>
    </w:p>
    <w:p w:rsidR="00670E31" w:rsidRPr="00670E31" w:rsidP="0031447B" w14:paraId="3C37A5CF" w14:textId="436F80A2">
      <w:pPr>
        <w:pStyle w:val="NoSpacing"/>
        <w:numPr>
          <w:ilvl w:val="0"/>
          <w:numId w:val="41"/>
        </w:numPr>
        <w:rPr>
          <w:rFonts w:ascii="Times New Roman" w:hAnsi="Times New Roman" w:cs="Times New Roman"/>
          <w:sz w:val="24"/>
          <w:szCs w:val="24"/>
        </w:rPr>
      </w:pPr>
      <w:r w:rsidRPr="00670E31">
        <w:rPr>
          <w:rFonts w:ascii="Times New Roman" w:hAnsi="Times New Roman" w:cs="Times New Roman"/>
          <w:sz w:val="24"/>
          <w:szCs w:val="24"/>
        </w:rPr>
        <w:t>Assignment of an adequately trained safety officer who reports directly to the general manager, president, or equivalent officer of the recipient;</w:t>
      </w:r>
    </w:p>
    <w:p w:rsidR="00670E31" w:rsidRPr="00670E31" w:rsidP="00670E31" w14:paraId="3DE0CDDE" w14:textId="77777777">
      <w:pPr>
        <w:pStyle w:val="NoSpacing"/>
        <w:rPr>
          <w:rFonts w:ascii="Times New Roman" w:hAnsi="Times New Roman" w:cs="Times New Roman"/>
          <w:sz w:val="24"/>
          <w:szCs w:val="24"/>
        </w:rPr>
      </w:pPr>
    </w:p>
    <w:p w:rsidR="0031447B" w:rsidRPr="0031447B" w:rsidP="0031447B" w14:paraId="67EE19FF" w14:textId="6670EA03">
      <w:pPr>
        <w:pStyle w:val="NoSpacing"/>
        <w:numPr>
          <w:ilvl w:val="0"/>
          <w:numId w:val="41"/>
        </w:numPr>
        <w:rPr>
          <w:rFonts w:ascii="Times New Roman" w:hAnsi="Times New Roman" w:cs="Times New Roman"/>
          <w:sz w:val="24"/>
          <w:szCs w:val="24"/>
        </w:rPr>
      </w:pPr>
      <w:r w:rsidRPr="00670E31">
        <w:rPr>
          <w:rFonts w:ascii="Times New Roman" w:hAnsi="Times New Roman" w:cs="Times New Roman"/>
          <w:sz w:val="24"/>
          <w:szCs w:val="24"/>
        </w:rPr>
        <w:t>A comprehensive staff training program for</w:t>
      </w:r>
      <w:r>
        <w:rPr>
          <w:rFonts w:ascii="Times New Roman" w:hAnsi="Times New Roman" w:cs="Times New Roman"/>
          <w:sz w:val="24"/>
          <w:szCs w:val="24"/>
        </w:rPr>
        <w:t>:</w:t>
      </w:r>
    </w:p>
    <w:p w:rsidR="00670E31" w:rsidP="0001384A" w14:paraId="7446850D" w14:textId="60257DDD">
      <w:pPr>
        <w:pStyle w:val="NoSpacing"/>
        <w:numPr>
          <w:ilvl w:val="1"/>
          <w:numId w:val="41"/>
        </w:numPr>
        <w:rPr>
          <w:rFonts w:ascii="Times New Roman" w:hAnsi="Times New Roman" w:cs="Times New Roman"/>
          <w:sz w:val="24"/>
          <w:szCs w:val="24"/>
        </w:rPr>
      </w:pPr>
      <w:r w:rsidRPr="0031447B">
        <w:rPr>
          <w:rFonts w:ascii="Times New Roman" w:hAnsi="Times New Roman" w:cs="Times New Roman"/>
          <w:sz w:val="24"/>
          <w:szCs w:val="24"/>
        </w:rPr>
        <w:t xml:space="preserve">the </w:t>
      </w:r>
      <w:r w:rsidRPr="0031447B">
        <w:rPr>
          <w:rFonts w:ascii="Times New Roman" w:hAnsi="Times New Roman" w:cs="Times New Roman"/>
          <w:sz w:val="24"/>
          <w:szCs w:val="24"/>
        </w:rPr>
        <w:t>operations personnel and personnel directly responsible for safety that includes</w:t>
      </w:r>
      <w:r>
        <w:rPr>
          <w:rFonts w:ascii="Times New Roman" w:hAnsi="Times New Roman" w:cs="Times New Roman"/>
          <w:sz w:val="24"/>
          <w:szCs w:val="24"/>
        </w:rPr>
        <w:t xml:space="preserve"> </w:t>
      </w:r>
      <w:r w:rsidRPr="0031447B">
        <w:rPr>
          <w:rFonts w:ascii="Times New Roman" w:hAnsi="Times New Roman" w:cs="Times New Roman"/>
          <w:sz w:val="24"/>
          <w:szCs w:val="24"/>
        </w:rPr>
        <w:t>the completion of a safety training program and continuing safety education and training</w:t>
      </w:r>
      <w:r>
        <w:rPr>
          <w:rFonts w:ascii="Times New Roman" w:hAnsi="Times New Roman" w:cs="Times New Roman"/>
          <w:sz w:val="24"/>
          <w:szCs w:val="24"/>
        </w:rPr>
        <w:t>; or</w:t>
      </w:r>
    </w:p>
    <w:p w:rsidR="0031447B" w:rsidRPr="0031447B" w:rsidP="0001384A" w14:paraId="2D5FC830" w14:textId="6BDFE541">
      <w:pPr>
        <w:pStyle w:val="NoSpacing"/>
        <w:numPr>
          <w:ilvl w:val="1"/>
          <w:numId w:val="41"/>
        </w:numPr>
        <w:rPr>
          <w:rFonts w:ascii="Times New Roman" w:hAnsi="Times New Roman" w:cs="Times New Roman"/>
          <w:sz w:val="24"/>
          <w:szCs w:val="24"/>
        </w:rPr>
      </w:pPr>
      <w:r w:rsidRPr="0031447B">
        <w:rPr>
          <w:rFonts w:ascii="Times New Roman" w:hAnsi="Times New Roman" w:cs="Times New Roman"/>
          <w:sz w:val="24"/>
          <w:szCs w:val="24"/>
        </w:rPr>
        <w:t>in the case of a recipient receiving assistance under section 5307 that is serving an urbanized area with a population of 200,000 or more, the operations and maintenance personnel and personnel directly responsible for safety of the recipient that includes the completion of a safety training program; continuing safety education and training; and de-escalation training;</w:t>
      </w:r>
      <w:r>
        <w:rPr>
          <w:rFonts w:ascii="Times New Roman" w:hAnsi="Times New Roman" w:cs="Times New Roman"/>
          <w:sz w:val="24"/>
          <w:szCs w:val="24"/>
        </w:rPr>
        <w:t xml:space="preserve"> and</w:t>
      </w:r>
    </w:p>
    <w:p w:rsidR="0031447B" w:rsidP="0031447B" w14:paraId="195A82FF" w14:textId="68EF624A">
      <w:pPr>
        <w:pStyle w:val="NoSpacing"/>
        <w:rPr>
          <w:rFonts w:ascii="Times New Roman" w:hAnsi="Times New Roman" w:cs="Times New Roman"/>
          <w:sz w:val="24"/>
          <w:szCs w:val="24"/>
        </w:rPr>
      </w:pPr>
    </w:p>
    <w:p w:rsidR="0031447B" w:rsidRPr="0031447B" w:rsidP="0031447B" w14:paraId="21ED11D8" w14:textId="1D0764ED">
      <w:pPr>
        <w:pStyle w:val="NoSpacing"/>
        <w:numPr>
          <w:ilvl w:val="0"/>
          <w:numId w:val="41"/>
        </w:numPr>
        <w:rPr>
          <w:rFonts w:ascii="Times New Roman" w:hAnsi="Times New Roman" w:cs="Times New Roman"/>
          <w:sz w:val="24"/>
          <w:szCs w:val="24"/>
        </w:rPr>
      </w:pPr>
      <w:r w:rsidRPr="0AB7426F">
        <w:rPr>
          <w:rFonts w:ascii="Times New Roman" w:hAnsi="Times New Roman" w:cs="Times New Roman"/>
          <w:sz w:val="24"/>
          <w:szCs w:val="24"/>
        </w:rPr>
        <w:t xml:space="preserve">In the case of a recipient receiving assistance under section 5307 that is serving an urbanized area with a population of 200,000 or more, a risk reduction program for transit operations to improve safety by reducing the number and rates of </w:t>
      </w:r>
      <w:r w:rsidRPr="0AB7426F" w:rsidR="3E68E100">
        <w:rPr>
          <w:rFonts w:ascii="Times New Roman" w:hAnsi="Times New Roman" w:cs="Times New Roman"/>
          <w:sz w:val="24"/>
          <w:szCs w:val="24"/>
        </w:rPr>
        <w:t>accidents</w:t>
      </w:r>
      <w:r w:rsidRPr="0AB7426F">
        <w:rPr>
          <w:rFonts w:ascii="Times New Roman" w:hAnsi="Times New Roman" w:cs="Times New Roman"/>
          <w:sz w:val="24"/>
          <w:szCs w:val="24"/>
        </w:rPr>
        <w:t xml:space="preserve">, injuries, and assaults on transit workers based on data submitted to the </w:t>
      </w:r>
      <w:r w:rsidRPr="0AB7426F" w:rsidR="1BD2CCB1">
        <w:rPr>
          <w:rFonts w:ascii="Times New Roman" w:hAnsi="Times New Roman" w:cs="Times New Roman"/>
          <w:sz w:val="24"/>
          <w:szCs w:val="24"/>
        </w:rPr>
        <w:t xml:space="preserve">National </w:t>
      </w:r>
      <w:r w:rsidRPr="0AB7426F" w:rsidR="55258559">
        <w:rPr>
          <w:rFonts w:ascii="Times New Roman" w:hAnsi="Times New Roman" w:cs="Times New Roman"/>
          <w:sz w:val="24"/>
          <w:szCs w:val="24"/>
        </w:rPr>
        <w:t>T</w:t>
      </w:r>
      <w:r w:rsidRPr="0AB7426F">
        <w:rPr>
          <w:rFonts w:ascii="Times New Roman" w:hAnsi="Times New Roman" w:cs="Times New Roman"/>
          <w:sz w:val="24"/>
          <w:szCs w:val="24"/>
        </w:rPr>
        <w:t xml:space="preserve">ransit </w:t>
      </w:r>
      <w:r w:rsidRPr="0AB7426F" w:rsidR="55258559">
        <w:rPr>
          <w:rFonts w:ascii="Times New Roman" w:hAnsi="Times New Roman" w:cs="Times New Roman"/>
          <w:sz w:val="24"/>
          <w:szCs w:val="24"/>
        </w:rPr>
        <w:t>D</w:t>
      </w:r>
      <w:r w:rsidRPr="0AB7426F">
        <w:rPr>
          <w:rFonts w:ascii="Times New Roman" w:hAnsi="Times New Roman" w:cs="Times New Roman"/>
          <w:sz w:val="24"/>
          <w:szCs w:val="24"/>
        </w:rPr>
        <w:t xml:space="preserve">atabase under </w:t>
      </w:r>
      <w:r w:rsidRPr="0AB7426F" w:rsidR="39728D6B">
        <w:rPr>
          <w:rFonts w:ascii="Times New Roman" w:hAnsi="Times New Roman" w:cs="Times New Roman"/>
          <w:sz w:val="24"/>
          <w:szCs w:val="24"/>
        </w:rPr>
        <w:t xml:space="preserve">49 U.S.C. </w:t>
      </w:r>
      <w:r w:rsidRPr="0AB7426F">
        <w:rPr>
          <w:rFonts w:ascii="Times New Roman" w:hAnsi="Times New Roman" w:cs="Times New Roman"/>
          <w:sz w:val="24"/>
          <w:szCs w:val="24"/>
        </w:rPr>
        <w:t>5335, including—</w:t>
      </w:r>
    </w:p>
    <w:p w:rsidR="0031447B" w:rsidP="0031447B" w14:paraId="358A28CB" w14:textId="77777777">
      <w:pPr>
        <w:pStyle w:val="NoSpacing"/>
        <w:numPr>
          <w:ilvl w:val="1"/>
          <w:numId w:val="41"/>
        </w:numPr>
        <w:rPr>
          <w:rFonts w:ascii="Times New Roman" w:hAnsi="Times New Roman" w:cs="Times New Roman"/>
          <w:sz w:val="24"/>
          <w:szCs w:val="24"/>
        </w:rPr>
      </w:pPr>
      <w:r w:rsidRPr="0031447B">
        <w:rPr>
          <w:rFonts w:ascii="Times New Roman" w:hAnsi="Times New Roman" w:cs="Times New Roman"/>
          <w:sz w:val="24"/>
          <w:szCs w:val="24"/>
        </w:rPr>
        <w:t xml:space="preserve">a reduction of vehicular and pedestrian accidents involving buses that includes measures to reduce visibility impairments for bus operators that contribute to accidents, including retrofits to buses in revenue service and specifications for future procurements that reduce visibility impairments; and </w:t>
      </w:r>
    </w:p>
    <w:p w:rsidR="0031447B" w:rsidRPr="0031447B" w:rsidP="0031447B" w14:paraId="5060601A" w14:textId="2A917A6A">
      <w:pPr>
        <w:pStyle w:val="NoSpacing"/>
        <w:numPr>
          <w:ilvl w:val="1"/>
          <w:numId w:val="41"/>
        </w:numPr>
        <w:rPr>
          <w:rFonts w:ascii="Times New Roman" w:hAnsi="Times New Roman" w:cs="Times New Roman"/>
          <w:sz w:val="24"/>
          <w:szCs w:val="24"/>
        </w:rPr>
      </w:pPr>
      <w:r w:rsidRPr="4C4F126C">
        <w:rPr>
          <w:rFonts w:ascii="Times New Roman" w:hAnsi="Times New Roman" w:cs="Times New Roman"/>
          <w:sz w:val="24"/>
          <w:szCs w:val="24"/>
        </w:rPr>
        <w:t xml:space="preserve">the mitigation of assaults on transit workers, including the deployment of assault mitigation infrastructure and technology on buses, including barriers to restrict the unwanted entry of individuals and objects into the workstations of bus operators when a risk analysis performed by the </w:t>
      </w:r>
      <w:r w:rsidRPr="4C4F126C" w:rsidR="002B4C31">
        <w:rPr>
          <w:rFonts w:ascii="Times New Roman" w:hAnsi="Times New Roman" w:cs="Times New Roman"/>
          <w:sz w:val="24"/>
          <w:szCs w:val="24"/>
        </w:rPr>
        <w:t>S</w:t>
      </w:r>
      <w:r w:rsidRPr="4C4F126C">
        <w:rPr>
          <w:rFonts w:ascii="Times New Roman" w:hAnsi="Times New Roman" w:cs="Times New Roman"/>
          <w:sz w:val="24"/>
          <w:szCs w:val="24"/>
        </w:rPr>
        <w:t xml:space="preserve">afety </w:t>
      </w:r>
      <w:r w:rsidRPr="4C4F126C" w:rsidR="002B4C31">
        <w:rPr>
          <w:rFonts w:ascii="Times New Roman" w:hAnsi="Times New Roman" w:cs="Times New Roman"/>
          <w:sz w:val="24"/>
          <w:szCs w:val="24"/>
        </w:rPr>
        <w:t>C</w:t>
      </w:r>
      <w:r w:rsidRPr="4C4F126C">
        <w:rPr>
          <w:rFonts w:ascii="Times New Roman" w:hAnsi="Times New Roman" w:cs="Times New Roman"/>
          <w:sz w:val="24"/>
          <w:szCs w:val="24"/>
        </w:rPr>
        <w:t xml:space="preserve">ommittee of the recipient </w:t>
      </w:r>
      <w:r w:rsidRPr="4C4F126C">
        <w:rPr>
          <w:rFonts w:ascii="Times New Roman" w:hAnsi="Times New Roman" w:cs="Times New Roman"/>
          <w:sz w:val="24"/>
          <w:szCs w:val="24"/>
        </w:rPr>
        <w:t>determines that such barriers or other measures would reduce assaults on transit workers and injuries to transit workers.</w:t>
      </w:r>
    </w:p>
    <w:p w:rsidR="00360E37" w:rsidRPr="00A66850" w:rsidP="00A66850" w14:paraId="7264DF8A" w14:textId="77777777">
      <w:pPr>
        <w:pStyle w:val="NoSpacing"/>
        <w:rPr>
          <w:rFonts w:ascii="Times New Roman" w:hAnsi="Times New Roman" w:cs="Times New Roman"/>
          <w:sz w:val="24"/>
          <w:szCs w:val="24"/>
        </w:rPr>
      </w:pPr>
    </w:p>
    <w:p w:rsidR="0069486B" w:rsidP="0069486B" w14:paraId="6ED413E4" w14:textId="01739B0C">
      <w:pPr>
        <w:pStyle w:val="NoSpacing"/>
        <w:rPr>
          <w:rFonts w:ascii="Times New Roman" w:eastAsia="Times New Roman" w:hAnsi="Times New Roman"/>
          <w:sz w:val="24"/>
          <w:szCs w:val="24"/>
        </w:rPr>
      </w:pPr>
      <w:r w:rsidRPr="4C4F126C">
        <w:rPr>
          <w:rFonts w:ascii="Times New Roman" w:hAnsi="Times New Roman" w:cs="Times New Roman"/>
          <w:sz w:val="24"/>
          <w:szCs w:val="24"/>
        </w:rPr>
        <w:t xml:space="preserve">Pursuant to 49 U.S.C. </w:t>
      </w:r>
      <w:r w:rsidRPr="4C4F126C" w:rsidR="00AA319F">
        <w:rPr>
          <w:rFonts w:ascii="Times New Roman" w:hAnsi="Times New Roman" w:cs="Times New Roman"/>
          <w:sz w:val="24"/>
          <w:szCs w:val="24"/>
        </w:rPr>
        <w:t xml:space="preserve">§ </w:t>
      </w:r>
      <w:r w:rsidRPr="4C4F126C">
        <w:rPr>
          <w:rFonts w:ascii="Times New Roman" w:hAnsi="Times New Roman" w:cs="Times New Roman"/>
          <w:sz w:val="24"/>
          <w:szCs w:val="24"/>
        </w:rPr>
        <w:t>5329(d)</w:t>
      </w:r>
      <w:r w:rsidRPr="4C4F126C">
        <w:rPr>
          <w:rFonts w:ascii="Times New Roman" w:hAnsi="Times New Roman" w:cs="Times New Roman"/>
          <w:sz w:val="24"/>
          <w:szCs w:val="24"/>
        </w:rPr>
        <w:t>(5)</w:t>
      </w:r>
      <w:r w:rsidRPr="4C4F126C">
        <w:rPr>
          <w:rFonts w:ascii="Times New Roman" w:hAnsi="Times New Roman" w:cs="Times New Roman"/>
          <w:sz w:val="24"/>
          <w:szCs w:val="24"/>
        </w:rPr>
        <w:t xml:space="preserve">, each </w:t>
      </w:r>
      <w:r w:rsidRPr="4C4F126C">
        <w:rPr>
          <w:rFonts w:ascii="Times New Roman" w:eastAsia="Times New Roman" w:hAnsi="Times New Roman"/>
          <w:sz w:val="24"/>
          <w:szCs w:val="24"/>
        </w:rPr>
        <w:t xml:space="preserve">recipient receiving assistance under </w:t>
      </w:r>
      <w:r w:rsidRPr="4C4F126C" w:rsidR="00E33D9C">
        <w:rPr>
          <w:rFonts w:ascii="Times New Roman" w:eastAsia="Times New Roman" w:hAnsi="Times New Roman"/>
          <w:sz w:val="24"/>
          <w:szCs w:val="24"/>
        </w:rPr>
        <w:t>S</w:t>
      </w:r>
      <w:r w:rsidRPr="4C4F126C">
        <w:rPr>
          <w:rFonts w:ascii="Times New Roman" w:eastAsia="Times New Roman" w:hAnsi="Times New Roman"/>
          <w:sz w:val="24"/>
          <w:szCs w:val="24"/>
        </w:rPr>
        <w:t xml:space="preserve">ection 5307 that is serving an urbanized area with a population of 200,000 or more must establish a </w:t>
      </w:r>
      <w:r w:rsidRPr="4C4F126C" w:rsidR="00E33D9C">
        <w:rPr>
          <w:rFonts w:ascii="Times New Roman" w:eastAsia="Times New Roman" w:hAnsi="Times New Roman"/>
          <w:sz w:val="24"/>
          <w:szCs w:val="24"/>
        </w:rPr>
        <w:t>S</w:t>
      </w:r>
      <w:r w:rsidRPr="4C4F126C">
        <w:rPr>
          <w:rFonts w:ascii="Times New Roman" w:eastAsia="Times New Roman" w:hAnsi="Times New Roman"/>
          <w:sz w:val="24"/>
          <w:szCs w:val="24"/>
        </w:rPr>
        <w:t xml:space="preserve">afety </w:t>
      </w:r>
      <w:r w:rsidRPr="4C4F126C" w:rsidR="00E33D9C">
        <w:rPr>
          <w:rFonts w:ascii="Times New Roman" w:eastAsia="Times New Roman" w:hAnsi="Times New Roman"/>
          <w:sz w:val="24"/>
          <w:szCs w:val="24"/>
        </w:rPr>
        <w:t>C</w:t>
      </w:r>
      <w:r w:rsidRPr="4C4F126C">
        <w:rPr>
          <w:rFonts w:ascii="Times New Roman" w:eastAsia="Times New Roman" w:hAnsi="Times New Roman"/>
          <w:sz w:val="24"/>
          <w:szCs w:val="24"/>
        </w:rPr>
        <w:t>ommittee that must:</w:t>
      </w:r>
    </w:p>
    <w:p w:rsidR="0069486B" w:rsidP="0069486B" w14:paraId="13D3D977" w14:textId="77777777">
      <w:pPr>
        <w:pStyle w:val="NoSpacing"/>
        <w:rPr>
          <w:rFonts w:ascii="Times New Roman" w:eastAsia="Times New Roman" w:hAnsi="Times New Roman"/>
          <w:sz w:val="24"/>
          <w:szCs w:val="24"/>
        </w:rPr>
      </w:pPr>
    </w:p>
    <w:p w:rsidR="0069486B" w:rsidP="0069486B" w14:paraId="05596B6D" w14:textId="349F18C6">
      <w:pPr>
        <w:pStyle w:val="NoSpacing"/>
        <w:numPr>
          <w:ilvl w:val="0"/>
          <w:numId w:val="40"/>
        </w:numPr>
        <w:rPr>
          <w:rFonts w:ascii="Times New Roman" w:eastAsia="Times New Roman" w:hAnsi="Times New Roman"/>
          <w:sz w:val="24"/>
          <w:szCs w:val="24"/>
        </w:rPr>
      </w:pPr>
      <w:r w:rsidRPr="4C4F126C">
        <w:rPr>
          <w:rFonts w:ascii="Times New Roman" w:eastAsia="Times New Roman" w:hAnsi="Times New Roman"/>
          <w:sz w:val="24"/>
          <w:szCs w:val="24"/>
        </w:rPr>
        <w:t>B</w:t>
      </w:r>
      <w:r w:rsidRPr="4C4F126C">
        <w:rPr>
          <w:rFonts w:ascii="Times New Roman" w:eastAsia="Times New Roman" w:hAnsi="Times New Roman"/>
          <w:sz w:val="24"/>
          <w:szCs w:val="24"/>
        </w:rPr>
        <w:t>e convened by a joint labor-management process;</w:t>
      </w:r>
    </w:p>
    <w:p w:rsidR="0069486B" w:rsidP="0069486B" w14:paraId="5D38F794" w14:textId="77777777">
      <w:pPr>
        <w:pStyle w:val="NoSpacing"/>
        <w:ind w:left="720"/>
        <w:rPr>
          <w:rFonts w:ascii="Times New Roman" w:eastAsia="Times New Roman" w:hAnsi="Times New Roman"/>
          <w:sz w:val="24"/>
          <w:szCs w:val="24"/>
        </w:rPr>
      </w:pPr>
    </w:p>
    <w:p w:rsidR="0069486B" w:rsidP="0069486B" w14:paraId="23161166" w14:textId="41ABC52C">
      <w:pPr>
        <w:pStyle w:val="NoSpacing"/>
        <w:numPr>
          <w:ilvl w:val="0"/>
          <w:numId w:val="40"/>
        </w:numPr>
        <w:rPr>
          <w:rFonts w:ascii="Times New Roman" w:eastAsia="Times New Roman" w:hAnsi="Times New Roman"/>
          <w:sz w:val="24"/>
          <w:szCs w:val="24"/>
        </w:rPr>
      </w:pPr>
      <w:r w:rsidRPr="4C4F126C">
        <w:rPr>
          <w:rFonts w:ascii="Times New Roman" w:eastAsia="Times New Roman" w:hAnsi="Times New Roman"/>
          <w:sz w:val="24"/>
          <w:szCs w:val="24"/>
        </w:rPr>
        <w:t>C</w:t>
      </w:r>
      <w:r w:rsidRPr="4C4F126C">
        <w:rPr>
          <w:rFonts w:ascii="Times New Roman" w:eastAsia="Times New Roman" w:hAnsi="Times New Roman"/>
          <w:sz w:val="24"/>
          <w:szCs w:val="24"/>
        </w:rPr>
        <w:t>onsist of an equal number of—</w:t>
      </w:r>
    </w:p>
    <w:p w:rsidR="0069486B" w:rsidP="0069486B" w14:paraId="54634CBF" w14:textId="77777777">
      <w:pPr>
        <w:pStyle w:val="NoSpacing"/>
        <w:numPr>
          <w:ilvl w:val="1"/>
          <w:numId w:val="40"/>
        </w:numPr>
        <w:rPr>
          <w:rFonts w:ascii="Times New Roman" w:eastAsia="Times New Roman" w:hAnsi="Times New Roman"/>
          <w:sz w:val="24"/>
          <w:szCs w:val="24"/>
        </w:rPr>
      </w:pPr>
      <w:r w:rsidRPr="0069486B">
        <w:rPr>
          <w:rFonts w:ascii="Times New Roman" w:eastAsia="Times New Roman" w:hAnsi="Times New Roman"/>
          <w:sz w:val="24"/>
          <w:szCs w:val="24"/>
        </w:rPr>
        <w:t>frontline employee representatives, selected by a labor organization representing the plurality of the frontline workforce employed by the recipient or, if applicable, a contractor to the recipient, to the extent frontline employees are represented by labor organizations; and</w:t>
      </w:r>
    </w:p>
    <w:p w:rsidR="0069486B" w:rsidP="0069486B" w14:paraId="59BFC3A2" w14:textId="77777777">
      <w:pPr>
        <w:pStyle w:val="NoSpacing"/>
        <w:numPr>
          <w:ilvl w:val="1"/>
          <w:numId w:val="40"/>
        </w:numPr>
        <w:rPr>
          <w:rFonts w:ascii="Times New Roman" w:eastAsia="Times New Roman" w:hAnsi="Times New Roman"/>
          <w:sz w:val="24"/>
          <w:szCs w:val="24"/>
        </w:rPr>
      </w:pPr>
      <w:r w:rsidRPr="0069486B">
        <w:rPr>
          <w:rFonts w:ascii="Times New Roman" w:eastAsia="Times New Roman" w:hAnsi="Times New Roman"/>
          <w:sz w:val="24"/>
          <w:szCs w:val="24"/>
        </w:rPr>
        <w:t>management representatives; and</w:t>
      </w:r>
    </w:p>
    <w:p w:rsidR="0069486B" w:rsidP="0069486B" w14:paraId="36945C99" w14:textId="358EBE0F">
      <w:pPr>
        <w:pStyle w:val="NoSpacing"/>
        <w:ind w:left="720"/>
        <w:rPr>
          <w:rFonts w:ascii="Times New Roman" w:eastAsia="Times New Roman" w:hAnsi="Times New Roman"/>
          <w:sz w:val="24"/>
          <w:szCs w:val="24"/>
        </w:rPr>
      </w:pPr>
    </w:p>
    <w:p w:rsidR="0069486B" w:rsidP="0069486B" w14:paraId="098E3064" w14:textId="20CB2548">
      <w:pPr>
        <w:pStyle w:val="NoSpacing"/>
        <w:numPr>
          <w:ilvl w:val="0"/>
          <w:numId w:val="40"/>
        </w:numPr>
        <w:rPr>
          <w:rFonts w:ascii="Times New Roman" w:eastAsia="Times New Roman" w:hAnsi="Times New Roman"/>
          <w:sz w:val="24"/>
          <w:szCs w:val="24"/>
        </w:rPr>
      </w:pPr>
      <w:r w:rsidRPr="4C4F126C">
        <w:rPr>
          <w:rFonts w:ascii="Times New Roman" w:eastAsia="Times New Roman" w:hAnsi="Times New Roman"/>
          <w:sz w:val="24"/>
          <w:szCs w:val="24"/>
        </w:rPr>
        <w:t>H</w:t>
      </w:r>
      <w:r w:rsidRPr="4C4F126C">
        <w:rPr>
          <w:rFonts w:ascii="Times New Roman" w:eastAsia="Times New Roman" w:hAnsi="Times New Roman"/>
          <w:sz w:val="24"/>
          <w:szCs w:val="24"/>
        </w:rPr>
        <w:t>ave, at a minimum, responsibility for—</w:t>
      </w:r>
    </w:p>
    <w:p w:rsidR="0069486B" w:rsidP="0069486B" w14:paraId="72E50490" w14:textId="17C58CDA">
      <w:pPr>
        <w:pStyle w:val="NoSpacing"/>
        <w:numPr>
          <w:ilvl w:val="1"/>
          <w:numId w:val="40"/>
        </w:numPr>
        <w:rPr>
          <w:rFonts w:ascii="Times New Roman" w:eastAsia="Times New Roman" w:hAnsi="Times New Roman"/>
          <w:sz w:val="24"/>
          <w:szCs w:val="24"/>
        </w:rPr>
      </w:pPr>
      <w:r w:rsidRPr="395198BF">
        <w:rPr>
          <w:rFonts w:ascii="Times New Roman" w:eastAsia="Times New Roman" w:hAnsi="Times New Roman"/>
          <w:sz w:val="24"/>
          <w:szCs w:val="24"/>
        </w:rPr>
        <w:t xml:space="preserve">identifying and recommending risk-based mitigations or strategies necessary to reduce the likelihood and severity of consequences identified through the </w:t>
      </w:r>
      <w:r w:rsidRPr="395198BF" w:rsidR="00E33D9C">
        <w:rPr>
          <w:rFonts w:ascii="Times New Roman" w:eastAsia="Times New Roman" w:hAnsi="Times New Roman"/>
          <w:sz w:val="24"/>
          <w:szCs w:val="24"/>
        </w:rPr>
        <w:t xml:space="preserve">transit </w:t>
      </w:r>
      <w:r w:rsidRPr="395198BF">
        <w:rPr>
          <w:rFonts w:ascii="Times New Roman" w:eastAsia="Times New Roman" w:hAnsi="Times New Roman"/>
          <w:sz w:val="24"/>
          <w:szCs w:val="24"/>
        </w:rPr>
        <w:t>agency’s safety risk assessment;</w:t>
      </w:r>
    </w:p>
    <w:p w:rsidR="0069486B" w:rsidP="0069486B" w14:paraId="4DF2BC2F" w14:textId="77777777">
      <w:pPr>
        <w:pStyle w:val="NoSpacing"/>
        <w:numPr>
          <w:ilvl w:val="1"/>
          <w:numId w:val="40"/>
        </w:numPr>
        <w:rPr>
          <w:rFonts w:ascii="Times New Roman" w:eastAsia="Times New Roman" w:hAnsi="Times New Roman"/>
          <w:sz w:val="24"/>
          <w:szCs w:val="24"/>
        </w:rPr>
      </w:pPr>
      <w:r w:rsidRPr="0069486B">
        <w:rPr>
          <w:rFonts w:ascii="Times New Roman" w:eastAsia="Times New Roman" w:hAnsi="Times New Roman"/>
          <w:sz w:val="24"/>
          <w:szCs w:val="24"/>
        </w:rPr>
        <w:t>identifying mitigations or strategies that may be ineffective, inappropriate, or were not implemented as intended; and</w:t>
      </w:r>
    </w:p>
    <w:p w:rsidR="004A6632" w:rsidP="00A66850" w14:paraId="22E09ADC" w14:textId="3D63BF43">
      <w:pPr>
        <w:pStyle w:val="NoSpacing"/>
        <w:numPr>
          <w:ilvl w:val="1"/>
          <w:numId w:val="40"/>
        </w:numPr>
        <w:rPr>
          <w:rFonts w:ascii="Times New Roman" w:eastAsia="Times New Roman" w:hAnsi="Times New Roman"/>
          <w:sz w:val="24"/>
          <w:szCs w:val="24"/>
        </w:rPr>
      </w:pPr>
      <w:r w:rsidRPr="0069486B">
        <w:rPr>
          <w:rFonts w:ascii="Times New Roman" w:eastAsia="Times New Roman" w:hAnsi="Times New Roman"/>
          <w:sz w:val="24"/>
          <w:szCs w:val="24"/>
        </w:rPr>
        <w:t>identifying safety deficiencies for purposes of continuous improvement.</w:t>
      </w:r>
    </w:p>
    <w:p w:rsidR="00AD6349" w:rsidP="000151F6" w14:paraId="5E86CE28" w14:textId="77777777">
      <w:pPr>
        <w:tabs>
          <w:tab w:val="left" w:pos="1440"/>
        </w:tabs>
      </w:pPr>
    </w:p>
    <w:p w:rsidR="00CC2609" w:rsidP="000151F6" w14:paraId="7918BDDC" w14:textId="6111796C">
      <w:pPr>
        <w:tabs>
          <w:tab w:val="left" w:pos="1440"/>
        </w:tabs>
      </w:pPr>
      <w:r>
        <w:t xml:space="preserve">Pursuant to 49 U.S.C. § 5329(d)(4), </w:t>
      </w:r>
      <w:r w:rsidR="001521C9">
        <w:t>the</w:t>
      </w:r>
      <w:r>
        <w:t xml:space="preserve"> Safety Committee </w:t>
      </w:r>
      <w:r w:rsidR="001521C9">
        <w:t xml:space="preserve">of a recipient serving an urbanized area with a population of 200,000 or more </w:t>
      </w:r>
      <w:r>
        <w:t xml:space="preserve">must set performance targets for the safety risk reduction program </w:t>
      </w:r>
      <w:r>
        <w:t xml:space="preserve">using a 3-year rolling average of data submitted by the recipient to the National Transit Database. </w:t>
      </w:r>
      <w:r w:rsidR="00BF6EF4">
        <w:t>P</w:t>
      </w:r>
      <w:r w:rsidR="005B1B29">
        <w:t xml:space="preserve">erformance targets for a </w:t>
      </w:r>
      <w:r w:rsidR="1296C3C9">
        <w:t xml:space="preserve">safety </w:t>
      </w:r>
      <w:r w:rsidR="005B1B29">
        <w:t>risk reduction program are not required until FTA has updated the National Public Transportation Safety Plan to include these performance measures.</w:t>
      </w:r>
    </w:p>
    <w:p w:rsidR="005B1B29" w:rsidP="000151F6" w14:paraId="4D7EF0B8" w14:textId="77777777">
      <w:pPr>
        <w:tabs>
          <w:tab w:val="left" w:pos="1440"/>
        </w:tabs>
      </w:pPr>
    </w:p>
    <w:p w:rsidR="00AA319F" w:rsidP="000151F6" w14:paraId="24E65153" w14:textId="75BBCE30">
      <w:pPr>
        <w:tabs>
          <w:tab w:val="left" w:pos="1440"/>
        </w:tabs>
      </w:pPr>
      <w:r>
        <w:t xml:space="preserve">FTA is proposing </w:t>
      </w:r>
      <w:r w:rsidRPr="0AB7426F" w:rsidR="450DC447">
        <w:rPr>
          <w:rFonts w:eastAsia="Calibri"/>
        </w:rPr>
        <w:t>to implement these statutory requirements through revision to Part 673 to Title 49 of the Code of Federal Regulations.</w:t>
      </w:r>
      <w:r w:rsidRPr="0AB7426F" w:rsidR="3AD0D196">
        <w:rPr>
          <w:rFonts w:eastAsia="Calibri"/>
        </w:rPr>
        <w:t xml:space="preserve"> </w:t>
      </w:r>
      <w:r w:rsidRPr="0AB7426F">
        <w:rPr>
          <w:color w:val="000000" w:themeColor="text1"/>
        </w:rPr>
        <w:t xml:space="preserve">The proposed changes include </w:t>
      </w:r>
      <w:r>
        <w:t xml:space="preserve">revised requirements for the development, update, and approval of ASPs; the establishment of a Safety Committee; cooperation with frontline  transit worker representatives in the development of ASPs; the establishment of </w:t>
      </w:r>
      <w:r w:rsidRPr="0AB7426F">
        <w:rPr>
          <w:color w:val="212529"/>
        </w:rPr>
        <w:t xml:space="preserve">a safety risk reduction program for transit operations to improve safety by reducing the number and rates of safety events, injuries, and assaults on </w:t>
      </w:r>
      <w:r>
        <w:t xml:space="preserve">transit workers based on data submitted to the National Transit Database (NTD); the establishment of safety performance targets for risk reduction programs; the establishment of de-escalation training for certain transit workers; and the incorporation of guidelines from the Centers for Disease Control and Prevention or a State health authority regarding exposure to infectious diseases into the agency’s Safety Management System (SMS) processes. FTA also proposes revisions based on coordination with other FTA programs and proposed rules. </w:t>
      </w:r>
      <w:r w:rsidR="0531D92A">
        <w:t xml:space="preserve">FTA is </w:t>
      </w:r>
      <w:r w:rsidR="25D4B7F2">
        <w:t>also</w:t>
      </w:r>
      <w:r w:rsidR="0531D92A">
        <w:t xml:space="preserve"> proposing to extend the agency Safety Assurance requirements associated with continuous improvement to small public transportation providers.</w:t>
      </w:r>
    </w:p>
    <w:p w:rsidR="00FC338A" w:rsidRPr="00A66850" w:rsidP="00A66850" w14:paraId="3DD3B914" w14:textId="77777777">
      <w:pPr>
        <w:pStyle w:val="NoSpacing"/>
        <w:rPr>
          <w:rFonts w:ascii="Times New Roman" w:hAnsi="Times New Roman" w:cs="Times New Roman"/>
          <w:sz w:val="24"/>
          <w:szCs w:val="24"/>
        </w:rPr>
      </w:pPr>
    </w:p>
    <w:p w:rsidR="00FC338A" w:rsidRPr="00A66850" w:rsidP="008F3D22" w14:paraId="7E701226" w14:textId="77777777">
      <w:pPr>
        <w:pStyle w:val="ListParagraph"/>
        <w:keepNext/>
        <w:numPr>
          <w:ilvl w:val="0"/>
          <w:numId w:val="3"/>
        </w:numPr>
        <w:ind w:left="0" w:firstLine="0"/>
        <w:contextualSpacing w:val="0"/>
        <w:rPr>
          <w:b/>
        </w:rPr>
      </w:pPr>
      <w:r w:rsidRPr="00A66850">
        <w:rPr>
          <w:b/>
        </w:rPr>
        <w:t>Purpose and Use of the Information</w:t>
      </w:r>
    </w:p>
    <w:p w:rsidR="004F0ACA" w:rsidRPr="00A66850" w:rsidP="0088449E" w14:paraId="2C752C80" w14:textId="77777777">
      <w:pPr>
        <w:pStyle w:val="NoSpacing"/>
      </w:pPr>
    </w:p>
    <w:p w:rsidR="00BC5E37" w:rsidRPr="00A66850" w:rsidP="00A66850" w14:paraId="2638E52C" w14:textId="71C51E41">
      <w:pPr>
        <w:pStyle w:val="ListParagraph"/>
        <w:ind w:left="0"/>
        <w:contextualSpacing w:val="0"/>
      </w:pPr>
      <w:r w:rsidRPr="00A66850">
        <w:t>T</w:t>
      </w:r>
      <w:r w:rsidRPr="00A66850">
        <w:t xml:space="preserve">he </w:t>
      </w:r>
      <w:r w:rsidR="001276FE">
        <w:t>ASP</w:t>
      </w:r>
      <w:r w:rsidRPr="00A66850">
        <w:t xml:space="preserve"> </w:t>
      </w:r>
      <w:r w:rsidR="002B1A95">
        <w:t xml:space="preserve">and supporting documentation </w:t>
      </w:r>
      <w:r w:rsidRPr="00A66850">
        <w:t xml:space="preserve">will be </w:t>
      </w:r>
      <w:r w:rsidRPr="00A66850">
        <w:t xml:space="preserve">the mechanism through which </w:t>
      </w:r>
      <w:r w:rsidR="005B0E66">
        <w:t>a transit agency</w:t>
      </w:r>
      <w:r w:rsidRPr="00A66850">
        <w:t xml:space="preserve"> demonstrate</w:t>
      </w:r>
      <w:r w:rsidR="005B0E66">
        <w:t>s</w:t>
      </w:r>
      <w:r w:rsidRPr="00A66850">
        <w:t xml:space="preserve"> </w:t>
      </w:r>
      <w:r w:rsidRPr="00A66850" w:rsidR="00893ABE">
        <w:t xml:space="preserve">that </w:t>
      </w:r>
      <w:r w:rsidR="005B0E66">
        <w:t xml:space="preserve">it has </w:t>
      </w:r>
      <w:r w:rsidRPr="00A66850">
        <w:t xml:space="preserve">complied with the </w:t>
      </w:r>
      <w:r w:rsidRPr="00A66850" w:rsidR="00893ABE">
        <w:t xml:space="preserve">statutory </w:t>
      </w:r>
      <w:r w:rsidRPr="00A66850">
        <w:t xml:space="preserve">requirements </w:t>
      </w:r>
      <w:r w:rsidR="005B0E66">
        <w:t>of</w:t>
      </w:r>
      <w:r w:rsidRPr="00A66850">
        <w:t xml:space="preserve"> 49 U.S.C. </w:t>
      </w:r>
      <w:r w:rsidRPr="00A66850" w:rsidR="00893ABE">
        <w:rPr>
          <w:rFonts w:eastAsia="Calibri"/>
        </w:rPr>
        <w:t xml:space="preserve">§ </w:t>
      </w:r>
      <w:r w:rsidRPr="00A66850">
        <w:t>5329(d).</w:t>
      </w:r>
    </w:p>
    <w:p w:rsidR="00BC5E37" w:rsidRPr="00A66850" w:rsidP="00A66850" w14:paraId="6FBC8513" w14:textId="77777777">
      <w:pPr>
        <w:pStyle w:val="ListParagraph"/>
        <w:ind w:left="0"/>
        <w:contextualSpacing w:val="0"/>
      </w:pPr>
    </w:p>
    <w:p w:rsidR="00893ABE" w:rsidRPr="00A66850" w:rsidP="79D32245" w14:paraId="2E4A1DAB" w14:textId="2B237AA2">
      <w:pPr>
        <w:pStyle w:val="ListParagraph"/>
        <w:ind w:left="0"/>
      </w:pPr>
      <w:r>
        <w:t xml:space="preserve">While the </w:t>
      </w:r>
      <w:r w:rsidR="6F1766F9">
        <w:t xml:space="preserve">ASP </w:t>
      </w:r>
      <w:r>
        <w:t>specifies the activities that a</w:t>
      </w:r>
      <w:r w:rsidR="7113C7AE">
        <w:t xml:space="preserve"> transit</w:t>
      </w:r>
      <w:r>
        <w:t xml:space="preserve"> agency must </w:t>
      </w:r>
      <w:r w:rsidR="7113C7AE">
        <w:t>under</w:t>
      </w:r>
      <w:r>
        <w:t xml:space="preserve">take, the information exchange between </w:t>
      </w:r>
      <w:r w:rsidR="7113C7AE">
        <w:t xml:space="preserve">FTA and its </w:t>
      </w:r>
      <w:r>
        <w:t>r</w:t>
      </w:r>
      <w:r w:rsidR="3045E01D">
        <w:t>ecipients</w:t>
      </w:r>
      <w:r w:rsidR="7113C7AE">
        <w:t xml:space="preserve"> will </w:t>
      </w:r>
      <w:r w:rsidR="3045E01D">
        <w:t>consist of:</w:t>
      </w:r>
    </w:p>
    <w:p w:rsidR="00893ABE" w:rsidRPr="00A66850" w:rsidP="00A66850" w14:paraId="6C60F505" w14:textId="77777777">
      <w:pPr>
        <w:pStyle w:val="ListParagraph"/>
        <w:ind w:left="0"/>
        <w:contextualSpacing w:val="0"/>
      </w:pPr>
    </w:p>
    <w:p w:rsidR="000818A3" w:rsidRPr="00E33D9C" w:rsidP="00E33D9C" w14:paraId="71908E5B" w14:textId="637350F8">
      <w:pPr>
        <w:pStyle w:val="NoSpacing"/>
        <w:numPr>
          <w:ilvl w:val="0"/>
          <w:numId w:val="40"/>
        </w:numPr>
        <w:rPr>
          <w:rFonts w:ascii="Times New Roman" w:eastAsia="Times New Roman" w:hAnsi="Times New Roman"/>
          <w:sz w:val="24"/>
          <w:szCs w:val="24"/>
        </w:rPr>
      </w:pPr>
      <w:r w:rsidRPr="395198BF">
        <w:rPr>
          <w:rFonts w:ascii="Times New Roman" w:eastAsia="Times New Roman" w:hAnsi="Times New Roman"/>
          <w:sz w:val="24"/>
          <w:szCs w:val="24"/>
        </w:rPr>
        <w:t>Annual Certification</w:t>
      </w:r>
      <w:r w:rsidRPr="395198BF" w:rsidR="00893ABE">
        <w:rPr>
          <w:rFonts w:ascii="Times New Roman" w:eastAsia="Times New Roman" w:hAnsi="Times New Roman"/>
          <w:sz w:val="24"/>
          <w:szCs w:val="24"/>
        </w:rPr>
        <w:t>s and Assurances</w:t>
      </w:r>
      <w:r w:rsidRPr="395198BF">
        <w:rPr>
          <w:rFonts w:ascii="Times New Roman" w:eastAsia="Times New Roman" w:hAnsi="Times New Roman"/>
          <w:sz w:val="24"/>
          <w:szCs w:val="24"/>
        </w:rPr>
        <w:t>.</w:t>
      </w:r>
      <w:r w:rsidRPr="395198BF" w:rsidR="00F360ED">
        <w:rPr>
          <w:rFonts w:ascii="Times New Roman" w:eastAsia="Times New Roman" w:hAnsi="Times New Roman"/>
          <w:sz w:val="24"/>
          <w:szCs w:val="24"/>
        </w:rPr>
        <w:t xml:space="preserve"> </w:t>
      </w:r>
      <w:r w:rsidRPr="395198BF" w:rsidR="00893ABE">
        <w:rPr>
          <w:rFonts w:ascii="Times New Roman" w:eastAsia="Times New Roman" w:hAnsi="Times New Roman"/>
          <w:sz w:val="24"/>
          <w:szCs w:val="24"/>
        </w:rPr>
        <w:t>FTA require</w:t>
      </w:r>
      <w:r w:rsidRPr="395198BF" w:rsidR="00E06335">
        <w:rPr>
          <w:rFonts w:ascii="Times New Roman" w:eastAsia="Times New Roman" w:hAnsi="Times New Roman"/>
          <w:sz w:val="24"/>
          <w:szCs w:val="24"/>
        </w:rPr>
        <w:t>s</w:t>
      </w:r>
      <w:r w:rsidRPr="395198BF" w:rsidR="00893ABE">
        <w:rPr>
          <w:rFonts w:ascii="Times New Roman" w:eastAsia="Times New Roman" w:hAnsi="Times New Roman"/>
          <w:sz w:val="24"/>
          <w:szCs w:val="24"/>
        </w:rPr>
        <w:t xml:space="preserve"> operators of public transportation systems and States to certify compliance with</w:t>
      </w:r>
      <w:r w:rsidRPr="395198BF" w:rsidR="008F1B23">
        <w:rPr>
          <w:rFonts w:ascii="Times New Roman" w:eastAsia="Times New Roman" w:hAnsi="Times New Roman"/>
          <w:sz w:val="24"/>
          <w:szCs w:val="24"/>
        </w:rPr>
        <w:t xml:space="preserve"> 49 CFR</w:t>
      </w:r>
      <w:r w:rsidRPr="395198BF" w:rsidR="00893ABE">
        <w:rPr>
          <w:rFonts w:ascii="Times New Roman" w:eastAsia="Times New Roman" w:hAnsi="Times New Roman"/>
          <w:sz w:val="24"/>
          <w:szCs w:val="24"/>
        </w:rPr>
        <w:t xml:space="preserve"> </w:t>
      </w:r>
      <w:r w:rsidRPr="395198BF" w:rsidR="00E33D9C">
        <w:rPr>
          <w:rFonts w:ascii="Times New Roman" w:eastAsia="Times New Roman" w:hAnsi="Times New Roman"/>
          <w:sz w:val="24"/>
          <w:szCs w:val="24"/>
        </w:rPr>
        <w:t>p</w:t>
      </w:r>
      <w:r w:rsidRPr="395198BF" w:rsidR="00893ABE">
        <w:rPr>
          <w:rFonts w:ascii="Times New Roman" w:eastAsia="Times New Roman" w:hAnsi="Times New Roman"/>
          <w:sz w:val="24"/>
          <w:szCs w:val="24"/>
        </w:rPr>
        <w:t xml:space="preserve">art 673 through </w:t>
      </w:r>
      <w:r w:rsidRPr="395198BF">
        <w:rPr>
          <w:rFonts w:ascii="Times New Roman" w:eastAsia="Times New Roman" w:hAnsi="Times New Roman"/>
          <w:sz w:val="24"/>
          <w:szCs w:val="24"/>
        </w:rPr>
        <w:t>its</w:t>
      </w:r>
      <w:r w:rsidRPr="395198BF" w:rsidR="008F1B23">
        <w:rPr>
          <w:rFonts w:ascii="Times New Roman" w:eastAsia="Times New Roman" w:hAnsi="Times New Roman"/>
          <w:sz w:val="24"/>
          <w:szCs w:val="24"/>
        </w:rPr>
        <w:t xml:space="preserve"> </w:t>
      </w:r>
      <w:r w:rsidRPr="395198BF" w:rsidR="00893ABE">
        <w:rPr>
          <w:rFonts w:ascii="Times New Roman" w:eastAsia="Times New Roman" w:hAnsi="Times New Roman"/>
          <w:sz w:val="24"/>
          <w:szCs w:val="24"/>
        </w:rPr>
        <w:t>annual submittal of Certifications and Assurances.</w:t>
      </w:r>
      <w:r w:rsidRPr="395198BF" w:rsidR="00F360ED">
        <w:rPr>
          <w:rFonts w:ascii="Times New Roman" w:eastAsia="Times New Roman" w:hAnsi="Times New Roman"/>
          <w:sz w:val="24"/>
          <w:szCs w:val="24"/>
        </w:rPr>
        <w:t xml:space="preserve"> </w:t>
      </w:r>
      <w:r w:rsidRPr="395198BF" w:rsidR="00893ABE">
        <w:rPr>
          <w:rFonts w:ascii="Times New Roman" w:eastAsia="Times New Roman" w:hAnsi="Times New Roman"/>
          <w:sz w:val="24"/>
          <w:szCs w:val="24"/>
        </w:rPr>
        <w:t xml:space="preserve">These entities will </w:t>
      </w:r>
      <w:r w:rsidRPr="395198BF">
        <w:rPr>
          <w:rFonts w:ascii="Times New Roman" w:eastAsia="Times New Roman" w:hAnsi="Times New Roman"/>
          <w:sz w:val="24"/>
          <w:szCs w:val="24"/>
        </w:rPr>
        <w:t>transmit</w:t>
      </w:r>
      <w:r w:rsidRPr="395198BF" w:rsidR="00893ABE">
        <w:rPr>
          <w:rFonts w:ascii="Times New Roman" w:eastAsia="Times New Roman" w:hAnsi="Times New Roman"/>
          <w:sz w:val="24"/>
          <w:szCs w:val="24"/>
        </w:rPr>
        <w:t xml:space="preserve"> this information</w:t>
      </w:r>
      <w:r w:rsidRPr="395198BF">
        <w:rPr>
          <w:rFonts w:ascii="Times New Roman" w:eastAsia="Times New Roman" w:hAnsi="Times New Roman"/>
          <w:sz w:val="24"/>
          <w:szCs w:val="24"/>
        </w:rPr>
        <w:t xml:space="preserve"> </w:t>
      </w:r>
      <w:r w:rsidRPr="395198BF" w:rsidR="00893ABE">
        <w:rPr>
          <w:rFonts w:ascii="Times New Roman" w:eastAsia="Times New Roman" w:hAnsi="Times New Roman"/>
          <w:sz w:val="24"/>
          <w:szCs w:val="24"/>
        </w:rPr>
        <w:t xml:space="preserve">through the </w:t>
      </w:r>
      <w:r w:rsidRPr="395198BF" w:rsidR="00170A58">
        <w:rPr>
          <w:rFonts w:ascii="Times New Roman" w:eastAsia="Times New Roman" w:hAnsi="Times New Roman"/>
          <w:sz w:val="24"/>
          <w:szCs w:val="24"/>
        </w:rPr>
        <w:t xml:space="preserve">existing </w:t>
      </w:r>
      <w:r w:rsidRPr="395198BF" w:rsidR="00893ABE">
        <w:rPr>
          <w:rFonts w:ascii="Times New Roman" w:eastAsia="Times New Roman" w:hAnsi="Times New Roman"/>
          <w:sz w:val="24"/>
          <w:szCs w:val="24"/>
        </w:rPr>
        <w:t>Certification and Assurances module in FTA’s</w:t>
      </w:r>
      <w:r w:rsidRPr="395198BF">
        <w:rPr>
          <w:rFonts w:ascii="Times New Roman" w:eastAsia="Times New Roman" w:hAnsi="Times New Roman"/>
          <w:sz w:val="24"/>
          <w:szCs w:val="24"/>
        </w:rPr>
        <w:t xml:space="preserve"> </w:t>
      </w:r>
      <w:r w:rsidRPr="395198BF" w:rsidR="000C77CA">
        <w:rPr>
          <w:rFonts w:ascii="Times New Roman" w:eastAsia="Times New Roman" w:hAnsi="Times New Roman"/>
          <w:sz w:val="24"/>
          <w:szCs w:val="24"/>
        </w:rPr>
        <w:t>Transit Award Management System (TrAMS</w:t>
      </w:r>
      <w:r w:rsidRPr="395198BF" w:rsidR="001276FE">
        <w:rPr>
          <w:rFonts w:ascii="Times New Roman" w:eastAsia="Times New Roman" w:hAnsi="Times New Roman"/>
          <w:sz w:val="24"/>
          <w:szCs w:val="24"/>
        </w:rPr>
        <w:t>).</w:t>
      </w:r>
    </w:p>
    <w:p w:rsidR="00AD6349" w:rsidRPr="00E33D9C" w:rsidP="00E33D9C" w14:paraId="39EE7ACE" w14:textId="77777777">
      <w:pPr>
        <w:pStyle w:val="NoSpacing"/>
        <w:ind w:left="720"/>
        <w:rPr>
          <w:rFonts w:ascii="Times New Roman" w:eastAsia="Times New Roman" w:hAnsi="Times New Roman"/>
          <w:sz w:val="24"/>
          <w:szCs w:val="24"/>
        </w:rPr>
      </w:pPr>
    </w:p>
    <w:p w:rsidR="00BC5E37" w:rsidRPr="00E33D9C" w:rsidP="00E33D9C" w14:paraId="51B234B1" w14:textId="1043D772">
      <w:pPr>
        <w:pStyle w:val="NoSpacing"/>
        <w:numPr>
          <w:ilvl w:val="0"/>
          <w:numId w:val="40"/>
        </w:numPr>
        <w:rPr>
          <w:rFonts w:ascii="Times New Roman" w:eastAsia="Times New Roman" w:hAnsi="Times New Roman"/>
          <w:sz w:val="24"/>
          <w:szCs w:val="24"/>
        </w:rPr>
      </w:pPr>
      <w:r w:rsidRPr="00E33D9C">
        <w:rPr>
          <w:rFonts w:ascii="Times New Roman" w:eastAsia="Times New Roman" w:hAnsi="Times New Roman"/>
          <w:sz w:val="24"/>
          <w:szCs w:val="24"/>
        </w:rPr>
        <w:t>Triennial Review Process.</w:t>
      </w:r>
      <w:r w:rsidR="00F360ED">
        <w:rPr>
          <w:rFonts w:ascii="Times New Roman" w:eastAsia="Times New Roman" w:hAnsi="Times New Roman"/>
          <w:sz w:val="24"/>
          <w:szCs w:val="24"/>
        </w:rPr>
        <w:t xml:space="preserve"> </w:t>
      </w:r>
      <w:r w:rsidRPr="00E33D9C" w:rsidR="00893ABE">
        <w:rPr>
          <w:rFonts w:ascii="Times New Roman" w:eastAsia="Times New Roman" w:hAnsi="Times New Roman"/>
          <w:sz w:val="24"/>
          <w:szCs w:val="24"/>
        </w:rPr>
        <w:t xml:space="preserve">FTA </w:t>
      </w:r>
      <w:r w:rsidRPr="00E33D9C" w:rsidR="00E06335">
        <w:rPr>
          <w:rFonts w:ascii="Times New Roman" w:eastAsia="Times New Roman" w:hAnsi="Times New Roman"/>
          <w:sz w:val="24"/>
          <w:szCs w:val="24"/>
        </w:rPr>
        <w:t>will</w:t>
      </w:r>
      <w:r w:rsidRPr="00E33D9C" w:rsidR="00893ABE">
        <w:rPr>
          <w:rFonts w:ascii="Times New Roman" w:eastAsia="Times New Roman" w:hAnsi="Times New Roman"/>
          <w:sz w:val="24"/>
          <w:szCs w:val="24"/>
        </w:rPr>
        <w:t xml:space="preserve"> ensure compliance with this </w:t>
      </w:r>
      <w:r w:rsidRPr="00E33D9C" w:rsidR="001276FE">
        <w:rPr>
          <w:rFonts w:ascii="Times New Roman" w:eastAsia="Times New Roman" w:hAnsi="Times New Roman"/>
          <w:sz w:val="24"/>
          <w:szCs w:val="24"/>
        </w:rPr>
        <w:t xml:space="preserve">regulation </w:t>
      </w:r>
      <w:r w:rsidRPr="00E33D9C" w:rsidR="00893ABE">
        <w:rPr>
          <w:rFonts w:ascii="Times New Roman" w:eastAsia="Times New Roman" w:hAnsi="Times New Roman"/>
          <w:sz w:val="24"/>
          <w:szCs w:val="24"/>
        </w:rPr>
        <w:t>through its Triennial Review oversight process.</w:t>
      </w:r>
      <w:r w:rsidR="00F360ED">
        <w:rPr>
          <w:rFonts w:ascii="Times New Roman" w:eastAsia="Times New Roman" w:hAnsi="Times New Roman"/>
          <w:sz w:val="24"/>
          <w:szCs w:val="24"/>
        </w:rPr>
        <w:t xml:space="preserve"> </w:t>
      </w:r>
      <w:r w:rsidRPr="00E33D9C" w:rsidR="00893ABE">
        <w:rPr>
          <w:rFonts w:ascii="Times New Roman" w:eastAsia="Times New Roman" w:hAnsi="Times New Roman"/>
          <w:sz w:val="24"/>
          <w:szCs w:val="24"/>
        </w:rPr>
        <w:t xml:space="preserve">FTA </w:t>
      </w:r>
      <w:r w:rsidRPr="00E33D9C" w:rsidR="00E06335">
        <w:rPr>
          <w:rFonts w:ascii="Times New Roman" w:eastAsia="Times New Roman" w:hAnsi="Times New Roman"/>
          <w:sz w:val="24"/>
          <w:szCs w:val="24"/>
        </w:rPr>
        <w:t>will</w:t>
      </w:r>
      <w:r w:rsidRPr="00E33D9C" w:rsidR="00893ABE">
        <w:rPr>
          <w:rFonts w:ascii="Times New Roman" w:eastAsia="Times New Roman" w:hAnsi="Times New Roman"/>
          <w:sz w:val="24"/>
          <w:szCs w:val="24"/>
        </w:rPr>
        <w:t xml:space="preserve"> incorporate q</w:t>
      </w:r>
      <w:r w:rsidRPr="00E33D9C">
        <w:rPr>
          <w:rFonts w:ascii="Times New Roman" w:eastAsia="Times New Roman" w:hAnsi="Times New Roman"/>
          <w:sz w:val="24"/>
          <w:szCs w:val="24"/>
        </w:rPr>
        <w:t xml:space="preserve">uestions </w:t>
      </w:r>
      <w:r w:rsidRPr="00E33D9C" w:rsidR="008F3B1B">
        <w:rPr>
          <w:rFonts w:ascii="Times New Roman" w:eastAsia="Times New Roman" w:hAnsi="Times New Roman"/>
          <w:sz w:val="24"/>
          <w:szCs w:val="24"/>
        </w:rPr>
        <w:t xml:space="preserve">specific to the </w:t>
      </w:r>
      <w:r w:rsidRPr="00E33D9C" w:rsidR="001276FE">
        <w:rPr>
          <w:rFonts w:ascii="Times New Roman" w:eastAsia="Times New Roman" w:hAnsi="Times New Roman"/>
          <w:sz w:val="24"/>
          <w:szCs w:val="24"/>
        </w:rPr>
        <w:t>PTASP regulation</w:t>
      </w:r>
      <w:r w:rsidRPr="00E33D9C" w:rsidR="00893ABE">
        <w:rPr>
          <w:rFonts w:ascii="Times New Roman" w:eastAsia="Times New Roman" w:hAnsi="Times New Roman"/>
          <w:sz w:val="24"/>
          <w:szCs w:val="24"/>
        </w:rPr>
        <w:t xml:space="preserve"> </w:t>
      </w:r>
      <w:r w:rsidRPr="00E33D9C">
        <w:rPr>
          <w:rFonts w:ascii="Times New Roman" w:eastAsia="Times New Roman" w:hAnsi="Times New Roman"/>
          <w:sz w:val="24"/>
          <w:szCs w:val="24"/>
        </w:rPr>
        <w:t xml:space="preserve">into </w:t>
      </w:r>
      <w:r w:rsidRPr="00E33D9C" w:rsidR="008F3B1B">
        <w:rPr>
          <w:rFonts w:ascii="Times New Roman" w:eastAsia="Times New Roman" w:hAnsi="Times New Roman"/>
          <w:sz w:val="24"/>
          <w:szCs w:val="24"/>
        </w:rPr>
        <w:t xml:space="preserve">FTA’s existing </w:t>
      </w:r>
      <w:r w:rsidRPr="00E33D9C" w:rsidR="00893ABE">
        <w:rPr>
          <w:rFonts w:ascii="Times New Roman" w:eastAsia="Times New Roman" w:hAnsi="Times New Roman"/>
          <w:sz w:val="24"/>
          <w:szCs w:val="24"/>
        </w:rPr>
        <w:t xml:space="preserve">oversight </w:t>
      </w:r>
      <w:r w:rsidRPr="00E33D9C">
        <w:rPr>
          <w:rFonts w:ascii="Times New Roman" w:eastAsia="Times New Roman" w:hAnsi="Times New Roman"/>
          <w:sz w:val="24"/>
          <w:szCs w:val="24"/>
        </w:rPr>
        <w:t>questionnaire</w:t>
      </w:r>
      <w:r w:rsidRPr="00E33D9C" w:rsidR="00893ABE">
        <w:rPr>
          <w:rFonts w:ascii="Times New Roman" w:eastAsia="Times New Roman" w:hAnsi="Times New Roman"/>
          <w:sz w:val="24"/>
          <w:szCs w:val="24"/>
        </w:rPr>
        <w:t xml:space="preserve"> for transit agencies</w:t>
      </w:r>
      <w:r w:rsidRPr="00E33D9C">
        <w:rPr>
          <w:rFonts w:ascii="Times New Roman" w:eastAsia="Times New Roman" w:hAnsi="Times New Roman"/>
          <w:sz w:val="24"/>
          <w:szCs w:val="24"/>
        </w:rPr>
        <w:t xml:space="preserve"> to </w:t>
      </w:r>
      <w:r w:rsidRPr="00E33D9C" w:rsidR="000818A3">
        <w:rPr>
          <w:rFonts w:ascii="Times New Roman" w:eastAsia="Times New Roman" w:hAnsi="Times New Roman"/>
          <w:sz w:val="24"/>
          <w:szCs w:val="24"/>
        </w:rPr>
        <w:t xml:space="preserve">evaluate </w:t>
      </w:r>
      <w:r w:rsidRPr="00E33D9C">
        <w:rPr>
          <w:rFonts w:ascii="Times New Roman" w:eastAsia="Times New Roman" w:hAnsi="Times New Roman"/>
          <w:sz w:val="24"/>
          <w:szCs w:val="24"/>
        </w:rPr>
        <w:t>areas of compliance.</w:t>
      </w:r>
    </w:p>
    <w:p w:rsidR="000818A3" w:rsidRPr="00E33D9C" w:rsidP="00E33D9C" w14:paraId="3C9C390D" w14:textId="77777777">
      <w:pPr>
        <w:pStyle w:val="NoSpacing"/>
        <w:ind w:left="720"/>
        <w:rPr>
          <w:rFonts w:ascii="Times New Roman" w:eastAsia="Times New Roman" w:hAnsi="Times New Roman"/>
          <w:sz w:val="24"/>
          <w:szCs w:val="24"/>
        </w:rPr>
      </w:pPr>
    </w:p>
    <w:p w:rsidR="00BC5E37" w:rsidRPr="00E33D9C" w:rsidP="00E33D9C" w14:paraId="50457DE4" w14:textId="74868895">
      <w:pPr>
        <w:pStyle w:val="NoSpacing"/>
        <w:numPr>
          <w:ilvl w:val="0"/>
          <w:numId w:val="40"/>
        </w:numPr>
        <w:rPr>
          <w:rFonts w:ascii="Times New Roman" w:eastAsia="Times New Roman" w:hAnsi="Times New Roman"/>
          <w:sz w:val="24"/>
          <w:szCs w:val="24"/>
        </w:rPr>
      </w:pPr>
      <w:r w:rsidRPr="69F9D17C">
        <w:rPr>
          <w:rFonts w:ascii="Times New Roman" w:eastAsia="Times New Roman" w:hAnsi="Times New Roman"/>
          <w:sz w:val="24"/>
          <w:szCs w:val="24"/>
        </w:rPr>
        <w:t>State Management Review Process.</w:t>
      </w:r>
      <w:r w:rsidRPr="69F9D17C" w:rsidR="00F360ED">
        <w:rPr>
          <w:rFonts w:ascii="Times New Roman" w:eastAsia="Times New Roman" w:hAnsi="Times New Roman"/>
          <w:sz w:val="24"/>
          <w:szCs w:val="24"/>
        </w:rPr>
        <w:t xml:space="preserve"> </w:t>
      </w:r>
      <w:r w:rsidRPr="69F9D17C" w:rsidR="00893ABE">
        <w:rPr>
          <w:rFonts w:ascii="Times New Roman" w:eastAsia="Times New Roman" w:hAnsi="Times New Roman"/>
          <w:sz w:val="24"/>
          <w:szCs w:val="24"/>
        </w:rPr>
        <w:t xml:space="preserve">FTA </w:t>
      </w:r>
      <w:r w:rsidRPr="69F9D17C" w:rsidR="000818A3">
        <w:rPr>
          <w:rFonts w:ascii="Times New Roman" w:eastAsia="Times New Roman" w:hAnsi="Times New Roman"/>
          <w:sz w:val="24"/>
          <w:szCs w:val="24"/>
        </w:rPr>
        <w:t xml:space="preserve">also </w:t>
      </w:r>
      <w:r w:rsidRPr="69F9D17C" w:rsidR="00E06335">
        <w:rPr>
          <w:rFonts w:ascii="Times New Roman" w:eastAsia="Times New Roman" w:hAnsi="Times New Roman"/>
          <w:sz w:val="24"/>
          <w:szCs w:val="24"/>
        </w:rPr>
        <w:t xml:space="preserve">will </w:t>
      </w:r>
      <w:r w:rsidRPr="69F9D17C" w:rsidR="00893ABE">
        <w:rPr>
          <w:rFonts w:ascii="Times New Roman" w:eastAsia="Times New Roman" w:hAnsi="Times New Roman"/>
          <w:sz w:val="24"/>
          <w:szCs w:val="24"/>
        </w:rPr>
        <w:t xml:space="preserve">ensure compliance with this </w:t>
      </w:r>
      <w:r w:rsidRPr="69F9D17C" w:rsidR="001276FE">
        <w:rPr>
          <w:rFonts w:ascii="Times New Roman" w:eastAsia="Times New Roman" w:hAnsi="Times New Roman"/>
          <w:sz w:val="24"/>
          <w:szCs w:val="24"/>
        </w:rPr>
        <w:t xml:space="preserve">regulation </w:t>
      </w:r>
      <w:r w:rsidRPr="69F9D17C" w:rsidR="00893ABE">
        <w:rPr>
          <w:rFonts w:ascii="Times New Roman" w:eastAsia="Times New Roman" w:hAnsi="Times New Roman"/>
          <w:sz w:val="24"/>
          <w:szCs w:val="24"/>
        </w:rPr>
        <w:t>through its triennial State Management Review oversight process.</w:t>
      </w:r>
      <w:r w:rsidRPr="69F9D17C" w:rsidR="00F360ED">
        <w:rPr>
          <w:rFonts w:ascii="Times New Roman" w:eastAsia="Times New Roman" w:hAnsi="Times New Roman"/>
          <w:sz w:val="24"/>
          <w:szCs w:val="24"/>
        </w:rPr>
        <w:t xml:space="preserve"> </w:t>
      </w:r>
      <w:r w:rsidRPr="69F9D17C" w:rsidR="00893ABE">
        <w:rPr>
          <w:rFonts w:ascii="Times New Roman" w:eastAsia="Times New Roman" w:hAnsi="Times New Roman"/>
          <w:sz w:val="24"/>
          <w:szCs w:val="24"/>
        </w:rPr>
        <w:t xml:space="preserve">FTA </w:t>
      </w:r>
      <w:r w:rsidRPr="69F9D17C" w:rsidR="00E06335">
        <w:rPr>
          <w:rFonts w:ascii="Times New Roman" w:eastAsia="Times New Roman" w:hAnsi="Times New Roman"/>
          <w:sz w:val="24"/>
          <w:szCs w:val="24"/>
        </w:rPr>
        <w:t>will</w:t>
      </w:r>
      <w:r w:rsidRPr="69F9D17C" w:rsidR="00893ABE">
        <w:rPr>
          <w:rFonts w:ascii="Times New Roman" w:eastAsia="Times New Roman" w:hAnsi="Times New Roman"/>
          <w:sz w:val="24"/>
          <w:szCs w:val="24"/>
        </w:rPr>
        <w:t xml:space="preserve"> incorporate questions specific to the </w:t>
      </w:r>
      <w:r w:rsidRPr="69F9D17C" w:rsidR="001276FE">
        <w:rPr>
          <w:rFonts w:ascii="Times New Roman" w:eastAsia="Times New Roman" w:hAnsi="Times New Roman"/>
          <w:sz w:val="24"/>
          <w:szCs w:val="24"/>
        </w:rPr>
        <w:t>PTASP regulation</w:t>
      </w:r>
      <w:r w:rsidRPr="69F9D17C" w:rsidR="00893ABE">
        <w:rPr>
          <w:rFonts w:ascii="Times New Roman" w:eastAsia="Times New Roman" w:hAnsi="Times New Roman"/>
          <w:sz w:val="24"/>
          <w:szCs w:val="24"/>
        </w:rPr>
        <w:t xml:space="preserve"> into FTA’s existing oversight questionnaire for States to </w:t>
      </w:r>
      <w:r w:rsidRPr="69F9D17C" w:rsidR="000818A3">
        <w:rPr>
          <w:rFonts w:ascii="Times New Roman" w:eastAsia="Times New Roman" w:hAnsi="Times New Roman"/>
          <w:sz w:val="24"/>
          <w:szCs w:val="24"/>
        </w:rPr>
        <w:t xml:space="preserve">evaluate </w:t>
      </w:r>
      <w:r w:rsidRPr="69F9D17C" w:rsidR="00893ABE">
        <w:rPr>
          <w:rFonts w:ascii="Times New Roman" w:eastAsia="Times New Roman" w:hAnsi="Times New Roman"/>
          <w:sz w:val="24"/>
          <w:szCs w:val="24"/>
        </w:rPr>
        <w:t>areas of compliance.</w:t>
      </w:r>
    </w:p>
    <w:p w:rsidR="69F9D17C" w:rsidP="69F9D17C" w14:paraId="2BED41E7" w14:textId="5339E3CE">
      <w:pPr>
        <w:pStyle w:val="NoSpacing"/>
        <w:rPr>
          <w:rFonts w:ascii="Times New Roman" w:eastAsia="Times New Roman" w:hAnsi="Times New Roman"/>
          <w:sz w:val="24"/>
          <w:szCs w:val="24"/>
        </w:rPr>
      </w:pPr>
    </w:p>
    <w:p w:rsidR="00F100A1" w:rsidP="0AB7426F" w14:paraId="5046BFA9" w14:textId="58FECC32">
      <w:pPr>
        <w:pStyle w:val="NoSpacing"/>
        <w:numPr>
          <w:ilvl w:val="0"/>
          <w:numId w:val="40"/>
        </w:numPr>
        <w:rPr>
          <w:rFonts w:eastAsiaTheme="minorEastAsia"/>
          <w:sz w:val="24"/>
          <w:szCs w:val="24"/>
        </w:rPr>
      </w:pPr>
      <w:r w:rsidRPr="0AB7426F">
        <w:rPr>
          <w:rFonts w:ascii="Times New Roman" w:eastAsia="Times New Roman" w:hAnsi="Times New Roman"/>
          <w:sz w:val="24"/>
          <w:szCs w:val="24"/>
        </w:rPr>
        <w:t>Periodic</w:t>
      </w:r>
      <w:r w:rsidRPr="0AB7426F" w:rsidR="6C42EAB9">
        <w:rPr>
          <w:rFonts w:ascii="Times New Roman" w:eastAsia="Times New Roman" w:hAnsi="Times New Roman"/>
          <w:sz w:val="24"/>
          <w:szCs w:val="24"/>
        </w:rPr>
        <w:t xml:space="preserve"> Requests:</w:t>
      </w:r>
      <w:r w:rsidRPr="0AB7426F">
        <w:rPr>
          <w:rFonts w:ascii="Times New Roman" w:eastAsia="Times New Roman" w:hAnsi="Times New Roman"/>
          <w:sz w:val="24"/>
          <w:szCs w:val="24"/>
        </w:rPr>
        <w:t xml:space="preserve"> </w:t>
      </w:r>
      <w:r w:rsidRPr="0AB7426F" w:rsidR="464B550A">
        <w:rPr>
          <w:rFonts w:ascii="Times New Roman" w:eastAsia="Times New Roman" w:hAnsi="Times New Roman" w:cs="Times New Roman"/>
          <w:sz w:val="24"/>
          <w:szCs w:val="24"/>
        </w:rPr>
        <w:t xml:space="preserve">FTA issues periodic requests to </w:t>
      </w:r>
      <w:r w:rsidRPr="0AB7426F" w:rsidR="7B0D4668">
        <w:rPr>
          <w:rFonts w:ascii="Times New Roman" w:eastAsia="Times New Roman" w:hAnsi="Times New Roman" w:cs="Times New Roman"/>
          <w:sz w:val="24"/>
          <w:szCs w:val="24"/>
        </w:rPr>
        <w:t>operators of public transportation systems</w:t>
      </w:r>
      <w:r w:rsidRPr="0AB7426F" w:rsidR="464B550A">
        <w:rPr>
          <w:rFonts w:ascii="Times New Roman" w:eastAsia="Times New Roman" w:hAnsi="Times New Roman" w:cs="Times New Roman"/>
          <w:sz w:val="24"/>
          <w:szCs w:val="24"/>
        </w:rPr>
        <w:t xml:space="preserve"> and States</w:t>
      </w:r>
      <w:r w:rsidRPr="0AB7426F" w:rsidR="79E558DB">
        <w:rPr>
          <w:rFonts w:ascii="Times New Roman" w:eastAsia="Times New Roman" w:hAnsi="Times New Roman" w:cs="Times New Roman"/>
          <w:sz w:val="24"/>
          <w:szCs w:val="24"/>
        </w:rPr>
        <w:t xml:space="preserve"> for information about compliance with the PTASP regulation</w:t>
      </w:r>
      <w:r w:rsidRPr="0AB7426F" w:rsidR="464B550A">
        <w:rPr>
          <w:rFonts w:ascii="Times New Roman" w:eastAsia="Times New Roman" w:hAnsi="Times New Roman" w:cs="Times New Roman"/>
          <w:sz w:val="24"/>
          <w:szCs w:val="24"/>
        </w:rPr>
        <w:t>. This may include Safety Advisories or Safety Directives that require information collection from transit agencies and States. In addition, FTA encourages transit agencies and states to voluntarily report safety concerns to FTA.</w:t>
      </w:r>
    </w:p>
    <w:p w:rsidR="000818A3" w:rsidRPr="000818A3" w:rsidP="000818A3" w14:paraId="14FB6953" w14:textId="77777777"/>
    <w:p w:rsidR="00BC5E37" w:rsidRPr="00A66850" w:rsidP="000818A3" w14:paraId="0C04524C" w14:textId="6F2C76AC">
      <w:r>
        <w:t xml:space="preserve">The purpose of this information is to ensure that the specifications of the </w:t>
      </w:r>
      <w:r w:rsidR="001276FE">
        <w:t xml:space="preserve">regulation </w:t>
      </w:r>
      <w:r>
        <w:t xml:space="preserve">are carried out through a process of self-certification by </w:t>
      </w:r>
      <w:r w:rsidR="00893ABE">
        <w:t xml:space="preserve">a transit </w:t>
      </w:r>
      <w:r>
        <w:t>agency</w:t>
      </w:r>
      <w:r w:rsidR="000818A3">
        <w:t xml:space="preserve"> or State</w:t>
      </w:r>
      <w:r>
        <w:t>.</w:t>
      </w:r>
    </w:p>
    <w:p w:rsidR="00BC5E37" w:rsidRPr="00A66850" w:rsidP="00A66850" w14:paraId="1CD5E97B" w14:textId="77777777">
      <w:pPr>
        <w:pStyle w:val="NoSpacing"/>
        <w:rPr>
          <w:rFonts w:ascii="Times New Roman" w:hAnsi="Times New Roman" w:cs="Times New Roman"/>
          <w:sz w:val="24"/>
          <w:szCs w:val="24"/>
        </w:rPr>
      </w:pPr>
    </w:p>
    <w:p w:rsidR="00BC5E37" w:rsidP="00A66850" w14:paraId="556ACC2E" w14:textId="15DFCE6E">
      <w:r>
        <w:t xml:space="preserve">The </w:t>
      </w:r>
      <w:r w:rsidRPr="00A66850">
        <w:t xml:space="preserve">information </w:t>
      </w:r>
      <w:r w:rsidRPr="00A66850" w:rsidR="00D2013F">
        <w:t xml:space="preserve">collection </w:t>
      </w:r>
      <w:r w:rsidRPr="00A66850">
        <w:t xml:space="preserve">will help guide </w:t>
      </w:r>
      <w:r w:rsidRPr="00A66850" w:rsidR="00D2013F">
        <w:t xml:space="preserve">a transit </w:t>
      </w:r>
      <w:r w:rsidRPr="00A66850">
        <w:t>agency and FTA</w:t>
      </w:r>
      <w:r w:rsidRPr="00A66850" w:rsidR="00D2013F">
        <w:t>’s</w:t>
      </w:r>
      <w:r w:rsidRPr="00A66850">
        <w:t xml:space="preserve"> safety program priorities.</w:t>
      </w:r>
      <w:r w:rsidR="00F360ED">
        <w:t xml:space="preserve"> </w:t>
      </w:r>
      <w:r w:rsidRPr="00A66850">
        <w:t xml:space="preserve">The information will come from the transit agencies </w:t>
      </w:r>
      <w:r w:rsidR="00BD1DF5">
        <w:t xml:space="preserve">through their </w:t>
      </w:r>
      <w:r w:rsidR="001276FE">
        <w:t>ASP</w:t>
      </w:r>
      <w:r w:rsidRPr="00A66850">
        <w:t xml:space="preserve"> drafting and certification processes.</w:t>
      </w:r>
      <w:r w:rsidR="00F360ED">
        <w:t xml:space="preserve"> </w:t>
      </w:r>
      <w:r w:rsidRPr="00A66850" w:rsidR="00D2013F">
        <w:t>FTA anticipates</w:t>
      </w:r>
      <w:r w:rsidRPr="00A66850">
        <w:t xml:space="preserve"> that this improved information flow will broaden an individual </w:t>
      </w:r>
      <w:r w:rsidRPr="00A66850" w:rsidR="00D2013F">
        <w:t xml:space="preserve">transit </w:t>
      </w:r>
      <w:r w:rsidRPr="00A66850">
        <w:t>agency’s experiences in</w:t>
      </w:r>
      <w:r w:rsidR="00E03B43">
        <w:t xml:space="preserve"> implementing a mature </w:t>
      </w:r>
      <w:r w:rsidRPr="00A66850">
        <w:t>SMS.</w:t>
      </w:r>
    </w:p>
    <w:p w:rsidR="00E03B43" w:rsidRPr="00A66850" w:rsidP="00A66850" w14:paraId="7D27D8E6" w14:textId="77777777"/>
    <w:p w:rsidR="005B2455" w:rsidP="004172FB" w14:paraId="5C9F24FC" w14:textId="28520C2A">
      <w:r>
        <w:t>Another important use of the information is to strengthen a transit agency’s SMS processes internally.</w:t>
      </w:r>
      <w:r w:rsidR="00F360ED">
        <w:t xml:space="preserve"> </w:t>
      </w:r>
      <w:r w:rsidR="003B3968">
        <w:t>FTA anticipates that a transit agency’s SMS process</w:t>
      </w:r>
      <w:r w:rsidR="004172FB">
        <w:t>es</w:t>
      </w:r>
      <w:r w:rsidR="003B3968">
        <w:t xml:space="preserve"> will be improved and that safety outcomes will be mitigated or eliminated through the </w:t>
      </w:r>
      <w:r>
        <w:t>requirements for the Accountable Executive</w:t>
      </w:r>
      <w:r w:rsidR="00B86F98">
        <w:t>,</w:t>
      </w:r>
      <w:r>
        <w:t xml:space="preserve"> </w:t>
      </w:r>
      <w:r w:rsidR="00B86F98">
        <w:t xml:space="preserve">and the Safety Committee where applicable, </w:t>
      </w:r>
      <w:r>
        <w:t>to approve plans</w:t>
      </w:r>
      <w:r w:rsidR="003B3968">
        <w:t>,</w:t>
      </w:r>
      <w:r>
        <w:t xml:space="preserve"> for </w:t>
      </w:r>
      <w:r w:rsidR="003B3968">
        <w:t xml:space="preserve">certain </w:t>
      </w:r>
      <w:r>
        <w:t>safety</w:t>
      </w:r>
      <w:r w:rsidR="003B3968">
        <w:t>-related decision-making</w:t>
      </w:r>
      <w:r>
        <w:t xml:space="preserve"> to be elevated</w:t>
      </w:r>
      <w:r w:rsidR="001324C8">
        <w:t xml:space="preserve"> to the </w:t>
      </w:r>
      <w:r w:rsidR="003B3968">
        <w:t>e</w:t>
      </w:r>
      <w:r w:rsidR="001324C8">
        <w:t>xecutive level</w:t>
      </w:r>
      <w:r w:rsidR="003B3968">
        <w:t>,</w:t>
      </w:r>
      <w:r>
        <w:t xml:space="preserve"> and for the involvement of all staff </w:t>
      </w:r>
      <w:r w:rsidR="00E6370E">
        <w:t>to report safety problems</w:t>
      </w:r>
      <w:r>
        <w:t xml:space="preserve"> or issues before they become </w:t>
      </w:r>
      <w:r w:rsidR="00E6370E">
        <w:t>severe</w:t>
      </w:r>
      <w:r>
        <w:t>.</w:t>
      </w:r>
      <w:r w:rsidR="00F360ED">
        <w:t xml:space="preserve"> </w:t>
      </w:r>
      <w:r w:rsidR="004172FB">
        <w:t>SMS establishes a proactive approach to managing safety risk, as opposed to a reactive one.</w:t>
      </w:r>
    </w:p>
    <w:p w:rsidR="004172FB" w:rsidP="004172FB" w14:paraId="605AC3F7" w14:textId="77777777"/>
    <w:p w:rsidR="00DF66D9" w:rsidRPr="00A66850" w:rsidP="006A299E" w14:paraId="151CD491" w14:textId="77777777">
      <w:pPr>
        <w:pStyle w:val="ListParagraph"/>
        <w:keepNext/>
        <w:numPr>
          <w:ilvl w:val="0"/>
          <w:numId w:val="3"/>
        </w:numPr>
        <w:ind w:left="0" w:firstLine="0"/>
        <w:contextualSpacing w:val="0"/>
        <w:rPr>
          <w:b/>
        </w:rPr>
      </w:pPr>
      <w:r w:rsidRPr="00A66850">
        <w:rPr>
          <w:b/>
        </w:rPr>
        <w:t>Use of Information Technology and Burden Reduction</w:t>
      </w:r>
    </w:p>
    <w:p w:rsidR="00A75EC7" w:rsidRPr="00A66850" w:rsidP="006A299E" w14:paraId="0E137F7E" w14:textId="77777777">
      <w:pPr>
        <w:pStyle w:val="ListParagraph"/>
        <w:keepNext/>
        <w:ind w:left="0"/>
        <w:contextualSpacing w:val="0"/>
      </w:pPr>
    </w:p>
    <w:p w:rsidR="00A97B44" w:rsidRPr="00A66850" w:rsidP="688B2905" w14:paraId="1D0EBCD2" w14:textId="4EDCE80E">
      <w:pPr>
        <w:pStyle w:val="ListParagraph"/>
        <w:ind w:left="0"/>
      </w:pPr>
      <w:r>
        <w:t>FTA require</w:t>
      </w:r>
      <w:r w:rsidR="00E06335">
        <w:t>s</w:t>
      </w:r>
      <w:r>
        <w:t xml:space="preserve"> t</w:t>
      </w:r>
      <w:r w:rsidR="00A75EC7">
        <w:t xml:space="preserve">ransit agencies and States </w:t>
      </w:r>
      <w:r>
        <w:t>to submit annual certifications and assurances to FTA to ensure compliance with th</w:t>
      </w:r>
      <w:r w:rsidR="00C56397">
        <w:t>e</w:t>
      </w:r>
      <w:r>
        <w:t xml:space="preserve"> </w:t>
      </w:r>
      <w:r w:rsidR="001276FE">
        <w:t>PTASP regulation</w:t>
      </w:r>
      <w:r>
        <w:t>.</w:t>
      </w:r>
      <w:r w:rsidR="00F360ED">
        <w:t xml:space="preserve"> </w:t>
      </w:r>
      <w:r>
        <w:t>Transit agencies and</w:t>
      </w:r>
      <w:r>
        <w:t xml:space="preserve"> State</w:t>
      </w:r>
      <w:r>
        <w:t>s</w:t>
      </w:r>
      <w:r>
        <w:t xml:space="preserve"> </w:t>
      </w:r>
      <w:r>
        <w:t>may</w:t>
      </w:r>
      <w:r>
        <w:t xml:space="preserve"> generate and use any processes desired, but submissions and compliance </w:t>
      </w:r>
      <w:r>
        <w:t xml:space="preserve">would not </w:t>
      </w:r>
      <w:r>
        <w:t>require</w:t>
      </w:r>
      <w:r>
        <w:t xml:space="preserve"> information technology that is</w:t>
      </w:r>
      <w:r>
        <w:t xml:space="preserve"> more complex than a word processing or spreadsheet file.</w:t>
      </w:r>
      <w:r w:rsidR="00FA74E3">
        <w:t xml:space="preserve"> </w:t>
      </w:r>
    </w:p>
    <w:p w:rsidR="00E6370E" w:rsidRPr="00A66850" w:rsidP="00A66850" w14:paraId="596E9908" w14:textId="77777777">
      <w:pPr>
        <w:pStyle w:val="ListParagraph"/>
        <w:ind w:left="0"/>
        <w:contextualSpacing w:val="0"/>
        <w:rPr>
          <w:rStyle w:val="CommentReference"/>
          <w:sz w:val="24"/>
          <w:szCs w:val="24"/>
        </w:rPr>
      </w:pPr>
    </w:p>
    <w:p w:rsidR="00A97B44" w:rsidRPr="00A66850" w:rsidP="688B2905" w14:paraId="02F1B275" w14:textId="0E46E695">
      <w:pPr>
        <w:pStyle w:val="ListParagraph"/>
        <w:ind w:left="0"/>
      </w:pPr>
      <w:r>
        <w:t>T</w:t>
      </w:r>
      <w:r>
        <w:t>he data and information collected will be entered, stored, transmitted</w:t>
      </w:r>
      <w:r w:rsidR="003E01FB">
        <w:t>,</w:t>
      </w:r>
      <w:r>
        <w:t xml:space="preserve"> and circulated </w:t>
      </w:r>
      <w:r w:rsidR="00FA74E3">
        <w:t xml:space="preserve">100% </w:t>
      </w:r>
      <w:r>
        <w:t xml:space="preserve">electronically, both internal to the agency and in </w:t>
      </w:r>
      <w:r w:rsidR="00E6370E">
        <w:t>external communications</w:t>
      </w:r>
      <w:r>
        <w:t xml:space="preserve"> from agency</w:t>
      </w:r>
      <w:r w:rsidR="00394108">
        <w:t xml:space="preserve"> </w:t>
      </w:r>
      <w:r>
        <w:t>to</w:t>
      </w:r>
      <w:r w:rsidR="00394108">
        <w:t xml:space="preserve"> </w:t>
      </w:r>
      <w:r>
        <w:t xml:space="preserve">State, and </w:t>
      </w:r>
      <w:r w:rsidR="00394108">
        <w:t xml:space="preserve">from </w:t>
      </w:r>
      <w:r>
        <w:t>agency</w:t>
      </w:r>
      <w:r w:rsidR="00394108">
        <w:t xml:space="preserve"> </w:t>
      </w:r>
      <w:r>
        <w:t>to</w:t>
      </w:r>
      <w:r w:rsidR="00394108">
        <w:t xml:space="preserve"> </w:t>
      </w:r>
      <w:r>
        <w:t xml:space="preserve">FTA </w:t>
      </w:r>
      <w:r w:rsidR="00E6370E">
        <w:t>submissions</w:t>
      </w:r>
      <w:r>
        <w:t>.</w:t>
      </w:r>
    </w:p>
    <w:p w:rsidR="00A97B44" w:rsidRPr="00A66850" w:rsidP="00A66850" w14:paraId="0D57F139" w14:textId="77777777">
      <w:pPr>
        <w:pStyle w:val="ListParagraph"/>
        <w:ind w:left="0"/>
        <w:contextualSpacing w:val="0"/>
      </w:pPr>
    </w:p>
    <w:p w:rsidR="00A97B44" w:rsidRPr="00A66850" w:rsidP="688B2905" w14:paraId="01CDCC77" w14:textId="322149EF">
      <w:pPr>
        <w:pStyle w:val="ListParagraph"/>
        <w:ind w:left="0"/>
      </w:pPr>
      <w:r>
        <w:t xml:space="preserve">Transit agencies and States </w:t>
      </w:r>
      <w:r w:rsidR="003E01FB">
        <w:t>may</w:t>
      </w:r>
      <w:r>
        <w:t xml:space="preserve"> use </w:t>
      </w:r>
      <w:r w:rsidR="001276FE">
        <w:t>ASP</w:t>
      </w:r>
      <w:r>
        <w:t xml:space="preserve"> </w:t>
      </w:r>
      <w:r>
        <w:t xml:space="preserve">templates </w:t>
      </w:r>
      <w:r>
        <w:t xml:space="preserve">issued </w:t>
      </w:r>
      <w:r>
        <w:t>by FTA</w:t>
      </w:r>
      <w:r w:rsidR="00FA74E3">
        <w:t xml:space="preserve"> (attached in supplementary documents section of ROCIS)</w:t>
      </w:r>
      <w:r>
        <w:t>,</w:t>
      </w:r>
      <w:r>
        <w:t xml:space="preserve"> which </w:t>
      </w:r>
      <w:r w:rsidR="00C56397">
        <w:t>are publicly available on FTA’s website</w:t>
      </w:r>
      <w:r>
        <w:t>.</w:t>
      </w:r>
    </w:p>
    <w:p w:rsidR="00A97B44" w:rsidRPr="00A66850" w:rsidP="00A66850" w14:paraId="4F29908D" w14:textId="77777777">
      <w:pPr>
        <w:pStyle w:val="ListParagraph"/>
        <w:ind w:left="0"/>
        <w:contextualSpacing w:val="0"/>
      </w:pPr>
    </w:p>
    <w:p w:rsidR="00674041" w:rsidP="00A66850" w14:paraId="28D48AA8" w14:textId="516157C4">
      <w:pPr>
        <w:pStyle w:val="ListParagraph"/>
        <w:ind w:left="0"/>
        <w:contextualSpacing w:val="0"/>
      </w:pPr>
      <w:r>
        <w:t xml:space="preserve">FTA’s existing </w:t>
      </w:r>
      <w:r w:rsidR="0072591D">
        <w:t xml:space="preserve">TrAMS </w:t>
      </w:r>
      <w:r w:rsidR="001C19D9">
        <w:t xml:space="preserve">system </w:t>
      </w:r>
      <w:r>
        <w:t xml:space="preserve">will be used by </w:t>
      </w:r>
      <w:r w:rsidR="00394108">
        <w:t xml:space="preserve">transit agencies and </w:t>
      </w:r>
      <w:r>
        <w:t xml:space="preserve">States for the submission of annual certification </w:t>
      </w:r>
      <w:r w:rsidR="00734FCA">
        <w:t xml:space="preserve">and assurance </w:t>
      </w:r>
      <w:r w:rsidR="00C56397">
        <w:t>information</w:t>
      </w:r>
      <w:r>
        <w:t>.</w:t>
      </w:r>
      <w:r w:rsidR="00F360ED">
        <w:t xml:space="preserve"> </w:t>
      </w:r>
      <w:r w:rsidR="00746EF9">
        <w:t xml:space="preserve">FTA will not be collecting </w:t>
      </w:r>
      <w:r w:rsidR="001276FE">
        <w:t>ASPs</w:t>
      </w:r>
      <w:r w:rsidR="00746EF9">
        <w:t xml:space="preserve"> on</w:t>
      </w:r>
      <w:r w:rsidR="004A0BBF">
        <w:t xml:space="preserve"> an annual basis</w:t>
      </w:r>
      <w:r w:rsidR="00746EF9">
        <w:t xml:space="preserve">, but it will be </w:t>
      </w:r>
      <w:r w:rsidR="004A0BBF">
        <w:t xml:space="preserve">requiring transit agencies and States to annually self-certify, in accordance with FTA’s established policies and procedures, that they are complying with </w:t>
      </w:r>
      <w:r w:rsidR="001276FE">
        <w:t>the PTASP regulation</w:t>
      </w:r>
      <w:r w:rsidR="004A0BBF">
        <w:t>.</w:t>
      </w:r>
    </w:p>
    <w:p w:rsidR="00394108" w:rsidRPr="00A66850" w:rsidP="00A66850" w14:paraId="7CD81336" w14:textId="77777777">
      <w:pPr>
        <w:pStyle w:val="ListParagraph"/>
        <w:ind w:left="0"/>
        <w:contextualSpacing w:val="0"/>
      </w:pPr>
    </w:p>
    <w:p w:rsidR="00DF66D9" w:rsidRPr="00A66850" w:rsidP="006A299E" w14:paraId="08660A10" w14:textId="77777777">
      <w:pPr>
        <w:pStyle w:val="ListParagraph"/>
        <w:keepNext/>
        <w:numPr>
          <w:ilvl w:val="0"/>
          <w:numId w:val="3"/>
        </w:numPr>
        <w:ind w:left="0" w:firstLine="0"/>
        <w:contextualSpacing w:val="0"/>
        <w:rPr>
          <w:b/>
        </w:rPr>
      </w:pPr>
      <w:r w:rsidRPr="00A66850">
        <w:rPr>
          <w:b/>
        </w:rPr>
        <w:t>Efforts to Identify Duplication and Use of Similar Information</w:t>
      </w:r>
    </w:p>
    <w:p w:rsidR="009A35AC" w:rsidRPr="00A66850" w:rsidP="006A299E" w14:paraId="4D9CBCA3" w14:textId="77777777">
      <w:pPr>
        <w:pStyle w:val="ListParagraph"/>
        <w:keepNext/>
        <w:ind w:left="0"/>
        <w:contextualSpacing w:val="0"/>
      </w:pPr>
    </w:p>
    <w:p w:rsidR="006C70CC" w:rsidP="00A66850" w14:paraId="7D815151" w14:textId="15CEAE93">
      <w:pPr>
        <w:pStyle w:val="ListParagraph"/>
        <w:ind w:left="0"/>
        <w:contextualSpacing w:val="0"/>
      </w:pPr>
      <w:r>
        <w:t>No other Federal agency or operating administration within the U.S. Department of Transportation collects PTASP regulation certification information.</w:t>
      </w:r>
      <w:r w:rsidR="00F360ED">
        <w:t xml:space="preserve"> </w:t>
      </w:r>
      <w:r>
        <w:t>There is no duplication of information.</w:t>
      </w:r>
    </w:p>
    <w:p w:rsidR="00B01EB6" w:rsidRPr="00A66850" w:rsidP="00A66850" w14:paraId="70AB02DB" w14:textId="77777777">
      <w:pPr>
        <w:pStyle w:val="ListParagraph"/>
        <w:ind w:left="0"/>
        <w:contextualSpacing w:val="0"/>
      </w:pPr>
    </w:p>
    <w:p w:rsidR="00DF66D9" w:rsidRPr="00A66850" w:rsidP="00B01EB6" w14:paraId="6B9990DB" w14:textId="77777777">
      <w:pPr>
        <w:pStyle w:val="ListParagraph"/>
        <w:keepNext/>
        <w:numPr>
          <w:ilvl w:val="0"/>
          <w:numId w:val="3"/>
        </w:numPr>
        <w:ind w:hanging="720"/>
        <w:contextualSpacing w:val="0"/>
        <w:rPr>
          <w:b/>
        </w:rPr>
      </w:pPr>
      <w:r w:rsidRPr="00A66850">
        <w:rPr>
          <w:b/>
        </w:rPr>
        <w:t>Impact on Small Businesses or Other Small Entities</w:t>
      </w:r>
    </w:p>
    <w:p w:rsidR="009A35AC" w:rsidRPr="00A66850" w:rsidP="00B01EB6" w14:paraId="7D5700CA" w14:textId="77777777">
      <w:pPr>
        <w:pStyle w:val="ListParagraph"/>
        <w:keepNext/>
        <w:ind w:left="0"/>
        <w:contextualSpacing w:val="0"/>
      </w:pPr>
    </w:p>
    <w:p w:rsidR="0095131B" w:rsidP="00A66850" w14:paraId="069ADDF8" w14:textId="21F40F07">
      <w:r w:rsidRPr="00504978">
        <w:t>The information collected does not involve small businesses.</w:t>
      </w:r>
    </w:p>
    <w:p w:rsidR="006B3D67" w:rsidRPr="00A66850" w:rsidP="00A66850" w14:paraId="0D2879D0" w14:textId="77777777">
      <w:pPr>
        <w:pStyle w:val="ListParagraph"/>
        <w:ind w:left="0"/>
        <w:contextualSpacing w:val="0"/>
      </w:pPr>
    </w:p>
    <w:p w:rsidR="00DF66D9" w:rsidRPr="00A66850" w:rsidP="00F46DBC" w14:paraId="64D5CEB7" w14:textId="77777777">
      <w:pPr>
        <w:pStyle w:val="ListParagraph"/>
        <w:keepNext/>
        <w:numPr>
          <w:ilvl w:val="0"/>
          <w:numId w:val="3"/>
        </w:numPr>
        <w:ind w:hanging="720"/>
        <w:contextualSpacing w:val="0"/>
        <w:rPr>
          <w:b/>
        </w:rPr>
      </w:pPr>
      <w:r w:rsidRPr="00A66850">
        <w:rPr>
          <w:b/>
        </w:rPr>
        <w:t>Consequences of Collecting the Information Less Frequently</w:t>
      </w:r>
    </w:p>
    <w:p w:rsidR="009A35AC" w:rsidRPr="00A66850" w:rsidP="00F46DBC" w14:paraId="79683E7C" w14:textId="77777777">
      <w:pPr>
        <w:pStyle w:val="ListParagraph"/>
        <w:keepNext/>
        <w:ind w:left="0"/>
        <w:contextualSpacing w:val="0"/>
      </w:pPr>
    </w:p>
    <w:p w:rsidR="006A2039" w:rsidRPr="00A66850" w:rsidP="00A66850" w14:paraId="2F320C7D" w14:textId="29C52FA4">
      <w:pPr>
        <w:pStyle w:val="ListParagraph"/>
        <w:ind w:left="0"/>
        <w:contextualSpacing w:val="0"/>
      </w:pPr>
      <w:r w:rsidRPr="00A66850">
        <w:t xml:space="preserve">Any delay or curtailment in the self-reporting of this information would hamper the ability of FTA to monitor </w:t>
      </w:r>
      <w:r w:rsidR="00F46DBC">
        <w:t xml:space="preserve">the implementation of, and compliance with, </w:t>
      </w:r>
      <w:r w:rsidR="00504978">
        <w:t>the PTASP regulation</w:t>
      </w:r>
      <w:r w:rsidRPr="00A66850">
        <w:t xml:space="preserve"> and the improvements in safety management.</w:t>
      </w:r>
      <w:r w:rsidR="00F360ED">
        <w:t xml:space="preserve"> </w:t>
      </w:r>
      <w:r w:rsidR="00F46DBC">
        <w:t>A</w:t>
      </w:r>
      <w:r w:rsidRPr="00A66850">
        <w:t>ddition</w:t>
      </w:r>
      <w:r w:rsidR="00F46DBC">
        <w:t>ally</w:t>
      </w:r>
      <w:r w:rsidRPr="00A66850">
        <w:t xml:space="preserve">, without the information requirements in the rule, FTA would be unable to adequately determine compliance with </w:t>
      </w:r>
      <w:r w:rsidRPr="00A66850" w:rsidR="006B3D67">
        <w:t xml:space="preserve">the statutory </w:t>
      </w:r>
      <w:r w:rsidRPr="00A66850">
        <w:t>requirements</w:t>
      </w:r>
      <w:r w:rsidRPr="00A66850" w:rsidR="006B3D67">
        <w:t xml:space="preserve"> of</w:t>
      </w:r>
      <w:r w:rsidRPr="00A66850">
        <w:t xml:space="preserve"> 49 U.S.C. </w:t>
      </w:r>
      <w:r w:rsidRPr="00A66850" w:rsidR="006B3D67">
        <w:rPr>
          <w:rFonts w:eastAsia="Calibri"/>
        </w:rPr>
        <w:t xml:space="preserve">§ </w:t>
      </w:r>
      <w:r w:rsidRPr="00A66850">
        <w:t>5329</w:t>
      </w:r>
      <w:r w:rsidRPr="00A66850" w:rsidR="006B3D67">
        <w:t>(d)</w:t>
      </w:r>
      <w:r w:rsidRPr="00A66850">
        <w:t>.</w:t>
      </w:r>
    </w:p>
    <w:p w:rsidR="006B3D67" w:rsidRPr="00A66850" w:rsidP="00A66850" w14:paraId="1AE07568" w14:textId="77777777">
      <w:pPr>
        <w:pStyle w:val="ListParagraph"/>
        <w:ind w:left="0"/>
        <w:contextualSpacing w:val="0"/>
      </w:pPr>
    </w:p>
    <w:p w:rsidR="00DF66D9" w:rsidRPr="00A66850" w:rsidP="00954D85" w14:paraId="3004DFB0" w14:textId="77777777">
      <w:pPr>
        <w:pStyle w:val="ListParagraph"/>
        <w:keepNext/>
        <w:numPr>
          <w:ilvl w:val="0"/>
          <w:numId w:val="3"/>
        </w:numPr>
        <w:ind w:hanging="720"/>
        <w:contextualSpacing w:val="0"/>
        <w:rPr>
          <w:b/>
        </w:rPr>
      </w:pPr>
      <w:r w:rsidRPr="00A66850">
        <w:rPr>
          <w:b/>
        </w:rPr>
        <w:t>Special Circumstance</w:t>
      </w:r>
      <w:r w:rsidRPr="00A66850" w:rsidR="00E26455">
        <w:rPr>
          <w:b/>
        </w:rPr>
        <w:t>s</w:t>
      </w:r>
      <w:r w:rsidRPr="00A66850">
        <w:rPr>
          <w:b/>
        </w:rPr>
        <w:t xml:space="preserve"> that </w:t>
      </w:r>
      <w:r w:rsidRPr="00A66850" w:rsidR="006B3D67">
        <w:rPr>
          <w:b/>
        </w:rPr>
        <w:t>R</w:t>
      </w:r>
      <w:r w:rsidRPr="00A66850">
        <w:rPr>
          <w:b/>
        </w:rPr>
        <w:t xml:space="preserve">equire the </w:t>
      </w:r>
      <w:r w:rsidRPr="00A66850" w:rsidR="006B3D67">
        <w:rPr>
          <w:b/>
        </w:rPr>
        <w:t>C</w:t>
      </w:r>
      <w:r w:rsidRPr="00A66850">
        <w:rPr>
          <w:b/>
        </w:rPr>
        <w:t xml:space="preserve">ollection to be </w:t>
      </w:r>
      <w:r w:rsidRPr="00A66850" w:rsidR="006B3D67">
        <w:rPr>
          <w:b/>
        </w:rPr>
        <w:t>C</w:t>
      </w:r>
      <w:r w:rsidRPr="00A66850">
        <w:rPr>
          <w:b/>
        </w:rPr>
        <w:t xml:space="preserve">onducted in a </w:t>
      </w:r>
      <w:r w:rsidRPr="00A66850" w:rsidR="006B3D67">
        <w:rPr>
          <w:b/>
        </w:rPr>
        <w:t>M</w:t>
      </w:r>
      <w:r w:rsidRPr="00A66850">
        <w:rPr>
          <w:b/>
        </w:rPr>
        <w:t xml:space="preserve">anner </w:t>
      </w:r>
      <w:r w:rsidRPr="00A66850" w:rsidR="006B3D67">
        <w:rPr>
          <w:b/>
        </w:rPr>
        <w:t>I</w:t>
      </w:r>
      <w:r w:rsidRPr="00A66850">
        <w:rPr>
          <w:b/>
        </w:rPr>
        <w:t xml:space="preserve">nconsistent with OMB </w:t>
      </w:r>
      <w:r w:rsidRPr="00A66850" w:rsidR="006B3D67">
        <w:rPr>
          <w:b/>
        </w:rPr>
        <w:t>G</w:t>
      </w:r>
      <w:r w:rsidRPr="00A66850">
        <w:rPr>
          <w:b/>
        </w:rPr>
        <w:t>uidelines</w:t>
      </w:r>
    </w:p>
    <w:p w:rsidR="009A35AC" w:rsidRPr="00C830A5" w:rsidP="00954D85" w14:paraId="460632A9" w14:textId="77777777">
      <w:pPr>
        <w:pStyle w:val="ListParagraph"/>
        <w:keepNext/>
        <w:ind w:left="0"/>
        <w:contextualSpacing w:val="0"/>
      </w:pPr>
    </w:p>
    <w:p w:rsidR="006A2039" w:rsidRPr="00C830A5" w:rsidP="00A66850" w14:paraId="76D2616C" w14:textId="03625066">
      <w:pPr>
        <w:pStyle w:val="ListParagraph"/>
        <w:ind w:left="0"/>
        <w:contextualSpacing w:val="0"/>
      </w:pPr>
      <w:r w:rsidRPr="00C830A5">
        <w:t>There are no special circumstances that require</w:t>
      </w:r>
      <w:r w:rsidRPr="00C830A5" w:rsidR="006B3D67">
        <w:t xml:space="preserve"> the</w:t>
      </w:r>
      <w:r w:rsidRPr="00C830A5">
        <w:t xml:space="preserve"> collection of information inconsistent with </w:t>
      </w:r>
      <w:r w:rsidRPr="00C830A5" w:rsidR="006B3D67">
        <w:t xml:space="preserve">any </w:t>
      </w:r>
      <w:r w:rsidRPr="00C830A5" w:rsidR="000D426C">
        <w:t xml:space="preserve">OMB </w:t>
      </w:r>
      <w:r w:rsidRPr="00C830A5" w:rsidR="00641755">
        <w:t>guidelines</w:t>
      </w:r>
      <w:r w:rsidRPr="00C830A5">
        <w:t>.</w:t>
      </w:r>
    </w:p>
    <w:p w:rsidR="00DF66D9" w:rsidRPr="00C830A5" w:rsidP="00A66850" w14:paraId="428E9843" w14:textId="77777777">
      <w:pPr>
        <w:pStyle w:val="ListParagraph"/>
        <w:ind w:left="0"/>
        <w:contextualSpacing w:val="0"/>
      </w:pPr>
    </w:p>
    <w:p w:rsidR="00DF66D9" w:rsidRPr="00C830A5" w:rsidP="00954D85" w14:paraId="73742B29" w14:textId="77777777">
      <w:pPr>
        <w:pStyle w:val="ListParagraph"/>
        <w:keepNext/>
        <w:numPr>
          <w:ilvl w:val="0"/>
          <w:numId w:val="3"/>
        </w:numPr>
        <w:ind w:hanging="720"/>
        <w:contextualSpacing w:val="0"/>
        <w:rPr>
          <w:b/>
        </w:rPr>
      </w:pPr>
      <w:bookmarkStart w:id="0" w:name="_Hlk106799621"/>
      <w:r w:rsidRPr="00C830A5">
        <w:rPr>
          <w:b/>
        </w:rPr>
        <w:t>Comments in Response to the Federal Register Notices and Efforts to Consult Outside Agenc</w:t>
      </w:r>
      <w:r w:rsidRPr="00C830A5" w:rsidR="006B3D67">
        <w:rPr>
          <w:b/>
        </w:rPr>
        <w:t>ies</w:t>
      </w:r>
    </w:p>
    <w:p w:rsidR="00AB7458" w:rsidP="00AB7458" w14:paraId="5F31D223" w14:textId="77777777">
      <w:pPr>
        <w:keepNext/>
        <w:rPr>
          <w:b/>
        </w:rPr>
      </w:pPr>
    </w:p>
    <w:p w:rsidR="00AB7458" w:rsidP="00AB7458" w14:paraId="1D6BCF88" w14:textId="77777777">
      <w:pPr>
        <w:pStyle w:val="ListParagraph"/>
        <w:ind w:left="0"/>
      </w:pPr>
      <w:r>
        <w:t xml:space="preserve">A </w:t>
      </w:r>
      <w:r w:rsidRPr="00126D23">
        <w:t>Final</w:t>
      </w:r>
      <w:r>
        <w:t xml:space="preserve"> Rulemaking was published on April 11, 2024 Vol. 89, No. 71 pages 25694-25744.</w:t>
      </w:r>
    </w:p>
    <w:p w:rsidR="000B3B61" w:rsidRPr="00C830A5" w:rsidP="00E36312" w14:paraId="6811900B" w14:textId="39EE26C2"/>
    <w:p w:rsidR="004C1857" w:rsidRPr="00C830A5" w:rsidP="7FC443FA" w14:paraId="4FD6F9C7" w14:textId="08860C15">
      <w:pPr>
        <w:pStyle w:val="ListParagraph"/>
        <w:ind w:left="0"/>
      </w:pPr>
      <w:r>
        <w:t xml:space="preserve">A Notice of Proposed Rulemaking was published on </w:t>
      </w:r>
      <w:r w:rsidR="00FA74E3">
        <w:t xml:space="preserve">April </w:t>
      </w:r>
      <w:r w:rsidR="17CBECA6">
        <w:t>26</w:t>
      </w:r>
      <w:r w:rsidR="00FA74E3">
        <w:t xml:space="preserve">, 2023 </w:t>
      </w:r>
      <w:r>
        <w:t xml:space="preserve">Vol. </w:t>
      </w:r>
      <w:r w:rsidR="38511EB9">
        <w:t>88</w:t>
      </w:r>
      <w:r>
        <w:t xml:space="preserve"> No. </w:t>
      </w:r>
      <w:r w:rsidR="47550FBF">
        <w:t>80</w:t>
      </w:r>
      <w:r>
        <w:t xml:space="preserve"> page </w:t>
      </w:r>
      <w:r w:rsidR="708F6D86">
        <w:t>25336</w:t>
      </w:r>
      <w:r>
        <w:t>.</w:t>
      </w:r>
      <w:r w:rsidR="2FFC4296">
        <w:t xml:space="preserve"> The comment period closed on June 26, 2023. FTA received 53 comment submissions to the docket with a total of 636 individual comments on specific topics</w:t>
      </w:r>
      <w:r w:rsidR="005E00E4">
        <w:t xml:space="preserve">, such as </w:t>
      </w:r>
      <w:r w:rsidR="004B7A48">
        <w:t>safety committees, safety risk reduction programs, and administrative questions</w:t>
      </w:r>
      <w:r w:rsidR="00154E1B">
        <w:t>.</w:t>
      </w:r>
      <w:r w:rsidR="004B7A48">
        <w:t xml:space="preserve"> </w:t>
      </w:r>
      <w:r w:rsidR="00C504C4">
        <w:t xml:space="preserve">FTA has revised </w:t>
      </w:r>
      <w:r w:rsidR="00AD2AC9">
        <w:t>previous burden estimates to reflect commenter feedback received during the NPRM process.</w:t>
      </w:r>
    </w:p>
    <w:p w:rsidR="006937C3" w:rsidRPr="00104759" w:rsidP="00A82A57" w14:paraId="75FDE664" w14:textId="77777777">
      <w:pPr>
        <w:spacing w:before="100" w:beforeAutospacing="1" w:after="100" w:afterAutospacing="1"/>
      </w:pPr>
      <w:r w:rsidRPr="00104759">
        <w:t>Changes from the proposed rule were made based on Comments and Decisions made with OST and the White House Infrastructure Implementation Team</w:t>
      </w:r>
    </w:p>
    <w:p w:rsidR="006937C3" w:rsidRPr="00104759" w:rsidP="006937C3" w14:paraId="287C728E" w14:textId="77777777">
      <w:pPr>
        <w:numPr>
          <w:ilvl w:val="0"/>
          <w:numId w:val="47"/>
        </w:numPr>
        <w:spacing w:before="100" w:beforeAutospacing="1" w:after="100" w:afterAutospacing="1"/>
      </w:pPr>
      <w:r w:rsidRPr="00104759">
        <w:t>Safety Risk Mitigations related to the Safety Risk Reduction Program</w:t>
      </w:r>
    </w:p>
    <w:p w:rsidR="006937C3" w:rsidRPr="00104759" w:rsidP="006937C3" w14:paraId="49437E89" w14:textId="77777777">
      <w:pPr>
        <w:numPr>
          <w:ilvl w:val="0"/>
          <w:numId w:val="47"/>
        </w:numPr>
        <w:spacing w:before="100" w:beforeAutospacing="1" w:after="100" w:afterAutospacing="1"/>
      </w:pPr>
      <w:r w:rsidRPr="00104759">
        <w:t>Accountable Executive implementation of various mitigations</w:t>
      </w:r>
    </w:p>
    <w:p w:rsidR="006937C3" w:rsidRPr="00104759" w:rsidP="006937C3" w14:paraId="3D5A3C84" w14:textId="77777777">
      <w:pPr>
        <w:numPr>
          <w:ilvl w:val="0"/>
          <w:numId w:val="47"/>
        </w:numPr>
        <w:spacing w:before="100" w:beforeAutospacing="1" w:after="100" w:afterAutospacing="1"/>
      </w:pPr>
      <w:r w:rsidRPr="00104759">
        <w:t>Safety Committee Procedures</w:t>
      </w:r>
    </w:p>
    <w:p w:rsidR="006937C3" w:rsidRPr="00104759" w:rsidP="006937C3" w14:paraId="49D05943" w14:textId="77777777">
      <w:pPr>
        <w:numPr>
          <w:ilvl w:val="0"/>
          <w:numId w:val="47"/>
        </w:numPr>
        <w:spacing w:before="100" w:beforeAutospacing="1" w:after="100" w:afterAutospacing="1"/>
      </w:pPr>
      <w:r w:rsidRPr="00104759">
        <w:t>Safety Risk Reduction Program integrated into SMS and removal of separate section 673.20</w:t>
      </w:r>
    </w:p>
    <w:p w:rsidR="006937C3" w:rsidRPr="00104759" w:rsidP="006937C3" w14:paraId="58FD39DA" w14:textId="77777777">
      <w:pPr>
        <w:numPr>
          <w:ilvl w:val="0"/>
          <w:numId w:val="47"/>
        </w:numPr>
        <w:spacing w:before="100" w:beforeAutospacing="1" w:after="100" w:afterAutospacing="1"/>
      </w:pPr>
      <w:r w:rsidRPr="00104759">
        <w:t>Safety Committee and Cooperation with Frontline Transit Worker Representatives</w:t>
      </w:r>
    </w:p>
    <w:p w:rsidR="006937C3" w:rsidRPr="00104759" w:rsidP="006937C3" w14:paraId="05A14A39" w14:textId="77777777">
      <w:pPr>
        <w:numPr>
          <w:ilvl w:val="0"/>
          <w:numId w:val="47"/>
        </w:numPr>
        <w:spacing w:before="100" w:beforeAutospacing="1" w:after="100" w:afterAutospacing="1"/>
      </w:pPr>
      <w:r w:rsidRPr="00104759">
        <w:t>FTA Actions to Protect Transit Workers</w:t>
      </w:r>
    </w:p>
    <w:p w:rsidR="006937C3" w:rsidRPr="00104759" w:rsidP="006937C3" w14:paraId="17A92103" w14:textId="77777777">
      <w:pPr>
        <w:numPr>
          <w:ilvl w:val="0"/>
          <w:numId w:val="47"/>
        </w:numPr>
        <w:spacing w:before="100" w:beforeAutospacing="1" w:after="100" w:afterAutospacing="1"/>
      </w:pPr>
      <w:r w:rsidRPr="00104759">
        <w:t>Definitions</w:t>
      </w:r>
    </w:p>
    <w:p w:rsidR="004966F8" w:rsidRPr="00C830A5" w:rsidP="006937C3" w14:paraId="32B645BC" w14:textId="1890B4AA">
      <w:pPr>
        <w:numPr>
          <w:ilvl w:val="0"/>
          <w:numId w:val="47"/>
        </w:numPr>
        <w:spacing w:before="100" w:beforeAutospacing="1" w:after="100" w:afterAutospacing="1"/>
      </w:pPr>
      <w:r w:rsidRPr="00104759">
        <w:t>Economic Analysis</w:t>
      </w:r>
    </w:p>
    <w:p w:rsidR="004C4E6D" w:rsidRPr="00C830A5" w:rsidP="00A66850" w14:paraId="5E953519" w14:textId="15C3EC35">
      <w:pPr>
        <w:pStyle w:val="ListParagraph"/>
        <w:ind w:left="0"/>
      </w:pPr>
      <w:r w:rsidRPr="00C830A5" w:rsidR="00DC7A4A">
        <w:t>In 2019, FTA established the PTASP</w:t>
      </w:r>
      <w:r w:rsidRPr="00C830A5" w:rsidR="00733450">
        <w:t xml:space="preserve"> </w:t>
      </w:r>
      <w:r w:rsidRPr="00C830A5" w:rsidR="00D36327">
        <w:t>Technical Assistance Center (</w:t>
      </w:r>
      <w:r w:rsidRPr="00C830A5" w:rsidR="00DC7A4A">
        <w:t>TAC</w:t>
      </w:r>
      <w:r w:rsidRPr="00C830A5" w:rsidR="00D36327">
        <w:t>)</w:t>
      </w:r>
      <w:r w:rsidRPr="00C830A5" w:rsidR="00DC7A4A">
        <w:t xml:space="preserve"> to provide ongoing and direct technical assistance to agencies required to comply with the PTASP regulation.</w:t>
      </w:r>
      <w:r w:rsidRPr="00C830A5" w:rsidR="00F360ED">
        <w:t xml:space="preserve"> </w:t>
      </w:r>
      <w:r w:rsidRPr="00C830A5" w:rsidR="00F82A37">
        <w:t xml:space="preserve">Since that time the </w:t>
      </w:r>
      <w:r w:rsidRPr="00C830A5" w:rsidR="00DC7A4A">
        <w:t>PTASP</w:t>
      </w:r>
      <w:r w:rsidRPr="00C830A5" w:rsidR="005454CD">
        <w:t xml:space="preserve"> </w:t>
      </w:r>
      <w:r w:rsidRPr="00C830A5" w:rsidR="00DC7A4A">
        <w:t xml:space="preserve">TAC has provided extensive support to </w:t>
      </w:r>
      <w:r w:rsidRPr="00C830A5" w:rsidR="00F82A37">
        <w:t>transit agencies and States, including direct responses to over 1,</w:t>
      </w:r>
      <w:r w:rsidRPr="00C830A5" w:rsidR="000664DE">
        <w:t>9</w:t>
      </w:r>
      <w:r w:rsidRPr="00C830A5" w:rsidR="00F82A37">
        <w:t xml:space="preserve">00 inquiries, reviews of over 400 </w:t>
      </w:r>
      <w:r w:rsidRPr="00C830A5" w:rsidR="00D36327">
        <w:t>ASP</w:t>
      </w:r>
      <w:r w:rsidRPr="00C830A5" w:rsidR="00F82A37">
        <w:t xml:space="preserve">s, </w:t>
      </w:r>
      <w:r w:rsidRPr="00C830A5" w:rsidR="003E5443">
        <w:t xml:space="preserve">facilitation of </w:t>
      </w:r>
      <w:r w:rsidRPr="00C830A5" w:rsidR="000664DE">
        <w:t>3</w:t>
      </w:r>
      <w:r w:rsidRPr="00C830A5" w:rsidR="00F82A37">
        <w:t xml:space="preserve">0 webinars with over </w:t>
      </w:r>
      <w:r w:rsidRPr="00C830A5" w:rsidR="000664DE">
        <w:t>5,0</w:t>
      </w:r>
      <w:r w:rsidRPr="00C830A5" w:rsidR="00F82A37">
        <w:t xml:space="preserve">00 participants, </w:t>
      </w:r>
      <w:r w:rsidRPr="00C830A5" w:rsidR="003E5443">
        <w:t xml:space="preserve">conduct of </w:t>
      </w:r>
      <w:r w:rsidRPr="00C830A5" w:rsidR="00F82A37">
        <w:t xml:space="preserve">17 workshops with over 600 participants, </w:t>
      </w:r>
      <w:r w:rsidRPr="00C830A5" w:rsidR="003E5443">
        <w:t>and development and publication of over 70 technical assistance documents, tools, and templates via the PTASP</w:t>
      </w:r>
      <w:r w:rsidRPr="00C830A5" w:rsidR="00733450">
        <w:t xml:space="preserve"> </w:t>
      </w:r>
      <w:r w:rsidRPr="00C830A5" w:rsidR="003E5443">
        <w:t>TAC website.</w:t>
      </w:r>
      <w:r w:rsidRPr="00C830A5" w:rsidR="00F360ED">
        <w:t xml:space="preserve"> </w:t>
      </w:r>
    </w:p>
    <w:p w:rsidR="00086882" w:rsidRPr="00C830A5" w:rsidP="00A66850" w14:paraId="3E32FF2B" w14:textId="77777777">
      <w:pPr>
        <w:pStyle w:val="ListParagraph"/>
        <w:ind w:left="0"/>
        <w:contextualSpacing w:val="0"/>
      </w:pPr>
    </w:p>
    <w:p w:rsidR="004861D8" w:rsidRPr="00C830A5" w:rsidP="688B2905" w14:paraId="0845F36A" w14:textId="786D167B">
      <w:r>
        <w:t xml:space="preserve">In addition, to provide additional outreach </w:t>
      </w:r>
      <w:r w:rsidR="44992550">
        <w:t xml:space="preserve">and technical assistance </w:t>
      </w:r>
      <w:r>
        <w:t>to our respondents, FTA published</w:t>
      </w:r>
      <w:r>
        <w:t>:</w:t>
      </w:r>
    </w:p>
    <w:p w:rsidR="0017479D" w:rsidRPr="00C830A5" w:rsidP="00FF73B9" w14:paraId="4EB117DC" w14:textId="78926546"/>
    <w:p w:rsidR="14EC881B" w:rsidP="7FC443FA" w14:paraId="5B26FE77" w14:textId="455798FC">
      <w:pPr>
        <w:pStyle w:val="ListParagraph"/>
        <w:numPr>
          <w:ilvl w:val="0"/>
          <w:numId w:val="46"/>
        </w:numPr>
        <w:rPr>
          <w:color w:val="212529"/>
        </w:rPr>
      </w:pPr>
      <w:r w:rsidRPr="7FC443FA">
        <w:rPr>
          <w:b/>
          <w:bCs/>
        </w:rPr>
        <w:t xml:space="preserve">Dear Colleague Letter in Feb. 2022 </w:t>
      </w:r>
      <w:r>
        <w:t xml:space="preserve">(included under the supplementary documents section of ROCIS).  </w:t>
      </w:r>
      <w:r w:rsidRPr="7FC443FA">
        <w:rPr>
          <w:color w:val="212529"/>
        </w:rPr>
        <w:t>This letter provided the transit industry advance notice of the new requirements resulting from the Bipartisan Infrastructure Law changes to Public Transportation Agency Safety Plan (PTASP) requirements.</w:t>
      </w:r>
    </w:p>
    <w:p w:rsidR="688B2905" w:rsidP="688B2905" w14:paraId="6BDB4274" w14:textId="3DCE118E">
      <w:pPr>
        <w:rPr>
          <w:color w:val="212529"/>
        </w:rPr>
      </w:pPr>
    </w:p>
    <w:p w:rsidR="0017479D" w:rsidRPr="00C830A5" w:rsidP="7FC443FA" w14:paraId="76F7F0BA" w14:textId="32A1C709">
      <w:pPr>
        <w:pStyle w:val="ListParagraph"/>
        <w:numPr>
          <w:ilvl w:val="0"/>
          <w:numId w:val="46"/>
        </w:numPr>
        <w:rPr>
          <w:rStyle w:val="ui-provider"/>
        </w:rPr>
      </w:pPr>
      <w:r w:rsidRPr="7FC443FA">
        <w:rPr>
          <w:b/>
          <w:bCs/>
        </w:rPr>
        <w:t>PTASP Checklist for Bus Transit</w:t>
      </w:r>
      <w:r w:rsidRPr="7FC443FA" w:rsidR="00587219">
        <w:rPr>
          <w:b/>
          <w:bCs/>
        </w:rPr>
        <w:t xml:space="preserve"> </w:t>
      </w:r>
      <w:r w:rsidR="00587219">
        <w:t>(included in supplementary documents section of ROCIS)</w:t>
      </w:r>
      <w:r w:rsidRPr="7FC443FA">
        <w:rPr>
          <w:b/>
          <w:bCs/>
        </w:rPr>
        <w:t>.</w:t>
      </w:r>
      <w:r>
        <w:t xml:space="preserve"> T</w:t>
      </w:r>
      <w:r w:rsidRPr="7FC443FA">
        <w:rPr>
          <w:rStyle w:val="ui-provider"/>
        </w:rPr>
        <w:t>he checklist is intended for States and operators of public transportation systems that are required to draft an ASP in accordance with 49 CFR Part 673. Use of the checklist is voluntary.</w:t>
      </w:r>
    </w:p>
    <w:p w:rsidR="0017479D" w:rsidRPr="00C830A5" w:rsidP="00FF73B9" w14:paraId="2E244DBF" w14:textId="41C77094">
      <w:pPr>
        <w:rPr>
          <w:rStyle w:val="ui-provider"/>
        </w:rPr>
      </w:pPr>
    </w:p>
    <w:p w:rsidR="0017479D" w:rsidRPr="00C830A5" w:rsidP="7FC443FA" w14:paraId="1B36AF97" w14:textId="2A487052">
      <w:pPr>
        <w:pStyle w:val="ListParagraph"/>
        <w:numPr>
          <w:ilvl w:val="0"/>
          <w:numId w:val="46"/>
        </w:numPr>
        <w:rPr>
          <w:rStyle w:val="ui-provider"/>
        </w:rPr>
      </w:pPr>
      <w:r w:rsidRPr="7FC443FA">
        <w:rPr>
          <w:rStyle w:val="ui-provider"/>
          <w:b/>
          <w:bCs/>
        </w:rPr>
        <w:t>PTASP Checklist for Rail Transit Agencies and State Safety Oversight Agencies</w:t>
      </w:r>
      <w:r w:rsidRPr="7FC443FA" w:rsidR="001A5EFF">
        <w:rPr>
          <w:rStyle w:val="ui-provider"/>
          <w:b/>
          <w:bCs/>
        </w:rPr>
        <w:t xml:space="preserve"> </w:t>
      </w:r>
      <w:r w:rsidR="00587219">
        <w:t>(included in supplementary documents section of ROCIS)</w:t>
      </w:r>
      <w:r w:rsidRPr="7FC443FA">
        <w:rPr>
          <w:rStyle w:val="ui-provider"/>
          <w:b/>
          <w:bCs/>
        </w:rPr>
        <w:t>.</w:t>
      </w:r>
      <w:r w:rsidRPr="7FC443FA">
        <w:rPr>
          <w:rStyle w:val="ui-provider"/>
        </w:rPr>
        <w:t xml:space="preserve"> The checklist is intended for use by rail transit agencies that are required to draft an agency safety plan (ASP) in accordance with 49 CFR Part 673 and for the State Safety Oversight Agencies that must review and approve the ASP per 49 CFR Part 674. Use of the checklist is voluntary. </w:t>
      </w:r>
    </w:p>
    <w:p w:rsidR="0017479D" w:rsidRPr="00C830A5" w:rsidP="00FF73B9" w14:paraId="312451DD" w14:textId="77777777"/>
    <w:p w:rsidR="00C04200" w:rsidRPr="00C830A5" w:rsidP="7FC443FA" w14:paraId="1DA01FE5" w14:textId="68466C28">
      <w:pPr>
        <w:pStyle w:val="ListParagraph"/>
        <w:numPr>
          <w:ilvl w:val="0"/>
          <w:numId w:val="46"/>
        </w:numPr>
      </w:pPr>
      <w:hyperlink r:id="rId9">
        <w:r w:rsidRPr="7FC443FA">
          <w:rPr>
            <w:rStyle w:val="Hyperlink"/>
            <w:b/>
            <w:bCs/>
            <w:color w:val="auto"/>
          </w:rPr>
          <w:t>Agency Safety Plan (ASP) Directory</w:t>
        </w:r>
      </w:hyperlink>
      <w:r>
        <w:t xml:space="preserve"> as part of the PTASP TAC Resource Library. Transit agencies can use the publicly available ASPs </w:t>
      </w:r>
      <w:r w:rsidR="59FEEBF7">
        <w:t xml:space="preserve">in the directory </w:t>
      </w:r>
      <w:r>
        <w:t xml:space="preserve">as a resource to help with </w:t>
      </w:r>
      <w:r w:rsidR="0B7278EA">
        <w:t xml:space="preserve">updating </w:t>
      </w:r>
      <w:r>
        <w:t>their own ASP.</w:t>
      </w:r>
    </w:p>
    <w:p w:rsidR="00C830A5" w:rsidRPr="00C830A5" w:rsidP="00FF73B9" w14:paraId="2C001385" w14:textId="19F993A9">
      <w:pPr>
        <w:rPr>
          <w:color w:val="212529"/>
          <w:shd w:val="clear" w:color="auto" w:fill="FFFFFF"/>
        </w:rPr>
      </w:pPr>
    </w:p>
    <w:p w:rsidR="0022091D" w:rsidRPr="00C830A5" w:rsidP="7FC443FA" w14:paraId="5A7A4D97" w14:textId="7AE19297">
      <w:r w:rsidRPr="1A397C72">
        <w:rPr>
          <w:color w:val="000000" w:themeColor="text1"/>
        </w:rPr>
        <w:t>Prior to publishing th</w:t>
      </w:r>
      <w:r w:rsidRPr="1A397C72" w:rsidR="004A7616">
        <w:rPr>
          <w:color w:val="000000" w:themeColor="text1"/>
        </w:rPr>
        <w:t>e</w:t>
      </w:r>
      <w:r w:rsidRPr="1A397C72">
        <w:rPr>
          <w:color w:val="000000" w:themeColor="text1"/>
        </w:rPr>
        <w:t xml:space="preserve"> NPRM, FTA engaged in stakeholder outreach regarding the new Bipartisan Infrastructure Law PTASP requirements. </w:t>
      </w:r>
      <w:r w:rsidRPr="1A397C72">
        <w:rPr>
          <w:color w:val="000000" w:themeColor="text1"/>
        </w:rPr>
        <w:t xml:space="preserve">In accordance with the Department of Transportation’s Guidance on Communication with Parties outside of the Federal Executive </w:t>
      </w:r>
      <w:r w:rsidRPr="1A397C72">
        <w:rPr>
          <w:color w:val="000000" w:themeColor="text1"/>
        </w:rPr>
        <w:t>Branch (</w:t>
      </w:r>
      <w:r w:rsidRPr="1A397C72">
        <w:rPr>
          <w:color w:val="000000" w:themeColor="text1"/>
        </w:rPr>
        <w:t>Ex Parte Communications</w:t>
      </w:r>
      <w:r w:rsidRPr="1A397C72">
        <w:rPr>
          <w:color w:val="000000" w:themeColor="text1"/>
        </w:rPr>
        <w:t>), FTA added a memorandum summarizing these communications to the docket for this rulemaking.</w:t>
      </w:r>
    </w:p>
    <w:p w:rsidR="00C04200" w:rsidRPr="00A66850" w:rsidP="00A66850" w14:paraId="1C365A7E" w14:textId="22F46052">
      <w:pPr>
        <w:pStyle w:val="ListParagraph"/>
        <w:ind w:left="0"/>
        <w:contextualSpacing w:val="0"/>
      </w:pPr>
    </w:p>
    <w:bookmarkEnd w:id="0"/>
    <w:p w:rsidR="00DF66D9" w:rsidRPr="00A66850" w:rsidP="007C19ED" w14:paraId="1D22E9F5" w14:textId="77777777">
      <w:pPr>
        <w:pStyle w:val="ListParagraph"/>
        <w:keepNext/>
        <w:numPr>
          <w:ilvl w:val="0"/>
          <w:numId w:val="3"/>
        </w:numPr>
        <w:ind w:hanging="720"/>
        <w:contextualSpacing w:val="0"/>
        <w:rPr>
          <w:b/>
        </w:rPr>
      </w:pPr>
      <w:r w:rsidRPr="00A66850">
        <w:rPr>
          <w:b/>
        </w:rPr>
        <w:t>Explanation of Any Payment or Gift to Respondents</w:t>
      </w:r>
    </w:p>
    <w:p w:rsidR="007C19ED" w:rsidP="007C19ED" w14:paraId="5F7628BB" w14:textId="77777777">
      <w:pPr>
        <w:pStyle w:val="ListParagraph"/>
        <w:keepNext/>
        <w:ind w:left="0"/>
        <w:contextualSpacing w:val="0"/>
      </w:pPr>
    </w:p>
    <w:p w:rsidR="00DF66D9" w:rsidRPr="00A66850" w:rsidP="00A66850" w14:paraId="530567C6" w14:textId="791BFFE2">
      <w:pPr>
        <w:pStyle w:val="ListParagraph"/>
        <w:ind w:left="0"/>
        <w:contextualSpacing w:val="0"/>
      </w:pPr>
      <w:r>
        <w:t>The PTASP regulation</w:t>
      </w:r>
      <w:r w:rsidRPr="00A66850" w:rsidR="004C4E6D">
        <w:t xml:space="preserve"> does not include any payments or gifts to respondents.</w:t>
      </w:r>
    </w:p>
    <w:p w:rsidR="007C19ED" w:rsidRPr="007C19ED" w:rsidP="007C19ED" w14:paraId="116AE89B" w14:textId="77777777">
      <w:pPr>
        <w:rPr>
          <w:b/>
        </w:rPr>
      </w:pPr>
    </w:p>
    <w:p w:rsidR="00DF66D9" w:rsidRPr="00A66850" w:rsidP="00154E1B" w14:paraId="7E8CF277" w14:textId="4A647EF9">
      <w:pPr>
        <w:pStyle w:val="ListParagraph"/>
        <w:keepNext/>
        <w:numPr>
          <w:ilvl w:val="0"/>
          <w:numId w:val="3"/>
        </w:numPr>
        <w:ind w:hanging="720"/>
        <w:contextualSpacing w:val="0"/>
        <w:rPr>
          <w:b/>
          <w:bCs/>
        </w:rPr>
      </w:pPr>
      <w:r w:rsidRPr="7FC443FA">
        <w:rPr>
          <w:b/>
          <w:bCs/>
        </w:rPr>
        <w:t xml:space="preserve">Assurance of Confidentiality Provided to Respondents </w:t>
      </w:r>
    </w:p>
    <w:p w:rsidR="009A35AC" w:rsidRPr="00A66850" w:rsidP="007C19ED" w14:paraId="003EB15A" w14:textId="77777777">
      <w:pPr>
        <w:pStyle w:val="ListParagraph"/>
        <w:keepNext/>
        <w:ind w:left="0"/>
        <w:contextualSpacing w:val="0"/>
      </w:pPr>
    </w:p>
    <w:p w:rsidR="006A2039" w:rsidRPr="00A66850" w:rsidP="00A66850" w14:paraId="00266F63" w14:textId="42347F81">
      <w:pPr>
        <w:pStyle w:val="ListParagraph"/>
        <w:ind w:left="0"/>
        <w:contextualSpacing w:val="0"/>
      </w:pPr>
      <w:r w:rsidRPr="00A66850">
        <w:t>No elements of confidentiality are involved</w:t>
      </w:r>
      <w:r w:rsidRPr="00A66850" w:rsidR="004C4E6D">
        <w:t xml:space="preserve"> in </w:t>
      </w:r>
      <w:r w:rsidR="00504978">
        <w:t>the PTASP regulation</w:t>
      </w:r>
      <w:r w:rsidRPr="00A66850" w:rsidR="004C4E6D">
        <w:t>.</w:t>
      </w:r>
    </w:p>
    <w:p w:rsidR="004C4E6D" w:rsidRPr="00A66850" w:rsidP="00A66850" w14:paraId="5BAE42E9" w14:textId="77777777">
      <w:pPr>
        <w:pStyle w:val="ListParagraph"/>
        <w:ind w:left="0"/>
        <w:contextualSpacing w:val="0"/>
      </w:pPr>
    </w:p>
    <w:p w:rsidR="00DF66D9" w:rsidRPr="00A66850" w:rsidP="007C19ED" w14:paraId="4749D69C" w14:textId="77777777">
      <w:pPr>
        <w:pStyle w:val="ListParagraph"/>
        <w:keepNext/>
        <w:numPr>
          <w:ilvl w:val="0"/>
          <w:numId w:val="3"/>
        </w:numPr>
        <w:ind w:hanging="720"/>
        <w:contextualSpacing w:val="0"/>
        <w:rPr>
          <w:b/>
        </w:rPr>
      </w:pPr>
      <w:r w:rsidRPr="7FC443FA">
        <w:rPr>
          <w:b/>
          <w:bCs/>
        </w:rPr>
        <w:t>Justification for Sensitive Questions</w:t>
      </w:r>
    </w:p>
    <w:p w:rsidR="009A35AC" w:rsidRPr="00A66850" w:rsidP="007C19ED" w14:paraId="76BB0313" w14:textId="77777777">
      <w:pPr>
        <w:pStyle w:val="ListParagraph"/>
        <w:keepNext/>
        <w:ind w:left="0"/>
        <w:contextualSpacing w:val="0"/>
      </w:pPr>
    </w:p>
    <w:p w:rsidR="00FC338A" w:rsidRPr="00A66850" w:rsidP="00A66850" w14:paraId="7F71D906" w14:textId="00A1974D">
      <w:pPr>
        <w:pStyle w:val="ListParagraph"/>
        <w:ind w:left="0"/>
        <w:contextualSpacing w:val="0"/>
      </w:pPr>
      <w:r w:rsidRPr="00A66850">
        <w:t xml:space="preserve">No sensitive questions are included in </w:t>
      </w:r>
      <w:r w:rsidR="00504978">
        <w:t>the PTASP regulation</w:t>
      </w:r>
      <w:r w:rsidRPr="00A66850">
        <w:t>.</w:t>
      </w:r>
    </w:p>
    <w:p w:rsidR="007C19ED" w:rsidRPr="00A66850" w:rsidP="00A66850" w14:paraId="02FE7AB3" w14:textId="77777777">
      <w:pPr>
        <w:pStyle w:val="ListParagraph"/>
        <w:ind w:left="0"/>
        <w:contextualSpacing w:val="0"/>
      </w:pPr>
    </w:p>
    <w:p w:rsidR="007C19ED" w:rsidRPr="006F6253" w:rsidP="4C4F126C" w14:paraId="77B5CF6F" w14:textId="77777777">
      <w:pPr>
        <w:pStyle w:val="ListParagraph"/>
        <w:keepNext/>
        <w:numPr>
          <w:ilvl w:val="0"/>
          <w:numId w:val="3"/>
        </w:numPr>
        <w:ind w:hanging="720"/>
        <w:rPr>
          <w:b/>
          <w:bCs/>
          <w:color w:val="000000"/>
        </w:rPr>
      </w:pPr>
      <w:r w:rsidRPr="1A397C72">
        <w:rPr>
          <w:b/>
          <w:bCs/>
        </w:rPr>
        <w:t>Estimates of Hour Burden Including Annualized Hourly Costs</w:t>
      </w:r>
    </w:p>
    <w:p w:rsidR="006F6253" w:rsidRPr="006F6253" w:rsidP="006F6253" w14:paraId="14E3CE30" w14:textId="77777777">
      <w:pPr>
        <w:keepNext/>
        <w:rPr>
          <w:color w:val="000000"/>
        </w:rPr>
      </w:pPr>
    </w:p>
    <w:p w:rsidR="001A1513" w:rsidRPr="00D82613" w:rsidP="006F6253" w14:paraId="0269D165" w14:textId="56FB4585">
      <w:pPr>
        <w:widowControl w:val="0"/>
        <w:tabs>
          <w:tab w:val="left" w:pos="4500"/>
        </w:tabs>
        <w:rPr>
          <w:color w:val="000000"/>
        </w:rPr>
      </w:pPr>
      <w:r w:rsidRPr="00D82613">
        <w:rPr>
          <w:color w:val="000000"/>
        </w:rPr>
        <w:t>Estimated Annual Number of Respondents:</w:t>
      </w:r>
      <w:r w:rsidRPr="00D82613" w:rsidR="006933BF">
        <w:rPr>
          <w:color w:val="000000"/>
        </w:rPr>
        <w:tab/>
      </w:r>
      <w:r w:rsidRPr="00D82613" w:rsidR="00D82613">
        <w:rPr>
          <w:color w:val="000000"/>
        </w:rPr>
        <w:tab/>
      </w:r>
      <w:r w:rsidRPr="00D82613" w:rsidR="00D82613">
        <w:rPr>
          <w:color w:val="000000"/>
        </w:rPr>
        <w:tab/>
      </w:r>
      <w:r w:rsidRPr="00D82613" w:rsidR="0050400A">
        <w:rPr>
          <w:color w:val="000000"/>
        </w:rPr>
        <w:t>75</w:t>
      </w:r>
      <w:r w:rsidRPr="00D82613" w:rsidR="007F704C">
        <w:rPr>
          <w:color w:val="000000"/>
        </w:rPr>
        <w:t>8</w:t>
      </w:r>
    </w:p>
    <w:p w:rsidR="005D39F7" w:rsidRPr="00D82613" w:rsidP="006F6253" w14:paraId="2B172962" w14:textId="00A6F64F">
      <w:pPr>
        <w:widowControl w:val="0"/>
        <w:tabs>
          <w:tab w:val="left" w:pos="4500"/>
        </w:tabs>
        <w:rPr>
          <w:color w:val="000000"/>
        </w:rPr>
      </w:pPr>
      <w:r w:rsidRPr="00D82613">
        <w:rPr>
          <w:color w:val="000000"/>
        </w:rPr>
        <w:t>Estimated Annual Number of Responses:</w:t>
      </w:r>
      <w:r w:rsidRPr="00D82613">
        <w:rPr>
          <w:color w:val="000000"/>
        </w:rPr>
        <w:tab/>
      </w:r>
      <w:r w:rsidRPr="00D82613" w:rsidR="00D82613">
        <w:rPr>
          <w:color w:val="000000"/>
        </w:rPr>
        <w:tab/>
      </w:r>
      <w:r w:rsidRPr="00D82613" w:rsidR="00D82613">
        <w:rPr>
          <w:color w:val="000000"/>
        </w:rPr>
        <w:tab/>
      </w:r>
      <w:r w:rsidRPr="00D82613">
        <w:rPr>
          <w:color w:val="000000"/>
        </w:rPr>
        <w:t>75</w:t>
      </w:r>
      <w:r w:rsidRPr="00D82613" w:rsidR="007F704C">
        <w:rPr>
          <w:color w:val="000000"/>
        </w:rPr>
        <w:t>8</w:t>
      </w:r>
      <w:r w:rsidRPr="00D82613">
        <w:rPr>
          <w:color w:val="000000"/>
        </w:rPr>
        <w:t xml:space="preserve"> (one per respondent annually)</w:t>
      </w:r>
    </w:p>
    <w:p w:rsidR="00D82613" w:rsidRPr="00D82613" w:rsidP="006F6253" w14:paraId="570B2F14" w14:textId="77777777">
      <w:pPr>
        <w:widowControl w:val="0"/>
        <w:tabs>
          <w:tab w:val="left" w:pos="4500"/>
        </w:tabs>
        <w:rPr>
          <w:color w:val="000000"/>
        </w:rPr>
      </w:pPr>
    </w:p>
    <w:p w:rsidR="001A1513" w:rsidRPr="00D82613" w:rsidP="006F6253" w14:paraId="0AF127CE" w14:textId="020BF54D">
      <w:pPr>
        <w:widowControl w:val="0"/>
        <w:tabs>
          <w:tab w:val="left" w:pos="4500"/>
        </w:tabs>
        <w:rPr>
          <w:color w:val="000000"/>
        </w:rPr>
      </w:pPr>
      <w:r w:rsidRPr="40B9DA27">
        <w:rPr>
          <w:color w:val="000000" w:themeColor="text1"/>
        </w:rPr>
        <w:t xml:space="preserve">Estimated </w:t>
      </w:r>
      <w:r w:rsidRPr="40B9DA27" w:rsidR="6493B5D5">
        <w:rPr>
          <w:color w:val="000000" w:themeColor="text1"/>
        </w:rPr>
        <w:t>Annual</w:t>
      </w:r>
      <w:r w:rsidRPr="40B9DA27">
        <w:rPr>
          <w:color w:val="000000" w:themeColor="text1"/>
        </w:rPr>
        <w:t xml:space="preserve"> Burden Hours:</w:t>
      </w:r>
      <w:r>
        <w:tab/>
      </w:r>
      <w:r>
        <w:tab/>
      </w:r>
      <w:r>
        <w:tab/>
      </w:r>
      <w:r w:rsidRPr="00054465" w:rsidR="000C31B9">
        <w:rPr>
          <w:b/>
          <w:bCs/>
        </w:rPr>
        <w:t>552,84</w:t>
      </w:r>
      <w:r w:rsidR="00562497">
        <w:rPr>
          <w:b/>
          <w:bCs/>
        </w:rPr>
        <w:t>6</w:t>
      </w:r>
    </w:p>
    <w:p w:rsidR="00D82613" w:rsidRPr="00D82613" w:rsidP="791EB638" w14:paraId="0765002F" w14:textId="78D36E95">
      <w:pPr>
        <w:widowControl w:val="0"/>
        <w:tabs>
          <w:tab w:val="left" w:pos="4500"/>
        </w:tabs>
        <w:rPr>
          <w:color w:val="000000"/>
        </w:rPr>
      </w:pPr>
      <w:r w:rsidRPr="7FC443FA">
        <w:rPr>
          <w:color w:val="000000" w:themeColor="text1"/>
        </w:rPr>
        <w:t xml:space="preserve">Estimated </w:t>
      </w:r>
      <w:r w:rsidRPr="7FC443FA" w:rsidR="19BE073C">
        <w:rPr>
          <w:color w:val="000000" w:themeColor="text1"/>
        </w:rPr>
        <w:t>Annual</w:t>
      </w:r>
      <w:r w:rsidRPr="7FC443FA">
        <w:rPr>
          <w:color w:val="000000" w:themeColor="text1"/>
        </w:rPr>
        <w:t xml:space="preserve"> Cost:</w:t>
      </w:r>
      <w:r>
        <w:tab/>
      </w:r>
      <w:r>
        <w:tab/>
      </w:r>
      <w:r>
        <w:tab/>
      </w:r>
      <w:r w:rsidRPr="0082303D" w:rsidR="00054465">
        <w:rPr>
          <w:b/>
          <w:bCs/>
          <w:color w:val="000000" w:themeColor="text1"/>
        </w:rPr>
        <w:t>$36,301,199</w:t>
      </w:r>
    </w:p>
    <w:p w:rsidR="00386262" w:rsidRPr="00A66850" w:rsidP="7FC443FA" w14:paraId="49D53C01" w14:textId="054379B1">
      <w:pPr>
        <w:widowControl w:val="0"/>
        <w:rPr>
          <w:color w:val="000000"/>
        </w:rPr>
      </w:pPr>
      <w:r w:rsidRPr="7FC443FA">
        <w:rPr>
          <w:color w:val="000000" w:themeColor="text1"/>
        </w:rPr>
        <w:t xml:space="preserve">For more details </w:t>
      </w:r>
      <w:r w:rsidRPr="7FC443FA" w:rsidR="006933BF">
        <w:rPr>
          <w:color w:val="000000" w:themeColor="text1"/>
        </w:rPr>
        <w:t xml:space="preserve">on these estimates, please </w:t>
      </w:r>
      <w:r w:rsidRPr="7FC443FA">
        <w:rPr>
          <w:color w:val="000000" w:themeColor="text1"/>
        </w:rPr>
        <w:t xml:space="preserve">see </w:t>
      </w:r>
      <w:r w:rsidRPr="7FC443FA" w:rsidR="006933BF">
        <w:rPr>
          <w:color w:val="000000" w:themeColor="text1"/>
        </w:rPr>
        <w:t xml:space="preserve">the information </w:t>
      </w:r>
      <w:r w:rsidRPr="7FC443FA">
        <w:rPr>
          <w:color w:val="000000" w:themeColor="text1"/>
        </w:rPr>
        <w:t>below</w:t>
      </w:r>
      <w:r w:rsidRPr="7FC443FA" w:rsidR="006933BF">
        <w:rPr>
          <w:color w:val="000000" w:themeColor="text1"/>
        </w:rPr>
        <w:t>.</w:t>
      </w:r>
    </w:p>
    <w:p w:rsidR="7FC443FA" w14:paraId="26F57595" w14:textId="6DBE94CC"/>
    <w:p w:rsidR="00732B5A" w:rsidRPr="00455F8D" w:rsidP="7FC443FA" w14:paraId="775983A7" w14:textId="30FC9D63">
      <w:pPr>
        <w:pStyle w:val="NoSpacing"/>
        <w:keepNext/>
        <w:rPr>
          <w:rFonts w:ascii="Times New Roman" w:hAnsi="Times New Roman" w:cs="Times New Roman"/>
          <w:b/>
          <w:bCs/>
          <w:sz w:val="24"/>
          <w:szCs w:val="24"/>
          <w:u w:val="single"/>
        </w:rPr>
      </w:pPr>
      <w:r w:rsidRPr="7FC443FA">
        <w:rPr>
          <w:rFonts w:ascii="Times New Roman" w:hAnsi="Times New Roman" w:cs="Times New Roman"/>
          <w:b/>
          <w:bCs/>
          <w:sz w:val="24"/>
          <w:szCs w:val="24"/>
          <w:u w:val="single"/>
        </w:rPr>
        <w:t xml:space="preserve">Table </w:t>
      </w:r>
      <w:r w:rsidRPr="7FC443FA" w:rsidR="0084616D">
        <w:rPr>
          <w:rFonts w:ascii="Times New Roman" w:hAnsi="Times New Roman" w:cs="Times New Roman"/>
          <w:b/>
          <w:bCs/>
          <w:sz w:val="24"/>
          <w:szCs w:val="24"/>
          <w:u w:val="single"/>
        </w:rPr>
        <w:t>1</w:t>
      </w:r>
      <w:r w:rsidRPr="7FC443FA">
        <w:rPr>
          <w:rFonts w:ascii="Times New Roman" w:hAnsi="Times New Roman" w:cs="Times New Roman"/>
          <w:b/>
          <w:bCs/>
          <w:sz w:val="24"/>
          <w:szCs w:val="24"/>
          <w:u w:val="single"/>
        </w:rPr>
        <w:t>:</w:t>
      </w:r>
      <w:r w:rsidRPr="7FC443FA" w:rsidR="00F360ED">
        <w:rPr>
          <w:rFonts w:ascii="Times New Roman" w:hAnsi="Times New Roman" w:cs="Times New Roman"/>
          <w:b/>
          <w:bCs/>
          <w:sz w:val="24"/>
          <w:szCs w:val="24"/>
          <w:u w:val="single"/>
        </w:rPr>
        <w:t xml:space="preserve"> </w:t>
      </w:r>
      <w:r w:rsidRPr="7FC443FA" w:rsidR="00A6496B">
        <w:rPr>
          <w:rFonts w:ascii="Times New Roman" w:hAnsi="Times New Roman" w:cs="Times New Roman"/>
          <w:b/>
          <w:bCs/>
          <w:sz w:val="24"/>
          <w:szCs w:val="24"/>
          <w:u w:val="single"/>
        </w:rPr>
        <w:t xml:space="preserve">Existing </w:t>
      </w:r>
      <w:r w:rsidRPr="7FC443FA" w:rsidR="00A33483">
        <w:rPr>
          <w:rFonts w:ascii="Times New Roman" w:hAnsi="Times New Roman" w:cs="Times New Roman"/>
          <w:b/>
          <w:bCs/>
          <w:sz w:val="24"/>
          <w:szCs w:val="24"/>
          <w:u w:val="single"/>
        </w:rPr>
        <w:t xml:space="preserve">PTASP </w:t>
      </w:r>
      <w:r w:rsidRPr="7FC443FA" w:rsidR="00A6496B">
        <w:rPr>
          <w:rFonts w:ascii="Times New Roman" w:hAnsi="Times New Roman" w:cs="Times New Roman"/>
          <w:b/>
          <w:bCs/>
          <w:sz w:val="24"/>
          <w:szCs w:val="24"/>
          <w:u w:val="single"/>
        </w:rPr>
        <w:t>Requirement</w:t>
      </w:r>
      <w:r w:rsidRPr="7FC443FA" w:rsidR="00A33483">
        <w:rPr>
          <w:rFonts w:ascii="Times New Roman" w:hAnsi="Times New Roman" w:cs="Times New Roman"/>
          <w:b/>
          <w:bCs/>
          <w:sz w:val="24"/>
          <w:szCs w:val="24"/>
          <w:u w:val="single"/>
        </w:rPr>
        <w:t>s</w:t>
      </w:r>
      <w:r w:rsidRPr="7FC443FA" w:rsidR="00A6496B">
        <w:rPr>
          <w:rFonts w:ascii="Times New Roman" w:hAnsi="Times New Roman" w:cs="Times New Roman"/>
          <w:b/>
          <w:bCs/>
          <w:sz w:val="24"/>
          <w:szCs w:val="24"/>
          <w:u w:val="single"/>
        </w:rPr>
        <w:t xml:space="preserve"> </w:t>
      </w:r>
      <w:r w:rsidRPr="7FC443FA" w:rsidR="00EB2D57">
        <w:rPr>
          <w:rFonts w:ascii="Times New Roman" w:hAnsi="Times New Roman" w:cs="Times New Roman"/>
          <w:b/>
          <w:bCs/>
          <w:sz w:val="24"/>
          <w:szCs w:val="24"/>
          <w:u w:val="single"/>
        </w:rPr>
        <w:t>Annualized Burden</w:t>
      </w:r>
    </w:p>
    <w:p w:rsidR="00732B5A" w:rsidRPr="00A17015" w:rsidP="00584097" w14:paraId="401C9D1F" w14:textId="77777777">
      <w:pPr>
        <w:pStyle w:val="NoSpacing"/>
        <w:keepNext/>
        <w:rPr>
          <w:rFonts w:ascii="Times New Roman" w:hAnsi="Times New Roman" w:cs="Times New Roman"/>
          <w:sz w:val="24"/>
          <w:szCs w:val="24"/>
        </w:rPr>
      </w:pPr>
    </w:p>
    <w:tbl>
      <w:tblPr>
        <w:tblW w:w="7722" w:type="dxa"/>
        <w:tblInd w:w="108" w:type="dxa"/>
        <w:shd w:val="clear" w:color="000000" w:fill="auto"/>
        <w:tblLayout w:type="fixed"/>
        <w:tblLook w:val="04A0"/>
      </w:tblPr>
      <w:tblGrid>
        <w:gridCol w:w="1422"/>
        <w:gridCol w:w="2496"/>
        <w:gridCol w:w="1104"/>
        <w:gridCol w:w="1350"/>
        <w:gridCol w:w="1350"/>
      </w:tblGrid>
      <w:tr w14:paraId="61556462" w14:textId="77777777" w:rsidTr="00072B00">
        <w:tblPrEx>
          <w:tblW w:w="7722" w:type="dxa"/>
          <w:tblInd w:w="108" w:type="dxa"/>
          <w:shd w:val="clear" w:color="000000" w:fill="auto"/>
          <w:tblLayout w:type="fixed"/>
          <w:tblLook w:val="04A0"/>
        </w:tblPrEx>
        <w:trPr>
          <w:trHeight w:val="315"/>
        </w:trPr>
        <w:tc>
          <w:tcPr>
            <w:tcW w:w="1422" w:type="dxa"/>
            <w:tcBorders>
              <w:top w:val="nil"/>
              <w:bottom w:val="single" w:sz="4" w:space="0" w:color="auto"/>
              <w:right w:val="nil"/>
            </w:tcBorders>
            <w:shd w:val="clear" w:color="000000" w:fill="auto"/>
            <w:noWrap/>
            <w:vAlign w:val="bottom"/>
            <w:hideMark/>
          </w:tcPr>
          <w:p w:rsidR="00732B5A" w:rsidRPr="00584097" w:rsidP="00A66850" w14:paraId="24C4870E" w14:textId="77777777">
            <w:pPr>
              <w:keepNext/>
              <w:rPr>
                <w:sz w:val="20"/>
                <w:szCs w:val="20"/>
              </w:rPr>
            </w:pPr>
          </w:p>
        </w:tc>
        <w:tc>
          <w:tcPr>
            <w:tcW w:w="2496" w:type="dxa"/>
            <w:tcBorders>
              <w:top w:val="nil"/>
              <w:left w:val="nil"/>
              <w:bottom w:val="single" w:sz="4" w:space="0" w:color="auto"/>
              <w:right w:val="single" w:sz="4" w:space="0" w:color="auto"/>
            </w:tcBorders>
            <w:shd w:val="clear" w:color="000000" w:fill="auto"/>
            <w:noWrap/>
            <w:vAlign w:val="bottom"/>
            <w:hideMark/>
          </w:tcPr>
          <w:p w:rsidR="00732B5A" w:rsidRPr="00584097" w:rsidP="00A66850" w14:paraId="227DE0EE" w14:textId="77777777">
            <w:pPr>
              <w:keepNext/>
              <w:rPr>
                <w:sz w:val="20"/>
                <w:szCs w:val="20"/>
              </w:rPr>
            </w:pPr>
            <w:r w:rsidRPr="00584097">
              <w:rPr>
                <w:sz w:val="20"/>
                <w:szCs w:val="20"/>
              </w:rPr>
              <w:t> </w:t>
            </w:r>
          </w:p>
        </w:tc>
        <w:tc>
          <w:tcPr>
            <w:tcW w:w="1104" w:type="dxa"/>
            <w:tcBorders>
              <w:top w:val="single" w:sz="4" w:space="0" w:color="auto"/>
              <w:left w:val="single" w:sz="4" w:space="0" w:color="auto"/>
              <w:bottom w:val="single" w:sz="4" w:space="0" w:color="auto"/>
              <w:right w:val="single" w:sz="4" w:space="0" w:color="auto"/>
            </w:tcBorders>
            <w:shd w:val="clear" w:color="000000" w:fill="auto"/>
            <w:noWrap/>
            <w:hideMark/>
          </w:tcPr>
          <w:p w:rsidR="00732B5A" w:rsidRPr="00584097" w:rsidP="00A66850" w14:paraId="522AD0D1" w14:textId="77777777">
            <w:pPr>
              <w:keepNext/>
              <w:rPr>
                <w:sz w:val="20"/>
                <w:szCs w:val="20"/>
              </w:rPr>
            </w:pPr>
            <w:r w:rsidRPr="00584097">
              <w:rPr>
                <w:sz w:val="20"/>
                <w:szCs w:val="20"/>
              </w:rPr>
              <w:t>Total Responses</w:t>
            </w:r>
          </w:p>
        </w:tc>
        <w:tc>
          <w:tcPr>
            <w:tcW w:w="1350" w:type="dxa"/>
            <w:tcBorders>
              <w:top w:val="single" w:sz="4" w:space="0" w:color="auto"/>
              <w:left w:val="single" w:sz="4" w:space="0" w:color="auto"/>
              <w:bottom w:val="single" w:sz="4" w:space="0" w:color="auto"/>
              <w:right w:val="single" w:sz="4" w:space="0" w:color="auto"/>
            </w:tcBorders>
            <w:shd w:val="clear" w:color="000000" w:fill="auto"/>
            <w:noWrap/>
            <w:hideMark/>
          </w:tcPr>
          <w:p w:rsidR="00732B5A" w:rsidRPr="00584097" w:rsidP="00A66850" w14:paraId="4F99D145" w14:textId="77777777">
            <w:pPr>
              <w:keepNext/>
              <w:rPr>
                <w:sz w:val="20"/>
                <w:szCs w:val="20"/>
              </w:rPr>
            </w:pPr>
            <w:r w:rsidRPr="00584097">
              <w:rPr>
                <w:sz w:val="20"/>
                <w:szCs w:val="20"/>
              </w:rPr>
              <w:t>Burden Hours Per Response</w:t>
            </w:r>
          </w:p>
        </w:tc>
        <w:tc>
          <w:tcPr>
            <w:tcW w:w="1350" w:type="dxa"/>
            <w:tcBorders>
              <w:top w:val="single" w:sz="4" w:space="0" w:color="auto"/>
              <w:left w:val="single" w:sz="4" w:space="0" w:color="auto"/>
              <w:bottom w:val="single" w:sz="4" w:space="0" w:color="auto"/>
              <w:right w:val="single" w:sz="4" w:space="0" w:color="auto"/>
            </w:tcBorders>
            <w:shd w:val="clear" w:color="000000" w:fill="auto"/>
            <w:noWrap/>
            <w:hideMark/>
          </w:tcPr>
          <w:p w:rsidR="00732B5A" w:rsidRPr="00584097" w:rsidP="00A66850" w14:paraId="5AFE1AC2" w14:textId="77777777">
            <w:pPr>
              <w:keepNext/>
              <w:rPr>
                <w:sz w:val="20"/>
                <w:szCs w:val="20"/>
              </w:rPr>
            </w:pPr>
            <w:r w:rsidRPr="00584097">
              <w:rPr>
                <w:sz w:val="20"/>
                <w:szCs w:val="20"/>
              </w:rPr>
              <w:t>Total Annual Burden</w:t>
            </w:r>
          </w:p>
        </w:tc>
      </w:tr>
      <w:tr w14:paraId="0770F1AC" w14:textId="77777777" w:rsidTr="00072B00">
        <w:tblPrEx>
          <w:tblW w:w="7722" w:type="dxa"/>
          <w:tblInd w:w="108" w:type="dxa"/>
          <w:shd w:val="clear" w:color="000000" w:fill="auto"/>
          <w:tblLayout w:type="fixed"/>
          <w:tblLook w:val="04A0"/>
        </w:tblPrEx>
        <w:trPr>
          <w:trHeight w:val="143"/>
        </w:trPr>
        <w:tc>
          <w:tcPr>
            <w:tcW w:w="1422" w:type="dxa"/>
            <w:vMerge w:val="restart"/>
            <w:tcBorders>
              <w:top w:val="single" w:sz="4" w:space="0" w:color="auto"/>
              <w:left w:val="single" w:sz="4" w:space="0" w:color="auto"/>
              <w:bottom w:val="single" w:sz="4" w:space="0" w:color="auto"/>
              <w:right w:val="single" w:sz="4" w:space="0" w:color="auto"/>
            </w:tcBorders>
            <w:shd w:val="clear" w:color="000000" w:fill="auto"/>
            <w:noWrap/>
            <w:hideMark/>
          </w:tcPr>
          <w:p w:rsidR="00072B00" w:rsidRPr="00584097" w:rsidP="00072B00" w14:paraId="23F8F0A0" w14:textId="7220BF11">
            <w:pPr>
              <w:keepNext/>
              <w:rPr>
                <w:sz w:val="20"/>
                <w:szCs w:val="20"/>
              </w:rPr>
            </w:pPr>
            <w:r w:rsidRPr="00584097">
              <w:rPr>
                <w:sz w:val="20"/>
                <w:szCs w:val="20"/>
              </w:rPr>
              <w:t>Rail</w:t>
            </w:r>
          </w:p>
        </w:tc>
        <w:tc>
          <w:tcPr>
            <w:tcW w:w="2496"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072B00" w:rsidRPr="00584097" w:rsidP="005B3BD1" w14:paraId="2033E89E" w14:textId="5F54635F">
            <w:pPr>
              <w:keepNext/>
              <w:rPr>
                <w:sz w:val="20"/>
                <w:szCs w:val="20"/>
              </w:rPr>
            </w:pPr>
            <w:r>
              <w:rPr>
                <w:sz w:val="20"/>
                <w:szCs w:val="20"/>
              </w:rPr>
              <w:t>Development/</w:t>
            </w:r>
            <w:r w:rsidRPr="00584097">
              <w:rPr>
                <w:sz w:val="20"/>
                <w:szCs w:val="20"/>
              </w:rPr>
              <w:t>Certification</w:t>
            </w:r>
          </w:p>
        </w:tc>
        <w:tc>
          <w:tcPr>
            <w:tcW w:w="1104"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072B00" w:rsidRPr="00306CB7" w:rsidP="00306CB7" w14:paraId="026FBB9C" w14:textId="32CB5DEB">
            <w:pPr>
              <w:keepNext/>
              <w:jc w:val="right"/>
              <w:rPr>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072B00" w:rsidRPr="00306CB7" w:rsidP="00306CB7" w14:paraId="137D0AB8" w14:textId="24675D2C">
            <w:pPr>
              <w:keepNext/>
              <w:jc w:val="right"/>
              <w:rPr>
                <w:sz w:val="20"/>
                <w:szCs w:val="20"/>
              </w:rPr>
            </w:pPr>
            <w:r w:rsidRPr="00306CB7">
              <w:rPr>
                <w:color w:val="000000"/>
                <w:sz w:val="20"/>
                <w:szCs w:val="20"/>
              </w:rPr>
              <w:t>3</w:t>
            </w:r>
          </w:p>
        </w:tc>
        <w:tc>
          <w:tcPr>
            <w:tcW w:w="135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072B00" w:rsidRPr="00306CB7" w:rsidP="00306CB7" w14:paraId="3F10ED6B" w14:textId="18F9632D">
            <w:pPr>
              <w:keepNext/>
              <w:jc w:val="right"/>
              <w:rPr>
                <w:sz w:val="20"/>
                <w:szCs w:val="20"/>
              </w:rPr>
            </w:pPr>
            <w:r w:rsidRPr="00306CB7">
              <w:rPr>
                <w:color w:val="000000"/>
                <w:sz w:val="20"/>
                <w:szCs w:val="20"/>
              </w:rPr>
              <w:t>186</w:t>
            </w:r>
          </w:p>
        </w:tc>
      </w:tr>
      <w:tr w14:paraId="1310E853" w14:textId="77777777" w:rsidTr="00072B00">
        <w:tblPrEx>
          <w:tblW w:w="7722" w:type="dxa"/>
          <w:tblInd w:w="108" w:type="dxa"/>
          <w:shd w:val="clear" w:color="000000" w:fill="auto"/>
          <w:tblLayout w:type="fixed"/>
          <w:tblLook w:val="04A0"/>
        </w:tblPrEx>
        <w:trPr>
          <w:trHeight w:val="80"/>
        </w:trPr>
        <w:tc>
          <w:tcPr>
            <w:tcW w:w="1422" w:type="dxa"/>
            <w:vMerge/>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072B00" w:rsidRPr="00584097" w:rsidP="00306CB7" w14:paraId="12F4181F" w14:textId="2A86F3AC">
            <w:pPr>
              <w:keepNext/>
              <w:rPr>
                <w:sz w:val="20"/>
                <w:szCs w:val="20"/>
              </w:rPr>
            </w:pPr>
          </w:p>
        </w:tc>
        <w:tc>
          <w:tcPr>
            <w:tcW w:w="2496"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072B00" w:rsidRPr="00584097" w:rsidP="005B3BD1" w14:paraId="394E1F6D" w14:textId="420D5225">
            <w:pPr>
              <w:keepNext/>
              <w:rPr>
                <w:sz w:val="20"/>
                <w:szCs w:val="20"/>
              </w:rPr>
            </w:pPr>
            <w:r w:rsidRPr="00584097">
              <w:rPr>
                <w:sz w:val="20"/>
                <w:szCs w:val="20"/>
              </w:rPr>
              <w:t>Implement/Document</w:t>
            </w:r>
          </w:p>
        </w:tc>
        <w:tc>
          <w:tcPr>
            <w:tcW w:w="1104"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072B00" w:rsidRPr="00306CB7" w:rsidP="00306CB7" w14:paraId="05185AFD" w14:textId="3EDEC77A">
            <w:pPr>
              <w:keepNext/>
              <w:jc w:val="right"/>
              <w:rPr>
                <w:sz w:val="20"/>
                <w:szCs w:val="20"/>
              </w:rPr>
            </w:pPr>
            <w:r>
              <w:rPr>
                <w:color w:val="000000"/>
                <w:sz w:val="20"/>
                <w:szCs w:val="20"/>
              </w:rPr>
              <w:t>62</w:t>
            </w:r>
          </w:p>
        </w:tc>
        <w:tc>
          <w:tcPr>
            <w:tcW w:w="135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072B00" w:rsidRPr="00306CB7" w:rsidP="00306CB7" w14:paraId="12674CD7" w14:textId="2B8EFC2F">
            <w:pPr>
              <w:keepNext/>
              <w:jc w:val="right"/>
              <w:rPr>
                <w:sz w:val="20"/>
                <w:szCs w:val="20"/>
              </w:rPr>
            </w:pPr>
            <w:r w:rsidRPr="00306CB7">
              <w:rPr>
                <w:color w:val="000000"/>
                <w:sz w:val="20"/>
                <w:szCs w:val="20"/>
              </w:rPr>
              <w:t>892</w:t>
            </w:r>
          </w:p>
        </w:tc>
        <w:tc>
          <w:tcPr>
            <w:tcW w:w="135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072B00" w:rsidRPr="00306CB7" w:rsidP="00306CB7" w14:paraId="1FFB9F09" w14:textId="2C5AF523">
            <w:pPr>
              <w:keepNext/>
              <w:jc w:val="right"/>
              <w:rPr>
                <w:sz w:val="20"/>
                <w:szCs w:val="20"/>
              </w:rPr>
            </w:pPr>
            <w:r w:rsidRPr="00306CB7">
              <w:rPr>
                <w:color w:val="000000"/>
                <w:sz w:val="20"/>
                <w:szCs w:val="20"/>
              </w:rPr>
              <w:t>55,295</w:t>
            </w:r>
          </w:p>
        </w:tc>
      </w:tr>
      <w:tr w14:paraId="0613B490" w14:textId="77777777" w:rsidTr="00072B00">
        <w:tblPrEx>
          <w:tblW w:w="7722" w:type="dxa"/>
          <w:tblInd w:w="108" w:type="dxa"/>
          <w:shd w:val="clear" w:color="000000" w:fill="auto"/>
          <w:tblLayout w:type="fixed"/>
          <w:tblLook w:val="04A0"/>
        </w:tblPrEx>
        <w:trPr>
          <w:trHeight w:val="197"/>
        </w:trPr>
        <w:tc>
          <w:tcPr>
            <w:tcW w:w="1422" w:type="dxa"/>
            <w:vMerge/>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072B00" w:rsidRPr="00584097" w:rsidP="00306CB7" w14:paraId="0AAD79A5" w14:textId="21B3CEF6">
            <w:pPr>
              <w:keepNext/>
              <w:rPr>
                <w:sz w:val="20"/>
                <w:szCs w:val="20"/>
              </w:rPr>
            </w:pPr>
          </w:p>
        </w:tc>
        <w:tc>
          <w:tcPr>
            <w:tcW w:w="2496"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072B00" w:rsidRPr="00584097" w:rsidP="005B3BD1" w14:paraId="3C2058FA" w14:textId="77777777">
            <w:pPr>
              <w:keepNext/>
              <w:rPr>
                <w:sz w:val="20"/>
                <w:szCs w:val="20"/>
              </w:rPr>
            </w:pPr>
            <w:r w:rsidRPr="00584097">
              <w:rPr>
                <w:sz w:val="20"/>
                <w:szCs w:val="20"/>
              </w:rPr>
              <w:t>Recordkeeping</w:t>
            </w:r>
          </w:p>
        </w:tc>
        <w:tc>
          <w:tcPr>
            <w:tcW w:w="1104"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072B00" w:rsidRPr="00306CB7" w:rsidP="00306CB7" w14:paraId="400244D7" w14:textId="65BB4C51">
            <w:pPr>
              <w:keepNext/>
              <w:jc w:val="right"/>
              <w:rPr>
                <w:sz w:val="20"/>
                <w:szCs w:val="20"/>
              </w:rPr>
            </w:pPr>
            <w:r w:rsidRPr="00306CB7">
              <w:rPr>
                <w:color w:val="000000"/>
                <w:sz w:val="20"/>
                <w:szCs w:val="20"/>
              </w:rPr>
              <w:t>62</w:t>
            </w:r>
          </w:p>
        </w:tc>
        <w:tc>
          <w:tcPr>
            <w:tcW w:w="135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072B00" w:rsidRPr="00306CB7" w:rsidP="00306CB7" w14:paraId="3217B3AA" w14:textId="060E5E6B">
            <w:pPr>
              <w:keepNext/>
              <w:jc w:val="right"/>
              <w:rPr>
                <w:sz w:val="20"/>
                <w:szCs w:val="20"/>
              </w:rPr>
            </w:pPr>
            <w:r w:rsidRPr="00306CB7">
              <w:rPr>
                <w:color w:val="000000"/>
                <w:sz w:val="20"/>
                <w:szCs w:val="20"/>
              </w:rPr>
              <w:t>39</w:t>
            </w:r>
          </w:p>
        </w:tc>
        <w:tc>
          <w:tcPr>
            <w:tcW w:w="135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072B00" w:rsidRPr="00306CB7" w:rsidP="00306CB7" w14:paraId="52544624" w14:textId="3898D110">
            <w:pPr>
              <w:keepNext/>
              <w:jc w:val="right"/>
              <w:rPr>
                <w:sz w:val="20"/>
                <w:szCs w:val="20"/>
              </w:rPr>
            </w:pPr>
            <w:r w:rsidRPr="00306CB7">
              <w:rPr>
                <w:color w:val="000000"/>
                <w:sz w:val="20"/>
                <w:szCs w:val="20"/>
              </w:rPr>
              <w:t>2,408</w:t>
            </w:r>
          </w:p>
        </w:tc>
      </w:tr>
      <w:tr w14:paraId="64996AF3" w14:textId="77777777" w:rsidTr="00072B00">
        <w:tblPrEx>
          <w:tblW w:w="7722" w:type="dxa"/>
          <w:tblInd w:w="108" w:type="dxa"/>
          <w:shd w:val="clear" w:color="000000" w:fill="auto"/>
          <w:tblLayout w:type="fixed"/>
          <w:tblLook w:val="04A0"/>
        </w:tblPrEx>
        <w:trPr>
          <w:trHeight w:val="53"/>
        </w:trPr>
        <w:tc>
          <w:tcPr>
            <w:tcW w:w="1422" w:type="dxa"/>
            <w:vMerge w:val="restart"/>
            <w:tcBorders>
              <w:top w:val="single" w:sz="4" w:space="0" w:color="auto"/>
              <w:left w:val="single" w:sz="4" w:space="0" w:color="auto"/>
              <w:bottom w:val="single" w:sz="4" w:space="0" w:color="auto"/>
              <w:right w:val="single" w:sz="4" w:space="0" w:color="auto"/>
            </w:tcBorders>
            <w:shd w:val="clear" w:color="000000" w:fill="auto"/>
            <w:noWrap/>
            <w:hideMark/>
          </w:tcPr>
          <w:p w:rsidR="007A179D" w:rsidP="005B3BD1" w14:paraId="75D6E309" w14:textId="77777777">
            <w:pPr>
              <w:keepNext/>
              <w:rPr>
                <w:sz w:val="20"/>
                <w:szCs w:val="20"/>
              </w:rPr>
            </w:pPr>
            <w:r w:rsidRPr="00584097">
              <w:rPr>
                <w:sz w:val="20"/>
                <w:szCs w:val="20"/>
              </w:rPr>
              <w:t xml:space="preserve">Large </w:t>
            </w:r>
            <w:r>
              <w:rPr>
                <w:sz w:val="20"/>
                <w:szCs w:val="20"/>
              </w:rPr>
              <w:t>Bus</w:t>
            </w:r>
          </w:p>
          <w:p w:rsidR="00306CB7" w:rsidRPr="00584097" w:rsidP="005B3BD1" w14:paraId="3D02B7DA" w14:textId="6C362FDB">
            <w:pPr>
              <w:keepNext/>
              <w:rPr>
                <w:sz w:val="20"/>
                <w:szCs w:val="20"/>
              </w:rPr>
            </w:pPr>
            <w:r w:rsidRPr="00584097">
              <w:rPr>
                <w:sz w:val="20"/>
                <w:szCs w:val="20"/>
              </w:rPr>
              <w:t>5307</w:t>
            </w:r>
          </w:p>
        </w:tc>
        <w:tc>
          <w:tcPr>
            <w:tcW w:w="2496"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306CB7" w:rsidRPr="00584097" w:rsidP="005B3BD1" w14:paraId="2C54013C" w14:textId="6545CE6F">
            <w:pPr>
              <w:keepNext/>
              <w:rPr>
                <w:sz w:val="20"/>
                <w:szCs w:val="20"/>
              </w:rPr>
            </w:pPr>
            <w:r>
              <w:rPr>
                <w:sz w:val="20"/>
                <w:szCs w:val="20"/>
              </w:rPr>
              <w:t>Development/</w:t>
            </w:r>
            <w:r w:rsidRPr="00584097">
              <w:rPr>
                <w:sz w:val="20"/>
                <w:szCs w:val="20"/>
              </w:rPr>
              <w:t>Certification</w:t>
            </w:r>
          </w:p>
        </w:tc>
        <w:tc>
          <w:tcPr>
            <w:tcW w:w="1104"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306CB7" w:rsidRPr="00306CB7" w:rsidP="00306CB7" w14:paraId="2DC028E0" w14:textId="03977BA0">
            <w:pPr>
              <w:keepNext/>
              <w:jc w:val="right"/>
              <w:rPr>
                <w:sz w:val="20"/>
                <w:szCs w:val="20"/>
              </w:rPr>
            </w:pPr>
            <w:r w:rsidRPr="00306CB7">
              <w:rPr>
                <w:color w:val="000000"/>
                <w:sz w:val="20"/>
                <w:szCs w:val="20"/>
              </w:rPr>
              <w:t>7</w:t>
            </w:r>
            <w:r w:rsidR="00144233">
              <w:rPr>
                <w:color w:val="000000"/>
                <w:sz w:val="20"/>
                <w:szCs w:val="20"/>
              </w:rPr>
              <w:t>1</w:t>
            </w:r>
          </w:p>
        </w:tc>
        <w:tc>
          <w:tcPr>
            <w:tcW w:w="135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306CB7" w:rsidRPr="00306CB7" w:rsidP="00306CB7" w14:paraId="3FECD731" w14:textId="582D6A58">
            <w:pPr>
              <w:keepNext/>
              <w:jc w:val="right"/>
              <w:rPr>
                <w:sz w:val="20"/>
                <w:szCs w:val="20"/>
              </w:rPr>
            </w:pPr>
            <w:r w:rsidRPr="00306CB7">
              <w:rPr>
                <w:color w:val="000000"/>
                <w:sz w:val="20"/>
                <w:szCs w:val="20"/>
              </w:rPr>
              <w:t>3</w:t>
            </w:r>
          </w:p>
        </w:tc>
        <w:tc>
          <w:tcPr>
            <w:tcW w:w="135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306CB7" w:rsidRPr="00306CB7" w:rsidP="00306CB7" w14:paraId="7C084704" w14:textId="2CAFF58B">
            <w:pPr>
              <w:keepNext/>
              <w:jc w:val="right"/>
              <w:rPr>
                <w:sz w:val="20"/>
                <w:szCs w:val="20"/>
              </w:rPr>
            </w:pPr>
            <w:r w:rsidRPr="00306CB7">
              <w:rPr>
                <w:color w:val="000000"/>
                <w:sz w:val="20"/>
                <w:szCs w:val="20"/>
              </w:rPr>
              <w:t>222</w:t>
            </w:r>
          </w:p>
        </w:tc>
      </w:tr>
      <w:tr w14:paraId="7DB20CAD" w14:textId="77777777" w:rsidTr="00072B00">
        <w:tblPrEx>
          <w:tblW w:w="7722" w:type="dxa"/>
          <w:tblInd w:w="108" w:type="dxa"/>
          <w:shd w:val="clear" w:color="000000" w:fill="auto"/>
          <w:tblLayout w:type="fixed"/>
          <w:tblLook w:val="04A0"/>
        </w:tblPrEx>
        <w:trPr>
          <w:trHeight w:val="80"/>
        </w:trPr>
        <w:tc>
          <w:tcPr>
            <w:tcW w:w="1422" w:type="dxa"/>
            <w:vMerge/>
            <w:tcBorders>
              <w:top w:val="single" w:sz="4" w:space="0" w:color="auto"/>
              <w:left w:val="single" w:sz="4" w:space="0" w:color="auto"/>
              <w:bottom w:val="single" w:sz="4" w:space="0" w:color="auto"/>
              <w:right w:val="single" w:sz="4" w:space="0" w:color="auto"/>
            </w:tcBorders>
            <w:shd w:val="clear" w:color="000000" w:fill="auto"/>
            <w:noWrap/>
            <w:hideMark/>
          </w:tcPr>
          <w:p w:rsidR="00306CB7" w:rsidRPr="00584097" w:rsidP="005B3BD1" w14:paraId="6CA8C7EA" w14:textId="39218ACB">
            <w:pPr>
              <w:keepNext/>
              <w:rPr>
                <w:sz w:val="20"/>
                <w:szCs w:val="20"/>
              </w:rPr>
            </w:pPr>
          </w:p>
        </w:tc>
        <w:tc>
          <w:tcPr>
            <w:tcW w:w="2496"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306CB7" w:rsidRPr="00584097" w:rsidP="005B3BD1" w14:paraId="220A3B78" w14:textId="14152EFC">
            <w:pPr>
              <w:keepNext/>
              <w:rPr>
                <w:sz w:val="20"/>
                <w:szCs w:val="20"/>
              </w:rPr>
            </w:pPr>
            <w:r w:rsidRPr="00584097">
              <w:rPr>
                <w:sz w:val="20"/>
                <w:szCs w:val="20"/>
              </w:rPr>
              <w:t>Implement/Document</w:t>
            </w:r>
          </w:p>
        </w:tc>
        <w:tc>
          <w:tcPr>
            <w:tcW w:w="1104"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306CB7" w:rsidRPr="00306CB7" w:rsidP="00306CB7" w14:paraId="7D982DF3" w14:textId="656E569B">
            <w:pPr>
              <w:keepNext/>
              <w:jc w:val="right"/>
              <w:rPr>
                <w:sz w:val="20"/>
                <w:szCs w:val="20"/>
              </w:rPr>
            </w:pPr>
            <w:r w:rsidRPr="00306CB7">
              <w:rPr>
                <w:color w:val="000000"/>
                <w:sz w:val="20"/>
                <w:szCs w:val="20"/>
              </w:rPr>
              <w:t>7</w:t>
            </w:r>
            <w:r w:rsidR="00144233">
              <w:rPr>
                <w:color w:val="000000"/>
                <w:sz w:val="20"/>
                <w:szCs w:val="20"/>
              </w:rPr>
              <w:t>1</w:t>
            </w:r>
          </w:p>
        </w:tc>
        <w:tc>
          <w:tcPr>
            <w:tcW w:w="135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306CB7" w:rsidRPr="00306CB7" w:rsidP="00306CB7" w14:paraId="5227CECB" w14:textId="15CF7DFF">
            <w:pPr>
              <w:keepNext/>
              <w:jc w:val="right"/>
              <w:rPr>
                <w:sz w:val="20"/>
                <w:szCs w:val="20"/>
              </w:rPr>
            </w:pPr>
            <w:r w:rsidRPr="00306CB7">
              <w:rPr>
                <w:color w:val="000000"/>
                <w:sz w:val="20"/>
                <w:szCs w:val="20"/>
              </w:rPr>
              <w:t>661</w:t>
            </w:r>
          </w:p>
        </w:tc>
        <w:tc>
          <w:tcPr>
            <w:tcW w:w="135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306CB7" w:rsidRPr="00306CB7" w:rsidP="00306CB7" w14:paraId="5C3523FA" w14:textId="1E810592">
            <w:pPr>
              <w:keepNext/>
              <w:jc w:val="right"/>
              <w:rPr>
                <w:sz w:val="20"/>
                <w:szCs w:val="20"/>
              </w:rPr>
            </w:pPr>
            <w:r w:rsidRPr="00306CB7">
              <w:rPr>
                <w:color w:val="000000"/>
                <w:sz w:val="20"/>
                <w:szCs w:val="20"/>
              </w:rPr>
              <w:t>48,913</w:t>
            </w:r>
          </w:p>
        </w:tc>
      </w:tr>
      <w:tr w14:paraId="7C4E1956" w14:textId="77777777" w:rsidTr="00072B00">
        <w:tblPrEx>
          <w:tblW w:w="7722" w:type="dxa"/>
          <w:tblInd w:w="108" w:type="dxa"/>
          <w:shd w:val="clear" w:color="000000" w:fill="auto"/>
          <w:tblLayout w:type="fixed"/>
          <w:tblLook w:val="04A0"/>
        </w:tblPrEx>
        <w:trPr>
          <w:trHeight w:val="50"/>
        </w:trPr>
        <w:tc>
          <w:tcPr>
            <w:tcW w:w="1422" w:type="dxa"/>
            <w:vMerge/>
            <w:tcBorders>
              <w:top w:val="single" w:sz="4" w:space="0" w:color="auto"/>
              <w:left w:val="single" w:sz="4" w:space="0" w:color="auto"/>
              <w:bottom w:val="single" w:sz="4" w:space="0" w:color="auto"/>
              <w:right w:val="single" w:sz="4" w:space="0" w:color="auto"/>
            </w:tcBorders>
            <w:shd w:val="clear" w:color="000000" w:fill="auto"/>
            <w:noWrap/>
            <w:hideMark/>
          </w:tcPr>
          <w:p w:rsidR="00306CB7" w:rsidRPr="00584097" w:rsidP="005B3BD1" w14:paraId="329D4767" w14:textId="117239E4">
            <w:pPr>
              <w:keepNext/>
              <w:rPr>
                <w:sz w:val="20"/>
                <w:szCs w:val="20"/>
              </w:rPr>
            </w:pPr>
          </w:p>
        </w:tc>
        <w:tc>
          <w:tcPr>
            <w:tcW w:w="2496"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306CB7" w:rsidRPr="00584097" w:rsidP="005B3BD1" w14:paraId="56C90C50" w14:textId="77777777">
            <w:pPr>
              <w:keepNext/>
              <w:rPr>
                <w:sz w:val="20"/>
                <w:szCs w:val="20"/>
              </w:rPr>
            </w:pPr>
            <w:r w:rsidRPr="00584097">
              <w:rPr>
                <w:sz w:val="20"/>
                <w:szCs w:val="20"/>
              </w:rPr>
              <w:t>Recordkeeping</w:t>
            </w:r>
          </w:p>
        </w:tc>
        <w:tc>
          <w:tcPr>
            <w:tcW w:w="1104"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306CB7" w:rsidRPr="00306CB7" w:rsidP="00306CB7" w14:paraId="79EA475B" w14:textId="54FD5BF6">
            <w:pPr>
              <w:keepNext/>
              <w:jc w:val="right"/>
              <w:rPr>
                <w:sz w:val="20"/>
                <w:szCs w:val="20"/>
              </w:rPr>
            </w:pPr>
            <w:r w:rsidRPr="00306CB7">
              <w:rPr>
                <w:color w:val="000000"/>
                <w:sz w:val="20"/>
                <w:szCs w:val="20"/>
              </w:rPr>
              <w:t>7</w:t>
            </w:r>
            <w:r w:rsidR="00144233">
              <w:rPr>
                <w:color w:val="000000"/>
                <w:sz w:val="20"/>
                <w:szCs w:val="20"/>
              </w:rPr>
              <w:t>1</w:t>
            </w:r>
          </w:p>
        </w:tc>
        <w:tc>
          <w:tcPr>
            <w:tcW w:w="135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306CB7" w:rsidRPr="00306CB7" w:rsidP="00306CB7" w14:paraId="2BC05649" w14:textId="07E8B870">
            <w:pPr>
              <w:keepNext/>
              <w:jc w:val="right"/>
              <w:rPr>
                <w:sz w:val="20"/>
                <w:szCs w:val="20"/>
              </w:rPr>
            </w:pPr>
            <w:r w:rsidRPr="00306CB7">
              <w:rPr>
                <w:color w:val="000000"/>
                <w:sz w:val="20"/>
                <w:szCs w:val="20"/>
              </w:rPr>
              <w:t>41</w:t>
            </w:r>
          </w:p>
        </w:tc>
        <w:tc>
          <w:tcPr>
            <w:tcW w:w="135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306CB7" w:rsidRPr="00306CB7" w:rsidP="00306CB7" w14:paraId="0CBAFB79" w14:textId="2054BCDE">
            <w:pPr>
              <w:keepNext/>
              <w:jc w:val="right"/>
              <w:rPr>
                <w:sz w:val="20"/>
                <w:szCs w:val="20"/>
              </w:rPr>
            </w:pPr>
            <w:r w:rsidRPr="00306CB7">
              <w:rPr>
                <w:color w:val="000000"/>
                <w:sz w:val="20"/>
                <w:szCs w:val="20"/>
              </w:rPr>
              <w:t>3,027</w:t>
            </w:r>
          </w:p>
        </w:tc>
      </w:tr>
      <w:tr w14:paraId="1EF4E98D" w14:textId="77777777" w:rsidTr="00072B00">
        <w:tblPrEx>
          <w:tblW w:w="7722" w:type="dxa"/>
          <w:tblInd w:w="108" w:type="dxa"/>
          <w:shd w:val="clear" w:color="000000" w:fill="auto"/>
          <w:tblLayout w:type="fixed"/>
          <w:tblLook w:val="04A0"/>
        </w:tblPrEx>
        <w:trPr>
          <w:trHeight w:val="50"/>
        </w:trPr>
        <w:tc>
          <w:tcPr>
            <w:tcW w:w="1422" w:type="dxa"/>
            <w:vMerge w:val="restart"/>
            <w:tcBorders>
              <w:top w:val="single" w:sz="4" w:space="0" w:color="auto"/>
              <w:left w:val="single" w:sz="4" w:space="0" w:color="auto"/>
              <w:bottom w:val="single" w:sz="4" w:space="0" w:color="auto"/>
              <w:right w:val="single" w:sz="4" w:space="0" w:color="auto"/>
            </w:tcBorders>
            <w:shd w:val="clear" w:color="000000" w:fill="auto"/>
            <w:noWrap/>
            <w:hideMark/>
          </w:tcPr>
          <w:p w:rsidR="007A179D" w:rsidP="005B3BD1" w14:paraId="169B9D92" w14:textId="77777777">
            <w:pPr>
              <w:keepNext/>
              <w:rPr>
                <w:sz w:val="20"/>
                <w:szCs w:val="20"/>
              </w:rPr>
            </w:pPr>
            <w:r w:rsidRPr="00584097">
              <w:rPr>
                <w:sz w:val="20"/>
                <w:szCs w:val="20"/>
              </w:rPr>
              <w:t xml:space="preserve">Small </w:t>
            </w:r>
          </w:p>
          <w:p w:rsidR="00306CB7" w:rsidRPr="00584097" w:rsidP="005B3BD1" w14:paraId="5B2EE3EA" w14:textId="4FD0C17C">
            <w:pPr>
              <w:keepNext/>
              <w:rPr>
                <w:sz w:val="20"/>
                <w:szCs w:val="20"/>
              </w:rPr>
            </w:pPr>
            <w:r w:rsidRPr="00584097">
              <w:rPr>
                <w:sz w:val="20"/>
                <w:szCs w:val="20"/>
              </w:rPr>
              <w:t>5307</w:t>
            </w:r>
          </w:p>
        </w:tc>
        <w:tc>
          <w:tcPr>
            <w:tcW w:w="2496"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306CB7" w:rsidRPr="00584097" w:rsidP="005B3BD1" w14:paraId="30EA6299" w14:textId="33FD2CD8">
            <w:pPr>
              <w:keepNext/>
              <w:rPr>
                <w:sz w:val="20"/>
                <w:szCs w:val="20"/>
              </w:rPr>
            </w:pPr>
            <w:r>
              <w:rPr>
                <w:sz w:val="20"/>
                <w:szCs w:val="20"/>
              </w:rPr>
              <w:t>Development/</w:t>
            </w:r>
            <w:r w:rsidRPr="00584097">
              <w:rPr>
                <w:sz w:val="20"/>
                <w:szCs w:val="20"/>
              </w:rPr>
              <w:t>Certification</w:t>
            </w:r>
          </w:p>
        </w:tc>
        <w:tc>
          <w:tcPr>
            <w:tcW w:w="1104"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306CB7" w:rsidRPr="00306CB7" w:rsidP="003253F2" w14:paraId="2AD55236" w14:textId="6D5D23A8">
            <w:pPr>
              <w:keepNext/>
              <w:jc w:val="right"/>
              <w:rPr>
                <w:sz w:val="20"/>
                <w:szCs w:val="20"/>
              </w:rPr>
            </w:pPr>
            <w:r>
              <w:rPr>
                <w:color w:val="000000"/>
                <w:sz w:val="20"/>
                <w:szCs w:val="20"/>
              </w:rPr>
              <w:t>572</w:t>
            </w:r>
          </w:p>
        </w:tc>
        <w:tc>
          <w:tcPr>
            <w:tcW w:w="135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306CB7" w:rsidRPr="00306CB7" w:rsidP="00306CB7" w14:paraId="54BFB829" w14:textId="0A54441A">
            <w:pPr>
              <w:keepNext/>
              <w:jc w:val="right"/>
              <w:rPr>
                <w:sz w:val="20"/>
                <w:szCs w:val="20"/>
              </w:rPr>
            </w:pPr>
            <w:r w:rsidRPr="00306CB7">
              <w:rPr>
                <w:color w:val="000000"/>
                <w:sz w:val="20"/>
                <w:szCs w:val="20"/>
              </w:rPr>
              <w:t>3</w:t>
            </w:r>
          </w:p>
        </w:tc>
        <w:tc>
          <w:tcPr>
            <w:tcW w:w="135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306CB7" w:rsidRPr="00306CB7" w:rsidP="003253F2" w14:paraId="5A08CEDD" w14:textId="2420C096">
            <w:pPr>
              <w:keepNext/>
              <w:jc w:val="right"/>
              <w:rPr>
                <w:sz w:val="20"/>
                <w:szCs w:val="20"/>
              </w:rPr>
            </w:pPr>
            <w:r w:rsidRPr="00306CB7">
              <w:rPr>
                <w:color w:val="000000"/>
                <w:sz w:val="20"/>
                <w:szCs w:val="20"/>
              </w:rPr>
              <w:t>1</w:t>
            </w:r>
            <w:r w:rsidR="00177C2D">
              <w:rPr>
                <w:color w:val="000000"/>
                <w:sz w:val="20"/>
                <w:szCs w:val="20"/>
              </w:rPr>
              <w:t>,</w:t>
            </w:r>
            <w:r w:rsidRPr="00306CB7">
              <w:rPr>
                <w:color w:val="000000"/>
                <w:sz w:val="20"/>
                <w:szCs w:val="20"/>
              </w:rPr>
              <w:t>7</w:t>
            </w:r>
            <w:r w:rsidR="00177C2D">
              <w:rPr>
                <w:color w:val="000000"/>
                <w:sz w:val="20"/>
                <w:szCs w:val="20"/>
              </w:rPr>
              <w:t>16</w:t>
            </w:r>
          </w:p>
        </w:tc>
      </w:tr>
      <w:tr w14:paraId="040CB5B0" w14:textId="77777777" w:rsidTr="00072B00">
        <w:tblPrEx>
          <w:tblW w:w="7722" w:type="dxa"/>
          <w:tblInd w:w="108" w:type="dxa"/>
          <w:shd w:val="clear" w:color="000000" w:fill="auto"/>
          <w:tblLayout w:type="fixed"/>
          <w:tblLook w:val="04A0"/>
        </w:tblPrEx>
        <w:trPr>
          <w:trHeight w:val="80"/>
        </w:trPr>
        <w:tc>
          <w:tcPr>
            <w:tcW w:w="1422" w:type="dxa"/>
            <w:vMerge/>
            <w:tcBorders>
              <w:top w:val="single" w:sz="4" w:space="0" w:color="auto"/>
              <w:left w:val="single" w:sz="4" w:space="0" w:color="auto"/>
              <w:bottom w:val="single" w:sz="4" w:space="0" w:color="auto"/>
              <w:right w:val="single" w:sz="4" w:space="0" w:color="auto"/>
            </w:tcBorders>
            <w:shd w:val="clear" w:color="000000" w:fill="auto"/>
            <w:noWrap/>
          </w:tcPr>
          <w:p w:rsidR="00306CB7" w:rsidRPr="00584097" w:rsidP="005B3BD1" w14:paraId="34B083F7" w14:textId="77777777">
            <w:pPr>
              <w:keepNext/>
              <w:rPr>
                <w:sz w:val="20"/>
                <w:szCs w:val="20"/>
              </w:rPr>
            </w:pPr>
          </w:p>
        </w:tc>
        <w:tc>
          <w:tcPr>
            <w:tcW w:w="2496"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306CB7" w:rsidRPr="00584097" w:rsidP="005B3BD1" w14:paraId="72C367FB" w14:textId="12AE2733">
            <w:pPr>
              <w:keepNext/>
              <w:rPr>
                <w:sz w:val="20"/>
                <w:szCs w:val="20"/>
              </w:rPr>
            </w:pPr>
            <w:r w:rsidRPr="00584097">
              <w:rPr>
                <w:sz w:val="20"/>
                <w:szCs w:val="20"/>
              </w:rPr>
              <w:t>Implement/Document</w:t>
            </w:r>
          </w:p>
        </w:tc>
        <w:tc>
          <w:tcPr>
            <w:tcW w:w="1104"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306CB7" w:rsidRPr="00306CB7" w:rsidP="003253F2" w14:paraId="4D78EC70" w14:textId="59E2F782">
            <w:pPr>
              <w:keepNext/>
              <w:jc w:val="right"/>
              <w:rPr>
                <w:sz w:val="20"/>
                <w:szCs w:val="20"/>
              </w:rPr>
            </w:pPr>
            <w:r w:rsidRPr="00306CB7">
              <w:rPr>
                <w:color w:val="000000"/>
                <w:sz w:val="20"/>
                <w:szCs w:val="20"/>
              </w:rPr>
              <w:t>5</w:t>
            </w:r>
            <w:r w:rsidR="00733653">
              <w:rPr>
                <w:color w:val="000000"/>
                <w:sz w:val="20"/>
                <w:szCs w:val="20"/>
              </w:rPr>
              <w:t>72</w:t>
            </w:r>
          </w:p>
        </w:tc>
        <w:tc>
          <w:tcPr>
            <w:tcW w:w="135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177C2D" w:rsidRPr="00177C2D" w:rsidP="00177C2D" w14:paraId="33136007" w14:textId="4E08A250">
            <w:pPr>
              <w:keepNext/>
              <w:jc w:val="right"/>
              <w:rPr>
                <w:rFonts w:eastAsiaTheme="minorHAnsi"/>
                <w:color w:val="000000"/>
                <w:sz w:val="20"/>
                <w:szCs w:val="20"/>
              </w:rPr>
            </w:pPr>
            <w:r w:rsidRPr="00306CB7">
              <w:rPr>
                <w:color w:val="000000"/>
                <w:sz w:val="20"/>
                <w:szCs w:val="20"/>
              </w:rPr>
              <w:t>21</w:t>
            </w:r>
            <w:r>
              <w:rPr>
                <w:color w:val="000000"/>
                <w:sz w:val="20"/>
                <w:szCs w:val="20"/>
              </w:rPr>
              <w:t>2</w:t>
            </w:r>
          </w:p>
        </w:tc>
        <w:tc>
          <w:tcPr>
            <w:tcW w:w="135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306CB7" w:rsidRPr="00306CB7" w:rsidP="00306CB7" w14:paraId="0957B022" w14:textId="16BDDC8A">
            <w:pPr>
              <w:keepNext/>
              <w:jc w:val="right"/>
              <w:rPr>
                <w:sz w:val="20"/>
                <w:szCs w:val="20"/>
              </w:rPr>
            </w:pPr>
            <w:r w:rsidRPr="00306CB7">
              <w:rPr>
                <w:color w:val="000000"/>
                <w:sz w:val="20"/>
                <w:szCs w:val="20"/>
              </w:rPr>
              <w:t>121,1</w:t>
            </w:r>
            <w:r w:rsidR="007066A3">
              <w:rPr>
                <w:color w:val="000000"/>
                <w:sz w:val="20"/>
                <w:szCs w:val="20"/>
              </w:rPr>
              <w:t>37</w:t>
            </w:r>
          </w:p>
        </w:tc>
      </w:tr>
      <w:tr w14:paraId="0578637D" w14:textId="77777777" w:rsidTr="00072B00">
        <w:tblPrEx>
          <w:tblW w:w="7722" w:type="dxa"/>
          <w:tblInd w:w="108" w:type="dxa"/>
          <w:shd w:val="clear" w:color="000000" w:fill="auto"/>
          <w:tblLayout w:type="fixed"/>
          <w:tblLook w:val="04A0"/>
        </w:tblPrEx>
        <w:trPr>
          <w:trHeight w:val="107"/>
        </w:trPr>
        <w:tc>
          <w:tcPr>
            <w:tcW w:w="1422" w:type="dxa"/>
            <w:vMerge/>
            <w:tcBorders>
              <w:top w:val="single" w:sz="4" w:space="0" w:color="auto"/>
              <w:left w:val="single" w:sz="4" w:space="0" w:color="auto"/>
              <w:bottom w:val="single" w:sz="4" w:space="0" w:color="auto"/>
              <w:right w:val="single" w:sz="4" w:space="0" w:color="auto"/>
            </w:tcBorders>
            <w:shd w:val="clear" w:color="000000" w:fill="auto"/>
            <w:noWrap/>
            <w:hideMark/>
          </w:tcPr>
          <w:p w:rsidR="00306CB7" w:rsidRPr="00584097" w:rsidP="005B3BD1" w14:paraId="76A2D04A" w14:textId="76CD6F94">
            <w:pPr>
              <w:keepNext/>
              <w:rPr>
                <w:sz w:val="20"/>
                <w:szCs w:val="20"/>
              </w:rPr>
            </w:pPr>
          </w:p>
        </w:tc>
        <w:tc>
          <w:tcPr>
            <w:tcW w:w="2496"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306CB7" w:rsidRPr="00584097" w:rsidP="005B3BD1" w14:paraId="5F1D9F4A" w14:textId="77777777">
            <w:pPr>
              <w:keepNext/>
              <w:rPr>
                <w:sz w:val="20"/>
                <w:szCs w:val="20"/>
              </w:rPr>
            </w:pPr>
            <w:r w:rsidRPr="00584097">
              <w:rPr>
                <w:sz w:val="20"/>
                <w:szCs w:val="20"/>
              </w:rPr>
              <w:t>Recordkeeping</w:t>
            </w:r>
          </w:p>
        </w:tc>
        <w:tc>
          <w:tcPr>
            <w:tcW w:w="1104"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306CB7" w:rsidRPr="00306CB7" w:rsidP="003253F2" w14:paraId="0E74D631" w14:textId="47E6DC9F">
            <w:pPr>
              <w:keepNext/>
              <w:jc w:val="right"/>
              <w:rPr>
                <w:sz w:val="20"/>
                <w:szCs w:val="20"/>
              </w:rPr>
            </w:pPr>
            <w:r w:rsidRPr="00306CB7">
              <w:rPr>
                <w:color w:val="000000"/>
                <w:sz w:val="20"/>
                <w:szCs w:val="20"/>
              </w:rPr>
              <w:t>5</w:t>
            </w:r>
            <w:r w:rsidR="00733653">
              <w:rPr>
                <w:color w:val="000000"/>
                <w:sz w:val="20"/>
                <w:szCs w:val="20"/>
              </w:rPr>
              <w:t>72</w:t>
            </w:r>
          </w:p>
        </w:tc>
        <w:tc>
          <w:tcPr>
            <w:tcW w:w="135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306CB7" w:rsidRPr="00306CB7" w:rsidP="00306CB7" w14:paraId="3349D664" w14:textId="209263B1">
            <w:pPr>
              <w:keepNext/>
              <w:jc w:val="right"/>
              <w:rPr>
                <w:sz w:val="20"/>
                <w:szCs w:val="20"/>
              </w:rPr>
            </w:pPr>
            <w:r w:rsidRPr="00306CB7">
              <w:rPr>
                <w:color w:val="000000"/>
                <w:sz w:val="20"/>
                <w:szCs w:val="20"/>
              </w:rPr>
              <w:t>34</w:t>
            </w:r>
          </w:p>
        </w:tc>
        <w:tc>
          <w:tcPr>
            <w:tcW w:w="135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306CB7" w:rsidRPr="00306CB7" w:rsidP="00306CB7" w14:paraId="32B283D5" w14:textId="52BB1C5B">
            <w:pPr>
              <w:keepNext/>
              <w:jc w:val="right"/>
              <w:rPr>
                <w:sz w:val="20"/>
                <w:szCs w:val="20"/>
              </w:rPr>
            </w:pPr>
            <w:r w:rsidRPr="00306CB7">
              <w:rPr>
                <w:color w:val="000000"/>
                <w:sz w:val="20"/>
                <w:szCs w:val="20"/>
              </w:rPr>
              <w:t>19,601</w:t>
            </w:r>
          </w:p>
        </w:tc>
      </w:tr>
      <w:tr w14:paraId="1003B2DA" w14:textId="77777777" w:rsidTr="00072B00">
        <w:tblPrEx>
          <w:tblW w:w="7722" w:type="dxa"/>
          <w:tblInd w:w="108" w:type="dxa"/>
          <w:shd w:val="clear" w:color="000000" w:fill="auto"/>
          <w:tblLayout w:type="fixed"/>
          <w:tblLook w:val="04A0"/>
        </w:tblPrEx>
        <w:trPr>
          <w:trHeight w:val="278"/>
        </w:trPr>
        <w:tc>
          <w:tcPr>
            <w:tcW w:w="1422" w:type="dxa"/>
            <w:vMerge w:val="restart"/>
            <w:tcBorders>
              <w:top w:val="single" w:sz="4" w:space="0" w:color="auto"/>
              <w:left w:val="single" w:sz="4" w:space="0" w:color="auto"/>
              <w:right w:val="single" w:sz="4" w:space="0" w:color="auto"/>
            </w:tcBorders>
            <w:shd w:val="clear" w:color="000000" w:fill="auto"/>
            <w:noWrap/>
            <w:hideMark/>
          </w:tcPr>
          <w:p w:rsidR="00306CB7" w:rsidRPr="00DE6722" w:rsidP="005B3BD1" w14:paraId="5BA52C83" w14:textId="00AD4180">
            <w:pPr>
              <w:keepNext/>
              <w:rPr>
                <w:sz w:val="20"/>
                <w:szCs w:val="20"/>
              </w:rPr>
            </w:pPr>
            <w:r w:rsidRPr="00DE6722">
              <w:rPr>
                <w:sz w:val="20"/>
                <w:szCs w:val="20"/>
              </w:rPr>
              <w:t>States</w:t>
            </w:r>
          </w:p>
        </w:tc>
        <w:tc>
          <w:tcPr>
            <w:tcW w:w="2496"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306CB7" w:rsidRPr="00DE6722" w:rsidP="005B3BD1" w14:paraId="6AA97AF3" w14:textId="4D711A6F">
            <w:pPr>
              <w:keepNext/>
              <w:rPr>
                <w:sz w:val="20"/>
                <w:szCs w:val="20"/>
              </w:rPr>
            </w:pPr>
            <w:r w:rsidRPr="00DE6722">
              <w:rPr>
                <w:sz w:val="20"/>
                <w:szCs w:val="20"/>
              </w:rPr>
              <w:t>Development</w:t>
            </w:r>
          </w:p>
        </w:tc>
        <w:tc>
          <w:tcPr>
            <w:tcW w:w="1104"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306CB7" w:rsidRPr="00DE6722" w:rsidP="00306CB7" w14:paraId="02DEA28F" w14:textId="3CAED7D2">
            <w:pPr>
              <w:keepNext/>
              <w:jc w:val="right"/>
              <w:rPr>
                <w:color w:val="000000"/>
                <w:sz w:val="20"/>
                <w:szCs w:val="20"/>
              </w:rPr>
            </w:pPr>
            <w:r w:rsidRPr="00DE6722">
              <w:rPr>
                <w:color w:val="000000"/>
                <w:sz w:val="20"/>
                <w:szCs w:val="20"/>
              </w:rPr>
              <w:t>5</w:t>
            </w:r>
          </w:p>
        </w:tc>
        <w:tc>
          <w:tcPr>
            <w:tcW w:w="135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306CB7" w:rsidRPr="00DE6722" w:rsidP="00306CB7" w14:paraId="320EF91A" w14:textId="44E262BF">
            <w:pPr>
              <w:keepNext/>
              <w:jc w:val="right"/>
              <w:rPr>
                <w:sz w:val="20"/>
                <w:szCs w:val="20"/>
              </w:rPr>
            </w:pPr>
            <w:r w:rsidRPr="00DE6722">
              <w:rPr>
                <w:color w:val="000000"/>
                <w:sz w:val="20"/>
                <w:szCs w:val="20"/>
              </w:rPr>
              <w:t>40</w:t>
            </w:r>
          </w:p>
        </w:tc>
        <w:tc>
          <w:tcPr>
            <w:tcW w:w="135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306CB7" w:rsidRPr="00DE6722" w:rsidP="00306CB7" w14:paraId="03773A49" w14:textId="77076BCF">
            <w:pPr>
              <w:keepNext/>
              <w:jc w:val="right"/>
              <w:rPr>
                <w:sz w:val="20"/>
                <w:szCs w:val="20"/>
              </w:rPr>
            </w:pPr>
            <w:r w:rsidRPr="00DE6722">
              <w:rPr>
                <w:color w:val="000000"/>
                <w:sz w:val="20"/>
                <w:szCs w:val="20"/>
              </w:rPr>
              <w:t>200</w:t>
            </w:r>
          </w:p>
        </w:tc>
      </w:tr>
      <w:tr w14:paraId="1BDA1435" w14:textId="77777777" w:rsidTr="00072B00">
        <w:tblPrEx>
          <w:tblW w:w="7722" w:type="dxa"/>
          <w:tblInd w:w="108" w:type="dxa"/>
          <w:shd w:val="clear" w:color="000000" w:fill="auto"/>
          <w:tblLayout w:type="fixed"/>
          <w:tblLook w:val="04A0"/>
        </w:tblPrEx>
        <w:trPr>
          <w:trHeight w:val="67"/>
        </w:trPr>
        <w:tc>
          <w:tcPr>
            <w:tcW w:w="1422" w:type="dxa"/>
            <w:vMerge/>
            <w:tcBorders>
              <w:top w:val="single" w:sz="4" w:space="0" w:color="auto"/>
              <w:left w:val="single" w:sz="4" w:space="0" w:color="auto"/>
              <w:right w:val="single" w:sz="4" w:space="0" w:color="auto"/>
            </w:tcBorders>
            <w:shd w:val="clear" w:color="000000" w:fill="auto"/>
            <w:noWrap/>
            <w:vAlign w:val="bottom"/>
          </w:tcPr>
          <w:p w:rsidR="00306CB7" w:rsidRPr="00DE6722" w:rsidP="00306CB7" w14:paraId="13ADD0A5" w14:textId="77777777">
            <w:pPr>
              <w:keepNext/>
              <w:rPr>
                <w:sz w:val="20"/>
                <w:szCs w:val="20"/>
              </w:rPr>
            </w:pPr>
          </w:p>
        </w:tc>
        <w:tc>
          <w:tcPr>
            <w:tcW w:w="2496"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306CB7" w:rsidRPr="00DE6722" w:rsidP="005B3BD1" w14:paraId="0E2A0669" w14:textId="180C3321">
            <w:pPr>
              <w:keepNext/>
              <w:rPr>
                <w:sz w:val="20"/>
                <w:szCs w:val="20"/>
              </w:rPr>
            </w:pPr>
            <w:r w:rsidRPr="00DE6722">
              <w:rPr>
                <w:sz w:val="20"/>
                <w:szCs w:val="20"/>
              </w:rPr>
              <w:t>Certification</w:t>
            </w:r>
          </w:p>
        </w:tc>
        <w:tc>
          <w:tcPr>
            <w:tcW w:w="1104"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306CB7" w:rsidRPr="00DE6722" w:rsidP="00306CB7" w14:paraId="7D44B405" w14:textId="4080AA08">
            <w:pPr>
              <w:keepNext/>
              <w:jc w:val="right"/>
              <w:rPr>
                <w:color w:val="000000"/>
                <w:sz w:val="20"/>
                <w:szCs w:val="20"/>
              </w:rPr>
            </w:pPr>
            <w:r w:rsidRPr="00DE6722">
              <w:rPr>
                <w:color w:val="000000"/>
                <w:sz w:val="20"/>
                <w:szCs w:val="20"/>
              </w:rPr>
              <w:t>50</w:t>
            </w:r>
          </w:p>
        </w:tc>
        <w:tc>
          <w:tcPr>
            <w:tcW w:w="135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306CB7" w:rsidRPr="00DE6722" w:rsidP="00306CB7" w14:paraId="4FBB27C4" w14:textId="12D474F6">
            <w:pPr>
              <w:keepNext/>
              <w:jc w:val="right"/>
              <w:rPr>
                <w:color w:val="000000"/>
                <w:sz w:val="20"/>
                <w:szCs w:val="20"/>
              </w:rPr>
            </w:pPr>
            <w:r w:rsidRPr="00DE6722">
              <w:rPr>
                <w:color w:val="000000"/>
                <w:sz w:val="20"/>
                <w:szCs w:val="20"/>
              </w:rPr>
              <w:t>3</w:t>
            </w:r>
          </w:p>
        </w:tc>
        <w:tc>
          <w:tcPr>
            <w:tcW w:w="135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306CB7" w:rsidRPr="00DE6722" w:rsidP="00306CB7" w14:paraId="59F15F18" w14:textId="51DF9DFA">
            <w:pPr>
              <w:keepNext/>
              <w:jc w:val="right"/>
              <w:rPr>
                <w:color w:val="000000"/>
                <w:sz w:val="20"/>
                <w:szCs w:val="20"/>
              </w:rPr>
            </w:pPr>
            <w:r w:rsidRPr="00DE6722">
              <w:rPr>
                <w:color w:val="000000"/>
                <w:sz w:val="20"/>
                <w:szCs w:val="20"/>
              </w:rPr>
              <w:t>1</w:t>
            </w:r>
            <w:r w:rsidR="00DE6722">
              <w:rPr>
                <w:color w:val="000000"/>
                <w:sz w:val="20"/>
                <w:szCs w:val="20"/>
              </w:rPr>
              <w:t>50</w:t>
            </w:r>
          </w:p>
        </w:tc>
      </w:tr>
      <w:tr w14:paraId="6A8925C5" w14:textId="77777777" w:rsidTr="00072B00">
        <w:tblPrEx>
          <w:tblW w:w="7722" w:type="dxa"/>
          <w:tblInd w:w="108" w:type="dxa"/>
          <w:shd w:val="clear" w:color="000000" w:fill="auto"/>
          <w:tblLayout w:type="fixed"/>
          <w:tblLook w:val="04A0"/>
        </w:tblPrEx>
        <w:trPr>
          <w:trHeight w:val="50"/>
        </w:trPr>
        <w:tc>
          <w:tcPr>
            <w:tcW w:w="1422"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306CB7" w:rsidRPr="00DE6722" w:rsidP="00306CB7" w14:paraId="34423975" w14:textId="77777777">
            <w:pPr>
              <w:rPr>
                <w:b/>
                <w:sz w:val="20"/>
                <w:szCs w:val="20"/>
              </w:rPr>
            </w:pPr>
            <w:r w:rsidRPr="00DE6722">
              <w:rPr>
                <w:b/>
                <w:sz w:val="20"/>
                <w:szCs w:val="20"/>
              </w:rPr>
              <w:t>Grand Total</w:t>
            </w:r>
          </w:p>
        </w:tc>
        <w:tc>
          <w:tcPr>
            <w:tcW w:w="2496"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306CB7" w:rsidRPr="00DE6722" w:rsidP="00306CB7" w14:paraId="6BA2FE9D" w14:textId="77777777">
            <w:pPr>
              <w:rPr>
                <w:b/>
                <w:sz w:val="20"/>
                <w:szCs w:val="20"/>
              </w:rPr>
            </w:pPr>
          </w:p>
        </w:tc>
        <w:tc>
          <w:tcPr>
            <w:tcW w:w="1104"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306CB7" w:rsidRPr="00DE6722" w:rsidP="003253F2" w14:paraId="670EC751" w14:textId="0CC24A64">
            <w:pPr>
              <w:jc w:val="right"/>
              <w:rPr>
                <w:b/>
                <w:color w:val="000000"/>
                <w:sz w:val="20"/>
                <w:szCs w:val="20"/>
              </w:rPr>
            </w:pPr>
            <w:r w:rsidRPr="00DE6722">
              <w:rPr>
                <w:b/>
                <w:bCs/>
                <w:color w:val="000000"/>
                <w:sz w:val="20"/>
                <w:szCs w:val="20"/>
              </w:rPr>
              <w:t>7</w:t>
            </w:r>
            <w:r w:rsidRPr="00DE6722" w:rsidR="00FD0156">
              <w:rPr>
                <w:b/>
                <w:bCs/>
                <w:color w:val="000000"/>
                <w:sz w:val="20"/>
                <w:szCs w:val="20"/>
              </w:rPr>
              <w:t>5</w:t>
            </w:r>
            <w:r w:rsidR="003A6B5D">
              <w:rPr>
                <w:b/>
                <w:bCs/>
                <w:color w:val="000000"/>
                <w:sz w:val="20"/>
                <w:szCs w:val="20"/>
              </w:rPr>
              <w:t>5</w:t>
            </w:r>
          </w:p>
        </w:tc>
        <w:tc>
          <w:tcPr>
            <w:tcW w:w="135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306CB7" w:rsidRPr="00DE6722" w:rsidP="00306CB7" w14:paraId="3D01590D" w14:textId="378BA5D0">
            <w:pPr>
              <w:jc w:val="right"/>
              <w:rPr>
                <w:b/>
                <w:color w:val="000000"/>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306CB7" w:rsidRPr="00DE6722" w:rsidP="003253F2" w14:paraId="77C20D67" w14:textId="14AC90E8">
            <w:pPr>
              <w:jc w:val="right"/>
              <w:rPr>
                <w:b/>
                <w:color w:val="000000"/>
                <w:sz w:val="20"/>
                <w:szCs w:val="20"/>
              </w:rPr>
            </w:pPr>
            <w:r w:rsidRPr="00DE6722">
              <w:rPr>
                <w:b/>
                <w:bCs/>
                <w:color w:val="000000"/>
                <w:sz w:val="20"/>
                <w:szCs w:val="20"/>
              </w:rPr>
              <w:t>252,8</w:t>
            </w:r>
            <w:r w:rsidR="007066A3">
              <w:rPr>
                <w:b/>
                <w:bCs/>
                <w:color w:val="000000"/>
                <w:sz w:val="20"/>
                <w:szCs w:val="20"/>
              </w:rPr>
              <w:t>55</w:t>
            </w:r>
          </w:p>
        </w:tc>
      </w:tr>
    </w:tbl>
    <w:p w:rsidR="00EA227C" w:rsidRPr="00DE6722" w:rsidP="00A66850" w14:paraId="19D759E1" w14:textId="77777777">
      <w:pPr>
        <w:rPr>
          <w:u w:val="single"/>
        </w:rPr>
      </w:pPr>
    </w:p>
    <w:p w:rsidR="001F4AFF" w:rsidP="7FC443FA" w14:paraId="3BBC9015" w14:textId="77777777">
      <w:pPr>
        <w:rPr>
          <w:b/>
          <w:bCs/>
          <w:u w:val="single"/>
        </w:rPr>
      </w:pPr>
    </w:p>
    <w:p w:rsidR="001F4AFF" w:rsidP="7FC443FA" w14:paraId="5B9BB1FB" w14:textId="77777777">
      <w:pPr>
        <w:rPr>
          <w:b/>
          <w:bCs/>
          <w:u w:val="single"/>
        </w:rPr>
      </w:pPr>
    </w:p>
    <w:p w:rsidR="002320B3" w:rsidRPr="00BD3B63" w:rsidP="7FC443FA" w14:paraId="09E81042" w14:textId="4BF04534">
      <w:pPr>
        <w:rPr>
          <w:b/>
          <w:bCs/>
          <w:u w:val="single"/>
        </w:rPr>
      </w:pPr>
      <w:r w:rsidRPr="7FC443FA">
        <w:rPr>
          <w:b/>
          <w:bCs/>
          <w:u w:val="single"/>
        </w:rPr>
        <w:t xml:space="preserve">Table </w:t>
      </w:r>
      <w:r w:rsidRPr="7FC443FA" w:rsidR="0084616D">
        <w:rPr>
          <w:b/>
          <w:bCs/>
          <w:u w:val="single"/>
        </w:rPr>
        <w:t>2</w:t>
      </w:r>
      <w:r w:rsidRPr="7FC443FA" w:rsidR="00A17015">
        <w:rPr>
          <w:b/>
          <w:bCs/>
          <w:u w:val="single"/>
        </w:rPr>
        <w:t>:</w:t>
      </w:r>
      <w:r w:rsidRPr="7FC443FA" w:rsidR="00F360ED">
        <w:rPr>
          <w:b/>
          <w:bCs/>
          <w:u w:val="single"/>
        </w:rPr>
        <w:t xml:space="preserve"> </w:t>
      </w:r>
      <w:r w:rsidRPr="7FC443FA" w:rsidR="00952FB1">
        <w:rPr>
          <w:b/>
          <w:bCs/>
          <w:u w:val="single"/>
        </w:rPr>
        <w:t xml:space="preserve">Existing </w:t>
      </w:r>
      <w:r w:rsidRPr="7FC443FA" w:rsidR="00A33483">
        <w:rPr>
          <w:b/>
          <w:bCs/>
          <w:u w:val="single"/>
        </w:rPr>
        <w:t xml:space="preserve">PTASP </w:t>
      </w:r>
      <w:r w:rsidRPr="7FC443FA" w:rsidR="00952FB1">
        <w:rPr>
          <w:b/>
          <w:bCs/>
          <w:u w:val="single"/>
        </w:rPr>
        <w:t>Requirement</w:t>
      </w:r>
      <w:r w:rsidRPr="7FC443FA" w:rsidR="00A33483">
        <w:rPr>
          <w:b/>
          <w:bCs/>
          <w:u w:val="single"/>
        </w:rPr>
        <w:t xml:space="preserve">s </w:t>
      </w:r>
      <w:r w:rsidRPr="7FC443FA" w:rsidR="00AB6823">
        <w:rPr>
          <w:b/>
          <w:bCs/>
          <w:u w:val="single"/>
        </w:rPr>
        <w:t xml:space="preserve">Annual </w:t>
      </w:r>
      <w:r w:rsidRPr="7FC443FA">
        <w:rPr>
          <w:b/>
          <w:bCs/>
          <w:u w:val="single"/>
        </w:rPr>
        <w:t xml:space="preserve">Costs </w:t>
      </w:r>
      <w:r w:rsidRPr="7FC443FA" w:rsidR="00FC338A">
        <w:rPr>
          <w:b/>
          <w:bCs/>
          <w:u w:val="single"/>
        </w:rPr>
        <w:t>(</w:t>
      </w:r>
      <w:r w:rsidRPr="7FC443FA" w:rsidR="007467D4">
        <w:rPr>
          <w:b/>
          <w:bCs/>
          <w:u w:val="single"/>
        </w:rPr>
        <w:t>Includes Labor, IT/Materials, and Travel</w:t>
      </w:r>
      <w:r w:rsidRPr="7FC443FA" w:rsidR="00FC338A">
        <w:rPr>
          <w:b/>
          <w:bCs/>
          <w:u w:val="single"/>
        </w:rPr>
        <w:t>)</w:t>
      </w:r>
    </w:p>
    <w:p w:rsidR="00A17015" w:rsidRPr="00B30F11" w:rsidP="00A66850" w14:paraId="26C476D1" w14:textId="77777777">
      <w:pPr>
        <w:keepNext/>
      </w:pPr>
    </w:p>
    <w:tbl>
      <w:tblPr>
        <w:tblW w:w="4837" w:type="dxa"/>
        <w:tblInd w:w="108" w:type="dxa"/>
        <w:shd w:val="clear" w:color="000000" w:fill="auto"/>
        <w:tblLayout w:type="fixed"/>
        <w:tblLook w:val="04A0"/>
      </w:tblPr>
      <w:tblGrid>
        <w:gridCol w:w="877"/>
        <w:gridCol w:w="2610"/>
        <w:gridCol w:w="1350"/>
      </w:tblGrid>
      <w:tr w14:paraId="0D86EF29" w14:textId="77777777" w:rsidTr="00054465">
        <w:tblPrEx>
          <w:tblW w:w="4837" w:type="dxa"/>
          <w:tblInd w:w="108" w:type="dxa"/>
          <w:shd w:val="clear" w:color="000000" w:fill="auto"/>
          <w:tblLayout w:type="fixed"/>
          <w:tblLook w:val="04A0"/>
        </w:tblPrEx>
        <w:trPr>
          <w:trHeight w:val="20"/>
        </w:trPr>
        <w:tc>
          <w:tcPr>
            <w:tcW w:w="877" w:type="dxa"/>
            <w:tcBorders>
              <w:top w:val="single" w:sz="4" w:space="0" w:color="auto"/>
              <w:left w:val="single" w:sz="4" w:space="0" w:color="auto"/>
              <w:bottom w:val="single" w:sz="4" w:space="0" w:color="auto"/>
              <w:right w:val="nil"/>
            </w:tcBorders>
            <w:shd w:val="clear" w:color="auto" w:fill="auto"/>
            <w:noWrap/>
            <w:hideMark/>
          </w:tcPr>
          <w:p w:rsidR="00B30F11" w:rsidRPr="00B30F11" w:rsidP="00A66850" w14:paraId="5A0EE44D" w14:textId="77777777">
            <w:pPr>
              <w:keepNext/>
              <w:rPr>
                <w:sz w:val="20"/>
                <w:szCs w:val="20"/>
              </w:rPr>
            </w:pPr>
          </w:p>
        </w:tc>
        <w:tc>
          <w:tcPr>
            <w:tcW w:w="2610" w:type="dxa"/>
            <w:tcBorders>
              <w:top w:val="single" w:sz="4" w:space="0" w:color="auto"/>
              <w:left w:val="nil"/>
              <w:bottom w:val="single" w:sz="4" w:space="0" w:color="auto"/>
              <w:right w:val="single" w:sz="4" w:space="0" w:color="auto"/>
            </w:tcBorders>
            <w:shd w:val="clear" w:color="auto" w:fill="auto"/>
            <w:noWrap/>
            <w:hideMark/>
          </w:tcPr>
          <w:p w:rsidR="00B30F11" w:rsidRPr="00B30F11" w:rsidP="00A66850" w14:paraId="0859368B" w14:textId="77777777">
            <w:pPr>
              <w:keepNext/>
              <w:rPr>
                <w:sz w:val="20"/>
                <w:szCs w:val="20"/>
              </w:rPr>
            </w:pPr>
            <w:r w:rsidRPr="00B30F11">
              <w:rPr>
                <w:sz w:val="20"/>
                <w:szCs w:val="20"/>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B30F11" w:rsidRPr="00B30F11" w:rsidP="00A66850" w14:paraId="618E1A6E" w14:textId="1E183E73">
            <w:pPr>
              <w:keepNext/>
              <w:rPr>
                <w:sz w:val="20"/>
                <w:szCs w:val="20"/>
              </w:rPr>
            </w:pPr>
            <w:r w:rsidRPr="00B30F11">
              <w:rPr>
                <w:sz w:val="20"/>
                <w:szCs w:val="20"/>
              </w:rPr>
              <w:t>Annual Cost</w:t>
            </w:r>
          </w:p>
        </w:tc>
      </w:tr>
      <w:tr w14:paraId="719A1A3D" w14:textId="77777777" w:rsidTr="00054465">
        <w:tblPrEx>
          <w:tblW w:w="4837" w:type="dxa"/>
          <w:tblInd w:w="108" w:type="dxa"/>
          <w:shd w:val="clear" w:color="000000" w:fill="auto"/>
          <w:tblLayout w:type="fixed"/>
          <w:tblLook w:val="04A0"/>
        </w:tblPrEx>
        <w:trPr>
          <w:trHeight w:val="20"/>
        </w:trPr>
        <w:tc>
          <w:tcPr>
            <w:tcW w:w="877" w:type="dxa"/>
            <w:vMerge w:val="restart"/>
            <w:tcBorders>
              <w:top w:val="single" w:sz="4" w:space="0" w:color="auto"/>
              <w:left w:val="single" w:sz="4" w:space="0" w:color="auto"/>
              <w:right w:val="single" w:sz="4" w:space="0" w:color="auto"/>
            </w:tcBorders>
            <w:shd w:val="clear" w:color="auto" w:fill="auto"/>
            <w:noWrap/>
            <w:hideMark/>
          </w:tcPr>
          <w:p w:rsidR="00B30F11" w:rsidRPr="00B30F11" w:rsidP="00B30F11" w14:paraId="0C91B8F0" w14:textId="35CAAE8C">
            <w:pPr>
              <w:keepNext/>
              <w:rPr>
                <w:sz w:val="20"/>
                <w:szCs w:val="20"/>
              </w:rPr>
            </w:pPr>
            <w:r w:rsidRPr="00B30F11">
              <w:rPr>
                <w:sz w:val="20"/>
                <w:szCs w:val="20"/>
              </w:rPr>
              <w:t>Rail</w:t>
            </w: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rsidR="00B30F11" w:rsidRPr="00B30F11" w:rsidP="00B30F11" w14:paraId="4D7075C6" w14:textId="2A4DB509">
            <w:pPr>
              <w:keepNext/>
              <w:rPr>
                <w:sz w:val="20"/>
                <w:szCs w:val="20"/>
              </w:rPr>
            </w:pPr>
            <w:r w:rsidRPr="00B30F11">
              <w:rPr>
                <w:color w:val="000000"/>
                <w:sz w:val="20"/>
                <w:szCs w:val="20"/>
              </w:rPr>
              <w:t>Development</w:t>
            </w:r>
            <w:r>
              <w:rPr>
                <w:color w:val="000000"/>
                <w:sz w:val="20"/>
                <w:szCs w:val="20"/>
              </w:rPr>
              <w:t>/Certification</w:t>
            </w:r>
          </w:p>
        </w:tc>
        <w:tc>
          <w:tcPr>
            <w:tcW w:w="1350" w:type="dxa"/>
            <w:tcBorders>
              <w:top w:val="single" w:sz="4" w:space="0" w:color="auto"/>
              <w:left w:val="nil"/>
              <w:bottom w:val="single" w:sz="4" w:space="0" w:color="auto"/>
              <w:right w:val="single" w:sz="4" w:space="0" w:color="auto"/>
            </w:tcBorders>
            <w:shd w:val="clear" w:color="auto" w:fill="auto"/>
            <w:noWrap/>
            <w:hideMark/>
          </w:tcPr>
          <w:p w:rsidR="00B30F11" w:rsidRPr="00B30F11" w:rsidP="00B30F11" w14:paraId="6E631BAC" w14:textId="324324A2">
            <w:pPr>
              <w:keepNext/>
              <w:jc w:val="right"/>
              <w:rPr>
                <w:sz w:val="20"/>
                <w:szCs w:val="20"/>
              </w:rPr>
            </w:pPr>
            <w:r w:rsidRPr="00B30F11">
              <w:rPr>
                <w:color w:val="000000"/>
                <w:sz w:val="20"/>
                <w:szCs w:val="20"/>
              </w:rPr>
              <w:t xml:space="preserve"> $ 10,382 </w:t>
            </w:r>
          </w:p>
        </w:tc>
      </w:tr>
      <w:tr w14:paraId="09F17199" w14:textId="77777777" w:rsidTr="00054465">
        <w:tblPrEx>
          <w:tblW w:w="4837" w:type="dxa"/>
          <w:tblInd w:w="108" w:type="dxa"/>
          <w:shd w:val="clear" w:color="000000" w:fill="auto"/>
          <w:tblLayout w:type="fixed"/>
          <w:tblLook w:val="04A0"/>
        </w:tblPrEx>
        <w:trPr>
          <w:trHeight w:val="20"/>
        </w:trPr>
        <w:tc>
          <w:tcPr>
            <w:tcW w:w="877" w:type="dxa"/>
            <w:vMerge/>
            <w:tcBorders>
              <w:left w:val="single" w:sz="4" w:space="0" w:color="auto"/>
            </w:tcBorders>
            <w:noWrap/>
            <w:hideMark/>
          </w:tcPr>
          <w:p w:rsidR="00B30F11" w:rsidRPr="00B30F11" w:rsidP="00B30F11" w14:paraId="3FED8A60" w14:textId="7BBEAED2">
            <w:pPr>
              <w:keepNext/>
              <w:rPr>
                <w:sz w:val="20"/>
                <w:szCs w:val="20"/>
              </w:rPr>
            </w:pP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rsidR="00B30F11" w:rsidRPr="00B30F11" w:rsidP="00B30F11" w14:paraId="16E2543A" w14:textId="6DE6D2DD">
            <w:pPr>
              <w:keepNext/>
              <w:rPr>
                <w:sz w:val="20"/>
                <w:szCs w:val="20"/>
              </w:rPr>
            </w:pPr>
            <w:r w:rsidRPr="00B30F11">
              <w:rPr>
                <w:color w:val="000000"/>
                <w:sz w:val="20"/>
                <w:szCs w:val="20"/>
              </w:rPr>
              <w:t>Implement/ Document</w:t>
            </w:r>
          </w:p>
        </w:tc>
        <w:tc>
          <w:tcPr>
            <w:tcW w:w="1350" w:type="dxa"/>
            <w:tcBorders>
              <w:top w:val="single" w:sz="4" w:space="0" w:color="auto"/>
              <w:left w:val="nil"/>
              <w:bottom w:val="single" w:sz="4" w:space="0" w:color="auto"/>
              <w:right w:val="single" w:sz="4" w:space="0" w:color="auto"/>
            </w:tcBorders>
            <w:shd w:val="clear" w:color="auto" w:fill="auto"/>
            <w:noWrap/>
            <w:hideMark/>
          </w:tcPr>
          <w:p w:rsidR="00B30F11" w:rsidRPr="00B30F11" w:rsidP="00B30F11" w14:paraId="03C5F643" w14:textId="1D0FCEE3">
            <w:pPr>
              <w:keepNext/>
              <w:jc w:val="right"/>
              <w:rPr>
                <w:sz w:val="20"/>
                <w:szCs w:val="20"/>
              </w:rPr>
            </w:pPr>
            <w:r w:rsidRPr="00B30F11">
              <w:rPr>
                <w:color w:val="000000"/>
                <w:sz w:val="20"/>
                <w:szCs w:val="20"/>
              </w:rPr>
              <w:t xml:space="preserve"> $7,458,60</w:t>
            </w:r>
            <w:r w:rsidR="005B3BD1">
              <w:rPr>
                <w:color w:val="000000"/>
                <w:sz w:val="20"/>
                <w:szCs w:val="20"/>
              </w:rPr>
              <w:t>3</w:t>
            </w:r>
            <w:r w:rsidRPr="00B30F11">
              <w:rPr>
                <w:color w:val="000000"/>
                <w:sz w:val="20"/>
                <w:szCs w:val="20"/>
              </w:rPr>
              <w:t xml:space="preserve"> </w:t>
            </w:r>
          </w:p>
        </w:tc>
      </w:tr>
      <w:tr w14:paraId="0399A193" w14:textId="77777777" w:rsidTr="00054465">
        <w:tblPrEx>
          <w:tblW w:w="4837" w:type="dxa"/>
          <w:tblInd w:w="108" w:type="dxa"/>
          <w:shd w:val="clear" w:color="000000" w:fill="auto"/>
          <w:tblLayout w:type="fixed"/>
          <w:tblLook w:val="04A0"/>
        </w:tblPrEx>
        <w:trPr>
          <w:trHeight w:val="20"/>
        </w:trPr>
        <w:tc>
          <w:tcPr>
            <w:tcW w:w="877" w:type="dxa"/>
            <w:vMerge/>
            <w:tcBorders>
              <w:left w:val="single" w:sz="4" w:space="0" w:color="auto"/>
            </w:tcBorders>
            <w:noWrap/>
            <w:hideMark/>
          </w:tcPr>
          <w:p w:rsidR="00B30F11" w:rsidRPr="00B30F11" w:rsidP="00B30F11" w14:paraId="0E9FC25E" w14:textId="416F728A">
            <w:pPr>
              <w:keepNext/>
              <w:rPr>
                <w:sz w:val="20"/>
                <w:szCs w:val="20"/>
              </w:rPr>
            </w:pP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rsidR="00B30F11" w:rsidRPr="00B30F11" w:rsidP="00B30F11" w14:paraId="21F04413" w14:textId="7A106152">
            <w:pPr>
              <w:keepNext/>
              <w:rPr>
                <w:sz w:val="20"/>
                <w:szCs w:val="20"/>
              </w:rPr>
            </w:pPr>
            <w:r w:rsidRPr="00B30F11">
              <w:rPr>
                <w:color w:val="000000"/>
                <w:sz w:val="20"/>
                <w:szCs w:val="20"/>
              </w:rPr>
              <w:t>Recordkeeping</w:t>
            </w:r>
          </w:p>
        </w:tc>
        <w:tc>
          <w:tcPr>
            <w:tcW w:w="1350" w:type="dxa"/>
            <w:tcBorders>
              <w:top w:val="single" w:sz="4" w:space="0" w:color="auto"/>
              <w:left w:val="nil"/>
              <w:bottom w:val="single" w:sz="4" w:space="0" w:color="auto"/>
              <w:right w:val="single" w:sz="4" w:space="0" w:color="auto"/>
            </w:tcBorders>
            <w:shd w:val="clear" w:color="auto" w:fill="auto"/>
            <w:noWrap/>
            <w:hideMark/>
          </w:tcPr>
          <w:p w:rsidR="00B30F11" w:rsidRPr="00B30F11" w:rsidP="00B30F11" w14:paraId="19706206" w14:textId="06CD11A0">
            <w:pPr>
              <w:keepNext/>
              <w:jc w:val="right"/>
              <w:rPr>
                <w:sz w:val="20"/>
                <w:szCs w:val="20"/>
              </w:rPr>
            </w:pPr>
            <w:r w:rsidRPr="7FC443FA">
              <w:rPr>
                <w:color w:val="000000" w:themeColor="text1"/>
                <w:sz w:val="20"/>
                <w:szCs w:val="20"/>
              </w:rPr>
              <w:t xml:space="preserve"> $1,</w:t>
            </w:r>
            <w:r w:rsidRPr="7FC443FA" w:rsidR="003F6DC4">
              <w:rPr>
                <w:color w:val="000000" w:themeColor="text1"/>
                <w:sz w:val="20"/>
                <w:szCs w:val="20"/>
              </w:rPr>
              <w:t>387</w:t>
            </w:r>
            <w:r w:rsidRPr="7FC443FA">
              <w:rPr>
                <w:color w:val="000000" w:themeColor="text1"/>
                <w:sz w:val="20"/>
                <w:szCs w:val="20"/>
              </w:rPr>
              <w:t>,</w:t>
            </w:r>
            <w:r w:rsidRPr="7FC443FA" w:rsidR="003F6DC4">
              <w:rPr>
                <w:color w:val="000000" w:themeColor="text1"/>
                <w:sz w:val="20"/>
                <w:szCs w:val="20"/>
              </w:rPr>
              <w:t>059</w:t>
            </w:r>
            <w:r w:rsidRPr="7FC443FA">
              <w:rPr>
                <w:color w:val="000000" w:themeColor="text1"/>
                <w:sz w:val="20"/>
                <w:szCs w:val="20"/>
              </w:rPr>
              <w:t xml:space="preserve"> </w:t>
            </w:r>
          </w:p>
        </w:tc>
      </w:tr>
      <w:tr w14:paraId="3918BDCA" w14:textId="77777777" w:rsidTr="00054465">
        <w:tblPrEx>
          <w:tblW w:w="4837" w:type="dxa"/>
          <w:tblInd w:w="108" w:type="dxa"/>
          <w:shd w:val="clear" w:color="000000" w:fill="auto"/>
          <w:tblLayout w:type="fixed"/>
          <w:tblLook w:val="04A0"/>
        </w:tblPrEx>
        <w:trPr>
          <w:trHeight w:val="20"/>
        </w:trPr>
        <w:tc>
          <w:tcPr>
            <w:tcW w:w="877" w:type="dxa"/>
            <w:vMerge w:val="restart"/>
            <w:tcBorders>
              <w:top w:val="single" w:sz="4" w:space="0" w:color="auto"/>
              <w:left w:val="single" w:sz="4" w:space="0" w:color="auto"/>
              <w:right w:val="single" w:sz="4" w:space="0" w:color="auto"/>
            </w:tcBorders>
            <w:shd w:val="clear" w:color="auto" w:fill="auto"/>
            <w:noWrap/>
            <w:hideMark/>
          </w:tcPr>
          <w:p w:rsidR="00B30F11" w:rsidRPr="00B30F11" w:rsidP="00B30F11" w14:paraId="37D823CC" w14:textId="22D0A149">
            <w:pPr>
              <w:keepNext/>
              <w:rPr>
                <w:sz w:val="20"/>
                <w:szCs w:val="20"/>
              </w:rPr>
            </w:pPr>
            <w:r w:rsidRPr="00B30F11">
              <w:rPr>
                <w:sz w:val="20"/>
                <w:szCs w:val="20"/>
              </w:rPr>
              <w:t xml:space="preserve">Large </w:t>
            </w:r>
            <w:r w:rsidR="007A179D">
              <w:rPr>
                <w:sz w:val="20"/>
                <w:szCs w:val="20"/>
              </w:rPr>
              <w:t xml:space="preserve">Bus </w:t>
            </w:r>
            <w:r w:rsidRPr="00B30F11">
              <w:rPr>
                <w:sz w:val="20"/>
                <w:szCs w:val="20"/>
              </w:rPr>
              <w:t>5307</w:t>
            </w: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rsidR="00B30F11" w:rsidRPr="00B30F11" w:rsidP="00B30F11" w14:paraId="79E22711" w14:textId="33F5EE2C">
            <w:pPr>
              <w:keepNext/>
              <w:rPr>
                <w:sz w:val="20"/>
                <w:szCs w:val="20"/>
              </w:rPr>
            </w:pPr>
            <w:r w:rsidRPr="00B30F11">
              <w:rPr>
                <w:color w:val="000000"/>
                <w:sz w:val="20"/>
                <w:szCs w:val="20"/>
              </w:rPr>
              <w:t>Development</w:t>
            </w:r>
            <w:r>
              <w:rPr>
                <w:color w:val="000000"/>
                <w:sz w:val="20"/>
                <w:szCs w:val="20"/>
              </w:rPr>
              <w:t>/Certification</w:t>
            </w:r>
          </w:p>
        </w:tc>
        <w:tc>
          <w:tcPr>
            <w:tcW w:w="1350" w:type="dxa"/>
            <w:tcBorders>
              <w:top w:val="single" w:sz="4" w:space="0" w:color="auto"/>
              <w:left w:val="nil"/>
              <w:bottom w:val="single" w:sz="4" w:space="0" w:color="auto"/>
              <w:right w:val="single" w:sz="4" w:space="0" w:color="auto"/>
            </w:tcBorders>
            <w:shd w:val="clear" w:color="auto" w:fill="auto"/>
            <w:noWrap/>
            <w:hideMark/>
          </w:tcPr>
          <w:p w:rsidR="00B30F11" w:rsidRPr="00B30F11" w:rsidP="00B30F11" w14:paraId="7401AED5" w14:textId="1CDCF9AB">
            <w:pPr>
              <w:keepNext/>
              <w:jc w:val="right"/>
              <w:rPr>
                <w:sz w:val="20"/>
                <w:szCs w:val="20"/>
              </w:rPr>
            </w:pPr>
            <w:r w:rsidRPr="00B30F11">
              <w:rPr>
                <w:color w:val="000000"/>
                <w:sz w:val="20"/>
                <w:szCs w:val="20"/>
              </w:rPr>
              <w:t xml:space="preserve"> $8,770 </w:t>
            </w:r>
          </w:p>
        </w:tc>
      </w:tr>
      <w:tr w14:paraId="6AA68692" w14:textId="77777777" w:rsidTr="00054465">
        <w:tblPrEx>
          <w:tblW w:w="4837" w:type="dxa"/>
          <w:tblInd w:w="108" w:type="dxa"/>
          <w:shd w:val="clear" w:color="000000" w:fill="auto"/>
          <w:tblLayout w:type="fixed"/>
          <w:tblLook w:val="04A0"/>
        </w:tblPrEx>
        <w:trPr>
          <w:trHeight w:val="20"/>
        </w:trPr>
        <w:tc>
          <w:tcPr>
            <w:tcW w:w="877" w:type="dxa"/>
            <w:vMerge/>
            <w:tcBorders>
              <w:left w:val="single" w:sz="4" w:space="0" w:color="auto"/>
            </w:tcBorders>
            <w:noWrap/>
            <w:hideMark/>
          </w:tcPr>
          <w:p w:rsidR="00B30F11" w:rsidRPr="00B30F11" w:rsidP="00B30F11" w14:paraId="0535BBF0" w14:textId="43F2E321">
            <w:pPr>
              <w:keepNext/>
              <w:rPr>
                <w:sz w:val="20"/>
                <w:szCs w:val="20"/>
              </w:rPr>
            </w:pP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rsidR="00B30F11" w:rsidRPr="00B30F11" w:rsidP="00B30F11" w14:paraId="79779996" w14:textId="63ECC0B1">
            <w:pPr>
              <w:keepNext/>
              <w:rPr>
                <w:sz w:val="20"/>
                <w:szCs w:val="20"/>
              </w:rPr>
            </w:pPr>
            <w:r w:rsidRPr="00B30F11">
              <w:rPr>
                <w:color w:val="000000"/>
                <w:sz w:val="20"/>
                <w:szCs w:val="20"/>
              </w:rPr>
              <w:t>Implement/ Document</w:t>
            </w:r>
          </w:p>
        </w:tc>
        <w:tc>
          <w:tcPr>
            <w:tcW w:w="1350" w:type="dxa"/>
            <w:tcBorders>
              <w:top w:val="single" w:sz="4" w:space="0" w:color="auto"/>
              <w:left w:val="nil"/>
              <w:bottom w:val="single" w:sz="4" w:space="0" w:color="auto"/>
              <w:right w:val="single" w:sz="4" w:space="0" w:color="auto"/>
            </w:tcBorders>
            <w:shd w:val="clear" w:color="auto" w:fill="auto"/>
            <w:noWrap/>
            <w:hideMark/>
          </w:tcPr>
          <w:p w:rsidR="00B30F11" w:rsidRPr="00B30F11" w:rsidP="00B30F11" w14:paraId="7C4C008E" w14:textId="6462D4BC">
            <w:pPr>
              <w:keepNext/>
              <w:jc w:val="right"/>
              <w:rPr>
                <w:sz w:val="20"/>
                <w:szCs w:val="20"/>
              </w:rPr>
            </w:pPr>
            <w:r w:rsidRPr="00B30F11">
              <w:rPr>
                <w:color w:val="000000"/>
                <w:sz w:val="20"/>
                <w:szCs w:val="20"/>
              </w:rPr>
              <w:t xml:space="preserve"> $4,307,712 </w:t>
            </w:r>
          </w:p>
        </w:tc>
      </w:tr>
      <w:tr w14:paraId="34A6A979" w14:textId="77777777" w:rsidTr="00054465">
        <w:tblPrEx>
          <w:tblW w:w="4837" w:type="dxa"/>
          <w:tblInd w:w="108" w:type="dxa"/>
          <w:shd w:val="clear" w:color="000000" w:fill="auto"/>
          <w:tblLayout w:type="fixed"/>
          <w:tblLook w:val="04A0"/>
        </w:tblPrEx>
        <w:trPr>
          <w:trHeight w:val="20"/>
        </w:trPr>
        <w:tc>
          <w:tcPr>
            <w:tcW w:w="877" w:type="dxa"/>
            <w:vMerge/>
            <w:tcBorders>
              <w:left w:val="single" w:sz="4" w:space="0" w:color="auto"/>
            </w:tcBorders>
            <w:noWrap/>
            <w:hideMark/>
          </w:tcPr>
          <w:p w:rsidR="00B30F11" w:rsidRPr="00B30F11" w:rsidP="00B30F11" w14:paraId="11859145" w14:textId="01A61348">
            <w:pPr>
              <w:keepNext/>
              <w:rPr>
                <w:sz w:val="20"/>
                <w:szCs w:val="20"/>
              </w:rPr>
            </w:pP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rsidR="00B30F11" w:rsidRPr="00B30F11" w:rsidP="00B30F11" w14:paraId="4C22ABB4" w14:textId="46942A7A">
            <w:pPr>
              <w:keepNext/>
              <w:rPr>
                <w:sz w:val="20"/>
                <w:szCs w:val="20"/>
              </w:rPr>
            </w:pPr>
            <w:r w:rsidRPr="00B30F11">
              <w:rPr>
                <w:color w:val="000000"/>
                <w:sz w:val="20"/>
                <w:szCs w:val="20"/>
              </w:rPr>
              <w:t>Recordkeeping</w:t>
            </w:r>
          </w:p>
        </w:tc>
        <w:tc>
          <w:tcPr>
            <w:tcW w:w="1350" w:type="dxa"/>
            <w:tcBorders>
              <w:top w:val="single" w:sz="4" w:space="0" w:color="auto"/>
              <w:left w:val="nil"/>
              <w:bottom w:val="single" w:sz="4" w:space="0" w:color="auto"/>
              <w:right w:val="single" w:sz="4" w:space="0" w:color="auto"/>
            </w:tcBorders>
            <w:shd w:val="clear" w:color="auto" w:fill="auto"/>
            <w:noWrap/>
            <w:hideMark/>
          </w:tcPr>
          <w:p w:rsidR="00B30F11" w:rsidRPr="00B30F11" w:rsidP="00B30F11" w14:paraId="6921F599" w14:textId="75413BC0">
            <w:pPr>
              <w:keepNext/>
              <w:jc w:val="right"/>
              <w:rPr>
                <w:sz w:val="20"/>
                <w:szCs w:val="20"/>
              </w:rPr>
            </w:pPr>
            <w:r w:rsidRPr="7FC443FA">
              <w:rPr>
                <w:color w:val="000000" w:themeColor="text1"/>
                <w:sz w:val="20"/>
                <w:szCs w:val="20"/>
              </w:rPr>
              <w:t xml:space="preserve"> $1,</w:t>
            </w:r>
            <w:r w:rsidRPr="7FC443FA" w:rsidR="00EA227C">
              <w:rPr>
                <w:color w:val="000000" w:themeColor="text1"/>
                <w:sz w:val="20"/>
                <w:szCs w:val="20"/>
              </w:rPr>
              <w:t>314,388</w:t>
            </w:r>
            <w:r w:rsidRPr="7FC443FA">
              <w:rPr>
                <w:color w:val="000000" w:themeColor="text1"/>
                <w:sz w:val="20"/>
                <w:szCs w:val="20"/>
              </w:rPr>
              <w:t xml:space="preserve"> </w:t>
            </w:r>
          </w:p>
        </w:tc>
      </w:tr>
      <w:tr w14:paraId="6673C0E4" w14:textId="77777777" w:rsidTr="00054465">
        <w:tblPrEx>
          <w:tblW w:w="4837" w:type="dxa"/>
          <w:tblInd w:w="108" w:type="dxa"/>
          <w:shd w:val="clear" w:color="000000" w:fill="auto"/>
          <w:tblLayout w:type="fixed"/>
          <w:tblLook w:val="04A0"/>
        </w:tblPrEx>
        <w:trPr>
          <w:trHeight w:val="20"/>
        </w:trPr>
        <w:tc>
          <w:tcPr>
            <w:tcW w:w="877" w:type="dxa"/>
            <w:vMerge w:val="restart"/>
            <w:tcBorders>
              <w:top w:val="single" w:sz="4" w:space="0" w:color="auto"/>
              <w:left w:val="single" w:sz="4" w:space="0" w:color="auto"/>
              <w:right w:val="single" w:sz="4" w:space="0" w:color="auto"/>
            </w:tcBorders>
            <w:shd w:val="clear" w:color="auto" w:fill="auto"/>
            <w:noWrap/>
            <w:hideMark/>
          </w:tcPr>
          <w:p w:rsidR="007A179D" w:rsidP="00B30F11" w14:paraId="74471E89" w14:textId="77777777">
            <w:pPr>
              <w:keepNext/>
              <w:rPr>
                <w:sz w:val="20"/>
                <w:szCs w:val="20"/>
              </w:rPr>
            </w:pPr>
            <w:r w:rsidRPr="00B30F11">
              <w:rPr>
                <w:sz w:val="20"/>
                <w:szCs w:val="20"/>
              </w:rPr>
              <w:t xml:space="preserve">Small </w:t>
            </w:r>
          </w:p>
          <w:p w:rsidR="00B30F11" w:rsidRPr="00B30F11" w:rsidP="00B30F11" w14:paraId="78C04C6A" w14:textId="38C83933">
            <w:pPr>
              <w:keepNext/>
              <w:rPr>
                <w:sz w:val="20"/>
                <w:szCs w:val="20"/>
              </w:rPr>
            </w:pPr>
            <w:r w:rsidRPr="00B30F11">
              <w:rPr>
                <w:sz w:val="20"/>
                <w:szCs w:val="20"/>
              </w:rPr>
              <w:t>5307</w:t>
            </w: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rsidR="00B30F11" w:rsidRPr="00B30F11" w:rsidP="00B30F11" w14:paraId="044066F6" w14:textId="43EA0EA6">
            <w:pPr>
              <w:keepNext/>
              <w:rPr>
                <w:sz w:val="20"/>
                <w:szCs w:val="20"/>
              </w:rPr>
            </w:pPr>
            <w:r w:rsidRPr="00B30F11">
              <w:rPr>
                <w:color w:val="000000"/>
                <w:sz w:val="20"/>
                <w:szCs w:val="20"/>
              </w:rPr>
              <w:t>Development</w:t>
            </w:r>
            <w:r>
              <w:rPr>
                <w:color w:val="000000"/>
                <w:sz w:val="20"/>
                <w:szCs w:val="20"/>
              </w:rPr>
              <w:t>/Certification</w:t>
            </w:r>
          </w:p>
        </w:tc>
        <w:tc>
          <w:tcPr>
            <w:tcW w:w="1350" w:type="dxa"/>
            <w:tcBorders>
              <w:top w:val="single" w:sz="4" w:space="0" w:color="auto"/>
              <w:left w:val="nil"/>
              <w:bottom w:val="single" w:sz="4" w:space="0" w:color="auto"/>
              <w:right w:val="single" w:sz="4" w:space="0" w:color="auto"/>
            </w:tcBorders>
            <w:shd w:val="clear" w:color="auto" w:fill="auto"/>
            <w:noWrap/>
            <w:hideMark/>
          </w:tcPr>
          <w:p w:rsidR="00B30F11" w:rsidRPr="00B30F11" w:rsidP="00B30F11" w14:paraId="35BAA6F0" w14:textId="08A57C97">
            <w:pPr>
              <w:keepNext/>
              <w:jc w:val="right"/>
              <w:rPr>
                <w:sz w:val="20"/>
                <w:szCs w:val="20"/>
              </w:rPr>
            </w:pPr>
            <w:r w:rsidRPr="00B30F11">
              <w:rPr>
                <w:color w:val="000000"/>
                <w:sz w:val="20"/>
                <w:szCs w:val="20"/>
              </w:rPr>
              <w:t xml:space="preserve"> $4,1</w:t>
            </w:r>
            <w:r w:rsidR="00952FB1">
              <w:rPr>
                <w:color w:val="000000"/>
                <w:sz w:val="20"/>
                <w:szCs w:val="20"/>
              </w:rPr>
              <w:t>50</w:t>
            </w:r>
            <w:r w:rsidRPr="00B30F11">
              <w:rPr>
                <w:color w:val="000000"/>
                <w:sz w:val="20"/>
                <w:szCs w:val="20"/>
              </w:rPr>
              <w:t xml:space="preserve"> </w:t>
            </w:r>
          </w:p>
        </w:tc>
      </w:tr>
      <w:tr w14:paraId="177DCD16" w14:textId="77777777" w:rsidTr="00054465">
        <w:tblPrEx>
          <w:tblW w:w="4837" w:type="dxa"/>
          <w:tblInd w:w="108" w:type="dxa"/>
          <w:shd w:val="clear" w:color="000000" w:fill="auto"/>
          <w:tblLayout w:type="fixed"/>
          <w:tblLook w:val="04A0"/>
        </w:tblPrEx>
        <w:trPr>
          <w:trHeight w:val="20"/>
        </w:trPr>
        <w:tc>
          <w:tcPr>
            <w:tcW w:w="877" w:type="dxa"/>
            <w:vMerge/>
            <w:tcBorders>
              <w:left w:val="single" w:sz="4" w:space="0" w:color="auto"/>
            </w:tcBorders>
            <w:noWrap/>
            <w:hideMark/>
          </w:tcPr>
          <w:p w:rsidR="00B30F11" w:rsidRPr="00B30F11" w:rsidP="00B30F11" w14:paraId="01BBDCE0" w14:textId="1C9B54C6">
            <w:pPr>
              <w:keepNext/>
              <w:rPr>
                <w:sz w:val="20"/>
                <w:szCs w:val="20"/>
              </w:rPr>
            </w:pP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rsidR="00B30F11" w:rsidRPr="00B30F11" w:rsidP="00B30F11" w14:paraId="1F151C06" w14:textId="079A75A0">
            <w:pPr>
              <w:keepNext/>
              <w:rPr>
                <w:sz w:val="20"/>
                <w:szCs w:val="20"/>
              </w:rPr>
            </w:pPr>
            <w:r w:rsidRPr="00B30F11">
              <w:rPr>
                <w:color w:val="000000"/>
                <w:sz w:val="20"/>
                <w:szCs w:val="20"/>
              </w:rPr>
              <w:t>Implement/ Document</w:t>
            </w:r>
          </w:p>
        </w:tc>
        <w:tc>
          <w:tcPr>
            <w:tcW w:w="1350" w:type="dxa"/>
            <w:tcBorders>
              <w:top w:val="single" w:sz="4" w:space="0" w:color="auto"/>
              <w:left w:val="nil"/>
              <w:bottom w:val="single" w:sz="4" w:space="0" w:color="auto"/>
              <w:right w:val="single" w:sz="4" w:space="0" w:color="auto"/>
            </w:tcBorders>
            <w:shd w:val="clear" w:color="auto" w:fill="auto"/>
            <w:noWrap/>
            <w:hideMark/>
          </w:tcPr>
          <w:p w:rsidR="00B30F11" w:rsidRPr="00B30F11" w:rsidP="00B30F11" w14:paraId="07E0D0D3" w14:textId="4FA96BDF">
            <w:pPr>
              <w:keepNext/>
              <w:jc w:val="right"/>
              <w:rPr>
                <w:sz w:val="20"/>
                <w:szCs w:val="20"/>
              </w:rPr>
            </w:pPr>
            <w:r w:rsidRPr="00B30F11">
              <w:rPr>
                <w:color w:val="000000"/>
                <w:sz w:val="20"/>
                <w:szCs w:val="20"/>
              </w:rPr>
              <w:t xml:space="preserve"> $8,643,82</w:t>
            </w:r>
            <w:r w:rsidR="005B3BD1">
              <w:rPr>
                <w:color w:val="000000"/>
                <w:sz w:val="20"/>
                <w:szCs w:val="20"/>
              </w:rPr>
              <w:t>2</w:t>
            </w:r>
            <w:r w:rsidRPr="00B30F11">
              <w:rPr>
                <w:color w:val="000000"/>
                <w:sz w:val="20"/>
                <w:szCs w:val="20"/>
              </w:rPr>
              <w:t xml:space="preserve"> </w:t>
            </w:r>
          </w:p>
        </w:tc>
      </w:tr>
      <w:tr w14:paraId="33A1ADCB" w14:textId="77777777" w:rsidTr="00054465">
        <w:tblPrEx>
          <w:tblW w:w="4837" w:type="dxa"/>
          <w:tblInd w:w="108" w:type="dxa"/>
          <w:shd w:val="clear" w:color="000000" w:fill="auto"/>
          <w:tblLayout w:type="fixed"/>
          <w:tblLook w:val="04A0"/>
        </w:tblPrEx>
        <w:trPr>
          <w:trHeight w:val="20"/>
        </w:trPr>
        <w:tc>
          <w:tcPr>
            <w:tcW w:w="877" w:type="dxa"/>
            <w:vMerge/>
            <w:tcBorders>
              <w:left w:val="single" w:sz="4" w:space="0" w:color="auto"/>
            </w:tcBorders>
            <w:noWrap/>
            <w:hideMark/>
          </w:tcPr>
          <w:p w:rsidR="00B30F11" w:rsidRPr="00B30F11" w:rsidP="00B30F11" w14:paraId="503188E0" w14:textId="38468866">
            <w:pPr>
              <w:keepNext/>
              <w:rPr>
                <w:sz w:val="20"/>
                <w:szCs w:val="20"/>
              </w:rPr>
            </w:pP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rsidR="00B30F11" w:rsidRPr="00B30F11" w:rsidP="00B30F11" w14:paraId="175CE8F2" w14:textId="29C6DA66">
            <w:pPr>
              <w:keepNext/>
              <w:rPr>
                <w:sz w:val="20"/>
                <w:szCs w:val="20"/>
              </w:rPr>
            </w:pPr>
            <w:r w:rsidRPr="00B30F11">
              <w:rPr>
                <w:color w:val="000000"/>
                <w:sz w:val="20"/>
                <w:szCs w:val="20"/>
              </w:rPr>
              <w:t>Recordkeeping</w:t>
            </w:r>
          </w:p>
        </w:tc>
        <w:tc>
          <w:tcPr>
            <w:tcW w:w="1350" w:type="dxa"/>
            <w:tcBorders>
              <w:top w:val="single" w:sz="4" w:space="0" w:color="auto"/>
              <w:left w:val="nil"/>
              <w:bottom w:val="single" w:sz="4" w:space="0" w:color="auto"/>
              <w:right w:val="single" w:sz="4" w:space="0" w:color="auto"/>
            </w:tcBorders>
            <w:shd w:val="clear" w:color="auto" w:fill="auto"/>
            <w:noWrap/>
            <w:hideMark/>
          </w:tcPr>
          <w:p w:rsidR="00B30F11" w:rsidRPr="00B30F11" w:rsidP="00B30F11" w14:paraId="62615125" w14:textId="224F4DF1">
            <w:pPr>
              <w:keepNext/>
              <w:jc w:val="right"/>
              <w:rPr>
                <w:sz w:val="20"/>
                <w:szCs w:val="20"/>
              </w:rPr>
            </w:pPr>
            <w:r w:rsidRPr="7FC443FA">
              <w:rPr>
                <w:color w:val="000000" w:themeColor="text1"/>
                <w:sz w:val="20"/>
                <w:szCs w:val="20"/>
              </w:rPr>
              <w:t xml:space="preserve"> $3,</w:t>
            </w:r>
            <w:r w:rsidRPr="7FC443FA" w:rsidR="00EA227C">
              <w:rPr>
                <w:color w:val="000000" w:themeColor="text1"/>
                <w:sz w:val="20"/>
                <w:szCs w:val="20"/>
              </w:rPr>
              <w:t>499,226</w:t>
            </w:r>
            <w:r w:rsidRPr="7FC443FA">
              <w:rPr>
                <w:color w:val="000000" w:themeColor="text1"/>
                <w:sz w:val="20"/>
                <w:szCs w:val="20"/>
              </w:rPr>
              <w:t xml:space="preserve"> </w:t>
            </w:r>
          </w:p>
        </w:tc>
      </w:tr>
      <w:tr w14:paraId="4BDCD48F" w14:textId="77777777" w:rsidTr="00054465">
        <w:tblPrEx>
          <w:tblW w:w="4837" w:type="dxa"/>
          <w:tblInd w:w="108" w:type="dxa"/>
          <w:shd w:val="clear" w:color="000000" w:fill="auto"/>
          <w:tblLayout w:type="fixed"/>
          <w:tblLook w:val="04A0"/>
        </w:tblPrEx>
        <w:trPr>
          <w:trHeight w:val="20"/>
        </w:trPr>
        <w:tc>
          <w:tcPr>
            <w:tcW w:w="877" w:type="dxa"/>
            <w:tcBorders>
              <w:top w:val="single" w:sz="4" w:space="0" w:color="auto"/>
              <w:left w:val="single" w:sz="4" w:space="0" w:color="auto"/>
              <w:right w:val="single" w:sz="4" w:space="0" w:color="auto"/>
            </w:tcBorders>
            <w:shd w:val="clear" w:color="auto" w:fill="auto"/>
            <w:noWrap/>
            <w:hideMark/>
          </w:tcPr>
          <w:p w:rsidR="00B30F11" w:rsidRPr="00B30F11" w:rsidP="00B30F11" w14:paraId="21FD5363" w14:textId="499BDB0E">
            <w:pPr>
              <w:keepNext/>
              <w:rPr>
                <w:sz w:val="20"/>
                <w:szCs w:val="20"/>
              </w:rPr>
            </w:pPr>
            <w:r w:rsidRPr="00B30F11">
              <w:rPr>
                <w:sz w:val="20"/>
                <w:szCs w:val="20"/>
              </w:rPr>
              <w:t>States</w:t>
            </w: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rsidR="00B30F11" w:rsidRPr="00B30F11" w:rsidP="00B30F11" w14:paraId="0E74C067" w14:textId="25244E98">
            <w:pPr>
              <w:keepNext/>
              <w:rPr>
                <w:sz w:val="20"/>
                <w:szCs w:val="20"/>
              </w:rPr>
            </w:pPr>
            <w:r w:rsidRPr="00B30F11">
              <w:rPr>
                <w:color w:val="000000"/>
                <w:sz w:val="20"/>
                <w:szCs w:val="20"/>
              </w:rPr>
              <w:t>Development</w:t>
            </w:r>
            <w:r>
              <w:rPr>
                <w:color w:val="000000"/>
                <w:sz w:val="20"/>
                <w:szCs w:val="20"/>
              </w:rPr>
              <w:t>/Certification</w:t>
            </w:r>
          </w:p>
        </w:tc>
        <w:tc>
          <w:tcPr>
            <w:tcW w:w="1350" w:type="dxa"/>
            <w:tcBorders>
              <w:top w:val="single" w:sz="4" w:space="0" w:color="auto"/>
              <w:left w:val="nil"/>
              <w:bottom w:val="single" w:sz="4" w:space="0" w:color="auto"/>
              <w:right w:val="single" w:sz="4" w:space="0" w:color="auto"/>
            </w:tcBorders>
            <w:shd w:val="clear" w:color="auto" w:fill="auto"/>
            <w:noWrap/>
            <w:hideMark/>
          </w:tcPr>
          <w:p w:rsidR="00B30F11" w:rsidRPr="00B30F11" w:rsidP="00B30F11" w14:paraId="3005F52D" w14:textId="4CB6A3C6">
            <w:pPr>
              <w:keepNext/>
              <w:jc w:val="right"/>
              <w:rPr>
                <w:color w:val="000000"/>
                <w:sz w:val="20"/>
                <w:szCs w:val="20"/>
              </w:rPr>
            </w:pPr>
            <w:r w:rsidRPr="00B30F11">
              <w:rPr>
                <w:color w:val="000000"/>
                <w:sz w:val="20"/>
                <w:szCs w:val="20"/>
              </w:rPr>
              <w:t xml:space="preserve"> $</w:t>
            </w:r>
            <w:r w:rsidR="004525AE">
              <w:rPr>
                <w:color w:val="000000"/>
                <w:sz w:val="20"/>
                <w:szCs w:val="20"/>
              </w:rPr>
              <w:t>8</w:t>
            </w:r>
            <w:r w:rsidRPr="00B30F11">
              <w:rPr>
                <w:color w:val="000000"/>
                <w:sz w:val="20"/>
                <w:szCs w:val="20"/>
              </w:rPr>
              <w:t>,</w:t>
            </w:r>
            <w:r w:rsidR="004525AE">
              <w:rPr>
                <w:color w:val="000000"/>
                <w:sz w:val="20"/>
                <w:szCs w:val="20"/>
              </w:rPr>
              <w:t>436</w:t>
            </w:r>
            <w:r w:rsidRPr="00B30F11">
              <w:rPr>
                <w:color w:val="000000"/>
                <w:sz w:val="20"/>
                <w:szCs w:val="20"/>
              </w:rPr>
              <w:t xml:space="preserve"> </w:t>
            </w:r>
          </w:p>
        </w:tc>
      </w:tr>
      <w:tr w14:paraId="464BCF64" w14:textId="77777777" w:rsidTr="00054465">
        <w:tblPrEx>
          <w:tblW w:w="4837" w:type="dxa"/>
          <w:tblInd w:w="108" w:type="dxa"/>
          <w:shd w:val="clear" w:color="000000" w:fill="auto"/>
          <w:tblLayout w:type="fixed"/>
          <w:tblLook w:val="04A0"/>
        </w:tblPrEx>
        <w:trPr>
          <w:trHeight w:val="20"/>
        </w:trPr>
        <w:tc>
          <w:tcPr>
            <w:tcW w:w="34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30F11" w:rsidRPr="00B30F11" w:rsidP="00B30F11" w14:paraId="49CE6571" w14:textId="042F0491">
            <w:pPr>
              <w:rPr>
                <w:sz w:val="20"/>
                <w:szCs w:val="20"/>
              </w:rPr>
            </w:pPr>
            <w:r w:rsidRPr="00B30F11">
              <w:rPr>
                <w:b/>
                <w:bCs/>
                <w:color w:val="000000"/>
                <w:sz w:val="20"/>
                <w:szCs w:val="20"/>
              </w:rPr>
              <w:t> Total</w:t>
            </w:r>
          </w:p>
        </w:tc>
        <w:tc>
          <w:tcPr>
            <w:tcW w:w="1350" w:type="dxa"/>
            <w:tcBorders>
              <w:top w:val="single" w:sz="4" w:space="0" w:color="auto"/>
              <w:left w:val="nil"/>
              <w:bottom w:val="single" w:sz="4" w:space="0" w:color="auto"/>
              <w:right w:val="single" w:sz="4" w:space="0" w:color="auto"/>
            </w:tcBorders>
            <w:shd w:val="clear" w:color="auto" w:fill="auto"/>
            <w:noWrap/>
            <w:hideMark/>
          </w:tcPr>
          <w:p w:rsidR="00B30F11" w:rsidRPr="00B30F11" w:rsidP="00B30F11" w14:paraId="0E168429" w14:textId="3BB052AE">
            <w:pPr>
              <w:jc w:val="right"/>
              <w:rPr>
                <w:sz w:val="20"/>
                <w:szCs w:val="20"/>
              </w:rPr>
            </w:pPr>
            <w:r w:rsidRPr="7FC443FA">
              <w:rPr>
                <w:color w:val="000000" w:themeColor="text1"/>
                <w:sz w:val="20"/>
                <w:szCs w:val="20"/>
              </w:rPr>
              <w:t xml:space="preserve"> $ 26,</w:t>
            </w:r>
            <w:r w:rsidRPr="7FC443FA" w:rsidR="00EA227C">
              <w:rPr>
                <w:color w:val="000000" w:themeColor="text1"/>
                <w:sz w:val="20"/>
                <w:szCs w:val="20"/>
              </w:rPr>
              <w:t>642,548</w:t>
            </w:r>
            <w:r w:rsidRPr="7FC443FA">
              <w:rPr>
                <w:color w:val="000000" w:themeColor="text1"/>
                <w:sz w:val="20"/>
                <w:szCs w:val="20"/>
              </w:rPr>
              <w:t xml:space="preserve"> </w:t>
            </w:r>
          </w:p>
        </w:tc>
      </w:tr>
    </w:tbl>
    <w:p w:rsidR="007A6B46" w:rsidP="001516E3" w14:paraId="17C42399" w14:textId="3FA5272A"/>
    <w:p w:rsidR="0084616D" w:rsidRPr="006F6253" w:rsidP="7FC443FA" w14:paraId="0313C235" w14:textId="77A11515">
      <w:pPr>
        <w:pStyle w:val="ListParagraph"/>
        <w:ind w:left="0"/>
        <w:rPr>
          <w:b/>
          <w:bCs/>
          <w:u w:val="single"/>
        </w:rPr>
      </w:pPr>
      <w:r w:rsidRPr="7FC443FA">
        <w:rPr>
          <w:b/>
          <w:bCs/>
          <w:u w:val="single"/>
        </w:rPr>
        <w:t>Table 3: New Number of Respondents</w:t>
      </w:r>
      <w:r>
        <w:rPr>
          <w:rStyle w:val="FootnoteReference"/>
          <w:b/>
          <w:u w:val="single"/>
        </w:rPr>
        <w:footnoteReference w:id="3"/>
      </w:r>
    </w:p>
    <w:p w:rsidR="0084616D" w:rsidRPr="006F6253" w:rsidP="0084616D" w14:paraId="280E2BD8" w14:textId="77777777">
      <w:pPr>
        <w:pStyle w:val="NoSpacing"/>
        <w:rPr>
          <w:rFonts w:ascii="Times New Roman" w:hAnsi="Times New Roman" w:cs="Times New Roman"/>
          <w:sz w:val="24"/>
          <w:szCs w:val="24"/>
        </w:rPr>
      </w:pPr>
    </w:p>
    <w:tbl>
      <w:tblPr>
        <w:tblStyle w:val="TableGrid"/>
        <w:tblW w:w="0" w:type="auto"/>
        <w:tblInd w:w="85" w:type="dxa"/>
        <w:tblLook w:val="04A0"/>
      </w:tblPr>
      <w:tblGrid>
        <w:gridCol w:w="1710"/>
        <w:gridCol w:w="1260"/>
      </w:tblGrid>
      <w:tr w14:paraId="0334390A" w14:textId="77777777" w:rsidTr="00054465">
        <w:tblPrEx>
          <w:tblW w:w="0" w:type="auto"/>
          <w:tblInd w:w="85" w:type="dxa"/>
          <w:tblLook w:val="04A0"/>
        </w:tblPrEx>
        <w:trPr>
          <w:trHeight w:val="89"/>
        </w:trPr>
        <w:tc>
          <w:tcPr>
            <w:tcW w:w="1710" w:type="dxa"/>
            <w:tcBorders>
              <w:bottom w:val="single" w:sz="4" w:space="0" w:color="auto"/>
            </w:tcBorders>
            <w:shd w:val="clear" w:color="auto" w:fill="auto"/>
          </w:tcPr>
          <w:p w:rsidR="0084616D" w:rsidRPr="005B495F" w14:paraId="42B4C6FA" w14:textId="77777777">
            <w:pPr>
              <w:rPr>
                <w:sz w:val="20"/>
                <w:szCs w:val="20"/>
              </w:rPr>
            </w:pPr>
            <w:r w:rsidRPr="005B495F">
              <w:rPr>
                <w:sz w:val="20"/>
                <w:szCs w:val="20"/>
              </w:rPr>
              <w:t>Agency Respondent Type</w:t>
            </w:r>
          </w:p>
        </w:tc>
        <w:tc>
          <w:tcPr>
            <w:tcW w:w="1260" w:type="dxa"/>
            <w:tcBorders>
              <w:bottom w:val="single" w:sz="4" w:space="0" w:color="auto"/>
            </w:tcBorders>
            <w:shd w:val="clear" w:color="auto" w:fill="auto"/>
          </w:tcPr>
          <w:p w:rsidR="0084616D" w:rsidRPr="005B495F" w14:paraId="2C423692" w14:textId="77777777">
            <w:pPr>
              <w:rPr>
                <w:sz w:val="20"/>
                <w:szCs w:val="20"/>
              </w:rPr>
            </w:pPr>
            <w:r w:rsidRPr="005B495F">
              <w:rPr>
                <w:sz w:val="20"/>
                <w:szCs w:val="20"/>
              </w:rPr>
              <w:t>Number of Respondents</w:t>
            </w:r>
          </w:p>
        </w:tc>
      </w:tr>
      <w:tr w14:paraId="1F64B0D1" w14:textId="77777777" w:rsidTr="00054465">
        <w:tblPrEx>
          <w:tblW w:w="0" w:type="auto"/>
          <w:tblInd w:w="85" w:type="dxa"/>
          <w:tblLook w:val="04A0"/>
        </w:tblPrEx>
        <w:trPr>
          <w:trHeight w:val="73"/>
        </w:trPr>
        <w:tc>
          <w:tcPr>
            <w:tcW w:w="1710" w:type="dxa"/>
            <w:shd w:val="clear" w:color="auto" w:fill="auto"/>
          </w:tcPr>
          <w:p w:rsidR="0084616D" w:rsidRPr="005B495F" w14:paraId="057CD861" w14:textId="77777777">
            <w:pPr>
              <w:rPr>
                <w:sz w:val="20"/>
                <w:szCs w:val="20"/>
              </w:rPr>
            </w:pPr>
            <w:r w:rsidRPr="005B495F">
              <w:rPr>
                <w:sz w:val="20"/>
                <w:szCs w:val="20"/>
              </w:rPr>
              <w:t>States</w:t>
            </w:r>
          </w:p>
        </w:tc>
        <w:tc>
          <w:tcPr>
            <w:tcW w:w="1260" w:type="dxa"/>
            <w:shd w:val="clear" w:color="auto" w:fill="auto"/>
            <w:vAlign w:val="center"/>
          </w:tcPr>
          <w:p w:rsidR="0084616D" w:rsidRPr="005B495F" w:rsidP="00054465" w14:paraId="2185A702" w14:textId="77777777">
            <w:pPr>
              <w:ind w:right="72"/>
              <w:jc w:val="right"/>
              <w:rPr>
                <w:sz w:val="20"/>
                <w:szCs w:val="20"/>
              </w:rPr>
            </w:pPr>
            <w:r w:rsidRPr="005B495F">
              <w:rPr>
                <w:color w:val="000000" w:themeColor="text1"/>
                <w:sz w:val="20"/>
                <w:szCs w:val="20"/>
              </w:rPr>
              <w:t>50</w:t>
            </w:r>
          </w:p>
        </w:tc>
      </w:tr>
      <w:tr w14:paraId="597BF625" w14:textId="77777777" w:rsidTr="00054465">
        <w:tblPrEx>
          <w:tblW w:w="0" w:type="auto"/>
          <w:tblInd w:w="85" w:type="dxa"/>
          <w:tblLook w:val="04A0"/>
        </w:tblPrEx>
        <w:trPr>
          <w:trHeight w:val="73"/>
        </w:trPr>
        <w:tc>
          <w:tcPr>
            <w:tcW w:w="1710" w:type="dxa"/>
            <w:shd w:val="clear" w:color="auto" w:fill="auto"/>
          </w:tcPr>
          <w:p w:rsidR="0084616D" w:rsidRPr="005B495F" w14:paraId="74DFF5E3" w14:textId="77777777">
            <w:pPr>
              <w:rPr>
                <w:sz w:val="20"/>
                <w:szCs w:val="20"/>
              </w:rPr>
            </w:pPr>
            <w:r w:rsidRPr="005B495F">
              <w:rPr>
                <w:sz w:val="20"/>
                <w:szCs w:val="20"/>
              </w:rPr>
              <w:t>Rail</w:t>
            </w:r>
          </w:p>
        </w:tc>
        <w:tc>
          <w:tcPr>
            <w:tcW w:w="1260" w:type="dxa"/>
            <w:shd w:val="clear" w:color="auto" w:fill="auto"/>
            <w:vAlign w:val="center"/>
          </w:tcPr>
          <w:p w:rsidR="0084616D" w:rsidRPr="005B495F" w:rsidP="00054465" w14:paraId="4EE8F140" w14:textId="77777777">
            <w:pPr>
              <w:ind w:right="72"/>
              <w:jc w:val="right"/>
              <w:rPr>
                <w:sz w:val="20"/>
                <w:szCs w:val="20"/>
              </w:rPr>
            </w:pPr>
            <w:r w:rsidRPr="005B495F">
              <w:rPr>
                <w:color w:val="000000" w:themeColor="text1"/>
                <w:sz w:val="20"/>
                <w:szCs w:val="20"/>
              </w:rPr>
              <w:t>62</w:t>
            </w:r>
          </w:p>
        </w:tc>
      </w:tr>
      <w:tr w14:paraId="1776F48F" w14:textId="77777777" w:rsidTr="00054465">
        <w:tblPrEx>
          <w:tblW w:w="0" w:type="auto"/>
          <w:tblInd w:w="85" w:type="dxa"/>
          <w:tblLook w:val="04A0"/>
        </w:tblPrEx>
        <w:trPr>
          <w:trHeight w:val="73"/>
        </w:trPr>
        <w:tc>
          <w:tcPr>
            <w:tcW w:w="1710" w:type="dxa"/>
            <w:tcBorders>
              <w:bottom w:val="nil"/>
            </w:tcBorders>
            <w:shd w:val="clear" w:color="auto" w:fill="auto"/>
          </w:tcPr>
          <w:p w:rsidR="0084616D" w:rsidRPr="005B495F" w14:paraId="039ED7BD" w14:textId="77777777">
            <w:pPr>
              <w:rPr>
                <w:sz w:val="20"/>
                <w:szCs w:val="20"/>
              </w:rPr>
            </w:pPr>
            <w:r w:rsidRPr="005B495F">
              <w:rPr>
                <w:sz w:val="20"/>
                <w:szCs w:val="20"/>
              </w:rPr>
              <w:t>5307 Large Bus</w:t>
            </w:r>
          </w:p>
        </w:tc>
        <w:tc>
          <w:tcPr>
            <w:tcW w:w="1260" w:type="dxa"/>
            <w:tcBorders>
              <w:bottom w:val="nil"/>
            </w:tcBorders>
            <w:shd w:val="clear" w:color="auto" w:fill="auto"/>
            <w:vAlign w:val="center"/>
          </w:tcPr>
          <w:p w:rsidR="0084616D" w:rsidRPr="005B495F" w:rsidP="00054465" w14:paraId="7FC72F85" w14:textId="77777777">
            <w:pPr>
              <w:ind w:right="72"/>
              <w:jc w:val="right"/>
              <w:rPr>
                <w:sz w:val="20"/>
                <w:szCs w:val="20"/>
              </w:rPr>
            </w:pPr>
            <w:r w:rsidRPr="005B495F">
              <w:rPr>
                <w:sz w:val="20"/>
                <w:szCs w:val="20"/>
              </w:rPr>
              <w:t>74</w:t>
            </w:r>
          </w:p>
        </w:tc>
      </w:tr>
      <w:tr w14:paraId="6349CBE6" w14:textId="77777777" w:rsidTr="00054465">
        <w:tblPrEx>
          <w:tblW w:w="0" w:type="auto"/>
          <w:tblInd w:w="85" w:type="dxa"/>
          <w:tblLook w:val="04A0"/>
        </w:tblPrEx>
        <w:trPr>
          <w:trHeight w:val="73"/>
        </w:trPr>
        <w:tc>
          <w:tcPr>
            <w:tcW w:w="1710" w:type="dxa"/>
            <w:shd w:val="clear" w:color="auto" w:fill="auto"/>
          </w:tcPr>
          <w:p w:rsidR="0084616D" w:rsidRPr="005B495F" w14:paraId="4990D383" w14:textId="77777777">
            <w:pPr>
              <w:rPr>
                <w:sz w:val="20"/>
                <w:szCs w:val="20"/>
              </w:rPr>
            </w:pPr>
            <w:r w:rsidRPr="005B495F">
              <w:rPr>
                <w:sz w:val="20"/>
                <w:szCs w:val="20"/>
              </w:rPr>
              <w:t>5307 Small</w:t>
            </w:r>
          </w:p>
        </w:tc>
        <w:tc>
          <w:tcPr>
            <w:tcW w:w="1260" w:type="dxa"/>
            <w:shd w:val="clear" w:color="auto" w:fill="auto"/>
            <w:vAlign w:val="center"/>
          </w:tcPr>
          <w:p w:rsidR="0084616D" w:rsidRPr="005B495F" w:rsidP="00054465" w14:paraId="540F1FF5" w14:textId="77777777">
            <w:pPr>
              <w:ind w:right="72"/>
              <w:jc w:val="right"/>
              <w:rPr>
                <w:sz w:val="20"/>
                <w:szCs w:val="20"/>
              </w:rPr>
            </w:pPr>
            <w:r w:rsidRPr="005B495F">
              <w:rPr>
                <w:sz w:val="20"/>
                <w:szCs w:val="20"/>
              </w:rPr>
              <w:t>572</w:t>
            </w:r>
          </w:p>
        </w:tc>
      </w:tr>
      <w:tr w14:paraId="518DE953" w14:textId="77777777" w:rsidTr="00054465">
        <w:tblPrEx>
          <w:tblW w:w="0" w:type="auto"/>
          <w:tblInd w:w="85" w:type="dxa"/>
          <w:tblLook w:val="04A0"/>
        </w:tblPrEx>
        <w:trPr>
          <w:trHeight w:val="73"/>
        </w:trPr>
        <w:tc>
          <w:tcPr>
            <w:tcW w:w="1710" w:type="dxa"/>
            <w:shd w:val="clear" w:color="auto" w:fill="auto"/>
          </w:tcPr>
          <w:p w:rsidR="0084616D" w:rsidRPr="005B495F" w:rsidP="7FC443FA" w14:paraId="212024DA" w14:textId="77777777">
            <w:pPr>
              <w:rPr>
                <w:b/>
                <w:bCs/>
                <w:sz w:val="20"/>
                <w:szCs w:val="20"/>
              </w:rPr>
            </w:pPr>
            <w:r w:rsidRPr="005B495F">
              <w:rPr>
                <w:b/>
                <w:bCs/>
                <w:sz w:val="20"/>
                <w:szCs w:val="20"/>
              </w:rPr>
              <w:t xml:space="preserve">Total </w:t>
            </w:r>
          </w:p>
        </w:tc>
        <w:tc>
          <w:tcPr>
            <w:tcW w:w="1260" w:type="dxa"/>
            <w:shd w:val="clear" w:color="auto" w:fill="auto"/>
            <w:vAlign w:val="center"/>
          </w:tcPr>
          <w:p w:rsidR="0084616D" w:rsidRPr="005B495F" w:rsidP="00054465" w14:paraId="6932810E" w14:textId="77777777">
            <w:pPr>
              <w:ind w:right="72"/>
              <w:jc w:val="right"/>
              <w:rPr>
                <w:b/>
                <w:bCs/>
                <w:sz w:val="20"/>
                <w:szCs w:val="20"/>
              </w:rPr>
            </w:pPr>
            <w:r w:rsidRPr="005B495F">
              <w:rPr>
                <w:b/>
                <w:bCs/>
                <w:sz w:val="20"/>
                <w:szCs w:val="20"/>
              </w:rPr>
              <w:t>758</w:t>
            </w:r>
          </w:p>
        </w:tc>
      </w:tr>
    </w:tbl>
    <w:p w:rsidR="0084616D" w:rsidRPr="006F6253" w:rsidP="0084616D" w14:paraId="4C3CFCED" w14:textId="77777777"/>
    <w:p w:rsidR="0084616D" w:rsidP="0084616D" w14:paraId="5ABFFFE4" w14:textId="0F9D4D20">
      <w:r>
        <w:t>Table 3 establishe</w:t>
      </w:r>
      <w:r w:rsidR="00EA227C">
        <w:t>s</w:t>
      </w:r>
      <w:r>
        <w:t xml:space="preserve"> the respondent universe applicable under the PTASP regulation. All respondents must certify compliance with the PTASP regulation annually. States are responsible for developing new ASPs for new small public transportation providers in their State unless the new provider opts to develop its own ASP. Rail, large bus, and small public transportation providers are required to implement their ASP.</w:t>
      </w:r>
    </w:p>
    <w:p w:rsidR="0084616D" w:rsidP="0084616D" w14:paraId="12C8A7F8" w14:textId="77777777"/>
    <w:p w:rsidR="0084616D" w:rsidP="0084616D" w14:paraId="36E09C47" w14:textId="532AC763">
      <w:r>
        <w:t xml:space="preserve">The total number of respondents is 758, which includes 62 Section 5307 rail respondents, 74 Section 5307 large bus respondents, 572 Section 5307 small respondents, and 50 applicable State respondents. This supporting statement reflects a small increase in the respondent universe from 755 in the previous submittal to 758 as a result of </w:t>
      </w:r>
      <w:r w:rsidR="00EA227C">
        <w:t>(3)</w:t>
      </w:r>
      <w:r>
        <w:t xml:space="preserve"> new 5307 Large Bus transit agencies.</w:t>
      </w:r>
    </w:p>
    <w:p w:rsidR="007A6B46" w:rsidP="00A66850" w14:paraId="566675FB" w14:textId="77777777">
      <w:pPr>
        <w:pStyle w:val="ListParagraph"/>
        <w:ind w:left="0"/>
        <w:contextualSpacing w:val="0"/>
      </w:pPr>
    </w:p>
    <w:p w:rsidR="002B70A5" w:rsidP="7FC443FA" w14:paraId="2273F28F" w14:textId="3C2A2B9C">
      <w:pPr>
        <w:pStyle w:val="ListParagraph"/>
        <w:ind w:left="0"/>
        <w:rPr>
          <w:b/>
          <w:bCs/>
          <w:u w:val="single"/>
        </w:rPr>
      </w:pPr>
      <w:r w:rsidRPr="7FC443FA">
        <w:rPr>
          <w:b/>
          <w:bCs/>
          <w:u w:val="single"/>
        </w:rPr>
        <w:t xml:space="preserve">Table </w:t>
      </w:r>
      <w:r w:rsidRPr="7FC443FA" w:rsidR="0084616D">
        <w:rPr>
          <w:b/>
          <w:bCs/>
          <w:u w:val="single"/>
        </w:rPr>
        <w:t>4</w:t>
      </w:r>
      <w:r w:rsidRPr="7FC443FA">
        <w:rPr>
          <w:b/>
          <w:bCs/>
          <w:u w:val="single"/>
        </w:rPr>
        <w:t>:</w:t>
      </w:r>
      <w:r w:rsidRPr="7FC443FA" w:rsidR="00F360ED">
        <w:rPr>
          <w:b/>
          <w:bCs/>
          <w:u w:val="single"/>
        </w:rPr>
        <w:t xml:space="preserve"> </w:t>
      </w:r>
      <w:r w:rsidRPr="7FC443FA" w:rsidR="004525AE">
        <w:rPr>
          <w:b/>
          <w:bCs/>
          <w:u w:val="single"/>
        </w:rPr>
        <w:t xml:space="preserve">New </w:t>
      </w:r>
      <w:r w:rsidRPr="7FC443FA" w:rsidR="00A33483">
        <w:rPr>
          <w:b/>
          <w:bCs/>
          <w:u w:val="single"/>
        </w:rPr>
        <w:t xml:space="preserve">PTASP </w:t>
      </w:r>
      <w:r w:rsidRPr="7FC443FA" w:rsidR="004525AE">
        <w:rPr>
          <w:b/>
          <w:bCs/>
          <w:u w:val="single"/>
        </w:rPr>
        <w:t>Requirements</w:t>
      </w:r>
      <w:r w:rsidRPr="7FC443FA" w:rsidR="004525AE">
        <w:rPr>
          <w:u w:val="single"/>
        </w:rPr>
        <w:t xml:space="preserve"> </w:t>
      </w:r>
      <w:r w:rsidRPr="7FC443FA">
        <w:rPr>
          <w:b/>
          <w:bCs/>
          <w:u w:val="single"/>
        </w:rPr>
        <w:t>Costs, Years 1-3</w:t>
      </w:r>
      <w:r w:rsidRPr="7FC443FA" w:rsidR="004525AE">
        <w:rPr>
          <w:b/>
          <w:bCs/>
          <w:u w:val="single"/>
        </w:rPr>
        <w:t>, (Includes Labor, IT/Materials, and Travel)</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0"/>
        <w:gridCol w:w="2012"/>
        <w:gridCol w:w="1813"/>
        <w:gridCol w:w="1264"/>
        <w:gridCol w:w="1324"/>
        <w:gridCol w:w="1527"/>
      </w:tblGrid>
      <w:tr w14:paraId="19A693D9" w14:textId="77777777" w:rsidTr="00B719D2">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20"/>
        </w:trPr>
        <w:tc>
          <w:tcPr>
            <w:tcW w:w="1240" w:type="dxa"/>
            <w:tcBorders>
              <w:top w:val="nil"/>
              <w:left w:val="nil"/>
              <w:right w:val="nil"/>
            </w:tcBorders>
            <w:shd w:val="clear" w:color="auto" w:fill="auto"/>
            <w:noWrap/>
            <w:vAlign w:val="bottom"/>
            <w:hideMark/>
          </w:tcPr>
          <w:p w:rsidR="002B70A5" w:rsidRPr="002B70A5" w:rsidP="00553323" w14:paraId="0AA4EC27" w14:textId="77777777">
            <w:pPr>
              <w:jc w:val="center"/>
              <w:rPr>
                <w:sz w:val="20"/>
                <w:szCs w:val="20"/>
              </w:rPr>
            </w:pPr>
          </w:p>
        </w:tc>
        <w:tc>
          <w:tcPr>
            <w:tcW w:w="2012" w:type="dxa"/>
            <w:tcBorders>
              <w:top w:val="nil"/>
              <w:left w:val="nil"/>
              <w:right w:val="single" w:sz="4" w:space="0" w:color="auto"/>
            </w:tcBorders>
            <w:shd w:val="clear" w:color="auto" w:fill="auto"/>
            <w:noWrap/>
            <w:vAlign w:val="bottom"/>
            <w:hideMark/>
          </w:tcPr>
          <w:p w:rsidR="002B70A5" w:rsidRPr="002B70A5" w:rsidP="00553323" w14:paraId="74043E20" w14:textId="77777777">
            <w:pPr>
              <w:jc w:val="center"/>
              <w:rPr>
                <w:sz w:val="20"/>
                <w:szCs w:val="20"/>
              </w:rPr>
            </w:pPr>
          </w:p>
        </w:tc>
        <w:tc>
          <w:tcPr>
            <w:tcW w:w="1813" w:type="dxa"/>
            <w:tcBorders>
              <w:left w:val="single" w:sz="4" w:space="0" w:color="auto"/>
            </w:tcBorders>
            <w:shd w:val="clear" w:color="auto" w:fill="auto"/>
            <w:noWrap/>
            <w:vAlign w:val="bottom"/>
            <w:hideMark/>
          </w:tcPr>
          <w:p w:rsidR="002B70A5" w:rsidRPr="002B70A5" w:rsidP="00553323" w14:paraId="61D04709" w14:textId="77777777">
            <w:pPr>
              <w:jc w:val="center"/>
              <w:rPr>
                <w:color w:val="000000"/>
                <w:sz w:val="20"/>
                <w:szCs w:val="20"/>
              </w:rPr>
            </w:pPr>
            <w:r w:rsidRPr="002B70A5">
              <w:rPr>
                <w:color w:val="000000"/>
                <w:sz w:val="20"/>
                <w:szCs w:val="20"/>
              </w:rPr>
              <w:t>Year 1</w:t>
            </w:r>
          </w:p>
        </w:tc>
        <w:tc>
          <w:tcPr>
            <w:tcW w:w="1264" w:type="dxa"/>
            <w:shd w:val="clear" w:color="auto" w:fill="auto"/>
            <w:noWrap/>
            <w:vAlign w:val="bottom"/>
            <w:hideMark/>
          </w:tcPr>
          <w:p w:rsidR="002B70A5" w:rsidRPr="002B70A5" w:rsidP="00553323" w14:paraId="0E421664" w14:textId="77777777">
            <w:pPr>
              <w:jc w:val="center"/>
              <w:rPr>
                <w:color w:val="000000"/>
                <w:sz w:val="20"/>
                <w:szCs w:val="20"/>
              </w:rPr>
            </w:pPr>
            <w:r w:rsidRPr="002B70A5">
              <w:rPr>
                <w:color w:val="000000"/>
                <w:sz w:val="20"/>
                <w:szCs w:val="20"/>
              </w:rPr>
              <w:t>Year 2</w:t>
            </w:r>
          </w:p>
        </w:tc>
        <w:tc>
          <w:tcPr>
            <w:tcW w:w="1324" w:type="dxa"/>
            <w:shd w:val="clear" w:color="auto" w:fill="auto"/>
            <w:noWrap/>
            <w:vAlign w:val="bottom"/>
            <w:hideMark/>
          </w:tcPr>
          <w:p w:rsidR="002B70A5" w:rsidRPr="002B70A5" w:rsidP="00553323" w14:paraId="18619FF2" w14:textId="2ABFDA0B">
            <w:pPr>
              <w:jc w:val="center"/>
              <w:rPr>
                <w:color w:val="000000"/>
                <w:sz w:val="20"/>
                <w:szCs w:val="20"/>
              </w:rPr>
            </w:pPr>
            <w:r w:rsidRPr="311B422B">
              <w:rPr>
                <w:color w:val="000000" w:themeColor="text1"/>
                <w:sz w:val="20"/>
                <w:szCs w:val="20"/>
              </w:rPr>
              <w:t xml:space="preserve">Year </w:t>
            </w:r>
            <w:r w:rsidRPr="311B422B" w:rsidR="142D19F2">
              <w:rPr>
                <w:color w:val="000000" w:themeColor="text1"/>
                <w:sz w:val="20"/>
                <w:szCs w:val="20"/>
              </w:rPr>
              <w:t>3</w:t>
            </w:r>
          </w:p>
        </w:tc>
        <w:tc>
          <w:tcPr>
            <w:tcW w:w="1527" w:type="dxa"/>
            <w:shd w:val="clear" w:color="auto" w:fill="auto"/>
            <w:noWrap/>
            <w:vAlign w:val="bottom"/>
            <w:hideMark/>
          </w:tcPr>
          <w:p w:rsidR="002B70A5" w:rsidRPr="002B70A5" w:rsidP="00553323" w14:paraId="7441C16E" w14:textId="77777777">
            <w:pPr>
              <w:jc w:val="center"/>
              <w:rPr>
                <w:color w:val="000000"/>
                <w:sz w:val="20"/>
                <w:szCs w:val="20"/>
              </w:rPr>
            </w:pPr>
            <w:r w:rsidRPr="002B70A5">
              <w:rPr>
                <w:color w:val="000000"/>
                <w:sz w:val="20"/>
                <w:szCs w:val="20"/>
              </w:rPr>
              <w:t>Total</w:t>
            </w:r>
          </w:p>
        </w:tc>
      </w:tr>
      <w:tr w14:paraId="5ED20E83" w14:textId="77777777" w:rsidTr="00B719D2">
        <w:tblPrEx>
          <w:tblW w:w="9180" w:type="dxa"/>
          <w:tblLook w:val="04A0"/>
        </w:tblPrEx>
        <w:trPr>
          <w:trHeight w:val="179"/>
        </w:trPr>
        <w:tc>
          <w:tcPr>
            <w:tcW w:w="1240" w:type="dxa"/>
            <w:vMerge w:val="restart"/>
            <w:shd w:val="clear" w:color="auto" w:fill="auto"/>
            <w:noWrap/>
            <w:hideMark/>
          </w:tcPr>
          <w:p w:rsidR="00AA6AAA" w:rsidRPr="002B70A5" w:rsidP="00AA6AAA" w14:paraId="26829B1D" w14:textId="77777777">
            <w:pPr>
              <w:rPr>
                <w:color w:val="000000"/>
                <w:sz w:val="20"/>
                <w:szCs w:val="20"/>
              </w:rPr>
            </w:pPr>
            <w:r w:rsidRPr="002B70A5">
              <w:rPr>
                <w:color w:val="000000"/>
                <w:sz w:val="20"/>
                <w:szCs w:val="20"/>
              </w:rPr>
              <w:t>Rail</w:t>
            </w:r>
          </w:p>
        </w:tc>
        <w:tc>
          <w:tcPr>
            <w:tcW w:w="2012" w:type="dxa"/>
            <w:shd w:val="clear" w:color="auto" w:fill="auto"/>
            <w:noWrap/>
            <w:hideMark/>
          </w:tcPr>
          <w:p w:rsidR="00AA6AAA" w:rsidRPr="002B70A5" w:rsidP="00AA6AAA" w14:paraId="7B85729C" w14:textId="77777777">
            <w:pPr>
              <w:rPr>
                <w:color w:val="000000"/>
                <w:sz w:val="20"/>
                <w:szCs w:val="20"/>
              </w:rPr>
            </w:pPr>
            <w:r w:rsidRPr="002B70A5">
              <w:rPr>
                <w:color w:val="000000"/>
                <w:sz w:val="20"/>
                <w:szCs w:val="20"/>
              </w:rPr>
              <w:t>Development</w:t>
            </w:r>
          </w:p>
        </w:tc>
        <w:tc>
          <w:tcPr>
            <w:tcW w:w="1813" w:type="dxa"/>
            <w:shd w:val="clear" w:color="auto" w:fill="auto"/>
            <w:noWrap/>
            <w:hideMark/>
          </w:tcPr>
          <w:p w:rsidR="00AA6AAA" w:rsidRPr="002B70A5" w:rsidP="00AA6AAA" w14:paraId="498ACB06" w14:textId="6C0491B4">
            <w:pPr>
              <w:jc w:val="right"/>
              <w:rPr>
                <w:color w:val="000000"/>
                <w:sz w:val="20"/>
                <w:szCs w:val="20"/>
              </w:rPr>
            </w:pPr>
            <w:r w:rsidRPr="00553323">
              <w:rPr>
                <w:color w:val="000000"/>
                <w:sz w:val="20"/>
                <w:szCs w:val="20"/>
              </w:rPr>
              <w:t xml:space="preserve"> $ </w:t>
            </w:r>
            <w:r>
              <w:rPr>
                <w:color w:val="000000"/>
                <w:sz w:val="20"/>
                <w:szCs w:val="20"/>
              </w:rPr>
              <w:t>1,097,307</w:t>
            </w:r>
            <w:r w:rsidRPr="00553323">
              <w:rPr>
                <w:color w:val="000000"/>
                <w:sz w:val="20"/>
                <w:szCs w:val="20"/>
              </w:rPr>
              <w:t xml:space="preserve"> </w:t>
            </w:r>
          </w:p>
        </w:tc>
        <w:tc>
          <w:tcPr>
            <w:tcW w:w="1264" w:type="dxa"/>
            <w:shd w:val="clear" w:color="auto" w:fill="auto"/>
            <w:noWrap/>
            <w:hideMark/>
          </w:tcPr>
          <w:p w:rsidR="00AA6AAA" w:rsidRPr="002B70A5" w:rsidP="00AA6AAA" w14:paraId="6C9B84DC" w14:textId="77777777">
            <w:pPr>
              <w:jc w:val="right"/>
              <w:rPr>
                <w:color w:val="000000"/>
                <w:sz w:val="20"/>
                <w:szCs w:val="20"/>
              </w:rPr>
            </w:pPr>
          </w:p>
        </w:tc>
        <w:tc>
          <w:tcPr>
            <w:tcW w:w="1324" w:type="dxa"/>
            <w:shd w:val="clear" w:color="auto" w:fill="auto"/>
            <w:noWrap/>
            <w:hideMark/>
          </w:tcPr>
          <w:p w:rsidR="00AA6AAA" w:rsidRPr="002B70A5" w:rsidP="00AA6AAA" w14:paraId="2544EA67" w14:textId="77777777">
            <w:pPr>
              <w:jc w:val="right"/>
              <w:rPr>
                <w:sz w:val="20"/>
                <w:szCs w:val="20"/>
              </w:rPr>
            </w:pPr>
          </w:p>
        </w:tc>
        <w:tc>
          <w:tcPr>
            <w:tcW w:w="1527" w:type="dxa"/>
            <w:shd w:val="clear" w:color="auto" w:fill="auto"/>
            <w:noWrap/>
            <w:vAlign w:val="bottom"/>
            <w:hideMark/>
          </w:tcPr>
          <w:p w:rsidR="00AA6AAA" w:rsidRPr="002B70A5" w:rsidP="00AA6AAA" w14:paraId="5FE13C45" w14:textId="255E0808">
            <w:pPr>
              <w:jc w:val="right"/>
              <w:rPr>
                <w:color w:val="000000"/>
                <w:sz w:val="20"/>
                <w:szCs w:val="20"/>
              </w:rPr>
            </w:pPr>
            <w:r w:rsidRPr="00B719D2">
              <w:rPr>
                <w:color w:val="000000"/>
                <w:sz w:val="20"/>
                <w:szCs w:val="20"/>
              </w:rPr>
              <w:t xml:space="preserve"> $ 1,097,307 </w:t>
            </w:r>
          </w:p>
        </w:tc>
      </w:tr>
      <w:tr w14:paraId="719C213C" w14:textId="77777777" w:rsidTr="00B719D2">
        <w:tblPrEx>
          <w:tblW w:w="9180" w:type="dxa"/>
          <w:tblLook w:val="04A0"/>
        </w:tblPrEx>
        <w:trPr>
          <w:trHeight w:val="116"/>
        </w:trPr>
        <w:tc>
          <w:tcPr>
            <w:tcW w:w="1240" w:type="dxa"/>
            <w:vMerge/>
            <w:noWrap/>
            <w:hideMark/>
          </w:tcPr>
          <w:p w:rsidR="00AA6AAA" w:rsidRPr="002B70A5" w:rsidP="00AA6AAA" w14:paraId="3B83A390" w14:textId="77777777">
            <w:pPr>
              <w:rPr>
                <w:color w:val="000000"/>
                <w:sz w:val="20"/>
                <w:szCs w:val="20"/>
              </w:rPr>
            </w:pPr>
          </w:p>
        </w:tc>
        <w:tc>
          <w:tcPr>
            <w:tcW w:w="2012" w:type="dxa"/>
            <w:shd w:val="clear" w:color="auto" w:fill="auto"/>
            <w:noWrap/>
            <w:hideMark/>
          </w:tcPr>
          <w:p w:rsidR="00AA6AAA" w:rsidRPr="002B70A5" w:rsidP="00AA6AAA" w14:paraId="44269B56" w14:textId="7B673FF2">
            <w:pPr>
              <w:rPr>
                <w:color w:val="000000"/>
                <w:sz w:val="20"/>
                <w:szCs w:val="20"/>
              </w:rPr>
            </w:pPr>
            <w:r w:rsidRPr="007C08F6">
              <w:rPr>
                <w:color w:val="000000"/>
                <w:sz w:val="20"/>
                <w:szCs w:val="20"/>
              </w:rPr>
              <w:t>Implement</w:t>
            </w:r>
            <w:r>
              <w:rPr>
                <w:color w:val="000000"/>
                <w:sz w:val="20"/>
                <w:szCs w:val="20"/>
              </w:rPr>
              <w:t>/Document</w:t>
            </w:r>
          </w:p>
        </w:tc>
        <w:tc>
          <w:tcPr>
            <w:tcW w:w="1813" w:type="dxa"/>
            <w:shd w:val="clear" w:color="auto" w:fill="auto"/>
            <w:noWrap/>
            <w:hideMark/>
          </w:tcPr>
          <w:p w:rsidR="00AA6AAA" w:rsidRPr="002B70A5" w:rsidP="00AA6AAA" w14:paraId="18220BC9" w14:textId="14437412">
            <w:pPr>
              <w:jc w:val="right"/>
              <w:rPr>
                <w:color w:val="000000"/>
                <w:sz w:val="20"/>
                <w:szCs w:val="20"/>
              </w:rPr>
            </w:pPr>
            <w:r w:rsidRPr="00553323">
              <w:rPr>
                <w:color w:val="000000"/>
                <w:sz w:val="20"/>
                <w:szCs w:val="20"/>
              </w:rPr>
              <w:t xml:space="preserve"> $</w:t>
            </w:r>
            <w:r>
              <w:rPr>
                <w:color w:val="000000"/>
                <w:sz w:val="20"/>
                <w:szCs w:val="20"/>
              </w:rPr>
              <w:t xml:space="preserve"> 2,145,689</w:t>
            </w:r>
            <w:r w:rsidRPr="00553323">
              <w:rPr>
                <w:color w:val="000000"/>
                <w:sz w:val="20"/>
                <w:szCs w:val="20"/>
              </w:rPr>
              <w:t xml:space="preserve"> </w:t>
            </w:r>
          </w:p>
        </w:tc>
        <w:tc>
          <w:tcPr>
            <w:tcW w:w="1264" w:type="dxa"/>
            <w:shd w:val="clear" w:color="auto" w:fill="auto"/>
            <w:noWrap/>
            <w:hideMark/>
          </w:tcPr>
          <w:p w:rsidR="00AA6AAA" w:rsidRPr="002B70A5" w:rsidP="00AA6AAA" w14:paraId="6D2AD3D1" w14:textId="0BAF0EED">
            <w:pPr>
              <w:jc w:val="right"/>
              <w:rPr>
                <w:color w:val="000000"/>
                <w:sz w:val="20"/>
                <w:szCs w:val="20"/>
              </w:rPr>
            </w:pPr>
            <w:r w:rsidRPr="00553323">
              <w:rPr>
                <w:color w:val="000000"/>
                <w:sz w:val="20"/>
                <w:szCs w:val="20"/>
              </w:rPr>
              <w:t xml:space="preserve"> $</w:t>
            </w:r>
            <w:r>
              <w:rPr>
                <w:color w:val="000000"/>
                <w:sz w:val="20"/>
                <w:szCs w:val="20"/>
              </w:rPr>
              <w:t xml:space="preserve"> 2,145,689 </w:t>
            </w:r>
          </w:p>
        </w:tc>
        <w:tc>
          <w:tcPr>
            <w:tcW w:w="1324" w:type="dxa"/>
            <w:shd w:val="clear" w:color="auto" w:fill="auto"/>
            <w:noWrap/>
            <w:hideMark/>
          </w:tcPr>
          <w:p w:rsidR="00AA6AAA" w:rsidRPr="002B70A5" w:rsidP="00AA6AAA" w14:paraId="1F0CE2CD" w14:textId="47A820D9">
            <w:pPr>
              <w:jc w:val="right"/>
              <w:rPr>
                <w:color w:val="000000"/>
                <w:sz w:val="20"/>
                <w:szCs w:val="20"/>
              </w:rPr>
            </w:pPr>
            <w:r w:rsidRPr="00553323">
              <w:rPr>
                <w:color w:val="000000"/>
                <w:sz w:val="20"/>
                <w:szCs w:val="20"/>
              </w:rPr>
              <w:t>$</w:t>
            </w:r>
            <w:r>
              <w:rPr>
                <w:color w:val="000000"/>
                <w:sz w:val="20"/>
                <w:szCs w:val="20"/>
              </w:rPr>
              <w:t xml:space="preserve"> 2,145,689 </w:t>
            </w:r>
          </w:p>
        </w:tc>
        <w:tc>
          <w:tcPr>
            <w:tcW w:w="1527" w:type="dxa"/>
            <w:shd w:val="clear" w:color="auto" w:fill="auto"/>
            <w:noWrap/>
            <w:vAlign w:val="bottom"/>
            <w:hideMark/>
          </w:tcPr>
          <w:p w:rsidR="00AA6AAA" w:rsidRPr="002B70A5" w:rsidP="00AA6AAA" w14:paraId="4C659F46" w14:textId="049A7DA4">
            <w:pPr>
              <w:jc w:val="right"/>
              <w:rPr>
                <w:color w:val="000000"/>
                <w:sz w:val="20"/>
                <w:szCs w:val="20"/>
              </w:rPr>
            </w:pPr>
            <w:r w:rsidRPr="00B719D2">
              <w:rPr>
                <w:color w:val="000000"/>
                <w:sz w:val="20"/>
                <w:szCs w:val="20"/>
              </w:rPr>
              <w:t xml:space="preserve"> $ 6,437,066 </w:t>
            </w:r>
          </w:p>
        </w:tc>
      </w:tr>
      <w:tr w14:paraId="1471B4D3" w14:textId="77777777" w:rsidTr="00B719D2">
        <w:tblPrEx>
          <w:tblW w:w="9180" w:type="dxa"/>
          <w:tblLook w:val="04A0"/>
        </w:tblPrEx>
        <w:trPr>
          <w:trHeight w:val="50"/>
        </w:trPr>
        <w:tc>
          <w:tcPr>
            <w:tcW w:w="1240" w:type="dxa"/>
            <w:vMerge w:val="restart"/>
            <w:shd w:val="clear" w:color="auto" w:fill="auto"/>
            <w:noWrap/>
            <w:hideMark/>
          </w:tcPr>
          <w:p w:rsidR="00AA6AAA" w:rsidRPr="002B70A5" w:rsidP="00AA6AAA" w14:paraId="0DB3EEB7" w14:textId="17A9DAE8">
            <w:pPr>
              <w:rPr>
                <w:color w:val="000000"/>
                <w:sz w:val="20"/>
                <w:szCs w:val="20"/>
              </w:rPr>
            </w:pPr>
            <w:r w:rsidRPr="40B9DA27">
              <w:rPr>
                <w:color w:val="000000" w:themeColor="text1"/>
                <w:sz w:val="20"/>
                <w:szCs w:val="20"/>
              </w:rPr>
              <w:t xml:space="preserve">Large </w:t>
            </w:r>
            <w:r>
              <w:rPr>
                <w:color w:val="000000" w:themeColor="text1"/>
                <w:sz w:val="20"/>
                <w:szCs w:val="20"/>
              </w:rPr>
              <w:t>Bus</w:t>
            </w:r>
            <w:r w:rsidRPr="40B9DA27">
              <w:rPr>
                <w:color w:val="000000" w:themeColor="text1"/>
                <w:sz w:val="20"/>
                <w:szCs w:val="20"/>
              </w:rPr>
              <w:t xml:space="preserve"> 5307</w:t>
            </w:r>
          </w:p>
        </w:tc>
        <w:tc>
          <w:tcPr>
            <w:tcW w:w="2012" w:type="dxa"/>
            <w:shd w:val="clear" w:color="auto" w:fill="auto"/>
            <w:noWrap/>
            <w:hideMark/>
          </w:tcPr>
          <w:p w:rsidR="00AA6AAA" w:rsidRPr="002B70A5" w:rsidP="00AA6AAA" w14:paraId="4AD995F5" w14:textId="77777777">
            <w:pPr>
              <w:rPr>
                <w:color w:val="000000"/>
                <w:sz w:val="20"/>
                <w:szCs w:val="20"/>
              </w:rPr>
            </w:pPr>
            <w:r w:rsidRPr="002B70A5">
              <w:rPr>
                <w:color w:val="000000"/>
                <w:sz w:val="20"/>
                <w:szCs w:val="20"/>
              </w:rPr>
              <w:t>Development</w:t>
            </w:r>
          </w:p>
        </w:tc>
        <w:tc>
          <w:tcPr>
            <w:tcW w:w="1813" w:type="dxa"/>
            <w:shd w:val="clear" w:color="auto" w:fill="auto"/>
            <w:noWrap/>
            <w:hideMark/>
          </w:tcPr>
          <w:p w:rsidR="00AA6AAA" w:rsidRPr="002B70A5" w:rsidP="00AA6AAA" w14:paraId="185AA9AE" w14:textId="42BA8E86">
            <w:pPr>
              <w:jc w:val="right"/>
              <w:rPr>
                <w:color w:val="000000"/>
                <w:sz w:val="20"/>
                <w:szCs w:val="20"/>
              </w:rPr>
            </w:pPr>
            <w:r w:rsidRPr="00553323">
              <w:rPr>
                <w:color w:val="000000"/>
                <w:sz w:val="20"/>
                <w:szCs w:val="20"/>
              </w:rPr>
              <w:t xml:space="preserve"> $ </w:t>
            </w:r>
            <w:r>
              <w:rPr>
                <w:color w:val="000000"/>
                <w:sz w:val="20"/>
                <w:szCs w:val="20"/>
              </w:rPr>
              <w:t>829,599</w:t>
            </w:r>
            <w:r w:rsidRPr="00553323">
              <w:rPr>
                <w:color w:val="000000"/>
                <w:sz w:val="20"/>
                <w:szCs w:val="20"/>
              </w:rPr>
              <w:t xml:space="preserve"> </w:t>
            </w:r>
          </w:p>
        </w:tc>
        <w:tc>
          <w:tcPr>
            <w:tcW w:w="1264" w:type="dxa"/>
            <w:shd w:val="clear" w:color="auto" w:fill="auto"/>
            <w:noWrap/>
            <w:hideMark/>
          </w:tcPr>
          <w:p w:rsidR="00AA6AAA" w:rsidRPr="002B70A5" w:rsidP="00AA6AAA" w14:paraId="692C2B3C" w14:textId="77777777">
            <w:pPr>
              <w:jc w:val="right"/>
              <w:rPr>
                <w:color w:val="000000"/>
                <w:sz w:val="20"/>
                <w:szCs w:val="20"/>
              </w:rPr>
            </w:pPr>
          </w:p>
        </w:tc>
        <w:tc>
          <w:tcPr>
            <w:tcW w:w="1324" w:type="dxa"/>
            <w:shd w:val="clear" w:color="auto" w:fill="auto"/>
            <w:noWrap/>
            <w:hideMark/>
          </w:tcPr>
          <w:p w:rsidR="00AA6AAA" w:rsidRPr="002B70A5" w:rsidP="00AA6AAA" w14:paraId="5E839162" w14:textId="77777777">
            <w:pPr>
              <w:jc w:val="right"/>
              <w:rPr>
                <w:sz w:val="20"/>
                <w:szCs w:val="20"/>
              </w:rPr>
            </w:pPr>
          </w:p>
        </w:tc>
        <w:tc>
          <w:tcPr>
            <w:tcW w:w="1527" w:type="dxa"/>
            <w:shd w:val="clear" w:color="auto" w:fill="auto"/>
            <w:noWrap/>
            <w:vAlign w:val="bottom"/>
            <w:hideMark/>
          </w:tcPr>
          <w:p w:rsidR="00AA6AAA" w:rsidRPr="002B70A5" w:rsidP="00AA6AAA" w14:paraId="786D4EB7" w14:textId="0D6659EB">
            <w:pPr>
              <w:jc w:val="right"/>
              <w:rPr>
                <w:color w:val="000000"/>
                <w:sz w:val="20"/>
                <w:szCs w:val="20"/>
              </w:rPr>
            </w:pPr>
            <w:r w:rsidRPr="00B719D2">
              <w:rPr>
                <w:color w:val="000000"/>
                <w:sz w:val="20"/>
                <w:szCs w:val="20"/>
              </w:rPr>
              <w:t xml:space="preserve"> $ 829,599 </w:t>
            </w:r>
          </w:p>
        </w:tc>
      </w:tr>
      <w:tr w14:paraId="38AEB04C" w14:textId="77777777" w:rsidTr="00B719D2">
        <w:tblPrEx>
          <w:tblW w:w="9180" w:type="dxa"/>
          <w:tblLook w:val="04A0"/>
        </w:tblPrEx>
        <w:trPr>
          <w:trHeight w:val="50"/>
        </w:trPr>
        <w:tc>
          <w:tcPr>
            <w:tcW w:w="1240" w:type="dxa"/>
            <w:vMerge/>
            <w:noWrap/>
            <w:hideMark/>
          </w:tcPr>
          <w:p w:rsidR="00AA6AAA" w:rsidRPr="002B70A5" w:rsidP="00AA6AAA" w14:paraId="6932BD52" w14:textId="77777777">
            <w:pPr>
              <w:rPr>
                <w:color w:val="000000"/>
                <w:sz w:val="20"/>
                <w:szCs w:val="20"/>
              </w:rPr>
            </w:pPr>
          </w:p>
        </w:tc>
        <w:tc>
          <w:tcPr>
            <w:tcW w:w="2012" w:type="dxa"/>
            <w:shd w:val="clear" w:color="auto" w:fill="auto"/>
            <w:noWrap/>
            <w:hideMark/>
          </w:tcPr>
          <w:p w:rsidR="00AA6AAA" w:rsidRPr="002B70A5" w:rsidP="00AA6AAA" w14:paraId="5A95D53E" w14:textId="25E98263">
            <w:pPr>
              <w:rPr>
                <w:color w:val="000000"/>
                <w:sz w:val="20"/>
                <w:szCs w:val="20"/>
              </w:rPr>
            </w:pPr>
            <w:r w:rsidRPr="007C08F6">
              <w:rPr>
                <w:color w:val="000000"/>
                <w:sz w:val="20"/>
                <w:szCs w:val="20"/>
              </w:rPr>
              <w:t>Implement</w:t>
            </w:r>
            <w:r>
              <w:rPr>
                <w:color w:val="000000"/>
                <w:sz w:val="20"/>
                <w:szCs w:val="20"/>
              </w:rPr>
              <w:t>/Document</w:t>
            </w:r>
          </w:p>
        </w:tc>
        <w:tc>
          <w:tcPr>
            <w:tcW w:w="1813" w:type="dxa"/>
            <w:shd w:val="clear" w:color="auto" w:fill="auto"/>
            <w:noWrap/>
            <w:hideMark/>
          </w:tcPr>
          <w:p w:rsidR="00AA6AAA" w:rsidRPr="002B70A5" w:rsidP="00AA6AAA" w14:paraId="41229F4A" w14:textId="30D07201">
            <w:pPr>
              <w:jc w:val="right"/>
              <w:rPr>
                <w:color w:val="000000"/>
                <w:sz w:val="20"/>
                <w:szCs w:val="20"/>
              </w:rPr>
            </w:pPr>
            <w:r w:rsidRPr="00553323">
              <w:rPr>
                <w:color w:val="000000"/>
                <w:sz w:val="20"/>
                <w:szCs w:val="20"/>
              </w:rPr>
              <w:t xml:space="preserve"> $ </w:t>
            </w:r>
            <w:r>
              <w:rPr>
                <w:color w:val="000000"/>
                <w:sz w:val="20"/>
                <w:szCs w:val="20"/>
              </w:rPr>
              <w:t>1,341,716</w:t>
            </w:r>
            <w:r w:rsidRPr="00553323">
              <w:rPr>
                <w:color w:val="000000"/>
                <w:sz w:val="20"/>
                <w:szCs w:val="20"/>
              </w:rPr>
              <w:t xml:space="preserve"> </w:t>
            </w:r>
          </w:p>
        </w:tc>
        <w:tc>
          <w:tcPr>
            <w:tcW w:w="1264" w:type="dxa"/>
            <w:shd w:val="clear" w:color="auto" w:fill="auto"/>
            <w:noWrap/>
            <w:hideMark/>
          </w:tcPr>
          <w:p w:rsidR="00AA6AAA" w:rsidRPr="002B70A5" w:rsidP="00AA6AAA" w14:paraId="6845A5B5" w14:textId="29662BEC">
            <w:pPr>
              <w:jc w:val="right"/>
              <w:rPr>
                <w:color w:val="000000"/>
                <w:sz w:val="20"/>
                <w:szCs w:val="20"/>
              </w:rPr>
            </w:pPr>
            <w:r w:rsidRPr="00553323">
              <w:rPr>
                <w:color w:val="000000"/>
                <w:sz w:val="20"/>
                <w:szCs w:val="20"/>
              </w:rPr>
              <w:t xml:space="preserve">$ </w:t>
            </w:r>
            <w:r>
              <w:rPr>
                <w:color w:val="000000"/>
                <w:sz w:val="20"/>
                <w:szCs w:val="20"/>
              </w:rPr>
              <w:t xml:space="preserve">1,341,716 </w:t>
            </w:r>
          </w:p>
        </w:tc>
        <w:tc>
          <w:tcPr>
            <w:tcW w:w="1324" w:type="dxa"/>
            <w:shd w:val="clear" w:color="auto" w:fill="auto"/>
            <w:noWrap/>
            <w:hideMark/>
          </w:tcPr>
          <w:p w:rsidR="00AA6AAA" w:rsidRPr="002B70A5" w:rsidP="00AA6AAA" w14:paraId="52F30A10" w14:textId="4B1874A6">
            <w:pPr>
              <w:jc w:val="right"/>
              <w:rPr>
                <w:color w:val="000000"/>
                <w:sz w:val="20"/>
                <w:szCs w:val="20"/>
              </w:rPr>
            </w:pPr>
            <w:r w:rsidRPr="00553323">
              <w:rPr>
                <w:color w:val="000000"/>
                <w:sz w:val="20"/>
                <w:szCs w:val="20"/>
              </w:rPr>
              <w:t xml:space="preserve">$ </w:t>
            </w:r>
            <w:r>
              <w:rPr>
                <w:color w:val="000000"/>
                <w:sz w:val="20"/>
                <w:szCs w:val="20"/>
              </w:rPr>
              <w:t xml:space="preserve">1,341,716 </w:t>
            </w:r>
          </w:p>
        </w:tc>
        <w:tc>
          <w:tcPr>
            <w:tcW w:w="1527" w:type="dxa"/>
            <w:shd w:val="clear" w:color="auto" w:fill="auto"/>
            <w:noWrap/>
            <w:vAlign w:val="bottom"/>
            <w:hideMark/>
          </w:tcPr>
          <w:p w:rsidR="00AA6AAA" w:rsidRPr="002B70A5" w:rsidP="00AA6AAA" w14:paraId="50D5E493" w14:textId="7E988788">
            <w:pPr>
              <w:jc w:val="right"/>
              <w:rPr>
                <w:color w:val="000000"/>
                <w:sz w:val="20"/>
                <w:szCs w:val="20"/>
              </w:rPr>
            </w:pPr>
            <w:r w:rsidRPr="00B719D2">
              <w:rPr>
                <w:color w:val="000000"/>
                <w:sz w:val="20"/>
                <w:szCs w:val="20"/>
              </w:rPr>
              <w:t xml:space="preserve"> $ 4,025,149 </w:t>
            </w:r>
          </w:p>
        </w:tc>
      </w:tr>
      <w:tr w14:paraId="1D289892" w14:textId="77777777" w:rsidTr="00B719D2">
        <w:tblPrEx>
          <w:tblW w:w="9180" w:type="dxa"/>
          <w:tblLook w:val="04A0"/>
        </w:tblPrEx>
        <w:trPr>
          <w:trHeight w:val="50"/>
        </w:trPr>
        <w:tc>
          <w:tcPr>
            <w:tcW w:w="1240" w:type="dxa"/>
            <w:vMerge w:val="restart"/>
            <w:shd w:val="clear" w:color="auto" w:fill="auto"/>
            <w:noWrap/>
            <w:hideMark/>
          </w:tcPr>
          <w:p w:rsidR="00AA6AAA" w:rsidRPr="002B70A5" w:rsidP="00AA6AAA" w14:paraId="20AE25BC" w14:textId="62AE74AF">
            <w:pPr>
              <w:rPr>
                <w:color w:val="000000"/>
                <w:sz w:val="20"/>
                <w:szCs w:val="20"/>
              </w:rPr>
            </w:pPr>
            <w:r w:rsidRPr="40B9DA27">
              <w:rPr>
                <w:color w:val="000000" w:themeColor="text1"/>
                <w:sz w:val="20"/>
                <w:szCs w:val="20"/>
              </w:rPr>
              <w:t>Small 5307</w:t>
            </w:r>
          </w:p>
        </w:tc>
        <w:tc>
          <w:tcPr>
            <w:tcW w:w="2012" w:type="dxa"/>
            <w:shd w:val="clear" w:color="auto" w:fill="auto"/>
            <w:noWrap/>
            <w:hideMark/>
          </w:tcPr>
          <w:p w:rsidR="00AA6AAA" w:rsidRPr="002B70A5" w:rsidP="00AA6AAA" w14:paraId="53EA53C5" w14:textId="77777777">
            <w:pPr>
              <w:rPr>
                <w:color w:val="000000"/>
                <w:sz w:val="20"/>
                <w:szCs w:val="20"/>
              </w:rPr>
            </w:pPr>
            <w:r w:rsidRPr="002B70A5">
              <w:rPr>
                <w:color w:val="000000"/>
                <w:sz w:val="20"/>
                <w:szCs w:val="20"/>
              </w:rPr>
              <w:t>Development</w:t>
            </w:r>
          </w:p>
        </w:tc>
        <w:tc>
          <w:tcPr>
            <w:tcW w:w="1813" w:type="dxa"/>
            <w:shd w:val="clear" w:color="auto" w:fill="auto"/>
            <w:noWrap/>
            <w:hideMark/>
          </w:tcPr>
          <w:p w:rsidR="00AA6AAA" w:rsidRPr="002B70A5" w:rsidP="00AA6AAA" w14:paraId="5F9C886D" w14:textId="377899BD">
            <w:pPr>
              <w:jc w:val="right"/>
              <w:rPr>
                <w:color w:val="000000"/>
                <w:sz w:val="20"/>
                <w:szCs w:val="20"/>
              </w:rPr>
            </w:pPr>
            <w:r w:rsidRPr="00553323">
              <w:rPr>
                <w:color w:val="000000"/>
                <w:sz w:val="20"/>
                <w:szCs w:val="20"/>
              </w:rPr>
              <w:t xml:space="preserve"> $ </w:t>
            </w:r>
            <w:r>
              <w:rPr>
                <w:color w:val="000000"/>
                <w:sz w:val="20"/>
                <w:szCs w:val="20"/>
              </w:rPr>
              <w:t>2,911,728</w:t>
            </w:r>
            <w:r w:rsidRPr="00553323">
              <w:rPr>
                <w:color w:val="000000"/>
                <w:sz w:val="20"/>
                <w:szCs w:val="20"/>
              </w:rPr>
              <w:t xml:space="preserve"> </w:t>
            </w:r>
          </w:p>
        </w:tc>
        <w:tc>
          <w:tcPr>
            <w:tcW w:w="1264" w:type="dxa"/>
            <w:shd w:val="clear" w:color="auto" w:fill="auto"/>
            <w:noWrap/>
            <w:hideMark/>
          </w:tcPr>
          <w:p w:rsidR="00AA6AAA" w:rsidRPr="002B70A5" w:rsidP="00AA6AAA" w14:paraId="132AB1F7" w14:textId="77777777">
            <w:pPr>
              <w:jc w:val="right"/>
              <w:rPr>
                <w:color w:val="000000"/>
                <w:sz w:val="20"/>
                <w:szCs w:val="20"/>
              </w:rPr>
            </w:pPr>
          </w:p>
        </w:tc>
        <w:tc>
          <w:tcPr>
            <w:tcW w:w="1324" w:type="dxa"/>
            <w:shd w:val="clear" w:color="auto" w:fill="auto"/>
            <w:noWrap/>
            <w:hideMark/>
          </w:tcPr>
          <w:p w:rsidR="00AA6AAA" w:rsidRPr="002B70A5" w:rsidP="00AA6AAA" w14:paraId="67FA0793" w14:textId="77777777">
            <w:pPr>
              <w:jc w:val="right"/>
              <w:rPr>
                <w:sz w:val="20"/>
                <w:szCs w:val="20"/>
              </w:rPr>
            </w:pPr>
          </w:p>
        </w:tc>
        <w:tc>
          <w:tcPr>
            <w:tcW w:w="1527" w:type="dxa"/>
            <w:shd w:val="clear" w:color="auto" w:fill="auto"/>
            <w:noWrap/>
            <w:vAlign w:val="bottom"/>
            <w:hideMark/>
          </w:tcPr>
          <w:p w:rsidR="00AA6AAA" w:rsidRPr="002B70A5" w:rsidP="00AA6AAA" w14:paraId="7E01911A" w14:textId="56B1C795">
            <w:pPr>
              <w:jc w:val="right"/>
              <w:rPr>
                <w:color w:val="000000"/>
                <w:sz w:val="20"/>
                <w:szCs w:val="20"/>
              </w:rPr>
            </w:pPr>
            <w:r w:rsidRPr="00B719D2">
              <w:rPr>
                <w:color w:val="000000"/>
                <w:sz w:val="20"/>
                <w:szCs w:val="20"/>
              </w:rPr>
              <w:t xml:space="preserve"> $ 2,911,728 </w:t>
            </w:r>
          </w:p>
        </w:tc>
      </w:tr>
      <w:tr w14:paraId="4C854C42" w14:textId="77777777" w:rsidTr="00B719D2">
        <w:tblPrEx>
          <w:tblW w:w="9180" w:type="dxa"/>
          <w:tblLook w:val="04A0"/>
        </w:tblPrEx>
        <w:trPr>
          <w:trHeight w:val="62"/>
        </w:trPr>
        <w:tc>
          <w:tcPr>
            <w:tcW w:w="1240" w:type="dxa"/>
            <w:vMerge/>
            <w:noWrap/>
            <w:vAlign w:val="bottom"/>
            <w:hideMark/>
          </w:tcPr>
          <w:p w:rsidR="00AA6AAA" w:rsidRPr="002B70A5" w:rsidP="00AA6AAA" w14:paraId="3971D1E9" w14:textId="77777777">
            <w:pPr>
              <w:rPr>
                <w:color w:val="000000"/>
                <w:sz w:val="20"/>
                <w:szCs w:val="20"/>
              </w:rPr>
            </w:pPr>
          </w:p>
        </w:tc>
        <w:tc>
          <w:tcPr>
            <w:tcW w:w="2012" w:type="dxa"/>
            <w:shd w:val="clear" w:color="auto" w:fill="auto"/>
            <w:noWrap/>
            <w:hideMark/>
          </w:tcPr>
          <w:p w:rsidR="00AA6AAA" w:rsidRPr="002B70A5" w:rsidP="00AA6AAA" w14:paraId="5E8EAC50" w14:textId="36437261">
            <w:pPr>
              <w:rPr>
                <w:color w:val="000000"/>
                <w:sz w:val="20"/>
                <w:szCs w:val="20"/>
              </w:rPr>
            </w:pPr>
            <w:r w:rsidRPr="007C08F6">
              <w:rPr>
                <w:color w:val="000000"/>
                <w:sz w:val="20"/>
                <w:szCs w:val="20"/>
              </w:rPr>
              <w:t>Implement</w:t>
            </w:r>
            <w:r>
              <w:rPr>
                <w:color w:val="000000"/>
                <w:sz w:val="20"/>
                <w:szCs w:val="20"/>
              </w:rPr>
              <w:t>/Document</w:t>
            </w:r>
          </w:p>
        </w:tc>
        <w:tc>
          <w:tcPr>
            <w:tcW w:w="1813" w:type="dxa"/>
            <w:shd w:val="clear" w:color="auto" w:fill="auto"/>
            <w:noWrap/>
            <w:hideMark/>
          </w:tcPr>
          <w:p w:rsidR="00AA6AAA" w:rsidRPr="002B70A5" w:rsidP="00AA6AAA" w14:paraId="22755CA5" w14:textId="657AD2A8">
            <w:pPr>
              <w:jc w:val="right"/>
              <w:rPr>
                <w:color w:val="000000"/>
                <w:sz w:val="20"/>
                <w:szCs w:val="20"/>
              </w:rPr>
            </w:pPr>
            <w:r w:rsidRPr="00553323">
              <w:rPr>
                <w:color w:val="000000"/>
                <w:sz w:val="20"/>
                <w:szCs w:val="20"/>
              </w:rPr>
              <w:t xml:space="preserve"> $ </w:t>
            </w:r>
            <w:r>
              <w:rPr>
                <w:color w:val="000000"/>
                <w:sz w:val="20"/>
                <w:szCs w:val="20"/>
              </w:rPr>
              <w:t>4,558,368</w:t>
            </w:r>
            <w:r w:rsidRPr="00553323">
              <w:rPr>
                <w:color w:val="000000"/>
                <w:sz w:val="20"/>
                <w:szCs w:val="20"/>
              </w:rPr>
              <w:t xml:space="preserve"> </w:t>
            </w:r>
          </w:p>
        </w:tc>
        <w:tc>
          <w:tcPr>
            <w:tcW w:w="1264" w:type="dxa"/>
            <w:shd w:val="clear" w:color="auto" w:fill="auto"/>
            <w:noWrap/>
            <w:hideMark/>
          </w:tcPr>
          <w:p w:rsidR="00AA6AAA" w:rsidRPr="002B70A5" w:rsidP="00AA6AAA" w14:paraId="0B6FE8C8" w14:textId="08FEAEB6">
            <w:pPr>
              <w:jc w:val="right"/>
              <w:rPr>
                <w:color w:val="000000"/>
                <w:sz w:val="20"/>
                <w:szCs w:val="20"/>
              </w:rPr>
            </w:pPr>
            <w:r w:rsidRPr="00553323">
              <w:rPr>
                <w:color w:val="000000"/>
                <w:sz w:val="20"/>
                <w:szCs w:val="20"/>
              </w:rPr>
              <w:t xml:space="preserve"> $ </w:t>
            </w:r>
            <w:r>
              <w:rPr>
                <w:color w:val="000000"/>
                <w:sz w:val="20"/>
                <w:szCs w:val="20"/>
              </w:rPr>
              <w:t>4,558,368</w:t>
            </w:r>
            <w:r w:rsidRPr="00553323">
              <w:rPr>
                <w:color w:val="000000"/>
                <w:sz w:val="20"/>
                <w:szCs w:val="20"/>
              </w:rPr>
              <w:t xml:space="preserve"> </w:t>
            </w:r>
          </w:p>
        </w:tc>
        <w:tc>
          <w:tcPr>
            <w:tcW w:w="1324" w:type="dxa"/>
            <w:shd w:val="clear" w:color="auto" w:fill="auto"/>
            <w:noWrap/>
            <w:hideMark/>
          </w:tcPr>
          <w:p w:rsidR="00AA6AAA" w:rsidRPr="002B70A5" w:rsidP="00AA6AAA" w14:paraId="5F41F508" w14:textId="72234DCE">
            <w:pPr>
              <w:jc w:val="right"/>
              <w:rPr>
                <w:color w:val="000000"/>
                <w:sz w:val="20"/>
                <w:szCs w:val="20"/>
              </w:rPr>
            </w:pPr>
            <w:r w:rsidRPr="00553323">
              <w:rPr>
                <w:color w:val="000000"/>
                <w:sz w:val="20"/>
                <w:szCs w:val="20"/>
              </w:rPr>
              <w:t xml:space="preserve"> $ </w:t>
            </w:r>
            <w:r>
              <w:rPr>
                <w:color w:val="000000"/>
                <w:sz w:val="20"/>
                <w:szCs w:val="20"/>
              </w:rPr>
              <w:t>4,558,368</w:t>
            </w:r>
            <w:r w:rsidRPr="00553323">
              <w:rPr>
                <w:color w:val="000000"/>
                <w:sz w:val="20"/>
                <w:szCs w:val="20"/>
              </w:rPr>
              <w:t xml:space="preserve"> </w:t>
            </w:r>
          </w:p>
        </w:tc>
        <w:tc>
          <w:tcPr>
            <w:tcW w:w="1527" w:type="dxa"/>
            <w:shd w:val="clear" w:color="auto" w:fill="auto"/>
            <w:noWrap/>
            <w:vAlign w:val="bottom"/>
            <w:hideMark/>
          </w:tcPr>
          <w:p w:rsidR="00AA6AAA" w:rsidRPr="002B70A5" w:rsidP="00AA6AAA" w14:paraId="00620C7A" w14:textId="452D7F8A">
            <w:pPr>
              <w:jc w:val="right"/>
              <w:rPr>
                <w:color w:val="000000"/>
                <w:sz w:val="20"/>
                <w:szCs w:val="20"/>
              </w:rPr>
            </w:pPr>
            <w:r w:rsidRPr="00B719D2">
              <w:rPr>
                <w:color w:val="000000"/>
                <w:sz w:val="20"/>
                <w:szCs w:val="20"/>
              </w:rPr>
              <w:t xml:space="preserve"> $ 13,675,104 </w:t>
            </w:r>
          </w:p>
        </w:tc>
      </w:tr>
    </w:tbl>
    <w:p w:rsidR="002B70A5" w:rsidP="007C08F6" w14:paraId="3CE27D59" w14:textId="47F492FD">
      <w:pPr>
        <w:pStyle w:val="ListParagraph"/>
        <w:ind w:left="0"/>
        <w:contextualSpacing w:val="0"/>
      </w:pPr>
    </w:p>
    <w:p w:rsidR="000E0E60" w:rsidP="000E0E60" w14:paraId="16804147" w14:textId="16518CD8">
      <w:r w:rsidRPr="7FC443FA">
        <w:rPr>
          <w:u w:val="single"/>
        </w:rPr>
        <w:t xml:space="preserve">Summary for Table </w:t>
      </w:r>
      <w:r w:rsidRPr="7FC443FA" w:rsidR="0084616D">
        <w:rPr>
          <w:u w:val="single"/>
        </w:rPr>
        <w:t>4</w:t>
      </w:r>
      <w:r>
        <w:t>:</w:t>
      </w:r>
    </w:p>
    <w:p w:rsidR="000E0E60" w:rsidRPr="00A66850" w:rsidP="000E0E60" w14:paraId="5155019B" w14:textId="77777777"/>
    <w:p w:rsidR="00350344" w:rsidRPr="005B3BD1" w:rsidP="00350344" w14:paraId="2AB7299F" w14:textId="6E6F3382">
      <w:r>
        <w:t xml:space="preserve">The new </w:t>
      </w:r>
      <w:r w:rsidR="00A33483">
        <w:t xml:space="preserve">PTASP </w:t>
      </w:r>
      <w:r>
        <w:t>requirements labor and cost estimates in Tables 4 are based on the following parameters:</w:t>
      </w:r>
    </w:p>
    <w:p w:rsidR="00350344" w:rsidRPr="00356E06" w:rsidP="00350344" w14:paraId="4FC47694" w14:textId="77777777">
      <w:pPr>
        <w:rPr>
          <w:i/>
          <w:highlight w:val="yellow"/>
        </w:rPr>
      </w:pPr>
    </w:p>
    <w:p w:rsidR="00350344" w:rsidRPr="00803BFC" w:rsidP="00803BFC" w14:paraId="3F05DFFC" w14:textId="1001C5B8">
      <w:pPr>
        <w:pStyle w:val="NoSpacing"/>
        <w:numPr>
          <w:ilvl w:val="0"/>
          <w:numId w:val="40"/>
        </w:numPr>
        <w:rPr>
          <w:rFonts w:ascii="Times New Roman" w:hAnsi="Times New Roman" w:cs="Times New Roman"/>
          <w:sz w:val="24"/>
          <w:szCs w:val="24"/>
        </w:rPr>
      </w:pPr>
      <w:r w:rsidRPr="7FC443FA">
        <w:rPr>
          <w:rFonts w:ascii="Times New Roman" w:hAnsi="Times New Roman" w:cs="Times New Roman"/>
          <w:sz w:val="24"/>
          <w:szCs w:val="24"/>
        </w:rPr>
        <w:t>Responses occur once annually for all entities.</w:t>
      </w:r>
    </w:p>
    <w:p w:rsidR="00350344" w:rsidRPr="00803BFC" w:rsidP="00803BFC" w14:paraId="5F6EA6AE" w14:textId="77777777">
      <w:pPr>
        <w:pStyle w:val="NoSpacing"/>
        <w:ind w:left="720"/>
        <w:rPr>
          <w:rFonts w:ascii="Times New Roman" w:hAnsi="Times New Roman" w:cs="Times New Roman"/>
          <w:sz w:val="24"/>
          <w:szCs w:val="24"/>
        </w:rPr>
      </w:pPr>
    </w:p>
    <w:p w:rsidR="00350344" w:rsidRPr="00803BFC" w:rsidP="00803BFC" w14:paraId="32FD3CC6" w14:textId="77777777">
      <w:pPr>
        <w:pStyle w:val="NoSpacing"/>
        <w:numPr>
          <w:ilvl w:val="0"/>
          <w:numId w:val="40"/>
        </w:numPr>
        <w:rPr>
          <w:rFonts w:ascii="Times New Roman" w:hAnsi="Times New Roman" w:cs="Times New Roman"/>
          <w:sz w:val="24"/>
          <w:szCs w:val="24"/>
        </w:rPr>
      </w:pPr>
      <w:r w:rsidRPr="7FC443FA">
        <w:rPr>
          <w:rFonts w:ascii="Times New Roman" w:hAnsi="Times New Roman" w:cs="Times New Roman"/>
          <w:sz w:val="24"/>
          <w:szCs w:val="24"/>
        </w:rPr>
        <w:t>The annual hour burden is calculated with the following factors applied:</w:t>
      </w:r>
    </w:p>
    <w:p w:rsidR="00350344" w:rsidRPr="00803BFC" w:rsidP="00803BFC" w14:paraId="0B470692" w14:textId="783810EB">
      <w:pPr>
        <w:pStyle w:val="NoSpacing"/>
        <w:numPr>
          <w:ilvl w:val="1"/>
          <w:numId w:val="40"/>
        </w:numPr>
        <w:rPr>
          <w:rFonts w:ascii="Times New Roman" w:hAnsi="Times New Roman" w:cs="Times New Roman"/>
          <w:sz w:val="24"/>
          <w:szCs w:val="24"/>
        </w:rPr>
      </w:pPr>
      <w:r w:rsidRPr="00803BFC">
        <w:rPr>
          <w:rFonts w:ascii="Times New Roman" w:hAnsi="Times New Roman" w:cs="Times New Roman"/>
          <w:sz w:val="24"/>
          <w:szCs w:val="24"/>
        </w:rPr>
        <w:t>There are two different phases of rule adherence</w:t>
      </w:r>
      <w:r w:rsidRPr="00803BFC" w:rsidR="00A81EC9">
        <w:rPr>
          <w:rFonts w:ascii="Times New Roman" w:hAnsi="Times New Roman" w:cs="Times New Roman"/>
          <w:sz w:val="24"/>
          <w:szCs w:val="24"/>
        </w:rPr>
        <w:t xml:space="preserve"> addressed by the new requirements</w:t>
      </w:r>
      <w:r w:rsidRPr="00803BFC">
        <w:rPr>
          <w:rFonts w:ascii="Times New Roman" w:hAnsi="Times New Roman" w:cs="Times New Roman"/>
          <w:sz w:val="24"/>
          <w:szCs w:val="24"/>
        </w:rPr>
        <w:t>: Development</w:t>
      </w:r>
      <w:r w:rsidRPr="00803BFC" w:rsidR="00A81EC9">
        <w:rPr>
          <w:rFonts w:ascii="Times New Roman" w:hAnsi="Times New Roman" w:cs="Times New Roman"/>
          <w:sz w:val="24"/>
          <w:szCs w:val="24"/>
        </w:rPr>
        <w:t xml:space="preserve"> and</w:t>
      </w:r>
      <w:r w:rsidRPr="00803BFC">
        <w:rPr>
          <w:rFonts w:ascii="Times New Roman" w:hAnsi="Times New Roman" w:cs="Times New Roman"/>
          <w:sz w:val="24"/>
          <w:szCs w:val="24"/>
        </w:rPr>
        <w:t xml:space="preserve"> Implementation/Documentation.</w:t>
      </w:r>
    </w:p>
    <w:p w:rsidR="00A81EC9" w:rsidRPr="00803BFC" w:rsidP="00803BFC" w14:paraId="3F0A1C4D" w14:textId="2DD21E8F">
      <w:pPr>
        <w:pStyle w:val="NoSpacing"/>
        <w:numPr>
          <w:ilvl w:val="1"/>
          <w:numId w:val="40"/>
        </w:numPr>
        <w:rPr>
          <w:rFonts w:ascii="Times New Roman" w:hAnsi="Times New Roman" w:cs="Times New Roman"/>
          <w:sz w:val="24"/>
          <w:szCs w:val="24"/>
        </w:rPr>
      </w:pPr>
      <w:r w:rsidRPr="00803BFC">
        <w:rPr>
          <w:rFonts w:ascii="Times New Roman" w:hAnsi="Times New Roman" w:cs="Times New Roman"/>
          <w:sz w:val="24"/>
          <w:szCs w:val="24"/>
        </w:rPr>
        <w:t xml:space="preserve">The tasks associated with the Development phase apply </w:t>
      </w:r>
      <w:r w:rsidRPr="00803BFC">
        <w:rPr>
          <w:rFonts w:ascii="Times New Roman" w:hAnsi="Times New Roman" w:cs="Times New Roman"/>
          <w:sz w:val="24"/>
          <w:szCs w:val="24"/>
        </w:rPr>
        <w:t xml:space="preserve">to </w:t>
      </w:r>
      <w:r w:rsidRPr="00803BFC">
        <w:rPr>
          <w:rFonts w:ascii="Times New Roman" w:hAnsi="Times New Roman" w:cs="Times New Roman"/>
          <w:sz w:val="24"/>
          <w:szCs w:val="24"/>
        </w:rPr>
        <w:t xml:space="preserve">agencies </w:t>
      </w:r>
      <w:r w:rsidRPr="00803BFC">
        <w:rPr>
          <w:rFonts w:ascii="Times New Roman" w:hAnsi="Times New Roman" w:cs="Times New Roman"/>
          <w:sz w:val="24"/>
          <w:szCs w:val="24"/>
        </w:rPr>
        <w:t>developing new elements of their SMS to address new requirements and updating their ASP to reflect the new processes.</w:t>
      </w:r>
    </w:p>
    <w:p w:rsidR="00A81EC9" w:rsidRPr="00803BFC" w:rsidP="00803BFC" w14:paraId="01EC9CB4" w14:textId="4D1B9EC1">
      <w:pPr>
        <w:pStyle w:val="NoSpacing"/>
        <w:numPr>
          <w:ilvl w:val="1"/>
          <w:numId w:val="40"/>
        </w:numPr>
        <w:rPr>
          <w:rFonts w:ascii="Times New Roman" w:hAnsi="Times New Roman" w:cs="Times New Roman"/>
          <w:sz w:val="24"/>
          <w:szCs w:val="24"/>
        </w:rPr>
      </w:pPr>
      <w:r w:rsidRPr="00803BFC">
        <w:rPr>
          <w:rFonts w:ascii="Times New Roman" w:hAnsi="Times New Roman" w:cs="Times New Roman"/>
          <w:sz w:val="24"/>
          <w:szCs w:val="24"/>
        </w:rPr>
        <w:t>Costs are estimated based on the required number of staff labor-hours for each task, the wage rates for those labor-hours, and the number of affected transit providers.</w:t>
      </w:r>
    </w:p>
    <w:p w:rsidR="00F209CB" w:rsidRPr="00803BFC" w:rsidP="00803BFC" w14:paraId="2034C713" w14:textId="77EABB8A">
      <w:pPr>
        <w:pStyle w:val="NoSpacing"/>
        <w:numPr>
          <w:ilvl w:val="1"/>
          <w:numId w:val="40"/>
        </w:numPr>
        <w:rPr>
          <w:rFonts w:ascii="Times New Roman" w:hAnsi="Times New Roman" w:cs="Times New Roman"/>
          <w:sz w:val="24"/>
          <w:szCs w:val="24"/>
        </w:rPr>
      </w:pPr>
      <w:r w:rsidRPr="00803BFC">
        <w:rPr>
          <w:rFonts w:ascii="Times New Roman" w:hAnsi="Times New Roman" w:cs="Times New Roman"/>
          <w:sz w:val="24"/>
          <w:szCs w:val="24"/>
        </w:rPr>
        <w:t xml:space="preserve">Wage rates for </w:t>
      </w:r>
      <w:r w:rsidRPr="00803BFC" w:rsidR="61E2CBAB">
        <w:rPr>
          <w:rFonts w:ascii="Times New Roman" w:hAnsi="Times New Roman" w:cs="Times New Roman"/>
          <w:sz w:val="24"/>
          <w:szCs w:val="24"/>
        </w:rPr>
        <w:t>recipient</w:t>
      </w:r>
      <w:r w:rsidRPr="00803BFC">
        <w:rPr>
          <w:rFonts w:ascii="Times New Roman" w:hAnsi="Times New Roman" w:cs="Times New Roman"/>
          <w:sz w:val="24"/>
          <w:szCs w:val="24"/>
        </w:rPr>
        <w:t xml:space="preserve"> labor hours are based on</w:t>
      </w:r>
      <w:r w:rsidRPr="00803BFC" w:rsidR="5A71B14A">
        <w:rPr>
          <w:rFonts w:ascii="Times New Roman" w:hAnsi="Times New Roman" w:cs="Times New Roman"/>
          <w:sz w:val="24"/>
          <w:szCs w:val="24"/>
        </w:rPr>
        <w:t xml:space="preserve"> 2021</w:t>
      </w:r>
      <w:r w:rsidRPr="00803BFC">
        <w:rPr>
          <w:rFonts w:ascii="Times New Roman" w:hAnsi="Times New Roman" w:cs="Times New Roman"/>
          <w:sz w:val="24"/>
          <w:szCs w:val="24"/>
        </w:rPr>
        <w:t xml:space="preserve"> </w:t>
      </w:r>
      <w:r w:rsidRPr="00803BFC" w:rsidR="70480688">
        <w:rPr>
          <w:rFonts w:ascii="Times New Roman" w:hAnsi="Times New Roman" w:cs="Times New Roman"/>
          <w:sz w:val="24"/>
          <w:szCs w:val="24"/>
        </w:rPr>
        <w:t>BLS Occupational Employment and Wage Statistics</w:t>
      </w:r>
      <w:r w:rsidRPr="00803BFC" w:rsidR="60133AF5">
        <w:rPr>
          <w:rFonts w:ascii="Times New Roman" w:hAnsi="Times New Roman" w:cs="Times New Roman"/>
          <w:sz w:val="24"/>
          <w:szCs w:val="24"/>
        </w:rPr>
        <w:t xml:space="preserve"> (OEWS)</w:t>
      </w:r>
      <w:r w:rsidRPr="00803BFC" w:rsidR="192ED876">
        <w:rPr>
          <w:rFonts w:ascii="Times New Roman" w:hAnsi="Times New Roman" w:cs="Times New Roman"/>
          <w:sz w:val="24"/>
          <w:szCs w:val="24"/>
        </w:rPr>
        <w:t xml:space="preserve"> using </w:t>
      </w:r>
      <w:r w:rsidRPr="00803BFC" w:rsidR="561E6944">
        <w:rPr>
          <w:rFonts w:ascii="Times New Roman" w:hAnsi="Times New Roman" w:cs="Times New Roman"/>
          <w:sz w:val="24"/>
          <w:szCs w:val="24"/>
        </w:rPr>
        <w:t>t</w:t>
      </w:r>
      <w:r w:rsidRPr="00803BFC" w:rsidR="722909E1">
        <w:rPr>
          <w:rFonts w:ascii="Times New Roman" w:hAnsi="Times New Roman" w:cs="Times New Roman"/>
          <w:sz w:val="24"/>
          <w:szCs w:val="24"/>
        </w:rPr>
        <w:t xml:space="preserve">he following </w:t>
      </w:r>
      <w:r w:rsidRPr="00803BFC" w:rsidR="7416C4CA">
        <w:rPr>
          <w:rFonts w:ascii="Times New Roman" w:hAnsi="Times New Roman" w:cs="Times New Roman"/>
          <w:sz w:val="24"/>
          <w:szCs w:val="24"/>
        </w:rPr>
        <w:t xml:space="preserve">industry </w:t>
      </w:r>
      <w:r w:rsidRPr="00803BFC" w:rsidR="731DAF0B">
        <w:rPr>
          <w:rFonts w:ascii="Times New Roman" w:hAnsi="Times New Roman" w:cs="Times New Roman"/>
          <w:sz w:val="24"/>
          <w:szCs w:val="24"/>
        </w:rPr>
        <w:t>groups</w:t>
      </w:r>
      <w:r w:rsidRPr="00803BFC" w:rsidR="7416C4CA">
        <w:rPr>
          <w:rFonts w:ascii="Times New Roman" w:hAnsi="Times New Roman" w:cs="Times New Roman"/>
          <w:sz w:val="24"/>
          <w:szCs w:val="24"/>
        </w:rPr>
        <w:t xml:space="preserve">: </w:t>
      </w:r>
      <w:r w:rsidRPr="00803BFC" w:rsidR="731DAF0B">
        <w:rPr>
          <w:rFonts w:ascii="Times New Roman" w:hAnsi="Times New Roman" w:cs="Times New Roman"/>
          <w:sz w:val="24"/>
          <w:szCs w:val="24"/>
        </w:rPr>
        <w:t>Interurban and Rural Bus Transportation</w:t>
      </w:r>
      <w:r w:rsidRPr="00803BFC" w:rsidR="3687C28F">
        <w:rPr>
          <w:rFonts w:ascii="Times New Roman" w:hAnsi="Times New Roman" w:cs="Times New Roman"/>
          <w:sz w:val="24"/>
          <w:szCs w:val="24"/>
        </w:rPr>
        <w:t xml:space="preserve"> and</w:t>
      </w:r>
      <w:r w:rsidRPr="00803BFC" w:rsidR="14F507E8">
        <w:rPr>
          <w:rFonts w:ascii="Times New Roman" w:hAnsi="Times New Roman" w:cs="Times New Roman"/>
          <w:sz w:val="24"/>
          <w:szCs w:val="24"/>
        </w:rPr>
        <w:t xml:space="preserve"> Urban Transit Systems</w:t>
      </w:r>
      <w:r w:rsidRPr="00803BFC" w:rsidR="51AFA733">
        <w:rPr>
          <w:rFonts w:ascii="Times New Roman" w:hAnsi="Times New Roman" w:cs="Times New Roman"/>
          <w:sz w:val="24"/>
          <w:szCs w:val="24"/>
        </w:rPr>
        <w:t>.</w:t>
      </w:r>
      <w:r w:rsidRPr="00803BFC" w:rsidR="00F360ED">
        <w:rPr>
          <w:rFonts w:ascii="Times New Roman" w:hAnsi="Times New Roman" w:cs="Times New Roman"/>
          <w:sz w:val="24"/>
          <w:szCs w:val="24"/>
        </w:rPr>
        <w:t xml:space="preserve"> </w:t>
      </w:r>
      <w:r w:rsidRPr="00803BFC" w:rsidR="7990D248">
        <w:rPr>
          <w:rFonts w:ascii="Times New Roman" w:hAnsi="Times New Roman" w:cs="Times New Roman"/>
          <w:sz w:val="24"/>
          <w:szCs w:val="24"/>
        </w:rPr>
        <w:t xml:space="preserve">Some occupations </w:t>
      </w:r>
      <w:r w:rsidRPr="00803BFC" w:rsidR="2F072037">
        <w:rPr>
          <w:rFonts w:ascii="Times New Roman" w:hAnsi="Times New Roman" w:cs="Times New Roman"/>
          <w:sz w:val="24"/>
          <w:szCs w:val="24"/>
        </w:rPr>
        <w:t xml:space="preserve">did not have </w:t>
      </w:r>
      <w:r w:rsidRPr="00803BFC" w:rsidR="20C935D9">
        <w:rPr>
          <w:rFonts w:ascii="Times New Roman" w:hAnsi="Times New Roman" w:cs="Times New Roman"/>
          <w:sz w:val="24"/>
          <w:szCs w:val="24"/>
        </w:rPr>
        <w:t>wage data available</w:t>
      </w:r>
      <w:r w:rsidRPr="00803BFC" w:rsidR="17DC2621">
        <w:rPr>
          <w:rFonts w:ascii="Times New Roman" w:hAnsi="Times New Roman" w:cs="Times New Roman"/>
          <w:sz w:val="24"/>
          <w:szCs w:val="24"/>
        </w:rPr>
        <w:t xml:space="preserve"> within </w:t>
      </w:r>
      <w:r w:rsidRPr="00803BFC" w:rsidR="2F072037">
        <w:rPr>
          <w:rFonts w:ascii="Times New Roman" w:hAnsi="Times New Roman" w:cs="Times New Roman"/>
          <w:sz w:val="24"/>
          <w:szCs w:val="24"/>
        </w:rPr>
        <w:t>a</w:t>
      </w:r>
      <w:r w:rsidRPr="00803BFC" w:rsidR="17DC2621">
        <w:rPr>
          <w:rFonts w:ascii="Times New Roman" w:hAnsi="Times New Roman" w:cs="Times New Roman"/>
          <w:sz w:val="24"/>
          <w:szCs w:val="24"/>
        </w:rPr>
        <w:t xml:space="preserve"> </w:t>
      </w:r>
      <w:r w:rsidRPr="00803BFC" w:rsidR="5CE771B2">
        <w:rPr>
          <w:rFonts w:ascii="Times New Roman" w:hAnsi="Times New Roman" w:cs="Times New Roman"/>
          <w:sz w:val="24"/>
          <w:szCs w:val="24"/>
        </w:rPr>
        <w:t>s</w:t>
      </w:r>
      <w:r w:rsidRPr="00803BFC" w:rsidR="192ED876">
        <w:rPr>
          <w:rFonts w:ascii="Times New Roman" w:hAnsi="Times New Roman" w:cs="Times New Roman"/>
          <w:sz w:val="24"/>
          <w:szCs w:val="24"/>
        </w:rPr>
        <w:t xml:space="preserve">pecific </w:t>
      </w:r>
      <w:r w:rsidRPr="00803BFC" w:rsidR="74A9F6AA">
        <w:rPr>
          <w:rFonts w:ascii="Times New Roman" w:hAnsi="Times New Roman" w:cs="Times New Roman"/>
          <w:sz w:val="24"/>
          <w:szCs w:val="24"/>
        </w:rPr>
        <w:t>industry group.</w:t>
      </w:r>
      <w:r w:rsidRPr="00803BFC" w:rsidR="00F360ED">
        <w:rPr>
          <w:rFonts w:ascii="Times New Roman" w:hAnsi="Times New Roman" w:cs="Times New Roman"/>
          <w:sz w:val="24"/>
          <w:szCs w:val="24"/>
        </w:rPr>
        <w:t xml:space="preserve"> </w:t>
      </w:r>
      <w:r w:rsidRPr="00803BFC" w:rsidR="5517BD92">
        <w:rPr>
          <w:rFonts w:ascii="Times New Roman" w:hAnsi="Times New Roman" w:cs="Times New Roman"/>
          <w:sz w:val="24"/>
          <w:szCs w:val="24"/>
        </w:rPr>
        <w:t>In these cases</w:t>
      </w:r>
      <w:r w:rsidRPr="00803BFC" w:rsidR="3154D1EA">
        <w:rPr>
          <w:rFonts w:ascii="Times New Roman" w:hAnsi="Times New Roman" w:cs="Times New Roman"/>
          <w:sz w:val="24"/>
          <w:szCs w:val="24"/>
        </w:rPr>
        <w:t xml:space="preserve">, wages are estimated based on the average wage differences </w:t>
      </w:r>
      <w:r w:rsidRPr="00803BFC" w:rsidR="2A1409C2">
        <w:rPr>
          <w:rFonts w:ascii="Times New Roman" w:hAnsi="Times New Roman" w:cs="Times New Roman"/>
          <w:sz w:val="24"/>
          <w:szCs w:val="24"/>
        </w:rPr>
        <w:t xml:space="preserve">between the </w:t>
      </w:r>
      <w:r w:rsidRPr="00803BFC" w:rsidR="08685EFF">
        <w:rPr>
          <w:rFonts w:ascii="Times New Roman" w:hAnsi="Times New Roman" w:cs="Times New Roman"/>
          <w:sz w:val="24"/>
          <w:szCs w:val="24"/>
        </w:rPr>
        <w:t xml:space="preserve">industries </w:t>
      </w:r>
      <w:r w:rsidRPr="00803BFC" w:rsidR="76390B67">
        <w:rPr>
          <w:rFonts w:ascii="Times New Roman" w:hAnsi="Times New Roman" w:cs="Times New Roman"/>
          <w:sz w:val="24"/>
          <w:szCs w:val="24"/>
        </w:rPr>
        <w:t xml:space="preserve">for the </w:t>
      </w:r>
      <w:r w:rsidRPr="00803BFC" w:rsidR="659203ED">
        <w:rPr>
          <w:rFonts w:ascii="Times New Roman" w:hAnsi="Times New Roman" w:cs="Times New Roman"/>
          <w:sz w:val="24"/>
          <w:szCs w:val="24"/>
        </w:rPr>
        <w:t>occupations</w:t>
      </w:r>
      <w:r w:rsidRPr="00803BFC" w:rsidR="6C9CDF86">
        <w:rPr>
          <w:rFonts w:ascii="Times New Roman" w:hAnsi="Times New Roman" w:cs="Times New Roman"/>
          <w:sz w:val="24"/>
          <w:szCs w:val="24"/>
        </w:rPr>
        <w:t xml:space="preserve"> associated with each new </w:t>
      </w:r>
      <w:r w:rsidRPr="00803BFC" w:rsidR="172C9813">
        <w:rPr>
          <w:rFonts w:ascii="Times New Roman" w:hAnsi="Times New Roman" w:cs="Times New Roman"/>
          <w:sz w:val="24"/>
          <w:szCs w:val="24"/>
        </w:rPr>
        <w:t>required activity</w:t>
      </w:r>
      <w:r w:rsidRPr="00803BFC" w:rsidR="6273D293">
        <w:rPr>
          <w:rFonts w:ascii="Times New Roman" w:hAnsi="Times New Roman" w:cs="Times New Roman"/>
          <w:sz w:val="24"/>
          <w:szCs w:val="24"/>
        </w:rPr>
        <w:t>.</w:t>
      </w:r>
      <w:r w:rsidRPr="00803BFC" w:rsidR="00F360ED">
        <w:rPr>
          <w:rFonts w:ascii="Times New Roman" w:hAnsi="Times New Roman" w:cs="Times New Roman"/>
          <w:sz w:val="24"/>
          <w:szCs w:val="24"/>
        </w:rPr>
        <w:t xml:space="preserve"> </w:t>
      </w:r>
      <w:r w:rsidRPr="00803BFC">
        <w:rPr>
          <w:rFonts w:ascii="Times New Roman" w:hAnsi="Times New Roman" w:cs="Times New Roman"/>
          <w:sz w:val="24"/>
          <w:szCs w:val="24"/>
        </w:rPr>
        <w:t xml:space="preserve">The annual salaries were adjusted to account for </w:t>
      </w:r>
      <w:r w:rsidRPr="00803BFC" w:rsidR="3BECB09E">
        <w:rPr>
          <w:rFonts w:ascii="Times New Roman" w:hAnsi="Times New Roman" w:cs="Times New Roman"/>
          <w:sz w:val="24"/>
          <w:szCs w:val="24"/>
        </w:rPr>
        <w:t xml:space="preserve">employee </w:t>
      </w:r>
      <w:r w:rsidRPr="00803BFC">
        <w:rPr>
          <w:rFonts w:ascii="Times New Roman" w:hAnsi="Times New Roman" w:cs="Times New Roman"/>
          <w:sz w:val="24"/>
          <w:szCs w:val="24"/>
        </w:rPr>
        <w:t>benefits</w:t>
      </w:r>
      <w:r w:rsidRPr="00803BFC" w:rsidR="6B613C97">
        <w:rPr>
          <w:rFonts w:ascii="Times New Roman" w:hAnsi="Times New Roman" w:cs="Times New Roman"/>
          <w:sz w:val="24"/>
          <w:szCs w:val="24"/>
        </w:rPr>
        <w:t xml:space="preserve"> and other costs of compensation</w:t>
      </w:r>
      <w:r w:rsidRPr="00803BFC">
        <w:rPr>
          <w:rFonts w:ascii="Times New Roman" w:hAnsi="Times New Roman" w:cs="Times New Roman"/>
          <w:sz w:val="24"/>
          <w:szCs w:val="24"/>
        </w:rPr>
        <w:t>, using BLS data</w:t>
      </w:r>
      <w:r>
        <w:rPr>
          <w:rFonts w:ascii="Times New Roman" w:hAnsi="Times New Roman" w:cs="Times New Roman"/>
          <w:sz w:val="24"/>
          <w:szCs w:val="24"/>
          <w:vertAlign w:val="superscript"/>
        </w:rPr>
        <w:footnoteReference w:id="4"/>
      </w:r>
      <w:r w:rsidRPr="00803BFC">
        <w:rPr>
          <w:rFonts w:ascii="Times New Roman" w:hAnsi="Times New Roman" w:cs="Times New Roman"/>
          <w:sz w:val="24"/>
          <w:szCs w:val="24"/>
        </w:rPr>
        <w:t>.</w:t>
      </w:r>
    </w:p>
    <w:p w:rsidR="00E2640A" w:rsidRPr="00803BFC" w:rsidP="00803BFC" w14:paraId="6D8E2B79" w14:textId="77777777">
      <w:pPr>
        <w:pStyle w:val="NoSpacing"/>
        <w:ind w:left="1440"/>
        <w:rPr>
          <w:rFonts w:ascii="Times New Roman" w:hAnsi="Times New Roman" w:cs="Times New Roman"/>
          <w:sz w:val="24"/>
          <w:szCs w:val="24"/>
        </w:rPr>
      </w:pPr>
    </w:p>
    <w:p w:rsidR="00350344" w:rsidRPr="00803BFC" w:rsidP="00803BFC" w14:paraId="0284676B" w14:textId="7A1F9F5B">
      <w:pPr>
        <w:pStyle w:val="NoSpacing"/>
        <w:numPr>
          <w:ilvl w:val="0"/>
          <w:numId w:val="40"/>
        </w:numPr>
        <w:rPr>
          <w:rFonts w:ascii="Times New Roman" w:hAnsi="Times New Roman" w:cs="Times New Roman"/>
          <w:sz w:val="24"/>
          <w:szCs w:val="24"/>
        </w:rPr>
      </w:pPr>
      <w:r w:rsidRPr="7FC443FA">
        <w:rPr>
          <w:rFonts w:ascii="Times New Roman" w:hAnsi="Times New Roman" w:cs="Times New Roman"/>
          <w:sz w:val="24"/>
          <w:szCs w:val="24"/>
        </w:rPr>
        <w:t>Explanation of how the burden was estimated</w:t>
      </w:r>
      <w:r w:rsidRPr="7FC443FA" w:rsidR="003961C4">
        <w:rPr>
          <w:rFonts w:ascii="Times New Roman" w:hAnsi="Times New Roman" w:cs="Times New Roman"/>
          <w:sz w:val="24"/>
          <w:szCs w:val="24"/>
        </w:rPr>
        <w:t xml:space="preserve"> for new requirements</w:t>
      </w:r>
      <w:r w:rsidRPr="7FC443FA">
        <w:rPr>
          <w:rFonts w:ascii="Times New Roman" w:hAnsi="Times New Roman" w:cs="Times New Roman"/>
          <w:sz w:val="24"/>
          <w:szCs w:val="24"/>
        </w:rPr>
        <w:t>:</w:t>
      </w:r>
    </w:p>
    <w:p w:rsidR="00350344" w:rsidRPr="00803BFC" w:rsidP="00803BFC" w14:paraId="496CEA49" w14:textId="4670281C">
      <w:pPr>
        <w:pStyle w:val="NoSpacing"/>
        <w:numPr>
          <w:ilvl w:val="1"/>
          <w:numId w:val="40"/>
        </w:numPr>
        <w:rPr>
          <w:rFonts w:ascii="Times New Roman" w:hAnsi="Times New Roman" w:cs="Times New Roman"/>
          <w:sz w:val="24"/>
          <w:szCs w:val="24"/>
        </w:rPr>
      </w:pPr>
      <w:r w:rsidRPr="4C4F126C">
        <w:rPr>
          <w:rFonts w:ascii="Times New Roman" w:hAnsi="Times New Roman" w:cs="Times New Roman"/>
          <w:sz w:val="24"/>
          <w:szCs w:val="24"/>
        </w:rPr>
        <w:t xml:space="preserve">For each </w:t>
      </w:r>
      <w:r w:rsidRPr="4C4F126C" w:rsidR="00A81EC9">
        <w:rPr>
          <w:rFonts w:ascii="Times New Roman" w:hAnsi="Times New Roman" w:cs="Times New Roman"/>
          <w:sz w:val="24"/>
          <w:szCs w:val="24"/>
        </w:rPr>
        <w:t>new requirement</w:t>
      </w:r>
      <w:r w:rsidRPr="4C4F126C">
        <w:rPr>
          <w:rFonts w:ascii="Times New Roman" w:hAnsi="Times New Roman" w:cs="Times New Roman"/>
          <w:sz w:val="24"/>
          <w:szCs w:val="24"/>
        </w:rPr>
        <w:t xml:space="preserve">, FTA </w:t>
      </w:r>
      <w:r w:rsidRPr="4C4F126C" w:rsidR="003478D7">
        <w:rPr>
          <w:rFonts w:ascii="Times New Roman" w:hAnsi="Times New Roman" w:cs="Times New Roman"/>
          <w:sz w:val="24"/>
          <w:szCs w:val="24"/>
        </w:rPr>
        <w:t xml:space="preserve">identified the affected </w:t>
      </w:r>
      <w:r w:rsidRPr="4C4F126C" w:rsidR="003961C4">
        <w:rPr>
          <w:rFonts w:ascii="Times New Roman" w:hAnsi="Times New Roman" w:cs="Times New Roman"/>
          <w:sz w:val="24"/>
          <w:szCs w:val="24"/>
        </w:rPr>
        <w:t xml:space="preserve">universe of agencies based on agency </w:t>
      </w:r>
      <w:r w:rsidRPr="4C4F126C" w:rsidR="00A33483">
        <w:rPr>
          <w:rFonts w:ascii="Times New Roman" w:hAnsi="Times New Roman" w:cs="Times New Roman"/>
          <w:sz w:val="24"/>
          <w:szCs w:val="24"/>
        </w:rPr>
        <w:t xml:space="preserve">type, agency </w:t>
      </w:r>
      <w:r w:rsidRPr="4C4F126C" w:rsidR="003961C4">
        <w:rPr>
          <w:rFonts w:ascii="Times New Roman" w:hAnsi="Times New Roman" w:cs="Times New Roman"/>
          <w:sz w:val="24"/>
          <w:szCs w:val="24"/>
        </w:rPr>
        <w:t>size</w:t>
      </w:r>
      <w:r w:rsidRPr="4C4F126C" w:rsidR="00A33483">
        <w:rPr>
          <w:rFonts w:ascii="Times New Roman" w:hAnsi="Times New Roman" w:cs="Times New Roman"/>
          <w:sz w:val="24"/>
          <w:szCs w:val="24"/>
        </w:rPr>
        <w:t>,</w:t>
      </w:r>
      <w:r w:rsidRPr="4C4F126C" w:rsidR="003961C4">
        <w:rPr>
          <w:rFonts w:ascii="Times New Roman" w:hAnsi="Times New Roman" w:cs="Times New Roman"/>
          <w:sz w:val="24"/>
          <w:szCs w:val="24"/>
        </w:rPr>
        <w:t xml:space="preserve"> and</w:t>
      </w:r>
      <w:r w:rsidRPr="4C4F126C" w:rsidR="00A33483">
        <w:rPr>
          <w:rFonts w:ascii="Times New Roman" w:hAnsi="Times New Roman" w:cs="Times New Roman"/>
          <w:sz w:val="24"/>
          <w:szCs w:val="24"/>
        </w:rPr>
        <w:t xml:space="preserve"> </w:t>
      </w:r>
      <w:r w:rsidRPr="4C4F126C" w:rsidR="003961C4">
        <w:rPr>
          <w:rFonts w:ascii="Times New Roman" w:hAnsi="Times New Roman" w:cs="Times New Roman"/>
          <w:sz w:val="24"/>
          <w:szCs w:val="24"/>
        </w:rPr>
        <w:t>the size of the urbanized area(s) that each agency serves. For example, some new requirements only apply to agencies that serve an urbanized area with a population 200,000</w:t>
      </w:r>
      <w:r w:rsidRPr="4C4F126C" w:rsidR="00850DF1">
        <w:rPr>
          <w:rFonts w:ascii="Times New Roman" w:hAnsi="Times New Roman" w:cs="Times New Roman"/>
          <w:sz w:val="24"/>
          <w:szCs w:val="24"/>
        </w:rPr>
        <w:t xml:space="preserve"> or more</w:t>
      </w:r>
      <w:r w:rsidRPr="4C4F126C" w:rsidR="003961C4">
        <w:rPr>
          <w:rFonts w:ascii="Times New Roman" w:hAnsi="Times New Roman" w:cs="Times New Roman"/>
          <w:sz w:val="24"/>
          <w:szCs w:val="24"/>
        </w:rPr>
        <w:t xml:space="preserve">. Other new requirements only apply to </w:t>
      </w:r>
      <w:r w:rsidRPr="4C4F126C" w:rsidR="00850DF1">
        <w:rPr>
          <w:rFonts w:ascii="Times New Roman" w:hAnsi="Times New Roman" w:cs="Times New Roman"/>
          <w:sz w:val="24"/>
          <w:szCs w:val="24"/>
        </w:rPr>
        <w:t>agencies that serve urbanized areas with a population of fewer than 200,000</w:t>
      </w:r>
      <w:r w:rsidRPr="4C4F126C" w:rsidR="00C929B4">
        <w:rPr>
          <w:rFonts w:ascii="Times New Roman" w:hAnsi="Times New Roman" w:cs="Times New Roman"/>
          <w:sz w:val="24"/>
          <w:szCs w:val="24"/>
        </w:rPr>
        <w:t>.</w:t>
      </w:r>
    </w:p>
    <w:p w:rsidR="00350344" w:rsidRPr="00803BFC" w:rsidP="00803BFC" w14:paraId="1F909C24" w14:textId="4AD81938">
      <w:pPr>
        <w:pStyle w:val="NoSpacing"/>
        <w:numPr>
          <w:ilvl w:val="1"/>
          <w:numId w:val="40"/>
        </w:numPr>
        <w:rPr>
          <w:rFonts w:ascii="Times New Roman" w:hAnsi="Times New Roman" w:cs="Times New Roman"/>
          <w:sz w:val="24"/>
          <w:szCs w:val="24"/>
        </w:rPr>
      </w:pPr>
      <w:r w:rsidRPr="00803BFC">
        <w:rPr>
          <w:rFonts w:ascii="Times New Roman" w:hAnsi="Times New Roman" w:cs="Times New Roman"/>
          <w:sz w:val="24"/>
          <w:szCs w:val="24"/>
        </w:rPr>
        <w:t>FTA then estimated the labor burden for each response action and divided it across labor categories</w:t>
      </w:r>
      <w:r w:rsidRPr="00803BFC" w:rsidR="00C929B4">
        <w:rPr>
          <w:rFonts w:ascii="Times New Roman" w:hAnsi="Times New Roman" w:cs="Times New Roman"/>
          <w:sz w:val="24"/>
          <w:szCs w:val="24"/>
        </w:rPr>
        <w:t xml:space="preserve"> applicable for the agency type and the new required activity</w:t>
      </w:r>
      <w:r w:rsidRPr="00803BFC">
        <w:rPr>
          <w:rFonts w:ascii="Times New Roman" w:hAnsi="Times New Roman" w:cs="Times New Roman"/>
          <w:sz w:val="24"/>
          <w:szCs w:val="24"/>
        </w:rPr>
        <w:t>.</w:t>
      </w:r>
      <w:r w:rsidRPr="00803BFC" w:rsidR="00F360ED">
        <w:rPr>
          <w:rFonts w:ascii="Times New Roman" w:hAnsi="Times New Roman" w:cs="Times New Roman"/>
          <w:sz w:val="24"/>
          <w:szCs w:val="24"/>
        </w:rPr>
        <w:t xml:space="preserve"> </w:t>
      </w:r>
      <w:r w:rsidRPr="00803BFC">
        <w:rPr>
          <w:rFonts w:ascii="Times New Roman" w:hAnsi="Times New Roman" w:cs="Times New Roman"/>
          <w:sz w:val="24"/>
          <w:szCs w:val="24"/>
        </w:rPr>
        <w:t xml:space="preserve">This burden estimated new labor specific to the </w:t>
      </w:r>
      <w:r w:rsidRPr="00803BFC" w:rsidR="003961C4">
        <w:rPr>
          <w:rFonts w:ascii="Times New Roman" w:hAnsi="Times New Roman" w:cs="Times New Roman"/>
          <w:sz w:val="24"/>
          <w:szCs w:val="24"/>
        </w:rPr>
        <w:t xml:space="preserve">new requirements of the </w:t>
      </w:r>
      <w:r w:rsidRPr="00803BFC">
        <w:rPr>
          <w:rFonts w:ascii="Times New Roman" w:hAnsi="Times New Roman" w:cs="Times New Roman"/>
          <w:sz w:val="24"/>
          <w:szCs w:val="24"/>
        </w:rPr>
        <w:t xml:space="preserve">rule and assumed that the </w:t>
      </w:r>
      <w:r w:rsidRPr="00803BFC" w:rsidR="00A33483">
        <w:rPr>
          <w:rFonts w:ascii="Times New Roman" w:hAnsi="Times New Roman" w:cs="Times New Roman"/>
          <w:sz w:val="24"/>
          <w:szCs w:val="24"/>
        </w:rPr>
        <w:t xml:space="preserve">associated </w:t>
      </w:r>
      <w:r w:rsidRPr="00803BFC">
        <w:rPr>
          <w:rFonts w:ascii="Times New Roman" w:hAnsi="Times New Roman" w:cs="Times New Roman"/>
          <w:sz w:val="24"/>
          <w:szCs w:val="24"/>
        </w:rPr>
        <w:t>paperwork burdens were new.</w:t>
      </w:r>
    </w:p>
    <w:p w:rsidR="00350344" w:rsidRPr="00803BFC" w:rsidP="00803BFC" w14:paraId="1103C15D" w14:textId="190E1F3E">
      <w:pPr>
        <w:pStyle w:val="NoSpacing"/>
        <w:numPr>
          <w:ilvl w:val="1"/>
          <w:numId w:val="40"/>
        </w:numPr>
        <w:rPr>
          <w:rFonts w:ascii="Times New Roman" w:hAnsi="Times New Roman" w:cs="Times New Roman"/>
          <w:sz w:val="24"/>
          <w:szCs w:val="24"/>
        </w:rPr>
      </w:pPr>
      <w:r w:rsidRPr="00803BFC">
        <w:rPr>
          <w:rFonts w:ascii="Times New Roman" w:hAnsi="Times New Roman" w:cs="Times New Roman"/>
          <w:sz w:val="24"/>
          <w:szCs w:val="24"/>
        </w:rPr>
        <w:t xml:space="preserve">FTA calculated the total labor burdens per labor category for </w:t>
      </w:r>
      <w:r w:rsidRPr="00803BFC" w:rsidR="003961C4">
        <w:rPr>
          <w:rFonts w:ascii="Times New Roman" w:hAnsi="Times New Roman" w:cs="Times New Roman"/>
          <w:sz w:val="24"/>
          <w:szCs w:val="24"/>
        </w:rPr>
        <w:t xml:space="preserve">the Development and Implement/Document </w:t>
      </w:r>
      <w:r w:rsidRPr="00803BFC">
        <w:rPr>
          <w:rFonts w:ascii="Times New Roman" w:hAnsi="Times New Roman" w:cs="Times New Roman"/>
          <w:sz w:val="24"/>
          <w:szCs w:val="24"/>
        </w:rPr>
        <w:t>phases.</w:t>
      </w:r>
    </w:p>
    <w:p w:rsidR="0084616D" w:rsidP="00B97EAF" w14:paraId="078CDA54" w14:textId="6276CD0D">
      <w:pPr>
        <w:pStyle w:val="NoSpacing"/>
        <w:numPr>
          <w:ilvl w:val="1"/>
          <w:numId w:val="40"/>
        </w:numPr>
        <w:rPr>
          <w:rFonts w:ascii="Times New Roman" w:hAnsi="Times New Roman" w:cs="Times New Roman"/>
          <w:sz w:val="24"/>
          <w:szCs w:val="24"/>
        </w:rPr>
      </w:pPr>
      <w:r w:rsidRPr="00803BFC">
        <w:rPr>
          <w:rFonts w:ascii="Times New Roman" w:hAnsi="Times New Roman" w:cs="Times New Roman"/>
          <w:sz w:val="24"/>
          <w:szCs w:val="24"/>
        </w:rPr>
        <w:t xml:space="preserve">The calculation uses three years of the expected burden of labor, with the greatest labor burden falling in the first year when agencies will develop new SMS processes to address new requirements and update ASPs to reflect these changes. </w:t>
      </w:r>
      <w:r w:rsidRPr="00803BFC" w:rsidR="001529F3">
        <w:rPr>
          <w:rFonts w:ascii="Times New Roman" w:hAnsi="Times New Roman" w:cs="Times New Roman"/>
          <w:sz w:val="24"/>
          <w:szCs w:val="24"/>
        </w:rPr>
        <w:t>Year 2 and Year 3 include the ongoing burden related to implementing the new required activity</w:t>
      </w:r>
      <w:r w:rsidRPr="00803BFC">
        <w:rPr>
          <w:rFonts w:ascii="Times New Roman" w:hAnsi="Times New Roman" w:cs="Times New Roman"/>
          <w:sz w:val="24"/>
          <w:szCs w:val="24"/>
        </w:rPr>
        <w:t>.</w:t>
      </w:r>
    </w:p>
    <w:p w:rsidR="00E91239" w14:paraId="77FCEC7C" w14:textId="5FDB5196">
      <w:pPr>
        <w:spacing w:after="200" w:line="276" w:lineRule="auto"/>
        <w:rPr>
          <w:b/>
          <w:bCs/>
          <w:u w:val="single"/>
        </w:rPr>
      </w:pPr>
    </w:p>
    <w:p w:rsidR="003D0832" w:rsidRPr="004525AE" w:rsidP="7FC443FA" w14:paraId="1F6AC9CF" w14:textId="584C08DD">
      <w:pPr>
        <w:pStyle w:val="ListParagraph"/>
        <w:ind w:left="0"/>
        <w:rPr>
          <w:b/>
          <w:bCs/>
          <w:u w:val="single"/>
        </w:rPr>
      </w:pPr>
      <w:r w:rsidRPr="7FC443FA">
        <w:rPr>
          <w:b/>
          <w:bCs/>
          <w:u w:val="single"/>
        </w:rPr>
        <w:t xml:space="preserve">Table </w:t>
      </w:r>
      <w:r w:rsidRPr="7FC443FA" w:rsidR="0084616D">
        <w:rPr>
          <w:b/>
          <w:bCs/>
          <w:u w:val="single"/>
        </w:rPr>
        <w:t>5</w:t>
      </w:r>
      <w:r w:rsidRPr="7FC443FA">
        <w:rPr>
          <w:b/>
          <w:bCs/>
          <w:u w:val="single"/>
        </w:rPr>
        <w:t>:</w:t>
      </w:r>
      <w:r w:rsidRPr="7FC443FA" w:rsidR="00F360ED">
        <w:rPr>
          <w:b/>
          <w:bCs/>
          <w:u w:val="single"/>
        </w:rPr>
        <w:t xml:space="preserve"> </w:t>
      </w:r>
      <w:r w:rsidRPr="7FC443FA">
        <w:rPr>
          <w:b/>
          <w:bCs/>
          <w:u w:val="single"/>
        </w:rPr>
        <w:t xml:space="preserve">Total </w:t>
      </w:r>
      <w:r w:rsidRPr="7FC443FA" w:rsidR="0084616D">
        <w:rPr>
          <w:b/>
          <w:bCs/>
          <w:u w:val="single"/>
        </w:rPr>
        <w:t xml:space="preserve">New </w:t>
      </w:r>
      <w:r w:rsidRPr="7FC443FA">
        <w:rPr>
          <w:b/>
          <w:bCs/>
          <w:u w:val="single"/>
        </w:rPr>
        <w:t>Annualized Burden</w:t>
      </w:r>
      <w:r w:rsidRPr="7FC443FA" w:rsidR="003F6DC4">
        <w:rPr>
          <w:b/>
          <w:bCs/>
          <w:u w:val="single"/>
        </w:rPr>
        <w:t xml:space="preserve"> For Development</w:t>
      </w:r>
      <w:r w:rsidRPr="7FC443FA">
        <w:rPr>
          <w:b/>
          <w:bCs/>
          <w:u w:val="single"/>
        </w:rPr>
        <w:t xml:space="preserve">, </w:t>
      </w:r>
      <w:r w:rsidRPr="7FC443FA" w:rsidR="003F6DC4">
        <w:rPr>
          <w:b/>
          <w:bCs/>
          <w:u w:val="single"/>
        </w:rPr>
        <w:t xml:space="preserve">Certification, Implementation and Record Keeping </w:t>
      </w:r>
      <w:r w:rsidRPr="7FC443FA">
        <w:rPr>
          <w:b/>
          <w:bCs/>
          <w:u w:val="single"/>
        </w:rPr>
        <w:t>Years 1-3</w:t>
      </w:r>
    </w:p>
    <w:p w:rsidR="003D0832" w:rsidP="007C08F6" w14:paraId="3107B6FB" w14:textId="10CD8B96">
      <w:pPr>
        <w:pStyle w:val="ListParagraph"/>
        <w:ind w:left="0"/>
        <w:contextualSpacing w:val="0"/>
      </w:pPr>
    </w:p>
    <w:tbl>
      <w:tblPr>
        <w:tblW w:w="9535" w:type="dxa"/>
        <w:tblLayout w:type="fixed"/>
        <w:tblLook w:val="04A0"/>
      </w:tblPr>
      <w:tblGrid>
        <w:gridCol w:w="810"/>
        <w:gridCol w:w="1530"/>
        <w:gridCol w:w="1260"/>
        <w:gridCol w:w="1035"/>
        <w:gridCol w:w="940"/>
        <w:gridCol w:w="1080"/>
        <w:gridCol w:w="900"/>
        <w:gridCol w:w="1060"/>
        <w:gridCol w:w="920"/>
      </w:tblGrid>
      <w:tr w14:paraId="7E941D13" w14:textId="77777777" w:rsidTr="001516E3">
        <w:tblPrEx>
          <w:tblW w:w="9535" w:type="dxa"/>
          <w:tblLayout w:type="fixed"/>
          <w:tblLook w:val="04A0"/>
        </w:tblPrEx>
        <w:trPr>
          <w:trHeight w:val="71"/>
        </w:trPr>
        <w:tc>
          <w:tcPr>
            <w:tcW w:w="810" w:type="dxa"/>
            <w:tcBorders>
              <w:bottom w:val="nil"/>
              <w:right w:val="nil"/>
            </w:tcBorders>
            <w:shd w:val="clear" w:color="auto" w:fill="auto"/>
            <w:noWrap/>
            <w:vAlign w:val="bottom"/>
            <w:hideMark/>
          </w:tcPr>
          <w:p w:rsidR="00B11C2B" w:rsidRPr="00B11C2B" w14:paraId="39286EE0" w14:textId="77777777">
            <w:pPr>
              <w:rPr>
                <w:sz w:val="20"/>
                <w:szCs w:val="20"/>
              </w:rPr>
            </w:pPr>
          </w:p>
        </w:tc>
        <w:tc>
          <w:tcPr>
            <w:tcW w:w="1530" w:type="dxa"/>
            <w:tcBorders>
              <w:left w:val="nil"/>
              <w:bottom w:val="nil"/>
              <w:right w:val="single" w:sz="4" w:space="0" w:color="auto"/>
            </w:tcBorders>
            <w:shd w:val="clear" w:color="auto" w:fill="auto"/>
            <w:noWrap/>
            <w:vAlign w:val="bottom"/>
            <w:hideMark/>
          </w:tcPr>
          <w:p w:rsidR="00B11C2B" w:rsidRPr="00B11C2B" w14:paraId="5F325141" w14:textId="77777777">
            <w:pPr>
              <w:rPr>
                <w:sz w:val="20"/>
                <w:szCs w:val="20"/>
              </w:rPr>
            </w:pP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C2B" w:rsidRPr="00B11C2B" w:rsidP="0001384A" w14:paraId="28640833" w14:textId="51304006">
            <w:pPr>
              <w:rPr>
                <w:sz w:val="20"/>
                <w:szCs w:val="20"/>
              </w:rPr>
            </w:pPr>
            <w:r w:rsidRPr="00B11C2B">
              <w:rPr>
                <w:color w:val="000000"/>
                <w:sz w:val="20"/>
                <w:szCs w:val="20"/>
              </w:rPr>
              <w:t>Respond</w:t>
            </w:r>
            <w:r>
              <w:rPr>
                <w:color w:val="000000"/>
                <w:sz w:val="20"/>
                <w:szCs w:val="20"/>
              </w:rPr>
              <w:t>e</w:t>
            </w:r>
            <w:r w:rsidRPr="00B11C2B">
              <w:rPr>
                <w:color w:val="000000"/>
                <w:sz w:val="20"/>
                <w:szCs w:val="20"/>
              </w:rPr>
              <w:t>nts</w:t>
            </w:r>
          </w:p>
        </w:tc>
        <w:tc>
          <w:tcPr>
            <w:tcW w:w="1035" w:type="dxa"/>
            <w:tcBorders>
              <w:top w:val="single" w:sz="4" w:space="0" w:color="auto"/>
              <w:left w:val="single" w:sz="4" w:space="0" w:color="auto"/>
              <w:bottom w:val="single" w:sz="4" w:space="0" w:color="auto"/>
              <w:right w:val="nil"/>
            </w:tcBorders>
            <w:shd w:val="clear" w:color="auto" w:fill="auto"/>
            <w:noWrap/>
            <w:vAlign w:val="bottom"/>
            <w:hideMark/>
          </w:tcPr>
          <w:p w:rsidR="00B11C2B" w:rsidRPr="00B11C2B" w14:paraId="209B6159" w14:textId="77777777">
            <w:pPr>
              <w:rPr>
                <w:color w:val="000000"/>
                <w:sz w:val="20"/>
                <w:szCs w:val="20"/>
              </w:rPr>
            </w:pPr>
            <w:r w:rsidRPr="00B11C2B">
              <w:rPr>
                <w:color w:val="000000"/>
                <w:sz w:val="20"/>
                <w:szCs w:val="20"/>
              </w:rPr>
              <w:t>Year 1</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B11C2B" w:rsidRPr="00B11C2B" w14:paraId="03F25E7D" w14:textId="77777777">
            <w:pPr>
              <w:rPr>
                <w:color w:val="000000"/>
                <w:sz w:val="20"/>
                <w:szCs w:val="20"/>
              </w:rPr>
            </w:pPr>
          </w:p>
        </w:tc>
        <w:tc>
          <w:tcPr>
            <w:tcW w:w="1080" w:type="dxa"/>
            <w:tcBorders>
              <w:top w:val="single" w:sz="4" w:space="0" w:color="auto"/>
              <w:left w:val="single" w:sz="4" w:space="0" w:color="auto"/>
              <w:bottom w:val="single" w:sz="4" w:space="0" w:color="auto"/>
              <w:right w:val="nil"/>
            </w:tcBorders>
            <w:shd w:val="clear" w:color="auto" w:fill="auto"/>
            <w:noWrap/>
            <w:vAlign w:val="bottom"/>
            <w:hideMark/>
          </w:tcPr>
          <w:p w:rsidR="00B11C2B" w:rsidRPr="00B11C2B" w14:paraId="041F9C02" w14:textId="77777777">
            <w:pPr>
              <w:rPr>
                <w:color w:val="000000"/>
                <w:sz w:val="20"/>
                <w:szCs w:val="20"/>
              </w:rPr>
            </w:pPr>
            <w:r w:rsidRPr="00B11C2B">
              <w:rPr>
                <w:color w:val="000000"/>
                <w:sz w:val="20"/>
                <w:szCs w:val="20"/>
              </w:rPr>
              <w:t>Year 2</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B11C2B" w:rsidRPr="00B11C2B" w14:paraId="4BB0ADDA" w14:textId="77777777">
            <w:pPr>
              <w:rPr>
                <w:color w:val="000000"/>
                <w:sz w:val="20"/>
                <w:szCs w:val="20"/>
              </w:rPr>
            </w:pPr>
          </w:p>
        </w:tc>
        <w:tc>
          <w:tcPr>
            <w:tcW w:w="1060" w:type="dxa"/>
            <w:tcBorders>
              <w:top w:val="single" w:sz="4" w:space="0" w:color="auto"/>
              <w:left w:val="single" w:sz="4" w:space="0" w:color="auto"/>
              <w:bottom w:val="single" w:sz="4" w:space="0" w:color="auto"/>
              <w:right w:val="nil"/>
            </w:tcBorders>
            <w:shd w:val="clear" w:color="auto" w:fill="auto"/>
            <w:noWrap/>
            <w:vAlign w:val="bottom"/>
            <w:hideMark/>
          </w:tcPr>
          <w:p w:rsidR="00B11C2B" w:rsidRPr="00B11C2B" w14:paraId="540A55B7" w14:textId="77777777">
            <w:pPr>
              <w:rPr>
                <w:color w:val="000000"/>
                <w:sz w:val="20"/>
                <w:szCs w:val="20"/>
              </w:rPr>
            </w:pPr>
            <w:r w:rsidRPr="00B11C2B">
              <w:rPr>
                <w:color w:val="000000"/>
                <w:sz w:val="20"/>
                <w:szCs w:val="20"/>
              </w:rPr>
              <w:t>Year 3</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B11C2B" w:rsidRPr="00B11C2B" w14:paraId="2B873F4C" w14:textId="77777777">
            <w:pPr>
              <w:rPr>
                <w:color w:val="000000"/>
                <w:sz w:val="20"/>
                <w:szCs w:val="20"/>
              </w:rPr>
            </w:pPr>
          </w:p>
        </w:tc>
      </w:tr>
      <w:tr w14:paraId="0FD003AE" w14:textId="77777777" w:rsidTr="001516E3">
        <w:tblPrEx>
          <w:tblW w:w="9535" w:type="dxa"/>
          <w:tblLayout w:type="fixed"/>
          <w:tblLook w:val="04A0"/>
        </w:tblPrEx>
        <w:trPr>
          <w:trHeight w:val="638"/>
        </w:trPr>
        <w:tc>
          <w:tcPr>
            <w:tcW w:w="810" w:type="dxa"/>
            <w:tcBorders>
              <w:top w:val="nil"/>
              <w:bottom w:val="single" w:sz="4" w:space="0" w:color="auto"/>
              <w:right w:val="nil"/>
            </w:tcBorders>
            <w:shd w:val="clear" w:color="auto" w:fill="auto"/>
            <w:noWrap/>
            <w:vAlign w:val="bottom"/>
            <w:hideMark/>
          </w:tcPr>
          <w:p w:rsidR="00B11C2B" w:rsidRPr="00B11C2B" w14:paraId="132C5346" w14:textId="77777777">
            <w:pPr>
              <w:rPr>
                <w:sz w:val="20"/>
                <w:szCs w:val="20"/>
              </w:rPr>
            </w:pPr>
          </w:p>
        </w:tc>
        <w:tc>
          <w:tcPr>
            <w:tcW w:w="1530" w:type="dxa"/>
            <w:tcBorders>
              <w:top w:val="nil"/>
              <w:left w:val="nil"/>
              <w:bottom w:val="single" w:sz="4" w:space="0" w:color="auto"/>
              <w:right w:val="single" w:sz="4" w:space="0" w:color="auto"/>
            </w:tcBorders>
            <w:shd w:val="clear" w:color="auto" w:fill="auto"/>
            <w:noWrap/>
            <w:vAlign w:val="bottom"/>
            <w:hideMark/>
          </w:tcPr>
          <w:p w:rsidR="00B11C2B" w:rsidRPr="00B11C2B" w14:paraId="2683512A" w14:textId="77777777">
            <w:pPr>
              <w:rPr>
                <w:sz w:val="20"/>
                <w:szCs w:val="20"/>
              </w:rPr>
            </w:pPr>
          </w:p>
        </w:tc>
        <w:tc>
          <w:tcPr>
            <w:tcW w:w="1260" w:type="dxa"/>
            <w:vMerge/>
            <w:vAlign w:val="bottom"/>
            <w:hideMark/>
          </w:tcPr>
          <w:p w:rsidR="00B11C2B" w:rsidRPr="00B11C2B" w14:paraId="16CD7C98" w14:textId="3B38CD5F">
            <w:pPr>
              <w:rPr>
                <w:color w:val="000000"/>
                <w:sz w:val="20"/>
                <w:szCs w:val="20"/>
              </w:rPr>
            </w:pPr>
          </w:p>
        </w:tc>
        <w:tc>
          <w:tcPr>
            <w:tcW w:w="10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1C2B" w:rsidRPr="00B11C2B" w14:paraId="64319FDE" w14:textId="77777777">
            <w:pPr>
              <w:rPr>
                <w:color w:val="000000"/>
                <w:sz w:val="20"/>
                <w:szCs w:val="20"/>
              </w:rPr>
            </w:pPr>
            <w:r w:rsidRPr="00B11C2B">
              <w:rPr>
                <w:color w:val="000000"/>
                <w:sz w:val="20"/>
                <w:szCs w:val="20"/>
              </w:rPr>
              <w:t>Burden Hours Per Response</w:t>
            </w:r>
          </w:p>
        </w:tc>
        <w:tc>
          <w:tcPr>
            <w:tcW w:w="9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1C2B" w:rsidRPr="00B11C2B" w14:paraId="5ECF00E1" w14:textId="77777777">
            <w:pPr>
              <w:rPr>
                <w:color w:val="000000"/>
                <w:sz w:val="20"/>
                <w:szCs w:val="20"/>
              </w:rPr>
            </w:pPr>
            <w:r w:rsidRPr="00B11C2B">
              <w:rPr>
                <w:color w:val="000000"/>
                <w:sz w:val="20"/>
                <w:szCs w:val="20"/>
              </w:rPr>
              <w:t>Total Burden</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1C2B" w:rsidRPr="00B11C2B" w14:paraId="4661B3E5" w14:textId="77777777">
            <w:pPr>
              <w:rPr>
                <w:color w:val="000000"/>
                <w:sz w:val="20"/>
                <w:szCs w:val="20"/>
              </w:rPr>
            </w:pPr>
            <w:r w:rsidRPr="00B11C2B">
              <w:rPr>
                <w:color w:val="000000"/>
                <w:sz w:val="20"/>
                <w:szCs w:val="20"/>
              </w:rPr>
              <w:t>Burden Hours Per Response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1C2B" w:rsidRPr="00B11C2B" w14:paraId="2D3F3135" w14:textId="77777777">
            <w:pPr>
              <w:rPr>
                <w:color w:val="000000"/>
                <w:sz w:val="20"/>
                <w:szCs w:val="20"/>
              </w:rPr>
            </w:pPr>
            <w:r w:rsidRPr="00B11C2B">
              <w:rPr>
                <w:color w:val="000000"/>
                <w:sz w:val="20"/>
                <w:szCs w:val="20"/>
              </w:rPr>
              <w:t>Total Burden</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1C2B" w:rsidRPr="00B11C2B" w14:paraId="6C4F9000" w14:textId="77777777">
            <w:pPr>
              <w:rPr>
                <w:color w:val="000000"/>
                <w:sz w:val="20"/>
                <w:szCs w:val="20"/>
              </w:rPr>
            </w:pPr>
            <w:r w:rsidRPr="00B11C2B">
              <w:rPr>
                <w:color w:val="000000"/>
                <w:sz w:val="20"/>
                <w:szCs w:val="20"/>
              </w:rPr>
              <w:t>Burden Hours Per Response</w:t>
            </w:r>
          </w:p>
        </w:tc>
        <w:tc>
          <w:tcPr>
            <w:tcW w:w="9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1C2B" w:rsidRPr="00B11C2B" w14:paraId="4354305C" w14:textId="77777777">
            <w:pPr>
              <w:rPr>
                <w:color w:val="000000"/>
                <w:sz w:val="20"/>
                <w:szCs w:val="20"/>
              </w:rPr>
            </w:pPr>
            <w:r w:rsidRPr="00B11C2B">
              <w:rPr>
                <w:color w:val="000000"/>
                <w:sz w:val="20"/>
                <w:szCs w:val="20"/>
              </w:rPr>
              <w:t>Total Burden</w:t>
            </w:r>
          </w:p>
        </w:tc>
      </w:tr>
      <w:tr w14:paraId="56537930" w14:textId="77777777" w:rsidTr="001516E3">
        <w:tblPrEx>
          <w:tblW w:w="9535" w:type="dxa"/>
          <w:tblLayout w:type="fixed"/>
          <w:tblLook w:val="04A0"/>
        </w:tblPrEx>
        <w:trPr>
          <w:trHeight w:val="320"/>
        </w:trPr>
        <w:tc>
          <w:tcPr>
            <w:tcW w:w="81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8002E" w:rsidRPr="00B11C2B" w:rsidP="00E8002E" w14:paraId="3A29DDEA" w14:textId="315D790E">
            <w:pPr>
              <w:rPr>
                <w:color w:val="000000"/>
                <w:sz w:val="20"/>
                <w:szCs w:val="20"/>
              </w:rPr>
            </w:pPr>
            <w:r w:rsidRPr="00B11C2B">
              <w:rPr>
                <w:color w:val="000000"/>
                <w:sz w:val="20"/>
                <w:szCs w:val="20"/>
              </w:rPr>
              <w:t>Rail</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B11C2B" w:rsidP="00E8002E" w14:paraId="73331A38" w14:textId="7FE4C9A6">
            <w:pPr>
              <w:rPr>
                <w:color w:val="000000"/>
                <w:sz w:val="20"/>
                <w:szCs w:val="20"/>
              </w:rPr>
            </w:pPr>
            <w:r w:rsidRPr="00B11C2B">
              <w:rPr>
                <w:color w:val="000000"/>
                <w:sz w:val="20"/>
                <w:szCs w:val="20"/>
              </w:rPr>
              <w:t>Development/</w:t>
            </w:r>
            <w:r>
              <w:rPr>
                <w:color w:val="000000"/>
                <w:sz w:val="20"/>
                <w:szCs w:val="20"/>
              </w:rPr>
              <w:t xml:space="preserve"> </w:t>
            </w:r>
            <w:r w:rsidRPr="00B11C2B">
              <w:rPr>
                <w:color w:val="000000"/>
                <w:sz w:val="20"/>
                <w:szCs w:val="20"/>
              </w:rPr>
              <w:t>Certification</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0A81C9BD" w14:textId="77777777">
            <w:pPr>
              <w:jc w:val="right"/>
              <w:rPr>
                <w:color w:val="000000"/>
                <w:sz w:val="20"/>
                <w:szCs w:val="20"/>
              </w:rPr>
            </w:pPr>
            <w:r w:rsidRPr="00141945">
              <w:rPr>
                <w:color w:val="000000"/>
                <w:sz w:val="20"/>
                <w:szCs w:val="20"/>
              </w:rPr>
              <w:t>62</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302500A6" w14:textId="15CA6292">
            <w:pPr>
              <w:jc w:val="right"/>
              <w:rPr>
                <w:color w:val="000000"/>
                <w:sz w:val="20"/>
                <w:szCs w:val="20"/>
              </w:rPr>
            </w:pPr>
            <w:r w:rsidRPr="00B719D2">
              <w:rPr>
                <w:color w:val="000000"/>
                <w:sz w:val="20"/>
                <w:szCs w:val="20"/>
              </w:rPr>
              <w:t>407</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1696A17F" w14:textId="10343496">
            <w:pPr>
              <w:jc w:val="right"/>
              <w:rPr>
                <w:color w:val="000000"/>
                <w:sz w:val="20"/>
                <w:szCs w:val="20"/>
              </w:rPr>
            </w:pPr>
            <w:r w:rsidRPr="00E050D3">
              <w:rPr>
                <w:color w:val="000000"/>
                <w:sz w:val="20"/>
                <w:szCs w:val="20"/>
              </w:rPr>
              <w:t>25</w:t>
            </w:r>
            <w:r w:rsidR="00141945">
              <w:rPr>
                <w:color w:val="000000"/>
                <w:sz w:val="20"/>
                <w:szCs w:val="20"/>
              </w:rPr>
              <w:t>,</w:t>
            </w:r>
            <w:r w:rsidRPr="00E050D3">
              <w:rPr>
                <w:color w:val="000000"/>
                <w:sz w:val="20"/>
                <w:szCs w:val="20"/>
              </w:rPr>
              <w:t>241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2BBE39AA" w14:textId="3DD22526">
            <w:pPr>
              <w:jc w:val="right"/>
              <w:rPr>
                <w:color w:val="000000"/>
                <w:sz w:val="20"/>
                <w:szCs w:val="20"/>
              </w:rPr>
            </w:pPr>
            <w:r w:rsidRPr="00B719D2">
              <w:rPr>
                <w:color w:val="000000"/>
                <w:sz w:val="20"/>
                <w:szCs w:val="20"/>
              </w:rPr>
              <w:t>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3BB6EEE6" w14:textId="28634B27">
            <w:pPr>
              <w:jc w:val="right"/>
              <w:rPr>
                <w:color w:val="000000"/>
                <w:sz w:val="20"/>
                <w:szCs w:val="20"/>
              </w:rPr>
            </w:pPr>
            <w:r w:rsidRPr="00B719D2">
              <w:rPr>
                <w:color w:val="000000"/>
                <w:sz w:val="20"/>
                <w:szCs w:val="20"/>
              </w:rPr>
              <w:t>186</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73F7B39C" w14:textId="0446E9E5">
            <w:pPr>
              <w:jc w:val="right"/>
              <w:rPr>
                <w:color w:val="000000"/>
                <w:sz w:val="20"/>
                <w:szCs w:val="20"/>
              </w:rPr>
            </w:pPr>
            <w:r w:rsidRPr="00B719D2">
              <w:rPr>
                <w:color w:val="000000"/>
                <w:sz w:val="20"/>
                <w:szCs w:val="20"/>
              </w:rPr>
              <w:t>3</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00B26182" w14:textId="2F8797B0">
            <w:pPr>
              <w:jc w:val="right"/>
              <w:rPr>
                <w:color w:val="000000"/>
                <w:sz w:val="20"/>
                <w:szCs w:val="20"/>
              </w:rPr>
            </w:pPr>
            <w:r w:rsidRPr="00B719D2">
              <w:rPr>
                <w:color w:val="000000"/>
                <w:sz w:val="20"/>
                <w:szCs w:val="20"/>
              </w:rPr>
              <w:t>186</w:t>
            </w:r>
          </w:p>
        </w:tc>
      </w:tr>
      <w:tr w14:paraId="39371735" w14:textId="77777777" w:rsidTr="001516E3">
        <w:tblPrEx>
          <w:tblW w:w="9535" w:type="dxa"/>
          <w:tblLayout w:type="fixed"/>
          <w:tblLook w:val="04A0"/>
        </w:tblPrEx>
        <w:trPr>
          <w:trHeight w:val="340"/>
        </w:trPr>
        <w:tc>
          <w:tcPr>
            <w:tcW w:w="810" w:type="dxa"/>
            <w:vMerge/>
            <w:tcBorders>
              <w:left w:val="single" w:sz="4" w:space="0" w:color="auto"/>
            </w:tcBorders>
            <w:noWrap/>
            <w:hideMark/>
          </w:tcPr>
          <w:p w:rsidR="00E8002E" w:rsidRPr="00B11C2B" w:rsidP="00E8002E" w14:paraId="5B5D12C9" w14:textId="77777777">
            <w:pPr>
              <w:rPr>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B11C2B" w:rsidP="00E8002E" w14:paraId="1CA680FD" w14:textId="0718DD0B">
            <w:pPr>
              <w:rPr>
                <w:color w:val="000000"/>
                <w:sz w:val="20"/>
                <w:szCs w:val="20"/>
              </w:rPr>
            </w:pPr>
            <w:r w:rsidRPr="00B11C2B">
              <w:rPr>
                <w:color w:val="000000"/>
                <w:sz w:val="20"/>
                <w:szCs w:val="20"/>
              </w:rPr>
              <w:t>Implement/</w:t>
            </w:r>
            <w:r>
              <w:rPr>
                <w:color w:val="000000"/>
                <w:sz w:val="20"/>
                <w:szCs w:val="20"/>
              </w:rPr>
              <w:t xml:space="preserve"> </w:t>
            </w:r>
            <w:r w:rsidRPr="00B11C2B">
              <w:rPr>
                <w:color w:val="000000"/>
                <w:sz w:val="20"/>
                <w:szCs w:val="20"/>
              </w:rPr>
              <w:t>Document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3AAF26D4" w14:textId="77777777">
            <w:pPr>
              <w:jc w:val="right"/>
              <w:rPr>
                <w:color w:val="000000"/>
                <w:sz w:val="20"/>
                <w:szCs w:val="20"/>
              </w:rPr>
            </w:pPr>
            <w:r w:rsidRPr="00141945">
              <w:rPr>
                <w:color w:val="000000"/>
                <w:sz w:val="20"/>
                <w:szCs w:val="20"/>
              </w:rPr>
              <w:t>62</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6C716057" w14:textId="7FD2F5D4">
            <w:pPr>
              <w:jc w:val="right"/>
              <w:rPr>
                <w:color w:val="000000"/>
                <w:sz w:val="20"/>
                <w:szCs w:val="20"/>
              </w:rPr>
            </w:pPr>
            <w:r w:rsidRPr="00E050D3">
              <w:rPr>
                <w:color w:val="000000"/>
                <w:sz w:val="20"/>
                <w:szCs w:val="20"/>
              </w:rPr>
              <w:t>1</w:t>
            </w:r>
            <w:r w:rsidR="00141945">
              <w:rPr>
                <w:color w:val="000000"/>
                <w:sz w:val="20"/>
                <w:szCs w:val="20"/>
              </w:rPr>
              <w:t>,</w:t>
            </w:r>
            <w:r w:rsidRPr="00E050D3">
              <w:rPr>
                <w:color w:val="000000"/>
                <w:sz w:val="20"/>
                <w:szCs w:val="20"/>
              </w:rPr>
              <w:t>781</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5489D4D4" w14:textId="5B2DBD60">
            <w:pPr>
              <w:jc w:val="right"/>
              <w:rPr>
                <w:color w:val="000000"/>
                <w:sz w:val="20"/>
                <w:szCs w:val="20"/>
              </w:rPr>
            </w:pPr>
            <w:r w:rsidRPr="00E050D3">
              <w:rPr>
                <w:color w:val="000000"/>
                <w:sz w:val="20"/>
                <w:szCs w:val="20"/>
              </w:rPr>
              <w:t>110</w:t>
            </w:r>
            <w:r w:rsidR="00141945">
              <w:rPr>
                <w:color w:val="000000"/>
                <w:sz w:val="20"/>
                <w:szCs w:val="20"/>
              </w:rPr>
              <w:t>,</w:t>
            </w:r>
            <w:r w:rsidRPr="00E050D3">
              <w:rPr>
                <w:color w:val="000000"/>
                <w:sz w:val="20"/>
                <w:szCs w:val="20"/>
              </w:rPr>
              <w:t>409</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46B6A028" w14:textId="04C6F35B">
            <w:pPr>
              <w:jc w:val="right"/>
              <w:rPr>
                <w:color w:val="000000"/>
                <w:sz w:val="20"/>
                <w:szCs w:val="20"/>
              </w:rPr>
            </w:pPr>
            <w:r w:rsidRPr="00E050D3">
              <w:rPr>
                <w:color w:val="000000"/>
                <w:sz w:val="20"/>
                <w:szCs w:val="20"/>
              </w:rPr>
              <w:t>1</w:t>
            </w:r>
            <w:r w:rsidR="00141945">
              <w:rPr>
                <w:color w:val="000000"/>
                <w:sz w:val="20"/>
                <w:szCs w:val="20"/>
              </w:rPr>
              <w:t>,</w:t>
            </w:r>
            <w:r w:rsidRPr="00E050D3">
              <w:rPr>
                <w:color w:val="000000"/>
                <w:sz w:val="20"/>
                <w:szCs w:val="20"/>
              </w:rPr>
              <w:t>781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672B01E2" w14:textId="1609E149">
            <w:pPr>
              <w:jc w:val="right"/>
              <w:rPr>
                <w:color w:val="000000"/>
                <w:sz w:val="20"/>
                <w:szCs w:val="20"/>
              </w:rPr>
            </w:pPr>
            <w:r w:rsidRPr="00E050D3">
              <w:rPr>
                <w:color w:val="000000"/>
                <w:sz w:val="20"/>
                <w:szCs w:val="20"/>
              </w:rPr>
              <w:t>110</w:t>
            </w:r>
            <w:r w:rsidR="00141945">
              <w:rPr>
                <w:color w:val="000000"/>
                <w:sz w:val="20"/>
                <w:szCs w:val="20"/>
              </w:rPr>
              <w:t>,</w:t>
            </w:r>
            <w:r w:rsidRPr="00E050D3">
              <w:rPr>
                <w:color w:val="000000"/>
                <w:sz w:val="20"/>
                <w:szCs w:val="20"/>
              </w:rPr>
              <w:t>409</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77F435C2" w14:textId="141477B4">
            <w:pPr>
              <w:jc w:val="right"/>
              <w:rPr>
                <w:color w:val="000000"/>
                <w:sz w:val="20"/>
                <w:szCs w:val="20"/>
              </w:rPr>
            </w:pPr>
            <w:r w:rsidRPr="00E050D3">
              <w:rPr>
                <w:color w:val="000000"/>
                <w:sz w:val="20"/>
                <w:szCs w:val="20"/>
              </w:rPr>
              <w:t>1</w:t>
            </w:r>
            <w:r w:rsidR="00141945">
              <w:rPr>
                <w:color w:val="000000"/>
                <w:sz w:val="20"/>
                <w:szCs w:val="20"/>
              </w:rPr>
              <w:t>,</w:t>
            </w:r>
            <w:r w:rsidRPr="00E050D3">
              <w:rPr>
                <w:color w:val="000000"/>
                <w:sz w:val="20"/>
                <w:szCs w:val="20"/>
              </w:rPr>
              <w:t>781</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6EBF3A93" w14:textId="7040E11F">
            <w:pPr>
              <w:jc w:val="right"/>
              <w:rPr>
                <w:color w:val="000000"/>
                <w:sz w:val="20"/>
                <w:szCs w:val="20"/>
              </w:rPr>
            </w:pPr>
            <w:r w:rsidRPr="00E050D3">
              <w:rPr>
                <w:color w:val="000000"/>
                <w:sz w:val="20"/>
                <w:szCs w:val="20"/>
              </w:rPr>
              <w:t>110</w:t>
            </w:r>
            <w:r w:rsidR="00141945">
              <w:rPr>
                <w:color w:val="000000"/>
                <w:sz w:val="20"/>
                <w:szCs w:val="20"/>
              </w:rPr>
              <w:t>,</w:t>
            </w:r>
            <w:r w:rsidRPr="00E050D3">
              <w:rPr>
                <w:color w:val="000000"/>
                <w:sz w:val="20"/>
                <w:szCs w:val="20"/>
              </w:rPr>
              <w:t>409</w:t>
            </w:r>
          </w:p>
        </w:tc>
      </w:tr>
      <w:tr w14:paraId="600398B0" w14:textId="77777777" w:rsidTr="001516E3">
        <w:tblPrEx>
          <w:tblW w:w="9535" w:type="dxa"/>
          <w:tblLayout w:type="fixed"/>
          <w:tblLook w:val="04A0"/>
        </w:tblPrEx>
        <w:trPr>
          <w:trHeight w:val="72"/>
        </w:trPr>
        <w:tc>
          <w:tcPr>
            <w:tcW w:w="810" w:type="dxa"/>
            <w:vMerge/>
            <w:tcBorders>
              <w:left w:val="single" w:sz="4" w:space="0" w:color="auto"/>
            </w:tcBorders>
            <w:noWrap/>
            <w:hideMark/>
          </w:tcPr>
          <w:p w:rsidR="00E8002E" w:rsidRPr="00B11C2B" w:rsidP="00E8002E" w14:paraId="11822532" w14:textId="77777777">
            <w:pPr>
              <w:rPr>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B11C2B" w:rsidP="00E8002E" w14:paraId="48D9B9F1" w14:textId="77777777">
            <w:pPr>
              <w:rPr>
                <w:color w:val="000000"/>
                <w:sz w:val="20"/>
                <w:szCs w:val="20"/>
              </w:rPr>
            </w:pPr>
            <w:r w:rsidRPr="00B11C2B">
              <w:rPr>
                <w:color w:val="000000"/>
                <w:sz w:val="20"/>
                <w:szCs w:val="20"/>
              </w:rPr>
              <w:t>Recordkeeping</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63BF3707" w14:textId="77777777">
            <w:pPr>
              <w:jc w:val="right"/>
              <w:rPr>
                <w:color w:val="000000"/>
                <w:sz w:val="20"/>
                <w:szCs w:val="20"/>
              </w:rPr>
            </w:pPr>
            <w:r w:rsidRPr="00141945">
              <w:rPr>
                <w:color w:val="000000"/>
                <w:sz w:val="20"/>
                <w:szCs w:val="20"/>
              </w:rPr>
              <w:t>62</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39AEF7A3" w14:textId="04094CF7">
            <w:pPr>
              <w:jc w:val="right"/>
              <w:rPr>
                <w:color w:val="000000"/>
                <w:sz w:val="20"/>
                <w:szCs w:val="20"/>
              </w:rPr>
            </w:pPr>
            <w:r w:rsidRPr="00B719D2">
              <w:rPr>
                <w:color w:val="000000"/>
                <w:sz w:val="20"/>
                <w:szCs w:val="20"/>
              </w:rPr>
              <w:t>39</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085EF7DE" w14:textId="73DA4604">
            <w:pPr>
              <w:jc w:val="right"/>
              <w:rPr>
                <w:color w:val="000000"/>
                <w:sz w:val="20"/>
                <w:szCs w:val="20"/>
              </w:rPr>
            </w:pPr>
            <w:r w:rsidRPr="00E050D3">
              <w:rPr>
                <w:color w:val="000000"/>
                <w:sz w:val="20"/>
                <w:szCs w:val="20"/>
              </w:rPr>
              <w:t>2</w:t>
            </w:r>
            <w:r w:rsidR="00141945">
              <w:rPr>
                <w:color w:val="000000"/>
                <w:sz w:val="20"/>
                <w:szCs w:val="20"/>
              </w:rPr>
              <w:t>,</w:t>
            </w:r>
            <w:r w:rsidRPr="00E050D3">
              <w:rPr>
                <w:color w:val="000000"/>
                <w:sz w:val="20"/>
                <w:szCs w:val="20"/>
              </w:rPr>
              <w:t>408</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3E57B659" w14:textId="17BD00B1">
            <w:pPr>
              <w:jc w:val="right"/>
              <w:rPr>
                <w:color w:val="000000"/>
                <w:sz w:val="20"/>
                <w:szCs w:val="20"/>
              </w:rPr>
            </w:pPr>
            <w:r w:rsidRPr="00B719D2">
              <w:rPr>
                <w:color w:val="000000"/>
                <w:sz w:val="20"/>
                <w:szCs w:val="20"/>
              </w:rPr>
              <w:t>39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45FB3EBC" w14:textId="48D035E1">
            <w:pPr>
              <w:jc w:val="right"/>
              <w:rPr>
                <w:color w:val="000000"/>
                <w:sz w:val="20"/>
                <w:szCs w:val="20"/>
              </w:rPr>
            </w:pPr>
            <w:r w:rsidRPr="00E050D3">
              <w:rPr>
                <w:color w:val="000000"/>
                <w:sz w:val="20"/>
                <w:szCs w:val="20"/>
              </w:rPr>
              <w:t>2</w:t>
            </w:r>
            <w:r w:rsidR="00141945">
              <w:rPr>
                <w:color w:val="000000"/>
                <w:sz w:val="20"/>
                <w:szCs w:val="20"/>
              </w:rPr>
              <w:t>,</w:t>
            </w:r>
            <w:r w:rsidRPr="00E050D3">
              <w:rPr>
                <w:color w:val="000000"/>
                <w:sz w:val="20"/>
                <w:szCs w:val="20"/>
              </w:rPr>
              <w:t>408</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52A29A4C" w14:textId="542552CE">
            <w:pPr>
              <w:jc w:val="right"/>
              <w:rPr>
                <w:color w:val="000000"/>
                <w:sz w:val="20"/>
                <w:szCs w:val="20"/>
              </w:rPr>
            </w:pPr>
            <w:r w:rsidRPr="00B719D2">
              <w:rPr>
                <w:color w:val="000000"/>
                <w:sz w:val="20"/>
                <w:szCs w:val="20"/>
              </w:rPr>
              <w:t>39</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430633F2" w14:textId="0BF497D0">
            <w:pPr>
              <w:jc w:val="right"/>
              <w:rPr>
                <w:color w:val="000000"/>
                <w:sz w:val="20"/>
                <w:szCs w:val="20"/>
              </w:rPr>
            </w:pPr>
            <w:r w:rsidRPr="00E050D3">
              <w:rPr>
                <w:color w:val="000000"/>
                <w:sz w:val="20"/>
                <w:szCs w:val="20"/>
              </w:rPr>
              <w:t>2</w:t>
            </w:r>
            <w:r w:rsidR="00141945">
              <w:rPr>
                <w:color w:val="000000"/>
                <w:sz w:val="20"/>
                <w:szCs w:val="20"/>
              </w:rPr>
              <w:t>,</w:t>
            </w:r>
            <w:r w:rsidRPr="00B719D2">
              <w:rPr>
                <w:color w:val="000000"/>
                <w:sz w:val="20"/>
                <w:szCs w:val="20"/>
              </w:rPr>
              <w:t>408</w:t>
            </w:r>
          </w:p>
        </w:tc>
      </w:tr>
      <w:tr w14:paraId="441B60C5" w14:textId="77777777" w:rsidTr="001516E3">
        <w:tblPrEx>
          <w:tblW w:w="9535" w:type="dxa"/>
          <w:tblLayout w:type="fixed"/>
          <w:tblLook w:val="04A0"/>
        </w:tblPrEx>
        <w:trPr>
          <w:trHeight w:val="340"/>
        </w:trPr>
        <w:tc>
          <w:tcPr>
            <w:tcW w:w="81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8002E" w:rsidRPr="00B11C2B" w:rsidP="00E8002E" w14:paraId="0505869C" w14:textId="2BBB96F9">
            <w:pPr>
              <w:rPr>
                <w:color w:val="000000"/>
                <w:sz w:val="20"/>
                <w:szCs w:val="20"/>
              </w:rPr>
            </w:pPr>
            <w:r w:rsidRPr="09D463DE">
              <w:rPr>
                <w:color w:val="000000" w:themeColor="text1"/>
                <w:sz w:val="20"/>
                <w:szCs w:val="20"/>
              </w:rPr>
              <w:t xml:space="preserve">Large </w:t>
            </w:r>
            <w:r>
              <w:rPr>
                <w:color w:val="000000" w:themeColor="text1"/>
                <w:sz w:val="20"/>
                <w:szCs w:val="20"/>
              </w:rPr>
              <w:t>Bus</w:t>
            </w:r>
            <w:r w:rsidRPr="09D463DE">
              <w:rPr>
                <w:color w:val="000000" w:themeColor="text1"/>
                <w:sz w:val="20"/>
                <w:szCs w:val="20"/>
              </w:rPr>
              <w:t xml:space="preserve"> 5307</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B11C2B" w:rsidP="00E8002E" w14:paraId="4009CD03" w14:textId="5FE4ACA9">
            <w:pPr>
              <w:rPr>
                <w:color w:val="000000"/>
                <w:sz w:val="20"/>
                <w:szCs w:val="20"/>
              </w:rPr>
            </w:pPr>
            <w:r w:rsidRPr="00B11C2B">
              <w:rPr>
                <w:color w:val="000000"/>
                <w:sz w:val="20"/>
                <w:szCs w:val="20"/>
              </w:rPr>
              <w:t>Development/</w:t>
            </w:r>
            <w:r>
              <w:rPr>
                <w:color w:val="000000"/>
                <w:sz w:val="20"/>
                <w:szCs w:val="20"/>
              </w:rPr>
              <w:t xml:space="preserve"> </w:t>
            </w:r>
            <w:r w:rsidRPr="00B11C2B">
              <w:rPr>
                <w:color w:val="000000"/>
                <w:sz w:val="20"/>
                <w:szCs w:val="20"/>
              </w:rPr>
              <w:t>Certification</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530ACAB9" w14:textId="77777777">
            <w:pPr>
              <w:jc w:val="right"/>
              <w:rPr>
                <w:color w:val="000000"/>
                <w:sz w:val="20"/>
                <w:szCs w:val="20"/>
              </w:rPr>
            </w:pPr>
            <w:r w:rsidRPr="00141945">
              <w:rPr>
                <w:color w:val="000000"/>
                <w:sz w:val="20"/>
                <w:szCs w:val="20"/>
              </w:rPr>
              <w:t>74</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601004DB" w14:textId="4170B58B">
            <w:pPr>
              <w:jc w:val="right"/>
              <w:rPr>
                <w:color w:val="000000"/>
                <w:sz w:val="20"/>
                <w:szCs w:val="20"/>
              </w:rPr>
            </w:pPr>
            <w:r w:rsidRPr="00B719D2">
              <w:rPr>
                <w:color w:val="000000"/>
                <w:sz w:val="20"/>
                <w:szCs w:val="20"/>
              </w:rPr>
              <w:t>213</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619723BE" w14:textId="1BF16B11">
            <w:pPr>
              <w:jc w:val="right"/>
              <w:rPr>
                <w:color w:val="000000"/>
                <w:sz w:val="20"/>
                <w:szCs w:val="20"/>
              </w:rPr>
            </w:pPr>
            <w:r w:rsidRPr="00B719D2">
              <w:rPr>
                <w:color w:val="000000"/>
                <w:sz w:val="20"/>
                <w:szCs w:val="20"/>
              </w:rPr>
              <w:t>15</w:t>
            </w:r>
            <w:r w:rsidR="00141945">
              <w:rPr>
                <w:color w:val="000000"/>
                <w:sz w:val="20"/>
                <w:szCs w:val="20"/>
              </w:rPr>
              <w:t>,</w:t>
            </w:r>
            <w:r w:rsidRPr="00B719D2">
              <w:rPr>
                <w:color w:val="000000"/>
                <w:sz w:val="20"/>
                <w:szCs w:val="20"/>
              </w:rPr>
              <w:t>743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7E431639" w14:textId="17A52F4A">
            <w:pPr>
              <w:jc w:val="right"/>
              <w:rPr>
                <w:color w:val="000000"/>
                <w:sz w:val="20"/>
                <w:szCs w:val="20"/>
              </w:rPr>
            </w:pPr>
            <w:r w:rsidRPr="00B719D2">
              <w:rPr>
                <w:color w:val="000000"/>
                <w:sz w:val="20"/>
                <w:szCs w:val="20"/>
              </w:rPr>
              <w:t>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6EB87F9E" w14:textId="3713E1A1">
            <w:pPr>
              <w:jc w:val="right"/>
              <w:rPr>
                <w:color w:val="000000"/>
                <w:sz w:val="20"/>
                <w:szCs w:val="20"/>
              </w:rPr>
            </w:pPr>
            <w:r w:rsidRPr="00B719D2">
              <w:rPr>
                <w:color w:val="000000"/>
                <w:sz w:val="20"/>
                <w:szCs w:val="20"/>
              </w:rPr>
              <w:t>222</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3704B46E" w14:textId="10C3BCBA">
            <w:pPr>
              <w:jc w:val="right"/>
              <w:rPr>
                <w:color w:val="000000"/>
                <w:sz w:val="20"/>
                <w:szCs w:val="20"/>
              </w:rPr>
            </w:pPr>
            <w:r w:rsidRPr="00B719D2">
              <w:rPr>
                <w:color w:val="000000"/>
                <w:sz w:val="20"/>
                <w:szCs w:val="20"/>
              </w:rPr>
              <w:t>3</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4A8AA651" w14:textId="402BD9E0">
            <w:pPr>
              <w:jc w:val="right"/>
              <w:rPr>
                <w:color w:val="000000"/>
                <w:sz w:val="20"/>
                <w:szCs w:val="20"/>
              </w:rPr>
            </w:pPr>
            <w:r w:rsidRPr="00B719D2">
              <w:rPr>
                <w:color w:val="000000"/>
                <w:sz w:val="20"/>
                <w:szCs w:val="20"/>
              </w:rPr>
              <w:t>222</w:t>
            </w:r>
          </w:p>
        </w:tc>
      </w:tr>
      <w:tr w14:paraId="73377E7D" w14:textId="77777777" w:rsidTr="001516E3">
        <w:tblPrEx>
          <w:tblW w:w="9535" w:type="dxa"/>
          <w:tblLayout w:type="fixed"/>
          <w:tblLook w:val="04A0"/>
        </w:tblPrEx>
        <w:trPr>
          <w:trHeight w:val="340"/>
        </w:trPr>
        <w:tc>
          <w:tcPr>
            <w:tcW w:w="810" w:type="dxa"/>
            <w:vMerge/>
            <w:tcBorders>
              <w:left w:val="single" w:sz="4" w:space="0" w:color="auto"/>
            </w:tcBorders>
            <w:noWrap/>
            <w:hideMark/>
          </w:tcPr>
          <w:p w:rsidR="00E8002E" w:rsidRPr="00B11C2B" w:rsidP="00E8002E" w14:paraId="695C3C42" w14:textId="77777777">
            <w:pPr>
              <w:rPr>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B11C2B" w:rsidP="00E8002E" w14:paraId="12808FE3" w14:textId="62C0BC0A">
            <w:pPr>
              <w:rPr>
                <w:color w:val="000000"/>
                <w:sz w:val="20"/>
                <w:szCs w:val="20"/>
              </w:rPr>
            </w:pPr>
            <w:r w:rsidRPr="00B11C2B">
              <w:rPr>
                <w:color w:val="000000"/>
                <w:sz w:val="20"/>
                <w:szCs w:val="20"/>
              </w:rPr>
              <w:t>Implement/</w:t>
            </w:r>
            <w:r>
              <w:rPr>
                <w:color w:val="000000"/>
                <w:sz w:val="20"/>
                <w:szCs w:val="20"/>
              </w:rPr>
              <w:t xml:space="preserve"> </w:t>
            </w:r>
            <w:r w:rsidRPr="00B11C2B">
              <w:rPr>
                <w:color w:val="000000"/>
                <w:sz w:val="20"/>
                <w:szCs w:val="20"/>
              </w:rPr>
              <w:t>Document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691CBE1F" w14:textId="77777777">
            <w:pPr>
              <w:jc w:val="right"/>
              <w:rPr>
                <w:color w:val="000000"/>
                <w:sz w:val="20"/>
                <w:szCs w:val="20"/>
              </w:rPr>
            </w:pPr>
            <w:r w:rsidRPr="00141945">
              <w:rPr>
                <w:color w:val="000000"/>
                <w:sz w:val="20"/>
                <w:szCs w:val="20"/>
              </w:rPr>
              <w:t>74</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0EB6901E" w14:textId="6D5249F4">
            <w:pPr>
              <w:jc w:val="right"/>
              <w:rPr>
                <w:color w:val="000000"/>
                <w:sz w:val="20"/>
                <w:szCs w:val="20"/>
              </w:rPr>
            </w:pPr>
            <w:r w:rsidRPr="00B719D2">
              <w:rPr>
                <w:color w:val="000000"/>
                <w:sz w:val="20"/>
                <w:szCs w:val="20"/>
              </w:rPr>
              <w:t>1</w:t>
            </w:r>
            <w:r w:rsidR="00141945">
              <w:rPr>
                <w:color w:val="000000"/>
                <w:sz w:val="20"/>
                <w:szCs w:val="20"/>
              </w:rPr>
              <w:t>,</w:t>
            </w:r>
            <w:r w:rsidRPr="00B719D2">
              <w:rPr>
                <w:color w:val="000000"/>
                <w:sz w:val="20"/>
                <w:szCs w:val="20"/>
              </w:rPr>
              <w:t>061</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0CC3951C" w14:textId="08EBFED8">
            <w:pPr>
              <w:jc w:val="right"/>
              <w:rPr>
                <w:color w:val="000000"/>
                <w:sz w:val="20"/>
                <w:szCs w:val="20"/>
              </w:rPr>
            </w:pPr>
            <w:r w:rsidRPr="00B719D2">
              <w:rPr>
                <w:color w:val="000000"/>
                <w:sz w:val="20"/>
                <w:szCs w:val="20"/>
              </w:rPr>
              <w:t>78</w:t>
            </w:r>
            <w:r w:rsidR="00141945">
              <w:rPr>
                <w:color w:val="000000"/>
                <w:sz w:val="20"/>
                <w:szCs w:val="20"/>
              </w:rPr>
              <w:t>,</w:t>
            </w:r>
            <w:r w:rsidRPr="00B719D2">
              <w:rPr>
                <w:color w:val="000000"/>
                <w:sz w:val="20"/>
                <w:szCs w:val="20"/>
              </w:rPr>
              <w:t>511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463C0E37" w14:textId="609C58D8">
            <w:pPr>
              <w:jc w:val="right"/>
              <w:rPr>
                <w:color w:val="000000"/>
                <w:sz w:val="20"/>
                <w:szCs w:val="20"/>
              </w:rPr>
            </w:pPr>
            <w:r w:rsidRPr="00B719D2">
              <w:rPr>
                <w:color w:val="000000"/>
                <w:sz w:val="20"/>
                <w:szCs w:val="20"/>
              </w:rPr>
              <w:t>1</w:t>
            </w:r>
            <w:r w:rsidR="00141945">
              <w:rPr>
                <w:color w:val="000000"/>
                <w:sz w:val="20"/>
                <w:szCs w:val="20"/>
              </w:rPr>
              <w:t>,</w:t>
            </w:r>
            <w:r w:rsidRPr="00B719D2">
              <w:rPr>
                <w:color w:val="000000"/>
                <w:sz w:val="20"/>
                <w:szCs w:val="20"/>
              </w:rPr>
              <w:t>061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08FA32EB" w14:textId="69092F08">
            <w:pPr>
              <w:jc w:val="right"/>
              <w:rPr>
                <w:color w:val="000000"/>
                <w:sz w:val="20"/>
                <w:szCs w:val="20"/>
              </w:rPr>
            </w:pPr>
            <w:r w:rsidRPr="00B719D2">
              <w:rPr>
                <w:color w:val="000000"/>
                <w:sz w:val="20"/>
                <w:szCs w:val="20"/>
              </w:rPr>
              <w:t>78</w:t>
            </w:r>
            <w:r w:rsidR="00141945">
              <w:rPr>
                <w:color w:val="000000"/>
                <w:sz w:val="20"/>
                <w:szCs w:val="20"/>
              </w:rPr>
              <w:t>,</w:t>
            </w:r>
            <w:r w:rsidRPr="00B719D2">
              <w:rPr>
                <w:color w:val="000000"/>
                <w:sz w:val="20"/>
                <w:szCs w:val="20"/>
              </w:rPr>
              <w:t>511</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01801A2C" w14:textId="205E3A92">
            <w:pPr>
              <w:jc w:val="right"/>
              <w:rPr>
                <w:color w:val="000000"/>
                <w:sz w:val="20"/>
                <w:szCs w:val="20"/>
              </w:rPr>
            </w:pPr>
            <w:r w:rsidRPr="00B719D2">
              <w:rPr>
                <w:color w:val="000000"/>
                <w:sz w:val="20"/>
                <w:szCs w:val="20"/>
              </w:rPr>
              <w:t>1</w:t>
            </w:r>
            <w:r w:rsidR="00141945">
              <w:rPr>
                <w:color w:val="000000"/>
                <w:sz w:val="20"/>
                <w:szCs w:val="20"/>
              </w:rPr>
              <w:t>,</w:t>
            </w:r>
            <w:r w:rsidRPr="00B719D2">
              <w:rPr>
                <w:color w:val="000000"/>
                <w:sz w:val="20"/>
                <w:szCs w:val="20"/>
              </w:rPr>
              <w:t>061</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2A78B153" w14:textId="59F9C5C2">
            <w:pPr>
              <w:jc w:val="right"/>
              <w:rPr>
                <w:color w:val="000000"/>
                <w:sz w:val="20"/>
                <w:szCs w:val="20"/>
              </w:rPr>
            </w:pPr>
            <w:r w:rsidRPr="00B719D2">
              <w:rPr>
                <w:color w:val="000000"/>
                <w:sz w:val="20"/>
                <w:szCs w:val="20"/>
              </w:rPr>
              <w:t>78</w:t>
            </w:r>
            <w:r w:rsidR="00141945">
              <w:rPr>
                <w:color w:val="000000"/>
                <w:sz w:val="20"/>
                <w:szCs w:val="20"/>
              </w:rPr>
              <w:t>,</w:t>
            </w:r>
            <w:r w:rsidRPr="00B719D2">
              <w:rPr>
                <w:color w:val="000000"/>
                <w:sz w:val="20"/>
                <w:szCs w:val="20"/>
              </w:rPr>
              <w:t>511</w:t>
            </w:r>
          </w:p>
        </w:tc>
      </w:tr>
      <w:tr w14:paraId="6DD5F58C" w14:textId="77777777" w:rsidTr="001516E3">
        <w:tblPrEx>
          <w:tblW w:w="9535" w:type="dxa"/>
          <w:tblLayout w:type="fixed"/>
          <w:tblLook w:val="04A0"/>
        </w:tblPrEx>
        <w:trPr>
          <w:trHeight w:val="50"/>
        </w:trPr>
        <w:tc>
          <w:tcPr>
            <w:tcW w:w="810" w:type="dxa"/>
            <w:vMerge/>
            <w:tcBorders>
              <w:left w:val="single" w:sz="4" w:space="0" w:color="auto"/>
            </w:tcBorders>
            <w:noWrap/>
            <w:hideMark/>
          </w:tcPr>
          <w:p w:rsidR="00E8002E" w:rsidRPr="00B11C2B" w:rsidP="00E8002E" w14:paraId="32FC75BD" w14:textId="77777777">
            <w:pPr>
              <w:rPr>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B11C2B" w:rsidP="00E8002E" w14:paraId="1A3D9A52" w14:textId="77777777">
            <w:pPr>
              <w:rPr>
                <w:color w:val="000000"/>
                <w:sz w:val="20"/>
                <w:szCs w:val="20"/>
              </w:rPr>
            </w:pPr>
            <w:r w:rsidRPr="00B11C2B">
              <w:rPr>
                <w:color w:val="000000"/>
                <w:sz w:val="20"/>
                <w:szCs w:val="20"/>
              </w:rPr>
              <w:t>Recordkeeping</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4855FA47" w14:textId="77777777">
            <w:pPr>
              <w:jc w:val="right"/>
              <w:rPr>
                <w:color w:val="000000"/>
                <w:sz w:val="20"/>
                <w:szCs w:val="20"/>
              </w:rPr>
            </w:pPr>
            <w:r w:rsidRPr="00141945">
              <w:rPr>
                <w:color w:val="000000"/>
                <w:sz w:val="20"/>
                <w:szCs w:val="20"/>
              </w:rPr>
              <w:t>74</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256F625E" w14:textId="5E2491B2">
            <w:pPr>
              <w:jc w:val="right"/>
              <w:rPr>
                <w:color w:val="000000"/>
                <w:sz w:val="20"/>
                <w:szCs w:val="20"/>
              </w:rPr>
            </w:pPr>
            <w:r w:rsidRPr="00B719D2">
              <w:rPr>
                <w:color w:val="000000"/>
                <w:sz w:val="20"/>
                <w:szCs w:val="20"/>
              </w:rPr>
              <w:t>41</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3D1D6B31" w14:textId="3BF63AEC">
            <w:pPr>
              <w:jc w:val="right"/>
              <w:rPr>
                <w:color w:val="000000"/>
                <w:sz w:val="20"/>
                <w:szCs w:val="20"/>
              </w:rPr>
            </w:pPr>
            <w:r w:rsidRPr="00B719D2">
              <w:rPr>
                <w:color w:val="000000"/>
                <w:sz w:val="20"/>
                <w:szCs w:val="20"/>
              </w:rPr>
              <w:t>3</w:t>
            </w:r>
            <w:r w:rsidR="00141945">
              <w:rPr>
                <w:color w:val="000000"/>
                <w:sz w:val="20"/>
                <w:szCs w:val="20"/>
              </w:rPr>
              <w:t>,</w:t>
            </w:r>
            <w:r w:rsidRPr="00B719D2">
              <w:rPr>
                <w:color w:val="000000"/>
                <w:sz w:val="20"/>
                <w:szCs w:val="20"/>
              </w:rPr>
              <w:t>027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2CA615BD" w14:textId="703F40BB">
            <w:pPr>
              <w:jc w:val="right"/>
              <w:rPr>
                <w:color w:val="000000"/>
                <w:sz w:val="20"/>
                <w:szCs w:val="20"/>
              </w:rPr>
            </w:pPr>
            <w:r w:rsidRPr="00B719D2">
              <w:rPr>
                <w:color w:val="000000"/>
                <w:sz w:val="20"/>
                <w:szCs w:val="20"/>
              </w:rPr>
              <w:t>41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7A9CAC74" w14:textId="45A32D56">
            <w:pPr>
              <w:jc w:val="right"/>
              <w:rPr>
                <w:color w:val="000000"/>
                <w:sz w:val="20"/>
                <w:szCs w:val="20"/>
              </w:rPr>
            </w:pPr>
            <w:r w:rsidRPr="00B719D2">
              <w:rPr>
                <w:color w:val="000000"/>
                <w:sz w:val="20"/>
                <w:szCs w:val="20"/>
              </w:rPr>
              <w:t>3</w:t>
            </w:r>
            <w:r w:rsidR="00141945">
              <w:rPr>
                <w:color w:val="000000"/>
                <w:sz w:val="20"/>
                <w:szCs w:val="20"/>
              </w:rPr>
              <w:t>,</w:t>
            </w:r>
            <w:r w:rsidRPr="00B719D2">
              <w:rPr>
                <w:color w:val="000000"/>
                <w:sz w:val="20"/>
                <w:szCs w:val="20"/>
              </w:rPr>
              <w:t>027</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6790D234" w14:textId="7BE08B8B">
            <w:pPr>
              <w:jc w:val="right"/>
              <w:rPr>
                <w:color w:val="000000"/>
                <w:sz w:val="20"/>
                <w:szCs w:val="20"/>
              </w:rPr>
            </w:pPr>
            <w:r w:rsidRPr="00B719D2">
              <w:rPr>
                <w:color w:val="000000"/>
                <w:sz w:val="20"/>
                <w:szCs w:val="20"/>
              </w:rPr>
              <w:t>41</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39DCFCAB" w14:textId="70563F2A">
            <w:pPr>
              <w:jc w:val="right"/>
              <w:rPr>
                <w:color w:val="000000"/>
                <w:sz w:val="20"/>
                <w:szCs w:val="20"/>
              </w:rPr>
            </w:pPr>
            <w:r w:rsidRPr="00B719D2">
              <w:rPr>
                <w:color w:val="000000"/>
                <w:sz w:val="20"/>
                <w:szCs w:val="20"/>
              </w:rPr>
              <w:t>3</w:t>
            </w:r>
            <w:r w:rsidR="00141945">
              <w:rPr>
                <w:color w:val="000000"/>
                <w:sz w:val="20"/>
                <w:szCs w:val="20"/>
              </w:rPr>
              <w:t>,</w:t>
            </w:r>
            <w:r w:rsidRPr="00B719D2">
              <w:rPr>
                <w:color w:val="000000"/>
                <w:sz w:val="20"/>
                <w:szCs w:val="20"/>
              </w:rPr>
              <w:t>027</w:t>
            </w:r>
          </w:p>
        </w:tc>
      </w:tr>
      <w:tr w14:paraId="07FF2F3D" w14:textId="77777777" w:rsidTr="001516E3">
        <w:tblPrEx>
          <w:tblW w:w="9535" w:type="dxa"/>
          <w:tblLayout w:type="fixed"/>
          <w:tblLook w:val="04A0"/>
        </w:tblPrEx>
        <w:trPr>
          <w:trHeight w:val="340"/>
        </w:trPr>
        <w:tc>
          <w:tcPr>
            <w:tcW w:w="81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8002E" w:rsidP="00E8002E" w14:paraId="1B92AE2B" w14:textId="58E8EEE1">
            <w:pPr>
              <w:rPr>
                <w:color w:val="000000" w:themeColor="text1"/>
                <w:sz w:val="20"/>
                <w:szCs w:val="20"/>
              </w:rPr>
            </w:pPr>
            <w:r w:rsidRPr="09D463DE">
              <w:rPr>
                <w:color w:val="000000" w:themeColor="text1"/>
                <w:sz w:val="20"/>
                <w:szCs w:val="20"/>
              </w:rPr>
              <w:t xml:space="preserve">Small </w:t>
            </w:r>
          </w:p>
          <w:p w:rsidR="00E8002E" w:rsidRPr="00B11C2B" w:rsidP="00E8002E" w14:paraId="4439FC5D" w14:textId="289AAB10">
            <w:pPr>
              <w:rPr>
                <w:color w:val="000000"/>
                <w:sz w:val="20"/>
                <w:szCs w:val="20"/>
              </w:rPr>
            </w:pPr>
            <w:r w:rsidRPr="09D463DE">
              <w:rPr>
                <w:color w:val="000000" w:themeColor="text1"/>
                <w:sz w:val="20"/>
                <w:szCs w:val="20"/>
              </w:rPr>
              <w:t>5307</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B11C2B" w:rsidP="00E8002E" w14:paraId="7F93430A" w14:textId="16FAB403">
            <w:pPr>
              <w:rPr>
                <w:color w:val="000000"/>
                <w:sz w:val="20"/>
                <w:szCs w:val="20"/>
              </w:rPr>
            </w:pPr>
            <w:r w:rsidRPr="00B11C2B">
              <w:rPr>
                <w:color w:val="000000"/>
                <w:sz w:val="20"/>
                <w:szCs w:val="20"/>
              </w:rPr>
              <w:t>Development/</w:t>
            </w:r>
            <w:r>
              <w:rPr>
                <w:color w:val="000000"/>
                <w:sz w:val="20"/>
                <w:szCs w:val="20"/>
              </w:rPr>
              <w:t xml:space="preserve"> </w:t>
            </w:r>
            <w:r w:rsidRPr="00B11C2B">
              <w:rPr>
                <w:color w:val="000000"/>
                <w:sz w:val="20"/>
                <w:szCs w:val="20"/>
              </w:rPr>
              <w:t>Certification</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4F7FCCDE" w14:textId="77777777">
            <w:pPr>
              <w:jc w:val="right"/>
              <w:rPr>
                <w:color w:val="000000"/>
                <w:sz w:val="20"/>
                <w:szCs w:val="20"/>
              </w:rPr>
            </w:pPr>
            <w:r w:rsidRPr="00141945">
              <w:rPr>
                <w:color w:val="000000"/>
                <w:sz w:val="20"/>
                <w:szCs w:val="20"/>
              </w:rPr>
              <w:t>572</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74E352C3" w14:textId="4752C117">
            <w:pPr>
              <w:jc w:val="right"/>
              <w:rPr>
                <w:color w:val="000000"/>
                <w:sz w:val="20"/>
                <w:szCs w:val="20"/>
              </w:rPr>
            </w:pPr>
            <w:r w:rsidRPr="00B719D2">
              <w:rPr>
                <w:color w:val="000000"/>
                <w:sz w:val="20"/>
                <w:szCs w:val="20"/>
              </w:rPr>
              <w:t>89</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4FEAF52E" w14:textId="452E5345">
            <w:pPr>
              <w:jc w:val="right"/>
              <w:rPr>
                <w:color w:val="000000"/>
                <w:sz w:val="20"/>
                <w:szCs w:val="20"/>
              </w:rPr>
            </w:pPr>
            <w:r w:rsidRPr="00B719D2">
              <w:rPr>
                <w:color w:val="000000"/>
                <w:sz w:val="20"/>
                <w:szCs w:val="20"/>
              </w:rPr>
              <w:t>50</w:t>
            </w:r>
            <w:r w:rsidR="00141945">
              <w:rPr>
                <w:color w:val="000000"/>
                <w:sz w:val="20"/>
                <w:szCs w:val="20"/>
              </w:rPr>
              <w:t>,</w:t>
            </w:r>
            <w:r w:rsidRPr="00B719D2">
              <w:rPr>
                <w:color w:val="000000"/>
                <w:sz w:val="20"/>
                <w:szCs w:val="20"/>
              </w:rPr>
              <w:t>754</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03CCC6BF" w14:textId="6188B297">
            <w:pPr>
              <w:jc w:val="right"/>
              <w:rPr>
                <w:color w:val="000000"/>
                <w:sz w:val="20"/>
                <w:szCs w:val="20"/>
              </w:rPr>
            </w:pPr>
            <w:r w:rsidRPr="00B719D2">
              <w:rPr>
                <w:color w:val="000000"/>
                <w:sz w:val="20"/>
                <w:szCs w:val="20"/>
              </w:rPr>
              <w:t>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61F1497A" w14:textId="54383D33">
            <w:pPr>
              <w:jc w:val="right"/>
              <w:rPr>
                <w:color w:val="000000"/>
                <w:sz w:val="20"/>
                <w:szCs w:val="20"/>
              </w:rPr>
            </w:pPr>
            <w:r w:rsidRPr="00B719D2">
              <w:rPr>
                <w:color w:val="000000"/>
                <w:sz w:val="20"/>
                <w:szCs w:val="20"/>
              </w:rPr>
              <w:t>1</w:t>
            </w:r>
            <w:r w:rsidR="00141945">
              <w:rPr>
                <w:color w:val="000000"/>
                <w:sz w:val="20"/>
                <w:szCs w:val="20"/>
              </w:rPr>
              <w:t>,</w:t>
            </w:r>
            <w:r w:rsidRPr="00B719D2">
              <w:rPr>
                <w:color w:val="000000"/>
                <w:sz w:val="20"/>
                <w:szCs w:val="20"/>
              </w:rPr>
              <w:t>716</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009CC117" w14:textId="0C909F0E">
            <w:pPr>
              <w:jc w:val="right"/>
              <w:rPr>
                <w:color w:val="000000"/>
                <w:sz w:val="20"/>
                <w:szCs w:val="20"/>
              </w:rPr>
            </w:pPr>
            <w:r w:rsidRPr="00B719D2">
              <w:rPr>
                <w:color w:val="000000"/>
                <w:sz w:val="20"/>
                <w:szCs w:val="20"/>
              </w:rPr>
              <w:t>3</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18A834D3" w14:textId="06CCFB18">
            <w:pPr>
              <w:jc w:val="right"/>
              <w:rPr>
                <w:color w:val="000000"/>
                <w:sz w:val="20"/>
                <w:szCs w:val="20"/>
              </w:rPr>
            </w:pPr>
            <w:r w:rsidRPr="00B719D2">
              <w:rPr>
                <w:color w:val="000000"/>
                <w:sz w:val="20"/>
                <w:szCs w:val="20"/>
              </w:rPr>
              <w:t>1</w:t>
            </w:r>
            <w:r w:rsidR="00141945">
              <w:rPr>
                <w:color w:val="000000"/>
                <w:sz w:val="20"/>
                <w:szCs w:val="20"/>
              </w:rPr>
              <w:t>,</w:t>
            </w:r>
            <w:r w:rsidRPr="00B719D2">
              <w:rPr>
                <w:color w:val="000000"/>
                <w:sz w:val="20"/>
                <w:szCs w:val="20"/>
              </w:rPr>
              <w:t>716</w:t>
            </w:r>
          </w:p>
        </w:tc>
      </w:tr>
      <w:tr w14:paraId="6D388975" w14:textId="77777777" w:rsidTr="001516E3">
        <w:tblPrEx>
          <w:tblW w:w="9535" w:type="dxa"/>
          <w:tblLayout w:type="fixed"/>
          <w:tblLook w:val="04A0"/>
        </w:tblPrEx>
        <w:trPr>
          <w:trHeight w:val="50"/>
        </w:trPr>
        <w:tc>
          <w:tcPr>
            <w:tcW w:w="810" w:type="dxa"/>
            <w:vMerge/>
            <w:tcBorders>
              <w:left w:val="single" w:sz="4" w:space="0" w:color="auto"/>
            </w:tcBorders>
            <w:noWrap/>
            <w:hideMark/>
          </w:tcPr>
          <w:p w:rsidR="00E8002E" w:rsidRPr="00B11C2B" w:rsidP="00E8002E" w14:paraId="63C3F90F" w14:textId="77777777">
            <w:pPr>
              <w:rPr>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B11C2B" w:rsidP="00E8002E" w14:paraId="703697FD" w14:textId="2AD88B8B">
            <w:pPr>
              <w:rPr>
                <w:color w:val="000000"/>
                <w:sz w:val="20"/>
                <w:szCs w:val="20"/>
              </w:rPr>
            </w:pPr>
            <w:r w:rsidRPr="00B11C2B">
              <w:rPr>
                <w:color w:val="000000"/>
                <w:sz w:val="20"/>
                <w:szCs w:val="20"/>
              </w:rPr>
              <w:t>Implement/</w:t>
            </w:r>
            <w:r>
              <w:rPr>
                <w:color w:val="000000"/>
                <w:sz w:val="20"/>
                <w:szCs w:val="20"/>
              </w:rPr>
              <w:t xml:space="preserve"> </w:t>
            </w:r>
            <w:r w:rsidRPr="00B11C2B">
              <w:rPr>
                <w:color w:val="000000"/>
                <w:sz w:val="20"/>
                <w:szCs w:val="20"/>
              </w:rPr>
              <w:t>Document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7971BDD7" w14:textId="77777777">
            <w:pPr>
              <w:jc w:val="right"/>
              <w:rPr>
                <w:color w:val="000000"/>
                <w:sz w:val="20"/>
                <w:szCs w:val="20"/>
              </w:rPr>
            </w:pPr>
            <w:r w:rsidRPr="00141945">
              <w:rPr>
                <w:color w:val="000000"/>
                <w:sz w:val="20"/>
                <w:szCs w:val="20"/>
              </w:rPr>
              <w:t>572</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1B8CE7E7" w14:textId="5B30A4CB">
            <w:pPr>
              <w:jc w:val="right"/>
              <w:rPr>
                <w:color w:val="000000"/>
                <w:sz w:val="20"/>
                <w:szCs w:val="20"/>
              </w:rPr>
            </w:pPr>
            <w:r w:rsidRPr="00B719D2">
              <w:rPr>
                <w:color w:val="000000"/>
                <w:sz w:val="20"/>
                <w:szCs w:val="20"/>
              </w:rPr>
              <w:t>361</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07A95A12" w14:textId="41F59B8B">
            <w:pPr>
              <w:jc w:val="right"/>
              <w:rPr>
                <w:color w:val="000000"/>
                <w:sz w:val="20"/>
                <w:szCs w:val="20"/>
              </w:rPr>
            </w:pPr>
            <w:r w:rsidRPr="00B719D2">
              <w:rPr>
                <w:color w:val="000000"/>
                <w:sz w:val="20"/>
                <w:szCs w:val="20"/>
              </w:rPr>
              <w:t>206</w:t>
            </w:r>
            <w:r w:rsidR="00141945">
              <w:rPr>
                <w:color w:val="000000"/>
                <w:sz w:val="20"/>
                <w:szCs w:val="20"/>
              </w:rPr>
              <w:t>,</w:t>
            </w:r>
            <w:r w:rsidRPr="00B719D2">
              <w:rPr>
                <w:color w:val="000000"/>
                <w:sz w:val="20"/>
                <w:szCs w:val="20"/>
              </w:rPr>
              <w:t>488</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06F10D27" w14:textId="14935D65">
            <w:pPr>
              <w:jc w:val="right"/>
              <w:rPr>
                <w:color w:val="000000"/>
                <w:sz w:val="20"/>
                <w:szCs w:val="20"/>
              </w:rPr>
            </w:pPr>
            <w:r w:rsidRPr="00B719D2">
              <w:rPr>
                <w:color w:val="000000"/>
                <w:sz w:val="20"/>
                <w:szCs w:val="20"/>
              </w:rPr>
              <w:t>361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689255E0" w14:textId="5BF4E4A8">
            <w:pPr>
              <w:jc w:val="right"/>
              <w:rPr>
                <w:color w:val="000000"/>
                <w:sz w:val="20"/>
                <w:szCs w:val="20"/>
              </w:rPr>
            </w:pPr>
            <w:r w:rsidRPr="00B719D2">
              <w:rPr>
                <w:color w:val="000000"/>
                <w:sz w:val="20"/>
                <w:szCs w:val="20"/>
              </w:rPr>
              <w:t>206</w:t>
            </w:r>
            <w:r w:rsidR="00141945">
              <w:rPr>
                <w:color w:val="000000"/>
                <w:sz w:val="20"/>
                <w:szCs w:val="20"/>
              </w:rPr>
              <w:t>,</w:t>
            </w:r>
            <w:r w:rsidRPr="00B719D2">
              <w:rPr>
                <w:color w:val="000000"/>
                <w:sz w:val="20"/>
                <w:szCs w:val="20"/>
              </w:rPr>
              <w:t>488</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50F561DE" w14:textId="771455B6">
            <w:pPr>
              <w:jc w:val="right"/>
              <w:rPr>
                <w:color w:val="000000"/>
                <w:sz w:val="20"/>
                <w:szCs w:val="20"/>
              </w:rPr>
            </w:pPr>
            <w:r w:rsidRPr="00B719D2">
              <w:rPr>
                <w:color w:val="000000"/>
                <w:sz w:val="20"/>
                <w:szCs w:val="20"/>
              </w:rPr>
              <w:t>361</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70B86646" w14:textId="3592355D">
            <w:pPr>
              <w:jc w:val="right"/>
              <w:rPr>
                <w:color w:val="000000"/>
                <w:sz w:val="20"/>
                <w:szCs w:val="20"/>
              </w:rPr>
            </w:pPr>
            <w:r w:rsidRPr="00B719D2">
              <w:rPr>
                <w:color w:val="000000"/>
                <w:sz w:val="20"/>
                <w:szCs w:val="20"/>
              </w:rPr>
              <w:t>206</w:t>
            </w:r>
            <w:r w:rsidR="00141945">
              <w:rPr>
                <w:color w:val="000000"/>
                <w:sz w:val="20"/>
                <w:szCs w:val="20"/>
              </w:rPr>
              <w:t>,</w:t>
            </w:r>
            <w:r w:rsidRPr="00B719D2">
              <w:rPr>
                <w:color w:val="000000"/>
                <w:sz w:val="20"/>
                <w:szCs w:val="20"/>
              </w:rPr>
              <w:t>488</w:t>
            </w:r>
          </w:p>
        </w:tc>
      </w:tr>
      <w:tr w14:paraId="7AD2BFD9" w14:textId="77777777" w:rsidTr="001516E3">
        <w:tblPrEx>
          <w:tblW w:w="9535" w:type="dxa"/>
          <w:tblLayout w:type="fixed"/>
          <w:tblLook w:val="04A0"/>
        </w:tblPrEx>
        <w:trPr>
          <w:trHeight w:val="50"/>
        </w:trPr>
        <w:tc>
          <w:tcPr>
            <w:tcW w:w="810" w:type="dxa"/>
            <w:vMerge/>
            <w:tcBorders>
              <w:left w:val="single" w:sz="4" w:space="0" w:color="auto"/>
            </w:tcBorders>
            <w:noWrap/>
            <w:hideMark/>
          </w:tcPr>
          <w:p w:rsidR="00E8002E" w:rsidRPr="00B11C2B" w:rsidP="00E8002E" w14:paraId="2CFE3B6D" w14:textId="77777777">
            <w:pPr>
              <w:rPr>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B11C2B" w:rsidP="00E8002E" w14:paraId="303A8A0F" w14:textId="77777777">
            <w:pPr>
              <w:rPr>
                <w:color w:val="000000"/>
                <w:sz w:val="20"/>
                <w:szCs w:val="20"/>
              </w:rPr>
            </w:pPr>
            <w:r w:rsidRPr="00B11C2B">
              <w:rPr>
                <w:color w:val="000000"/>
                <w:sz w:val="20"/>
                <w:szCs w:val="20"/>
              </w:rPr>
              <w:t>Recordkeeping</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50CF2389" w14:textId="77777777">
            <w:pPr>
              <w:jc w:val="right"/>
              <w:rPr>
                <w:color w:val="000000"/>
                <w:sz w:val="20"/>
                <w:szCs w:val="20"/>
              </w:rPr>
            </w:pPr>
            <w:r w:rsidRPr="00141945">
              <w:rPr>
                <w:color w:val="000000"/>
                <w:sz w:val="20"/>
                <w:szCs w:val="20"/>
              </w:rPr>
              <w:t>572</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3593208D" w14:textId="0D6777CD">
            <w:pPr>
              <w:jc w:val="right"/>
              <w:rPr>
                <w:color w:val="000000"/>
                <w:sz w:val="20"/>
                <w:szCs w:val="20"/>
              </w:rPr>
            </w:pPr>
            <w:r w:rsidRPr="00B719D2">
              <w:rPr>
                <w:color w:val="000000"/>
                <w:sz w:val="20"/>
                <w:szCs w:val="20"/>
              </w:rPr>
              <w:t>34</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68549CA2" w14:textId="1893622E">
            <w:pPr>
              <w:jc w:val="right"/>
              <w:rPr>
                <w:color w:val="000000"/>
                <w:sz w:val="20"/>
                <w:szCs w:val="20"/>
              </w:rPr>
            </w:pPr>
            <w:r w:rsidRPr="00B719D2">
              <w:rPr>
                <w:color w:val="000000"/>
                <w:sz w:val="20"/>
                <w:szCs w:val="20"/>
              </w:rPr>
              <w:t>19</w:t>
            </w:r>
            <w:r w:rsidR="00141945">
              <w:rPr>
                <w:color w:val="000000"/>
                <w:sz w:val="20"/>
                <w:szCs w:val="20"/>
              </w:rPr>
              <w:t>,</w:t>
            </w:r>
            <w:r w:rsidRPr="00B719D2">
              <w:rPr>
                <w:color w:val="000000"/>
                <w:sz w:val="20"/>
                <w:szCs w:val="20"/>
              </w:rPr>
              <w:t>601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1109E3C6" w14:textId="33A9D0FA">
            <w:pPr>
              <w:jc w:val="right"/>
              <w:rPr>
                <w:color w:val="000000"/>
                <w:sz w:val="20"/>
                <w:szCs w:val="20"/>
              </w:rPr>
            </w:pPr>
            <w:r w:rsidRPr="00B719D2">
              <w:rPr>
                <w:color w:val="000000"/>
                <w:sz w:val="20"/>
                <w:szCs w:val="20"/>
              </w:rPr>
              <w:t>34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4373CC24" w14:textId="14C2E17D">
            <w:pPr>
              <w:jc w:val="right"/>
              <w:rPr>
                <w:color w:val="000000"/>
                <w:sz w:val="20"/>
                <w:szCs w:val="20"/>
              </w:rPr>
            </w:pPr>
            <w:r w:rsidRPr="00B719D2">
              <w:rPr>
                <w:color w:val="000000"/>
                <w:sz w:val="20"/>
                <w:szCs w:val="20"/>
              </w:rPr>
              <w:t>19</w:t>
            </w:r>
            <w:r w:rsidR="00141945">
              <w:rPr>
                <w:color w:val="000000"/>
                <w:sz w:val="20"/>
                <w:szCs w:val="20"/>
              </w:rPr>
              <w:t>,</w:t>
            </w:r>
            <w:r w:rsidRPr="00B719D2">
              <w:rPr>
                <w:color w:val="000000"/>
                <w:sz w:val="20"/>
                <w:szCs w:val="20"/>
              </w:rPr>
              <w:t>601</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4C6B572C" w14:textId="37158A73">
            <w:pPr>
              <w:jc w:val="right"/>
              <w:rPr>
                <w:color w:val="000000"/>
                <w:sz w:val="20"/>
                <w:szCs w:val="20"/>
              </w:rPr>
            </w:pPr>
            <w:r w:rsidRPr="00B719D2">
              <w:rPr>
                <w:color w:val="000000"/>
                <w:sz w:val="20"/>
                <w:szCs w:val="20"/>
              </w:rPr>
              <w:t>34</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02E" w:rsidRPr="00141945" w:rsidP="00E8002E" w14:paraId="4CFC0182" w14:textId="506D306C">
            <w:pPr>
              <w:jc w:val="right"/>
              <w:rPr>
                <w:color w:val="000000"/>
                <w:sz w:val="20"/>
                <w:szCs w:val="20"/>
              </w:rPr>
            </w:pPr>
            <w:r w:rsidRPr="00B719D2">
              <w:rPr>
                <w:color w:val="000000"/>
                <w:sz w:val="20"/>
                <w:szCs w:val="20"/>
              </w:rPr>
              <w:t>19</w:t>
            </w:r>
            <w:r w:rsidR="00141945">
              <w:rPr>
                <w:color w:val="000000"/>
                <w:sz w:val="20"/>
                <w:szCs w:val="20"/>
              </w:rPr>
              <w:t>,</w:t>
            </w:r>
            <w:r w:rsidRPr="00B719D2">
              <w:rPr>
                <w:color w:val="000000"/>
                <w:sz w:val="20"/>
                <w:szCs w:val="20"/>
              </w:rPr>
              <w:t>601</w:t>
            </w:r>
          </w:p>
        </w:tc>
      </w:tr>
      <w:tr w14:paraId="14B0AAF5" w14:textId="77777777" w:rsidTr="001516E3">
        <w:tblPrEx>
          <w:tblW w:w="9535" w:type="dxa"/>
          <w:tblLayout w:type="fixed"/>
          <w:tblLook w:val="04A0"/>
        </w:tblPrEx>
        <w:trPr>
          <w:trHeight w:val="50"/>
        </w:trPr>
        <w:tc>
          <w:tcPr>
            <w:tcW w:w="810" w:type="dxa"/>
            <w:tcBorders>
              <w:top w:val="single" w:sz="4" w:space="0" w:color="auto"/>
              <w:left w:val="single" w:sz="4" w:space="0" w:color="auto"/>
              <w:bottom w:val="single" w:sz="4" w:space="0" w:color="auto"/>
              <w:right w:val="single" w:sz="4" w:space="0" w:color="auto"/>
            </w:tcBorders>
            <w:shd w:val="clear" w:color="auto" w:fill="auto"/>
            <w:noWrap/>
            <w:hideMark/>
          </w:tcPr>
          <w:p w:rsidR="00B11C2B" w:rsidRPr="00B11C2B" w:rsidP="00B11C2B" w14:paraId="0216F00E" w14:textId="77777777">
            <w:pPr>
              <w:rPr>
                <w:color w:val="000000"/>
                <w:sz w:val="20"/>
                <w:szCs w:val="20"/>
              </w:rPr>
            </w:pPr>
            <w:r w:rsidRPr="00B11C2B">
              <w:rPr>
                <w:color w:val="000000"/>
                <w:sz w:val="20"/>
                <w:szCs w:val="20"/>
              </w:rPr>
              <w:t>State</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C2B" w:rsidRPr="00B11C2B" w14:paraId="45040541" w14:textId="6A91375A">
            <w:pPr>
              <w:rPr>
                <w:color w:val="000000"/>
                <w:sz w:val="20"/>
                <w:szCs w:val="20"/>
              </w:rPr>
            </w:pPr>
            <w:r w:rsidRPr="00B11C2B">
              <w:rPr>
                <w:color w:val="000000"/>
                <w:sz w:val="20"/>
                <w:szCs w:val="20"/>
              </w:rPr>
              <w:t>Development</w:t>
            </w:r>
            <w:r w:rsidR="00072B00">
              <w:rPr>
                <w:color w:val="000000"/>
                <w:sz w:val="20"/>
                <w:szCs w:val="20"/>
              </w:rPr>
              <w:t>/ Certification</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C2B" w:rsidRPr="00141945" w14:paraId="464A62FC" w14:textId="6005786C">
            <w:pPr>
              <w:jc w:val="right"/>
              <w:rPr>
                <w:color w:val="000000"/>
                <w:sz w:val="20"/>
                <w:szCs w:val="20"/>
              </w:rPr>
            </w:pPr>
            <w:r w:rsidRPr="00141945">
              <w:rPr>
                <w:color w:val="000000"/>
                <w:sz w:val="20"/>
                <w:szCs w:val="20"/>
              </w:rPr>
              <w:t>5</w:t>
            </w:r>
            <w:r w:rsidRPr="00141945" w:rsidR="00072B00">
              <w:rPr>
                <w:color w:val="000000"/>
                <w:sz w:val="20"/>
                <w:szCs w:val="20"/>
              </w:rPr>
              <w:t>0</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C2B" w:rsidRPr="00141945" w:rsidP="00B11C2B" w14:paraId="2EC43C42" w14:textId="67946879">
            <w:pPr>
              <w:jc w:val="right"/>
              <w:rPr>
                <w:color w:val="000000"/>
                <w:sz w:val="20"/>
                <w:szCs w:val="20"/>
              </w:rPr>
            </w:pPr>
            <w:r w:rsidRPr="00141945">
              <w:rPr>
                <w:color w:val="000000"/>
                <w:sz w:val="20"/>
                <w:szCs w:val="20"/>
              </w:rPr>
              <w:t>7</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C2B" w:rsidRPr="00141945" w:rsidP="00B11C2B" w14:paraId="39487A3B" w14:textId="662E9F0D">
            <w:pPr>
              <w:jc w:val="right"/>
              <w:rPr>
                <w:color w:val="000000"/>
                <w:sz w:val="20"/>
                <w:szCs w:val="20"/>
              </w:rPr>
            </w:pPr>
            <w:r w:rsidRPr="00141945">
              <w:rPr>
                <w:color w:val="000000"/>
                <w:sz w:val="20"/>
                <w:szCs w:val="20"/>
              </w:rPr>
              <w:t>350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C2B" w:rsidRPr="00141945" w:rsidP="00B11C2B" w14:paraId="2C860380" w14:textId="4B686E65">
            <w:pPr>
              <w:jc w:val="right"/>
              <w:rPr>
                <w:color w:val="000000"/>
                <w:sz w:val="20"/>
                <w:szCs w:val="20"/>
              </w:rPr>
            </w:pPr>
            <w:r w:rsidRPr="00141945">
              <w:rPr>
                <w:color w:val="000000"/>
                <w:sz w:val="20"/>
                <w:szCs w:val="20"/>
              </w:rPr>
              <w:t>7</w:t>
            </w:r>
            <w:r w:rsidRPr="00141945">
              <w:rPr>
                <w:color w:val="000000"/>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C2B" w:rsidRPr="00141945" w:rsidP="00B11C2B" w14:paraId="2C4105B7" w14:textId="1461E72F">
            <w:pPr>
              <w:jc w:val="right"/>
              <w:rPr>
                <w:color w:val="000000"/>
                <w:sz w:val="20"/>
                <w:szCs w:val="20"/>
              </w:rPr>
            </w:pPr>
            <w:r w:rsidRPr="00141945">
              <w:rPr>
                <w:color w:val="000000"/>
                <w:sz w:val="20"/>
                <w:szCs w:val="20"/>
              </w:rPr>
              <w:t>350</w:t>
            </w:r>
            <w:r w:rsidRPr="00141945">
              <w:rPr>
                <w:color w:val="000000"/>
                <w:sz w:val="20"/>
                <w:szCs w:val="20"/>
              </w:rPr>
              <w:t xml:space="preserve"> </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C2B" w:rsidRPr="00141945" w:rsidP="00B11C2B" w14:paraId="55850A81" w14:textId="154F2616">
            <w:pPr>
              <w:jc w:val="right"/>
              <w:rPr>
                <w:color w:val="000000"/>
                <w:sz w:val="20"/>
                <w:szCs w:val="20"/>
              </w:rPr>
            </w:pPr>
            <w:r w:rsidRPr="00141945">
              <w:rPr>
                <w:color w:val="000000"/>
                <w:sz w:val="20"/>
                <w:szCs w:val="20"/>
              </w:rPr>
              <w:t xml:space="preserve"> </w:t>
            </w:r>
            <w:r w:rsidRPr="00141945" w:rsidR="00072B00">
              <w:rPr>
                <w:color w:val="000000"/>
                <w:sz w:val="20"/>
                <w:szCs w:val="20"/>
              </w:rPr>
              <w:t>7</w:t>
            </w:r>
            <w:r w:rsidRPr="00141945">
              <w:rPr>
                <w:color w:val="000000"/>
                <w:sz w:val="20"/>
                <w:szCs w:val="20"/>
              </w:rPr>
              <w:t xml:space="preserve"> </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C2B" w:rsidRPr="00141945" w:rsidP="00B11C2B" w14:paraId="6BF0EC93" w14:textId="40E0C1FE">
            <w:pPr>
              <w:jc w:val="right"/>
              <w:rPr>
                <w:color w:val="000000"/>
                <w:sz w:val="20"/>
                <w:szCs w:val="20"/>
              </w:rPr>
            </w:pPr>
            <w:r w:rsidRPr="00141945">
              <w:rPr>
                <w:color w:val="000000"/>
                <w:sz w:val="20"/>
                <w:szCs w:val="20"/>
              </w:rPr>
              <w:t>350</w:t>
            </w:r>
            <w:r w:rsidRPr="00141945">
              <w:rPr>
                <w:color w:val="000000"/>
                <w:sz w:val="20"/>
                <w:szCs w:val="20"/>
              </w:rPr>
              <w:t xml:space="preserve"> </w:t>
            </w:r>
          </w:p>
        </w:tc>
      </w:tr>
      <w:tr w14:paraId="015C93B3" w14:textId="77777777" w:rsidTr="001516E3">
        <w:tblPrEx>
          <w:tblW w:w="9535" w:type="dxa"/>
          <w:tblLayout w:type="fixed"/>
          <w:tblLook w:val="04A0"/>
        </w:tblPrEx>
        <w:trPr>
          <w:trHeight w:val="50"/>
        </w:trPr>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tcPr>
          <w:p w:rsidR="00D82613" w:rsidRPr="00B11C2B" w:rsidP="00D82613" w14:paraId="399AF17F" w14:textId="5348FE21">
            <w:pPr>
              <w:jc w:val="center"/>
              <w:rPr>
                <w:color w:val="000000"/>
                <w:sz w:val="20"/>
                <w:szCs w:val="20"/>
              </w:rPr>
            </w:pPr>
            <w:r>
              <w:rPr>
                <w:color w:val="000000"/>
                <w:sz w:val="20"/>
                <w:szCs w:val="20"/>
              </w:rPr>
              <w:t>TOTAL</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2613" w:rsidRPr="00B11C2B" w14:paraId="082F5EB8" w14:textId="48ADC37D">
            <w:pPr>
              <w:jc w:val="right"/>
              <w:rPr>
                <w:color w:val="000000"/>
                <w:sz w:val="20"/>
                <w:szCs w:val="20"/>
              </w:rPr>
            </w:pPr>
            <w:r>
              <w:rPr>
                <w:color w:val="000000"/>
                <w:sz w:val="20"/>
                <w:szCs w:val="20"/>
              </w:rPr>
              <w:t>758</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2613" w:rsidP="00B11C2B" w14:paraId="1C517A8F" w14:textId="77777777">
            <w:pPr>
              <w:jc w:val="right"/>
              <w:rPr>
                <w:color w:val="000000"/>
                <w:sz w:val="20"/>
                <w:szCs w:val="20"/>
              </w:rPr>
            </w:pP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2613" w:rsidP="00B11C2B" w14:paraId="7CD77EE3" w14:textId="07E7867D">
            <w:pPr>
              <w:jc w:val="right"/>
              <w:rPr>
                <w:color w:val="000000"/>
                <w:sz w:val="20"/>
                <w:szCs w:val="20"/>
              </w:rPr>
            </w:pPr>
            <w:r>
              <w:rPr>
                <w:color w:val="000000"/>
                <w:sz w:val="20"/>
                <w:szCs w:val="20"/>
              </w:rPr>
              <w:t>512,532</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2613" w:rsidP="00B11C2B" w14:paraId="722BBA7B" w14:textId="77777777">
            <w:pPr>
              <w:jc w:val="right"/>
              <w:rPr>
                <w:color w:val="000000"/>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2613" w:rsidP="00B11C2B" w14:paraId="129DEFCE" w14:textId="5E92FD1B">
            <w:pPr>
              <w:jc w:val="right"/>
              <w:rPr>
                <w:color w:val="000000"/>
                <w:sz w:val="20"/>
                <w:szCs w:val="20"/>
              </w:rPr>
            </w:pPr>
            <w:r>
              <w:rPr>
                <w:color w:val="000000"/>
                <w:sz w:val="20"/>
                <w:szCs w:val="20"/>
              </w:rPr>
              <w:t>422,918</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2613" w:rsidRPr="00B11C2B" w:rsidP="00B11C2B" w14:paraId="500573B2" w14:textId="77777777">
            <w:pPr>
              <w:jc w:val="right"/>
              <w:rPr>
                <w:color w:val="000000"/>
                <w:sz w:val="20"/>
                <w:szCs w:val="20"/>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2613" w:rsidP="00B11C2B" w14:paraId="7C3466E7" w14:textId="67F353C0">
            <w:pPr>
              <w:jc w:val="right"/>
              <w:rPr>
                <w:color w:val="000000"/>
                <w:sz w:val="20"/>
                <w:szCs w:val="20"/>
              </w:rPr>
            </w:pPr>
            <w:r>
              <w:rPr>
                <w:color w:val="000000"/>
                <w:sz w:val="20"/>
                <w:szCs w:val="20"/>
              </w:rPr>
              <w:t>422,918</w:t>
            </w:r>
          </w:p>
        </w:tc>
      </w:tr>
    </w:tbl>
    <w:p w:rsidR="003D0832" w:rsidP="007C08F6" w14:paraId="7567851E" w14:textId="02B72ABF">
      <w:pPr>
        <w:pStyle w:val="ListParagraph"/>
        <w:ind w:left="0"/>
        <w:contextualSpacing w:val="0"/>
      </w:pPr>
    </w:p>
    <w:p w:rsidR="00F04B3C" w:rsidP="00337252" w14:paraId="47EF8B7F" w14:textId="518CF412">
      <w:r>
        <w:t xml:space="preserve">Average </w:t>
      </w:r>
      <w:r w:rsidR="00337252">
        <w:t xml:space="preserve">estimated </w:t>
      </w:r>
      <w:r>
        <w:t xml:space="preserve">annual burden hours for the three years </w:t>
      </w:r>
      <w:r w:rsidRPr="00E91239" w:rsidR="00873E72">
        <w:rPr>
          <w:b/>
          <w:bCs/>
        </w:rPr>
        <w:t>452</w:t>
      </w:r>
      <w:r w:rsidRPr="00E91239">
        <w:rPr>
          <w:b/>
          <w:bCs/>
        </w:rPr>
        <w:t>,</w:t>
      </w:r>
      <w:r w:rsidRPr="00E91239" w:rsidR="00873E72">
        <w:rPr>
          <w:b/>
          <w:bCs/>
        </w:rPr>
        <w:t>789</w:t>
      </w:r>
      <w:r w:rsidR="007066A3">
        <w:t>*</w:t>
      </w:r>
      <w:r w:rsidR="00337252">
        <w:t xml:space="preserve"> </w:t>
      </w:r>
    </w:p>
    <w:p w:rsidR="00C27F8D" w:rsidP="00337252" w14:paraId="416F8BA4" w14:textId="585FA8B8">
      <w:pPr>
        <w:rPr>
          <w:sz w:val="16"/>
          <w:szCs w:val="16"/>
        </w:rPr>
      </w:pPr>
      <w:r w:rsidRPr="00C830A5">
        <w:rPr>
          <w:sz w:val="16"/>
          <w:szCs w:val="16"/>
        </w:rPr>
        <w:t xml:space="preserve">*added Year 1 </w:t>
      </w:r>
      <w:r w:rsidR="00873E72">
        <w:rPr>
          <w:sz w:val="16"/>
          <w:szCs w:val="16"/>
        </w:rPr>
        <w:t>512,532</w:t>
      </w:r>
      <w:r w:rsidRPr="00C830A5">
        <w:rPr>
          <w:sz w:val="16"/>
          <w:szCs w:val="16"/>
        </w:rPr>
        <w:t xml:space="preserve">, Year 2 </w:t>
      </w:r>
      <w:r w:rsidR="00873E72">
        <w:rPr>
          <w:sz w:val="16"/>
          <w:szCs w:val="16"/>
        </w:rPr>
        <w:t>422,918</w:t>
      </w:r>
      <w:r w:rsidRPr="00C830A5">
        <w:rPr>
          <w:sz w:val="16"/>
          <w:szCs w:val="16"/>
        </w:rPr>
        <w:t xml:space="preserve"> and Year 3</w:t>
      </w:r>
      <w:r w:rsidR="00873E72">
        <w:rPr>
          <w:sz w:val="16"/>
          <w:szCs w:val="16"/>
        </w:rPr>
        <w:t xml:space="preserve"> 422,918</w:t>
      </w:r>
      <w:r w:rsidRPr="00C830A5">
        <w:rPr>
          <w:sz w:val="16"/>
          <w:szCs w:val="16"/>
        </w:rPr>
        <w:t xml:space="preserve"> and divided by three to get the average  </w:t>
      </w:r>
    </w:p>
    <w:p w:rsidR="001516E3" w:rsidP="001B7F55" w14:paraId="077DE498" w14:textId="77777777">
      <w:pPr>
        <w:jc w:val="both"/>
        <w:rPr>
          <w:b/>
          <w:bCs/>
        </w:rPr>
      </w:pPr>
    </w:p>
    <w:p w:rsidR="001B7F55" w:rsidP="001B7F55" w14:paraId="267A3B7B" w14:textId="566096C8">
      <w:pPr>
        <w:jc w:val="both"/>
        <w:rPr>
          <w:rStyle w:val="Hyperlink"/>
          <w:b/>
          <w:bCs/>
          <w:vertAlign w:val="superscript"/>
        </w:rPr>
      </w:pPr>
      <w:r w:rsidRPr="7FC443FA">
        <w:rPr>
          <w:b/>
          <w:bCs/>
        </w:rPr>
        <w:t xml:space="preserve">Table </w:t>
      </w:r>
      <w:r w:rsidRPr="7FC443FA" w:rsidR="0084616D">
        <w:rPr>
          <w:b/>
          <w:bCs/>
        </w:rPr>
        <w:t>6</w:t>
      </w:r>
      <w:r w:rsidRPr="7FC443FA">
        <w:rPr>
          <w:b/>
          <w:bCs/>
        </w:rPr>
        <w:t xml:space="preserve">: </w:t>
      </w:r>
      <w:r w:rsidRPr="7FC443FA" w:rsidR="003F6DC4">
        <w:rPr>
          <w:b/>
          <w:bCs/>
          <w:u w:val="single"/>
        </w:rPr>
        <w:t xml:space="preserve">Total New Annualized Burden For </w:t>
      </w:r>
      <w:r w:rsidRPr="7FC443FA">
        <w:rPr>
          <w:b/>
          <w:bCs/>
          <w:u w:val="single"/>
        </w:rPr>
        <w:t>Periodic Requests</w:t>
      </w:r>
    </w:p>
    <w:p w:rsidR="001B7F55" w:rsidP="001B7F55" w14:paraId="3A48AD09" w14:textId="77777777">
      <w:pPr>
        <w:jc w:val="both"/>
        <w:rPr>
          <w:b/>
          <w:bCs/>
        </w:rPr>
      </w:pPr>
      <w:r w:rsidRPr="4C4F126C">
        <w:rPr>
          <w:b/>
          <w:bCs/>
        </w:rPr>
        <w:t xml:space="preserve"> </w:t>
      </w:r>
    </w:p>
    <w:p w:rsidR="001B7F55" w:rsidP="001B7F55" w14:paraId="1122F376" w14:textId="77777777">
      <w:r>
        <w:t>FTA issues periodic requests to transit agencies and States. This may include Safety Advisories, Safety Directives, or other requests for information about compliance with the PTASP regulation that require information collection from transit agencies and States. In addition, FTA encourages transit agencies and States to voluntarily report safety concerns to FTA. It is estimated that Large Bus 5307 and Rail will assume 30% each (30,017 Large Bus and 30,017 Rail) of the periodic request due to the nature of their systems while Small 5307 and States will account for 20% each (Small 5307 20,011 and State 20,011) of the burden hours for a total of 100,056.</w:t>
      </w:r>
    </w:p>
    <w:p w:rsidR="001B7F55" w:rsidP="001B7F55" w14:paraId="04E2AA65" w14:textId="77777777">
      <w:pPr>
        <w:jc w:val="both"/>
        <w:rPr>
          <w:b/>
          <w:bCs/>
        </w:rPr>
      </w:pPr>
      <w:r w:rsidRPr="3CCE8EB5">
        <w:rPr>
          <w:b/>
          <w:bCs/>
        </w:rPr>
        <w:t xml:space="preserve"> </w:t>
      </w:r>
    </w:p>
    <w:tbl>
      <w:tblPr>
        <w:tblW w:w="0" w:type="auto"/>
        <w:tblLayout w:type="fixed"/>
        <w:tblLook w:val="04A0"/>
      </w:tblPr>
      <w:tblGrid>
        <w:gridCol w:w="1980"/>
        <w:gridCol w:w="1395"/>
        <w:gridCol w:w="900"/>
        <w:gridCol w:w="1800"/>
        <w:gridCol w:w="1740"/>
      </w:tblGrid>
      <w:tr w14:paraId="25679401" w14:textId="77777777" w:rsidTr="00B97EAF">
        <w:tblPrEx>
          <w:tblW w:w="0" w:type="auto"/>
          <w:tblLayout w:type="fixed"/>
          <w:tblLook w:val="04A0"/>
        </w:tblPrEx>
        <w:trPr>
          <w:trHeight w:val="42"/>
        </w:trPr>
        <w:tc>
          <w:tcPr>
            <w:tcW w:w="1980" w:type="dxa"/>
            <w:tcBorders>
              <w:top w:val="single" w:sz="6" w:space="0" w:color="auto"/>
              <w:left w:val="single" w:sz="6" w:space="0" w:color="auto"/>
              <w:bottom w:val="single" w:sz="6" w:space="0" w:color="auto"/>
              <w:right w:val="nil"/>
            </w:tcBorders>
            <w:shd w:val="clear" w:color="auto" w:fill="FFFFFF" w:themeFill="background1"/>
            <w:vAlign w:val="bottom"/>
          </w:tcPr>
          <w:p w:rsidR="001B7F55" w:rsidRPr="00B97EAF" w14:paraId="06AFA4D5" w14:textId="77777777">
            <w:pPr>
              <w:jc w:val="both"/>
              <w:rPr>
                <w:rFonts w:eastAsia="Calibri"/>
                <w:color w:val="000000" w:themeColor="text1"/>
                <w:sz w:val="20"/>
                <w:szCs w:val="20"/>
              </w:rPr>
            </w:pPr>
            <w:r w:rsidRPr="00B97EAF">
              <w:rPr>
                <w:rFonts w:eastAsia="Calibri"/>
                <w:color w:val="000000" w:themeColor="text1"/>
                <w:sz w:val="20"/>
                <w:szCs w:val="20"/>
              </w:rPr>
              <w:t xml:space="preserve"> </w:t>
            </w:r>
          </w:p>
        </w:tc>
        <w:tc>
          <w:tcPr>
            <w:tcW w:w="1395" w:type="dxa"/>
            <w:tcBorders>
              <w:top w:val="single" w:sz="6" w:space="0" w:color="auto"/>
              <w:left w:val="nil"/>
              <w:bottom w:val="single" w:sz="6" w:space="0" w:color="auto"/>
              <w:right w:val="nil"/>
            </w:tcBorders>
            <w:shd w:val="clear" w:color="auto" w:fill="FFFFFF" w:themeFill="background1"/>
            <w:vAlign w:val="bottom"/>
          </w:tcPr>
          <w:p w:rsidR="001B7F55" w:rsidRPr="00B97EAF" w14:paraId="1B534570" w14:textId="77777777">
            <w:pPr>
              <w:jc w:val="both"/>
              <w:rPr>
                <w:rFonts w:eastAsia="Calibri"/>
                <w:color w:val="000000" w:themeColor="text1"/>
                <w:sz w:val="20"/>
                <w:szCs w:val="20"/>
              </w:rPr>
            </w:pPr>
            <w:r w:rsidRPr="00B97EAF">
              <w:rPr>
                <w:rFonts w:eastAsia="Calibri"/>
                <w:b/>
                <w:bCs/>
                <w:color w:val="000000" w:themeColor="text1"/>
                <w:sz w:val="20"/>
                <w:szCs w:val="20"/>
              </w:rPr>
              <w:t>Quantity</w:t>
            </w:r>
          </w:p>
        </w:tc>
        <w:tc>
          <w:tcPr>
            <w:tcW w:w="900" w:type="dxa"/>
            <w:tcBorders>
              <w:top w:val="single" w:sz="6" w:space="0" w:color="auto"/>
              <w:left w:val="nil"/>
              <w:bottom w:val="single" w:sz="6" w:space="0" w:color="auto"/>
              <w:right w:val="nil"/>
            </w:tcBorders>
            <w:shd w:val="clear" w:color="auto" w:fill="FFFFFF" w:themeFill="background1"/>
            <w:vAlign w:val="bottom"/>
          </w:tcPr>
          <w:p w:rsidR="001B7F55" w:rsidRPr="00B97EAF" w14:paraId="649BAD28" w14:textId="77777777">
            <w:pPr>
              <w:jc w:val="both"/>
              <w:rPr>
                <w:rFonts w:eastAsia="Calibri"/>
                <w:color w:val="000000" w:themeColor="text1"/>
                <w:sz w:val="20"/>
                <w:szCs w:val="20"/>
              </w:rPr>
            </w:pPr>
            <w:r w:rsidRPr="00B97EAF">
              <w:rPr>
                <w:rFonts w:eastAsia="Calibri"/>
                <w:b/>
                <w:bCs/>
                <w:color w:val="000000" w:themeColor="text1"/>
                <w:sz w:val="20"/>
                <w:szCs w:val="20"/>
              </w:rPr>
              <w:t>Hours</w:t>
            </w:r>
          </w:p>
        </w:tc>
        <w:tc>
          <w:tcPr>
            <w:tcW w:w="1800" w:type="dxa"/>
            <w:tcBorders>
              <w:top w:val="single" w:sz="6" w:space="0" w:color="auto"/>
              <w:left w:val="nil"/>
              <w:bottom w:val="single" w:sz="6" w:space="0" w:color="auto"/>
              <w:right w:val="single" w:sz="6" w:space="0" w:color="auto"/>
            </w:tcBorders>
            <w:shd w:val="clear" w:color="auto" w:fill="FFFFFF" w:themeFill="background1"/>
            <w:vAlign w:val="bottom"/>
          </w:tcPr>
          <w:p w:rsidR="001B7F55" w:rsidRPr="00B97EAF" w14:paraId="434EBEB5" w14:textId="77777777">
            <w:pPr>
              <w:jc w:val="both"/>
              <w:rPr>
                <w:rFonts w:eastAsia="Calibri"/>
                <w:color w:val="000000" w:themeColor="text1"/>
                <w:sz w:val="20"/>
                <w:szCs w:val="20"/>
              </w:rPr>
            </w:pPr>
            <w:r w:rsidRPr="00B97EAF">
              <w:rPr>
                <w:rFonts w:eastAsia="Calibri"/>
                <w:b/>
                <w:bCs/>
                <w:color w:val="000000" w:themeColor="text1"/>
                <w:sz w:val="20"/>
                <w:szCs w:val="20"/>
              </w:rPr>
              <w:t>Respondents</w:t>
            </w:r>
          </w:p>
        </w:tc>
        <w:tc>
          <w:tcPr>
            <w:tcW w:w="1740"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1B7F55" w:rsidRPr="00B97EAF" w14:paraId="3EF7042A" w14:textId="77777777">
            <w:pPr>
              <w:jc w:val="both"/>
              <w:rPr>
                <w:rFonts w:eastAsia="Calibri"/>
                <w:color w:val="000000" w:themeColor="text1"/>
                <w:sz w:val="20"/>
                <w:szCs w:val="20"/>
              </w:rPr>
            </w:pPr>
            <w:r w:rsidRPr="00B97EAF">
              <w:rPr>
                <w:rFonts w:eastAsia="Calibri"/>
                <w:b/>
                <w:bCs/>
                <w:color w:val="000000" w:themeColor="text1"/>
                <w:sz w:val="20"/>
                <w:szCs w:val="20"/>
              </w:rPr>
              <w:t>Total</w:t>
            </w:r>
          </w:p>
        </w:tc>
      </w:tr>
      <w:tr w14:paraId="43D2210E" w14:textId="77777777" w:rsidTr="00B97EAF">
        <w:tblPrEx>
          <w:tblW w:w="0" w:type="auto"/>
          <w:tblLayout w:type="fixed"/>
          <w:tblLook w:val="04A0"/>
        </w:tblPrEx>
        <w:trPr>
          <w:trHeight w:val="42"/>
        </w:trPr>
        <w:tc>
          <w:tcPr>
            <w:tcW w:w="1980" w:type="dxa"/>
            <w:tcBorders>
              <w:top w:val="single" w:sz="6" w:space="0" w:color="auto"/>
              <w:left w:val="single" w:sz="6" w:space="0" w:color="auto"/>
              <w:bottom w:val="single" w:sz="6" w:space="0" w:color="auto"/>
              <w:right w:val="nil"/>
            </w:tcBorders>
            <w:shd w:val="clear" w:color="auto" w:fill="FFFFFF" w:themeFill="background1"/>
            <w:vAlign w:val="bottom"/>
          </w:tcPr>
          <w:p w:rsidR="001B7F55" w:rsidRPr="00B97EAF" w:rsidP="00B97EAF" w14:paraId="11A5AE8D" w14:textId="77777777">
            <w:pPr>
              <w:rPr>
                <w:rFonts w:eastAsia="Calibri"/>
                <w:color w:val="000000" w:themeColor="text1"/>
                <w:sz w:val="20"/>
                <w:szCs w:val="20"/>
              </w:rPr>
            </w:pPr>
            <w:r w:rsidRPr="00B97EAF">
              <w:rPr>
                <w:rFonts w:eastAsia="Calibri"/>
                <w:color w:val="000000" w:themeColor="text1"/>
                <w:sz w:val="20"/>
                <w:szCs w:val="20"/>
              </w:rPr>
              <w:t>Safety Advisories/ Directives</w:t>
            </w:r>
          </w:p>
        </w:tc>
        <w:tc>
          <w:tcPr>
            <w:tcW w:w="1395" w:type="dxa"/>
            <w:tcBorders>
              <w:top w:val="single" w:sz="6" w:space="0" w:color="auto"/>
              <w:left w:val="nil"/>
              <w:bottom w:val="single" w:sz="6" w:space="0" w:color="auto"/>
              <w:right w:val="nil"/>
            </w:tcBorders>
            <w:shd w:val="clear" w:color="auto" w:fill="FFFFFF" w:themeFill="background1"/>
            <w:vAlign w:val="center"/>
          </w:tcPr>
          <w:p w:rsidR="001B7F55" w:rsidRPr="00B97EAF" w14:paraId="1C2615F1" w14:textId="77777777">
            <w:pPr>
              <w:jc w:val="both"/>
              <w:rPr>
                <w:rFonts w:eastAsia="Calibri"/>
                <w:color w:val="000000" w:themeColor="text1"/>
                <w:sz w:val="20"/>
                <w:szCs w:val="20"/>
              </w:rPr>
            </w:pPr>
            <w:r w:rsidRPr="00B97EAF">
              <w:rPr>
                <w:rFonts w:eastAsia="Calibri"/>
                <w:color w:val="000000" w:themeColor="text1"/>
                <w:sz w:val="20"/>
                <w:szCs w:val="20"/>
              </w:rPr>
              <w:t>4</w:t>
            </w:r>
          </w:p>
        </w:tc>
        <w:tc>
          <w:tcPr>
            <w:tcW w:w="900" w:type="dxa"/>
            <w:tcBorders>
              <w:top w:val="single" w:sz="6" w:space="0" w:color="auto"/>
              <w:left w:val="nil"/>
              <w:bottom w:val="single" w:sz="6" w:space="0" w:color="auto"/>
              <w:right w:val="nil"/>
            </w:tcBorders>
            <w:shd w:val="clear" w:color="auto" w:fill="FFFFFF" w:themeFill="background1"/>
            <w:vAlign w:val="center"/>
          </w:tcPr>
          <w:p w:rsidR="001B7F55" w:rsidRPr="00B97EAF" w14:paraId="7C24734C" w14:textId="77777777">
            <w:pPr>
              <w:jc w:val="both"/>
              <w:rPr>
                <w:rFonts w:eastAsia="Calibri"/>
                <w:color w:val="000000" w:themeColor="text1"/>
                <w:sz w:val="20"/>
                <w:szCs w:val="20"/>
              </w:rPr>
            </w:pPr>
            <w:r w:rsidRPr="00B97EAF">
              <w:rPr>
                <w:rFonts w:eastAsia="Calibri"/>
                <w:color w:val="000000" w:themeColor="text1"/>
                <w:sz w:val="20"/>
                <w:szCs w:val="20"/>
              </w:rPr>
              <w:t>20</w:t>
            </w:r>
          </w:p>
        </w:tc>
        <w:tc>
          <w:tcPr>
            <w:tcW w:w="1800" w:type="dxa"/>
            <w:tcBorders>
              <w:top w:val="single" w:sz="6" w:space="0" w:color="auto"/>
              <w:left w:val="nil"/>
              <w:bottom w:val="single" w:sz="6" w:space="0" w:color="auto"/>
              <w:right w:val="single" w:sz="6" w:space="0" w:color="auto"/>
            </w:tcBorders>
            <w:shd w:val="clear" w:color="auto" w:fill="FFFFFF" w:themeFill="background1"/>
            <w:vAlign w:val="center"/>
          </w:tcPr>
          <w:p w:rsidR="001B7F55" w:rsidRPr="00B97EAF" w14:paraId="1D682605" w14:textId="77777777">
            <w:pPr>
              <w:jc w:val="both"/>
              <w:rPr>
                <w:rFonts w:eastAsia="Calibri"/>
                <w:color w:val="000000" w:themeColor="text1"/>
                <w:sz w:val="20"/>
                <w:szCs w:val="20"/>
              </w:rPr>
            </w:pPr>
            <w:r w:rsidRPr="00B97EAF">
              <w:rPr>
                <w:rFonts w:eastAsia="Calibri"/>
                <w:color w:val="000000" w:themeColor="text1"/>
                <w:sz w:val="20"/>
                <w:szCs w:val="20"/>
              </w:rPr>
              <w:t>758</w:t>
            </w:r>
          </w:p>
        </w:tc>
        <w:tc>
          <w:tcPr>
            <w:tcW w:w="17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B7F55" w:rsidRPr="00B97EAF" w14:paraId="3F874796" w14:textId="77777777">
            <w:pPr>
              <w:jc w:val="both"/>
              <w:rPr>
                <w:rFonts w:eastAsia="Calibri"/>
                <w:color w:val="000000" w:themeColor="text1"/>
                <w:sz w:val="20"/>
                <w:szCs w:val="20"/>
              </w:rPr>
            </w:pPr>
            <w:r w:rsidRPr="00B97EAF">
              <w:rPr>
                <w:rFonts w:eastAsia="Calibri"/>
                <w:color w:val="000000" w:themeColor="text1"/>
                <w:sz w:val="20"/>
                <w:szCs w:val="20"/>
              </w:rPr>
              <w:t xml:space="preserve">60,640 </w:t>
            </w:r>
          </w:p>
        </w:tc>
      </w:tr>
      <w:tr w14:paraId="16D92AD8" w14:textId="77777777" w:rsidTr="00B97EAF">
        <w:tblPrEx>
          <w:tblW w:w="0" w:type="auto"/>
          <w:tblLayout w:type="fixed"/>
          <w:tblLook w:val="04A0"/>
        </w:tblPrEx>
        <w:trPr>
          <w:trHeight w:val="42"/>
        </w:trPr>
        <w:tc>
          <w:tcPr>
            <w:tcW w:w="1980" w:type="dxa"/>
            <w:tcBorders>
              <w:top w:val="single" w:sz="6" w:space="0" w:color="auto"/>
              <w:left w:val="single" w:sz="6" w:space="0" w:color="auto"/>
              <w:bottom w:val="single" w:sz="6" w:space="0" w:color="auto"/>
              <w:right w:val="nil"/>
            </w:tcBorders>
            <w:shd w:val="clear" w:color="auto" w:fill="FFFFFF" w:themeFill="background1"/>
            <w:vAlign w:val="bottom"/>
          </w:tcPr>
          <w:p w:rsidR="001B7F55" w:rsidRPr="00B97EAF" w14:paraId="6F4AEE93" w14:textId="77777777">
            <w:pPr>
              <w:jc w:val="both"/>
              <w:rPr>
                <w:sz w:val="20"/>
                <w:szCs w:val="20"/>
              </w:rPr>
            </w:pPr>
            <w:r w:rsidRPr="00B97EAF">
              <w:rPr>
                <w:rFonts w:eastAsia="Calibri"/>
                <w:color w:val="000000" w:themeColor="text1"/>
                <w:sz w:val="20"/>
                <w:szCs w:val="20"/>
              </w:rPr>
              <w:t>Other</w:t>
            </w:r>
          </w:p>
        </w:tc>
        <w:tc>
          <w:tcPr>
            <w:tcW w:w="1395" w:type="dxa"/>
            <w:tcBorders>
              <w:top w:val="single" w:sz="6" w:space="0" w:color="auto"/>
              <w:left w:val="nil"/>
              <w:bottom w:val="single" w:sz="6" w:space="0" w:color="auto"/>
              <w:right w:val="nil"/>
            </w:tcBorders>
            <w:shd w:val="clear" w:color="auto" w:fill="FFFFFF" w:themeFill="background1"/>
            <w:vAlign w:val="center"/>
          </w:tcPr>
          <w:p w:rsidR="001B7F55" w:rsidRPr="00B97EAF" w14:paraId="28AF6B19" w14:textId="77777777">
            <w:pPr>
              <w:jc w:val="both"/>
              <w:rPr>
                <w:sz w:val="20"/>
                <w:szCs w:val="20"/>
              </w:rPr>
            </w:pPr>
            <w:r w:rsidRPr="00B97EAF">
              <w:rPr>
                <w:rFonts w:eastAsia="Calibri"/>
                <w:color w:val="000000" w:themeColor="text1"/>
                <w:sz w:val="20"/>
                <w:szCs w:val="20"/>
              </w:rPr>
              <w:t>5</w:t>
            </w:r>
          </w:p>
        </w:tc>
        <w:tc>
          <w:tcPr>
            <w:tcW w:w="900" w:type="dxa"/>
            <w:tcBorders>
              <w:top w:val="single" w:sz="6" w:space="0" w:color="auto"/>
              <w:left w:val="nil"/>
              <w:bottom w:val="single" w:sz="6" w:space="0" w:color="auto"/>
              <w:right w:val="nil"/>
            </w:tcBorders>
            <w:shd w:val="clear" w:color="auto" w:fill="FFFFFF" w:themeFill="background1"/>
            <w:vAlign w:val="center"/>
          </w:tcPr>
          <w:p w:rsidR="001B7F55" w:rsidRPr="00B97EAF" w14:paraId="6CAC74EC" w14:textId="77777777">
            <w:pPr>
              <w:jc w:val="both"/>
              <w:rPr>
                <w:rFonts w:eastAsia="Calibri"/>
                <w:color w:val="000000" w:themeColor="text1"/>
                <w:sz w:val="20"/>
                <w:szCs w:val="20"/>
              </w:rPr>
            </w:pPr>
            <w:r w:rsidRPr="00B97EAF">
              <w:rPr>
                <w:rFonts w:eastAsia="Calibri"/>
                <w:color w:val="000000" w:themeColor="text1"/>
                <w:sz w:val="20"/>
                <w:szCs w:val="20"/>
              </w:rPr>
              <w:t>10</w:t>
            </w:r>
          </w:p>
        </w:tc>
        <w:tc>
          <w:tcPr>
            <w:tcW w:w="1800" w:type="dxa"/>
            <w:tcBorders>
              <w:top w:val="single" w:sz="6" w:space="0" w:color="auto"/>
              <w:left w:val="nil"/>
              <w:bottom w:val="single" w:sz="6" w:space="0" w:color="auto"/>
              <w:right w:val="single" w:sz="6" w:space="0" w:color="auto"/>
            </w:tcBorders>
            <w:shd w:val="clear" w:color="auto" w:fill="FFFFFF" w:themeFill="background1"/>
            <w:vAlign w:val="center"/>
          </w:tcPr>
          <w:p w:rsidR="001B7F55" w:rsidRPr="00B97EAF" w14:paraId="2F0E6F95" w14:textId="77777777">
            <w:pPr>
              <w:jc w:val="both"/>
              <w:rPr>
                <w:rFonts w:eastAsia="Calibri"/>
                <w:color w:val="000000" w:themeColor="text1"/>
                <w:sz w:val="20"/>
                <w:szCs w:val="20"/>
              </w:rPr>
            </w:pPr>
            <w:r w:rsidRPr="00B97EAF">
              <w:rPr>
                <w:rFonts w:eastAsia="Calibri"/>
                <w:color w:val="000000" w:themeColor="text1"/>
                <w:sz w:val="20"/>
                <w:szCs w:val="20"/>
              </w:rPr>
              <w:t>758</w:t>
            </w:r>
          </w:p>
        </w:tc>
        <w:tc>
          <w:tcPr>
            <w:tcW w:w="17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B7F55" w:rsidRPr="00B97EAF" w14:paraId="57DB65B1" w14:textId="77777777">
            <w:pPr>
              <w:jc w:val="both"/>
              <w:rPr>
                <w:sz w:val="20"/>
                <w:szCs w:val="20"/>
              </w:rPr>
            </w:pPr>
            <w:r w:rsidRPr="00B97EAF">
              <w:rPr>
                <w:rFonts w:eastAsia="Calibri"/>
                <w:color w:val="000000" w:themeColor="text1"/>
                <w:sz w:val="20"/>
                <w:szCs w:val="20"/>
              </w:rPr>
              <w:t>37,900</w:t>
            </w:r>
          </w:p>
        </w:tc>
      </w:tr>
      <w:tr w14:paraId="457469BD" w14:textId="77777777" w:rsidTr="00B97EAF">
        <w:tblPrEx>
          <w:tblW w:w="0" w:type="auto"/>
          <w:tblLayout w:type="fixed"/>
          <w:tblLook w:val="04A0"/>
        </w:tblPrEx>
        <w:trPr>
          <w:trHeight w:val="42"/>
        </w:trPr>
        <w:tc>
          <w:tcPr>
            <w:tcW w:w="1980" w:type="dxa"/>
            <w:tcBorders>
              <w:top w:val="single" w:sz="6" w:space="0" w:color="auto"/>
              <w:left w:val="single" w:sz="6" w:space="0" w:color="auto"/>
              <w:bottom w:val="single" w:sz="6" w:space="0" w:color="auto"/>
              <w:right w:val="nil"/>
            </w:tcBorders>
            <w:shd w:val="clear" w:color="auto" w:fill="FFFFFF" w:themeFill="background1"/>
            <w:vAlign w:val="bottom"/>
          </w:tcPr>
          <w:p w:rsidR="001B7F55" w:rsidRPr="00B97EAF" w14:paraId="244D5765" w14:textId="77777777">
            <w:pPr>
              <w:jc w:val="both"/>
              <w:rPr>
                <w:rFonts w:eastAsia="Calibri"/>
                <w:color w:val="000000" w:themeColor="text1"/>
                <w:sz w:val="20"/>
                <w:szCs w:val="20"/>
              </w:rPr>
            </w:pPr>
            <w:r w:rsidRPr="00B97EAF">
              <w:rPr>
                <w:rFonts w:eastAsia="Calibri"/>
                <w:color w:val="000000" w:themeColor="text1"/>
                <w:sz w:val="20"/>
                <w:szCs w:val="20"/>
              </w:rPr>
              <w:t>Voluntary reporting</w:t>
            </w:r>
          </w:p>
        </w:tc>
        <w:tc>
          <w:tcPr>
            <w:tcW w:w="1395" w:type="dxa"/>
            <w:tcBorders>
              <w:top w:val="single" w:sz="6" w:space="0" w:color="auto"/>
              <w:left w:val="nil"/>
              <w:bottom w:val="single" w:sz="6" w:space="0" w:color="auto"/>
              <w:right w:val="nil"/>
            </w:tcBorders>
            <w:shd w:val="clear" w:color="auto" w:fill="FFFFFF" w:themeFill="background1"/>
            <w:vAlign w:val="center"/>
          </w:tcPr>
          <w:p w:rsidR="001B7F55" w:rsidRPr="00B97EAF" w14:paraId="461E76A3" w14:textId="77777777">
            <w:pPr>
              <w:jc w:val="both"/>
              <w:rPr>
                <w:rFonts w:eastAsia="Calibri"/>
                <w:color w:val="000000" w:themeColor="text1"/>
                <w:sz w:val="20"/>
                <w:szCs w:val="20"/>
              </w:rPr>
            </w:pPr>
            <w:r w:rsidRPr="00B97EAF">
              <w:rPr>
                <w:rFonts w:eastAsia="Calibri"/>
                <w:color w:val="000000" w:themeColor="text1"/>
                <w:sz w:val="20"/>
                <w:szCs w:val="20"/>
              </w:rPr>
              <w:t>2</w:t>
            </w:r>
          </w:p>
        </w:tc>
        <w:tc>
          <w:tcPr>
            <w:tcW w:w="900" w:type="dxa"/>
            <w:tcBorders>
              <w:top w:val="single" w:sz="6" w:space="0" w:color="auto"/>
              <w:left w:val="nil"/>
              <w:bottom w:val="single" w:sz="6" w:space="0" w:color="auto"/>
              <w:right w:val="nil"/>
            </w:tcBorders>
            <w:shd w:val="clear" w:color="auto" w:fill="FFFFFF" w:themeFill="background1"/>
            <w:vAlign w:val="center"/>
          </w:tcPr>
          <w:p w:rsidR="001B7F55" w:rsidRPr="00B97EAF" w14:paraId="19BA26DB" w14:textId="77777777">
            <w:pPr>
              <w:jc w:val="both"/>
              <w:rPr>
                <w:rFonts w:eastAsia="Calibri"/>
                <w:color w:val="000000" w:themeColor="text1"/>
                <w:sz w:val="20"/>
                <w:szCs w:val="20"/>
              </w:rPr>
            </w:pPr>
            <w:r w:rsidRPr="00B97EAF">
              <w:rPr>
                <w:rFonts w:eastAsia="Calibri"/>
                <w:color w:val="000000" w:themeColor="text1"/>
                <w:sz w:val="20"/>
                <w:szCs w:val="20"/>
              </w:rPr>
              <w:t>1</w:t>
            </w:r>
          </w:p>
        </w:tc>
        <w:tc>
          <w:tcPr>
            <w:tcW w:w="1800" w:type="dxa"/>
            <w:tcBorders>
              <w:top w:val="single" w:sz="6" w:space="0" w:color="auto"/>
              <w:left w:val="nil"/>
              <w:bottom w:val="single" w:sz="6" w:space="0" w:color="auto"/>
              <w:right w:val="single" w:sz="6" w:space="0" w:color="auto"/>
            </w:tcBorders>
            <w:shd w:val="clear" w:color="auto" w:fill="FFFFFF" w:themeFill="background1"/>
            <w:vAlign w:val="center"/>
          </w:tcPr>
          <w:p w:rsidR="001B7F55" w:rsidRPr="00B97EAF" w14:paraId="157158A8" w14:textId="77777777">
            <w:pPr>
              <w:jc w:val="both"/>
              <w:rPr>
                <w:rFonts w:eastAsia="Calibri"/>
                <w:color w:val="000000" w:themeColor="text1"/>
                <w:sz w:val="20"/>
                <w:szCs w:val="20"/>
              </w:rPr>
            </w:pPr>
            <w:r w:rsidRPr="00B97EAF">
              <w:rPr>
                <w:rFonts w:eastAsia="Calibri"/>
                <w:color w:val="000000" w:themeColor="text1"/>
                <w:sz w:val="20"/>
                <w:szCs w:val="20"/>
              </w:rPr>
              <w:t>758</w:t>
            </w:r>
          </w:p>
        </w:tc>
        <w:tc>
          <w:tcPr>
            <w:tcW w:w="17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B7F55" w:rsidRPr="00B97EAF" w14:paraId="3862E83E" w14:textId="77777777">
            <w:pPr>
              <w:jc w:val="both"/>
              <w:rPr>
                <w:rFonts w:eastAsia="Calibri"/>
                <w:color w:val="000000" w:themeColor="text1"/>
                <w:sz w:val="20"/>
                <w:szCs w:val="20"/>
              </w:rPr>
            </w:pPr>
            <w:r w:rsidRPr="00B97EAF">
              <w:rPr>
                <w:rFonts w:eastAsia="Calibri"/>
                <w:color w:val="000000" w:themeColor="text1"/>
                <w:sz w:val="20"/>
                <w:szCs w:val="20"/>
              </w:rPr>
              <w:t xml:space="preserve">1,516 </w:t>
            </w:r>
          </w:p>
        </w:tc>
      </w:tr>
      <w:tr w14:paraId="20B7E7ED" w14:textId="77777777" w:rsidTr="00B97EAF">
        <w:tblPrEx>
          <w:tblW w:w="0" w:type="auto"/>
          <w:tblLayout w:type="fixed"/>
          <w:tblLook w:val="04A0"/>
        </w:tblPrEx>
        <w:trPr>
          <w:trHeight w:val="42"/>
        </w:trPr>
        <w:tc>
          <w:tcPr>
            <w:tcW w:w="1980" w:type="dxa"/>
            <w:tcBorders>
              <w:top w:val="single" w:sz="6" w:space="0" w:color="auto"/>
              <w:left w:val="nil"/>
              <w:bottom w:val="nil"/>
              <w:right w:val="nil"/>
            </w:tcBorders>
            <w:shd w:val="clear" w:color="auto" w:fill="FFFFFF" w:themeFill="background1"/>
            <w:vAlign w:val="bottom"/>
          </w:tcPr>
          <w:p w:rsidR="001B7F55" w:rsidRPr="00B97EAF" w14:paraId="1E0961FC" w14:textId="77777777">
            <w:pPr>
              <w:jc w:val="both"/>
              <w:rPr>
                <w:rFonts w:eastAsia="Calibri"/>
                <w:color w:val="000000" w:themeColor="text1"/>
                <w:sz w:val="20"/>
                <w:szCs w:val="20"/>
              </w:rPr>
            </w:pPr>
            <w:r w:rsidRPr="00B97EAF">
              <w:rPr>
                <w:rFonts w:eastAsia="Calibri"/>
                <w:color w:val="000000" w:themeColor="text1"/>
                <w:sz w:val="20"/>
                <w:szCs w:val="20"/>
              </w:rPr>
              <w:t xml:space="preserve"> </w:t>
            </w:r>
          </w:p>
        </w:tc>
        <w:tc>
          <w:tcPr>
            <w:tcW w:w="1395" w:type="dxa"/>
            <w:tcBorders>
              <w:top w:val="single" w:sz="6" w:space="0" w:color="auto"/>
              <w:left w:val="nil"/>
              <w:bottom w:val="nil"/>
              <w:right w:val="nil"/>
            </w:tcBorders>
            <w:shd w:val="clear" w:color="auto" w:fill="FFFFFF" w:themeFill="background1"/>
            <w:vAlign w:val="center"/>
          </w:tcPr>
          <w:p w:rsidR="001B7F55" w:rsidRPr="00B97EAF" w14:paraId="6900D0B8" w14:textId="77777777">
            <w:pPr>
              <w:jc w:val="both"/>
              <w:rPr>
                <w:rFonts w:eastAsia="Calibri"/>
                <w:color w:val="000000" w:themeColor="text1"/>
                <w:sz w:val="20"/>
                <w:szCs w:val="20"/>
              </w:rPr>
            </w:pPr>
            <w:r w:rsidRPr="00B97EAF">
              <w:rPr>
                <w:rFonts w:eastAsia="Calibri"/>
                <w:color w:val="000000" w:themeColor="text1"/>
                <w:sz w:val="20"/>
                <w:szCs w:val="20"/>
              </w:rPr>
              <w:t xml:space="preserve"> </w:t>
            </w:r>
          </w:p>
        </w:tc>
        <w:tc>
          <w:tcPr>
            <w:tcW w:w="900" w:type="dxa"/>
            <w:tcBorders>
              <w:top w:val="single" w:sz="6" w:space="0" w:color="auto"/>
              <w:left w:val="nil"/>
              <w:bottom w:val="nil"/>
              <w:right w:val="nil"/>
            </w:tcBorders>
            <w:shd w:val="clear" w:color="auto" w:fill="FFFFFF" w:themeFill="background1"/>
            <w:vAlign w:val="center"/>
          </w:tcPr>
          <w:p w:rsidR="001B7F55" w:rsidRPr="00B97EAF" w14:paraId="5F540A51" w14:textId="77777777">
            <w:pPr>
              <w:jc w:val="both"/>
              <w:rPr>
                <w:rFonts w:eastAsia="Calibri"/>
                <w:color w:val="000000" w:themeColor="text1"/>
                <w:sz w:val="20"/>
                <w:szCs w:val="20"/>
              </w:rPr>
            </w:pPr>
            <w:r w:rsidRPr="00B97EAF">
              <w:rPr>
                <w:rFonts w:eastAsia="Calibri"/>
                <w:color w:val="000000" w:themeColor="text1"/>
                <w:sz w:val="20"/>
                <w:szCs w:val="20"/>
              </w:rPr>
              <w:t xml:space="preserve"> </w:t>
            </w:r>
          </w:p>
        </w:tc>
        <w:tc>
          <w:tcPr>
            <w:tcW w:w="1800" w:type="dxa"/>
            <w:tcBorders>
              <w:top w:val="single" w:sz="6" w:space="0" w:color="auto"/>
              <w:left w:val="nil"/>
              <w:bottom w:val="nil"/>
              <w:right w:val="single" w:sz="6" w:space="0" w:color="auto"/>
            </w:tcBorders>
            <w:shd w:val="clear" w:color="auto" w:fill="FFFFFF" w:themeFill="background1"/>
            <w:vAlign w:val="center"/>
          </w:tcPr>
          <w:p w:rsidR="001B7F55" w:rsidRPr="00B97EAF" w14:paraId="361CBFB6" w14:textId="77777777">
            <w:pPr>
              <w:jc w:val="both"/>
              <w:rPr>
                <w:rFonts w:eastAsia="Calibri"/>
                <w:color w:val="000000" w:themeColor="text1"/>
                <w:sz w:val="20"/>
                <w:szCs w:val="20"/>
              </w:rPr>
            </w:pPr>
            <w:r w:rsidRPr="00B97EAF">
              <w:rPr>
                <w:rFonts w:eastAsia="Calibri"/>
                <w:b/>
                <w:bCs/>
                <w:color w:val="000000" w:themeColor="text1"/>
                <w:sz w:val="20"/>
                <w:szCs w:val="20"/>
              </w:rPr>
              <w:t xml:space="preserve"> </w:t>
            </w:r>
          </w:p>
        </w:tc>
        <w:tc>
          <w:tcPr>
            <w:tcW w:w="17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B7F55" w:rsidRPr="00B97EAF" w14:paraId="07F36D61" w14:textId="77777777">
            <w:pPr>
              <w:jc w:val="both"/>
              <w:rPr>
                <w:rFonts w:eastAsia="Calibri"/>
                <w:sz w:val="20"/>
                <w:szCs w:val="20"/>
              </w:rPr>
            </w:pPr>
            <w:r w:rsidRPr="00B97EAF">
              <w:rPr>
                <w:rFonts w:eastAsia="Calibri"/>
                <w:b/>
                <w:bCs/>
                <w:color w:val="000000" w:themeColor="text1"/>
                <w:sz w:val="20"/>
                <w:szCs w:val="20"/>
              </w:rPr>
              <w:t>100,056</w:t>
            </w:r>
          </w:p>
        </w:tc>
      </w:tr>
    </w:tbl>
    <w:p w:rsidR="001B7F55" w:rsidP="001B7F55" w14:paraId="7252F7FC" w14:textId="7E54F459">
      <w:r w:rsidRPr="7FC443FA">
        <w:rPr>
          <w:u w:val="single"/>
        </w:rPr>
        <w:t xml:space="preserve">Summary for Table </w:t>
      </w:r>
      <w:r w:rsidRPr="7FC443FA" w:rsidR="0084616D">
        <w:rPr>
          <w:u w:val="single"/>
        </w:rPr>
        <w:t>6</w:t>
      </w:r>
      <w:r w:rsidRPr="7FC443FA">
        <w:rPr>
          <w:u w:val="single"/>
        </w:rPr>
        <w:t>:</w:t>
      </w:r>
    </w:p>
    <w:p w:rsidR="001B7F55" w:rsidP="001B7F55" w14:paraId="74008172" w14:textId="77777777"/>
    <w:p w:rsidR="001B7F55" w:rsidP="001B7F55" w14:paraId="5272D8D7" w14:textId="77777777">
      <w:pPr>
        <w:rPr>
          <w:sz w:val="20"/>
          <w:szCs w:val="20"/>
        </w:rPr>
      </w:pPr>
      <w:r>
        <w:t>Safety Advisories/Directives burden hours are projected based on an average of four advisories or directives a year to transit agencies and States and two voluntary reports a year per transit agency and State.</w:t>
      </w:r>
    </w:p>
    <w:p w:rsidR="001B7F55" w:rsidP="001B7F55" w14:paraId="1AF595A3" w14:textId="77777777">
      <w:pPr>
        <w:pStyle w:val="ListParagraph"/>
        <w:ind w:left="0"/>
        <w:rPr>
          <w:color w:val="000000" w:themeColor="text1"/>
        </w:rPr>
      </w:pPr>
    </w:p>
    <w:p w:rsidR="001B7F55" w:rsidRPr="003F6DC4" w:rsidP="001B7F55" w14:paraId="5A7A4669" w14:textId="6B5D7E1E">
      <w:pPr>
        <w:pStyle w:val="ListParagraph"/>
        <w:ind w:left="0"/>
        <w:rPr>
          <w:b/>
          <w:bCs/>
          <w:color w:val="000000" w:themeColor="text1"/>
        </w:rPr>
      </w:pPr>
      <w:r w:rsidRPr="7FC443FA">
        <w:rPr>
          <w:b/>
          <w:bCs/>
          <w:color w:val="000000" w:themeColor="text1"/>
        </w:rPr>
        <w:t xml:space="preserve">Summary of the Total Estimated Annual Burden Hours (Table </w:t>
      </w:r>
      <w:r w:rsidRPr="7FC443FA" w:rsidR="0084616D">
        <w:rPr>
          <w:b/>
          <w:bCs/>
          <w:color w:val="000000" w:themeColor="text1"/>
        </w:rPr>
        <w:t>5</w:t>
      </w:r>
      <w:r w:rsidRPr="7FC443FA">
        <w:rPr>
          <w:b/>
          <w:bCs/>
          <w:color w:val="000000" w:themeColor="text1"/>
        </w:rPr>
        <w:t xml:space="preserve"> &amp; Table</w:t>
      </w:r>
      <w:r w:rsidRPr="7FC443FA" w:rsidR="0084616D">
        <w:rPr>
          <w:b/>
          <w:bCs/>
          <w:color w:val="000000" w:themeColor="text1"/>
        </w:rPr>
        <w:t xml:space="preserve"> 6</w:t>
      </w:r>
      <w:r w:rsidRPr="7FC443FA">
        <w:rPr>
          <w:b/>
          <w:bCs/>
          <w:color w:val="000000" w:themeColor="text1"/>
        </w:rPr>
        <w:t xml:space="preserve"> )</w:t>
      </w:r>
    </w:p>
    <w:p w:rsidR="001B7F55" w:rsidP="001B7F55" w14:paraId="3DB4DCF5" w14:textId="78790FFC">
      <w:pPr>
        <w:pStyle w:val="ListParagraph"/>
        <w:ind w:left="0"/>
        <w:rPr>
          <w:color w:val="000000" w:themeColor="text1"/>
        </w:rPr>
      </w:pPr>
    </w:p>
    <w:tbl>
      <w:tblPr>
        <w:tblStyle w:val="TableGrid"/>
        <w:tblW w:w="0" w:type="auto"/>
        <w:tblLook w:val="04A0"/>
      </w:tblPr>
      <w:tblGrid>
        <w:gridCol w:w="2337"/>
        <w:gridCol w:w="2518"/>
        <w:gridCol w:w="2338"/>
        <w:gridCol w:w="1803"/>
      </w:tblGrid>
      <w:tr w14:paraId="2A9B9DF4" w14:textId="77777777" w:rsidTr="00B97EAF">
        <w:tblPrEx>
          <w:tblW w:w="0" w:type="auto"/>
          <w:tblLook w:val="04A0"/>
        </w:tblPrEx>
        <w:tc>
          <w:tcPr>
            <w:tcW w:w="2337" w:type="dxa"/>
          </w:tcPr>
          <w:p w:rsidR="001B7F55" w:rsidRPr="00B97EAF" w14:paraId="5E8D88D4" w14:textId="77777777">
            <w:pPr>
              <w:pStyle w:val="ListParagraph"/>
              <w:ind w:left="0"/>
              <w:rPr>
                <w:color w:val="000000" w:themeColor="text1"/>
                <w:sz w:val="20"/>
                <w:szCs w:val="20"/>
              </w:rPr>
            </w:pPr>
            <w:r w:rsidRPr="00B97EAF">
              <w:rPr>
                <w:color w:val="000000" w:themeColor="text1"/>
                <w:sz w:val="20"/>
                <w:szCs w:val="20"/>
              </w:rPr>
              <w:t>Respondent Category</w:t>
            </w:r>
          </w:p>
        </w:tc>
        <w:tc>
          <w:tcPr>
            <w:tcW w:w="2518" w:type="dxa"/>
          </w:tcPr>
          <w:p w:rsidR="003F6DC4" w:rsidRPr="00B97EAF" w:rsidP="003F6DC4" w14:paraId="600A1FEE" w14:textId="77777777">
            <w:pPr>
              <w:pStyle w:val="ListParagraph"/>
              <w:ind w:left="0"/>
              <w:jc w:val="center"/>
              <w:rPr>
                <w:color w:val="000000" w:themeColor="text1"/>
                <w:sz w:val="20"/>
                <w:szCs w:val="20"/>
              </w:rPr>
            </w:pPr>
            <w:r w:rsidRPr="00B97EAF">
              <w:rPr>
                <w:color w:val="000000" w:themeColor="text1"/>
                <w:sz w:val="20"/>
                <w:szCs w:val="20"/>
              </w:rPr>
              <w:t xml:space="preserve">Est. Annual Burden Hours* </w:t>
            </w:r>
          </w:p>
          <w:p w:rsidR="001B7F55" w:rsidRPr="00B97EAF" w:rsidP="7FC443FA" w14:paraId="76C72772" w14:textId="2E2F1A21">
            <w:pPr>
              <w:pStyle w:val="ListParagraph"/>
              <w:ind w:left="0"/>
              <w:jc w:val="center"/>
              <w:rPr>
                <w:color w:val="000000" w:themeColor="text1"/>
                <w:sz w:val="18"/>
                <w:szCs w:val="18"/>
              </w:rPr>
            </w:pPr>
            <w:r w:rsidRPr="00B97EAF">
              <w:rPr>
                <w:color w:val="000000" w:themeColor="text1"/>
                <w:sz w:val="18"/>
                <w:szCs w:val="18"/>
              </w:rPr>
              <w:t>(Development, Implementation, Certification and Record Keeping)</w:t>
            </w:r>
          </w:p>
        </w:tc>
        <w:tc>
          <w:tcPr>
            <w:tcW w:w="2338" w:type="dxa"/>
          </w:tcPr>
          <w:p w:rsidR="003F6DC4" w:rsidRPr="00B97EAF" w:rsidP="003F6DC4" w14:paraId="32F191F4" w14:textId="77777777">
            <w:pPr>
              <w:pStyle w:val="ListParagraph"/>
              <w:ind w:left="0"/>
              <w:jc w:val="center"/>
              <w:rPr>
                <w:color w:val="000000" w:themeColor="text1"/>
                <w:sz w:val="20"/>
                <w:szCs w:val="20"/>
              </w:rPr>
            </w:pPr>
            <w:r w:rsidRPr="00B97EAF">
              <w:rPr>
                <w:color w:val="000000" w:themeColor="text1"/>
                <w:sz w:val="20"/>
                <w:szCs w:val="20"/>
              </w:rPr>
              <w:t xml:space="preserve">Est. Annual Burden Hours </w:t>
            </w:r>
          </w:p>
          <w:p w:rsidR="001B7F55" w:rsidRPr="00B97EAF" w:rsidP="7FC443FA" w14:paraId="514138F9" w14:textId="7F77D349">
            <w:pPr>
              <w:pStyle w:val="ListParagraph"/>
              <w:ind w:left="0"/>
              <w:jc w:val="center"/>
              <w:rPr>
                <w:color w:val="000000" w:themeColor="text1"/>
                <w:sz w:val="20"/>
                <w:szCs w:val="20"/>
              </w:rPr>
            </w:pPr>
            <w:r w:rsidRPr="00B97EAF">
              <w:rPr>
                <w:color w:val="000000" w:themeColor="text1"/>
                <w:sz w:val="20"/>
                <w:szCs w:val="20"/>
              </w:rPr>
              <w:t>(</w:t>
            </w:r>
            <w:r w:rsidRPr="00B97EAF">
              <w:rPr>
                <w:color w:val="000000" w:themeColor="text1"/>
                <w:sz w:val="20"/>
                <w:szCs w:val="20"/>
              </w:rPr>
              <w:t>Periodic Request</w:t>
            </w:r>
            <w:r w:rsidRPr="00B97EAF">
              <w:rPr>
                <w:color w:val="000000" w:themeColor="text1"/>
                <w:sz w:val="20"/>
                <w:szCs w:val="20"/>
              </w:rPr>
              <w:t>s)</w:t>
            </w:r>
          </w:p>
        </w:tc>
        <w:tc>
          <w:tcPr>
            <w:tcW w:w="1803" w:type="dxa"/>
          </w:tcPr>
          <w:p w:rsidR="001B7F55" w:rsidRPr="00B97EAF" w14:paraId="4E338C56" w14:textId="77777777">
            <w:pPr>
              <w:pStyle w:val="ListParagraph"/>
              <w:ind w:left="0"/>
              <w:rPr>
                <w:color w:val="000000" w:themeColor="text1"/>
                <w:sz w:val="20"/>
                <w:szCs w:val="20"/>
              </w:rPr>
            </w:pPr>
            <w:r w:rsidRPr="00B97EAF">
              <w:rPr>
                <w:color w:val="000000" w:themeColor="text1"/>
                <w:sz w:val="20"/>
                <w:szCs w:val="20"/>
              </w:rPr>
              <w:t>Total Est. Annual Burden Hours</w:t>
            </w:r>
          </w:p>
        </w:tc>
      </w:tr>
      <w:tr w14:paraId="5711165D" w14:textId="77777777" w:rsidTr="00B97EAF">
        <w:tblPrEx>
          <w:tblW w:w="0" w:type="auto"/>
          <w:tblLook w:val="04A0"/>
        </w:tblPrEx>
        <w:tc>
          <w:tcPr>
            <w:tcW w:w="2337" w:type="dxa"/>
          </w:tcPr>
          <w:p w:rsidR="001B7F55" w:rsidRPr="00B97EAF" w14:paraId="2F0763E5" w14:textId="77777777">
            <w:pPr>
              <w:pStyle w:val="ListParagraph"/>
              <w:ind w:left="0"/>
              <w:rPr>
                <w:color w:val="000000" w:themeColor="text1"/>
                <w:sz w:val="20"/>
                <w:szCs w:val="20"/>
              </w:rPr>
            </w:pPr>
            <w:r w:rsidRPr="00B97EAF">
              <w:rPr>
                <w:color w:val="000000" w:themeColor="text1"/>
                <w:sz w:val="20"/>
                <w:szCs w:val="20"/>
              </w:rPr>
              <w:t>Rail</w:t>
            </w:r>
          </w:p>
        </w:tc>
        <w:tc>
          <w:tcPr>
            <w:tcW w:w="2518" w:type="dxa"/>
          </w:tcPr>
          <w:p w:rsidR="001B7F55" w:rsidRPr="00B97EAF" w:rsidP="00B719D2" w14:paraId="49902241" w14:textId="28F0691B">
            <w:pPr>
              <w:pStyle w:val="ListParagraph"/>
              <w:ind w:left="0"/>
              <w:jc w:val="right"/>
              <w:rPr>
                <w:color w:val="000000" w:themeColor="text1"/>
                <w:sz w:val="20"/>
                <w:szCs w:val="20"/>
              </w:rPr>
            </w:pPr>
            <w:r w:rsidRPr="00B97EAF">
              <w:rPr>
                <w:color w:val="000000" w:themeColor="text1"/>
                <w:sz w:val="20"/>
                <w:szCs w:val="20"/>
              </w:rPr>
              <w:t>121,355</w:t>
            </w:r>
          </w:p>
        </w:tc>
        <w:tc>
          <w:tcPr>
            <w:tcW w:w="2338" w:type="dxa"/>
          </w:tcPr>
          <w:p w:rsidR="001B7F55" w:rsidRPr="00B97EAF" w:rsidP="00B719D2" w14:paraId="397EFE31" w14:textId="77777777">
            <w:pPr>
              <w:pStyle w:val="ListParagraph"/>
              <w:ind w:left="0"/>
              <w:jc w:val="right"/>
              <w:rPr>
                <w:color w:val="000000" w:themeColor="text1"/>
                <w:sz w:val="20"/>
                <w:szCs w:val="20"/>
              </w:rPr>
            </w:pPr>
            <w:r w:rsidRPr="00B97EAF">
              <w:rPr>
                <w:color w:val="000000" w:themeColor="text1"/>
                <w:sz w:val="20"/>
                <w:szCs w:val="20"/>
              </w:rPr>
              <w:t>30,017</w:t>
            </w:r>
          </w:p>
        </w:tc>
        <w:tc>
          <w:tcPr>
            <w:tcW w:w="1803" w:type="dxa"/>
          </w:tcPr>
          <w:p w:rsidR="001B7F55" w:rsidRPr="00B97EAF" w:rsidP="00B719D2" w14:paraId="57EA6AD3" w14:textId="1E68B244">
            <w:pPr>
              <w:pStyle w:val="ListParagraph"/>
              <w:ind w:left="0"/>
              <w:jc w:val="right"/>
              <w:rPr>
                <w:color w:val="000000" w:themeColor="text1"/>
                <w:sz w:val="20"/>
                <w:szCs w:val="20"/>
              </w:rPr>
            </w:pPr>
            <w:r w:rsidRPr="00B97EAF">
              <w:rPr>
                <w:color w:val="000000" w:themeColor="text1"/>
                <w:sz w:val="20"/>
                <w:szCs w:val="20"/>
              </w:rPr>
              <w:t>151,</w:t>
            </w:r>
            <w:r w:rsidRPr="00B97EAF" w:rsidR="007C7A16">
              <w:rPr>
                <w:color w:val="000000" w:themeColor="text1"/>
                <w:sz w:val="20"/>
                <w:szCs w:val="20"/>
              </w:rPr>
              <w:t>372</w:t>
            </w:r>
          </w:p>
        </w:tc>
      </w:tr>
      <w:tr w14:paraId="64459CEC" w14:textId="77777777" w:rsidTr="00B97EAF">
        <w:tblPrEx>
          <w:tblW w:w="0" w:type="auto"/>
          <w:tblLook w:val="04A0"/>
        </w:tblPrEx>
        <w:tc>
          <w:tcPr>
            <w:tcW w:w="2337" w:type="dxa"/>
          </w:tcPr>
          <w:p w:rsidR="001B7F55" w:rsidRPr="00B97EAF" w14:paraId="4593D556" w14:textId="77777777">
            <w:pPr>
              <w:pStyle w:val="ListParagraph"/>
              <w:ind w:left="0"/>
              <w:rPr>
                <w:color w:val="000000" w:themeColor="text1"/>
                <w:sz w:val="20"/>
                <w:szCs w:val="20"/>
              </w:rPr>
            </w:pPr>
            <w:r w:rsidRPr="00B97EAF">
              <w:rPr>
                <w:color w:val="000000" w:themeColor="text1"/>
                <w:sz w:val="20"/>
                <w:szCs w:val="20"/>
              </w:rPr>
              <w:t>Large Bus 5307</w:t>
            </w:r>
          </w:p>
        </w:tc>
        <w:tc>
          <w:tcPr>
            <w:tcW w:w="2518" w:type="dxa"/>
          </w:tcPr>
          <w:p w:rsidR="001B7F55" w:rsidRPr="00B97EAF" w:rsidP="00B719D2" w14:paraId="536C1F21" w14:textId="41699AD1">
            <w:pPr>
              <w:pStyle w:val="ListParagraph"/>
              <w:ind w:left="0"/>
              <w:jc w:val="right"/>
              <w:rPr>
                <w:color w:val="000000" w:themeColor="text1"/>
                <w:sz w:val="20"/>
                <w:szCs w:val="20"/>
              </w:rPr>
            </w:pPr>
            <w:r w:rsidRPr="00B97EAF">
              <w:rPr>
                <w:color w:val="000000" w:themeColor="text1"/>
                <w:sz w:val="20"/>
                <w:szCs w:val="20"/>
              </w:rPr>
              <w:t>86,934</w:t>
            </w:r>
          </w:p>
        </w:tc>
        <w:tc>
          <w:tcPr>
            <w:tcW w:w="2338" w:type="dxa"/>
          </w:tcPr>
          <w:p w:rsidR="001B7F55" w:rsidRPr="00B97EAF" w:rsidP="00B719D2" w14:paraId="75F31B7D" w14:textId="77777777">
            <w:pPr>
              <w:pStyle w:val="ListParagraph"/>
              <w:ind w:left="0"/>
              <w:jc w:val="right"/>
              <w:rPr>
                <w:color w:val="000000" w:themeColor="text1"/>
                <w:sz w:val="20"/>
                <w:szCs w:val="20"/>
              </w:rPr>
            </w:pPr>
            <w:r w:rsidRPr="00B97EAF">
              <w:rPr>
                <w:color w:val="000000" w:themeColor="text1"/>
                <w:sz w:val="20"/>
                <w:szCs w:val="20"/>
              </w:rPr>
              <w:t>30,017</w:t>
            </w:r>
          </w:p>
        </w:tc>
        <w:tc>
          <w:tcPr>
            <w:tcW w:w="1803" w:type="dxa"/>
          </w:tcPr>
          <w:p w:rsidR="001B7F55" w:rsidRPr="00B97EAF" w:rsidP="00B719D2" w14:paraId="0A7276D6" w14:textId="3D178337">
            <w:pPr>
              <w:pStyle w:val="ListParagraph"/>
              <w:ind w:left="0"/>
              <w:jc w:val="right"/>
              <w:rPr>
                <w:color w:val="000000" w:themeColor="text1"/>
                <w:sz w:val="20"/>
                <w:szCs w:val="20"/>
              </w:rPr>
            </w:pPr>
            <w:r w:rsidRPr="00B97EAF">
              <w:rPr>
                <w:color w:val="000000" w:themeColor="text1"/>
                <w:sz w:val="20"/>
                <w:szCs w:val="20"/>
              </w:rPr>
              <w:t>1</w:t>
            </w:r>
            <w:r w:rsidRPr="00B97EAF" w:rsidR="007C7A16">
              <w:rPr>
                <w:color w:val="000000" w:themeColor="text1"/>
                <w:sz w:val="20"/>
                <w:szCs w:val="20"/>
              </w:rPr>
              <w:t>16,951</w:t>
            </w:r>
          </w:p>
        </w:tc>
      </w:tr>
      <w:tr w14:paraId="3C333BB5" w14:textId="77777777" w:rsidTr="00B97EAF">
        <w:tblPrEx>
          <w:tblW w:w="0" w:type="auto"/>
          <w:tblLook w:val="04A0"/>
        </w:tblPrEx>
        <w:tc>
          <w:tcPr>
            <w:tcW w:w="2337" w:type="dxa"/>
          </w:tcPr>
          <w:p w:rsidR="001B7F55" w:rsidRPr="00B97EAF" w14:paraId="5DA1F7E1" w14:textId="77777777">
            <w:pPr>
              <w:pStyle w:val="ListParagraph"/>
              <w:ind w:left="0"/>
              <w:rPr>
                <w:color w:val="000000" w:themeColor="text1"/>
                <w:sz w:val="20"/>
                <w:szCs w:val="20"/>
              </w:rPr>
            </w:pPr>
            <w:r w:rsidRPr="00B97EAF">
              <w:rPr>
                <w:color w:val="000000" w:themeColor="text1"/>
                <w:sz w:val="20"/>
                <w:szCs w:val="20"/>
              </w:rPr>
              <w:t>Small 5307</w:t>
            </w:r>
          </w:p>
        </w:tc>
        <w:tc>
          <w:tcPr>
            <w:tcW w:w="2518" w:type="dxa"/>
          </w:tcPr>
          <w:p w:rsidR="001B7F55" w:rsidRPr="00B97EAF" w:rsidP="00B719D2" w14:paraId="29AF4D07" w14:textId="3EB32463">
            <w:pPr>
              <w:pStyle w:val="ListParagraph"/>
              <w:ind w:left="0"/>
              <w:jc w:val="right"/>
              <w:rPr>
                <w:color w:val="000000" w:themeColor="text1"/>
                <w:sz w:val="20"/>
                <w:szCs w:val="20"/>
              </w:rPr>
            </w:pPr>
            <w:r w:rsidRPr="00B97EAF">
              <w:rPr>
                <w:color w:val="000000" w:themeColor="text1"/>
                <w:sz w:val="20"/>
                <w:szCs w:val="20"/>
              </w:rPr>
              <w:t>244,151</w:t>
            </w:r>
          </w:p>
        </w:tc>
        <w:tc>
          <w:tcPr>
            <w:tcW w:w="2338" w:type="dxa"/>
          </w:tcPr>
          <w:p w:rsidR="001B7F55" w:rsidRPr="00B97EAF" w:rsidP="00B719D2" w14:paraId="452ADAA9" w14:textId="77777777">
            <w:pPr>
              <w:pStyle w:val="ListParagraph"/>
              <w:ind w:left="0"/>
              <w:jc w:val="right"/>
              <w:rPr>
                <w:color w:val="000000" w:themeColor="text1"/>
                <w:sz w:val="20"/>
                <w:szCs w:val="20"/>
              </w:rPr>
            </w:pPr>
            <w:r w:rsidRPr="00B97EAF">
              <w:rPr>
                <w:color w:val="000000" w:themeColor="text1"/>
                <w:sz w:val="20"/>
                <w:szCs w:val="20"/>
              </w:rPr>
              <w:t>20,011</w:t>
            </w:r>
          </w:p>
        </w:tc>
        <w:tc>
          <w:tcPr>
            <w:tcW w:w="1803" w:type="dxa"/>
          </w:tcPr>
          <w:p w:rsidR="001B7F55" w:rsidRPr="00B97EAF" w:rsidP="00B719D2" w14:paraId="18136C6C" w14:textId="356B5A74">
            <w:pPr>
              <w:pStyle w:val="ListParagraph"/>
              <w:ind w:left="0"/>
              <w:jc w:val="right"/>
              <w:rPr>
                <w:color w:val="000000" w:themeColor="text1"/>
                <w:sz w:val="20"/>
                <w:szCs w:val="20"/>
              </w:rPr>
            </w:pPr>
            <w:r w:rsidRPr="00B97EAF">
              <w:rPr>
                <w:color w:val="000000" w:themeColor="text1"/>
                <w:sz w:val="20"/>
                <w:szCs w:val="20"/>
              </w:rPr>
              <w:t>2</w:t>
            </w:r>
            <w:r w:rsidRPr="00B97EAF" w:rsidR="007C7A16">
              <w:rPr>
                <w:color w:val="000000" w:themeColor="text1"/>
                <w:sz w:val="20"/>
                <w:szCs w:val="20"/>
              </w:rPr>
              <w:t>64,162</w:t>
            </w:r>
          </w:p>
        </w:tc>
      </w:tr>
      <w:tr w14:paraId="2B88304A" w14:textId="77777777" w:rsidTr="00B97EAF">
        <w:tblPrEx>
          <w:tblW w:w="0" w:type="auto"/>
          <w:tblLook w:val="04A0"/>
        </w:tblPrEx>
        <w:tc>
          <w:tcPr>
            <w:tcW w:w="2337" w:type="dxa"/>
          </w:tcPr>
          <w:p w:rsidR="001B7F55" w:rsidRPr="00B97EAF" w14:paraId="14866BBE" w14:textId="77777777">
            <w:pPr>
              <w:pStyle w:val="ListParagraph"/>
              <w:ind w:left="0"/>
              <w:rPr>
                <w:color w:val="000000" w:themeColor="text1"/>
                <w:sz w:val="20"/>
                <w:szCs w:val="20"/>
              </w:rPr>
            </w:pPr>
            <w:r w:rsidRPr="00B97EAF">
              <w:rPr>
                <w:color w:val="000000" w:themeColor="text1"/>
                <w:sz w:val="20"/>
                <w:szCs w:val="20"/>
              </w:rPr>
              <w:t>State</w:t>
            </w:r>
          </w:p>
        </w:tc>
        <w:tc>
          <w:tcPr>
            <w:tcW w:w="2518" w:type="dxa"/>
          </w:tcPr>
          <w:p w:rsidR="001B7F55" w:rsidRPr="00B97EAF" w:rsidP="00B719D2" w14:paraId="03E01B77" w14:textId="77777777">
            <w:pPr>
              <w:pStyle w:val="ListParagraph"/>
              <w:ind w:left="0"/>
              <w:jc w:val="right"/>
              <w:rPr>
                <w:color w:val="000000" w:themeColor="text1"/>
                <w:sz w:val="20"/>
                <w:szCs w:val="20"/>
              </w:rPr>
            </w:pPr>
            <w:r w:rsidRPr="00B97EAF">
              <w:rPr>
                <w:color w:val="000000" w:themeColor="text1"/>
                <w:sz w:val="20"/>
                <w:szCs w:val="20"/>
              </w:rPr>
              <w:t>350</w:t>
            </w:r>
          </w:p>
        </w:tc>
        <w:tc>
          <w:tcPr>
            <w:tcW w:w="2338" w:type="dxa"/>
          </w:tcPr>
          <w:p w:rsidR="001B7F55" w:rsidRPr="00B97EAF" w:rsidP="00B719D2" w14:paraId="478A43A0" w14:textId="77777777">
            <w:pPr>
              <w:pStyle w:val="ListParagraph"/>
              <w:ind w:left="0"/>
              <w:jc w:val="right"/>
              <w:rPr>
                <w:color w:val="000000" w:themeColor="text1"/>
                <w:sz w:val="20"/>
                <w:szCs w:val="20"/>
              </w:rPr>
            </w:pPr>
            <w:r w:rsidRPr="00B97EAF">
              <w:rPr>
                <w:color w:val="000000" w:themeColor="text1"/>
                <w:sz w:val="20"/>
                <w:szCs w:val="20"/>
              </w:rPr>
              <w:t>20,011</w:t>
            </w:r>
          </w:p>
        </w:tc>
        <w:tc>
          <w:tcPr>
            <w:tcW w:w="1803" w:type="dxa"/>
          </w:tcPr>
          <w:p w:rsidR="001B7F55" w:rsidRPr="00B97EAF" w:rsidP="00B719D2" w14:paraId="1E512F16" w14:textId="77777777">
            <w:pPr>
              <w:pStyle w:val="ListParagraph"/>
              <w:ind w:left="0"/>
              <w:jc w:val="right"/>
              <w:rPr>
                <w:color w:val="000000" w:themeColor="text1"/>
                <w:sz w:val="20"/>
                <w:szCs w:val="20"/>
              </w:rPr>
            </w:pPr>
            <w:r w:rsidRPr="00B97EAF">
              <w:rPr>
                <w:color w:val="000000" w:themeColor="text1"/>
                <w:sz w:val="20"/>
                <w:szCs w:val="20"/>
              </w:rPr>
              <w:t>20,361</w:t>
            </w:r>
          </w:p>
        </w:tc>
      </w:tr>
      <w:tr w14:paraId="2C7132F0" w14:textId="77777777" w:rsidTr="00B97EAF">
        <w:tblPrEx>
          <w:tblW w:w="0" w:type="auto"/>
          <w:tblLook w:val="04A0"/>
        </w:tblPrEx>
        <w:tc>
          <w:tcPr>
            <w:tcW w:w="2337" w:type="dxa"/>
          </w:tcPr>
          <w:p w:rsidR="001B7F55" w:rsidRPr="00B97EAF" w14:paraId="22B163CC" w14:textId="77777777">
            <w:pPr>
              <w:pStyle w:val="ListParagraph"/>
              <w:ind w:left="0"/>
              <w:rPr>
                <w:color w:val="000000" w:themeColor="text1"/>
                <w:sz w:val="20"/>
                <w:szCs w:val="20"/>
              </w:rPr>
            </w:pPr>
            <w:r w:rsidRPr="00B97EAF">
              <w:rPr>
                <w:color w:val="000000" w:themeColor="text1"/>
                <w:sz w:val="20"/>
                <w:szCs w:val="20"/>
              </w:rPr>
              <w:t>Total</w:t>
            </w:r>
          </w:p>
        </w:tc>
        <w:tc>
          <w:tcPr>
            <w:tcW w:w="2518" w:type="dxa"/>
          </w:tcPr>
          <w:p w:rsidR="001B7F55" w:rsidRPr="00B97EAF" w:rsidP="00B719D2" w14:paraId="0A4E4595" w14:textId="72A7706E">
            <w:pPr>
              <w:pStyle w:val="ListParagraph"/>
              <w:ind w:left="0"/>
              <w:jc w:val="right"/>
              <w:rPr>
                <w:color w:val="000000" w:themeColor="text1"/>
                <w:sz w:val="20"/>
                <w:szCs w:val="20"/>
              </w:rPr>
            </w:pPr>
            <w:r w:rsidRPr="00B97EAF">
              <w:rPr>
                <w:sz w:val="20"/>
                <w:szCs w:val="20"/>
              </w:rPr>
              <w:t>452,789</w:t>
            </w:r>
          </w:p>
        </w:tc>
        <w:tc>
          <w:tcPr>
            <w:tcW w:w="2338" w:type="dxa"/>
          </w:tcPr>
          <w:p w:rsidR="001B7F55" w:rsidRPr="00B97EAF" w:rsidP="00B719D2" w14:paraId="77D008A4" w14:textId="77777777">
            <w:pPr>
              <w:pStyle w:val="ListParagraph"/>
              <w:ind w:left="0"/>
              <w:jc w:val="right"/>
              <w:rPr>
                <w:color w:val="000000" w:themeColor="text1"/>
                <w:sz w:val="20"/>
                <w:szCs w:val="20"/>
              </w:rPr>
            </w:pPr>
            <w:r w:rsidRPr="00B97EAF">
              <w:rPr>
                <w:color w:val="000000" w:themeColor="text1"/>
                <w:sz w:val="20"/>
                <w:szCs w:val="20"/>
              </w:rPr>
              <w:t>100,056</w:t>
            </w:r>
          </w:p>
        </w:tc>
        <w:tc>
          <w:tcPr>
            <w:tcW w:w="1803" w:type="dxa"/>
          </w:tcPr>
          <w:p w:rsidR="001B7F55" w:rsidRPr="00B97EAF" w:rsidP="00B719D2" w14:paraId="2AFA20DD" w14:textId="0C4030EF">
            <w:pPr>
              <w:pStyle w:val="ListParagraph"/>
              <w:ind w:left="0"/>
              <w:jc w:val="right"/>
              <w:rPr>
                <w:color w:val="000000" w:themeColor="text1"/>
                <w:sz w:val="20"/>
                <w:szCs w:val="20"/>
              </w:rPr>
            </w:pPr>
            <w:r w:rsidRPr="00B97EAF">
              <w:rPr>
                <w:color w:val="000000" w:themeColor="text1"/>
                <w:sz w:val="20"/>
                <w:szCs w:val="20"/>
              </w:rPr>
              <w:t>552</w:t>
            </w:r>
            <w:r w:rsidRPr="00B97EAF">
              <w:rPr>
                <w:color w:val="000000" w:themeColor="text1"/>
                <w:sz w:val="20"/>
                <w:szCs w:val="20"/>
              </w:rPr>
              <w:t>,</w:t>
            </w:r>
            <w:r w:rsidRPr="00B97EAF">
              <w:rPr>
                <w:color w:val="000000" w:themeColor="text1"/>
                <w:sz w:val="20"/>
                <w:szCs w:val="20"/>
              </w:rPr>
              <w:t>84</w:t>
            </w:r>
            <w:r w:rsidR="00562497">
              <w:rPr>
                <w:color w:val="000000" w:themeColor="text1"/>
                <w:sz w:val="20"/>
                <w:szCs w:val="20"/>
              </w:rPr>
              <w:t>6</w:t>
            </w:r>
            <w:r w:rsidRPr="00B97EAF">
              <w:rPr>
                <w:color w:val="000000" w:themeColor="text1"/>
                <w:sz w:val="20"/>
                <w:szCs w:val="20"/>
              </w:rPr>
              <w:t xml:space="preserve"> </w:t>
            </w:r>
          </w:p>
          <w:p w:rsidR="001B7F55" w:rsidRPr="00B97EAF" w:rsidP="00B719D2" w14:paraId="02E87F88" w14:textId="50F39078">
            <w:pPr>
              <w:pStyle w:val="ListParagraph"/>
              <w:ind w:left="0"/>
              <w:jc w:val="right"/>
              <w:rPr>
                <w:color w:val="000000" w:themeColor="text1"/>
                <w:sz w:val="20"/>
                <w:szCs w:val="20"/>
              </w:rPr>
            </w:pPr>
            <w:r w:rsidRPr="00B97EAF">
              <w:rPr>
                <w:color w:val="000000" w:themeColor="text1"/>
                <w:sz w:val="20"/>
                <w:szCs w:val="20"/>
              </w:rPr>
              <w:t>Total Estimated Burden Hours</w:t>
            </w:r>
          </w:p>
        </w:tc>
      </w:tr>
    </w:tbl>
    <w:p w:rsidR="001B7F55" w:rsidRPr="00B91D8D" w:rsidP="001B7F55" w14:paraId="0DBBF351" w14:textId="77777777">
      <w:pPr>
        <w:pStyle w:val="ListParagraph"/>
        <w:ind w:left="0"/>
        <w:rPr>
          <w:color w:val="000000" w:themeColor="text1"/>
          <w:sz w:val="16"/>
          <w:szCs w:val="16"/>
        </w:rPr>
      </w:pPr>
      <w:r w:rsidRPr="00B91D8D">
        <w:rPr>
          <w:color w:val="000000" w:themeColor="text1"/>
          <w:sz w:val="16"/>
          <w:szCs w:val="16"/>
        </w:rPr>
        <w:t xml:space="preserve"> *Average of first 3 Years</w:t>
      </w:r>
    </w:p>
    <w:p w:rsidR="001B7F55" w:rsidP="001B7F55" w14:paraId="7E721189" w14:textId="77777777">
      <w:pPr>
        <w:rPr>
          <w:b/>
          <w:bCs/>
        </w:rPr>
      </w:pPr>
    </w:p>
    <w:p w:rsidR="001B7F55" w:rsidP="001B7F55" w14:paraId="7917ADED" w14:textId="51F01CC4">
      <w:pPr>
        <w:rPr>
          <w:b/>
          <w:bCs/>
        </w:rPr>
      </w:pPr>
      <w:r>
        <w:rPr>
          <w:b/>
          <w:bCs/>
        </w:rPr>
        <w:t>55</w:t>
      </w:r>
      <w:r w:rsidRPr="7FC443FA">
        <w:rPr>
          <w:b/>
          <w:bCs/>
        </w:rPr>
        <w:t>2,</w:t>
      </w:r>
      <w:r>
        <w:rPr>
          <w:b/>
          <w:bCs/>
        </w:rPr>
        <w:t>845</w:t>
      </w:r>
      <w:r w:rsidRPr="7FC443FA">
        <w:rPr>
          <w:b/>
          <w:bCs/>
        </w:rPr>
        <w:t xml:space="preserve"> </w:t>
      </w:r>
      <w:r w:rsidRPr="7FC443FA">
        <w:rPr>
          <w:b/>
          <w:bCs/>
        </w:rPr>
        <w:t>- Total estimated annual burden hours</w:t>
      </w:r>
      <w:r w:rsidRPr="7FC443FA" w:rsidR="003F6DC4">
        <w:rPr>
          <w:b/>
          <w:bCs/>
        </w:rPr>
        <w:t xml:space="preserve"> for the IC</w:t>
      </w:r>
    </w:p>
    <w:p w:rsidR="00F04B3C" w:rsidRPr="00EE057D" w:rsidP="00EE057D" w14:paraId="24460C04" w14:textId="021961E3">
      <w:pPr>
        <w:rPr>
          <w:sz w:val="16"/>
          <w:szCs w:val="16"/>
        </w:rPr>
      </w:pPr>
    </w:p>
    <w:p w:rsidR="008A3252" w14:paraId="77A532E2" w14:textId="77777777">
      <w:pPr>
        <w:spacing w:after="200" w:line="276" w:lineRule="auto"/>
        <w:rPr>
          <w:b/>
          <w:bCs/>
          <w:u w:val="single"/>
        </w:rPr>
      </w:pPr>
      <w:r>
        <w:rPr>
          <w:b/>
          <w:bCs/>
          <w:u w:val="single"/>
        </w:rPr>
        <w:br w:type="page"/>
      </w:r>
    </w:p>
    <w:p w:rsidR="002B70A5" w:rsidRPr="004525AE" w:rsidP="7FC443FA" w14:paraId="297753C9" w14:textId="4A09DE62">
      <w:pPr>
        <w:pStyle w:val="ListParagraph"/>
        <w:ind w:left="0"/>
        <w:rPr>
          <w:b/>
          <w:bCs/>
          <w:u w:val="single"/>
        </w:rPr>
      </w:pPr>
      <w:r w:rsidRPr="7FC443FA">
        <w:rPr>
          <w:b/>
          <w:bCs/>
          <w:u w:val="single"/>
        </w:rPr>
        <w:t xml:space="preserve">Table </w:t>
      </w:r>
      <w:r w:rsidRPr="7FC443FA" w:rsidR="00811D29">
        <w:rPr>
          <w:b/>
          <w:bCs/>
          <w:u w:val="single"/>
        </w:rPr>
        <w:t>7</w:t>
      </w:r>
      <w:r w:rsidRPr="7FC443FA">
        <w:rPr>
          <w:b/>
          <w:bCs/>
          <w:u w:val="single"/>
        </w:rPr>
        <w:t>:</w:t>
      </w:r>
      <w:r w:rsidRPr="7FC443FA" w:rsidR="00F360ED">
        <w:rPr>
          <w:b/>
          <w:bCs/>
          <w:u w:val="single"/>
        </w:rPr>
        <w:t xml:space="preserve"> </w:t>
      </w:r>
      <w:r w:rsidRPr="7FC443FA">
        <w:rPr>
          <w:b/>
          <w:bCs/>
          <w:u w:val="single"/>
        </w:rPr>
        <w:t xml:space="preserve">Total </w:t>
      </w:r>
      <w:r w:rsidRPr="7FC443FA" w:rsidR="003F6DC4">
        <w:rPr>
          <w:b/>
          <w:bCs/>
          <w:u w:val="single"/>
        </w:rPr>
        <w:t xml:space="preserve">New </w:t>
      </w:r>
      <w:r w:rsidRPr="7FC443FA">
        <w:rPr>
          <w:b/>
          <w:bCs/>
          <w:u w:val="single"/>
        </w:rPr>
        <w:t>Costs, Years 1-3</w:t>
      </w:r>
      <w:r w:rsidRPr="7FC443FA" w:rsidR="000E0E60">
        <w:rPr>
          <w:b/>
          <w:bCs/>
          <w:u w:val="single"/>
        </w:rPr>
        <w:t>, (Includes Labor, IT/Materials, and Travel)</w:t>
      </w:r>
    </w:p>
    <w:p w:rsidR="004525AE" w:rsidP="007C08F6" w14:paraId="02AE755B" w14:textId="79D8D3EF">
      <w:pPr>
        <w:pStyle w:val="ListParagraph"/>
        <w:ind w:left="0"/>
        <w:contextualSpacing w:val="0"/>
      </w:pP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3150"/>
        <w:gridCol w:w="1461"/>
        <w:gridCol w:w="1366"/>
        <w:gridCol w:w="1440"/>
        <w:gridCol w:w="1510"/>
      </w:tblGrid>
      <w:tr w14:paraId="57965FF2" w14:textId="77777777" w:rsidTr="00172D8C">
        <w:tblPrEx>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20"/>
        </w:trPr>
        <w:tc>
          <w:tcPr>
            <w:tcW w:w="810" w:type="dxa"/>
            <w:tcBorders>
              <w:top w:val="nil"/>
              <w:left w:val="nil"/>
              <w:right w:val="nil"/>
            </w:tcBorders>
            <w:shd w:val="clear" w:color="auto" w:fill="auto"/>
            <w:noWrap/>
            <w:vAlign w:val="bottom"/>
            <w:hideMark/>
          </w:tcPr>
          <w:p w:rsidR="004525AE" w:rsidRPr="002B70A5" w:rsidP="0001384A" w14:paraId="7CCE0084" w14:textId="77777777">
            <w:pPr>
              <w:jc w:val="center"/>
              <w:rPr>
                <w:sz w:val="20"/>
                <w:szCs w:val="20"/>
              </w:rPr>
            </w:pPr>
          </w:p>
        </w:tc>
        <w:tc>
          <w:tcPr>
            <w:tcW w:w="3150" w:type="dxa"/>
            <w:tcBorders>
              <w:top w:val="nil"/>
              <w:left w:val="nil"/>
              <w:right w:val="single" w:sz="4" w:space="0" w:color="auto"/>
            </w:tcBorders>
            <w:shd w:val="clear" w:color="auto" w:fill="auto"/>
            <w:noWrap/>
            <w:vAlign w:val="bottom"/>
            <w:hideMark/>
          </w:tcPr>
          <w:p w:rsidR="004525AE" w:rsidRPr="002B70A5" w:rsidP="0001384A" w14:paraId="05F6B667" w14:textId="77777777">
            <w:pPr>
              <w:jc w:val="center"/>
              <w:rPr>
                <w:sz w:val="20"/>
                <w:szCs w:val="20"/>
              </w:rPr>
            </w:pPr>
          </w:p>
        </w:tc>
        <w:tc>
          <w:tcPr>
            <w:tcW w:w="1461" w:type="dxa"/>
            <w:tcBorders>
              <w:left w:val="single" w:sz="4" w:space="0" w:color="auto"/>
            </w:tcBorders>
            <w:shd w:val="clear" w:color="auto" w:fill="auto"/>
            <w:noWrap/>
            <w:vAlign w:val="bottom"/>
            <w:hideMark/>
          </w:tcPr>
          <w:p w:rsidR="004525AE" w:rsidRPr="002B70A5" w:rsidP="0001384A" w14:paraId="64C03700" w14:textId="77777777">
            <w:pPr>
              <w:jc w:val="center"/>
              <w:rPr>
                <w:color w:val="000000"/>
                <w:sz w:val="20"/>
                <w:szCs w:val="20"/>
              </w:rPr>
            </w:pPr>
            <w:r w:rsidRPr="002B70A5">
              <w:rPr>
                <w:color w:val="000000"/>
                <w:sz w:val="20"/>
                <w:szCs w:val="20"/>
              </w:rPr>
              <w:t>Year 1</w:t>
            </w:r>
          </w:p>
        </w:tc>
        <w:tc>
          <w:tcPr>
            <w:tcW w:w="1366" w:type="dxa"/>
            <w:shd w:val="clear" w:color="auto" w:fill="auto"/>
            <w:noWrap/>
            <w:vAlign w:val="bottom"/>
            <w:hideMark/>
          </w:tcPr>
          <w:p w:rsidR="004525AE" w:rsidRPr="002B70A5" w:rsidP="0001384A" w14:paraId="3D0AF3EF" w14:textId="77777777">
            <w:pPr>
              <w:jc w:val="center"/>
              <w:rPr>
                <w:color w:val="000000"/>
                <w:sz w:val="20"/>
                <w:szCs w:val="20"/>
              </w:rPr>
            </w:pPr>
            <w:r w:rsidRPr="002B70A5">
              <w:rPr>
                <w:color w:val="000000"/>
                <w:sz w:val="20"/>
                <w:szCs w:val="20"/>
              </w:rPr>
              <w:t>Year 2</w:t>
            </w:r>
          </w:p>
        </w:tc>
        <w:tc>
          <w:tcPr>
            <w:tcW w:w="1440" w:type="dxa"/>
            <w:shd w:val="clear" w:color="auto" w:fill="auto"/>
            <w:noWrap/>
            <w:vAlign w:val="bottom"/>
            <w:hideMark/>
          </w:tcPr>
          <w:p w:rsidR="004525AE" w:rsidRPr="002B70A5" w:rsidP="0001384A" w14:paraId="683CF81B" w14:textId="2DE62B33">
            <w:pPr>
              <w:jc w:val="center"/>
              <w:rPr>
                <w:color w:val="000000"/>
                <w:sz w:val="20"/>
                <w:szCs w:val="20"/>
              </w:rPr>
            </w:pPr>
            <w:r w:rsidRPr="311B422B">
              <w:rPr>
                <w:color w:val="000000" w:themeColor="text1"/>
                <w:sz w:val="20"/>
                <w:szCs w:val="20"/>
              </w:rPr>
              <w:t xml:space="preserve">Year </w:t>
            </w:r>
            <w:r w:rsidRPr="311B422B" w:rsidR="64F58C03">
              <w:rPr>
                <w:color w:val="000000" w:themeColor="text1"/>
                <w:sz w:val="20"/>
                <w:szCs w:val="20"/>
              </w:rPr>
              <w:t>3</w:t>
            </w:r>
          </w:p>
        </w:tc>
        <w:tc>
          <w:tcPr>
            <w:tcW w:w="1510" w:type="dxa"/>
            <w:shd w:val="clear" w:color="auto" w:fill="auto"/>
            <w:noWrap/>
            <w:vAlign w:val="bottom"/>
            <w:hideMark/>
          </w:tcPr>
          <w:p w:rsidR="004525AE" w:rsidRPr="00B719D2" w:rsidP="0001384A" w14:paraId="06070D50" w14:textId="77777777">
            <w:pPr>
              <w:jc w:val="center"/>
              <w:rPr>
                <w:color w:val="000000"/>
                <w:sz w:val="20"/>
                <w:szCs w:val="20"/>
              </w:rPr>
            </w:pPr>
            <w:r w:rsidRPr="00B719D2">
              <w:rPr>
                <w:color w:val="000000"/>
                <w:sz w:val="20"/>
                <w:szCs w:val="20"/>
              </w:rPr>
              <w:t>Total</w:t>
            </w:r>
          </w:p>
        </w:tc>
      </w:tr>
      <w:tr w14:paraId="4B01F5A5" w14:textId="77777777" w:rsidTr="00172D8C">
        <w:tblPrEx>
          <w:tblW w:w="9737" w:type="dxa"/>
          <w:tblLook w:val="04A0"/>
        </w:tblPrEx>
        <w:trPr>
          <w:trHeight w:val="179"/>
        </w:trPr>
        <w:tc>
          <w:tcPr>
            <w:tcW w:w="810" w:type="dxa"/>
            <w:vMerge w:val="restart"/>
            <w:shd w:val="clear" w:color="auto" w:fill="auto"/>
            <w:noWrap/>
            <w:hideMark/>
          </w:tcPr>
          <w:p w:rsidR="00C760BD" w:rsidRPr="002B70A5" w:rsidP="00C760BD" w14:paraId="3EEBB55C" w14:textId="77777777">
            <w:pPr>
              <w:rPr>
                <w:color w:val="000000"/>
                <w:sz w:val="20"/>
                <w:szCs w:val="20"/>
              </w:rPr>
            </w:pPr>
            <w:bookmarkStart w:id="1" w:name="_Hlk132960462"/>
            <w:r w:rsidRPr="002B70A5">
              <w:rPr>
                <w:color w:val="000000"/>
                <w:sz w:val="20"/>
                <w:szCs w:val="20"/>
              </w:rPr>
              <w:t>Rail</w:t>
            </w:r>
          </w:p>
        </w:tc>
        <w:tc>
          <w:tcPr>
            <w:tcW w:w="3150" w:type="dxa"/>
            <w:shd w:val="clear" w:color="auto" w:fill="auto"/>
            <w:noWrap/>
            <w:vAlign w:val="center"/>
            <w:hideMark/>
          </w:tcPr>
          <w:p w:rsidR="00C760BD" w:rsidRPr="002B70A5" w:rsidP="00C760BD" w14:paraId="73995A38" w14:textId="29F74994">
            <w:pPr>
              <w:rPr>
                <w:color w:val="000000"/>
                <w:sz w:val="20"/>
                <w:szCs w:val="20"/>
              </w:rPr>
            </w:pPr>
            <w:r w:rsidRPr="000E0E60">
              <w:rPr>
                <w:color w:val="000000"/>
                <w:sz w:val="20"/>
                <w:szCs w:val="20"/>
              </w:rPr>
              <w:t>Development/Certification</w:t>
            </w:r>
          </w:p>
        </w:tc>
        <w:tc>
          <w:tcPr>
            <w:tcW w:w="1461" w:type="dxa"/>
            <w:shd w:val="clear" w:color="auto" w:fill="auto"/>
            <w:noWrap/>
            <w:vAlign w:val="bottom"/>
            <w:hideMark/>
          </w:tcPr>
          <w:p w:rsidR="00C760BD" w:rsidRPr="0073041A" w:rsidP="004A6957" w14:paraId="5D270157" w14:textId="013D0BE1">
            <w:pPr>
              <w:jc w:val="right"/>
              <w:rPr>
                <w:color w:val="000000"/>
                <w:sz w:val="20"/>
                <w:szCs w:val="20"/>
              </w:rPr>
            </w:pPr>
            <w:r w:rsidRPr="00E050D3">
              <w:rPr>
                <w:color w:val="000000"/>
                <w:sz w:val="20"/>
                <w:szCs w:val="20"/>
              </w:rPr>
              <w:t>$1,107,689</w:t>
            </w:r>
          </w:p>
        </w:tc>
        <w:tc>
          <w:tcPr>
            <w:tcW w:w="1366" w:type="dxa"/>
            <w:shd w:val="clear" w:color="auto" w:fill="auto"/>
            <w:noWrap/>
            <w:vAlign w:val="bottom"/>
            <w:hideMark/>
          </w:tcPr>
          <w:p w:rsidR="00C760BD" w:rsidRPr="0073041A" w:rsidP="00C760BD" w14:paraId="3C6B4F22" w14:textId="1DFD7AC7">
            <w:pPr>
              <w:jc w:val="right"/>
              <w:rPr>
                <w:color w:val="000000"/>
                <w:sz w:val="20"/>
                <w:szCs w:val="20"/>
              </w:rPr>
            </w:pPr>
            <w:r w:rsidRPr="00E050D3">
              <w:rPr>
                <w:color w:val="000000"/>
                <w:sz w:val="20"/>
                <w:szCs w:val="20"/>
              </w:rPr>
              <w:t>$10,382</w:t>
            </w:r>
          </w:p>
        </w:tc>
        <w:tc>
          <w:tcPr>
            <w:tcW w:w="1440" w:type="dxa"/>
            <w:shd w:val="clear" w:color="auto" w:fill="auto"/>
            <w:noWrap/>
            <w:vAlign w:val="bottom"/>
            <w:hideMark/>
          </w:tcPr>
          <w:p w:rsidR="00C760BD" w:rsidRPr="0073041A" w:rsidP="00C760BD" w14:paraId="7BC78DBC" w14:textId="205BD513">
            <w:pPr>
              <w:jc w:val="right"/>
              <w:rPr>
                <w:sz w:val="20"/>
                <w:szCs w:val="20"/>
              </w:rPr>
            </w:pPr>
            <w:r w:rsidRPr="00E050D3">
              <w:rPr>
                <w:color w:val="000000"/>
                <w:sz w:val="20"/>
                <w:szCs w:val="20"/>
              </w:rPr>
              <w:t>$10,382</w:t>
            </w:r>
          </w:p>
        </w:tc>
        <w:tc>
          <w:tcPr>
            <w:tcW w:w="1510" w:type="dxa"/>
            <w:shd w:val="clear" w:color="auto" w:fill="auto"/>
            <w:noWrap/>
            <w:vAlign w:val="bottom"/>
            <w:hideMark/>
          </w:tcPr>
          <w:p w:rsidR="00C760BD" w:rsidRPr="00B719D2" w:rsidP="00C760BD" w14:paraId="319562F4" w14:textId="7E0A0264">
            <w:pPr>
              <w:jc w:val="right"/>
              <w:rPr>
                <w:color w:val="000000"/>
                <w:sz w:val="20"/>
                <w:szCs w:val="20"/>
              </w:rPr>
            </w:pPr>
            <w:r w:rsidRPr="00B719D2">
              <w:rPr>
                <w:color w:val="000000"/>
                <w:sz w:val="20"/>
                <w:szCs w:val="20"/>
              </w:rPr>
              <w:t>$1,128,453</w:t>
            </w:r>
          </w:p>
        </w:tc>
      </w:tr>
      <w:tr w14:paraId="71325882" w14:textId="77777777" w:rsidTr="00172D8C">
        <w:tblPrEx>
          <w:tblW w:w="9737" w:type="dxa"/>
          <w:tblLook w:val="04A0"/>
        </w:tblPrEx>
        <w:trPr>
          <w:trHeight w:val="116"/>
        </w:trPr>
        <w:tc>
          <w:tcPr>
            <w:tcW w:w="810" w:type="dxa"/>
            <w:vMerge/>
            <w:noWrap/>
          </w:tcPr>
          <w:p w:rsidR="00C760BD" w:rsidRPr="002B70A5" w:rsidP="00C760BD" w14:paraId="79D1B682" w14:textId="77777777">
            <w:pPr>
              <w:rPr>
                <w:color w:val="000000"/>
                <w:sz w:val="20"/>
                <w:szCs w:val="20"/>
              </w:rPr>
            </w:pPr>
          </w:p>
        </w:tc>
        <w:tc>
          <w:tcPr>
            <w:tcW w:w="3150" w:type="dxa"/>
            <w:shd w:val="clear" w:color="auto" w:fill="auto"/>
            <w:noWrap/>
            <w:vAlign w:val="center"/>
          </w:tcPr>
          <w:p w:rsidR="00C760BD" w:rsidRPr="000E0E60" w:rsidP="00C760BD" w14:paraId="7D538EEF" w14:textId="40BB30B4">
            <w:pPr>
              <w:rPr>
                <w:color w:val="000000"/>
                <w:sz w:val="20"/>
                <w:szCs w:val="20"/>
              </w:rPr>
            </w:pPr>
            <w:r w:rsidRPr="000E0E60">
              <w:rPr>
                <w:color w:val="000000"/>
                <w:sz w:val="20"/>
                <w:szCs w:val="20"/>
              </w:rPr>
              <w:t>Implement/Document</w:t>
            </w:r>
          </w:p>
        </w:tc>
        <w:tc>
          <w:tcPr>
            <w:tcW w:w="1461" w:type="dxa"/>
            <w:shd w:val="clear" w:color="auto" w:fill="auto"/>
            <w:noWrap/>
            <w:vAlign w:val="bottom"/>
          </w:tcPr>
          <w:p w:rsidR="00C760BD" w:rsidRPr="0073041A" w:rsidP="004A6957" w14:paraId="099F74D1" w14:textId="610ABFA2">
            <w:pPr>
              <w:jc w:val="right"/>
              <w:rPr>
                <w:color w:val="000000"/>
                <w:sz w:val="20"/>
                <w:szCs w:val="20"/>
              </w:rPr>
            </w:pPr>
            <w:r w:rsidRPr="00E050D3">
              <w:rPr>
                <w:color w:val="000000"/>
                <w:sz w:val="20"/>
                <w:szCs w:val="20"/>
              </w:rPr>
              <w:t>$9,604,292</w:t>
            </w:r>
          </w:p>
        </w:tc>
        <w:tc>
          <w:tcPr>
            <w:tcW w:w="1366" w:type="dxa"/>
            <w:shd w:val="clear" w:color="auto" w:fill="auto"/>
            <w:noWrap/>
            <w:vAlign w:val="bottom"/>
          </w:tcPr>
          <w:p w:rsidR="00C760BD" w:rsidRPr="0073041A" w:rsidP="00C760BD" w14:paraId="4551317E" w14:textId="74669179">
            <w:pPr>
              <w:jc w:val="right"/>
              <w:rPr>
                <w:color w:val="000000"/>
                <w:sz w:val="20"/>
                <w:szCs w:val="20"/>
              </w:rPr>
            </w:pPr>
            <w:r w:rsidRPr="00E050D3">
              <w:rPr>
                <w:color w:val="000000"/>
                <w:sz w:val="20"/>
                <w:szCs w:val="20"/>
              </w:rPr>
              <w:t>$9,604,292</w:t>
            </w:r>
          </w:p>
        </w:tc>
        <w:tc>
          <w:tcPr>
            <w:tcW w:w="1440" w:type="dxa"/>
            <w:shd w:val="clear" w:color="auto" w:fill="auto"/>
            <w:noWrap/>
            <w:vAlign w:val="bottom"/>
          </w:tcPr>
          <w:p w:rsidR="00C760BD" w:rsidRPr="0073041A" w:rsidP="00C760BD" w14:paraId="56E4981F" w14:textId="1DE7D72E">
            <w:pPr>
              <w:jc w:val="right"/>
              <w:rPr>
                <w:color w:val="000000"/>
                <w:sz w:val="20"/>
                <w:szCs w:val="20"/>
              </w:rPr>
            </w:pPr>
            <w:r w:rsidRPr="00E050D3">
              <w:rPr>
                <w:color w:val="000000"/>
                <w:sz w:val="20"/>
                <w:szCs w:val="20"/>
              </w:rPr>
              <w:t>$9,604,292</w:t>
            </w:r>
          </w:p>
        </w:tc>
        <w:tc>
          <w:tcPr>
            <w:tcW w:w="1510" w:type="dxa"/>
            <w:shd w:val="clear" w:color="auto" w:fill="auto"/>
            <w:noWrap/>
            <w:vAlign w:val="bottom"/>
          </w:tcPr>
          <w:p w:rsidR="00C760BD" w:rsidRPr="00B719D2" w:rsidP="00C760BD" w14:paraId="1AACC5F0" w14:textId="6236BBE0">
            <w:pPr>
              <w:jc w:val="right"/>
              <w:rPr>
                <w:color w:val="000000"/>
                <w:sz w:val="20"/>
                <w:szCs w:val="20"/>
              </w:rPr>
            </w:pPr>
            <w:r w:rsidRPr="00B719D2">
              <w:rPr>
                <w:color w:val="000000"/>
                <w:sz w:val="20"/>
                <w:szCs w:val="20"/>
              </w:rPr>
              <w:t>$28,812,875</w:t>
            </w:r>
          </w:p>
        </w:tc>
      </w:tr>
      <w:tr w14:paraId="02DCC1BA" w14:textId="77777777" w:rsidTr="00172D8C">
        <w:tblPrEx>
          <w:tblW w:w="9737" w:type="dxa"/>
          <w:tblLook w:val="04A0"/>
        </w:tblPrEx>
        <w:trPr>
          <w:trHeight w:val="116"/>
        </w:trPr>
        <w:tc>
          <w:tcPr>
            <w:tcW w:w="810" w:type="dxa"/>
            <w:vMerge/>
            <w:noWrap/>
            <w:hideMark/>
          </w:tcPr>
          <w:p w:rsidR="00E459A6" w:rsidRPr="002B70A5" w:rsidP="00E459A6" w14:paraId="25398DF7" w14:textId="77777777">
            <w:pPr>
              <w:rPr>
                <w:color w:val="000000"/>
                <w:sz w:val="20"/>
                <w:szCs w:val="20"/>
              </w:rPr>
            </w:pPr>
          </w:p>
        </w:tc>
        <w:tc>
          <w:tcPr>
            <w:tcW w:w="3150" w:type="dxa"/>
            <w:shd w:val="clear" w:color="auto" w:fill="auto"/>
            <w:noWrap/>
            <w:vAlign w:val="center"/>
            <w:hideMark/>
          </w:tcPr>
          <w:p w:rsidR="00E459A6" w:rsidRPr="002B70A5" w:rsidP="00E459A6" w14:paraId="2C07FA19" w14:textId="51AB0E6D">
            <w:pPr>
              <w:rPr>
                <w:color w:val="000000"/>
                <w:sz w:val="20"/>
                <w:szCs w:val="20"/>
              </w:rPr>
            </w:pPr>
            <w:r w:rsidRPr="000E0E60">
              <w:rPr>
                <w:color w:val="000000"/>
                <w:sz w:val="20"/>
                <w:szCs w:val="20"/>
              </w:rPr>
              <w:t>Recordkeeping</w:t>
            </w:r>
            <w:r>
              <w:rPr>
                <w:color w:val="000000"/>
                <w:sz w:val="20"/>
                <w:szCs w:val="20"/>
              </w:rPr>
              <w:t>/Periodic Requests</w:t>
            </w:r>
          </w:p>
        </w:tc>
        <w:tc>
          <w:tcPr>
            <w:tcW w:w="1461" w:type="dxa"/>
            <w:shd w:val="clear" w:color="auto" w:fill="auto"/>
            <w:noWrap/>
            <w:vAlign w:val="bottom"/>
            <w:hideMark/>
          </w:tcPr>
          <w:p w:rsidR="00E459A6" w:rsidRPr="0073041A" w:rsidP="00E459A6" w14:paraId="491261DB" w14:textId="71B4A8ED">
            <w:pPr>
              <w:jc w:val="right"/>
              <w:rPr>
                <w:color w:val="000000"/>
                <w:sz w:val="20"/>
                <w:szCs w:val="20"/>
              </w:rPr>
            </w:pPr>
            <w:r w:rsidRPr="00E459A6">
              <w:rPr>
                <w:color w:val="000000"/>
                <w:sz w:val="20"/>
                <w:szCs w:val="20"/>
              </w:rPr>
              <w:t>$1,387,059</w:t>
            </w:r>
          </w:p>
        </w:tc>
        <w:tc>
          <w:tcPr>
            <w:tcW w:w="1366" w:type="dxa"/>
            <w:shd w:val="clear" w:color="auto" w:fill="auto"/>
            <w:noWrap/>
            <w:vAlign w:val="bottom"/>
            <w:hideMark/>
          </w:tcPr>
          <w:p w:rsidR="00E459A6" w:rsidRPr="0073041A" w:rsidP="00E459A6" w14:paraId="6140E10E" w14:textId="2A92B84B">
            <w:pPr>
              <w:jc w:val="right"/>
              <w:rPr>
                <w:color w:val="000000"/>
                <w:sz w:val="20"/>
                <w:szCs w:val="20"/>
              </w:rPr>
            </w:pPr>
            <w:r w:rsidRPr="00E459A6">
              <w:rPr>
                <w:color w:val="000000"/>
                <w:sz w:val="20"/>
                <w:szCs w:val="20"/>
              </w:rPr>
              <w:t>$1,387,059</w:t>
            </w:r>
          </w:p>
        </w:tc>
        <w:tc>
          <w:tcPr>
            <w:tcW w:w="1440" w:type="dxa"/>
            <w:shd w:val="clear" w:color="auto" w:fill="auto"/>
            <w:noWrap/>
            <w:vAlign w:val="bottom"/>
            <w:hideMark/>
          </w:tcPr>
          <w:p w:rsidR="00E459A6" w:rsidRPr="0073041A" w:rsidP="00E459A6" w14:paraId="1106AF67" w14:textId="097C3C40">
            <w:pPr>
              <w:jc w:val="right"/>
              <w:rPr>
                <w:color w:val="000000"/>
                <w:sz w:val="20"/>
                <w:szCs w:val="20"/>
              </w:rPr>
            </w:pPr>
            <w:r w:rsidRPr="00E459A6">
              <w:rPr>
                <w:color w:val="000000"/>
                <w:sz w:val="20"/>
                <w:szCs w:val="20"/>
              </w:rPr>
              <w:t>$1,387,059</w:t>
            </w:r>
          </w:p>
        </w:tc>
        <w:tc>
          <w:tcPr>
            <w:tcW w:w="1510" w:type="dxa"/>
            <w:shd w:val="clear" w:color="auto" w:fill="auto"/>
            <w:noWrap/>
            <w:vAlign w:val="bottom"/>
            <w:hideMark/>
          </w:tcPr>
          <w:p w:rsidR="00E459A6" w:rsidRPr="00B719D2" w:rsidP="00E459A6" w14:paraId="4883C9AD" w14:textId="312B82B3">
            <w:pPr>
              <w:jc w:val="right"/>
              <w:rPr>
                <w:color w:val="000000"/>
                <w:sz w:val="20"/>
                <w:szCs w:val="20"/>
              </w:rPr>
            </w:pPr>
            <w:r w:rsidRPr="00E459A6">
              <w:rPr>
                <w:color w:val="000000"/>
                <w:sz w:val="20"/>
                <w:szCs w:val="20"/>
              </w:rPr>
              <w:t>$4,161,177</w:t>
            </w:r>
          </w:p>
        </w:tc>
      </w:tr>
      <w:tr w14:paraId="34A5A26E" w14:textId="77777777" w:rsidTr="00172D8C">
        <w:tblPrEx>
          <w:tblW w:w="9737" w:type="dxa"/>
          <w:tblLook w:val="04A0"/>
        </w:tblPrEx>
        <w:trPr>
          <w:trHeight w:val="50"/>
        </w:trPr>
        <w:tc>
          <w:tcPr>
            <w:tcW w:w="810" w:type="dxa"/>
            <w:vMerge w:val="restart"/>
            <w:shd w:val="clear" w:color="auto" w:fill="auto"/>
            <w:noWrap/>
            <w:hideMark/>
          </w:tcPr>
          <w:p w:rsidR="00C760BD" w:rsidRPr="002B70A5" w:rsidP="00C760BD" w14:paraId="6A00A1CF" w14:textId="3E8D69AA">
            <w:pPr>
              <w:rPr>
                <w:color w:val="000000"/>
                <w:sz w:val="20"/>
                <w:szCs w:val="20"/>
              </w:rPr>
            </w:pPr>
            <w:r w:rsidRPr="09D463DE">
              <w:rPr>
                <w:color w:val="000000" w:themeColor="text1"/>
                <w:sz w:val="20"/>
                <w:szCs w:val="20"/>
              </w:rPr>
              <w:t xml:space="preserve">Large </w:t>
            </w:r>
            <w:r>
              <w:rPr>
                <w:color w:val="000000" w:themeColor="text1"/>
                <w:sz w:val="20"/>
                <w:szCs w:val="20"/>
              </w:rPr>
              <w:t>Bus</w:t>
            </w:r>
            <w:r w:rsidRPr="09D463DE">
              <w:rPr>
                <w:color w:val="000000" w:themeColor="text1"/>
                <w:sz w:val="20"/>
                <w:szCs w:val="20"/>
              </w:rPr>
              <w:t xml:space="preserve"> 5307</w:t>
            </w:r>
          </w:p>
        </w:tc>
        <w:tc>
          <w:tcPr>
            <w:tcW w:w="3150" w:type="dxa"/>
            <w:shd w:val="clear" w:color="auto" w:fill="auto"/>
            <w:noWrap/>
            <w:vAlign w:val="center"/>
            <w:hideMark/>
          </w:tcPr>
          <w:p w:rsidR="00C760BD" w:rsidRPr="002B70A5" w:rsidP="00C760BD" w14:paraId="354C669B" w14:textId="274291EB">
            <w:pPr>
              <w:rPr>
                <w:color w:val="000000"/>
                <w:sz w:val="20"/>
                <w:szCs w:val="20"/>
              </w:rPr>
            </w:pPr>
            <w:r w:rsidRPr="000E0E60">
              <w:rPr>
                <w:color w:val="000000"/>
                <w:sz w:val="20"/>
                <w:szCs w:val="20"/>
              </w:rPr>
              <w:t>Development/Certification</w:t>
            </w:r>
          </w:p>
        </w:tc>
        <w:tc>
          <w:tcPr>
            <w:tcW w:w="1461" w:type="dxa"/>
            <w:shd w:val="clear" w:color="auto" w:fill="auto"/>
            <w:noWrap/>
            <w:vAlign w:val="bottom"/>
            <w:hideMark/>
          </w:tcPr>
          <w:p w:rsidR="00C760BD" w:rsidRPr="0073041A" w:rsidP="004A6957" w14:paraId="4F092212" w14:textId="521B79B8">
            <w:pPr>
              <w:jc w:val="right"/>
              <w:rPr>
                <w:color w:val="000000"/>
                <w:sz w:val="20"/>
                <w:szCs w:val="20"/>
              </w:rPr>
            </w:pPr>
            <w:r w:rsidRPr="00E050D3">
              <w:rPr>
                <w:color w:val="000000"/>
                <w:sz w:val="20"/>
                <w:szCs w:val="20"/>
              </w:rPr>
              <w:t>$838,369</w:t>
            </w:r>
          </w:p>
        </w:tc>
        <w:tc>
          <w:tcPr>
            <w:tcW w:w="1366" w:type="dxa"/>
            <w:shd w:val="clear" w:color="auto" w:fill="auto"/>
            <w:noWrap/>
            <w:vAlign w:val="bottom"/>
            <w:hideMark/>
          </w:tcPr>
          <w:p w:rsidR="00C760BD" w:rsidRPr="0073041A" w:rsidP="00B719D2" w14:paraId="2C6CFD9B" w14:textId="03197551">
            <w:pPr>
              <w:jc w:val="right"/>
              <w:rPr>
                <w:color w:val="000000"/>
                <w:sz w:val="20"/>
                <w:szCs w:val="20"/>
              </w:rPr>
            </w:pPr>
            <w:r w:rsidRPr="00E050D3">
              <w:rPr>
                <w:color w:val="000000"/>
                <w:sz w:val="20"/>
                <w:szCs w:val="20"/>
              </w:rPr>
              <w:t>$8,770</w:t>
            </w:r>
          </w:p>
        </w:tc>
        <w:tc>
          <w:tcPr>
            <w:tcW w:w="1440" w:type="dxa"/>
            <w:shd w:val="clear" w:color="auto" w:fill="auto"/>
            <w:noWrap/>
            <w:vAlign w:val="bottom"/>
            <w:hideMark/>
          </w:tcPr>
          <w:p w:rsidR="00C760BD" w:rsidRPr="00E454DE" w:rsidP="00C760BD" w14:paraId="6C4A00D1" w14:textId="02B6665E">
            <w:pPr>
              <w:jc w:val="right"/>
              <w:rPr>
                <w:color w:val="000000"/>
                <w:sz w:val="20"/>
                <w:szCs w:val="20"/>
              </w:rPr>
            </w:pPr>
            <w:r w:rsidRPr="00E050D3">
              <w:rPr>
                <w:color w:val="000000"/>
                <w:sz w:val="20"/>
                <w:szCs w:val="20"/>
              </w:rPr>
              <w:t>$8,770</w:t>
            </w:r>
          </w:p>
        </w:tc>
        <w:tc>
          <w:tcPr>
            <w:tcW w:w="1510" w:type="dxa"/>
            <w:shd w:val="clear" w:color="auto" w:fill="auto"/>
            <w:noWrap/>
            <w:vAlign w:val="bottom"/>
            <w:hideMark/>
          </w:tcPr>
          <w:p w:rsidR="00C760BD" w:rsidRPr="00B719D2" w:rsidP="00C760BD" w14:paraId="6E0E4623" w14:textId="2A81D1A2">
            <w:pPr>
              <w:jc w:val="right"/>
              <w:rPr>
                <w:color w:val="000000"/>
                <w:sz w:val="20"/>
                <w:szCs w:val="20"/>
              </w:rPr>
            </w:pPr>
            <w:r w:rsidRPr="00B719D2">
              <w:rPr>
                <w:color w:val="000000"/>
                <w:sz w:val="20"/>
                <w:szCs w:val="20"/>
              </w:rPr>
              <w:t>$855,909</w:t>
            </w:r>
          </w:p>
        </w:tc>
      </w:tr>
      <w:tr w14:paraId="0E82D744" w14:textId="77777777" w:rsidTr="00172D8C">
        <w:tblPrEx>
          <w:tblW w:w="9737" w:type="dxa"/>
          <w:tblLook w:val="04A0"/>
        </w:tblPrEx>
        <w:trPr>
          <w:trHeight w:val="50"/>
        </w:trPr>
        <w:tc>
          <w:tcPr>
            <w:tcW w:w="810" w:type="dxa"/>
            <w:vMerge/>
            <w:noWrap/>
          </w:tcPr>
          <w:p w:rsidR="00C760BD" w:rsidRPr="002B70A5" w:rsidP="00C760BD" w14:paraId="640A7B0E" w14:textId="77777777">
            <w:pPr>
              <w:rPr>
                <w:color w:val="000000"/>
                <w:sz w:val="20"/>
                <w:szCs w:val="20"/>
              </w:rPr>
            </w:pPr>
          </w:p>
        </w:tc>
        <w:tc>
          <w:tcPr>
            <w:tcW w:w="3150" w:type="dxa"/>
            <w:shd w:val="clear" w:color="auto" w:fill="auto"/>
            <w:noWrap/>
            <w:vAlign w:val="center"/>
          </w:tcPr>
          <w:p w:rsidR="00C760BD" w:rsidRPr="000E0E60" w:rsidP="00C760BD" w14:paraId="011FC166" w14:textId="3FE4BAD7">
            <w:pPr>
              <w:rPr>
                <w:color w:val="000000"/>
                <w:sz w:val="20"/>
                <w:szCs w:val="20"/>
              </w:rPr>
            </w:pPr>
            <w:r w:rsidRPr="000E0E60">
              <w:rPr>
                <w:color w:val="000000"/>
                <w:sz w:val="20"/>
                <w:szCs w:val="20"/>
              </w:rPr>
              <w:t>Implement/ Document</w:t>
            </w:r>
          </w:p>
        </w:tc>
        <w:tc>
          <w:tcPr>
            <w:tcW w:w="1461" w:type="dxa"/>
            <w:shd w:val="clear" w:color="auto" w:fill="auto"/>
            <w:noWrap/>
            <w:vAlign w:val="bottom"/>
          </w:tcPr>
          <w:p w:rsidR="00C760BD" w:rsidRPr="0073041A" w:rsidP="004A6957" w14:paraId="3A4B1C74" w14:textId="51540824">
            <w:pPr>
              <w:jc w:val="right"/>
              <w:rPr>
                <w:color w:val="000000"/>
                <w:sz w:val="20"/>
                <w:szCs w:val="20"/>
              </w:rPr>
            </w:pPr>
            <w:r w:rsidRPr="00E050D3">
              <w:rPr>
                <w:color w:val="000000"/>
                <w:sz w:val="20"/>
                <w:szCs w:val="20"/>
              </w:rPr>
              <w:t>$5,649,428</w:t>
            </w:r>
          </w:p>
        </w:tc>
        <w:tc>
          <w:tcPr>
            <w:tcW w:w="1366" w:type="dxa"/>
            <w:shd w:val="clear" w:color="auto" w:fill="auto"/>
            <w:noWrap/>
            <w:vAlign w:val="bottom"/>
          </w:tcPr>
          <w:p w:rsidR="00C760BD" w:rsidRPr="0073041A" w:rsidP="00C760BD" w14:paraId="6E8F6308" w14:textId="1FC92C8A">
            <w:pPr>
              <w:jc w:val="right"/>
              <w:rPr>
                <w:color w:val="000000"/>
                <w:sz w:val="20"/>
                <w:szCs w:val="20"/>
              </w:rPr>
            </w:pPr>
            <w:r w:rsidRPr="00E050D3">
              <w:rPr>
                <w:color w:val="000000"/>
                <w:sz w:val="20"/>
                <w:szCs w:val="20"/>
              </w:rPr>
              <w:t>$5,649,428</w:t>
            </w:r>
          </w:p>
        </w:tc>
        <w:tc>
          <w:tcPr>
            <w:tcW w:w="1440" w:type="dxa"/>
            <w:shd w:val="clear" w:color="auto" w:fill="auto"/>
            <w:noWrap/>
            <w:vAlign w:val="bottom"/>
          </w:tcPr>
          <w:p w:rsidR="00C760BD" w:rsidRPr="0073041A" w:rsidP="00C760BD" w14:paraId="0DD72DDC" w14:textId="03BE6D59">
            <w:pPr>
              <w:jc w:val="right"/>
              <w:rPr>
                <w:color w:val="000000"/>
                <w:sz w:val="20"/>
                <w:szCs w:val="20"/>
              </w:rPr>
            </w:pPr>
            <w:r w:rsidRPr="00E050D3">
              <w:rPr>
                <w:color w:val="000000"/>
                <w:sz w:val="20"/>
                <w:szCs w:val="20"/>
              </w:rPr>
              <w:t>$5,649,428</w:t>
            </w:r>
          </w:p>
        </w:tc>
        <w:tc>
          <w:tcPr>
            <w:tcW w:w="1510" w:type="dxa"/>
            <w:shd w:val="clear" w:color="auto" w:fill="auto"/>
            <w:noWrap/>
            <w:vAlign w:val="bottom"/>
          </w:tcPr>
          <w:p w:rsidR="00C760BD" w:rsidRPr="00B719D2" w:rsidP="00C760BD" w14:paraId="1306FF75" w14:textId="3B75A030">
            <w:pPr>
              <w:jc w:val="right"/>
              <w:rPr>
                <w:color w:val="000000"/>
                <w:sz w:val="20"/>
                <w:szCs w:val="20"/>
              </w:rPr>
            </w:pPr>
            <w:r w:rsidRPr="00B719D2">
              <w:rPr>
                <w:color w:val="000000"/>
                <w:sz w:val="20"/>
                <w:szCs w:val="20"/>
              </w:rPr>
              <w:t>$16,948,285</w:t>
            </w:r>
          </w:p>
        </w:tc>
      </w:tr>
      <w:tr w14:paraId="52E6109A" w14:textId="77777777" w:rsidTr="00172D8C">
        <w:tblPrEx>
          <w:tblW w:w="9737" w:type="dxa"/>
          <w:tblLook w:val="04A0"/>
        </w:tblPrEx>
        <w:trPr>
          <w:trHeight w:val="50"/>
        </w:trPr>
        <w:tc>
          <w:tcPr>
            <w:tcW w:w="810" w:type="dxa"/>
            <w:vMerge/>
            <w:noWrap/>
            <w:hideMark/>
          </w:tcPr>
          <w:p w:rsidR="00EB0B93" w:rsidRPr="002B70A5" w:rsidP="00EB0B93" w14:paraId="51551739" w14:textId="77777777">
            <w:pPr>
              <w:rPr>
                <w:color w:val="000000"/>
                <w:sz w:val="20"/>
                <w:szCs w:val="20"/>
              </w:rPr>
            </w:pPr>
          </w:p>
        </w:tc>
        <w:tc>
          <w:tcPr>
            <w:tcW w:w="3150" w:type="dxa"/>
            <w:shd w:val="clear" w:color="auto" w:fill="auto"/>
            <w:noWrap/>
            <w:vAlign w:val="center"/>
            <w:hideMark/>
          </w:tcPr>
          <w:p w:rsidR="00EB0B93" w:rsidRPr="002B70A5" w:rsidP="00EB0B93" w14:paraId="4868C790" w14:textId="27840B3E">
            <w:pPr>
              <w:rPr>
                <w:color w:val="000000"/>
                <w:sz w:val="20"/>
                <w:szCs w:val="20"/>
              </w:rPr>
            </w:pPr>
            <w:r w:rsidRPr="000E0E60">
              <w:rPr>
                <w:color w:val="000000"/>
                <w:sz w:val="20"/>
                <w:szCs w:val="20"/>
              </w:rPr>
              <w:t>Recordkeeping</w:t>
            </w:r>
            <w:r>
              <w:rPr>
                <w:color w:val="000000"/>
                <w:sz w:val="20"/>
                <w:szCs w:val="20"/>
              </w:rPr>
              <w:t>/Periodic Requests</w:t>
            </w:r>
          </w:p>
        </w:tc>
        <w:tc>
          <w:tcPr>
            <w:tcW w:w="1461" w:type="dxa"/>
            <w:shd w:val="clear" w:color="auto" w:fill="auto"/>
            <w:noWrap/>
            <w:vAlign w:val="bottom"/>
            <w:hideMark/>
          </w:tcPr>
          <w:p w:rsidR="00EB0B93" w:rsidRPr="0073041A" w:rsidP="00EB0B93" w14:paraId="76BCC1B1" w14:textId="5F9BDDC2">
            <w:pPr>
              <w:jc w:val="right"/>
              <w:rPr>
                <w:color w:val="000000"/>
                <w:sz w:val="20"/>
                <w:szCs w:val="20"/>
              </w:rPr>
            </w:pPr>
            <w:r w:rsidRPr="00EB0B93">
              <w:rPr>
                <w:color w:val="000000"/>
                <w:sz w:val="20"/>
                <w:szCs w:val="20"/>
              </w:rPr>
              <w:t>$1,314,388</w:t>
            </w:r>
          </w:p>
        </w:tc>
        <w:tc>
          <w:tcPr>
            <w:tcW w:w="1366" w:type="dxa"/>
            <w:shd w:val="clear" w:color="auto" w:fill="auto"/>
            <w:noWrap/>
            <w:vAlign w:val="bottom"/>
            <w:hideMark/>
          </w:tcPr>
          <w:p w:rsidR="00EB0B93" w:rsidRPr="0073041A" w:rsidP="00EB0B93" w14:paraId="425F9019" w14:textId="38FC3510">
            <w:pPr>
              <w:jc w:val="right"/>
              <w:rPr>
                <w:color w:val="000000"/>
                <w:sz w:val="20"/>
                <w:szCs w:val="20"/>
              </w:rPr>
            </w:pPr>
            <w:r w:rsidRPr="00EB0B93">
              <w:rPr>
                <w:color w:val="000000"/>
                <w:sz w:val="20"/>
                <w:szCs w:val="20"/>
              </w:rPr>
              <w:t>$1,314,388</w:t>
            </w:r>
          </w:p>
        </w:tc>
        <w:tc>
          <w:tcPr>
            <w:tcW w:w="1440" w:type="dxa"/>
            <w:shd w:val="clear" w:color="auto" w:fill="auto"/>
            <w:noWrap/>
            <w:vAlign w:val="bottom"/>
            <w:hideMark/>
          </w:tcPr>
          <w:p w:rsidR="00EB0B93" w:rsidRPr="0073041A" w:rsidP="00EB0B93" w14:paraId="6727DF07" w14:textId="2FF3CF8C">
            <w:pPr>
              <w:jc w:val="right"/>
              <w:rPr>
                <w:color w:val="000000"/>
                <w:sz w:val="20"/>
                <w:szCs w:val="20"/>
              </w:rPr>
            </w:pPr>
            <w:r w:rsidRPr="00EB0B93">
              <w:rPr>
                <w:color w:val="000000"/>
                <w:sz w:val="20"/>
                <w:szCs w:val="20"/>
              </w:rPr>
              <w:t>$1,314,388</w:t>
            </w:r>
          </w:p>
        </w:tc>
        <w:tc>
          <w:tcPr>
            <w:tcW w:w="1510" w:type="dxa"/>
            <w:shd w:val="clear" w:color="auto" w:fill="auto"/>
            <w:noWrap/>
            <w:vAlign w:val="bottom"/>
            <w:hideMark/>
          </w:tcPr>
          <w:p w:rsidR="00EB0B93" w:rsidRPr="00B719D2" w:rsidP="00EB0B93" w14:paraId="7FA40879" w14:textId="115884A7">
            <w:pPr>
              <w:jc w:val="right"/>
              <w:rPr>
                <w:color w:val="000000"/>
                <w:sz w:val="20"/>
                <w:szCs w:val="20"/>
              </w:rPr>
            </w:pPr>
            <w:r w:rsidRPr="00EB0B93">
              <w:rPr>
                <w:color w:val="000000"/>
                <w:sz w:val="20"/>
                <w:szCs w:val="20"/>
              </w:rPr>
              <w:t>$3,943,164</w:t>
            </w:r>
          </w:p>
        </w:tc>
      </w:tr>
      <w:tr w14:paraId="7F3CF99B" w14:textId="77777777" w:rsidTr="00172D8C">
        <w:tblPrEx>
          <w:tblW w:w="9737" w:type="dxa"/>
          <w:tblLook w:val="04A0"/>
        </w:tblPrEx>
        <w:trPr>
          <w:trHeight w:val="50"/>
        </w:trPr>
        <w:tc>
          <w:tcPr>
            <w:tcW w:w="810" w:type="dxa"/>
            <w:vMerge w:val="restart"/>
            <w:shd w:val="clear" w:color="auto" w:fill="auto"/>
            <w:noWrap/>
            <w:hideMark/>
          </w:tcPr>
          <w:p w:rsidR="00C760BD" w:rsidRPr="002B70A5" w:rsidP="00C760BD" w14:paraId="5F17CD85" w14:textId="30839F3C">
            <w:pPr>
              <w:rPr>
                <w:color w:val="000000"/>
                <w:sz w:val="20"/>
                <w:szCs w:val="20"/>
              </w:rPr>
            </w:pPr>
            <w:r w:rsidRPr="09D463DE">
              <w:rPr>
                <w:color w:val="000000" w:themeColor="text1"/>
                <w:sz w:val="20"/>
                <w:szCs w:val="20"/>
              </w:rPr>
              <w:t>Small 5307</w:t>
            </w:r>
          </w:p>
        </w:tc>
        <w:tc>
          <w:tcPr>
            <w:tcW w:w="3150" w:type="dxa"/>
            <w:shd w:val="clear" w:color="auto" w:fill="auto"/>
            <w:noWrap/>
            <w:vAlign w:val="center"/>
            <w:hideMark/>
          </w:tcPr>
          <w:p w:rsidR="00C760BD" w:rsidRPr="002B70A5" w:rsidP="00C760BD" w14:paraId="2F343E89" w14:textId="1A157742">
            <w:pPr>
              <w:rPr>
                <w:color w:val="000000"/>
                <w:sz w:val="20"/>
                <w:szCs w:val="20"/>
              </w:rPr>
            </w:pPr>
            <w:r w:rsidRPr="000E0E60">
              <w:rPr>
                <w:color w:val="000000"/>
                <w:sz w:val="20"/>
                <w:szCs w:val="20"/>
              </w:rPr>
              <w:t>Development/Certification</w:t>
            </w:r>
          </w:p>
        </w:tc>
        <w:tc>
          <w:tcPr>
            <w:tcW w:w="1461" w:type="dxa"/>
            <w:shd w:val="clear" w:color="auto" w:fill="auto"/>
            <w:noWrap/>
            <w:vAlign w:val="bottom"/>
            <w:hideMark/>
          </w:tcPr>
          <w:p w:rsidR="00C760BD" w:rsidRPr="0073041A" w:rsidP="004A6957" w14:paraId="024FD1BC" w14:textId="1E8A8CEB">
            <w:pPr>
              <w:jc w:val="right"/>
              <w:rPr>
                <w:color w:val="000000"/>
                <w:sz w:val="20"/>
                <w:szCs w:val="20"/>
              </w:rPr>
            </w:pPr>
            <w:r w:rsidRPr="00E050D3">
              <w:rPr>
                <w:color w:val="000000"/>
                <w:sz w:val="20"/>
                <w:szCs w:val="20"/>
              </w:rPr>
              <w:t>$2,915,878</w:t>
            </w:r>
          </w:p>
        </w:tc>
        <w:tc>
          <w:tcPr>
            <w:tcW w:w="1366" w:type="dxa"/>
            <w:shd w:val="clear" w:color="auto" w:fill="auto"/>
            <w:noWrap/>
            <w:vAlign w:val="bottom"/>
            <w:hideMark/>
          </w:tcPr>
          <w:p w:rsidR="00C760BD" w:rsidRPr="0073041A" w:rsidP="00C760BD" w14:paraId="4B2DC31B" w14:textId="444CD90E">
            <w:pPr>
              <w:jc w:val="right"/>
              <w:rPr>
                <w:color w:val="000000"/>
                <w:sz w:val="20"/>
                <w:szCs w:val="20"/>
              </w:rPr>
            </w:pPr>
            <w:r w:rsidRPr="00E050D3">
              <w:rPr>
                <w:color w:val="000000"/>
                <w:sz w:val="20"/>
                <w:szCs w:val="20"/>
              </w:rPr>
              <w:t>$4,150</w:t>
            </w:r>
          </w:p>
        </w:tc>
        <w:tc>
          <w:tcPr>
            <w:tcW w:w="1440" w:type="dxa"/>
            <w:shd w:val="clear" w:color="auto" w:fill="auto"/>
            <w:noWrap/>
            <w:vAlign w:val="bottom"/>
            <w:hideMark/>
          </w:tcPr>
          <w:p w:rsidR="00C760BD" w:rsidRPr="00E454DE" w:rsidP="00C760BD" w14:paraId="35A2CA4A" w14:textId="532FC514">
            <w:pPr>
              <w:jc w:val="right"/>
              <w:rPr>
                <w:color w:val="000000"/>
                <w:sz w:val="20"/>
                <w:szCs w:val="20"/>
              </w:rPr>
            </w:pPr>
            <w:r w:rsidRPr="00E050D3">
              <w:rPr>
                <w:color w:val="000000"/>
                <w:sz w:val="20"/>
                <w:szCs w:val="20"/>
              </w:rPr>
              <w:t>$4,150</w:t>
            </w:r>
          </w:p>
        </w:tc>
        <w:tc>
          <w:tcPr>
            <w:tcW w:w="1510" w:type="dxa"/>
            <w:shd w:val="clear" w:color="auto" w:fill="auto"/>
            <w:noWrap/>
            <w:vAlign w:val="bottom"/>
            <w:hideMark/>
          </w:tcPr>
          <w:p w:rsidR="00C760BD" w:rsidRPr="00B719D2" w:rsidP="00C760BD" w14:paraId="41373D71" w14:textId="6AA865AE">
            <w:pPr>
              <w:jc w:val="right"/>
              <w:rPr>
                <w:color w:val="000000"/>
                <w:sz w:val="20"/>
                <w:szCs w:val="20"/>
              </w:rPr>
            </w:pPr>
            <w:r w:rsidRPr="00B719D2">
              <w:rPr>
                <w:color w:val="000000"/>
                <w:sz w:val="20"/>
                <w:szCs w:val="20"/>
              </w:rPr>
              <w:t>$2,924,178</w:t>
            </w:r>
          </w:p>
        </w:tc>
      </w:tr>
      <w:tr w14:paraId="209497DB" w14:textId="77777777" w:rsidTr="00172D8C">
        <w:tblPrEx>
          <w:tblW w:w="9737" w:type="dxa"/>
          <w:tblLook w:val="04A0"/>
        </w:tblPrEx>
        <w:trPr>
          <w:trHeight w:val="62"/>
        </w:trPr>
        <w:tc>
          <w:tcPr>
            <w:tcW w:w="810" w:type="dxa"/>
            <w:vMerge/>
            <w:noWrap/>
            <w:vAlign w:val="bottom"/>
          </w:tcPr>
          <w:p w:rsidR="00C760BD" w:rsidRPr="002B70A5" w:rsidP="00C760BD" w14:paraId="6AAD59EA" w14:textId="77777777">
            <w:pPr>
              <w:rPr>
                <w:color w:val="000000"/>
                <w:sz w:val="20"/>
                <w:szCs w:val="20"/>
              </w:rPr>
            </w:pPr>
          </w:p>
        </w:tc>
        <w:tc>
          <w:tcPr>
            <w:tcW w:w="3150" w:type="dxa"/>
            <w:shd w:val="clear" w:color="auto" w:fill="auto"/>
            <w:noWrap/>
            <w:vAlign w:val="center"/>
          </w:tcPr>
          <w:p w:rsidR="00C760BD" w:rsidRPr="000E0E60" w:rsidP="00C760BD" w14:paraId="175F531B" w14:textId="448CD214">
            <w:pPr>
              <w:rPr>
                <w:color w:val="000000"/>
                <w:sz w:val="20"/>
                <w:szCs w:val="20"/>
              </w:rPr>
            </w:pPr>
            <w:r w:rsidRPr="000E0E60">
              <w:rPr>
                <w:color w:val="000000"/>
                <w:sz w:val="20"/>
                <w:szCs w:val="20"/>
              </w:rPr>
              <w:t>Implement/ Document</w:t>
            </w:r>
          </w:p>
        </w:tc>
        <w:tc>
          <w:tcPr>
            <w:tcW w:w="1461" w:type="dxa"/>
            <w:shd w:val="clear" w:color="auto" w:fill="auto"/>
            <w:noWrap/>
            <w:vAlign w:val="bottom"/>
          </w:tcPr>
          <w:p w:rsidR="00C760BD" w:rsidRPr="0073041A" w:rsidP="004A6957" w14:paraId="3F03F844" w14:textId="5951C71C">
            <w:pPr>
              <w:jc w:val="right"/>
              <w:rPr>
                <w:color w:val="000000"/>
                <w:sz w:val="20"/>
                <w:szCs w:val="20"/>
              </w:rPr>
            </w:pPr>
            <w:r w:rsidRPr="00E050D3">
              <w:rPr>
                <w:color w:val="000000"/>
                <w:sz w:val="20"/>
                <w:szCs w:val="20"/>
              </w:rPr>
              <w:t>$13,202,190</w:t>
            </w:r>
          </w:p>
        </w:tc>
        <w:tc>
          <w:tcPr>
            <w:tcW w:w="1366" w:type="dxa"/>
            <w:shd w:val="clear" w:color="auto" w:fill="auto"/>
            <w:noWrap/>
            <w:vAlign w:val="bottom"/>
          </w:tcPr>
          <w:p w:rsidR="00C760BD" w:rsidRPr="0073041A" w:rsidP="00C760BD" w14:paraId="16583128" w14:textId="31506386">
            <w:pPr>
              <w:jc w:val="right"/>
              <w:rPr>
                <w:color w:val="000000"/>
                <w:sz w:val="20"/>
                <w:szCs w:val="20"/>
              </w:rPr>
            </w:pPr>
            <w:r w:rsidRPr="00E050D3">
              <w:rPr>
                <w:color w:val="000000"/>
                <w:sz w:val="20"/>
                <w:szCs w:val="20"/>
              </w:rPr>
              <w:t>$13,202,190</w:t>
            </w:r>
          </w:p>
        </w:tc>
        <w:tc>
          <w:tcPr>
            <w:tcW w:w="1440" w:type="dxa"/>
            <w:shd w:val="clear" w:color="auto" w:fill="auto"/>
            <w:noWrap/>
            <w:vAlign w:val="bottom"/>
          </w:tcPr>
          <w:p w:rsidR="00C760BD" w:rsidRPr="0073041A" w:rsidP="00C760BD" w14:paraId="506286F3" w14:textId="7406EA29">
            <w:pPr>
              <w:jc w:val="right"/>
              <w:rPr>
                <w:color w:val="000000"/>
                <w:sz w:val="20"/>
                <w:szCs w:val="20"/>
              </w:rPr>
            </w:pPr>
            <w:r w:rsidRPr="00E050D3">
              <w:rPr>
                <w:color w:val="000000"/>
                <w:sz w:val="20"/>
                <w:szCs w:val="20"/>
              </w:rPr>
              <w:t>$13,202,190</w:t>
            </w:r>
          </w:p>
        </w:tc>
        <w:tc>
          <w:tcPr>
            <w:tcW w:w="1510" w:type="dxa"/>
            <w:shd w:val="clear" w:color="auto" w:fill="auto"/>
            <w:noWrap/>
            <w:vAlign w:val="bottom"/>
          </w:tcPr>
          <w:p w:rsidR="00C760BD" w:rsidRPr="00B719D2" w:rsidP="00C760BD" w14:paraId="6EDFF3B0" w14:textId="485228F8">
            <w:pPr>
              <w:jc w:val="right"/>
              <w:rPr>
                <w:color w:val="000000"/>
                <w:sz w:val="20"/>
                <w:szCs w:val="20"/>
              </w:rPr>
            </w:pPr>
            <w:r w:rsidRPr="00B719D2">
              <w:rPr>
                <w:color w:val="000000"/>
                <w:sz w:val="20"/>
                <w:szCs w:val="20"/>
              </w:rPr>
              <w:t>$39,606,570</w:t>
            </w:r>
          </w:p>
        </w:tc>
      </w:tr>
      <w:tr w14:paraId="0A4A3719" w14:textId="77777777" w:rsidTr="00172D8C">
        <w:tblPrEx>
          <w:tblW w:w="9737" w:type="dxa"/>
          <w:tblLook w:val="04A0"/>
        </w:tblPrEx>
        <w:trPr>
          <w:trHeight w:val="62"/>
        </w:trPr>
        <w:tc>
          <w:tcPr>
            <w:tcW w:w="810" w:type="dxa"/>
            <w:vMerge/>
            <w:noWrap/>
            <w:vAlign w:val="bottom"/>
            <w:hideMark/>
          </w:tcPr>
          <w:p w:rsidR="00065088" w:rsidRPr="002B70A5" w:rsidP="00065088" w14:paraId="61409C2D" w14:textId="77777777">
            <w:pPr>
              <w:rPr>
                <w:color w:val="000000"/>
                <w:sz w:val="20"/>
                <w:szCs w:val="20"/>
              </w:rPr>
            </w:pPr>
          </w:p>
        </w:tc>
        <w:tc>
          <w:tcPr>
            <w:tcW w:w="3150" w:type="dxa"/>
            <w:shd w:val="clear" w:color="auto" w:fill="auto"/>
            <w:noWrap/>
            <w:vAlign w:val="center"/>
            <w:hideMark/>
          </w:tcPr>
          <w:p w:rsidR="00065088" w:rsidRPr="002B70A5" w:rsidP="00065088" w14:paraId="06B467B5" w14:textId="0FB02444">
            <w:pPr>
              <w:rPr>
                <w:color w:val="000000"/>
                <w:sz w:val="20"/>
                <w:szCs w:val="20"/>
              </w:rPr>
            </w:pPr>
            <w:r w:rsidRPr="000E0E60">
              <w:rPr>
                <w:color w:val="000000"/>
                <w:sz w:val="20"/>
                <w:szCs w:val="20"/>
              </w:rPr>
              <w:t>Recordkeeping</w:t>
            </w:r>
            <w:r>
              <w:rPr>
                <w:color w:val="000000"/>
                <w:sz w:val="20"/>
                <w:szCs w:val="20"/>
              </w:rPr>
              <w:t>/Periodic Requests</w:t>
            </w:r>
          </w:p>
        </w:tc>
        <w:tc>
          <w:tcPr>
            <w:tcW w:w="1461" w:type="dxa"/>
            <w:shd w:val="clear" w:color="auto" w:fill="auto"/>
            <w:noWrap/>
            <w:vAlign w:val="bottom"/>
            <w:hideMark/>
          </w:tcPr>
          <w:p w:rsidR="00065088" w:rsidRPr="0073041A" w:rsidP="00065088" w14:paraId="51FB39CF" w14:textId="10C92D4B">
            <w:pPr>
              <w:jc w:val="right"/>
              <w:rPr>
                <w:color w:val="000000"/>
                <w:sz w:val="20"/>
                <w:szCs w:val="20"/>
              </w:rPr>
            </w:pPr>
            <w:r w:rsidRPr="00065088">
              <w:rPr>
                <w:color w:val="000000"/>
                <w:sz w:val="20"/>
                <w:szCs w:val="20"/>
              </w:rPr>
              <w:t>$3,499,226</w:t>
            </w:r>
          </w:p>
        </w:tc>
        <w:tc>
          <w:tcPr>
            <w:tcW w:w="1366" w:type="dxa"/>
            <w:shd w:val="clear" w:color="auto" w:fill="auto"/>
            <w:noWrap/>
            <w:vAlign w:val="bottom"/>
            <w:hideMark/>
          </w:tcPr>
          <w:p w:rsidR="00065088" w:rsidRPr="0073041A" w:rsidP="00065088" w14:paraId="2DE596BD" w14:textId="47493426">
            <w:pPr>
              <w:jc w:val="right"/>
              <w:rPr>
                <w:color w:val="000000"/>
                <w:sz w:val="20"/>
                <w:szCs w:val="20"/>
              </w:rPr>
            </w:pPr>
            <w:r w:rsidRPr="00065088">
              <w:rPr>
                <w:color w:val="000000"/>
                <w:sz w:val="20"/>
                <w:szCs w:val="20"/>
              </w:rPr>
              <w:t>$3,499,226</w:t>
            </w:r>
          </w:p>
        </w:tc>
        <w:tc>
          <w:tcPr>
            <w:tcW w:w="1440" w:type="dxa"/>
            <w:shd w:val="clear" w:color="auto" w:fill="auto"/>
            <w:noWrap/>
            <w:vAlign w:val="bottom"/>
            <w:hideMark/>
          </w:tcPr>
          <w:p w:rsidR="00065088" w:rsidRPr="0073041A" w:rsidP="00065088" w14:paraId="5BD490A6" w14:textId="7EB2DD85">
            <w:pPr>
              <w:jc w:val="right"/>
              <w:rPr>
                <w:color w:val="000000"/>
                <w:sz w:val="20"/>
                <w:szCs w:val="20"/>
              </w:rPr>
            </w:pPr>
            <w:r w:rsidRPr="00065088">
              <w:rPr>
                <w:color w:val="000000"/>
                <w:sz w:val="20"/>
                <w:szCs w:val="20"/>
              </w:rPr>
              <w:t>$3,499,226</w:t>
            </w:r>
          </w:p>
        </w:tc>
        <w:tc>
          <w:tcPr>
            <w:tcW w:w="1510" w:type="dxa"/>
            <w:shd w:val="clear" w:color="auto" w:fill="auto"/>
            <w:noWrap/>
            <w:vAlign w:val="bottom"/>
            <w:hideMark/>
          </w:tcPr>
          <w:p w:rsidR="00065088" w:rsidRPr="00B719D2" w:rsidP="00065088" w14:paraId="04BE0ECB" w14:textId="42127183">
            <w:pPr>
              <w:jc w:val="right"/>
              <w:rPr>
                <w:color w:val="000000"/>
                <w:sz w:val="20"/>
                <w:szCs w:val="20"/>
              </w:rPr>
            </w:pPr>
            <w:r w:rsidRPr="00065088">
              <w:rPr>
                <w:color w:val="000000"/>
                <w:sz w:val="20"/>
                <w:szCs w:val="20"/>
              </w:rPr>
              <w:t>$10,497,678</w:t>
            </w:r>
          </w:p>
        </w:tc>
      </w:tr>
      <w:tr w14:paraId="5D8DFB36" w14:textId="77777777" w:rsidTr="00172D8C">
        <w:tblPrEx>
          <w:tblW w:w="9737" w:type="dxa"/>
          <w:tblLook w:val="04A0"/>
        </w:tblPrEx>
        <w:trPr>
          <w:trHeight w:val="62"/>
        </w:trPr>
        <w:tc>
          <w:tcPr>
            <w:tcW w:w="810" w:type="dxa"/>
            <w:shd w:val="clear" w:color="auto" w:fill="auto"/>
            <w:noWrap/>
            <w:vAlign w:val="bottom"/>
          </w:tcPr>
          <w:p w:rsidR="00C760BD" w:rsidRPr="002B70A5" w:rsidP="00C760BD" w14:paraId="738EA1EF" w14:textId="65B39E52">
            <w:pPr>
              <w:rPr>
                <w:color w:val="000000"/>
                <w:sz w:val="20"/>
                <w:szCs w:val="20"/>
              </w:rPr>
            </w:pPr>
            <w:r>
              <w:rPr>
                <w:color w:val="000000"/>
                <w:sz w:val="20"/>
                <w:szCs w:val="20"/>
              </w:rPr>
              <w:t>States</w:t>
            </w:r>
          </w:p>
        </w:tc>
        <w:tc>
          <w:tcPr>
            <w:tcW w:w="3150" w:type="dxa"/>
            <w:shd w:val="clear" w:color="auto" w:fill="auto"/>
            <w:noWrap/>
            <w:vAlign w:val="center"/>
          </w:tcPr>
          <w:p w:rsidR="00C760BD" w:rsidRPr="000E0E60" w:rsidP="00C760BD" w14:paraId="41E7560B" w14:textId="067666DB">
            <w:pPr>
              <w:rPr>
                <w:color w:val="000000"/>
                <w:sz w:val="20"/>
                <w:szCs w:val="20"/>
              </w:rPr>
            </w:pPr>
            <w:r w:rsidRPr="000E0E60">
              <w:rPr>
                <w:color w:val="000000"/>
                <w:sz w:val="20"/>
                <w:szCs w:val="20"/>
              </w:rPr>
              <w:t>Development/Certification</w:t>
            </w:r>
          </w:p>
        </w:tc>
        <w:tc>
          <w:tcPr>
            <w:tcW w:w="1461" w:type="dxa"/>
            <w:shd w:val="clear" w:color="auto" w:fill="auto"/>
            <w:noWrap/>
            <w:vAlign w:val="bottom"/>
          </w:tcPr>
          <w:p w:rsidR="00C760BD" w:rsidRPr="0073041A" w:rsidP="00C760BD" w14:paraId="62DCC686" w14:textId="241B0BD0">
            <w:pPr>
              <w:jc w:val="right"/>
              <w:rPr>
                <w:color w:val="000000"/>
                <w:sz w:val="20"/>
                <w:szCs w:val="20"/>
              </w:rPr>
            </w:pPr>
            <w:r w:rsidRPr="00E050D3">
              <w:rPr>
                <w:color w:val="000000"/>
                <w:sz w:val="20"/>
                <w:szCs w:val="20"/>
              </w:rPr>
              <w:t>$8,436</w:t>
            </w:r>
          </w:p>
        </w:tc>
        <w:tc>
          <w:tcPr>
            <w:tcW w:w="1366" w:type="dxa"/>
            <w:shd w:val="clear" w:color="auto" w:fill="auto"/>
            <w:noWrap/>
            <w:vAlign w:val="bottom"/>
          </w:tcPr>
          <w:p w:rsidR="00C760BD" w:rsidRPr="0073041A" w:rsidP="00C760BD" w14:paraId="4AB8FD69" w14:textId="3CA0ED8D">
            <w:pPr>
              <w:jc w:val="right"/>
              <w:rPr>
                <w:color w:val="000000"/>
                <w:sz w:val="20"/>
                <w:szCs w:val="20"/>
              </w:rPr>
            </w:pPr>
            <w:r w:rsidRPr="00E050D3">
              <w:rPr>
                <w:color w:val="000000"/>
                <w:sz w:val="20"/>
                <w:szCs w:val="20"/>
              </w:rPr>
              <w:t>$8,436</w:t>
            </w:r>
          </w:p>
        </w:tc>
        <w:tc>
          <w:tcPr>
            <w:tcW w:w="1440" w:type="dxa"/>
            <w:shd w:val="clear" w:color="auto" w:fill="auto"/>
            <w:noWrap/>
            <w:vAlign w:val="bottom"/>
          </w:tcPr>
          <w:p w:rsidR="00C760BD" w:rsidRPr="0073041A" w:rsidP="00C760BD" w14:paraId="35DE9337" w14:textId="04C5FC8A">
            <w:pPr>
              <w:jc w:val="right"/>
              <w:rPr>
                <w:color w:val="000000"/>
                <w:sz w:val="20"/>
                <w:szCs w:val="20"/>
              </w:rPr>
            </w:pPr>
            <w:r w:rsidRPr="00E050D3">
              <w:rPr>
                <w:color w:val="000000"/>
                <w:sz w:val="20"/>
                <w:szCs w:val="20"/>
              </w:rPr>
              <w:t>$8,436</w:t>
            </w:r>
          </w:p>
        </w:tc>
        <w:tc>
          <w:tcPr>
            <w:tcW w:w="1510" w:type="dxa"/>
            <w:shd w:val="clear" w:color="auto" w:fill="auto"/>
            <w:noWrap/>
            <w:vAlign w:val="bottom"/>
          </w:tcPr>
          <w:p w:rsidR="00C760BD" w:rsidRPr="00B719D2" w:rsidP="00C760BD" w14:paraId="36C2784D" w14:textId="3A75E418">
            <w:pPr>
              <w:jc w:val="right"/>
              <w:rPr>
                <w:color w:val="000000"/>
                <w:sz w:val="20"/>
                <w:szCs w:val="20"/>
              </w:rPr>
            </w:pPr>
            <w:r w:rsidRPr="00B719D2">
              <w:rPr>
                <w:color w:val="000000"/>
                <w:sz w:val="20"/>
                <w:szCs w:val="20"/>
              </w:rPr>
              <w:t>$25,308</w:t>
            </w:r>
          </w:p>
        </w:tc>
      </w:tr>
      <w:bookmarkEnd w:id="1"/>
      <w:tr w14:paraId="2E6B9134" w14:textId="77777777" w:rsidTr="00172D8C">
        <w:tblPrEx>
          <w:tblW w:w="9737" w:type="dxa"/>
          <w:tblLook w:val="04A0"/>
        </w:tblPrEx>
        <w:trPr>
          <w:trHeight w:val="62"/>
        </w:trPr>
        <w:tc>
          <w:tcPr>
            <w:tcW w:w="3960" w:type="dxa"/>
            <w:gridSpan w:val="2"/>
            <w:shd w:val="clear" w:color="auto" w:fill="auto"/>
            <w:noWrap/>
            <w:vAlign w:val="bottom"/>
          </w:tcPr>
          <w:p w:rsidR="00DA5307" w:rsidRPr="002B70A5" w:rsidP="00DA5307" w14:paraId="2B6B45FE" w14:textId="18B08264">
            <w:pPr>
              <w:rPr>
                <w:color w:val="000000"/>
                <w:sz w:val="20"/>
                <w:szCs w:val="20"/>
              </w:rPr>
            </w:pPr>
            <w:r>
              <w:rPr>
                <w:color w:val="000000"/>
                <w:sz w:val="20"/>
                <w:szCs w:val="20"/>
              </w:rPr>
              <w:t>Total</w:t>
            </w:r>
          </w:p>
        </w:tc>
        <w:tc>
          <w:tcPr>
            <w:tcW w:w="1461" w:type="dxa"/>
            <w:shd w:val="clear" w:color="auto" w:fill="auto"/>
            <w:noWrap/>
            <w:vAlign w:val="bottom"/>
          </w:tcPr>
          <w:p w:rsidR="00DA5307" w:rsidRPr="0073041A" w:rsidP="00DA5307" w14:paraId="6B522B5F" w14:textId="6FD497B7">
            <w:pPr>
              <w:jc w:val="right"/>
              <w:rPr>
                <w:color w:val="000000"/>
                <w:sz w:val="20"/>
                <w:szCs w:val="20"/>
              </w:rPr>
            </w:pPr>
            <w:r w:rsidRPr="00DA5307">
              <w:rPr>
                <w:color w:val="000000"/>
                <w:sz w:val="20"/>
                <w:szCs w:val="20"/>
              </w:rPr>
              <w:t>$39,526,955</w:t>
            </w:r>
          </w:p>
        </w:tc>
        <w:tc>
          <w:tcPr>
            <w:tcW w:w="1366" w:type="dxa"/>
            <w:shd w:val="clear" w:color="auto" w:fill="auto"/>
            <w:vAlign w:val="bottom"/>
          </w:tcPr>
          <w:p w:rsidR="00DA5307" w:rsidRPr="0073041A" w:rsidP="00DA5307" w14:paraId="4D68DE0A" w14:textId="49CD36F9">
            <w:pPr>
              <w:jc w:val="right"/>
              <w:rPr>
                <w:color w:val="000000"/>
                <w:sz w:val="20"/>
                <w:szCs w:val="20"/>
              </w:rPr>
            </w:pPr>
            <w:r w:rsidRPr="00DA5307">
              <w:rPr>
                <w:color w:val="000000"/>
                <w:sz w:val="20"/>
                <w:szCs w:val="20"/>
              </w:rPr>
              <w:t>$34,688,321</w:t>
            </w:r>
          </w:p>
        </w:tc>
        <w:tc>
          <w:tcPr>
            <w:tcW w:w="1440" w:type="dxa"/>
            <w:shd w:val="clear" w:color="auto" w:fill="auto"/>
            <w:noWrap/>
            <w:vAlign w:val="bottom"/>
          </w:tcPr>
          <w:p w:rsidR="00DA5307" w:rsidRPr="0073041A" w:rsidP="00DA5307" w14:paraId="4B1B0B63" w14:textId="2D28CAA9">
            <w:pPr>
              <w:jc w:val="right"/>
              <w:rPr>
                <w:color w:val="000000"/>
                <w:sz w:val="20"/>
                <w:szCs w:val="20"/>
              </w:rPr>
            </w:pPr>
            <w:r w:rsidRPr="00DA5307">
              <w:rPr>
                <w:color w:val="000000"/>
                <w:sz w:val="20"/>
                <w:szCs w:val="20"/>
              </w:rPr>
              <w:t>$34,688,321</w:t>
            </w:r>
          </w:p>
        </w:tc>
        <w:tc>
          <w:tcPr>
            <w:tcW w:w="0" w:type="auto"/>
            <w:shd w:val="clear" w:color="auto" w:fill="auto"/>
            <w:noWrap/>
            <w:vAlign w:val="bottom"/>
          </w:tcPr>
          <w:p w:rsidR="00DA5307" w:rsidRPr="0073041A" w:rsidP="00DA5307" w14:paraId="6790A210" w14:textId="6807A248">
            <w:pPr>
              <w:jc w:val="right"/>
              <w:rPr>
                <w:color w:val="000000"/>
                <w:sz w:val="20"/>
                <w:szCs w:val="20"/>
              </w:rPr>
            </w:pPr>
            <w:r w:rsidRPr="00DA5307">
              <w:rPr>
                <w:color w:val="000000"/>
                <w:sz w:val="20"/>
                <w:szCs w:val="20"/>
              </w:rPr>
              <w:t>$108,903,597</w:t>
            </w:r>
          </w:p>
        </w:tc>
      </w:tr>
    </w:tbl>
    <w:p w:rsidR="004525AE" w:rsidP="007C08F6" w14:paraId="0E477AA8" w14:textId="14BF52B0">
      <w:pPr>
        <w:pStyle w:val="ListParagraph"/>
        <w:ind w:left="0"/>
        <w:contextualSpacing w:val="0"/>
      </w:pPr>
    </w:p>
    <w:p w:rsidR="00C929B4" w:rsidP="00C929B4" w14:paraId="7D213A55" w14:textId="0CA969B7">
      <w:r w:rsidRPr="7FC443FA">
        <w:rPr>
          <w:u w:val="single"/>
        </w:rPr>
        <w:t xml:space="preserve">Summary for Table </w:t>
      </w:r>
      <w:r w:rsidRPr="7FC443FA" w:rsidR="001A5EFF">
        <w:rPr>
          <w:u w:val="single"/>
        </w:rPr>
        <w:t>7</w:t>
      </w:r>
      <w:r>
        <w:t>:</w:t>
      </w:r>
    </w:p>
    <w:p w:rsidR="00C929B4" w:rsidP="007C08F6" w14:paraId="0AD3DF11" w14:textId="19771A4E">
      <w:pPr>
        <w:pStyle w:val="ListParagraph"/>
        <w:ind w:left="0"/>
        <w:contextualSpacing w:val="0"/>
      </w:pPr>
    </w:p>
    <w:p w:rsidR="00AF593C" w:rsidP="4C4F126C" w14:paraId="146750A6" w14:textId="77777777">
      <w:pPr>
        <w:pStyle w:val="ListParagraph"/>
        <w:ind w:left="0"/>
        <w:rPr>
          <w:color w:val="000000" w:themeColor="text1"/>
        </w:rPr>
      </w:pPr>
      <w:r>
        <w:t xml:space="preserve">Table </w:t>
      </w:r>
      <w:r w:rsidR="003D0832">
        <w:t>7</w:t>
      </w:r>
      <w:r>
        <w:t xml:space="preserve"> presents the total annual burden </w:t>
      </w:r>
      <w:r w:rsidR="001529F3">
        <w:t xml:space="preserve">for the proposed </w:t>
      </w:r>
      <w:r w:rsidR="00503954">
        <w:t xml:space="preserve">changes to the </w:t>
      </w:r>
      <w:r w:rsidR="001529F3">
        <w:t>PTASP regulation, including costs for all existing PTASP requirements as well as costs for the new PTASP regulation requirements established t</w:t>
      </w:r>
      <w:r w:rsidRPr="7FC443FA" w:rsidR="001529F3">
        <w:rPr>
          <w:color w:val="000000" w:themeColor="text1"/>
        </w:rPr>
        <w:t>he Bipartisan Infrastructure Law and defined in the NPRM.</w:t>
      </w:r>
      <w:r w:rsidRPr="7FC443FA" w:rsidR="001A5EFF">
        <w:rPr>
          <w:color w:val="000000" w:themeColor="text1"/>
        </w:rPr>
        <w:t xml:space="preserve"> </w:t>
      </w:r>
    </w:p>
    <w:p w:rsidR="00C929B4" w:rsidP="4C4F126C" w14:paraId="4AEB10FB" w14:textId="269DF25B">
      <w:pPr>
        <w:pStyle w:val="ListParagraph"/>
        <w:ind w:left="0"/>
      </w:pPr>
      <w:r w:rsidRPr="0082303D">
        <w:rPr>
          <w:b/>
          <w:bCs/>
          <w:color w:val="000000" w:themeColor="text1"/>
        </w:rPr>
        <w:t>The average total annual new cost is $</w:t>
      </w:r>
      <w:r w:rsidRPr="0082303D" w:rsidR="00CC0290">
        <w:rPr>
          <w:b/>
          <w:bCs/>
          <w:color w:val="000000" w:themeColor="text1"/>
        </w:rPr>
        <w:t>3</w:t>
      </w:r>
      <w:r w:rsidRPr="0082303D" w:rsidR="0082303D">
        <w:rPr>
          <w:b/>
          <w:bCs/>
          <w:color w:val="000000" w:themeColor="text1"/>
        </w:rPr>
        <w:t>6</w:t>
      </w:r>
      <w:r w:rsidRPr="0082303D">
        <w:rPr>
          <w:b/>
          <w:bCs/>
          <w:color w:val="000000" w:themeColor="text1"/>
        </w:rPr>
        <w:t>,</w:t>
      </w:r>
      <w:r w:rsidRPr="0082303D" w:rsidR="0082303D">
        <w:rPr>
          <w:b/>
          <w:bCs/>
          <w:color w:val="000000" w:themeColor="text1"/>
        </w:rPr>
        <w:t>301</w:t>
      </w:r>
      <w:r w:rsidRPr="0082303D">
        <w:rPr>
          <w:b/>
          <w:bCs/>
          <w:color w:val="000000" w:themeColor="text1"/>
        </w:rPr>
        <w:t>,</w:t>
      </w:r>
      <w:r w:rsidRPr="0082303D" w:rsidR="0082303D">
        <w:rPr>
          <w:b/>
          <w:bCs/>
          <w:color w:val="000000" w:themeColor="text1"/>
        </w:rPr>
        <w:t>199</w:t>
      </w:r>
      <w:r w:rsidRPr="0082303D">
        <w:rPr>
          <w:b/>
          <w:bCs/>
          <w:color w:val="000000" w:themeColor="text1"/>
        </w:rPr>
        <w:t>.</w:t>
      </w:r>
    </w:p>
    <w:p w:rsidR="4C4F126C" w:rsidP="4C4F126C" w14:paraId="4C1E1F97" w14:textId="059A2904">
      <w:pPr>
        <w:pStyle w:val="ListParagraph"/>
        <w:ind w:left="0"/>
        <w:rPr>
          <w:color w:val="000000" w:themeColor="text1"/>
        </w:rPr>
      </w:pPr>
    </w:p>
    <w:p w:rsidR="00614206" w:rsidRPr="00614206" w:rsidP="00C830A5" w14:paraId="526F8238" w14:textId="1E89AA1D">
      <w:pPr>
        <w:rPr>
          <w:b/>
          <w:bCs/>
        </w:rPr>
      </w:pPr>
      <w:r w:rsidRPr="3CCE8EB5">
        <w:rPr>
          <w:b/>
          <w:bCs/>
        </w:rPr>
        <w:t>Estimate</w:t>
      </w:r>
      <w:r w:rsidRPr="3CCE8EB5" w:rsidR="00C23AC1">
        <w:rPr>
          <w:b/>
          <w:bCs/>
        </w:rPr>
        <w:t>—</w:t>
      </w:r>
      <w:r w:rsidRPr="3CCE8EB5" w:rsidR="008B7630">
        <w:rPr>
          <w:b/>
          <w:bCs/>
        </w:rPr>
        <w:t>Total Annual Cost Burden to Respondents/</w:t>
      </w:r>
      <w:r w:rsidRPr="3CCE8EB5">
        <w:rPr>
          <w:b/>
          <w:bCs/>
        </w:rPr>
        <w:t>Recordkeepers</w:t>
      </w:r>
    </w:p>
    <w:p w:rsidR="00614206" w:rsidRPr="00614206" w:rsidP="3CCE8EB5" w14:paraId="1AE38945" w14:textId="77777777">
      <w:pPr>
        <w:keepNext/>
        <w:rPr>
          <w:b/>
          <w:bCs/>
        </w:rPr>
      </w:pPr>
    </w:p>
    <w:p w:rsidR="001A1513" w:rsidRPr="001529F3" w:rsidP="00A66850" w14:paraId="2EEFEBD9" w14:textId="0213457E">
      <w:pPr>
        <w:pStyle w:val="NoSpacing"/>
        <w:rPr>
          <w:rFonts w:ascii="Times New Roman" w:hAnsi="Times New Roman" w:cs="Times New Roman"/>
          <w:sz w:val="24"/>
          <w:szCs w:val="24"/>
        </w:rPr>
      </w:pPr>
      <w:r w:rsidRPr="00A66850">
        <w:rPr>
          <w:rFonts w:ascii="Times New Roman" w:hAnsi="Times New Roman" w:cs="Times New Roman"/>
          <w:sz w:val="24"/>
          <w:szCs w:val="24"/>
        </w:rPr>
        <w:t xml:space="preserve">The estimates </w:t>
      </w:r>
      <w:r w:rsidR="00150AE4">
        <w:rPr>
          <w:rFonts w:ascii="Times New Roman" w:hAnsi="Times New Roman" w:cs="Times New Roman"/>
          <w:sz w:val="24"/>
          <w:szCs w:val="24"/>
        </w:rPr>
        <w:t xml:space="preserve">in Section 12 </w:t>
      </w:r>
      <w:r w:rsidRPr="00A66850">
        <w:rPr>
          <w:rFonts w:ascii="Times New Roman" w:hAnsi="Times New Roman" w:cs="Times New Roman"/>
          <w:sz w:val="24"/>
          <w:szCs w:val="24"/>
        </w:rPr>
        <w:t xml:space="preserve">above </w:t>
      </w:r>
      <w:r w:rsidRPr="00A66850">
        <w:rPr>
          <w:rFonts w:ascii="Times New Roman" w:hAnsi="Times New Roman" w:cs="Times New Roman"/>
          <w:sz w:val="24"/>
          <w:szCs w:val="24"/>
        </w:rPr>
        <w:t xml:space="preserve">include all costs, including labor, </w:t>
      </w:r>
      <w:r w:rsidR="00150AE4">
        <w:rPr>
          <w:rFonts w:ascii="Times New Roman" w:hAnsi="Times New Roman" w:cs="Times New Roman"/>
          <w:sz w:val="24"/>
          <w:szCs w:val="24"/>
        </w:rPr>
        <w:t>information technology (IT)</w:t>
      </w:r>
      <w:r w:rsidRPr="00A66850">
        <w:rPr>
          <w:rFonts w:ascii="Times New Roman" w:hAnsi="Times New Roman" w:cs="Times New Roman"/>
          <w:sz w:val="24"/>
          <w:szCs w:val="24"/>
        </w:rPr>
        <w:t>, and travel for the full spectrum of activities from initial plan development, through implementation and documentation, to recordkeeping.</w:t>
      </w:r>
      <w:r w:rsidR="00F360ED">
        <w:rPr>
          <w:rFonts w:ascii="Times New Roman" w:hAnsi="Times New Roman" w:cs="Times New Roman"/>
          <w:sz w:val="24"/>
          <w:szCs w:val="24"/>
        </w:rPr>
        <w:t xml:space="preserve"> </w:t>
      </w:r>
      <w:r w:rsidRPr="00A66850">
        <w:rPr>
          <w:rFonts w:ascii="Times New Roman" w:hAnsi="Times New Roman" w:cs="Times New Roman"/>
          <w:sz w:val="24"/>
          <w:szCs w:val="24"/>
        </w:rPr>
        <w:t>T</w:t>
      </w:r>
      <w:r w:rsidRPr="00A66850">
        <w:rPr>
          <w:rFonts w:ascii="Times New Roman" w:hAnsi="Times New Roman" w:cs="Times New Roman"/>
          <w:sz w:val="24"/>
          <w:szCs w:val="24"/>
        </w:rPr>
        <w:t>here are no additional costs beyond what is estimated there, except</w:t>
      </w:r>
      <w:r w:rsidRPr="00A66850">
        <w:rPr>
          <w:rFonts w:ascii="Times New Roman" w:hAnsi="Times New Roman" w:cs="Times New Roman"/>
          <w:sz w:val="24"/>
          <w:szCs w:val="24"/>
        </w:rPr>
        <w:t xml:space="preserve"> for FTA’s own costs as described</w:t>
      </w:r>
      <w:r w:rsidRPr="00A66850">
        <w:rPr>
          <w:rFonts w:ascii="Times New Roman" w:hAnsi="Times New Roman" w:cs="Times New Roman"/>
          <w:sz w:val="24"/>
          <w:szCs w:val="24"/>
        </w:rPr>
        <w:t xml:space="preserve"> </w:t>
      </w:r>
      <w:r w:rsidRPr="00A66850">
        <w:rPr>
          <w:rFonts w:ascii="Times New Roman" w:hAnsi="Times New Roman" w:cs="Times New Roman"/>
          <w:sz w:val="24"/>
          <w:szCs w:val="24"/>
        </w:rPr>
        <w:t>in Section 14</w:t>
      </w:r>
      <w:r w:rsidR="00150AE4">
        <w:rPr>
          <w:rFonts w:ascii="Times New Roman" w:hAnsi="Times New Roman" w:cs="Times New Roman"/>
          <w:sz w:val="24"/>
          <w:szCs w:val="24"/>
        </w:rPr>
        <w:t xml:space="preserve"> below</w:t>
      </w:r>
      <w:r w:rsidRPr="00A66850">
        <w:rPr>
          <w:rFonts w:ascii="Times New Roman" w:hAnsi="Times New Roman" w:cs="Times New Roman"/>
          <w:sz w:val="24"/>
          <w:szCs w:val="24"/>
        </w:rPr>
        <w:t>.</w:t>
      </w:r>
    </w:p>
    <w:p w:rsidR="00C35514" w:rsidRPr="00A66850" w:rsidP="00A66850" w14:paraId="4537BAC0" w14:textId="77777777">
      <w:pPr>
        <w:pStyle w:val="ListParagraph"/>
        <w:ind w:left="0"/>
        <w:contextualSpacing w:val="0"/>
        <w:rPr>
          <w:color w:val="000000" w:themeColor="text1"/>
        </w:rPr>
      </w:pPr>
    </w:p>
    <w:p w:rsidR="00150AE4" w:rsidRPr="00150AE4" w:rsidP="00150AE4" w14:paraId="06042634" w14:textId="77777777">
      <w:pPr>
        <w:pStyle w:val="ListParagraph"/>
        <w:keepNext/>
        <w:numPr>
          <w:ilvl w:val="0"/>
          <w:numId w:val="3"/>
        </w:numPr>
        <w:ind w:left="0" w:firstLine="0"/>
        <w:contextualSpacing w:val="0"/>
        <w:rPr>
          <w:b/>
        </w:rPr>
      </w:pPr>
      <w:r w:rsidRPr="7FC443FA">
        <w:rPr>
          <w:b/>
          <w:bCs/>
        </w:rPr>
        <w:t>Annualized Cost to the Federal Government</w:t>
      </w:r>
    </w:p>
    <w:p w:rsidR="008B7630" w:rsidRPr="008A1F38" w:rsidP="008A1F38" w14:paraId="2096180E" w14:textId="77F41408">
      <w:pPr>
        <w:pStyle w:val="ListParagraph"/>
        <w:ind w:left="0"/>
        <w:contextualSpacing w:val="0"/>
      </w:pPr>
    </w:p>
    <w:tbl>
      <w:tblPr>
        <w:tblStyle w:val="TableGrid"/>
        <w:tblW w:w="0" w:type="auto"/>
        <w:tblInd w:w="108" w:type="dxa"/>
        <w:tblLook w:val="04A0"/>
      </w:tblPr>
      <w:tblGrid>
        <w:gridCol w:w="3847"/>
        <w:gridCol w:w="1726"/>
      </w:tblGrid>
      <w:tr w14:paraId="2C68BEE7" w14:textId="77777777" w:rsidTr="006A35B8">
        <w:tblPrEx>
          <w:tblW w:w="0" w:type="auto"/>
          <w:tblInd w:w="108" w:type="dxa"/>
          <w:tblLook w:val="04A0"/>
        </w:tblPrEx>
        <w:tc>
          <w:tcPr>
            <w:tcW w:w="3847" w:type="dxa"/>
          </w:tcPr>
          <w:p w:rsidR="008A1F38" w:rsidRPr="00150AE4" w:rsidP="00A66850" w14:paraId="39258CBB" w14:textId="77777777">
            <w:pPr>
              <w:keepNext/>
              <w:rPr>
                <w:color w:val="000000" w:themeColor="text1"/>
              </w:rPr>
            </w:pPr>
          </w:p>
        </w:tc>
        <w:tc>
          <w:tcPr>
            <w:tcW w:w="1726" w:type="dxa"/>
          </w:tcPr>
          <w:p w:rsidR="008A1F38" w:rsidRPr="00150AE4" w:rsidP="00A66850" w14:paraId="2DA778AA" w14:textId="02A7BC6B">
            <w:pPr>
              <w:keepNext/>
              <w:rPr>
                <w:color w:val="000000" w:themeColor="text1"/>
              </w:rPr>
            </w:pPr>
            <w:r>
              <w:rPr>
                <w:color w:val="000000" w:themeColor="text1"/>
              </w:rPr>
              <w:t>Annual</w:t>
            </w:r>
          </w:p>
        </w:tc>
      </w:tr>
      <w:tr w14:paraId="56350AFE" w14:textId="77777777" w:rsidTr="006A35B8">
        <w:tblPrEx>
          <w:tblW w:w="0" w:type="auto"/>
          <w:tblInd w:w="108" w:type="dxa"/>
          <w:tblLook w:val="04A0"/>
        </w:tblPrEx>
        <w:tc>
          <w:tcPr>
            <w:tcW w:w="3847" w:type="dxa"/>
            <w:vAlign w:val="center"/>
          </w:tcPr>
          <w:p w:rsidR="008A1F38" w:rsidRPr="00150AE4" w:rsidP="00A66850" w14:paraId="49706B8D" w14:textId="0E3AFD23">
            <w:pPr>
              <w:keepNext/>
              <w:rPr>
                <w:color w:val="000000" w:themeColor="text1"/>
              </w:rPr>
            </w:pPr>
            <w:r w:rsidRPr="00150AE4">
              <w:rPr>
                <w:color w:val="000000" w:themeColor="text1"/>
              </w:rPr>
              <w:t>Development and Certification</w:t>
            </w:r>
          </w:p>
        </w:tc>
        <w:tc>
          <w:tcPr>
            <w:tcW w:w="1726" w:type="dxa"/>
            <w:vAlign w:val="center"/>
          </w:tcPr>
          <w:p w:rsidR="008A1F38" w:rsidRPr="00150AE4" w:rsidP="00A66850" w14:paraId="45151F44" w14:textId="422DB9F8">
            <w:pPr>
              <w:keepNext/>
              <w:rPr>
                <w:color w:val="000000" w:themeColor="text1"/>
              </w:rPr>
            </w:pPr>
            <w:r w:rsidRPr="00150AE4">
              <w:rPr>
                <w:color w:val="000000" w:themeColor="text1"/>
              </w:rPr>
              <w:t>$</w:t>
            </w:r>
            <w:r>
              <w:rPr>
                <w:color w:val="000000" w:themeColor="text1"/>
              </w:rPr>
              <w:t>48,984</w:t>
            </w:r>
          </w:p>
        </w:tc>
      </w:tr>
      <w:tr w14:paraId="0092CEE4" w14:textId="77777777" w:rsidTr="006A35B8">
        <w:tblPrEx>
          <w:tblW w:w="0" w:type="auto"/>
          <w:tblInd w:w="108" w:type="dxa"/>
          <w:tblLook w:val="04A0"/>
        </w:tblPrEx>
        <w:tc>
          <w:tcPr>
            <w:tcW w:w="3847" w:type="dxa"/>
            <w:vAlign w:val="center"/>
          </w:tcPr>
          <w:p w:rsidR="008A1F38" w:rsidRPr="00150AE4" w:rsidP="00A66850" w14:paraId="4BF394F4" w14:textId="3D8B0BBC">
            <w:pPr>
              <w:keepNext/>
              <w:rPr>
                <w:color w:val="000000" w:themeColor="text1"/>
              </w:rPr>
            </w:pPr>
            <w:r w:rsidRPr="00150AE4">
              <w:rPr>
                <w:color w:val="000000" w:themeColor="text1"/>
              </w:rPr>
              <w:t>Implementation and Documentation</w:t>
            </w:r>
          </w:p>
        </w:tc>
        <w:tc>
          <w:tcPr>
            <w:tcW w:w="1726" w:type="dxa"/>
            <w:vAlign w:val="center"/>
          </w:tcPr>
          <w:p w:rsidR="008A1F38" w:rsidRPr="00150AE4" w:rsidP="00A66850" w14:paraId="74799817" w14:textId="4B5DA6D3">
            <w:pPr>
              <w:keepNext/>
              <w:rPr>
                <w:color w:val="000000" w:themeColor="text1"/>
              </w:rPr>
            </w:pPr>
            <w:r w:rsidRPr="00150AE4">
              <w:rPr>
                <w:color w:val="000000" w:themeColor="text1"/>
              </w:rPr>
              <w:t>$</w:t>
            </w:r>
            <w:r>
              <w:rPr>
                <w:color w:val="000000" w:themeColor="text1"/>
              </w:rPr>
              <w:t>122,459</w:t>
            </w:r>
          </w:p>
        </w:tc>
      </w:tr>
      <w:tr w14:paraId="4BD8F384" w14:textId="77777777" w:rsidTr="006A35B8">
        <w:tblPrEx>
          <w:tblW w:w="0" w:type="auto"/>
          <w:tblInd w:w="108" w:type="dxa"/>
          <w:tblLook w:val="04A0"/>
        </w:tblPrEx>
        <w:trPr>
          <w:trHeight w:val="215"/>
        </w:trPr>
        <w:tc>
          <w:tcPr>
            <w:tcW w:w="3847" w:type="dxa"/>
            <w:shd w:val="clear" w:color="auto" w:fill="D9D9D9" w:themeFill="background1" w:themeFillShade="D9"/>
            <w:vAlign w:val="center"/>
          </w:tcPr>
          <w:p w:rsidR="008A1F38" w:rsidRPr="00150AE4" w:rsidP="00A66850" w14:paraId="61E64081" w14:textId="77777777">
            <w:pPr>
              <w:rPr>
                <w:color w:val="000000" w:themeColor="text1"/>
              </w:rPr>
            </w:pPr>
            <w:r w:rsidRPr="00150AE4">
              <w:rPr>
                <w:color w:val="000000" w:themeColor="text1"/>
              </w:rPr>
              <w:t>Total</w:t>
            </w:r>
          </w:p>
        </w:tc>
        <w:tc>
          <w:tcPr>
            <w:tcW w:w="1726" w:type="dxa"/>
            <w:shd w:val="clear" w:color="auto" w:fill="D9D9D9" w:themeFill="background1" w:themeFillShade="D9"/>
            <w:vAlign w:val="center"/>
          </w:tcPr>
          <w:p w:rsidR="008A1F38" w:rsidRPr="00150AE4" w:rsidP="00A66850" w14:paraId="014DE452" w14:textId="0E5DE520">
            <w:pPr>
              <w:rPr>
                <w:color w:val="000000" w:themeColor="text1"/>
              </w:rPr>
            </w:pPr>
            <w:r w:rsidRPr="00150AE4">
              <w:rPr>
                <w:color w:val="000000" w:themeColor="text1"/>
              </w:rPr>
              <w:t>$</w:t>
            </w:r>
            <w:r>
              <w:rPr>
                <w:color w:val="000000" w:themeColor="text1"/>
              </w:rPr>
              <w:t>1</w:t>
            </w:r>
            <w:r w:rsidR="006A35B8">
              <w:rPr>
                <w:color w:val="000000" w:themeColor="text1"/>
              </w:rPr>
              <w:t>71,443</w:t>
            </w:r>
          </w:p>
        </w:tc>
      </w:tr>
    </w:tbl>
    <w:p w:rsidR="00150AE4" w:rsidP="00A66850" w14:paraId="5D02DE43" w14:textId="77777777">
      <w:pPr>
        <w:pStyle w:val="ListParagraph"/>
        <w:ind w:left="0"/>
        <w:contextualSpacing w:val="0"/>
        <w:rPr>
          <w:color w:val="000000" w:themeColor="text1"/>
        </w:rPr>
      </w:pPr>
    </w:p>
    <w:p w:rsidR="00C23AC1" w:rsidRPr="00150AE4" w:rsidP="00A66850" w14:paraId="5215A7A0" w14:textId="77777777">
      <w:pPr>
        <w:pStyle w:val="ListParagraph"/>
        <w:ind w:left="0"/>
        <w:contextualSpacing w:val="0"/>
        <w:rPr>
          <w:color w:val="000000" w:themeColor="text1"/>
        </w:rPr>
      </w:pPr>
      <w:r w:rsidRPr="00150AE4">
        <w:rPr>
          <w:color w:val="000000" w:themeColor="text1"/>
        </w:rPr>
        <w:t>Notes:</w:t>
      </w:r>
    </w:p>
    <w:p w:rsidR="002320B3" w:rsidRPr="00A66850" w:rsidP="002320B3" w14:paraId="23CC858F" w14:textId="7B669AEE">
      <w:pPr>
        <w:pStyle w:val="ListParagraph"/>
        <w:ind w:left="0"/>
        <w:contextualSpacing w:val="0"/>
        <w:rPr>
          <w:color w:val="000000" w:themeColor="text1"/>
        </w:rPr>
      </w:pPr>
      <w:r w:rsidRPr="00A66850">
        <w:rPr>
          <w:color w:val="000000" w:themeColor="text1"/>
        </w:rPr>
        <w:t>*</w:t>
      </w:r>
      <w:r w:rsidRPr="00A66850" w:rsidR="00E370C2">
        <w:rPr>
          <w:color w:val="000000" w:themeColor="text1"/>
        </w:rPr>
        <w:t>This data i</w:t>
      </w:r>
      <w:r w:rsidRPr="00A66850">
        <w:rPr>
          <w:color w:val="000000" w:themeColor="text1"/>
        </w:rPr>
        <w:t xml:space="preserve">ncludes </w:t>
      </w:r>
      <w:r>
        <w:rPr>
          <w:color w:val="000000" w:themeColor="text1"/>
        </w:rPr>
        <w:t xml:space="preserve">only </w:t>
      </w:r>
      <w:r w:rsidRPr="00A66850">
        <w:rPr>
          <w:color w:val="000000" w:themeColor="text1"/>
        </w:rPr>
        <w:t>labor costs</w:t>
      </w:r>
      <w:r w:rsidRPr="00A66850" w:rsidR="00E370C2">
        <w:rPr>
          <w:color w:val="000000" w:themeColor="text1"/>
        </w:rPr>
        <w:t>.</w:t>
      </w:r>
      <w:r>
        <w:rPr>
          <w:color w:val="000000" w:themeColor="text1"/>
        </w:rPr>
        <w:t xml:space="preserve"> </w:t>
      </w:r>
      <w:r w:rsidRPr="009B2B0E">
        <w:rPr>
          <w:color w:val="000000" w:themeColor="text1"/>
        </w:rPr>
        <w:t>The FTA cost burden</w:t>
      </w:r>
      <w:r w:rsidRPr="009B2B0E">
        <w:t xml:space="preserve"> reflects estimated FTA costs for the development of templates and other startup costs, as well as ongoing coordination with transit agencies and providing oversight as needed.</w:t>
      </w:r>
      <w:r w:rsidR="00F360ED">
        <w:t xml:space="preserve"> </w:t>
      </w:r>
      <w:r w:rsidRPr="009B2B0E">
        <w:t>These costs are relatively limited because FTA will assess each transit agency’s compliance with the rule as part of the normal triennial review process.</w:t>
      </w:r>
    </w:p>
    <w:p w:rsidR="008B7630" w:rsidRPr="00A66850" w:rsidP="00A66850" w14:paraId="6B0A3FB1" w14:textId="77777777">
      <w:pPr>
        <w:pStyle w:val="ListParagraph"/>
        <w:ind w:left="0"/>
        <w:contextualSpacing w:val="0"/>
      </w:pPr>
    </w:p>
    <w:p w:rsidR="00C06C35" w:rsidRPr="00C06C35" w:rsidP="00C06C35" w14:paraId="6EB57C3C" w14:textId="3DD83CF0">
      <w:r>
        <w:t>The annual average burden hours are 2,207.</w:t>
      </w:r>
      <w:r w:rsidR="00F360ED">
        <w:t xml:space="preserve"> </w:t>
      </w:r>
      <w:r>
        <w:t>The wage rate used was an estimated fully-loaded hourly rate for a mid-range general schedule grade 12 FTA employee. This rate equated to $</w:t>
      </w:r>
      <w:r w:rsidR="008A1F38">
        <w:t>77.68</w:t>
      </w:r>
      <w:r>
        <w:t xml:space="preserve"> per hour.</w:t>
      </w:r>
      <w:r>
        <w:rPr>
          <w:rStyle w:val="FootnoteReference"/>
        </w:rPr>
        <w:footnoteReference w:id="5"/>
      </w:r>
      <w:r>
        <w:t xml:space="preserve"> </w:t>
      </w:r>
    </w:p>
    <w:p w:rsidR="00C06C35" w:rsidRPr="00A66850" w:rsidP="00A66850" w14:paraId="0801AD21" w14:textId="77777777"/>
    <w:p w:rsidR="00DF66D9" w:rsidRPr="00A66850" w:rsidP="78AD0CAC" w14:paraId="435B86B5" w14:textId="77777777">
      <w:pPr>
        <w:pStyle w:val="ListParagraph"/>
        <w:keepNext/>
        <w:numPr>
          <w:ilvl w:val="0"/>
          <w:numId w:val="3"/>
        </w:numPr>
        <w:ind w:hanging="720"/>
        <w:rPr>
          <w:b/>
          <w:bCs/>
        </w:rPr>
      </w:pPr>
      <w:r w:rsidRPr="7FC443FA">
        <w:rPr>
          <w:b/>
          <w:bCs/>
        </w:rPr>
        <w:t>Explanation for Program Changes or Adjustments</w:t>
      </w:r>
    </w:p>
    <w:p w:rsidR="00C06C35" w:rsidP="00C06C35" w14:paraId="294B9EAE" w14:textId="77777777">
      <w:pPr>
        <w:keepNext/>
      </w:pPr>
    </w:p>
    <w:p w:rsidR="00BA1926" w:rsidRPr="00845FFF" w:rsidP="00EB4F6C" w14:paraId="2AAA80E6" w14:textId="2F25EE2D">
      <w:pPr>
        <w:pStyle w:val="Subtitle"/>
        <w:jc w:val="left"/>
        <w:rPr>
          <w:rStyle w:val="ui-provider"/>
          <w:szCs w:val="24"/>
          <w:u w:val="none"/>
        </w:rPr>
      </w:pPr>
      <w:r>
        <w:rPr>
          <w:u w:val="none"/>
        </w:rPr>
        <w:t>The change in the current supporting statement reflects a</w:t>
      </w:r>
      <w:r w:rsidR="00A33483">
        <w:rPr>
          <w:u w:val="none"/>
        </w:rPr>
        <w:t xml:space="preserve"> change in the </w:t>
      </w:r>
      <w:r w:rsidR="00C26E31">
        <w:rPr>
          <w:u w:val="none"/>
        </w:rPr>
        <w:t xml:space="preserve">burden hours </w:t>
      </w:r>
      <w:r>
        <w:rPr>
          <w:u w:val="none"/>
        </w:rPr>
        <w:t xml:space="preserve">from </w:t>
      </w:r>
      <w:r>
        <w:rPr>
          <w:u w:val="none"/>
        </w:rPr>
        <w:t>the</w:t>
      </w:r>
      <w:r>
        <w:rPr>
          <w:u w:val="none"/>
        </w:rPr>
        <w:t xml:space="preserve"> </w:t>
      </w:r>
      <w:r w:rsidR="003D0832">
        <w:rPr>
          <w:u w:val="none"/>
        </w:rPr>
        <w:t xml:space="preserve">previous </w:t>
      </w:r>
      <w:r>
        <w:rPr>
          <w:u w:val="none"/>
        </w:rPr>
        <w:t>PRA submittal</w:t>
      </w:r>
      <w:r w:rsidR="14E65BBC">
        <w:rPr>
          <w:u w:val="none"/>
        </w:rPr>
        <w:t xml:space="preserve"> as a result of the</w:t>
      </w:r>
      <w:r w:rsidR="29E1E768">
        <w:rPr>
          <w:u w:val="none"/>
        </w:rPr>
        <w:t xml:space="preserve"> proposals in the NPRM</w:t>
      </w:r>
      <w:r w:rsidR="5117A8C8">
        <w:rPr>
          <w:u w:val="none"/>
        </w:rPr>
        <w:t xml:space="preserve"> and </w:t>
      </w:r>
      <w:r w:rsidR="00FF2629">
        <w:rPr>
          <w:u w:val="none"/>
        </w:rPr>
        <w:t>co</w:t>
      </w:r>
      <w:r w:rsidR="00B521C5">
        <w:rPr>
          <w:u w:val="none"/>
        </w:rPr>
        <w:t>mments received from the</w:t>
      </w:r>
      <w:r w:rsidR="2BD971AB">
        <w:rPr>
          <w:u w:val="none"/>
        </w:rPr>
        <w:t xml:space="preserve"> </w:t>
      </w:r>
      <w:r w:rsidR="5117A8C8">
        <w:rPr>
          <w:u w:val="none"/>
        </w:rPr>
        <w:t>transit industry</w:t>
      </w:r>
      <w:r w:rsidR="000535B9">
        <w:rPr>
          <w:u w:val="none"/>
        </w:rPr>
        <w:t xml:space="preserve"> in response to those proposals</w:t>
      </w:r>
      <w:r w:rsidR="29E1E768">
        <w:rPr>
          <w:u w:val="none"/>
        </w:rPr>
        <w:t>.</w:t>
      </w:r>
      <w:r w:rsidR="00F360ED">
        <w:rPr>
          <w:u w:val="none"/>
        </w:rPr>
        <w:t xml:space="preserve"> </w:t>
      </w:r>
      <w:r w:rsidR="00EB4F6C">
        <w:rPr>
          <w:u w:val="none"/>
        </w:rPr>
        <w:t xml:space="preserve">This </w:t>
      </w:r>
      <w:r>
        <w:rPr>
          <w:u w:val="none"/>
        </w:rPr>
        <w:t>supporting statement</w:t>
      </w:r>
      <w:r w:rsidR="00EB4F6C">
        <w:rPr>
          <w:u w:val="none"/>
        </w:rPr>
        <w:t xml:space="preserve"> reflects a</w:t>
      </w:r>
      <w:r w:rsidR="003D0832">
        <w:rPr>
          <w:u w:val="none"/>
        </w:rPr>
        <w:t xml:space="preserve"> small increase </w:t>
      </w:r>
      <w:r w:rsidR="1C600329">
        <w:rPr>
          <w:u w:val="none"/>
        </w:rPr>
        <w:t>in the respondent universe from 755 in the previous submi</w:t>
      </w:r>
      <w:r w:rsidR="247FA977">
        <w:rPr>
          <w:u w:val="none"/>
        </w:rPr>
        <w:t>t</w:t>
      </w:r>
      <w:r w:rsidR="1C600329">
        <w:rPr>
          <w:u w:val="none"/>
        </w:rPr>
        <w:t>tal</w:t>
      </w:r>
      <w:r>
        <w:rPr>
          <w:u w:val="none"/>
        </w:rPr>
        <w:t xml:space="preserve"> to </w:t>
      </w:r>
      <w:r w:rsidR="1C600329">
        <w:rPr>
          <w:u w:val="none"/>
        </w:rPr>
        <w:t>758 as a result of three new transit</w:t>
      </w:r>
      <w:r w:rsidR="003D0832">
        <w:rPr>
          <w:u w:val="none"/>
        </w:rPr>
        <w:t xml:space="preserve"> agencies</w:t>
      </w:r>
      <w:r w:rsidR="1C600329">
        <w:rPr>
          <w:u w:val="none"/>
        </w:rPr>
        <w:t>.</w:t>
      </w:r>
      <w:r w:rsidR="00F360ED">
        <w:rPr>
          <w:u w:val="none"/>
        </w:rPr>
        <w:t xml:space="preserve"> </w:t>
      </w:r>
      <w:r w:rsidRPr="00845FFF" w:rsidR="00F84884">
        <w:rPr>
          <w:rStyle w:val="ui-provider"/>
          <w:szCs w:val="24"/>
          <w:u w:val="none"/>
        </w:rPr>
        <w:t>More significantly, this updated supporting statement also reflects a change in the burden hours as a result of proposals and comments received during the NPRM stage from the respondent universe. Under the current collection, the estimated total annual burden hours is 252,855. Based on the requirements adopted from the comments and proposals during the NPRM phase, FTA estimates that burden hours would be increased by 299,990 hours, totaling 552,845 hours.</w:t>
      </w:r>
    </w:p>
    <w:p w:rsidR="0083409E" w:rsidP="00EB4F6C" w14:paraId="7156D7FA" w14:textId="77777777">
      <w:pPr>
        <w:pStyle w:val="Subtitle"/>
        <w:jc w:val="left"/>
        <w:rPr>
          <w:color w:val="000000" w:themeColor="text1"/>
          <w:szCs w:val="24"/>
          <w:u w:val="none"/>
        </w:rPr>
      </w:pPr>
    </w:p>
    <w:p w:rsidR="0045482C" w:rsidP="00EB4F6C" w14:paraId="1F12F814" w14:textId="341A7637">
      <w:pPr>
        <w:pStyle w:val="Subtitle"/>
        <w:jc w:val="left"/>
        <w:rPr>
          <w:color w:val="000000" w:themeColor="text1"/>
          <w:szCs w:val="24"/>
          <w:u w:val="none"/>
        </w:rPr>
      </w:pPr>
      <w:r>
        <w:rPr>
          <w:color w:val="000000" w:themeColor="text1"/>
          <w:szCs w:val="24"/>
          <w:u w:val="none"/>
        </w:rPr>
        <w:t>The requirements</w:t>
      </w:r>
      <w:r w:rsidR="00CB2F65">
        <w:rPr>
          <w:color w:val="000000" w:themeColor="text1"/>
          <w:szCs w:val="24"/>
          <w:u w:val="none"/>
        </w:rPr>
        <w:t xml:space="preserve">, including those resulting from the </w:t>
      </w:r>
      <w:r w:rsidR="00997840">
        <w:rPr>
          <w:color w:val="000000" w:themeColor="text1"/>
          <w:szCs w:val="24"/>
          <w:u w:val="none"/>
        </w:rPr>
        <w:t xml:space="preserve">proposal and comments </w:t>
      </w:r>
      <w:r>
        <w:rPr>
          <w:color w:val="000000" w:themeColor="text1"/>
          <w:szCs w:val="24"/>
          <w:u w:val="none"/>
        </w:rPr>
        <w:t>include</w:t>
      </w:r>
      <w:r>
        <w:rPr>
          <w:color w:val="000000" w:themeColor="text1"/>
          <w:szCs w:val="24"/>
          <w:u w:val="none"/>
        </w:rPr>
        <w:t>:</w:t>
      </w:r>
    </w:p>
    <w:p w:rsidR="008307A7" w:rsidP="00EB4F6C" w14:paraId="4B5F45F7" w14:textId="77777777">
      <w:pPr>
        <w:pStyle w:val="Subtitle"/>
        <w:jc w:val="left"/>
        <w:rPr>
          <w:color w:val="000000" w:themeColor="text1"/>
          <w:u w:val="none"/>
        </w:rPr>
      </w:pPr>
    </w:p>
    <w:p w:rsidR="00BA1926" w:rsidRPr="0045482C" w:rsidP="0045482C" w14:paraId="5F6F1B5B" w14:textId="3571F15B">
      <w:pPr>
        <w:pStyle w:val="Subtitle"/>
        <w:numPr>
          <w:ilvl w:val="0"/>
          <w:numId w:val="44"/>
        </w:numPr>
        <w:jc w:val="left"/>
        <w:rPr>
          <w:color w:val="000000" w:themeColor="text1"/>
          <w:u w:val="none"/>
        </w:rPr>
      </w:pPr>
      <w:r w:rsidRPr="4C4F126C">
        <w:rPr>
          <w:color w:val="000000" w:themeColor="text1"/>
          <w:u w:val="none"/>
        </w:rPr>
        <w:t xml:space="preserve">Transit agencies that serve urbanized areas with a population fewer than 200,000 to develop the ASP in cooperation with frontline </w:t>
      </w:r>
      <w:r w:rsidRPr="4C4F126C" w:rsidR="00CC080A">
        <w:rPr>
          <w:color w:val="000000" w:themeColor="text1"/>
          <w:u w:val="none"/>
        </w:rPr>
        <w:t xml:space="preserve">transit worker </w:t>
      </w:r>
      <w:r w:rsidRPr="4C4F126C">
        <w:rPr>
          <w:color w:val="000000" w:themeColor="text1"/>
          <w:u w:val="none"/>
        </w:rPr>
        <w:t>representatives;</w:t>
      </w:r>
    </w:p>
    <w:p w:rsidR="008307A7" w:rsidRPr="008307A7" w:rsidP="008307A7" w14:paraId="614ACE87" w14:textId="77777777">
      <w:pPr>
        <w:pStyle w:val="Subtitle"/>
        <w:ind w:left="720"/>
        <w:jc w:val="left"/>
        <w:rPr>
          <w:color w:val="000000" w:themeColor="text1"/>
          <w:u w:val="none"/>
        </w:rPr>
      </w:pPr>
    </w:p>
    <w:p w:rsidR="00D21967" w:rsidRPr="00D21967" w:rsidP="0045482C" w14:paraId="1A80679E" w14:textId="5BC5E790">
      <w:pPr>
        <w:pStyle w:val="Subtitle"/>
        <w:numPr>
          <w:ilvl w:val="0"/>
          <w:numId w:val="44"/>
        </w:numPr>
        <w:jc w:val="left"/>
        <w:rPr>
          <w:color w:val="000000" w:themeColor="text1"/>
          <w:u w:val="none"/>
        </w:rPr>
      </w:pPr>
      <w:r w:rsidRPr="0AB7426F">
        <w:rPr>
          <w:color w:val="000000" w:themeColor="text1"/>
          <w:u w:val="none"/>
        </w:rPr>
        <w:t xml:space="preserve">Transit agencies that serve urbanized areas with a population </w:t>
      </w:r>
      <w:r w:rsidRPr="0AB7426F" w:rsidR="175A70F7">
        <w:rPr>
          <w:color w:val="000000" w:themeColor="text1"/>
          <w:u w:val="none"/>
        </w:rPr>
        <w:t xml:space="preserve">of 200,000 or </w:t>
      </w:r>
      <w:r w:rsidRPr="0AB7426F">
        <w:rPr>
          <w:color w:val="000000" w:themeColor="text1"/>
          <w:u w:val="none"/>
        </w:rPr>
        <w:t xml:space="preserve">more to </w:t>
      </w:r>
      <w:r w:rsidRPr="0AB7426F" w:rsidR="50E19D36">
        <w:rPr>
          <w:color w:val="000000" w:themeColor="text1"/>
          <w:u w:val="none"/>
        </w:rPr>
        <w:t xml:space="preserve">establish a </w:t>
      </w:r>
      <w:r w:rsidRPr="0AB7426F" w:rsidR="78B65C24">
        <w:rPr>
          <w:color w:val="000000" w:themeColor="text1"/>
          <w:u w:val="none"/>
        </w:rPr>
        <w:t>S</w:t>
      </w:r>
      <w:r w:rsidRPr="0AB7426F" w:rsidR="50E19D36">
        <w:rPr>
          <w:color w:val="000000" w:themeColor="text1"/>
          <w:u w:val="none"/>
        </w:rPr>
        <w:t xml:space="preserve">afety </w:t>
      </w:r>
      <w:r w:rsidRPr="0AB7426F" w:rsidR="78B65C24">
        <w:rPr>
          <w:color w:val="000000" w:themeColor="text1"/>
          <w:u w:val="none"/>
        </w:rPr>
        <w:t>C</w:t>
      </w:r>
      <w:r w:rsidRPr="0AB7426F" w:rsidR="50E19D36">
        <w:rPr>
          <w:color w:val="000000" w:themeColor="text1"/>
          <w:u w:val="none"/>
        </w:rPr>
        <w:t xml:space="preserve">ommittee </w:t>
      </w:r>
      <w:r w:rsidRPr="0AB7426F" w:rsidR="3FBAD875">
        <w:rPr>
          <w:color w:val="000000" w:themeColor="text1"/>
          <w:u w:val="none"/>
        </w:rPr>
        <w:t>and include or incorporate by reference in their ASP</w:t>
      </w:r>
      <w:r w:rsidRPr="0AB7426F" w:rsidR="40944E16">
        <w:rPr>
          <w:color w:val="000000" w:themeColor="text1"/>
          <w:u w:val="none"/>
        </w:rPr>
        <w:t xml:space="preserve"> procedures regarding the composition, responsibilities, and operations of the Safety Committee. The Safety Committee </w:t>
      </w:r>
      <w:r w:rsidRPr="0AB7426F" w:rsidR="50E19D36">
        <w:rPr>
          <w:color w:val="000000" w:themeColor="text1"/>
          <w:u w:val="none"/>
        </w:rPr>
        <w:t>must:</w:t>
      </w:r>
    </w:p>
    <w:p w:rsidR="00D21967" w:rsidP="00D21967" w14:paraId="001C8523" w14:textId="77777777">
      <w:pPr>
        <w:pStyle w:val="Subtitle"/>
        <w:numPr>
          <w:ilvl w:val="1"/>
          <w:numId w:val="44"/>
        </w:numPr>
        <w:jc w:val="left"/>
        <w:rPr>
          <w:color w:val="000000" w:themeColor="text1"/>
          <w:u w:val="none"/>
        </w:rPr>
      </w:pPr>
      <w:r w:rsidRPr="395198BF">
        <w:rPr>
          <w:color w:val="000000" w:themeColor="text1"/>
          <w:u w:val="none"/>
        </w:rPr>
        <w:t>be convened by a joint labor-management process;</w:t>
      </w:r>
    </w:p>
    <w:p w:rsidR="00431038" w:rsidP="00D21967" w14:paraId="03750ADA" w14:textId="6E97DD0F">
      <w:pPr>
        <w:pStyle w:val="Subtitle"/>
        <w:numPr>
          <w:ilvl w:val="1"/>
          <w:numId w:val="44"/>
        </w:numPr>
        <w:jc w:val="left"/>
        <w:rPr>
          <w:color w:val="000000" w:themeColor="text1"/>
          <w:u w:val="none"/>
        </w:rPr>
      </w:pPr>
      <w:r w:rsidRPr="4C4F126C">
        <w:rPr>
          <w:color w:val="000000" w:themeColor="text1"/>
          <w:u w:val="none"/>
        </w:rPr>
        <w:t xml:space="preserve">at a minimum, </w:t>
      </w:r>
      <w:r w:rsidRPr="4C4F126C" w:rsidR="0045482C">
        <w:rPr>
          <w:color w:val="000000" w:themeColor="text1"/>
          <w:u w:val="none"/>
        </w:rPr>
        <w:t>consist of an equal number of</w:t>
      </w:r>
      <w:r w:rsidRPr="4C4F126C" w:rsidR="00D21967">
        <w:rPr>
          <w:color w:val="000000" w:themeColor="text1"/>
          <w:u w:val="none"/>
        </w:rPr>
        <w:t xml:space="preserve"> </w:t>
      </w:r>
      <w:r w:rsidRPr="4C4F126C" w:rsidR="0045482C">
        <w:rPr>
          <w:color w:val="000000" w:themeColor="text1"/>
          <w:u w:val="none"/>
        </w:rPr>
        <w:t xml:space="preserve">frontline </w:t>
      </w:r>
      <w:r w:rsidRPr="4C4F126C">
        <w:rPr>
          <w:color w:val="000000" w:themeColor="text1"/>
          <w:u w:val="none"/>
        </w:rPr>
        <w:t xml:space="preserve">transit worker </w:t>
      </w:r>
      <w:r w:rsidRPr="4C4F126C" w:rsidR="0045482C">
        <w:rPr>
          <w:color w:val="000000" w:themeColor="text1"/>
          <w:u w:val="none"/>
        </w:rPr>
        <w:t>representatives</w:t>
      </w:r>
      <w:r w:rsidRPr="4C4F126C" w:rsidR="00D21967">
        <w:rPr>
          <w:color w:val="000000" w:themeColor="text1"/>
          <w:u w:val="none"/>
        </w:rPr>
        <w:t xml:space="preserve"> </w:t>
      </w:r>
      <w:r w:rsidRPr="4C4F126C" w:rsidR="0045482C">
        <w:rPr>
          <w:color w:val="000000" w:themeColor="text1"/>
          <w:u w:val="none"/>
        </w:rPr>
        <w:t>and</w:t>
      </w:r>
      <w:r w:rsidRPr="4C4F126C" w:rsidR="00D21967">
        <w:rPr>
          <w:color w:val="000000" w:themeColor="text1"/>
          <w:u w:val="none"/>
        </w:rPr>
        <w:t xml:space="preserve"> </w:t>
      </w:r>
      <w:r w:rsidRPr="4C4F126C" w:rsidR="0045482C">
        <w:rPr>
          <w:color w:val="000000" w:themeColor="text1"/>
          <w:u w:val="none"/>
        </w:rPr>
        <w:t xml:space="preserve">management representatives; </w:t>
      </w:r>
    </w:p>
    <w:p w:rsidR="00D21967" w:rsidP="00D21967" w14:paraId="058396C6" w14:textId="7A335AFC">
      <w:pPr>
        <w:pStyle w:val="Subtitle"/>
        <w:numPr>
          <w:ilvl w:val="1"/>
          <w:numId w:val="44"/>
        </w:numPr>
        <w:jc w:val="left"/>
        <w:rPr>
          <w:color w:val="000000" w:themeColor="text1"/>
          <w:u w:val="none"/>
        </w:rPr>
      </w:pPr>
      <w:r w:rsidRPr="0AB7426F">
        <w:rPr>
          <w:color w:val="000000" w:themeColor="text1"/>
          <w:u w:val="none"/>
        </w:rPr>
        <w:t xml:space="preserve">to the extent practicable, include frontline transit worker representatives from major transit service functions, such as operations and maintenance, across the transit system; </w:t>
      </w:r>
      <w:r w:rsidRPr="0AB7426F" w:rsidR="0091B797">
        <w:rPr>
          <w:color w:val="000000" w:themeColor="text1"/>
          <w:u w:val="none"/>
        </w:rPr>
        <w:t>and</w:t>
      </w:r>
    </w:p>
    <w:p w:rsidR="0045482C" w:rsidRPr="0045482C" w:rsidP="00D21967" w14:paraId="7A872E66" w14:textId="54689921">
      <w:pPr>
        <w:pStyle w:val="Subtitle"/>
        <w:numPr>
          <w:ilvl w:val="1"/>
          <w:numId w:val="44"/>
        </w:numPr>
        <w:jc w:val="left"/>
        <w:rPr>
          <w:color w:val="000000" w:themeColor="text1"/>
          <w:u w:val="none"/>
        </w:rPr>
      </w:pPr>
      <w:r w:rsidRPr="395198BF">
        <w:rPr>
          <w:color w:val="000000" w:themeColor="text1"/>
          <w:u w:val="none"/>
        </w:rPr>
        <w:t>have, at a minimum, responsibility fo</w:t>
      </w:r>
      <w:r w:rsidRPr="395198BF" w:rsidR="00D21967">
        <w:rPr>
          <w:color w:val="000000" w:themeColor="text1"/>
          <w:u w:val="none"/>
        </w:rPr>
        <w:t xml:space="preserve">r </w:t>
      </w:r>
      <w:r w:rsidRPr="395198BF">
        <w:rPr>
          <w:color w:val="000000" w:themeColor="text1"/>
          <w:u w:val="none"/>
        </w:rPr>
        <w:t xml:space="preserve">identifying and recommending </w:t>
      </w:r>
      <w:r w:rsidRPr="395198BF" w:rsidR="00D21967">
        <w:rPr>
          <w:color w:val="000000" w:themeColor="text1"/>
          <w:u w:val="none"/>
        </w:rPr>
        <w:t>safety risk mitigation</w:t>
      </w:r>
      <w:r w:rsidRPr="395198BF">
        <w:rPr>
          <w:color w:val="000000" w:themeColor="text1"/>
          <w:u w:val="none"/>
        </w:rPr>
        <w:t xml:space="preserve">s or strategies necessary to reduce the likelihood and severity of </w:t>
      </w:r>
      <w:r w:rsidRPr="395198BF" w:rsidR="00D21967">
        <w:rPr>
          <w:color w:val="000000" w:themeColor="text1"/>
          <w:u w:val="none"/>
        </w:rPr>
        <w:t xml:space="preserve">potential </w:t>
      </w:r>
      <w:r w:rsidRPr="395198BF">
        <w:rPr>
          <w:color w:val="000000" w:themeColor="text1"/>
          <w:u w:val="none"/>
        </w:rPr>
        <w:t>consequences identified through the agency’s safety risk assessment;</w:t>
      </w:r>
      <w:r w:rsidRPr="395198BF" w:rsidR="00D21967">
        <w:rPr>
          <w:color w:val="000000" w:themeColor="text1"/>
          <w:u w:val="none"/>
        </w:rPr>
        <w:t xml:space="preserve"> </w:t>
      </w:r>
      <w:r w:rsidRPr="395198BF">
        <w:rPr>
          <w:color w:val="000000" w:themeColor="text1"/>
          <w:u w:val="none"/>
        </w:rPr>
        <w:t xml:space="preserve">identifying </w:t>
      </w:r>
      <w:r w:rsidRPr="395198BF" w:rsidR="00D21967">
        <w:rPr>
          <w:color w:val="000000" w:themeColor="text1"/>
          <w:u w:val="none"/>
        </w:rPr>
        <w:t xml:space="preserve">safety risk </w:t>
      </w:r>
      <w:r w:rsidRPr="395198BF">
        <w:rPr>
          <w:color w:val="000000" w:themeColor="text1"/>
          <w:u w:val="none"/>
        </w:rPr>
        <w:t>mitigations or strategies that may be ineffective, inappropriate, or were not implemented as intended; and identifying safety deficiencies for purposes of continuous improvement</w:t>
      </w:r>
      <w:r w:rsidRPr="395198BF" w:rsidR="00B646D0">
        <w:rPr>
          <w:color w:val="000000" w:themeColor="text1"/>
          <w:u w:val="none"/>
        </w:rPr>
        <w:t>.</w:t>
      </w:r>
    </w:p>
    <w:p w:rsidR="008307A7" w:rsidRPr="008307A7" w:rsidP="008307A7" w14:paraId="33B6DB54" w14:textId="77777777">
      <w:pPr>
        <w:pStyle w:val="Subtitle"/>
        <w:ind w:left="720"/>
        <w:jc w:val="left"/>
        <w:rPr>
          <w:color w:val="000000" w:themeColor="text1"/>
          <w:u w:val="none"/>
        </w:rPr>
      </w:pPr>
    </w:p>
    <w:p w:rsidR="008D2012" w:rsidRPr="008D2012" w:rsidP="0001384A" w14:paraId="7619A391" w14:textId="05B2C1E9">
      <w:pPr>
        <w:pStyle w:val="Subtitle"/>
        <w:numPr>
          <w:ilvl w:val="0"/>
          <w:numId w:val="44"/>
        </w:numPr>
        <w:jc w:val="left"/>
        <w:rPr>
          <w:color w:val="000000" w:themeColor="text1"/>
          <w:u w:val="none"/>
        </w:rPr>
      </w:pPr>
      <w:r w:rsidRPr="0AB7426F">
        <w:rPr>
          <w:color w:val="000000" w:themeColor="text1"/>
          <w:u w:val="none"/>
        </w:rPr>
        <w:t xml:space="preserve">Transit agencies that serve urbanized areas with a population </w:t>
      </w:r>
      <w:r w:rsidRPr="0AB7426F" w:rsidR="3CDF261C">
        <w:rPr>
          <w:color w:val="000000" w:themeColor="text1"/>
          <w:u w:val="none"/>
        </w:rPr>
        <w:t xml:space="preserve">of 200,000 or </w:t>
      </w:r>
      <w:r w:rsidRPr="0AB7426F">
        <w:rPr>
          <w:color w:val="000000" w:themeColor="text1"/>
          <w:u w:val="none"/>
        </w:rPr>
        <w:t>more to develop and implement a safety risk reduction program for transit operations to improve safety</w:t>
      </w:r>
      <w:r w:rsidRPr="0AB7426F" w:rsidR="08535D5A">
        <w:rPr>
          <w:color w:val="000000" w:themeColor="text1"/>
          <w:u w:val="none"/>
        </w:rPr>
        <w:t xml:space="preserve"> performance</w:t>
      </w:r>
      <w:r w:rsidRPr="0AB7426F">
        <w:rPr>
          <w:color w:val="000000" w:themeColor="text1"/>
          <w:u w:val="none"/>
        </w:rPr>
        <w:t xml:space="preserve"> by reducing the number and rates of </w:t>
      </w:r>
      <w:r w:rsidRPr="0AB7426F" w:rsidR="3CDF261C">
        <w:rPr>
          <w:color w:val="000000" w:themeColor="text1"/>
          <w:u w:val="none"/>
        </w:rPr>
        <w:t>safety events</w:t>
      </w:r>
      <w:r w:rsidRPr="0AB7426F">
        <w:rPr>
          <w:color w:val="000000" w:themeColor="text1"/>
          <w:u w:val="none"/>
        </w:rPr>
        <w:t>, injuries, and assaults on transit workers, including—</w:t>
      </w:r>
    </w:p>
    <w:p w:rsidR="008D2012" w:rsidRPr="008D2012" w:rsidP="008D2012" w14:paraId="240B0AC4" w14:textId="6F00CB92">
      <w:pPr>
        <w:pStyle w:val="Subtitle"/>
        <w:numPr>
          <w:ilvl w:val="1"/>
          <w:numId w:val="44"/>
        </w:numPr>
        <w:jc w:val="left"/>
        <w:rPr>
          <w:color w:val="000000" w:themeColor="text1"/>
          <w:u w:val="none"/>
        </w:rPr>
      </w:pPr>
      <w:r w:rsidRPr="4C4F126C">
        <w:rPr>
          <w:color w:val="000000" w:themeColor="text1"/>
          <w:u w:val="none"/>
        </w:rPr>
        <w:t xml:space="preserve">the </w:t>
      </w:r>
      <w:r w:rsidRPr="4C4F126C">
        <w:rPr>
          <w:color w:val="000000" w:themeColor="text1"/>
          <w:u w:val="none"/>
        </w:rPr>
        <w:t xml:space="preserve">reduction of vehicular and pedestrian </w:t>
      </w:r>
      <w:r w:rsidRPr="4C4F126C">
        <w:rPr>
          <w:color w:val="000000" w:themeColor="text1"/>
          <w:u w:val="none"/>
        </w:rPr>
        <w:t xml:space="preserve">safety events </w:t>
      </w:r>
      <w:r w:rsidRPr="4C4F126C">
        <w:rPr>
          <w:color w:val="000000" w:themeColor="text1"/>
          <w:u w:val="none"/>
        </w:rPr>
        <w:t xml:space="preserve">involving </w:t>
      </w:r>
      <w:r w:rsidRPr="4C4F126C">
        <w:rPr>
          <w:color w:val="000000" w:themeColor="text1"/>
          <w:u w:val="none"/>
        </w:rPr>
        <w:t xml:space="preserve">transit vehicles </w:t>
      </w:r>
      <w:r w:rsidRPr="4C4F126C">
        <w:rPr>
          <w:color w:val="000000" w:themeColor="text1"/>
          <w:u w:val="none"/>
        </w:rPr>
        <w:t>that includes</w:t>
      </w:r>
      <w:r w:rsidRPr="4C4F126C">
        <w:rPr>
          <w:color w:val="000000" w:themeColor="text1"/>
          <w:u w:val="none"/>
        </w:rPr>
        <w:t xml:space="preserve"> consideration of specific safety risk mitigations, including</w:t>
      </w:r>
      <w:r w:rsidRPr="4C4F126C">
        <w:rPr>
          <w:color w:val="000000" w:themeColor="text1"/>
          <w:u w:val="none"/>
        </w:rPr>
        <w:t xml:space="preserve"> measures to reduce </w:t>
      </w:r>
      <w:r w:rsidRPr="4C4F126C" w:rsidR="006E0653">
        <w:rPr>
          <w:color w:val="000000" w:themeColor="text1"/>
          <w:u w:val="none"/>
        </w:rPr>
        <w:t xml:space="preserve">vehicle operator </w:t>
      </w:r>
      <w:r w:rsidRPr="4C4F126C">
        <w:rPr>
          <w:color w:val="000000" w:themeColor="text1"/>
          <w:u w:val="none"/>
        </w:rPr>
        <w:t xml:space="preserve">visibility impairments that contribute to </w:t>
      </w:r>
      <w:r w:rsidRPr="4C4F126C" w:rsidR="006E0653">
        <w:rPr>
          <w:color w:val="000000" w:themeColor="text1"/>
          <w:u w:val="none"/>
        </w:rPr>
        <w:t>safety events</w:t>
      </w:r>
      <w:r w:rsidRPr="4C4F126C">
        <w:rPr>
          <w:color w:val="000000" w:themeColor="text1"/>
          <w:u w:val="none"/>
        </w:rPr>
        <w:t xml:space="preserve">, including retrofits to </w:t>
      </w:r>
      <w:r w:rsidRPr="4C4F126C" w:rsidR="006E0653">
        <w:rPr>
          <w:color w:val="000000" w:themeColor="text1"/>
          <w:u w:val="none"/>
        </w:rPr>
        <w:t xml:space="preserve">vehicles </w:t>
      </w:r>
      <w:r w:rsidRPr="4C4F126C">
        <w:rPr>
          <w:color w:val="000000" w:themeColor="text1"/>
          <w:u w:val="none"/>
        </w:rPr>
        <w:t xml:space="preserve">in revenue service and specifications for future procurements that reduce visibility impairments; and </w:t>
      </w:r>
    </w:p>
    <w:p w:rsidR="0045482C" w:rsidP="008D2012" w14:paraId="503F67D1" w14:textId="0A50C82B">
      <w:pPr>
        <w:pStyle w:val="Subtitle"/>
        <w:numPr>
          <w:ilvl w:val="1"/>
          <w:numId w:val="44"/>
        </w:numPr>
        <w:jc w:val="left"/>
        <w:rPr>
          <w:color w:val="000000" w:themeColor="text1"/>
          <w:u w:val="none"/>
        </w:rPr>
      </w:pPr>
      <w:r w:rsidRPr="0AB7426F">
        <w:rPr>
          <w:color w:val="000000" w:themeColor="text1"/>
          <w:u w:val="none"/>
        </w:rPr>
        <w:t>the mitigation of assaults on transit workers</w:t>
      </w:r>
      <w:r w:rsidRPr="0AB7426F" w:rsidR="3333740D">
        <w:rPr>
          <w:color w:val="000000" w:themeColor="text1"/>
          <w:u w:val="none"/>
        </w:rPr>
        <w:t xml:space="preserve"> that includes consideration of specific safety risk mitigations</w:t>
      </w:r>
      <w:r w:rsidRPr="0AB7426F">
        <w:rPr>
          <w:color w:val="000000" w:themeColor="text1"/>
          <w:u w:val="none"/>
        </w:rPr>
        <w:t xml:space="preserve">, including the deployment of assault mitigation infrastructure and technology on </w:t>
      </w:r>
      <w:r w:rsidRPr="0AB7426F" w:rsidR="23B9B8A9">
        <w:rPr>
          <w:color w:val="000000" w:themeColor="text1"/>
          <w:u w:val="none"/>
        </w:rPr>
        <w:t>transit vehicles and in transit facilities</w:t>
      </w:r>
      <w:r w:rsidRPr="0AB7426F">
        <w:rPr>
          <w:color w:val="000000" w:themeColor="text1"/>
          <w:u w:val="none"/>
        </w:rPr>
        <w:t>, including barriers to restrict the unwanted entry of individuals and objects into the workstations of bus operators when a risk analysis performed by the safety committee of the recipient determines that such barriers or other measures would reduce assaults on transit workers and injuries to transit workers</w:t>
      </w:r>
      <w:r w:rsidRPr="0AB7426F" w:rsidR="25C13C18">
        <w:rPr>
          <w:color w:val="000000" w:themeColor="text1"/>
          <w:u w:val="none"/>
        </w:rPr>
        <w:t>.</w:t>
      </w:r>
    </w:p>
    <w:p w:rsidR="00046923" w:rsidRPr="00046923" w:rsidP="00046923" w14:paraId="2BE84FF9" w14:textId="2D06445D">
      <w:pPr>
        <w:pStyle w:val="Subtitle"/>
        <w:numPr>
          <w:ilvl w:val="1"/>
          <w:numId w:val="44"/>
        </w:numPr>
        <w:jc w:val="left"/>
        <w:rPr>
          <w:color w:val="000000" w:themeColor="text1"/>
          <w:u w:val="none"/>
        </w:rPr>
      </w:pPr>
      <w:r>
        <w:rPr>
          <w:rStyle w:val="ui-provider"/>
        </w:rPr>
        <w:t>When a Safety Committee recommends safety mitigations it has determined would reduce assaults on transit workers and injuries to transit workers based on a safety risk analysis conducted under § 673.25(c), the transit agency must implement one or more of those mitigations to reduce risk to an acceptable level, unless the Accountable Executive determines the mitigation will not improve the agency’s overall safety performance.</w:t>
      </w:r>
    </w:p>
    <w:p w:rsidR="008307A7" w:rsidP="008307A7" w14:paraId="645CE8D7" w14:textId="77777777">
      <w:pPr>
        <w:pStyle w:val="Subtitle"/>
        <w:ind w:left="720"/>
        <w:jc w:val="left"/>
        <w:rPr>
          <w:color w:val="000000" w:themeColor="text1"/>
          <w:u w:val="none"/>
        </w:rPr>
      </w:pPr>
    </w:p>
    <w:p w:rsidR="008307A7" w:rsidP="008307A7" w14:paraId="0E967C2D" w14:textId="6ABD5FEA">
      <w:pPr>
        <w:pStyle w:val="Subtitle"/>
        <w:numPr>
          <w:ilvl w:val="0"/>
          <w:numId w:val="44"/>
        </w:numPr>
        <w:jc w:val="left"/>
        <w:rPr>
          <w:color w:val="000000" w:themeColor="text1"/>
          <w:u w:val="none"/>
        </w:rPr>
      </w:pPr>
      <w:r w:rsidRPr="395198BF">
        <w:rPr>
          <w:color w:val="000000" w:themeColor="text1"/>
          <w:u w:val="none"/>
        </w:rPr>
        <w:t xml:space="preserve">Small public transportation providers to address continuous improvement </w:t>
      </w:r>
      <w:r w:rsidRPr="395198BF" w:rsidR="003853E7">
        <w:rPr>
          <w:color w:val="000000" w:themeColor="text1"/>
          <w:u w:val="none"/>
        </w:rPr>
        <w:t xml:space="preserve">within the </w:t>
      </w:r>
      <w:r w:rsidRPr="395198BF">
        <w:rPr>
          <w:color w:val="000000" w:themeColor="text1"/>
          <w:u w:val="none"/>
        </w:rPr>
        <w:t>Safety Assurance</w:t>
      </w:r>
      <w:r w:rsidRPr="395198BF" w:rsidR="003853E7">
        <w:rPr>
          <w:color w:val="000000" w:themeColor="text1"/>
          <w:u w:val="none"/>
        </w:rPr>
        <w:t xml:space="preserve"> component of their SMS</w:t>
      </w:r>
      <w:r w:rsidRPr="395198BF">
        <w:rPr>
          <w:color w:val="000000" w:themeColor="text1"/>
          <w:u w:val="none"/>
        </w:rPr>
        <w:t>; and</w:t>
      </w:r>
    </w:p>
    <w:p w:rsidR="008307A7" w:rsidP="008307A7" w14:paraId="2C5DF064" w14:textId="77777777">
      <w:pPr>
        <w:pStyle w:val="Subtitle"/>
        <w:ind w:left="720"/>
        <w:jc w:val="left"/>
        <w:rPr>
          <w:color w:val="000000" w:themeColor="text1"/>
          <w:u w:val="none"/>
        </w:rPr>
      </w:pPr>
    </w:p>
    <w:p w:rsidR="00386F92" w:rsidP="00A66850" w14:paraId="4EBB8178" w14:textId="3A85DAD0">
      <w:pPr>
        <w:pStyle w:val="Subtitle"/>
        <w:numPr>
          <w:ilvl w:val="0"/>
          <w:numId w:val="44"/>
        </w:numPr>
        <w:jc w:val="left"/>
        <w:rPr>
          <w:color w:val="000000" w:themeColor="text1"/>
          <w:u w:val="none"/>
        </w:rPr>
      </w:pPr>
      <w:r w:rsidRPr="4C4F126C">
        <w:rPr>
          <w:color w:val="000000" w:themeColor="text1"/>
          <w:u w:val="none"/>
        </w:rPr>
        <w:t xml:space="preserve">Transit agencies </w:t>
      </w:r>
      <w:r w:rsidRPr="4C4F126C" w:rsidR="000F63CB">
        <w:rPr>
          <w:color w:val="000000" w:themeColor="text1"/>
          <w:u w:val="none"/>
        </w:rPr>
        <w:t>to include de-escalation training,</w:t>
      </w:r>
      <w:r w:rsidRPr="4C4F126C">
        <w:rPr>
          <w:color w:val="000000" w:themeColor="text1"/>
          <w:u w:val="none"/>
        </w:rPr>
        <w:t xml:space="preserve"> and</w:t>
      </w:r>
      <w:r w:rsidRPr="4C4F126C" w:rsidR="000F63CB">
        <w:rPr>
          <w:color w:val="000000" w:themeColor="text1"/>
          <w:u w:val="none"/>
        </w:rPr>
        <w:t xml:space="preserve"> safety concern identification and reporting training</w:t>
      </w:r>
      <w:r w:rsidRPr="4C4F126C">
        <w:rPr>
          <w:color w:val="000000" w:themeColor="text1"/>
          <w:u w:val="none"/>
        </w:rPr>
        <w:t xml:space="preserve"> in their comprehensive safety training program. </w:t>
      </w:r>
    </w:p>
    <w:p w:rsidR="00386F92" w:rsidP="008A2014" w14:paraId="0A62C7DE" w14:textId="77777777">
      <w:pPr>
        <w:pStyle w:val="ListParagraph"/>
        <w:rPr>
          <w:color w:val="000000" w:themeColor="text1"/>
        </w:rPr>
      </w:pPr>
    </w:p>
    <w:p w:rsidR="00C06C35" w:rsidP="00A66850" w14:paraId="2505310F" w14:textId="65511D84">
      <w:pPr>
        <w:pStyle w:val="Subtitle"/>
        <w:numPr>
          <w:ilvl w:val="0"/>
          <w:numId w:val="44"/>
        </w:numPr>
        <w:jc w:val="left"/>
        <w:rPr>
          <w:color w:val="000000" w:themeColor="text1"/>
          <w:u w:val="none"/>
        </w:rPr>
      </w:pPr>
      <w:r w:rsidRPr="427D054D">
        <w:rPr>
          <w:color w:val="000000" w:themeColor="text1"/>
          <w:u w:val="none"/>
        </w:rPr>
        <w:t xml:space="preserve">Transit agencies </w:t>
      </w:r>
      <w:r w:rsidRPr="427D054D" w:rsidR="003853E7">
        <w:rPr>
          <w:color w:val="000000" w:themeColor="text1"/>
          <w:u w:val="none"/>
        </w:rPr>
        <w:t xml:space="preserve">that serve urbanized areas with a population </w:t>
      </w:r>
      <w:r w:rsidRPr="427D054D" w:rsidR="006145DF">
        <w:rPr>
          <w:color w:val="000000" w:themeColor="text1"/>
          <w:u w:val="none"/>
        </w:rPr>
        <w:t>of</w:t>
      </w:r>
      <w:r w:rsidRPr="427D054D" w:rsidR="003853E7">
        <w:rPr>
          <w:color w:val="000000" w:themeColor="text1"/>
          <w:u w:val="none"/>
        </w:rPr>
        <w:t xml:space="preserve"> 200,000</w:t>
      </w:r>
      <w:r w:rsidRPr="427D054D" w:rsidR="006145DF">
        <w:rPr>
          <w:color w:val="000000" w:themeColor="text1"/>
          <w:u w:val="none"/>
        </w:rPr>
        <w:t xml:space="preserve"> or more</w:t>
      </w:r>
      <w:r w:rsidRPr="427D054D" w:rsidR="003853E7">
        <w:rPr>
          <w:color w:val="000000" w:themeColor="text1"/>
          <w:u w:val="none"/>
        </w:rPr>
        <w:t xml:space="preserve"> to </w:t>
      </w:r>
      <w:r w:rsidRPr="427D054D" w:rsidR="006C1874">
        <w:rPr>
          <w:color w:val="000000" w:themeColor="text1"/>
          <w:u w:val="none"/>
        </w:rPr>
        <w:t>include maintenance personnel</w:t>
      </w:r>
      <w:r w:rsidRPr="427D054D" w:rsidR="008A2014">
        <w:rPr>
          <w:color w:val="000000" w:themeColor="text1"/>
          <w:u w:val="none"/>
        </w:rPr>
        <w:t xml:space="preserve"> in their comprehensive safety training program</w:t>
      </w:r>
      <w:r w:rsidRPr="427D054D" w:rsidR="006C1874">
        <w:rPr>
          <w:color w:val="000000" w:themeColor="text1"/>
          <w:u w:val="none"/>
        </w:rPr>
        <w:t>.</w:t>
      </w:r>
    </w:p>
    <w:p w:rsidR="00F37784" w:rsidP="00F37784" w14:paraId="00555655" w14:textId="77777777">
      <w:pPr>
        <w:pStyle w:val="ListParagraph"/>
      </w:pPr>
    </w:p>
    <w:p w:rsidR="00F37784" w:rsidRPr="005665C5" w:rsidP="00F37784" w14:paraId="64DD9BEC" w14:textId="451F1A29">
      <w:pPr>
        <w:pStyle w:val="NoSpacing"/>
        <w:numPr>
          <w:ilvl w:val="0"/>
          <w:numId w:val="44"/>
        </w:numPr>
        <w:rPr>
          <w:rFonts w:ascii="Times New Roman" w:hAnsi="Times New Roman" w:cs="Times New Roman"/>
          <w:sz w:val="24"/>
          <w:szCs w:val="24"/>
        </w:rPr>
      </w:pPr>
      <w:r w:rsidRPr="427D054D">
        <w:rPr>
          <w:rFonts w:ascii="Times New Roman" w:hAnsi="Times New Roman" w:cs="Times New Roman"/>
          <w:sz w:val="24"/>
          <w:szCs w:val="24"/>
        </w:rPr>
        <w:t>Estimates in this Supporting Statement reflect revisions to originally proposed estimates based on feedback received from commenters during the NPRM process. Based on comments submitted to the docket</w:t>
      </w:r>
      <w:r w:rsidRPr="427D054D" w:rsidR="00A96310">
        <w:rPr>
          <w:rFonts w:ascii="Times New Roman" w:hAnsi="Times New Roman" w:cs="Times New Roman"/>
          <w:sz w:val="24"/>
          <w:szCs w:val="24"/>
        </w:rPr>
        <w:t xml:space="preserve"> ion response to proposed requirements</w:t>
      </w:r>
      <w:r w:rsidRPr="427D054D">
        <w:rPr>
          <w:rFonts w:ascii="Times New Roman" w:hAnsi="Times New Roman" w:cs="Times New Roman"/>
          <w:sz w:val="24"/>
          <w:szCs w:val="24"/>
        </w:rPr>
        <w:t>, FTA has increased burden estimates related to:</w:t>
      </w:r>
    </w:p>
    <w:p w:rsidR="00F37784" w:rsidRPr="008A3252" w:rsidP="008A3252" w14:paraId="24B38A8C" w14:textId="69979954">
      <w:pPr>
        <w:pStyle w:val="Subtitle"/>
        <w:numPr>
          <w:ilvl w:val="1"/>
          <w:numId w:val="44"/>
        </w:numPr>
        <w:jc w:val="left"/>
        <w:rPr>
          <w:rStyle w:val="ui-provider"/>
        </w:rPr>
      </w:pPr>
      <w:r w:rsidRPr="427D054D">
        <w:rPr>
          <w:rStyle w:val="ui-provider"/>
        </w:rPr>
        <w:t>c</w:t>
      </w:r>
      <w:r w:rsidRPr="427D054D">
        <w:rPr>
          <w:rStyle w:val="ui-provider"/>
        </w:rPr>
        <w:t>ooperation with frontline workers;</w:t>
      </w:r>
    </w:p>
    <w:p w:rsidR="00F37784" w:rsidRPr="008A3252" w:rsidP="008A3252" w14:paraId="16D6EE9C" w14:textId="015D2AE9">
      <w:pPr>
        <w:pStyle w:val="Subtitle"/>
        <w:numPr>
          <w:ilvl w:val="1"/>
          <w:numId w:val="44"/>
        </w:numPr>
        <w:jc w:val="left"/>
        <w:rPr>
          <w:rStyle w:val="ui-provider"/>
        </w:rPr>
      </w:pPr>
      <w:r w:rsidRPr="427D054D">
        <w:rPr>
          <w:rStyle w:val="ui-provider"/>
        </w:rPr>
        <w:t>s</w:t>
      </w:r>
      <w:r w:rsidRPr="427D054D">
        <w:rPr>
          <w:rStyle w:val="ui-provider"/>
        </w:rPr>
        <w:t xml:space="preserve">afety </w:t>
      </w:r>
      <w:r w:rsidRPr="427D054D">
        <w:rPr>
          <w:rStyle w:val="ui-provider"/>
        </w:rPr>
        <w:t>c</w:t>
      </w:r>
      <w:r w:rsidRPr="427D054D">
        <w:rPr>
          <w:rStyle w:val="ui-provider"/>
        </w:rPr>
        <w:t>ommittees;</w:t>
      </w:r>
    </w:p>
    <w:p w:rsidR="00F37784" w:rsidRPr="008A3252" w:rsidP="008A3252" w14:paraId="4E8C90AA" w14:textId="412D3988">
      <w:pPr>
        <w:pStyle w:val="Subtitle"/>
        <w:numPr>
          <w:ilvl w:val="1"/>
          <w:numId w:val="44"/>
        </w:numPr>
        <w:jc w:val="left"/>
        <w:rPr>
          <w:rStyle w:val="ui-provider"/>
        </w:rPr>
      </w:pPr>
      <w:r w:rsidRPr="427D054D">
        <w:rPr>
          <w:rStyle w:val="ui-provider"/>
        </w:rPr>
        <w:t>s</w:t>
      </w:r>
      <w:r w:rsidRPr="427D054D">
        <w:rPr>
          <w:rStyle w:val="ui-provider"/>
        </w:rPr>
        <w:t xml:space="preserve">afety </w:t>
      </w:r>
      <w:r w:rsidRPr="427D054D">
        <w:rPr>
          <w:rStyle w:val="ui-provider"/>
        </w:rPr>
        <w:t>r</w:t>
      </w:r>
      <w:r w:rsidRPr="427D054D">
        <w:rPr>
          <w:rStyle w:val="ui-provider"/>
        </w:rPr>
        <w:t xml:space="preserve">isk </w:t>
      </w:r>
      <w:r w:rsidRPr="427D054D">
        <w:rPr>
          <w:rStyle w:val="ui-provider"/>
        </w:rPr>
        <w:t>r</w:t>
      </w:r>
      <w:r w:rsidRPr="427D054D">
        <w:rPr>
          <w:rStyle w:val="ui-provider"/>
        </w:rPr>
        <w:t xml:space="preserve">eduction </w:t>
      </w:r>
      <w:r w:rsidRPr="427D054D">
        <w:rPr>
          <w:rStyle w:val="ui-provider"/>
        </w:rPr>
        <w:t>p</w:t>
      </w:r>
      <w:r w:rsidRPr="427D054D">
        <w:rPr>
          <w:rStyle w:val="ui-provider"/>
        </w:rPr>
        <w:t>rograms;</w:t>
      </w:r>
    </w:p>
    <w:p w:rsidR="00F37784" w:rsidRPr="008A3252" w:rsidP="008A3252" w14:paraId="0196BA3B" w14:textId="46AD9E65">
      <w:pPr>
        <w:pStyle w:val="Subtitle"/>
        <w:numPr>
          <w:ilvl w:val="1"/>
          <w:numId w:val="44"/>
        </w:numPr>
        <w:jc w:val="left"/>
        <w:rPr>
          <w:rStyle w:val="ui-provider"/>
        </w:rPr>
      </w:pPr>
      <w:r w:rsidRPr="427D054D">
        <w:rPr>
          <w:rStyle w:val="ui-provider"/>
        </w:rPr>
        <w:t>c</w:t>
      </w:r>
      <w:r w:rsidRPr="427D054D">
        <w:rPr>
          <w:rStyle w:val="ui-provider"/>
        </w:rPr>
        <w:t xml:space="preserve">ontinuous improvement; and </w:t>
      </w:r>
    </w:p>
    <w:p w:rsidR="00F37784" w:rsidRPr="008A3252" w:rsidP="008A3252" w14:paraId="0E730F33" w14:textId="5A0397D1">
      <w:pPr>
        <w:pStyle w:val="Subtitle"/>
        <w:numPr>
          <w:ilvl w:val="1"/>
          <w:numId w:val="44"/>
        </w:numPr>
        <w:jc w:val="left"/>
        <w:rPr>
          <w:rStyle w:val="ui-provider"/>
        </w:rPr>
      </w:pPr>
      <w:r w:rsidRPr="427D054D">
        <w:rPr>
          <w:rStyle w:val="ui-provider"/>
        </w:rPr>
        <w:t>d</w:t>
      </w:r>
      <w:r w:rsidRPr="427D054D">
        <w:rPr>
          <w:rStyle w:val="ui-provider"/>
        </w:rPr>
        <w:t>e-escalation training.</w:t>
      </w:r>
    </w:p>
    <w:p w:rsidR="006C1874" w:rsidRPr="00A66850" w:rsidP="00A66850" w14:paraId="7ACB0F4E" w14:textId="77777777"/>
    <w:p w:rsidR="00DF66D9" w:rsidRPr="00A66850" w:rsidP="00C06C35" w14:paraId="5337CE63" w14:textId="09DF20CD">
      <w:pPr>
        <w:pStyle w:val="ListParagraph"/>
        <w:keepNext/>
        <w:numPr>
          <w:ilvl w:val="0"/>
          <w:numId w:val="3"/>
        </w:numPr>
        <w:ind w:hanging="720"/>
        <w:contextualSpacing w:val="0"/>
        <w:rPr>
          <w:b/>
        </w:rPr>
      </w:pPr>
      <w:r w:rsidRPr="7FC443FA">
        <w:rPr>
          <w:b/>
          <w:bCs/>
        </w:rPr>
        <w:t xml:space="preserve">Plans for Tabulation and </w:t>
      </w:r>
      <w:r w:rsidRPr="7FC443FA" w:rsidR="007818F2">
        <w:rPr>
          <w:b/>
          <w:bCs/>
        </w:rPr>
        <w:t>p</w:t>
      </w:r>
      <w:r w:rsidRPr="7FC443FA">
        <w:rPr>
          <w:b/>
          <w:bCs/>
        </w:rPr>
        <w:t xml:space="preserve">ublication </w:t>
      </w:r>
      <w:r w:rsidRPr="7FC443FA" w:rsidR="007818F2">
        <w:rPr>
          <w:b/>
          <w:bCs/>
        </w:rPr>
        <w:t xml:space="preserve">for collections of information whose results will be published. </w:t>
      </w:r>
    </w:p>
    <w:p w:rsidR="00E50316" w:rsidRPr="00A66850" w:rsidP="00C06C35" w14:paraId="1EF57FD0" w14:textId="77777777">
      <w:pPr>
        <w:pStyle w:val="ListParagraph"/>
        <w:keepNext/>
        <w:ind w:left="0"/>
        <w:contextualSpacing w:val="0"/>
      </w:pPr>
    </w:p>
    <w:p w:rsidR="007818F2" w:rsidP="00A66850" w14:paraId="213CCF00" w14:textId="1ED325DA">
      <w:pPr>
        <w:pStyle w:val="ListParagraph"/>
        <w:ind w:left="0"/>
        <w:contextualSpacing w:val="0"/>
      </w:pPr>
      <w:r>
        <w:rPr>
          <w:snapToGrid w:val="0"/>
          <w:color w:val="000000"/>
          <w:szCs w:val="20"/>
        </w:rPr>
        <w:t>FTA does not plan to publish any results from this collection, including any statistical results.</w:t>
      </w:r>
      <w:r w:rsidR="00F360ED">
        <w:rPr>
          <w:snapToGrid w:val="0"/>
          <w:color w:val="000000"/>
          <w:szCs w:val="20"/>
        </w:rPr>
        <w:t xml:space="preserve"> </w:t>
      </w:r>
    </w:p>
    <w:p w:rsidR="00C06C35" w:rsidRPr="00C06C35" w:rsidP="00C06C35" w14:paraId="5A3FEC5A" w14:textId="77777777">
      <w:pPr>
        <w:rPr>
          <w:b/>
        </w:rPr>
      </w:pPr>
    </w:p>
    <w:p w:rsidR="00DF66D9" w:rsidRPr="00A66850" w:rsidP="00C06C35" w14:paraId="615B15C1" w14:textId="77777777">
      <w:pPr>
        <w:pStyle w:val="ListParagraph"/>
        <w:keepNext/>
        <w:numPr>
          <w:ilvl w:val="0"/>
          <w:numId w:val="3"/>
        </w:numPr>
        <w:ind w:hanging="720"/>
        <w:contextualSpacing w:val="0"/>
        <w:rPr>
          <w:b/>
        </w:rPr>
      </w:pPr>
      <w:r w:rsidRPr="7FC443FA">
        <w:rPr>
          <w:b/>
          <w:bCs/>
        </w:rPr>
        <w:t xml:space="preserve">Reason(s) </w:t>
      </w:r>
      <w:r w:rsidRPr="7FC443FA" w:rsidR="002C0833">
        <w:rPr>
          <w:b/>
          <w:bCs/>
        </w:rPr>
        <w:t xml:space="preserve">the </w:t>
      </w:r>
      <w:r w:rsidRPr="7FC443FA">
        <w:rPr>
          <w:b/>
          <w:bCs/>
        </w:rPr>
        <w:t>Display of OMB Expiration Date is Inappropriate</w:t>
      </w:r>
    </w:p>
    <w:p w:rsidR="0024385D" w:rsidRPr="00A66850" w:rsidP="00C06C35" w14:paraId="7E5E7DE0" w14:textId="77777777">
      <w:pPr>
        <w:pStyle w:val="ListParagraph"/>
        <w:keepNext/>
        <w:ind w:left="0"/>
        <w:contextualSpacing w:val="0"/>
      </w:pPr>
    </w:p>
    <w:p w:rsidR="00562093" w:rsidRPr="00A66850" w:rsidP="00A66850" w14:paraId="0A1008BE" w14:textId="77777777">
      <w:pPr>
        <w:pStyle w:val="ListParagraph"/>
        <w:ind w:left="0"/>
        <w:contextualSpacing w:val="0"/>
      </w:pPr>
      <w:r w:rsidRPr="00A66850">
        <w:t>Not applicable.</w:t>
      </w:r>
    </w:p>
    <w:p w:rsidR="00562093" w:rsidRPr="00A66850" w:rsidP="00A66850" w14:paraId="4AC7BC69" w14:textId="77777777">
      <w:pPr>
        <w:pStyle w:val="ListParagraph"/>
        <w:ind w:left="0"/>
        <w:contextualSpacing w:val="0"/>
      </w:pPr>
    </w:p>
    <w:p w:rsidR="00E32436" w:rsidRPr="00A66850" w:rsidP="00C06C35" w14:paraId="6B93F6D0" w14:textId="77777777">
      <w:pPr>
        <w:pStyle w:val="NoSpacing"/>
        <w:keepNext/>
        <w:numPr>
          <w:ilvl w:val="0"/>
          <w:numId w:val="3"/>
        </w:numPr>
        <w:ind w:hanging="720"/>
        <w:rPr>
          <w:rFonts w:ascii="Times New Roman" w:hAnsi="Times New Roman" w:cs="Times New Roman"/>
          <w:b/>
          <w:sz w:val="24"/>
          <w:szCs w:val="24"/>
        </w:rPr>
      </w:pPr>
      <w:r w:rsidRPr="7FC443FA">
        <w:rPr>
          <w:rFonts w:ascii="Times New Roman" w:hAnsi="Times New Roman" w:cs="Times New Roman"/>
          <w:b/>
          <w:bCs/>
          <w:sz w:val="24"/>
          <w:szCs w:val="24"/>
        </w:rPr>
        <w:t>Exceptions to Certification for Paperwork Reduction Act Submissions</w:t>
      </w:r>
    </w:p>
    <w:p w:rsidR="00562093" w:rsidRPr="00A66850" w:rsidP="00C06C35" w14:paraId="26706E45" w14:textId="77777777">
      <w:pPr>
        <w:pStyle w:val="ListParagraph"/>
        <w:keepNext/>
        <w:ind w:left="0"/>
        <w:contextualSpacing w:val="0"/>
      </w:pPr>
    </w:p>
    <w:p w:rsidR="00C06C35" w:rsidRPr="00A66850" w:rsidP="00A66850" w14:paraId="20309DE5" w14:textId="62DDDB7F">
      <w:pPr>
        <w:pStyle w:val="ListParagraph"/>
        <w:ind w:left="0"/>
        <w:contextualSpacing w:val="0"/>
      </w:pPr>
      <w:r w:rsidRPr="00A66850">
        <w:t>FTA does not claim exceptions to certification for Paperwork Reduction Act submissions.</w:t>
      </w:r>
    </w:p>
    <w:sectPr w:rsidSect="0071647F">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438140969"/>
      <w:docPartObj>
        <w:docPartGallery w:val="Page Numbers (Bottom of Page)"/>
        <w:docPartUnique/>
      </w:docPartObj>
    </w:sdtPr>
    <w:sdtEndPr>
      <w:rPr>
        <w:noProof/>
      </w:rPr>
    </w:sdtEndPr>
    <w:sdtContent>
      <w:p w:rsidR="005202DD" w:rsidRPr="008A3252" w:rsidP="00A61279" w14:paraId="383CBA78" w14:textId="0C2CBA7B">
        <w:pPr>
          <w:pStyle w:val="Footer"/>
          <w:tabs>
            <w:tab w:val="clear" w:pos="4680"/>
            <w:tab w:val="clear" w:pos="9360"/>
          </w:tabs>
          <w:jc w:val="center"/>
        </w:pPr>
        <w:r w:rsidRPr="008A3252">
          <w:rPr>
            <w:shd w:val="clear" w:color="auto" w:fill="E6E6E6"/>
          </w:rPr>
          <w:fldChar w:fldCharType="begin"/>
        </w:r>
        <w:r w:rsidRPr="008A3252">
          <w:instrText xml:space="preserve"> PAGE   \* MERGEFORMAT </w:instrText>
        </w:r>
        <w:r w:rsidRPr="008A3252">
          <w:rPr>
            <w:shd w:val="clear" w:color="auto" w:fill="E6E6E6"/>
          </w:rPr>
          <w:fldChar w:fldCharType="separate"/>
        </w:r>
        <w:r w:rsidRPr="008A3252" w:rsidR="003E515B">
          <w:rPr>
            <w:noProof/>
          </w:rPr>
          <w:t>11</w:t>
        </w:r>
        <w:r w:rsidRPr="008A3252">
          <w:rPr>
            <w:noProof/>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E634F3" w:rsidP="0067152B" w14:paraId="4C31480F" w14:textId="77777777">
      <w:r>
        <w:separator/>
      </w:r>
    </w:p>
  </w:footnote>
  <w:footnote w:type="continuationSeparator" w:id="1">
    <w:p w:rsidR="00E634F3" w:rsidP="0067152B" w14:paraId="1996ABE5" w14:textId="77777777">
      <w:r>
        <w:continuationSeparator/>
      </w:r>
    </w:p>
  </w:footnote>
  <w:footnote w:type="continuationNotice" w:id="2">
    <w:p w:rsidR="00E634F3" w14:paraId="5FD0F81C" w14:textId="77777777"/>
  </w:footnote>
  <w:footnote w:id="3">
    <w:p w:rsidR="0084616D" w:rsidRPr="00B35761" w:rsidP="0084616D" w14:paraId="61D818B2" w14:textId="77777777">
      <w:pPr>
        <w:pStyle w:val="FootnoteText"/>
      </w:pPr>
      <w:r>
        <w:rPr>
          <w:rStyle w:val="FootnoteReference"/>
        </w:rPr>
        <w:footnoteRef/>
      </w:r>
      <w:r w:rsidR="4C5D2483">
        <w:t xml:space="preserve"> </w:t>
      </w:r>
      <w:r w:rsidRPr="00B35761" w:rsidR="4C5D2483">
        <w:t xml:space="preserve">Source: </w:t>
      </w:r>
      <w:r w:rsidR="4C5D2483">
        <w:t>Federal Transit Administration (FTA) Public Transportation Agency Safety Plan (PTASP) Technical Assistance Center (TAC)</w:t>
      </w:r>
      <w:r w:rsidRPr="00B35761" w:rsidR="4C5D2483">
        <w:t>.</w:t>
      </w:r>
      <w:r w:rsidR="4C5D2483">
        <w:t xml:space="preserve"> </w:t>
      </w:r>
    </w:p>
    <w:p w:rsidR="0084616D" w:rsidP="0084616D" w14:paraId="3A385AC0" w14:textId="77777777">
      <w:pPr>
        <w:pStyle w:val="FootnoteText"/>
      </w:pPr>
    </w:p>
  </w:footnote>
  <w:footnote w:id="4">
    <w:p w:rsidR="00D56E52" w14:paraId="2ECD2A59" w14:textId="0A2CF2C8">
      <w:pPr>
        <w:pStyle w:val="FootnoteText"/>
      </w:pPr>
      <w:r>
        <w:rPr>
          <w:rStyle w:val="FootnoteReference"/>
        </w:rPr>
        <w:footnoteRef/>
      </w:r>
      <w:r w:rsidR="2158C705">
        <w:t xml:space="preserve"> </w:t>
      </w:r>
      <w:hyperlink r:id="rId1" w:history="1">
        <w:r w:rsidRPr="00DE63DF" w:rsidR="2158C705">
          <w:rPr>
            <w:rStyle w:val="Hyperlink"/>
          </w:rPr>
          <w:t>www.bls.gov/news.release/pdf/ecec.pdf</w:t>
        </w:r>
      </w:hyperlink>
    </w:p>
  </w:footnote>
  <w:footnote w:id="5">
    <w:p w:rsidR="005202DD" w:rsidRPr="00A73063" w:rsidP="00C74115" w14:paraId="05C1C2DE" w14:textId="24F5C17C">
      <w:pPr>
        <w:pStyle w:val="FootnoteText"/>
      </w:pPr>
      <w:r w:rsidRPr="00A73063">
        <w:rPr>
          <w:rStyle w:val="FootnoteReference"/>
        </w:rPr>
        <w:footnoteRef/>
      </w:r>
      <w:r w:rsidRPr="00A73063">
        <w:t xml:space="preserve"> The 2022 annual general schedule salary for a grade 12, step 5 employee in Washington, D.C. is $101,813. An employer-provided benefits multiplier of 1.587 was applied to the salary, which was then divided by 2080 to determine the hourly rate.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0" w:type="auto"/>
      <w:tblLayout w:type="fixed"/>
      <w:tblLook w:val="06A0"/>
    </w:tblPr>
    <w:tblGrid>
      <w:gridCol w:w="3120"/>
      <w:gridCol w:w="3120"/>
      <w:gridCol w:w="3120"/>
    </w:tblGrid>
    <w:tr w14:paraId="0CDAD616" w14:textId="77777777" w:rsidTr="004B7266">
      <w:tblPrEx>
        <w:tblW w:w="0" w:type="auto"/>
        <w:tblLayout w:type="fixed"/>
        <w:tblLook w:val="06A0"/>
      </w:tblPrEx>
      <w:tc>
        <w:tcPr>
          <w:tcW w:w="3120" w:type="dxa"/>
        </w:tcPr>
        <w:p w:rsidR="53CF9003" w:rsidP="791EB638" w14:paraId="541B454F" w14:textId="3D6BBBCB">
          <w:pPr>
            <w:pStyle w:val="Header"/>
            <w:ind w:left="-115"/>
          </w:pPr>
        </w:p>
      </w:tc>
      <w:tc>
        <w:tcPr>
          <w:tcW w:w="3120" w:type="dxa"/>
        </w:tcPr>
        <w:p w:rsidR="53CF9003" w:rsidP="791EB638" w14:paraId="456FF81B" w14:textId="497494F3">
          <w:pPr>
            <w:pStyle w:val="Header"/>
            <w:jc w:val="center"/>
          </w:pPr>
        </w:p>
      </w:tc>
      <w:tc>
        <w:tcPr>
          <w:tcW w:w="3120" w:type="dxa"/>
        </w:tcPr>
        <w:p w:rsidR="53CF9003" w:rsidP="791EB638" w14:paraId="74A53397" w14:textId="5E0E0D6B">
          <w:pPr>
            <w:pStyle w:val="Header"/>
            <w:ind w:right="-115"/>
            <w:jc w:val="right"/>
          </w:pPr>
        </w:p>
      </w:tc>
    </w:tr>
  </w:tbl>
  <w:p w:rsidR="00902D00" w14:paraId="2B843194" w14:textId="6FB60C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2412AB6"/>
    <w:multiLevelType w:val="hybridMultilevel"/>
    <w:tmpl w:val="A36879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3F63333"/>
    <w:multiLevelType w:val="hybridMultilevel"/>
    <w:tmpl w:val="7D500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3C4AF5"/>
    <w:multiLevelType w:val="hybridMultilevel"/>
    <w:tmpl w:val="A4BC507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9BD4F84"/>
    <w:multiLevelType w:val="hybridMultilevel"/>
    <w:tmpl w:val="6212C8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792C26"/>
    <w:multiLevelType w:val="hybridMultilevel"/>
    <w:tmpl w:val="403CBBE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C967DFB"/>
    <w:multiLevelType w:val="multilevel"/>
    <w:tmpl w:val="9468F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32467D"/>
    <w:multiLevelType w:val="hybridMultilevel"/>
    <w:tmpl w:val="FE64E9B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0B36743"/>
    <w:multiLevelType w:val="hybridMultilevel"/>
    <w:tmpl w:val="D1264C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2A92396"/>
    <w:multiLevelType w:val="hybridMultilevel"/>
    <w:tmpl w:val="B928B646"/>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3781C6E"/>
    <w:multiLevelType w:val="hybridMultilevel"/>
    <w:tmpl w:val="5F3AD01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18EE245B"/>
    <w:multiLevelType w:val="hybridMultilevel"/>
    <w:tmpl w:val="9F3E85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D9479E1"/>
    <w:multiLevelType w:val="hybridMultilevel"/>
    <w:tmpl w:val="09D20AC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1DE17FE5"/>
    <w:multiLevelType w:val="hybridMultilevel"/>
    <w:tmpl w:val="0A942414"/>
    <w:lvl w:ilvl="0">
      <w:start w:val="15"/>
      <w:numFmt w:val="decimal"/>
      <w:lvlText w:val="%1."/>
      <w:lvlJc w:val="left"/>
      <w:pPr>
        <w:tabs>
          <w:tab w:val="num" w:pos="780"/>
        </w:tabs>
        <w:ind w:left="780" w:hanging="4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F860B29"/>
    <w:multiLevelType w:val="hybridMultilevel"/>
    <w:tmpl w:val="F9A27336"/>
    <w:lvl w:ilvl="0">
      <w:start w:val="1"/>
      <w:numFmt w:val="lowerLetter"/>
      <w:lvlText w:val="(%1)"/>
      <w:lvlJc w:val="left"/>
      <w:pPr>
        <w:ind w:left="1830" w:hanging="1110"/>
      </w:pPr>
      <w:rPr>
        <w:rFonts w:ascii="Times New Roman" w:hAnsi="Times New Roman" w:eastAsiaTheme="minorHAnsi" w:cs="Times New Roman"/>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3581DE6"/>
    <w:multiLevelType w:val="hybridMultilevel"/>
    <w:tmpl w:val="89A4EB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295314BB"/>
    <w:multiLevelType w:val="hybridMultilevel"/>
    <w:tmpl w:val="8766BE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C3366E5"/>
    <w:multiLevelType w:val="hybridMultilevel"/>
    <w:tmpl w:val="60924D0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2F2734EF"/>
    <w:multiLevelType w:val="hybridMultilevel"/>
    <w:tmpl w:val="D348091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2F6E3EE1"/>
    <w:multiLevelType w:val="hybridMultilevel"/>
    <w:tmpl w:val="83F608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03A53AD"/>
    <w:multiLevelType w:val="hybridMultilevel"/>
    <w:tmpl w:val="9A08A82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349F05D6"/>
    <w:multiLevelType w:val="hybridMultilevel"/>
    <w:tmpl w:val="3F04F73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36ED5445"/>
    <w:multiLevelType w:val="hybridMultilevel"/>
    <w:tmpl w:val="0658B444"/>
    <w:lvl w:ilvl="0">
      <w:start w:val="1"/>
      <w:numFmt w:val="decimal"/>
      <w:lvlText w:val="%1."/>
      <w:lvlJc w:val="left"/>
      <w:pPr>
        <w:ind w:left="720" w:hanging="360"/>
      </w:pPr>
      <w:rPr>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8362574"/>
    <w:multiLevelType w:val="hybridMultilevel"/>
    <w:tmpl w:val="56CEB3AA"/>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3AAF187D"/>
    <w:multiLevelType w:val="hybridMultilevel"/>
    <w:tmpl w:val="853AA5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B3D5CFD"/>
    <w:multiLevelType w:val="hybridMultilevel"/>
    <w:tmpl w:val="4E7C3D30"/>
    <w:lvl w:ilvl="0">
      <w:start w:val="1"/>
      <w:numFmt w:val="decimal"/>
      <w:lvlText w:val="(%1)"/>
      <w:lvlJc w:val="left"/>
      <w:pPr>
        <w:ind w:left="1515" w:hanging="405"/>
      </w:pPr>
      <w:rPr>
        <w:rFonts w:hint="default"/>
      </w:rPr>
    </w:lvl>
    <w:lvl w:ilvl="1" w:tentative="1">
      <w:start w:val="1"/>
      <w:numFmt w:val="lowerLetter"/>
      <w:lvlText w:val="%2."/>
      <w:lvlJc w:val="left"/>
      <w:pPr>
        <w:ind w:left="2190" w:hanging="360"/>
      </w:pPr>
    </w:lvl>
    <w:lvl w:ilvl="2" w:tentative="1">
      <w:start w:val="1"/>
      <w:numFmt w:val="lowerRoman"/>
      <w:lvlText w:val="%3."/>
      <w:lvlJc w:val="right"/>
      <w:pPr>
        <w:ind w:left="2910" w:hanging="180"/>
      </w:pPr>
    </w:lvl>
    <w:lvl w:ilvl="3" w:tentative="1">
      <w:start w:val="1"/>
      <w:numFmt w:val="decimal"/>
      <w:lvlText w:val="%4."/>
      <w:lvlJc w:val="left"/>
      <w:pPr>
        <w:ind w:left="3630" w:hanging="360"/>
      </w:pPr>
    </w:lvl>
    <w:lvl w:ilvl="4" w:tentative="1">
      <w:start w:val="1"/>
      <w:numFmt w:val="lowerLetter"/>
      <w:lvlText w:val="%5."/>
      <w:lvlJc w:val="left"/>
      <w:pPr>
        <w:ind w:left="4350" w:hanging="360"/>
      </w:pPr>
    </w:lvl>
    <w:lvl w:ilvl="5" w:tentative="1">
      <w:start w:val="1"/>
      <w:numFmt w:val="lowerRoman"/>
      <w:lvlText w:val="%6."/>
      <w:lvlJc w:val="right"/>
      <w:pPr>
        <w:ind w:left="5070" w:hanging="180"/>
      </w:pPr>
    </w:lvl>
    <w:lvl w:ilvl="6" w:tentative="1">
      <w:start w:val="1"/>
      <w:numFmt w:val="decimal"/>
      <w:lvlText w:val="%7."/>
      <w:lvlJc w:val="left"/>
      <w:pPr>
        <w:ind w:left="5790" w:hanging="360"/>
      </w:pPr>
    </w:lvl>
    <w:lvl w:ilvl="7" w:tentative="1">
      <w:start w:val="1"/>
      <w:numFmt w:val="lowerLetter"/>
      <w:lvlText w:val="%8."/>
      <w:lvlJc w:val="left"/>
      <w:pPr>
        <w:ind w:left="6510" w:hanging="360"/>
      </w:pPr>
    </w:lvl>
    <w:lvl w:ilvl="8" w:tentative="1">
      <w:start w:val="1"/>
      <w:numFmt w:val="lowerRoman"/>
      <w:lvlText w:val="%9."/>
      <w:lvlJc w:val="right"/>
      <w:pPr>
        <w:ind w:left="7230" w:hanging="180"/>
      </w:pPr>
    </w:lvl>
  </w:abstractNum>
  <w:abstractNum w:abstractNumId="25">
    <w:nsid w:val="3B87693C"/>
    <w:multiLevelType w:val="hybridMultilevel"/>
    <w:tmpl w:val="E018A7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3D1F0BBC"/>
    <w:multiLevelType w:val="hybridMultilevel"/>
    <w:tmpl w:val="B8148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FBF377C"/>
    <w:multiLevelType w:val="hybridMultilevel"/>
    <w:tmpl w:val="B25261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1B208DE"/>
    <w:multiLevelType w:val="hybridMultilevel"/>
    <w:tmpl w:val="83724C9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396197C"/>
    <w:multiLevelType w:val="hybridMultilevel"/>
    <w:tmpl w:val="A538D2B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44CC0268"/>
    <w:multiLevelType w:val="hybridMultilevel"/>
    <w:tmpl w:val="EDAA1F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4C1047DA"/>
    <w:multiLevelType w:val="hybridMultilevel"/>
    <w:tmpl w:val="66D2EC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6D20FEB"/>
    <w:multiLevelType w:val="hybridMultilevel"/>
    <w:tmpl w:val="DBB425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7B5098D"/>
    <w:multiLevelType w:val="hybridMultilevel"/>
    <w:tmpl w:val="4FB4FEA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59D175F2"/>
    <w:multiLevelType w:val="hybridMultilevel"/>
    <w:tmpl w:val="51767D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C67376F"/>
    <w:multiLevelType w:val="hybridMultilevel"/>
    <w:tmpl w:val="9F34FB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17469E5"/>
    <w:multiLevelType w:val="hybridMultilevel"/>
    <w:tmpl w:val="83A8260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66AE70FA"/>
    <w:multiLevelType w:val="hybridMultilevel"/>
    <w:tmpl w:val="C97648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94C442E"/>
    <w:multiLevelType w:val="hybridMultilevel"/>
    <w:tmpl w:val="C356478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6E2E1FBC"/>
    <w:multiLevelType w:val="hybridMultilevel"/>
    <w:tmpl w:val="60A89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27E2988"/>
    <w:multiLevelType w:val="hybridMultilevel"/>
    <w:tmpl w:val="DD48A52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7AFA1037"/>
    <w:multiLevelType w:val="hybridMultilevel"/>
    <w:tmpl w:val="828226BE"/>
    <w:lvl w:ilvl="0">
      <w:start w:val="1"/>
      <w:numFmt w:val="bullet"/>
      <w:lvlText w:val=""/>
      <w:lvlJc w:val="left"/>
      <w:pPr>
        <w:ind w:left="1847" w:hanging="360"/>
      </w:pPr>
      <w:rPr>
        <w:rFonts w:ascii="Symbol" w:hAnsi="Symbol" w:hint="default"/>
      </w:rPr>
    </w:lvl>
    <w:lvl w:ilvl="1" w:tentative="1">
      <w:start w:val="1"/>
      <w:numFmt w:val="bullet"/>
      <w:lvlText w:val="o"/>
      <w:lvlJc w:val="left"/>
      <w:pPr>
        <w:ind w:left="2567" w:hanging="360"/>
      </w:pPr>
      <w:rPr>
        <w:rFonts w:ascii="Courier New" w:hAnsi="Courier New" w:cs="Courier New" w:hint="default"/>
      </w:rPr>
    </w:lvl>
    <w:lvl w:ilvl="2" w:tentative="1">
      <w:start w:val="1"/>
      <w:numFmt w:val="bullet"/>
      <w:lvlText w:val=""/>
      <w:lvlJc w:val="left"/>
      <w:pPr>
        <w:ind w:left="3287" w:hanging="360"/>
      </w:pPr>
      <w:rPr>
        <w:rFonts w:ascii="Wingdings" w:hAnsi="Wingdings" w:hint="default"/>
      </w:rPr>
    </w:lvl>
    <w:lvl w:ilvl="3" w:tentative="1">
      <w:start w:val="1"/>
      <w:numFmt w:val="bullet"/>
      <w:lvlText w:val=""/>
      <w:lvlJc w:val="left"/>
      <w:pPr>
        <w:ind w:left="4007" w:hanging="360"/>
      </w:pPr>
      <w:rPr>
        <w:rFonts w:ascii="Symbol" w:hAnsi="Symbol" w:hint="default"/>
      </w:rPr>
    </w:lvl>
    <w:lvl w:ilvl="4" w:tentative="1">
      <w:start w:val="1"/>
      <w:numFmt w:val="bullet"/>
      <w:lvlText w:val="o"/>
      <w:lvlJc w:val="left"/>
      <w:pPr>
        <w:ind w:left="4727" w:hanging="360"/>
      </w:pPr>
      <w:rPr>
        <w:rFonts w:ascii="Courier New" w:hAnsi="Courier New" w:cs="Courier New" w:hint="default"/>
      </w:rPr>
    </w:lvl>
    <w:lvl w:ilvl="5" w:tentative="1">
      <w:start w:val="1"/>
      <w:numFmt w:val="bullet"/>
      <w:lvlText w:val=""/>
      <w:lvlJc w:val="left"/>
      <w:pPr>
        <w:ind w:left="5447" w:hanging="360"/>
      </w:pPr>
      <w:rPr>
        <w:rFonts w:ascii="Wingdings" w:hAnsi="Wingdings" w:hint="default"/>
      </w:rPr>
    </w:lvl>
    <w:lvl w:ilvl="6" w:tentative="1">
      <w:start w:val="1"/>
      <w:numFmt w:val="bullet"/>
      <w:lvlText w:val=""/>
      <w:lvlJc w:val="left"/>
      <w:pPr>
        <w:ind w:left="6167" w:hanging="360"/>
      </w:pPr>
      <w:rPr>
        <w:rFonts w:ascii="Symbol" w:hAnsi="Symbol" w:hint="default"/>
      </w:rPr>
    </w:lvl>
    <w:lvl w:ilvl="7" w:tentative="1">
      <w:start w:val="1"/>
      <w:numFmt w:val="bullet"/>
      <w:lvlText w:val="o"/>
      <w:lvlJc w:val="left"/>
      <w:pPr>
        <w:ind w:left="6887" w:hanging="360"/>
      </w:pPr>
      <w:rPr>
        <w:rFonts w:ascii="Courier New" w:hAnsi="Courier New" w:cs="Courier New" w:hint="default"/>
      </w:rPr>
    </w:lvl>
    <w:lvl w:ilvl="8" w:tentative="1">
      <w:start w:val="1"/>
      <w:numFmt w:val="bullet"/>
      <w:lvlText w:val=""/>
      <w:lvlJc w:val="left"/>
      <w:pPr>
        <w:ind w:left="7607" w:hanging="360"/>
      </w:pPr>
      <w:rPr>
        <w:rFonts w:ascii="Wingdings" w:hAnsi="Wingdings" w:hint="default"/>
      </w:rPr>
    </w:lvl>
  </w:abstractNum>
  <w:abstractNum w:abstractNumId="42">
    <w:nsid w:val="7AFC6CC5"/>
    <w:multiLevelType w:val="hybridMultilevel"/>
    <w:tmpl w:val="36629BF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7B6077E6"/>
    <w:multiLevelType w:val="hybridMultilevel"/>
    <w:tmpl w:val="ECFE75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D8534DF"/>
    <w:multiLevelType w:val="hybridMultilevel"/>
    <w:tmpl w:val="F54647F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7E2364C2"/>
    <w:multiLevelType w:val="hybridMultilevel"/>
    <w:tmpl w:val="7FCE739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1"/>
  </w:num>
  <w:num w:numId="2">
    <w:abstractNumId w:val="18"/>
  </w:num>
  <w:num w:numId="3">
    <w:abstractNumId w:val="21"/>
  </w:num>
  <w:num w:numId="4">
    <w:abstractNumId w:val="0"/>
  </w:num>
  <w:num w:numId="5">
    <w:abstractNumId w:val="38"/>
  </w:num>
  <w:num w:numId="6">
    <w:abstractNumId w:val="20"/>
  </w:num>
  <w:num w:numId="7">
    <w:abstractNumId w:val="28"/>
  </w:num>
  <w:num w:numId="8">
    <w:abstractNumId w:val="30"/>
  </w:num>
  <w:num w:numId="9">
    <w:abstractNumId w:val="19"/>
  </w:num>
  <w:num w:numId="10">
    <w:abstractNumId w:val="6"/>
  </w:num>
  <w:num w:numId="11">
    <w:abstractNumId w:val="9"/>
  </w:num>
  <w:num w:numId="12">
    <w:abstractNumId w:val="26"/>
  </w:num>
  <w:num w:numId="13">
    <w:abstractNumId w:val="15"/>
  </w:num>
  <w:num w:numId="14">
    <w:abstractNumId w:val="29"/>
  </w:num>
  <w:num w:numId="15">
    <w:abstractNumId w:val="4"/>
  </w:num>
  <w:num w:numId="16">
    <w:abstractNumId w:val="44"/>
  </w:num>
  <w:num w:numId="17">
    <w:abstractNumId w:val="33"/>
  </w:num>
  <w:num w:numId="18">
    <w:abstractNumId w:val="42"/>
  </w:num>
  <w:num w:numId="19">
    <w:abstractNumId w:val="14"/>
  </w:num>
  <w:num w:numId="20">
    <w:abstractNumId w:val="16"/>
  </w:num>
  <w:num w:numId="21">
    <w:abstractNumId w:val="23"/>
  </w:num>
  <w:num w:numId="22">
    <w:abstractNumId w:val="10"/>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num>
  <w:num w:numId="25">
    <w:abstractNumId w:val="22"/>
  </w:num>
  <w:num w:numId="26">
    <w:abstractNumId w:val="31"/>
  </w:num>
  <w:num w:numId="27">
    <w:abstractNumId w:val="43"/>
  </w:num>
  <w:num w:numId="28">
    <w:abstractNumId w:val="11"/>
  </w:num>
  <w:num w:numId="29">
    <w:abstractNumId w:val="41"/>
  </w:num>
  <w:num w:numId="30">
    <w:abstractNumId w:val="13"/>
  </w:num>
  <w:num w:numId="31">
    <w:abstractNumId w:val="24"/>
  </w:num>
  <w:num w:numId="32">
    <w:abstractNumId w:val="3"/>
  </w:num>
  <w:num w:numId="33">
    <w:abstractNumId w:val="45"/>
  </w:num>
  <w:num w:numId="34">
    <w:abstractNumId w:val="40"/>
  </w:num>
  <w:num w:numId="35">
    <w:abstractNumId w:val="2"/>
  </w:num>
  <w:num w:numId="36">
    <w:abstractNumId w:val="8"/>
  </w:num>
  <w:num w:numId="37">
    <w:abstractNumId w:val="17"/>
  </w:num>
  <w:num w:numId="38">
    <w:abstractNumId w:val="1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39"/>
  </w:num>
  <w:num w:numId="41">
    <w:abstractNumId w:val="7"/>
  </w:num>
  <w:num w:numId="42">
    <w:abstractNumId w:val="35"/>
  </w:num>
  <w:num w:numId="43">
    <w:abstractNumId w:val="34"/>
  </w:num>
  <w:num w:numId="44">
    <w:abstractNumId w:val="32"/>
  </w:num>
  <w:num w:numId="45">
    <w:abstractNumId w:val="37"/>
  </w:num>
  <w:num w:numId="46">
    <w:abstractNumId w:val="27"/>
  </w:num>
  <w:num w:numId="4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Tia Swain (FTA)">
    <w15:presenceInfo w15:providerId="AD" w15:userId="S::tia.swain@ad.dot.gov::15ad6d75-cd8e-4b01-be1e-8939f1227b47"/>
  </w15:person>
  <w15:person w15:author="Mader, Stewart (FTA)">
    <w15:presenceInfo w15:providerId="AD" w15:userId="S::stewart.mader@ad.dot.gov::b20c229e-19a2-42fb-ae7e-1c8d179c5aad"/>
  </w15:person>
  <w15:person w15:author="Lofton, Andy CTR (FTA)">
    <w15:presenceInfo w15:providerId="AD" w15:userId="S::Andy.Lofton.CTR@ad.dot.gov::67114586-396a-4fec-85f8-14d2cf996e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revisionView w:comments="1" w:formatting="1" w:inkAnnotations="1" w:insDel="1" w:markup="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6D9"/>
    <w:rsid w:val="00000ED4"/>
    <w:rsid w:val="00002A88"/>
    <w:rsid w:val="00003701"/>
    <w:rsid w:val="00004A4D"/>
    <w:rsid w:val="00007421"/>
    <w:rsid w:val="00011790"/>
    <w:rsid w:val="000133D7"/>
    <w:rsid w:val="0001384A"/>
    <w:rsid w:val="000151F6"/>
    <w:rsid w:val="000161B0"/>
    <w:rsid w:val="000232A9"/>
    <w:rsid w:val="00025442"/>
    <w:rsid w:val="0003397C"/>
    <w:rsid w:val="00033B5E"/>
    <w:rsid w:val="00035CF0"/>
    <w:rsid w:val="00044B36"/>
    <w:rsid w:val="000453C2"/>
    <w:rsid w:val="000456FF"/>
    <w:rsid w:val="00046923"/>
    <w:rsid w:val="0005113B"/>
    <w:rsid w:val="0005205E"/>
    <w:rsid w:val="00053284"/>
    <w:rsid w:val="000535B9"/>
    <w:rsid w:val="00053848"/>
    <w:rsid w:val="000540E9"/>
    <w:rsid w:val="000543A7"/>
    <w:rsid w:val="00054465"/>
    <w:rsid w:val="00055B55"/>
    <w:rsid w:val="00055E5F"/>
    <w:rsid w:val="00056840"/>
    <w:rsid w:val="00060B74"/>
    <w:rsid w:val="000629FB"/>
    <w:rsid w:val="00062B8F"/>
    <w:rsid w:val="00063478"/>
    <w:rsid w:val="00063628"/>
    <w:rsid w:val="00063916"/>
    <w:rsid w:val="000645FD"/>
    <w:rsid w:val="00065088"/>
    <w:rsid w:val="00065094"/>
    <w:rsid w:val="0006558D"/>
    <w:rsid w:val="000662F6"/>
    <w:rsid w:val="000664DE"/>
    <w:rsid w:val="000714B8"/>
    <w:rsid w:val="000716C7"/>
    <w:rsid w:val="00072B00"/>
    <w:rsid w:val="0007408B"/>
    <w:rsid w:val="000744FC"/>
    <w:rsid w:val="00075550"/>
    <w:rsid w:val="00081811"/>
    <w:rsid w:val="000818A3"/>
    <w:rsid w:val="00081A57"/>
    <w:rsid w:val="000826C3"/>
    <w:rsid w:val="00086708"/>
    <w:rsid w:val="00086882"/>
    <w:rsid w:val="00091DB6"/>
    <w:rsid w:val="000934F8"/>
    <w:rsid w:val="00093FC8"/>
    <w:rsid w:val="000A033E"/>
    <w:rsid w:val="000A1EBE"/>
    <w:rsid w:val="000A7081"/>
    <w:rsid w:val="000B0489"/>
    <w:rsid w:val="000B3B61"/>
    <w:rsid w:val="000B3D40"/>
    <w:rsid w:val="000C1619"/>
    <w:rsid w:val="000C31B9"/>
    <w:rsid w:val="000C3B8F"/>
    <w:rsid w:val="000C77CA"/>
    <w:rsid w:val="000C7F2B"/>
    <w:rsid w:val="000D1F14"/>
    <w:rsid w:val="000D426C"/>
    <w:rsid w:val="000D431A"/>
    <w:rsid w:val="000D487A"/>
    <w:rsid w:val="000D61C8"/>
    <w:rsid w:val="000D64FD"/>
    <w:rsid w:val="000E093A"/>
    <w:rsid w:val="000E0E60"/>
    <w:rsid w:val="000E26C3"/>
    <w:rsid w:val="000E31F9"/>
    <w:rsid w:val="000E62DC"/>
    <w:rsid w:val="000E77B0"/>
    <w:rsid w:val="000F329A"/>
    <w:rsid w:val="000F4328"/>
    <w:rsid w:val="000F5722"/>
    <w:rsid w:val="000F63CB"/>
    <w:rsid w:val="000F6C2A"/>
    <w:rsid w:val="000F728E"/>
    <w:rsid w:val="001018A7"/>
    <w:rsid w:val="00104759"/>
    <w:rsid w:val="001054E1"/>
    <w:rsid w:val="00105D49"/>
    <w:rsid w:val="001062D6"/>
    <w:rsid w:val="0010737B"/>
    <w:rsid w:val="00113DBD"/>
    <w:rsid w:val="00113FD3"/>
    <w:rsid w:val="00115187"/>
    <w:rsid w:val="001157E1"/>
    <w:rsid w:val="00116685"/>
    <w:rsid w:val="00117643"/>
    <w:rsid w:val="00121CE9"/>
    <w:rsid w:val="00122928"/>
    <w:rsid w:val="00122D5B"/>
    <w:rsid w:val="00124919"/>
    <w:rsid w:val="00126D23"/>
    <w:rsid w:val="00127611"/>
    <w:rsid w:val="001276FE"/>
    <w:rsid w:val="00132301"/>
    <w:rsid w:val="001324C8"/>
    <w:rsid w:val="001325D5"/>
    <w:rsid w:val="001338CC"/>
    <w:rsid w:val="0013515E"/>
    <w:rsid w:val="00135B47"/>
    <w:rsid w:val="001361E2"/>
    <w:rsid w:val="00136A4F"/>
    <w:rsid w:val="0013700D"/>
    <w:rsid w:val="0014017C"/>
    <w:rsid w:val="00141945"/>
    <w:rsid w:val="00143AB3"/>
    <w:rsid w:val="00143E2B"/>
    <w:rsid w:val="00144233"/>
    <w:rsid w:val="001448DD"/>
    <w:rsid w:val="00146D66"/>
    <w:rsid w:val="00147D24"/>
    <w:rsid w:val="00150AE4"/>
    <w:rsid w:val="001516E3"/>
    <w:rsid w:val="001521C9"/>
    <w:rsid w:val="001529F3"/>
    <w:rsid w:val="00154557"/>
    <w:rsid w:val="00154E1B"/>
    <w:rsid w:val="00156631"/>
    <w:rsid w:val="001568A7"/>
    <w:rsid w:val="001579A8"/>
    <w:rsid w:val="00162CC9"/>
    <w:rsid w:val="00164BF5"/>
    <w:rsid w:val="001659E1"/>
    <w:rsid w:val="00170A58"/>
    <w:rsid w:val="00172D8C"/>
    <w:rsid w:val="0017346B"/>
    <w:rsid w:val="00173DF8"/>
    <w:rsid w:val="0017479D"/>
    <w:rsid w:val="00176FF6"/>
    <w:rsid w:val="0017794C"/>
    <w:rsid w:val="00177C2D"/>
    <w:rsid w:val="00180F00"/>
    <w:rsid w:val="00181E6D"/>
    <w:rsid w:val="00183B3B"/>
    <w:rsid w:val="00185AE6"/>
    <w:rsid w:val="001878EA"/>
    <w:rsid w:val="00187C4C"/>
    <w:rsid w:val="00190425"/>
    <w:rsid w:val="00190B57"/>
    <w:rsid w:val="00192885"/>
    <w:rsid w:val="001940EF"/>
    <w:rsid w:val="001970AC"/>
    <w:rsid w:val="001A0157"/>
    <w:rsid w:val="001A0D10"/>
    <w:rsid w:val="001A1513"/>
    <w:rsid w:val="001A1CDC"/>
    <w:rsid w:val="001A3A46"/>
    <w:rsid w:val="001A5EFF"/>
    <w:rsid w:val="001A77B1"/>
    <w:rsid w:val="001B158B"/>
    <w:rsid w:val="001B5518"/>
    <w:rsid w:val="001B7F55"/>
    <w:rsid w:val="001C19D9"/>
    <w:rsid w:val="001C3484"/>
    <w:rsid w:val="001C4BCF"/>
    <w:rsid w:val="001C61B7"/>
    <w:rsid w:val="001D0059"/>
    <w:rsid w:val="001D31E5"/>
    <w:rsid w:val="001D3630"/>
    <w:rsid w:val="001D5EB7"/>
    <w:rsid w:val="001E1E45"/>
    <w:rsid w:val="001E21A3"/>
    <w:rsid w:val="001E2948"/>
    <w:rsid w:val="001E36AE"/>
    <w:rsid w:val="001E4B88"/>
    <w:rsid w:val="001E5157"/>
    <w:rsid w:val="001F1EDC"/>
    <w:rsid w:val="001F4AFF"/>
    <w:rsid w:val="001F53B7"/>
    <w:rsid w:val="001F5D35"/>
    <w:rsid w:val="001F68D4"/>
    <w:rsid w:val="002060CA"/>
    <w:rsid w:val="00212AC1"/>
    <w:rsid w:val="00212FA3"/>
    <w:rsid w:val="00213876"/>
    <w:rsid w:val="00214D8A"/>
    <w:rsid w:val="00215DDA"/>
    <w:rsid w:val="0022091D"/>
    <w:rsid w:val="00222DC0"/>
    <w:rsid w:val="00223D3B"/>
    <w:rsid w:val="00223F4E"/>
    <w:rsid w:val="00224F7E"/>
    <w:rsid w:val="002320B3"/>
    <w:rsid w:val="00234765"/>
    <w:rsid w:val="00234A7F"/>
    <w:rsid w:val="00235BFD"/>
    <w:rsid w:val="00235F23"/>
    <w:rsid w:val="00242EB8"/>
    <w:rsid w:val="002435CC"/>
    <w:rsid w:val="00243626"/>
    <w:rsid w:val="0024385D"/>
    <w:rsid w:val="00244AAA"/>
    <w:rsid w:val="00244FD5"/>
    <w:rsid w:val="00245EF6"/>
    <w:rsid w:val="00247456"/>
    <w:rsid w:val="00250690"/>
    <w:rsid w:val="0025101D"/>
    <w:rsid w:val="0025136B"/>
    <w:rsid w:val="002550A7"/>
    <w:rsid w:val="00256E72"/>
    <w:rsid w:val="00257C30"/>
    <w:rsid w:val="00262208"/>
    <w:rsid w:val="0026546F"/>
    <w:rsid w:val="002672A4"/>
    <w:rsid w:val="00267C8E"/>
    <w:rsid w:val="0027274B"/>
    <w:rsid w:val="0027566B"/>
    <w:rsid w:val="00278D5A"/>
    <w:rsid w:val="002811D3"/>
    <w:rsid w:val="00283315"/>
    <w:rsid w:val="00287A2E"/>
    <w:rsid w:val="00287A32"/>
    <w:rsid w:val="00292664"/>
    <w:rsid w:val="00293C8E"/>
    <w:rsid w:val="00295CD4"/>
    <w:rsid w:val="0029649F"/>
    <w:rsid w:val="00296836"/>
    <w:rsid w:val="002A26F7"/>
    <w:rsid w:val="002A2987"/>
    <w:rsid w:val="002B016F"/>
    <w:rsid w:val="002B07B8"/>
    <w:rsid w:val="002B09A7"/>
    <w:rsid w:val="002B1A95"/>
    <w:rsid w:val="002B20B9"/>
    <w:rsid w:val="002B3E82"/>
    <w:rsid w:val="002B4C31"/>
    <w:rsid w:val="002B543B"/>
    <w:rsid w:val="002B70A5"/>
    <w:rsid w:val="002C0516"/>
    <w:rsid w:val="002C0833"/>
    <w:rsid w:val="002C1AD6"/>
    <w:rsid w:val="002C7567"/>
    <w:rsid w:val="002D6CA5"/>
    <w:rsid w:val="002E2A78"/>
    <w:rsid w:val="002E414D"/>
    <w:rsid w:val="002E51E4"/>
    <w:rsid w:val="002E5B00"/>
    <w:rsid w:val="002E5C42"/>
    <w:rsid w:val="002E676F"/>
    <w:rsid w:val="002E7421"/>
    <w:rsid w:val="002F0215"/>
    <w:rsid w:val="002F04FD"/>
    <w:rsid w:val="002F0666"/>
    <w:rsid w:val="002F3F9B"/>
    <w:rsid w:val="002F41B1"/>
    <w:rsid w:val="002F5578"/>
    <w:rsid w:val="002F6627"/>
    <w:rsid w:val="002F73CC"/>
    <w:rsid w:val="0030035F"/>
    <w:rsid w:val="00300BE1"/>
    <w:rsid w:val="00303296"/>
    <w:rsid w:val="003032A9"/>
    <w:rsid w:val="00304DF0"/>
    <w:rsid w:val="00306CB7"/>
    <w:rsid w:val="003079AE"/>
    <w:rsid w:val="00307E7A"/>
    <w:rsid w:val="00307E7E"/>
    <w:rsid w:val="00310AAE"/>
    <w:rsid w:val="003118C0"/>
    <w:rsid w:val="00311E84"/>
    <w:rsid w:val="00312B4F"/>
    <w:rsid w:val="0031443E"/>
    <w:rsid w:val="0031447B"/>
    <w:rsid w:val="00316746"/>
    <w:rsid w:val="0031791F"/>
    <w:rsid w:val="00320E19"/>
    <w:rsid w:val="00322CE6"/>
    <w:rsid w:val="00323537"/>
    <w:rsid w:val="003253F2"/>
    <w:rsid w:val="00330FFD"/>
    <w:rsid w:val="0033174C"/>
    <w:rsid w:val="00331A1A"/>
    <w:rsid w:val="003324D1"/>
    <w:rsid w:val="00336510"/>
    <w:rsid w:val="00337252"/>
    <w:rsid w:val="003407A8"/>
    <w:rsid w:val="00342FFD"/>
    <w:rsid w:val="00344F1F"/>
    <w:rsid w:val="00345858"/>
    <w:rsid w:val="003478D7"/>
    <w:rsid w:val="00350344"/>
    <w:rsid w:val="0035221F"/>
    <w:rsid w:val="00356A9A"/>
    <w:rsid w:val="00356E06"/>
    <w:rsid w:val="00357676"/>
    <w:rsid w:val="003607BE"/>
    <w:rsid w:val="00360E37"/>
    <w:rsid w:val="003661CB"/>
    <w:rsid w:val="00366321"/>
    <w:rsid w:val="00366FA7"/>
    <w:rsid w:val="00367523"/>
    <w:rsid w:val="003729D7"/>
    <w:rsid w:val="0037400F"/>
    <w:rsid w:val="003779E3"/>
    <w:rsid w:val="003853E7"/>
    <w:rsid w:val="00386262"/>
    <w:rsid w:val="00386F92"/>
    <w:rsid w:val="00391A28"/>
    <w:rsid w:val="00392867"/>
    <w:rsid w:val="00392E77"/>
    <w:rsid w:val="00392E98"/>
    <w:rsid w:val="00394108"/>
    <w:rsid w:val="003961C4"/>
    <w:rsid w:val="00396E1E"/>
    <w:rsid w:val="00396F40"/>
    <w:rsid w:val="003A0310"/>
    <w:rsid w:val="003A1FBA"/>
    <w:rsid w:val="003A298E"/>
    <w:rsid w:val="003A2C10"/>
    <w:rsid w:val="003A36DB"/>
    <w:rsid w:val="003A4A9B"/>
    <w:rsid w:val="003A6117"/>
    <w:rsid w:val="003A6B5D"/>
    <w:rsid w:val="003B0DBC"/>
    <w:rsid w:val="003B19D8"/>
    <w:rsid w:val="003B2E41"/>
    <w:rsid w:val="003B3302"/>
    <w:rsid w:val="003B3968"/>
    <w:rsid w:val="003B43A2"/>
    <w:rsid w:val="003B5229"/>
    <w:rsid w:val="003B5579"/>
    <w:rsid w:val="003B73CA"/>
    <w:rsid w:val="003C40A7"/>
    <w:rsid w:val="003C45E2"/>
    <w:rsid w:val="003D0832"/>
    <w:rsid w:val="003D3353"/>
    <w:rsid w:val="003D7172"/>
    <w:rsid w:val="003D7285"/>
    <w:rsid w:val="003E01FB"/>
    <w:rsid w:val="003E0B71"/>
    <w:rsid w:val="003E23D0"/>
    <w:rsid w:val="003E35AD"/>
    <w:rsid w:val="003E515B"/>
    <w:rsid w:val="003E5443"/>
    <w:rsid w:val="003E799D"/>
    <w:rsid w:val="003E7E09"/>
    <w:rsid w:val="003ECAFA"/>
    <w:rsid w:val="003F678F"/>
    <w:rsid w:val="003F6DC4"/>
    <w:rsid w:val="003F71FB"/>
    <w:rsid w:val="00400B7B"/>
    <w:rsid w:val="00400C75"/>
    <w:rsid w:val="004021DC"/>
    <w:rsid w:val="00403DF5"/>
    <w:rsid w:val="00405A23"/>
    <w:rsid w:val="0041087D"/>
    <w:rsid w:val="004109BB"/>
    <w:rsid w:val="00411D73"/>
    <w:rsid w:val="004130AE"/>
    <w:rsid w:val="00413C77"/>
    <w:rsid w:val="004141C8"/>
    <w:rsid w:val="004146E4"/>
    <w:rsid w:val="004172FB"/>
    <w:rsid w:val="00417514"/>
    <w:rsid w:val="00420EB6"/>
    <w:rsid w:val="0042156B"/>
    <w:rsid w:val="00423ED6"/>
    <w:rsid w:val="00425030"/>
    <w:rsid w:val="0042670F"/>
    <w:rsid w:val="004271CA"/>
    <w:rsid w:val="00427DCD"/>
    <w:rsid w:val="00431038"/>
    <w:rsid w:val="00434670"/>
    <w:rsid w:val="00434E42"/>
    <w:rsid w:val="00435CF4"/>
    <w:rsid w:val="0044242B"/>
    <w:rsid w:val="00445C69"/>
    <w:rsid w:val="0044744E"/>
    <w:rsid w:val="00451C8A"/>
    <w:rsid w:val="004525AE"/>
    <w:rsid w:val="0045482C"/>
    <w:rsid w:val="00455455"/>
    <w:rsid w:val="004559C9"/>
    <w:rsid w:val="00455E1B"/>
    <w:rsid w:val="00455F8D"/>
    <w:rsid w:val="00457816"/>
    <w:rsid w:val="00457D60"/>
    <w:rsid w:val="00460471"/>
    <w:rsid w:val="00461814"/>
    <w:rsid w:val="004618C1"/>
    <w:rsid w:val="004644EC"/>
    <w:rsid w:val="00466301"/>
    <w:rsid w:val="00467B0B"/>
    <w:rsid w:val="0047045D"/>
    <w:rsid w:val="00473AD4"/>
    <w:rsid w:val="004748E5"/>
    <w:rsid w:val="0047611C"/>
    <w:rsid w:val="00476955"/>
    <w:rsid w:val="00476F4A"/>
    <w:rsid w:val="00480D7B"/>
    <w:rsid w:val="004824E2"/>
    <w:rsid w:val="00483697"/>
    <w:rsid w:val="004841D5"/>
    <w:rsid w:val="00484243"/>
    <w:rsid w:val="004853F0"/>
    <w:rsid w:val="00485418"/>
    <w:rsid w:val="004861D8"/>
    <w:rsid w:val="00486D10"/>
    <w:rsid w:val="0048767A"/>
    <w:rsid w:val="00492FA3"/>
    <w:rsid w:val="0049372F"/>
    <w:rsid w:val="004966F8"/>
    <w:rsid w:val="00497EB3"/>
    <w:rsid w:val="004A03D8"/>
    <w:rsid w:val="004A0BBF"/>
    <w:rsid w:val="004A0E09"/>
    <w:rsid w:val="004A1871"/>
    <w:rsid w:val="004A2072"/>
    <w:rsid w:val="004A4502"/>
    <w:rsid w:val="004A5D8D"/>
    <w:rsid w:val="004A6632"/>
    <w:rsid w:val="004A6957"/>
    <w:rsid w:val="004A7616"/>
    <w:rsid w:val="004B6B40"/>
    <w:rsid w:val="004B7266"/>
    <w:rsid w:val="004B7A48"/>
    <w:rsid w:val="004B7D8F"/>
    <w:rsid w:val="004C0721"/>
    <w:rsid w:val="004C1857"/>
    <w:rsid w:val="004C2BD3"/>
    <w:rsid w:val="004C4E6D"/>
    <w:rsid w:val="004C5C28"/>
    <w:rsid w:val="004C6AE6"/>
    <w:rsid w:val="004C6FFF"/>
    <w:rsid w:val="004C7DDA"/>
    <w:rsid w:val="004D2027"/>
    <w:rsid w:val="004D3437"/>
    <w:rsid w:val="004D5019"/>
    <w:rsid w:val="004D6792"/>
    <w:rsid w:val="004D7AE6"/>
    <w:rsid w:val="004E2AB6"/>
    <w:rsid w:val="004E3FBA"/>
    <w:rsid w:val="004E5E1D"/>
    <w:rsid w:val="004E5F1F"/>
    <w:rsid w:val="004E6329"/>
    <w:rsid w:val="004F0ACA"/>
    <w:rsid w:val="004F196E"/>
    <w:rsid w:val="004F61A1"/>
    <w:rsid w:val="004F7E80"/>
    <w:rsid w:val="00501EA0"/>
    <w:rsid w:val="00502B0C"/>
    <w:rsid w:val="00503954"/>
    <w:rsid w:val="0050400A"/>
    <w:rsid w:val="00504978"/>
    <w:rsid w:val="005059F8"/>
    <w:rsid w:val="005063AA"/>
    <w:rsid w:val="0050726F"/>
    <w:rsid w:val="00507D29"/>
    <w:rsid w:val="00507F6F"/>
    <w:rsid w:val="00511432"/>
    <w:rsid w:val="0051393F"/>
    <w:rsid w:val="00514FEB"/>
    <w:rsid w:val="005164F9"/>
    <w:rsid w:val="00516DE7"/>
    <w:rsid w:val="0051750A"/>
    <w:rsid w:val="0051767D"/>
    <w:rsid w:val="005202DD"/>
    <w:rsid w:val="00527455"/>
    <w:rsid w:val="0053285C"/>
    <w:rsid w:val="00533C1D"/>
    <w:rsid w:val="00533CF0"/>
    <w:rsid w:val="0053534E"/>
    <w:rsid w:val="00537014"/>
    <w:rsid w:val="00540212"/>
    <w:rsid w:val="00541141"/>
    <w:rsid w:val="00543784"/>
    <w:rsid w:val="005454CD"/>
    <w:rsid w:val="00546B46"/>
    <w:rsid w:val="00547F53"/>
    <w:rsid w:val="00552B16"/>
    <w:rsid w:val="00553323"/>
    <w:rsid w:val="00554822"/>
    <w:rsid w:val="00556B6C"/>
    <w:rsid w:val="00557E86"/>
    <w:rsid w:val="00562093"/>
    <w:rsid w:val="00562419"/>
    <w:rsid w:val="00562497"/>
    <w:rsid w:val="00562BB8"/>
    <w:rsid w:val="00563897"/>
    <w:rsid w:val="00563E6B"/>
    <w:rsid w:val="005657D7"/>
    <w:rsid w:val="005665C5"/>
    <w:rsid w:val="00566E65"/>
    <w:rsid w:val="00567051"/>
    <w:rsid w:val="0056747D"/>
    <w:rsid w:val="00572F92"/>
    <w:rsid w:val="00576254"/>
    <w:rsid w:val="00584097"/>
    <w:rsid w:val="00585527"/>
    <w:rsid w:val="00587055"/>
    <w:rsid w:val="00587219"/>
    <w:rsid w:val="00587393"/>
    <w:rsid w:val="0059280A"/>
    <w:rsid w:val="00593C30"/>
    <w:rsid w:val="005952EC"/>
    <w:rsid w:val="00595F74"/>
    <w:rsid w:val="00596E39"/>
    <w:rsid w:val="00597A50"/>
    <w:rsid w:val="005A3717"/>
    <w:rsid w:val="005A3E9C"/>
    <w:rsid w:val="005A7C16"/>
    <w:rsid w:val="005B0E66"/>
    <w:rsid w:val="005B12EF"/>
    <w:rsid w:val="005B1B29"/>
    <w:rsid w:val="005B2455"/>
    <w:rsid w:val="005B3BD1"/>
    <w:rsid w:val="005B495F"/>
    <w:rsid w:val="005B7453"/>
    <w:rsid w:val="005C06AE"/>
    <w:rsid w:val="005C4AE3"/>
    <w:rsid w:val="005C619A"/>
    <w:rsid w:val="005D3093"/>
    <w:rsid w:val="005D39A1"/>
    <w:rsid w:val="005D39F7"/>
    <w:rsid w:val="005D3EA2"/>
    <w:rsid w:val="005D53E8"/>
    <w:rsid w:val="005D5EEE"/>
    <w:rsid w:val="005D7AE5"/>
    <w:rsid w:val="005D7E7B"/>
    <w:rsid w:val="005E00E4"/>
    <w:rsid w:val="005E1AD6"/>
    <w:rsid w:val="005E25D2"/>
    <w:rsid w:val="005E3C0B"/>
    <w:rsid w:val="005E5130"/>
    <w:rsid w:val="005E63DF"/>
    <w:rsid w:val="005F2233"/>
    <w:rsid w:val="005F3CC0"/>
    <w:rsid w:val="005F4DA7"/>
    <w:rsid w:val="005F50F6"/>
    <w:rsid w:val="005F565A"/>
    <w:rsid w:val="006017A1"/>
    <w:rsid w:val="006026A6"/>
    <w:rsid w:val="006053DE"/>
    <w:rsid w:val="00607931"/>
    <w:rsid w:val="00611F10"/>
    <w:rsid w:val="00614206"/>
    <w:rsid w:val="006145DF"/>
    <w:rsid w:val="00617C92"/>
    <w:rsid w:val="00622E64"/>
    <w:rsid w:val="00624C8F"/>
    <w:rsid w:val="00626124"/>
    <w:rsid w:val="006261D9"/>
    <w:rsid w:val="006264DB"/>
    <w:rsid w:val="00626526"/>
    <w:rsid w:val="006275AC"/>
    <w:rsid w:val="00627824"/>
    <w:rsid w:val="006347BB"/>
    <w:rsid w:val="00636291"/>
    <w:rsid w:val="00636AFE"/>
    <w:rsid w:val="006379D1"/>
    <w:rsid w:val="00640FDD"/>
    <w:rsid w:val="00641366"/>
    <w:rsid w:val="00641755"/>
    <w:rsid w:val="00641A35"/>
    <w:rsid w:val="00641F5F"/>
    <w:rsid w:val="00642234"/>
    <w:rsid w:val="00645607"/>
    <w:rsid w:val="006457BE"/>
    <w:rsid w:val="006463F6"/>
    <w:rsid w:val="00646A48"/>
    <w:rsid w:val="0064703D"/>
    <w:rsid w:val="00652673"/>
    <w:rsid w:val="006548E8"/>
    <w:rsid w:val="00657292"/>
    <w:rsid w:val="00660712"/>
    <w:rsid w:val="0067057A"/>
    <w:rsid w:val="00670E31"/>
    <w:rsid w:val="0067152B"/>
    <w:rsid w:val="006732A1"/>
    <w:rsid w:val="00674041"/>
    <w:rsid w:val="006740D4"/>
    <w:rsid w:val="006759A2"/>
    <w:rsid w:val="006770C0"/>
    <w:rsid w:val="006808C8"/>
    <w:rsid w:val="00681342"/>
    <w:rsid w:val="006816E9"/>
    <w:rsid w:val="0068224C"/>
    <w:rsid w:val="00682F6D"/>
    <w:rsid w:val="0068590F"/>
    <w:rsid w:val="00687FD1"/>
    <w:rsid w:val="00691CDE"/>
    <w:rsid w:val="0069212D"/>
    <w:rsid w:val="00692F42"/>
    <w:rsid w:val="006933BF"/>
    <w:rsid w:val="0069347E"/>
    <w:rsid w:val="006937C3"/>
    <w:rsid w:val="0069389D"/>
    <w:rsid w:val="0069486B"/>
    <w:rsid w:val="00694CE1"/>
    <w:rsid w:val="006956AB"/>
    <w:rsid w:val="0069755C"/>
    <w:rsid w:val="006A05C5"/>
    <w:rsid w:val="006A2039"/>
    <w:rsid w:val="006A299E"/>
    <w:rsid w:val="006A35B8"/>
    <w:rsid w:val="006A4CEB"/>
    <w:rsid w:val="006A5AA4"/>
    <w:rsid w:val="006A5B70"/>
    <w:rsid w:val="006A78B4"/>
    <w:rsid w:val="006B2975"/>
    <w:rsid w:val="006B3D67"/>
    <w:rsid w:val="006B68A6"/>
    <w:rsid w:val="006C1874"/>
    <w:rsid w:val="006C3017"/>
    <w:rsid w:val="006C5535"/>
    <w:rsid w:val="006C66AF"/>
    <w:rsid w:val="006C70CC"/>
    <w:rsid w:val="006D0FDA"/>
    <w:rsid w:val="006D12E7"/>
    <w:rsid w:val="006D59E1"/>
    <w:rsid w:val="006D74F1"/>
    <w:rsid w:val="006D7D13"/>
    <w:rsid w:val="006E0653"/>
    <w:rsid w:val="006E0754"/>
    <w:rsid w:val="006E1CD6"/>
    <w:rsid w:val="006E2897"/>
    <w:rsid w:val="006E3456"/>
    <w:rsid w:val="006E4FBE"/>
    <w:rsid w:val="006E5E85"/>
    <w:rsid w:val="006F0BC8"/>
    <w:rsid w:val="006F6253"/>
    <w:rsid w:val="007019B6"/>
    <w:rsid w:val="00703712"/>
    <w:rsid w:val="00704CE4"/>
    <w:rsid w:val="0070545F"/>
    <w:rsid w:val="007054AA"/>
    <w:rsid w:val="007066A3"/>
    <w:rsid w:val="00710DAB"/>
    <w:rsid w:val="00712DA8"/>
    <w:rsid w:val="00715C6C"/>
    <w:rsid w:val="0071647F"/>
    <w:rsid w:val="00716CE9"/>
    <w:rsid w:val="00717AD4"/>
    <w:rsid w:val="00720066"/>
    <w:rsid w:val="00720C02"/>
    <w:rsid w:val="00722CC8"/>
    <w:rsid w:val="00723804"/>
    <w:rsid w:val="0072591D"/>
    <w:rsid w:val="0073004C"/>
    <w:rsid w:val="0073041A"/>
    <w:rsid w:val="0073148D"/>
    <w:rsid w:val="0073265B"/>
    <w:rsid w:val="00732B5A"/>
    <w:rsid w:val="00733450"/>
    <w:rsid w:val="00733653"/>
    <w:rsid w:val="00734FB4"/>
    <w:rsid w:val="00734FCA"/>
    <w:rsid w:val="007409F0"/>
    <w:rsid w:val="00743AA9"/>
    <w:rsid w:val="00744528"/>
    <w:rsid w:val="00745F0E"/>
    <w:rsid w:val="00746432"/>
    <w:rsid w:val="007467D4"/>
    <w:rsid w:val="00746EF9"/>
    <w:rsid w:val="00746F62"/>
    <w:rsid w:val="0075029E"/>
    <w:rsid w:val="0075056C"/>
    <w:rsid w:val="00751E6D"/>
    <w:rsid w:val="0076085C"/>
    <w:rsid w:val="00761979"/>
    <w:rsid w:val="0076393D"/>
    <w:rsid w:val="00763A10"/>
    <w:rsid w:val="00764827"/>
    <w:rsid w:val="007707E8"/>
    <w:rsid w:val="00774245"/>
    <w:rsid w:val="007742A0"/>
    <w:rsid w:val="0077571D"/>
    <w:rsid w:val="00780D60"/>
    <w:rsid w:val="007818F2"/>
    <w:rsid w:val="00785F80"/>
    <w:rsid w:val="00787372"/>
    <w:rsid w:val="00790AD9"/>
    <w:rsid w:val="00791F9C"/>
    <w:rsid w:val="00793DA4"/>
    <w:rsid w:val="0079508D"/>
    <w:rsid w:val="00796D53"/>
    <w:rsid w:val="007A0C09"/>
    <w:rsid w:val="007A179D"/>
    <w:rsid w:val="007A1CCB"/>
    <w:rsid w:val="007A466A"/>
    <w:rsid w:val="007A569A"/>
    <w:rsid w:val="007A6B46"/>
    <w:rsid w:val="007B1125"/>
    <w:rsid w:val="007B238A"/>
    <w:rsid w:val="007B63C0"/>
    <w:rsid w:val="007B7A53"/>
    <w:rsid w:val="007C08F6"/>
    <w:rsid w:val="007C131C"/>
    <w:rsid w:val="007C13F1"/>
    <w:rsid w:val="007C17C1"/>
    <w:rsid w:val="007C19ED"/>
    <w:rsid w:val="007C340F"/>
    <w:rsid w:val="007C589B"/>
    <w:rsid w:val="007C679F"/>
    <w:rsid w:val="007C6A13"/>
    <w:rsid w:val="007C75E4"/>
    <w:rsid w:val="007C7A16"/>
    <w:rsid w:val="007D1C88"/>
    <w:rsid w:val="007D2059"/>
    <w:rsid w:val="007D3E98"/>
    <w:rsid w:val="007D728C"/>
    <w:rsid w:val="007D77C3"/>
    <w:rsid w:val="007E3E3D"/>
    <w:rsid w:val="007E5BCC"/>
    <w:rsid w:val="007F04E7"/>
    <w:rsid w:val="007F061E"/>
    <w:rsid w:val="007F25FD"/>
    <w:rsid w:val="007F3936"/>
    <w:rsid w:val="007F4852"/>
    <w:rsid w:val="007F4ED5"/>
    <w:rsid w:val="007F704C"/>
    <w:rsid w:val="00801BD8"/>
    <w:rsid w:val="00803BFC"/>
    <w:rsid w:val="008043A1"/>
    <w:rsid w:val="00811D29"/>
    <w:rsid w:val="0081602A"/>
    <w:rsid w:val="008223BF"/>
    <w:rsid w:val="0082303D"/>
    <w:rsid w:val="00824C05"/>
    <w:rsid w:val="00825030"/>
    <w:rsid w:val="00826D77"/>
    <w:rsid w:val="008307A7"/>
    <w:rsid w:val="0083409E"/>
    <w:rsid w:val="008341CD"/>
    <w:rsid w:val="00835309"/>
    <w:rsid w:val="00837181"/>
    <w:rsid w:val="00840F7E"/>
    <w:rsid w:val="00842D10"/>
    <w:rsid w:val="00845FFF"/>
    <w:rsid w:val="0084616D"/>
    <w:rsid w:val="00850DF1"/>
    <w:rsid w:val="00851146"/>
    <w:rsid w:val="008542FC"/>
    <w:rsid w:val="00857545"/>
    <w:rsid w:val="0086074B"/>
    <w:rsid w:val="00861723"/>
    <w:rsid w:val="008661D9"/>
    <w:rsid w:val="00870BB8"/>
    <w:rsid w:val="00872E2C"/>
    <w:rsid w:val="00873E72"/>
    <w:rsid w:val="0088449E"/>
    <w:rsid w:val="00886FDD"/>
    <w:rsid w:val="008878FD"/>
    <w:rsid w:val="00891A1C"/>
    <w:rsid w:val="00892551"/>
    <w:rsid w:val="00892B05"/>
    <w:rsid w:val="00893ABE"/>
    <w:rsid w:val="00894CB8"/>
    <w:rsid w:val="008953F0"/>
    <w:rsid w:val="008964CC"/>
    <w:rsid w:val="00897684"/>
    <w:rsid w:val="008979FB"/>
    <w:rsid w:val="008A1F38"/>
    <w:rsid w:val="008A2014"/>
    <w:rsid w:val="008A3252"/>
    <w:rsid w:val="008A333F"/>
    <w:rsid w:val="008A45A4"/>
    <w:rsid w:val="008B21BC"/>
    <w:rsid w:val="008B3D53"/>
    <w:rsid w:val="008B4CE5"/>
    <w:rsid w:val="008B698F"/>
    <w:rsid w:val="008B7630"/>
    <w:rsid w:val="008C3B71"/>
    <w:rsid w:val="008C3EAE"/>
    <w:rsid w:val="008C4E2C"/>
    <w:rsid w:val="008C7732"/>
    <w:rsid w:val="008D0749"/>
    <w:rsid w:val="008D2012"/>
    <w:rsid w:val="008D2EB6"/>
    <w:rsid w:val="008D6163"/>
    <w:rsid w:val="008E6BF5"/>
    <w:rsid w:val="008F1B23"/>
    <w:rsid w:val="008F3043"/>
    <w:rsid w:val="008F3B1B"/>
    <w:rsid w:val="008F3D22"/>
    <w:rsid w:val="008F473B"/>
    <w:rsid w:val="008F5C54"/>
    <w:rsid w:val="008F5D01"/>
    <w:rsid w:val="00900D88"/>
    <w:rsid w:val="0090244F"/>
    <w:rsid w:val="00902D00"/>
    <w:rsid w:val="0090349B"/>
    <w:rsid w:val="00907617"/>
    <w:rsid w:val="00907F13"/>
    <w:rsid w:val="0091070C"/>
    <w:rsid w:val="00910A61"/>
    <w:rsid w:val="00911B59"/>
    <w:rsid w:val="0091220E"/>
    <w:rsid w:val="0091397B"/>
    <w:rsid w:val="0091564A"/>
    <w:rsid w:val="00917BFA"/>
    <w:rsid w:val="0091B797"/>
    <w:rsid w:val="00921834"/>
    <w:rsid w:val="00921A10"/>
    <w:rsid w:val="00921B3C"/>
    <w:rsid w:val="00923C6D"/>
    <w:rsid w:val="00930959"/>
    <w:rsid w:val="00931511"/>
    <w:rsid w:val="00934E7F"/>
    <w:rsid w:val="00936E62"/>
    <w:rsid w:val="00937365"/>
    <w:rsid w:val="00937904"/>
    <w:rsid w:val="009419A2"/>
    <w:rsid w:val="009437A3"/>
    <w:rsid w:val="00943A6D"/>
    <w:rsid w:val="00950D28"/>
    <w:rsid w:val="0095131B"/>
    <w:rsid w:val="009529CC"/>
    <w:rsid w:val="00952EEA"/>
    <w:rsid w:val="00952FB1"/>
    <w:rsid w:val="00954168"/>
    <w:rsid w:val="00954D85"/>
    <w:rsid w:val="0095747A"/>
    <w:rsid w:val="009600BE"/>
    <w:rsid w:val="009601C3"/>
    <w:rsid w:val="00962C48"/>
    <w:rsid w:val="00962D5E"/>
    <w:rsid w:val="00964AB1"/>
    <w:rsid w:val="00965E29"/>
    <w:rsid w:val="00967F1B"/>
    <w:rsid w:val="00971F52"/>
    <w:rsid w:val="00972393"/>
    <w:rsid w:val="00973607"/>
    <w:rsid w:val="00974E72"/>
    <w:rsid w:val="00975FE6"/>
    <w:rsid w:val="00981B7D"/>
    <w:rsid w:val="009829E9"/>
    <w:rsid w:val="00982C2F"/>
    <w:rsid w:val="00982CAD"/>
    <w:rsid w:val="00983537"/>
    <w:rsid w:val="00984269"/>
    <w:rsid w:val="009868C1"/>
    <w:rsid w:val="00987305"/>
    <w:rsid w:val="0098730F"/>
    <w:rsid w:val="009879FA"/>
    <w:rsid w:val="00990FE8"/>
    <w:rsid w:val="00991D63"/>
    <w:rsid w:val="009923C9"/>
    <w:rsid w:val="0099315B"/>
    <w:rsid w:val="00994FC0"/>
    <w:rsid w:val="0099517B"/>
    <w:rsid w:val="009967E3"/>
    <w:rsid w:val="0099693C"/>
    <w:rsid w:val="009969BB"/>
    <w:rsid w:val="00997840"/>
    <w:rsid w:val="009A0171"/>
    <w:rsid w:val="009A06F8"/>
    <w:rsid w:val="009A1A1B"/>
    <w:rsid w:val="009A1C72"/>
    <w:rsid w:val="009A35AC"/>
    <w:rsid w:val="009B0378"/>
    <w:rsid w:val="009B1626"/>
    <w:rsid w:val="009B2B0E"/>
    <w:rsid w:val="009B584C"/>
    <w:rsid w:val="009C018B"/>
    <w:rsid w:val="009C104C"/>
    <w:rsid w:val="009C5D38"/>
    <w:rsid w:val="009D394F"/>
    <w:rsid w:val="009D5714"/>
    <w:rsid w:val="009D5A04"/>
    <w:rsid w:val="009D7027"/>
    <w:rsid w:val="009E16DB"/>
    <w:rsid w:val="009E2D03"/>
    <w:rsid w:val="009E39E3"/>
    <w:rsid w:val="009E4F8C"/>
    <w:rsid w:val="009E6E9F"/>
    <w:rsid w:val="009E7A6F"/>
    <w:rsid w:val="009F05B0"/>
    <w:rsid w:val="009F0FBC"/>
    <w:rsid w:val="009F76CD"/>
    <w:rsid w:val="009F7AF8"/>
    <w:rsid w:val="00A04113"/>
    <w:rsid w:val="00A05AA7"/>
    <w:rsid w:val="00A05CE8"/>
    <w:rsid w:val="00A10479"/>
    <w:rsid w:val="00A10AC3"/>
    <w:rsid w:val="00A1529E"/>
    <w:rsid w:val="00A17015"/>
    <w:rsid w:val="00A23D53"/>
    <w:rsid w:val="00A244F4"/>
    <w:rsid w:val="00A26590"/>
    <w:rsid w:val="00A26F34"/>
    <w:rsid w:val="00A3194B"/>
    <w:rsid w:val="00A33483"/>
    <w:rsid w:val="00A33EA0"/>
    <w:rsid w:val="00A402E5"/>
    <w:rsid w:val="00A4406C"/>
    <w:rsid w:val="00A44FC8"/>
    <w:rsid w:val="00A51564"/>
    <w:rsid w:val="00A556AF"/>
    <w:rsid w:val="00A60FF3"/>
    <w:rsid w:val="00A61279"/>
    <w:rsid w:val="00A63334"/>
    <w:rsid w:val="00A63CB2"/>
    <w:rsid w:val="00A6452E"/>
    <w:rsid w:val="00A6496B"/>
    <w:rsid w:val="00A64A97"/>
    <w:rsid w:val="00A66850"/>
    <w:rsid w:val="00A67C89"/>
    <w:rsid w:val="00A72084"/>
    <w:rsid w:val="00A73063"/>
    <w:rsid w:val="00A73B4A"/>
    <w:rsid w:val="00A75EC7"/>
    <w:rsid w:val="00A80900"/>
    <w:rsid w:val="00A80943"/>
    <w:rsid w:val="00A80CF7"/>
    <w:rsid w:val="00A81EC9"/>
    <w:rsid w:val="00A82A57"/>
    <w:rsid w:val="00A83077"/>
    <w:rsid w:val="00A831B9"/>
    <w:rsid w:val="00A8495C"/>
    <w:rsid w:val="00A865D0"/>
    <w:rsid w:val="00A91196"/>
    <w:rsid w:val="00A9221E"/>
    <w:rsid w:val="00A93B65"/>
    <w:rsid w:val="00A95D43"/>
    <w:rsid w:val="00A96310"/>
    <w:rsid w:val="00A97AC3"/>
    <w:rsid w:val="00A97B44"/>
    <w:rsid w:val="00AA0DC1"/>
    <w:rsid w:val="00AA2802"/>
    <w:rsid w:val="00AA319F"/>
    <w:rsid w:val="00AA66F1"/>
    <w:rsid w:val="00AA6AAA"/>
    <w:rsid w:val="00AB0BF2"/>
    <w:rsid w:val="00AB1D04"/>
    <w:rsid w:val="00AB21BF"/>
    <w:rsid w:val="00AB36CF"/>
    <w:rsid w:val="00AB4C65"/>
    <w:rsid w:val="00AB6823"/>
    <w:rsid w:val="00AB7028"/>
    <w:rsid w:val="00AB7458"/>
    <w:rsid w:val="00AC1458"/>
    <w:rsid w:val="00AC28AA"/>
    <w:rsid w:val="00AC406A"/>
    <w:rsid w:val="00AC74C9"/>
    <w:rsid w:val="00AD15DB"/>
    <w:rsid w:val="00AD2AC9"/>
    <w:rsid w:val="00AD370D"/>
    <w:rsid w:val="00AD509D"/>
    <w:rsid w:val="00AD5482"/>
    <w:rsid w:val="00AD6349"/>
    <w:rsid w:val="00AD656F"/>
    <w:rsid w:val="00AD70D0"/>
    <w:rsid w:val="00AD75CB"/>
    <w:rsid w:val="00AE37E4"/>
    <w:rsid w:val="00AE4CF9"/>
    <w:rsid w:val="00AE6116"/>
    <w:rsid w:val="00AE6432"/>
    <w:rsid w:val="00AF593C"/>
    <w:rsid w:val="00B001DA"/>
    <w:rsid w:val="00B01EB6"/>
    <w:rsid w:val="00B025EE"/>
    <w:rsid w:val="00B04205"/>
    <w:rsid w:val="00B0566C"/>
    <w:rsid w:val="00B05D4B"/>
    <w:rsid w:val="00B0795D"/>
    <w:rsid w:val="00B11C2B"/>
    <w:rsid w:val="00B14513"/>
    <w:rsid w:val="00B17937"/>
    <w:rsid w:val="00B24BF7"/>
    <w:rsid w:val="00B27741"/>
    <w:rsid w:val="00B30F11"/>
    <w:rsid w:val="00B32EB6"/>
    <w:rsid w:val="00B330B6"/>
    <w:rsid w:val="00B33718"/>
    <w:rsid w:val="00B35051"/>
    <w:rsid w:val="00B35761"/>
    <w:rsid w:val="00B37A96"/>
    <w:rsid w:val="00B42F97"/>
    <w:rsid w:val="00B4550F"/>
    <w:rsid w:val="00B45784"/>
    <w:rsid w:val="00B47882"/>
    <w:rsid w:val="00B5029F"/>
    <w:rsid w:val="00B50438"/>
    <w:rsid w:val="00B521C5"/>
    <w:rsid w:val="00B530D7"/>
    <w:rsid w:val="00B53E94"/>
    <w:rsid w:val="00B62616"/>
    <w:rsid w:val="00B641DF"/>
    <w:rsid w:val="00B645ED"/>
    <w:rsid w:val="00B646D0"/>
    <w:rsid w:val="00B64DF8"/>
    <w:rsid w:val="00B65FAC"/>
    <w:rsid w:val="00B6668A"/>
    <w:rsid w:val="00B66EFB"/>
    <w:rsid w:val="00B70E53"/>
    <w:rsid w:val="00B719D2"/>
    <w:rsid w:val="00B72EB2"/>
    <w:rsid w:val="00B74CE4"/>
    <w:rsid w:val="00B75632"/>
    <w:rsid w:val="00B75D91"/>
    <w:rsid w:val="00B76453"/>
    <w:rsid w:val="00B76F57"/>
    <w:rsid w:val="00B77C05"/>
    <w:rsid w:val="00B83D36"/>
    <w:rsid w:val="00B84CB7"/>
    <w:rsid w:val="00B86F98"/>
    <w:rsid w:val="00B9099C"/>
    <w:rsid w:val="00B918FE"/>
    <w:rsid w:val="00B91D8D"/>
    <w:rsid w:val="00B92AAD"/>
    <w:rsid w:val="00B92F9E"/>
    <w:rsid w:val="00B94E45"/>
    <w:rsid w:val="00B9547C"/>
    <w:rsid w:val="00B95C28"/>
    <w:rsid w:val="00B970A0"/>
    <w:rsid w:val="00B97357"/>
    <w:rsid w:val="00B97A49"/>
    <w:rsid w:val="00B97EAF"/>
    <w:rsid w:val="00BA1926"/>
    <w:rsid w:val="00BA1AF8"/>
    <w:rsid w:val="00BA2189"/>
    <w:rsid w:val="00BA254E"/>
    <w:rsid w:val="00BA3A4D"/>
    <w:rsid w:val="00BA7F28"/>
    <w:rsid w:val="00BB0187"/>
    <w:rsid w:val="00BB2D5F"/>
    <w:rsid w:val="00BB2E9B"/>
    <w:rsid w:val="00BB3052"/>
    <w:rsid w:val="00BC09F1"/>
    <w:rsid w:val="00BC1ACC"/>
    <w:rsid w:val="00BC4496"/>
    <w:rsid w:val="00BC47BA"/>
    <w:rsid w:val="00BC5E37"/>
    <w:rsid w:val="00BD1DF5"/>
    <w:rsid w:val="00BD3B63"/>
    <w:rsid w:val="00BD5E20"/>
    <w:rsid w:val="00BD7185"/>
    <w:rsid w:val="00BE2429"/>
    <w:rsid w:val="00BE41D9"/>
    <w:rsid w:val="00BF1018"/>
    <w:rsid w:val="00BF137A"/>
    <w:rsid w:val="00BF1489"/>
    <w:rsid w:val="00BF226A"/>
    <w:rsid w:val="00BF4AE0"/>
    <w:rsid w:val="00BF5A4A"/>
    <w:rsid w:val="00BF6B85"/>
    <w:rsid w:val="00BF6EF4"/>
    <w:rsid w:val="00BF6F4D"/>
    <w:rsid w:val="00BF7110"/>
    <w:rsid w:val="00BFD2B6"/>
    <w:rsid w:val="00C003FC"/>
    <w:rsid w:val="00C031CF"/>
    <w:rsid w:val="00C04200"/>
    <w:rsid w:val="00C05408"/>
    <w:rsid w:val="00C0561F"/>
    <w:rsid w:val="00C06C35"/>
    <w:rsid w:val="00C07C11"/>
    <w:rsid w:val="00C100A5"/>
    <w:rsid w:val="00C10891"/>
    <w:rsid w:val="00C1193F"/>
    <w:rsid w:val="00C13663"/>
    <w:rsid w:val="00C14851"/>
    <w:rsid w:val="00C14DE5"/>
    <w:rsid w:val="00C16E7F"/>
    <w:rsid w:val="00C17D52"/>
    <w:rsid w:val="00C23AC1"/>
    <w:rsid w:val="00C2468B"/>
    <w:rsid w:val="00C26E31"/>
    <w:rsid w:val="00C27F8D"/>
    <w:rsid w:val="00C309EA"/>
    <w:rsid w:val="00C30B36"/>
    <w:rsid w:val="00C30FE2"/>
    <w:rsid w:val="00C32AD0"/>
    <w:rsid w:val="00C33468"/>
    <w:rsid w:val="00C35514"/>
    <w:rsid w:val="00C36314"/>
    <w:rsid w:val="00C37644"/>
    <w:rsid w:val="00C4024A"/>
    <w:rsid w:val="00C41250"/>
    <w:rsid w:val="00C414A5"/>
    <w:rsid w:val="00C45EF4"/>
    <w:rsid w:val="00C4734D"/>
    <w:rsid w:val="00C47EAD"/>
    <w:rsid w:val="00C504C4"/>
    <w:rsid w:val="00C5187B"/>
    <w:rsid w:val="00C52A45"/>
    <w:rsid w:val="00C53F83"/>
    <w:rsid w:val="00C56397"/>
    <w:rsid w:val="00C567A1"/>
    <w:rsid w:val="00C60991"/>
    <w:rsid w:val="00C62537"/>
    <w:rsid w:val="00C62DB9"/>
    <w:rsid w:val="00C65C40"/>
    <w:rsid w:val="00C703D3"/>
    <w:rsid w:val="00C74115"/>
    <w:rsid w:val="00C75C26"/>
    <w:rsid w:val="00C760BD"/>
    <w:rsid w:val="00C76B58"/>
    <w:rsid w:val="00C7726B"/>
    <w:rsid w:val="00C82052"/>
    <w:rsid w:val="00C82103"/>
    <w:rsid w:val="00C830A5"/>
    <w:rsid w:val="00C85B8B"/>
    <w:rsid w:val="00C8650B"/>
    <w:rsid w:val="00C90675"/>
    <w:rsid w:val="00C90F35"/>
    <w:rsid w:val="00C929B4"/>
    <w:rsid w:val="00C93BD9"/>
    <w:rsid w:val="00C95A38"/>
    <w:rsid w:val="00CA0DAF"/>
    <w:rsid w:val="00CA106D"/>
    <w:rsid w:val="00CA41B4"/>
    <w:rsid w:val="00CA45E5"/>
    <w:rsid w:val="00CA797D"/>
    <w:rsid w:val="00CB0728"/>
    <w:rsid w:val="00CB2394"/>
    <w:rsid w:val="00CB274B"/>
    <w:rsid w:val="00CB29B3"/>
    <w:rsid w:val="00CB2F65"/>
    <w:rsid w:val="00CC0290"/>
    <w:rsid w:val="00CC080A"/>
    <w:rsid w:val="00CC2609"/>
    <w:rsid w:val="00CC37AD"/>
    <w:rsid w:val="00CC5145"/>
    <w:rsid w:val="00CC52B7"/>
    <w:rsid w:val="00CC5F8A"/>
    <w:rsid w:val="00CC717D"/>
    <w:rsid w:val="00CD21BE"/>
    <w:rsid w:val="00CD2A07"/>
    <w:rsid w:val="00CD5ABB"/>
    <w:rsid w:val="00CD5C91"/>
    <w:rsid w:val="00CD7345"/>
    <w:rsid w:val="00CE0025"/>
    <w:rsid w:val="00CE1852"/>
    <w:rsid w:val="00CE1E9E"/>
    <w:rsid w:val="00CE238E"/>
    <w:rsid w:val="00CE2F38"/>
    <w:rsid w:val="00CE7761"/>
    <w:rsid w:val="00CF0C2F"/>
    <w:rsid w:val="00CF2257"/>
    <w:rsid w:val="00CF2865"/>
    <w:rsid w:val="00CF2DE2"/>
    <w:rsid w:val="00CF5DC4"/>
    <w:rsid w:val="00CF6053"/>
    <w:rsid w:val="00CF7D3E"/>
    <w:rsid w:val="00D010B7"/>
    <w:rsid w:val="00D01D56"/>
    <w:rsid w:val="00D02743"/>
    <w:rsid w:val="00D027DF"/>
    <w:rsid w:val="00D02F21"/>
    <w:rsid w:val="00D050C5"/>
    <w:rsid w:val="00D05EF5"/>
    <w:rsid w:val="00D110AD"/>
    <w:rsid w:val="00D11675"/>
    <w:rsid w:val="00D11F1A"/>
    <w:rsid w:val="00D13589"/>
    <w:rsid w:val="00D13AE2"/>
    <w:rsid w:val="00D16574"/>
    <w:rsid w:val="00D173F8"/>
    <w:rsid w:val="00D2013F"/>
    <w:rsid w:val="00D21967"/>
    <w:rsid w:val="00D279AD"/>
    <w:rsid w:val="00D36327"/>
    <w:rsid w:val="00D40139"/>
    <w:rsid w:val="00D420E7"/>
    <w:rsid w:val="00D42745"/>
    <w:rsid w:val="00D42ED1"/>
    <w:rsid w:val="00D50F09"/>
    <w:rsid w:val="00D51738"/>
    <w:rsid w:val="00D51F2A"/>
    <w:rsid w:val="00D52095"/>
    <w:rsid w:val="00D52FA8"/>
    <w:rsid w:val="00D55568"/>
    <w:rsid w:val="00D56E52"/>
    <w:rsid w:val="00D5788D"/>
    <w:rsid w:val="00D60455"/>
    <w:rsid w:val="00D63C27"/>
    <w:rsid w:val="00D71A01"/>
    <w:rsid w:val="00D82084"/>
    <w:rsid w:val="00D82613"/>
    <w:rsid w:val="00D84420"/>
    <w:rsid w:val="00D855AE"/>
    <w:rsid w:val="00D87771"/>
    <w:rsid w:val="00D917CD"/>
    <w:rsid w:val="00D918DB"/>
    <w:rsid w:val="00D93041"/>
    <w:rsid w:val="00D941AB"/>
    <w:rsid w:val="00D9523C"/>
    <w:rsid w:val="00D9534E"/>
    <w:rsid w:val="00DA2720"/>
    <w:rsid w:val="00DA5307"/>
    <w:rsid w:val="00DA537E"/>
    <w:rsid w:val="00DA7106"/>
    <w:rsid w:val="00DA730E"/>
    <w:rsid w:val="00DA775B"/>
    <w:rsid w:val="00DB0A1F"/>
    <w:rsid w:val="00DB5151"/>
    <w:rsid w:val="00DB551F"/>
    <w:rsid w:val="00DB6403"/>
    <w:rsid w:val="00DB6EFD"/>
    <w:rsid w:val="00DB7FE5"/>
    <w:rsid w:val="00DC035A"/>
    <w:rsid w:val="00DC0DF8"/>
    <w:rsid w:val="00DC1F16"/>
    <w:rsid w:val="00DC6895"/>
    <w:rsid w:val="00DC6DEE"/>
    <w:rsid w:val="00DC7A4A"/>
    <w:rsid w:val="00DD33B0"/>
    <w:rsid w:val="00DD48B6"/>
    <w:rsid w:val="00DD6F0B"/>
    <w:rsid w:val="00DD7BF5"/>
    <w:rsid w:val="00DE035F"/>
    <w:rsid w:val="00DE63DF"/>
    <w:rsid w:val="00DE6722"/>
    <w:rsid w:val="00DF08A3"/>
    <w:rsid w:val="00DF1FE3"/>
    <w:rsid w:val="00DF3939"/>
    <w:rsid w:val="00DF5E0C"/>
    <w:rsid w:val="00DF66D9"/>
    <w:rsid w:val="00DF7BB1"/>
    <w:rsid w:val="00E0076F"/>
    <w:rsid w:val="00E0110A"/>
    <w:rsid w:val="00E01639"/>
    <w:rsid w:val="00E039F3"/>
    <w:rsid w:val="00E03B43"/>
    <w:rsid w:val="00E03EEF"/>
    <w:rsid w:val="00E050D3"/>
    <w:rsid w:val="00E06335"/>
    <w:rsid w:val="00E10805"/>
    <w:rsid w:val="00E1654B"/>
    <w:rsid w:val="00E17FE4"/>
    <w:rsid w:val="00E2336F"/>
    <w:rsid w:val="00E263C1"/>
    <w:rsid w:val="00E2640A"/>
    <w:rsid w:val="00E26455"/>
    <w:rsid w:val="00E27E4A"/>
    <w:rsid w:val="00E302F1"/>
    <w:rsid w:val="00E32436"/>
    <w:rsid w:val="00E33573"/>
    <w:rsid w:val="00E33D9C"/>
    <w:rsid w:val="00E34711"/>
    <w:rsid w:val="00E36312"/>
    <w:rsid w:val="00E370C2"/>
    <w:rsid w:val="00E37F70"/>
    <w:rsid w:val="00E4024F"/>
    <w:rsid w:val="00E40CE3"/>
    <w:rsid w:val="00E4147E"/>
    <w:rsid w:val="00E45110"/>
    <w:rsid w:val="00E454DE"/>
    <w:rsid w:val="00E459A6"/>
    <w:rsid w:val="00E4635E"/>
    <w:rsid w:val="00E50316"/>
    <w:rsid w:val="00E50B58"/>
    <w:rsid w:val="00E53568"/>
    <w:rsid w:val="00E557BA"/>
    <w:rsid w:val="00E55AD0"/>
    <w:rsid w:val="00E57346"/>
    <w:rsid w:val="00E61CF2"/>
    <w:rsid w:val="00E62A14"/>
    <w:rsid w:val="00E634F3"/>
    <w:rsid w:val="00E6370E"/>
    <w:rsid w:val="00E637E5"/>
    <w:rsid w:val="00E64201"/>
    <w:rsid w:val="00E65747"/>
    <w:rsid w:val="00E66029"/>
    <w:rsid w:val="00E6668B"/>
    <w:rsid w:val="00E66AF3"/>
    <w:rsid w:val="00E70EC6"/>
    <w:rsid w:val="00E71003"/>
    <w:rsid w:val="00E718DD"/>
    <w:rsid w:val="00E71EEB"/>
    <w:rsid w:val="00E734DE"/>
    <w:rsid w:val="00E73FCF"/>
    <w:rsid w:val="00E75012"/>
    <w:rsid w:val="00E7646E"/>
    <w:rsid w:val="00E76C41"/>
    <w:rsid w:val="00E8002E"/>
    <w:rsid w:val="00E81B9E"/>
    <w:rsid w:val="00E879C9"/>
    <w:rsid w:val="00E91239"/>
    <w:rsid w:val="00E9249E"/>
    <w:rsid w:val="00E926E6"/>
    <w:rsid w:val="00E960B2"/>
    <w:rsid w:val="00E963EE"/>
    <w:rsid w:val="00E968D8"/>
    <w:rsid w:val="00EA142B"/>
    <w:rsid w:val="00EA1F0A"/>
    <w:rsid w:val="00EA227C"/>
    <w:rsid w:val="00EA26A2"/>
    <w:rsid w:val="00EA66B5"/>
    <w:rsid w:val="00EB0138"/>
    <w:rsid w:val="00EB0B93"/>
    <w:rsid w:val="00EB1BC0"/>
    <w:rsid w:val="00EB2741"/>
    <w:rsid w:val="00EB2D57"/>
    <w:rsid w:val="00EB4F6C"/>
    <w:rsid w:val="00EC06EF"/>
    <w:rsid w:val="00EC1C74"/>
    <w:rsid w:val="00EC2623"/>
    <w:rsid w:val="00EC3B48"/>
    <w:rsid w:val="00EC4E07"/>
    <w:rsid w:val="00EC5414"/>
    <w:rsid w:val="00EC6465"/>
    <w:rsid w:val="00ED0F9D"/>
    <w:rsid w:val="00ED4648"/>
    <w:rsid w:val="00ED46D9"/>
    <w:rsid w:val="00ED74BD"/>
    <w:rsid w:val="00EE057D"/>
    <w:rsid w:val="00EE0786"/>
    <w:rsid w:val="00EE1C92"/>
    <w:rsid w:val="00EE2279"/>
    <w:rsid w:val="00EE7486"/>
    <w:rsid w:val="00EF176E"/>
    <w:rsid w:val="00EF18CD"/>
    <w:rsid w:val="00EF76F7"/>
    <w:rsid w:val="00EF7DA3"/>
    <w:rsid w:val="00F01B39"/>
    <w:rsid w:val="00F04B3C"/>
    <w:rsid w:val="00F04F98"/>
    <w:rsid w:val="00F05A1D"/>
    <w:rsid w:val="00F06046"/>
    <w:rsid w:val="00F064B7"/>
    <w:rsid w:val="00F100A1"/>
    <w:rsid w:val="00F10A42"/>
    <w:rsid w:val="00F10F44"/>
    <w:rsid w:val="00F11130"/>
    <w:rsid w:val="00F11BB6"/>
    <w:rsid w:val="00F13B2A"/>
    <w:rsid w:val="00F15038"/>
    <w:rsid w:val="00F16485"/>
    <w:rsid w:val="00F176FC"/>
    <w:rsid w:val="00F209CB"/>
    <w:rsid w:val="00F21238"/>
    <w:rsid w:val="00F26422"/>
    <w:rsid w:val="00F30E0B"/>
    <w:rsid w:val="00F30F30"/>
    <w:rsid w:val="00F30F6B"/>
    <w:rsid w:val="00F31D65"/>
    <w:rsid w:val="00F32355"/>
    <w:rsid w:val="00F33F1C"/>
    <w:rsid w:val="00F360ED"/>
    <w:rsid w:val="00F36666"/>
    <w:rsid w:val="00F37784"/>
    <w:rsid w:val="00F4089B"/>
    <w:rsid w:val="00F43F23"/>
    <w:rsid w:val="00F453B1"/>
    <w:rsid w:val="00F45837"/>
    <w:rsid w:val="00F46DBC"/>
    <w:rsid w:val="00F471AC"/>
    <w:rsid w:val="00F47775"/>
    <w:rsid w:val="00F522AE"/>
    <w:rsid w:val="00F52433"/>
    <w:rsid w:val="00F53C82"/>
    <w:rsid w:val="00F556A9"/>
    <w:rsid w:val="00F55F3C"/>
    <w:rsid w:val="00F573E7"/>
    <w:rsid w:val="00F62813"/>
    <w:rsid w:val="00F648A9"/>
    <w:rsid w:val="00F657E6"/>
    <w:rsid w:val="00F65D86"/>
    <w:rsid w:val="00F666C1"/>
    <w:rsid w:val="00F667B8"/>
    <w:rsid w:val="00F72528"/>
    <w:rsid w:val="00F72711"/>
    <w:rsid w:val="00F75F79"/>
    <w:rsid w:val="00F77075"/>
    <w:rsid w:val="00F809CA"/>
    <w:rsid w:val="00F8199B"/>
    <w:rsid w:val="00F82A37"/>
    <w:rsid w:val="00F84884"/>
    <w:rsid w:val="00F87767"/>
    <w:rsid w:val="00F91A8E"/>
    <w:rsid w:val="00F94A47"/>
    <w:rsid w:val="00F96E26"/>
    <w:rsid w:val="00F97AE3"/>
    <w:rsid w:val="00FA1659"/>
    <w:rsid w:val="00FA1A32"/>
    <w:rsid w:val="00FA1B19"/>
    <w:rsid w:val="00FA1F3E"/>
    <w:rsid w:val="00FA74E3"/>
    <w:rsid w:val="00FB138C"/>
    <w:rsid w:val="00FB152D"/>
    <w:rsid w:val="00FB4D61"/>
    <w:rsid w:val="00FB73C6"/>
    <w:rsid w:val="00FB7E2E"/>
    <w:rsid w:val="00FC0383"/>
    <w:rsid w:val="00FC2788"/>
    <w:rsid w:val="00FC338A"/>
    <w:rsid w:val="00FC4CB3"/>
    <w:rsid w:val="00FC7916"/>
    <w:rsid w:val="00FC7A2C"/>
    <w:rsid w:val="00FD0156"/>
    <w:rsid w:val="00FD0E58"/>
    <w:rsid w:val="00FD15A5"/>
    <w:rsid w:val="00FD19D7"/>
    <w:rsid w:val="00FD1DA6"/>
    <w:rsid w:val="00FD35CC"/>
    <w:rsid w:val="00FD3B02"/>
    <w:rsid w:val="00FD7F2C"/>
    <w:rsid w:val="00FE158F"/>
    <w:rsid w:val="00FE19E9"/>
    <w:rsid w:val="00FE267F"/>
    <w:rsid w:val="00FE3143"/>
    <w:rsid w:val="00FF0369"/>
    <w:rsid w:val="00FF2629"/>
    <w:rsid w:val="00FF5F4D"/>
    <w:rsid w:val="00FF617B"/>
    <w:rsid w:val="00FF73B9"/>
    <w:rsid w:val="00FF76B6"/>
    <w:rsid w:val="00FF772E"/>
    <w:rsid w:val="019EA859"/>
    <w:rsid w:val="01BD3E82"/>
    <w:rsid w:val="01E82CEF"/>
    <w:rsid w:val="01F0C800"/>
    <w:rsid w:val="0210CECF"/>
    <w:rsid w:val="025C513D"/>
    <w:rsid w:val="0266BCB1"/>
    <w:rsid w:val="0298FF1A"/>
    <w:rsid w:val="02AF4F47"/>
    <w:rsid w:val="02F47571"/>
    <w:rsid w:val="037C83E2"/>
    <w:rsid w:val="03A07575"/>
    <w:rsid w:val="03FC3093"/>
    <w:rsid w:val="04571516"/>
    <w:rsid w:val="04578488"/>
    <w:rsid w:val="04A16168"/>
    <w:rsid w:val="04CE28F3"/>
    <w:rsid w:val="04E49E0B"/>
    <w:rsid w:val="04F29BD6"/>
    <w:rsid w:val="04FA9D88"/>
    <w:rsid w:val="051DCDBE"/>
    <w:rsid w:val="052125EE"/>
    <w:rsid w:val="0526DF71"/>
    <w:rsid w:val="0531D92A"/>
    <w:rsid w:val="05486F91"/>
    <w:rsid w:val="0582DA13"/>
    <w:rsid w:val="05893CA2"/>
    <w:rsid w:val="059D3F4F"/>
    <w:rsid w:val="05BACC36"/>
    <w:rsid w:val="0621EAFC"/>
    <w:rsid w:val="0685397C"/>
    <w:rsid w:val="06B99E1F"/>
    <w:rsid w:val="06C99EA2"/>
    <w:rsid w:val="06EA5EE3"/>
    <w:rsid w:val="07421A8C"/>
    <w:rsid w:val="08535D5A"/>
    <w:rsid w:val="08685EFF"/>
    <w:rsid w:val="0897C6FF"/>
    <w:rsid w:val="08B0CED9"/>
    <w:rsid w:val="096FA24F"/>
    <w:rsid w:val="09738CAC"/>
    <w:rsid w:val="0982108B"/>
    <w:rsid w:val="09C9AAFD"/>
    <w:rsid w:val="09D463DE"/>
    <w:rsid w:val="09F26B6D"/>
    <w:rsid w:val="09F9E2A3"/>
    <w:rsid w:val="0A3A0EA9"/>
    <w:rsid w:val="0A83C5AA"/>
    <w:rsid w:val="0AB7426F"/>
    <w:rsid w:val="0AF7FEEE"/>
    <w:rsid w:val="0B7278EA"/>
    <w:rsid w:val="0BB6D21D"/>
    <w:rsid w:val="0BCB7DB9"/>
    <w:rsid w:val="0C28A967"/>
    <w:rsid w:val="0C2944BD"/>
    <w:rsid w:val="0C5137D2"/>
    <w:rsid w:val="0C77A0F1"/>
    <w:rsid w:val="0C950DEC"/>
    <w:rsid w:val="0CCD6893"/>
    <w:rsid w:val="0CEFC62A"/>
    <w:rsid w:val="0D2C38A0"/>
    <w:rsid w:val="0D5C1ED9"/>
    <w:rsid w:val="0D7298D5"/>
    <w:rsid w:val="0E23CD85"/>
    <w:rsid w:val="0EAB87A7"/>
    <w:rsid w:val="0EAD5AD8"/>
    <w:rsid w:val="0EB86F5D"/>
    <w:rsid w:val="0F8C4B4F"/>
    <w:rsid w:val="0FD3BB84"/>
    <w:rsid w:val="0FDC1250"/>
    <w:rsid w:val="0FDD95AD"/>
    <w:rsid w:val="104977B3"/>
    <w:rsid w:val="10AF035A"/>
    <w:rsid w:val="10BC9B14"/>
    <w:rsid w:val="1156052B"/>
    <w:rsid w:val="11833CAC"/>
    <w:rsid w:val="126E3391"/>
    <w:rsid w:val="128E9856"/>
    <w:rsid w:val="1296C3C9"/>
    <w:rsid w:val="12F25E83"/>
    <w:rsid w:val="131F91C4"/>
    <w:rsid w:val="1371EF16"/>
    <w:rsid w:val="137BFD69"/>
    <w:rsid w:val="13DC5246"/>
    <w:rsid w:val="1411DC1B"/>
    <w:rsid w:val="142D19F2"/>
    <w:rsid w:val="14B685ED"/>
    <w:rsid w:val="14BE4512"/>
    <w:rsid w:val="14E65BBC"/>
    <w:rsid w:val="14EC881B"/>
    <w:rsid w:val="14F28AB8"/>
    <w:rsid w:val="14F507E8"/>
    <w:rsid w:val="151C8FE6"/>
    <w:rsid w:val="1646E810"/>
    <w:rsid w:val="1647F790"/>
    <w:rsid w:val="1672F2F2"/>
    <w:rsid w:val="168A46C9"/>
    <w:rsid w:val="16EA7A5F"/>
    <w:rsid w:val="1700AD30"/>
    <w:rsid w:val="172B2242"/>
    <w:rsid w:val="172C9813"/>
    <w:rsid w:val="1754AA53"/>
    <w:rsid w:val="175A70F7"/>
    <w:rsid w:val="176CBBCB"/>
    <w:rsid w:val="17B52AF6"/>
    <w:rsid w:val="17C6D3E0"/>
    <w:rsid w:val="17CBECA6"/>
    <w:rsid w:val="17DC2621"/>
    <w:rsid w:val="17E4A1A3"/>
    <w:rsid w:val="180D96C8"/>
    <w:rsid w:val="1819BD80"/>
    <w:rsid w:val="181F6625"/>
    <w:rsid w:val="1866D3AC"/>
    <w:rsid w:val="18C3AD9F"/>
    <w:rsid w:val="1908767C"/>
    <w:rsid w:val="192ED876"/>
    <w:rsid w:val="1932BDF0"/>
    <w:rsid w:val="193D2945"/>
    <w:rsid w:val="19462CE0"/>
    <w:rsid w:val="19BE073C"/>
    <w:rsid w:val="19DE6DEB"/>
    <w:rsid w:val="19E6B2C6"/>
    <w:rsid w:val="1A03BE90"/>
    <w:rsid w:val="1A397C72"/>
    <w:rsid w:val="1AB15013"/>
    <w:rsid w:val="1ADF1488"/>
    <w:rsid w:val="1B07EDC9"/>
    <w:rsid w:val="1B2A1EF2"/>
    <w:rsid w:val="1B866694"/>
    <w:rsid w:val="1B8B82AC"/>
    <w:rsid w:val="1B9F8EF1"/>
    <w:rsid w:val="1BD2CCB1"/>
    <w:rsid w:val="1C22D7C5"/>
    <w:rsid w:val="1C59BE4C"/>
    <w:rsid w:val="1C600329"/>
    <w:rsid w:val="1C970187"/>
    <w:rsid w:val="1CA7F1E0"/>
    <w:rsid w:val="1CC5EF53"/>
    <w:rsid w:val="1D28E736"/>
    <w:rsid w:val="1D40CD4D"/>
    <w:rsid w:val="1D447C06"/>
    <w:rsid w:val="1D9F1185"/>
    <w:rsid w:val="1DA30B24"/>
    <w:rsid w:val="1DF95F32"/>
    <w:rsid w:val="1E742E4A"/>
    <w:rsid w:val="1E843C53"/>
    <w:rsid w:val="1E9BDCE9"/>
    <w:rsid w:val="1EA09C64"/>
    <w:rsid w:val="1EEDB8BA"/>
    <w:rsid w:val="1EEE57CF"/>
    <w:rsid w:val="1F8FBEF3"/>
    <w:rsid w:val="1FEB0614"/>
    <w:rsid w:val="2014D065"/>
    <w:rsid w:val="20C935D9"/>
    <w:rsid w:val="20D6A049"/>
    <w:rsid w:val="2151EE79"/>
    <w:rsid w:val="2158C705"/>
    <w:rsid w:val="217BE098"/>
    <w:rsid w:val="217D58C8"/>
    <w:rsid w:val="21AD2BCF"/>
    <w:rsid w:val="21E3F7D8"/>
    <w:rsid w:val="21ED621D"/>
    <w:rsid w:val="228D2369"/>
    <w:rsid w:val="22933CAC"/>
    <w:rsid w:val="23343215"/>
    <w:rsid w:val="234A4A82"/>
    <w:rsid w:val="2389327E"/>
    <w:rsid w:val="23B9B8A9"/>
    <w:rsid w:val="247FA977"/>
    <w:rsid w:val="24B718C2"/>
    <w:rsid w:val="24B7F37D"/>
    <w:rsid w:val="24C4ABB9"/>
    <w:rsid w:val="24D9510B"/>
    <w:rsid w:val="24F4C0B9"/>
    <w:rsid w:val="25565D02"/>
    <w:rsid w:val="25C13C18"/>
    <w:rsid w:val="25D4B7F2"/>
    <w:rsid w:val="26186F41"/>
    <w:rsid w:val="2636634D"/>
    <w:rsid w:val="2654E11B"/>
    <w:rsid w:val="267DFC29"/>
    <w:rsid w:val="270DD8F9"/>
    <w:rsid w:val="27611943"/>
    <w:rsid w:val="27C4B019"/>
    <w:rsid w:val="285EEB91"/>
    <w:rsid w:val="289E51DA"/>
    <w:rsid w:val="28A697CE"/>
    <w:rsid w:val="28EDA42A"/>
    <w:rsid w:val="292210D6"/>
    <w:rsid w:val="293D9ABF"/>
    <w:rsid w:val="295B5AB5"/>
    <w:rsid w:val="296F80A5"/>
    <w:rsid w:val="298EC73A"/>
    <w:rsid w:val="29BD028D"/>
    <w:rsid w:val="29D10E9D"/>
    <w:rsid w:val="29DB9831"/>
    <w:rsid w:val="29E1E768"/>
    <w:rsid w:val="29F24BA0"/>
    <w:rsid w:val="2A1409C2"/>
    <w:rsid w:val="2A43DEED"/>
    <w:rsid w:val="2A4CA01C"/>
    <w:rsid w:val="2A5F8D62"/>
    <w:rsid w:val="2A6564E8"/>
    <w:rsid w:val="2A65E3AF"/>
    <w:rsid w:val="2A65EF11"/>
    <w:rsid w:val="2A73B2F6"/>
    <w:rsid w:val="2AAF7815"/>
    <w:rsid w:val="2B1FC54C"/>
    <w:rsid w:val="2B8B6135"/>
    <w:rsid w:val="2B9BCFE3"/>
    <w:rsid w:val="2BD971AB"/>
    <w:rsid w:val="2C2C1900"/>
    <w:rsid w:val="2C8431C8"/>
    <w:rsid w:val="2D2016DC"/>
    <w:rsid w:val="2D4D2F8D"/>
    <w:rsid w:val="2D593B1C"/>
    <w:rsid w:val="2D8E451A"/>
    <w:rsid w:val="2D9417CB"/>
    <w:rsid w:val="2DB63092"/>
    <w:rsid w:val="2DE54703"/>
    <w:rsid w:val="2E292AA4"/>
    <w:rsid w:val="2E40BA76"/>
    <w:rsid w:val="2E5B4EAC"/>
    <w:rsid w:val="2F072037"/>
    <w:rsid w:val="2F08CF37"/>
    <w:rsid w:val="2F472419"/>
    <w:rsid w:val="2FFC4296"/>
    <w:rsid w:val="301F7E9A"/>
    <w:rsid w:val="3045E01D"/>
    <w:rsid w:val="311B422B"/>
    <w:rsid w:val="3154D1EA"/>
    <w:rsid w:val="3163BE74"/>
    <w:rsid w:val="31690C4E"/>
    <w:rsid w:val="317140B1"/>
    <w:rsid w:val="31950EEA"/>
    <w:rsid w:val="3279B682"/>
    <w:rsid w:val="328451ED"/>
    <w:rsid w:val="329D4ED2"/>
    <w:rsid w:val="32C6350F"/>
    <w:rsid w:val="32F1F819"/>
    <w:rsid w:val="32FBA6C7"/>
    <w:rsid w:val="330440A9"/>
    <w:rsid w:val="33293BA5"/>
    <w:rsid w:val="3333740D"/>
    <w:rsid w:val="33456AEC"/>
    <w:rsid w:val="3397C5FD"/>
    <w:rsid w:val="33BF7E23"/>
    <w:rsid w:val="33C04B31"/>
    <w:rsid w:val="33DDCD86"/>
    <w:rsid w:val="34283A99"/>
    <w:rsid w:val="3434D304"/>
    <w:rsid w:val="34812B81"/>
    <w:rsid w:val="34AF58A1"/>
    <w:rsid w:val="34CF65F2"/>
    <w:rsid w:val="34ED7034"/>
    <w:rsid w:val="352A38F0"/>
    <w:rsid w:val="353BE9D6"/>
    <w:rsid w:val="3566B00F"/>
    <w:rsid w:val="35722FA4"/>
    <w:rsid w:val="35A19FF4"/>
    <w:rsid w:val="35BCF0F4"/>
    <w:rsid w:val="35F0CEAF"/>
    <w:rsid w:val="35F1B8D7"/>
    <w:rsid w:val="35F6C02C"/>
    <w:rsid w:val="360A991A"/>
    <w:rsid w:val="361D7BF4"/>
    <w:rsid w:val="3687C28F"/>
    <w:rsid w:val="36ACBCC7"/>
    <w:rsid w:val="36C85DFA"/>
    <w:rsid w:val="36E2BF75"/>
    <w:rsid w:val="37412364"/>
    <w:rsid w:val="376E8B3B"/>
    <w:rsid w:val="3787DA9E"/>
    <w:rsid w:val="37A49BF0"/>
    <w:rsid w:val="37B94C55"/>
    <w:rsid w:val="384BB34C"/>
    <w:rsid w:val="38511EB9"/>
    <w:rsid w:val="38ADCBEB"/>
    <w:rsid w:val="38B82F03"/>
    <w:rsid w:val="38BE1517"/>
    <w:rsid w:val="39133BDF"/>
    <w:rsid w:val="3919B4FA"/>
    <w:rsid w:val="39337D8F"/>
    <w:rsid w:val="39457E4A"/>
    <w:rsid w:val="395198BF"/>
    <w:rsid w:val="39678B39"/>
    <w:rsid w:val="39728D6B"/>
    <w:rsid w:val="397AF916"/>
    <w:rsid w:val="39998C86"/>
    <w:rsid w:val="39BCB14A"/>
    <w:rsid w:val="39C73F30"/>
    <w:rsid w:val="3A51010E"/>
    <w:rsid w:val="3AC95C6D"/>
    <w:rsid w:val="3AD0D196"/>
    <w:rsid w:val="3AD0E120"/>
    <w:rsid w:val="3B3AA4A7"/>
    <w:rsid w:val="3B4B56C1"/>
    <w:rsid w:val="3B92AB96"/>
    <w:rsid w:val="3BECB09E"/>
    <w:rsid w:val="3C313CDC"/>
    <w:rsid w:val="3C3B1498"/>
    <w:rsid w:val="3C6B1E51"/>
    <w:rsid w:val="3C7FB202"/>
    <w:rsid w:val="3CACB43D"/>
    <w:rsid w:val="3CCE8EB5"/>
    <w:rsid w:val="3CDF261C"/>
    <w:rsid w:val="3CF4C769"/>
    <w:rsid w:val="3D1D796B"/>
    <w:rsid w:val="3DA4D233"/>
    <w:rsid w:val="3DFABC9A"/>
    <w:rsid w:val="3E4409EC"/>
    <w:rsid w:val="3E68E100"/>
    <w:rsid w:val="3F0BA2BC"/>
    <w:rsid w:val="3F192C01"/>
    <w:rsid w:val="3F22E4E0"/>
    <w:rsid w:val="3F33EAA2"/>
    <w:rsid w:val="3FAB35DD"/>
    <w:rsid w:val="3FBAD875"/>
    <w:rsid w:val="3FE74F83"/>
    <w:rsid w:val="4006AC80"/>
    <w:rsid w:val="40944E16"/>
    <w:rsid w:val="40B9DA27"/>
    <w:rsid w:val="40E9F251"/>
    <w:rsid w:val="40FA160F"/>
    <w:rsid w:val="414F707F"/>
    <w:rsid w:val="41DED1C7"/>
    <w:rsid w:val="41F62EDE"/>
    <w:rsid w:val="42226C39"/>
    <w:rsid w:val="426B33C0"/>
    <w:rsid w:val="427D054D"/>
    <w:rsid w:val="42E86603"/>
    <w:rsid w:val="42EEBEAE"/>
    <w:rsid w:val="4358D291"/>
    <w:rsid w:val="438E1A7B"/>
    <w:rsid w:val="43B633BC"/>
    <w:rsid w:val="43FBDED6"/>
    <w:rsid w:val="43FD3438"/>
    <w:rsid w:val="44098AE2"/>
    <w:rsid w:val="441D6EFD"/>
    <w:rsid w:val="44266A09"/>
    <w:rsid w:val="443710C4"/>
    <w:rsid w:val="443D4ADC"/>
    <w:rsid w:val="44440087"/>
    <w:rsid w:val="44992550"/>
    <w:rsid w:val="44D8230A"/>
    <w:rsid w:val="44DC2C5C"/>
    <w:rsid w:val="44F417AF"/>
    <w:rsid w:val="450DC447"/>
    <w:rsid w:val="454286F8"/>
    <w:rsid w:val="45728207"/>
    <w:rsid w:val="45880E59"/>
    <w:rsid w:val="45DF1F64"/>
    <w:rsid w:val="464B550A"/>
    <w:rsid w:val="4689164C"/>
    <w:rsid w:val="469EE4AA"/>
    <w:rsid w:val="46E10305"/>
    <w:rsid w:val="46FBAA5B"/>
    <w:rsid w:val="47037EFC"/>
    <w:rsid w:val="47550FBF"/>
    <w:rsid w:val="478935E9"/>
    <w:rsid w:val="47B0EF88"/>
    <w:rsid w:val="47CE7D41"/>
    <w:rsid w:val="47E90ECA"/>
    <w:rsid w:val="47F3D3D9"/>
    <w:rsid w:val="47FFC60F"/>
    <w:rsid w:val="486E7057"/>
    <w:rsid w:val="489D88F8"/>
    <w:rsid w:val="48A889A4"/>
    <w:rsid w:val="48C10F16"/>
    <w:rsid w:val="496C43D9"/>
    <w:rsid w:val="4988EB93"/>
    <w:rsid w:val="4995E65A"/>
    <w:rsid w:val="49E59504"/>
    <w:rsid w:val="4A06EB4B"/>
    <w:rsid w:val="4A0C87A4"/>
    <w:rsid w:val="4A2EAB0A"/>
    <w:rsid w:val="4A4EEB4E"/>
    <w:rsid w:val="4AC7B6A7"/>
    <w:rsid w:val="4B044EC5"/>
    <w:rsid w:val="4B4A6489"/>
    <w:rsid w:val="4B87FFC1"/>
    <w:rsid w:val="4BBFBC68"/>
    <w:rsid w:val="4C2A9014"/>
    <w:rsid w:val="4C4F126C"/>
    <w:rsid w:val="4C5D2483"/>
    <w:rsid w:val="4C922B3B"/>
    <w:rsid w:val="4D187331"/>
    <w:rsid w:val="4D6684B5"/>
    <w:rsid w:val="4DAA3DD9"/>
    <w:rsid w:val="4E151173"/>
    <w:rsid w:val="4E9BD92D"/>
    <w:rsid w:val="4E9EB264"/>
    <w:rsid w:val="4ECD4052"/>
    <w:rsid w:val="4F248747"/>
    <w:rsid w:val="4F57C562"/>
    <w:rsid w:val="4FB3CDCB"/>
    <w:rsid w:val="4FC4C1EB"/>
    <w:rsid w:val="504CDD9E"/>
    <w:rsid w:val="5079B4DE"/>
    <w:rsid w:val="5089E3D5"/>
    <w:rsid w:val="50C13981"/>
    <w:rsid w:val="50E19D36"/>
    <w:rsid w:val="50E3AD92"/>
    <w:rsid w:val="50EBDB54"/>
    <w:rsid w:val="50F395C3"/>
    <w:rsid w:val="5110D1FF"/>
    <w:rsid w:val="5117A8C8"/>
    <w:rsid w:val="5135C237"/>
    <w:rsid w:val="51AFA733"/>
    <w:rsid w:val="51BCB838"/>
    <w:rsid w:val="51BE38B2"/>
    <w:rsid w:val="52153429"/>
    <w:rsid w:val="522F5842"/>
    <w:rsid w:val="52817D57"/>
    <w:rsid w:val="52A66372"/>
    <w:rsid w:val="52ECD09A"/>
    <w:rsid w:val="53091590"/>
    <w:rsid w:val="5338FB41"/>
    <w:rsid w:val="53424CE3"/>
    <w:rsid w:val="5345E4B7"/>
    <w:rsid w:val="5377B002"/>
    <w:rsid w:val="5398C771"/>
    <w:rsid w:val="53CF9003"/>
    <w:rsid w:val="54AD9CC5"/>
    <w:rsid w:val="5517BD92"/>
    <w:rsid w:val="55258559"/>
    <w:rsid w:val="552CD46B"/>
    <w:rsid w:val="553F2681"/>
    <w:rsid w:val="55BF4C77"/>
    <w:rsid w:val="55C2BC72"/>
    <w:rsid w:val="55E592D0"/>
    <w:rsid w:val="561E6944"/>
    <w:rsid w:val="56ED244B"/>
    <w:rsid w:val="571CDD12"/>
    <w:rsid w:val="57631D53"/>
    <w:rsid w:val="5763AC2E"/>
    <w:rsid w:val="578089FA"/>
    <w:rsid w:val="578BDB5E"/>
    <w:rsid w:val="584AEECC"/>
    <w:rsid w:val="58D49134"/>
    <w:rsid w:val="58E7B4A6"/>
    <w:rsid w:val="58E9A393"/>
    <w:rsid w:val="58F40E1F"/>
    <w:rsid w:val="592D7B06"/>
    <w:rsid w:val="59686EBE"/>
    <w:rsid w:val="597A444F"/>
    <w:rsid w:val="59D91445"/>
    <w:rsid w:val="59FEEBF7"/>
    <w:rsid w:val="5A08300A"/>
    <w:rsid w:val="5A71B14A"/>
    <w:rsid w:val="5A7DA009"/>
    <w:rsid w:val="5A908A51"/>
    <w:rsid w:val="5AB1756E"/>
    <w:rsid w:val="5ACFD7A1"/>
    <w:rsid w:val="5AE9C4BB"/>
    <w:rsid w:val="5B236162"/>
    <w:rsid w:val="5B5BDEBA"/>
    <w:rsid w:val="5B5CCB16"/>
    <w:rsid w:val="5C05411B"/>
    <w:rsid w:val="5C46E7F8"/>
    <w:rsid w:val="5C4D45CF"/>
    <w:rsid w:val="5CE771B2"/>
    <w:rsid w:val="5D1E410B"/>
    <w:rsid w:val="5D3F278F"/>
    <w:rsid w:val="5D461070"/>
    <w:rsid w:val="5DB0CD14"/>
    <w:rsid w:val="5DD0BD98"/>
    <w:rsid w:val="5DE91630"/>
    <w:rsid w:val="5DFB1CE2"/>
    <w:rsid w:val="5E2582BF"/>
    <w:rsid w:val="5E2E7320"/>
    <w:rsid w:val="5E6AC80C"/>
    <w:rsid w:val="5E7F7F46"/>
    <w:rsid w:val="5EC85FF6"/>
    <w:rsid w:val="5F2ADBCC"/>
    <w:rsid w:val="5F96ED43"/>
    <w:rsid w:val="5FCD0530"/>
    <w:rsid w:val="5FCE703B"/>
    <w:rsid w:val="5FE460F7"/>
    <w:rsid w:val="60133AF5"/>
    <w:rsid w:val="60E446B0"/>
    <w:rsid w:val="6109CA84"/>
    <w:rsid w:val="61387D77"/>
    <w:rsid w:val="6139D543"/>
    <w:rsid w:val="615FFDC9"/>
    <w:rsid w:val="61CCE211"/>
    <w:rsid w:val="61D2371C"/>
    <w:rsid w:val="61D33D38"/>
    <w:rsid w:val="61E2CBAB"/>
    <w:rsid w:val="61E92409"/>
    <w:rsid w:val="620F5D6A"/>
    <w:rsid w:val="6255ABFE"/>
    <w:rsid w:val="6273D293"/>
    <w:rsid w:val="62775D7C"/>
    <w:rsid w:val="6281F506"/>
    <w:rsid w:val="6282F5AF"/>
    <w:rsid w:val="629EFE85"/>
    <w:rsid w:val="62CE8E05"/>
    <w:rsid w:val="62DD04F2"/>
    <w:rsid w:val="63174BD4"/>
    <w:rsid w:val="631E998E"/>
    <w:rsid w:val="633E5334"/>
    <w:rsid w:val="6377889A"/>
    <w:rsid w:val="6390215C"/>
    <w:rsid w:val="63A6EC60"/>
    <w:rsid w:val="63CF66F0"/>
    <w:rsid w:val="63E79651"/>
    <w:rsid w:val="64170866"/>
    <w:rsid w:val="64418D66"/>
    <w:rsid w:val="64532F2C"/>
    <w:rsid w:val="6493B5D5"/>
    <w:rsid w:val="64E017F8"/>
    <w:rsid w:val="64F58C03"/>
    <w:rsid w:val="659203ED"/>
    <w:rsid w:val="666F6C55"/>
    <w:rsid w:val="66E0DA4D"/>
    <w:rsid w:val="66E8BE24"/>
    <w:rsid w:val="66F78B2B"/>
    <w:rsid w:val="6739C425"/>
    <w:rsid w:val="676CE54D"/>
    <w:rsid w:val="677750CC"/>
    <w:rsid w:val="679DD0E8"/>
    <w:rsid w:val="67A1FF28"/>
    <w:rsid w:val="67C49EA9"/>
    <w:rsid w:val="67C7D3E2"/>
    <w:rsid w:val="67E0B211"/>
    <w:rsid w:val="67F912DA"/>
    <w:rsid w:val="6812F704"/>
    <w:rsid w:val="6851D3FA"/>
    <w:rsid w:val="68838651"/>
    <w:rsid w:val="688B2905"/>
    <w:rsid w:val="68BCA0A8"/>
    <w:rsid w:val="68DECB15"/>
    <w:rsid w:val="68E093AC"/>
    <w:rsid w:val="68FB2569"/>
    <w:rsid w:val="69792054"/>
    <w:rsid w:val="69F9D17C"/>
    <w:rsid w:val="6A0EC8E6"/>
    <w:rsid w:val="6A159493"/>
    <w:rsid w:val="6A3EA874"/>
    <w:rsid w:val="6ADD5F44"/>
    <w:rsid w:val="6B129B7E"/>
    <w:rsid w:val="6B45D21F"/>
    <w:rsid w:val="6B5E9678"/>
    <w:rsid w:val="6B613C97"/>
    <w:rsid w:val="6B8AB625"/>
    <w:rsid w:val="6BDB41B8"/>
    <w:rsid w:val="6BE649AF"/>
    <w:rsid w:val="6C42EAB9"/>
    <w:rsid w:val="6C5D921A"/>
    <w:rsid w:val="6C7CCB27"/>
    <w:rsid w:val="6C7DEA82"/>
    <w:rsid w:val="6C8C6DDF"/>
    <w:rsid w:val="6C9CDF86"/>
    <w:rsid w:val="6D4E78C7"/>
    <w:rsid w:val="6D8B040B"/>
    <w:rsid w:val="6DC1F9F0"/>
    <w:rsid w:val="6DE282FE"/>
    <w:rsid w:val="6E072780"/>
    <w:rsid w:val="6E19BAE3"/>
    <w:rsid w:val="6E824B2E"/>
    <w:rsid w:val="6EB5E999"/>
    <w:rsid w:val="6F12B9CF"/>
    <w:rsid w:val="6F136598"/>
    <w:rsid w:val="6F1766F9"/>
    <w:rsid w:val="6F6065BE"/>
    <w:rsid w:val="6F99DBA3"/>
    <w:rsid w:val="6FAD3137"/>
    <w:rsid w:val="700197D3"/>
    <w:rsid w:val="70480688"/>
    <w:rsid w:val="708F6D86"/>
    <w:rsid w:val="70B3BB66"/>
    <w:rsid w:val="70BFFEFB"/>
    <w:rsid w:val="7113C7AE"/>
    <w:rsid w:val="71774BE0"/>
    <w:rsid w:val="722909E1"/>
    <w:rsid w:val="723F582E"/>
    <w:rsid w:val="72A751AB"/>
    <w:rsid w:val="72DFBBEF"/>
    <w:rsid w:val="731DAF0B"/>
    <w:rsid w:val="73288C65"/>
    <w:rsid w:val="7358FE15"/>
    <w:rsid w:val="736769EA"/>
    <w:rsid w:val="737B0FBA"/>
    <w:rsid w:val="741360C8"/>
    <w:rsid w:val="7416C4CA"/>
    <w:rsid w:val="746049F3"/>
    <w:rsid w:val="74796365"/>
    <w:rsid w:val="747C82D5"/>
    <w:rsid w:val="74A05567"/>
    <w:rsid w:val="74A9F6AA"/>
    <w:rsid w:val="74CC37B5"/>
    <w:rsid w:val="75507042"/>
    <w:rsid w:val="75C43A29"/>
    <w:rsid w:val="760B17BA"/>
    <w:rsid w:val="762C710C"/>
    <w:rsid w:val="76390B67"/>
    <w:rsid w:val="76531CB2"/>
    <w:rsid w:val="767B1FBE"/>
    <w:rsid w:val="76A8222A"/>
    <w:rsid w:val="77277A14"/>
    <w:rsid w:val="77B9DE0F"/>
    <w:rsid w:val="77D7F629"/>
    <w:rsid w:val="78914A74"/>
    <w:rsid w:val="78AD0CAC"/>
    <w:rsid w:val="78B65C24"/>
    <w:rsid w:val="791EB638"/>
    <w:rsid w:val="792A25C8"/>
    <w:rsid w:val="7955C1F5"/>
    <w:rsid w:val="7979B1EE"/>
    <w:rsid w:val="797DBF6E"/>
    <w:rsid w:val="7990D248"/>
    <w:rsid w:val="7999AD69"/>
    <w:rsid w:val="79A0EBBF"/>
    <w:rsid w:val="79B23402"/>
    <w:rsid w:val="79D32245"/>
    <w:rsid w:val="79DCFB1A"/>
    <w:rsid w:val="79E333D0"/>
    <w:rsid w:val="79E558DB"/>
    <w:rsid w:val="79ECFEFD"/>
    <w:rsid w:val="79FAE252"/>
    <w:rsid w:val="7A0D7758"/>
    <w:rsid w:val="7A4EC3E1"/>
    <w:rsid w:val="7A6A568B"/>
    <w:rsid w:val="7A80287E"/>
    <w:rsid w:val="7AB07314"/>
    <w:rsid w:val="7B03C686"/>
    <w:rsid w:val="7B0D4668"/>
    <w:rsid w:val="7B1EC2A9"/>
    <w:rsid w:val="7B2654FB"/>
    <w:rsid w:val="7B865E2A"/>
    <w:rsid w:val="7BACC456"/>
    <w:rsid w:val="7C1D654E"/>
    <w:rsid w:val="7C6F2450"/>
    <w:rsid w:val="7C88400B"/>
    <w:rsid w:val="7CA5CC69"/>
    <w:rsid w:val="7CB1DC36"/>
    <w:rsid w:val="7D662EAB"/>
    <w:rsid w:val="7D6EDCDA"/>
    <w:rsid w:val="7D8C7CA4"/>
    <w:rsid w:val="7D96F3C2"/>
    <w:rsid w:val="7E790692"/>
    <w:rsid w:val="7E87F474"/>
    <w:rsid w:val="7EDF6D9D"/>
    <w:rsid w:val="7F01FF0C"/>
    <w:rsid w:val="7F25D840"/>
    <w:rsid w:val="7F662232"/>
    <w:rsid w:val="7F6A4E57"/>
    <w:rsid w:val="7FC443FA"/>
    <w:rsid w:val="7FC7420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8ACA9C6"/>
  <w15:docId w15:val="{161D5B31-4270-42F3-8E84-AD45AC16B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1C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6D9"/>
    <w:pPr>
      <w:ind w:left="720"/>
      <w:contextualSpacing/>
    </w:pPr>
  </w:style>
  <w:style w:type="paragraph" w:styleId="NoSpacing">
    <w:name w:val="No Spacing"/>
    <w:uiPriority w:val="1"/>
    <w:qFormat/>
    <w:rsid w:val="00A63334"/>
    <w:pPr>
      <w:spacing w:after="0" w:line="240" w:lineRule="auto"/>
    </w:pPr>
  </w:style>
  <w:style w:type="table" w:styleId="TableGrid">
    <w:name w:val="Table Grid"/>
    <w:basedOn w:val="TableNormal"/>
    <w:uiPriority w:val="59"/>
    <w:rsid w:val="00492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73F8"/>
    <w:rPr>
      <w:rFonts w:ascii="Tahoma" w:hAnsi="Tahoma" w:cs="Tahoma"/>
      <w:sz w:val="16"/>
      <w:szCs w:val="16"/>
    </w:rPr>
  </w:style>
  <w:style w:type="character" w:customStyle="1" w:styleId="BalloonTextChar">
    <w:name w:val="Balloon Text Char"/>
    <w:basedOn w:val="DefaultParagraphFont"/>
    <w:link w:val="BalloonText"/>
    <w:uiPriority w:val="99"/>
    <w:semiHidden/>
    <w:rsid w:val="00D173F8"/>
    <w:rPr>
      <w:rFonts w:ascii="Tahoma" w:hAnsi="Tahoma" w:cs="Tahoma"/>
      <w:sz w:val="16"/>
      <w:szCs w:val="16"/>
    </w:rPr>
  </w:style>
  <w:style w:type="paragraph" w:styleId="Header">
    <w:name w:val="header"/>
    <w:basedOn w:val="Normal"/>
    <w:link w:val="HeaderChar"/>
    <w:uiPriority w:val="99"/>
    <w:unhideWhenUsed/>
    <w:rsid w:val="0067152B"/>
    <w:pPr>
      <w:tabs>
        <w:tab w:val="center" w:pos="4680"/>
        <w:tab w:val="right" w:pos="9360"/>
      </w:tabs>
    </w:pPr>
  </w:style>
  <w:style w:type="character" w:customStyle="1" w:styleId="HeaderChar">
    <w:name w:val="Header Char"/>
    <w:basedOn w:val="DefaultParagraphFont"/>
    <w:link w:val="Header"/>
    <w:uiPriority w:val="99"/>
    <w:rsid w:val="0067152B"/>
  </w:style>
  <w:style w:type="paragraph" w:styleId="Footer">
    <w:name w:val="footer"/>
    <w:basedOn w:val="Normal"/>
    <w:link w:val="FooterChar"/>
    <w:uiPriority w:val="99"/>
    <w:unhideWhenUsed/>
    <w:rsid w:val="0067152B"/>
    <w:pPr>
      <w:tabs>
        <w:tab w:val="center" w:pos="4680"/>
        <w:tab w:val="right" w:pos="9360"/>
      </w:tabs>
    </w:pPr>
  </w:style>
  <w:style w:type="character" w:customStyle="1" w:styleId="FooterChar">
    <w:name w:val="Footer Char"/>
    <w:basedOn w:val="DefaultParagraphFont"/>
    <w:link w:val="Footer"/>
    <w:uiPriority w:val="99"/>
    <w:rsid w:val="0067152B"/>
  </w:style>
  <w:style w:type="character" w:styleId="CommentReference">
    <w:name w:val="annotation reference"/>
    <w:basedOn w:val="DefaultParagraphFont"/>
    <w:uiPriority w:val="99"/>
    <w:semiHidden/>
    <w:unhideWhenUsed/>
    <w:rsid w:val="00250690"/>
    <w:rPr>
      <w:sz w:val="16"/>
      <w:szCs w:val="16"/>
    </w:rPr>
  </w:style>
  <w:style w:type="paragraph" w:styleId="CommentText">
    <w:name w:val="annotation text"/>
    <w:basedOn w:val="Normal"/>
    <w:link w:val="CommentTextChar"/>
    <w:uiPriority w:val="99"/>
    <w:unhideWhenUsed/>
    <w:rsid w:val="00250690"/>
    <w:rPr>
      <w:sz w:val="20"/>
      <w:szCs w:val="20"/>
    </w:rPr>
  </w:style>
  <w:style w:type="character" w:customStyle="1" w:styleId="CommentTextChar">
    <w:name w:val="Comment Text Char"/>
    <w:basedOn w:val="DefaultParagraphFont"/>
    <w:link w:val="CommentText"/>
    <w:uiPriority w:val="99"/>
    <w:rsid w:val="00250690"/>
    <w:rPr>
      <w:sz w:val="20"/>
      <w:szCs w:val="20"/>
    </w:rPr>
  </w:style>
  <w:style w:type="paragraph" w:styleId="CommentSubject">
    <w:name w:val="annotation subject"/>
    <w:basedOn w:val="CommentText"/>
    <w:next w:val="CommentText"/>
    <w:link w:val="CommentSubjectChar"/>
    <w:uiPriority w:val="99"/>
    <w:semiHidden/>
    <w:unhideWhenUsed/>
    <w:rsid w:val="00250690"/>
    <w:rPr>
      <w:b/>
      <w:bCs/>
    </w:rPr>
  </w:style>
  <w:style w:type="character" w:customStyle="1" w:styleId="CommentSubjectChar">
    <w:name w:val="Comment Subject Char"/>
    <w:basedOn w:val="CommentTextChar"/>
    <w:link w:val="CommentSubject"/>
    <w:uiPriority w:val="99"/>
    <w:semiHidden/>
    <w:rsid w:val="00250690"/>
    <w:rPr>
      <w:b/>
      <w:bCs/>
      <w:sz w:val="20"/>
      <w:szCs w:val="20"/>
    </w:rPr>
  </w:style>
  <w:style w:type="paragraph" w:styleId="Subtitle">
    <w:name w:val="Subtitle"/>
    <w:basedOn w:val="Normal"/>
    <w:link w:val="SubtitleChar"/>
    <w:qFormat/>
    <w:rsid w:val="00983537"/>
    <w:pPr>
      <w:jc w:val="center"/>
    </w:pPr>
    <w:rPr>
      <w:szCs w:val="20"/>
      <w:u w:val="single"/>
    </w:rPr>
  </w:style>
  <w:style w:type="character" w:customStyle="1" w:styleId="SubtitleChar">
    <w:name w:val="Subtitle Char"/>
    <w:basedOn w:val="DefaultParagraphFont"/>
    <w:link w:val="Subtitle"/>
    <w:rsid w:val="00983537"/>
    <w:rPr>
      <w:rFonts w:ascii="Times New Roman" w:eastAsia="Times New Roman" w:hAnsi="Times New Roman" w:cs="Times New Roman"/>
      <w:sz w:val="24"/>
      <w:szCs w:val="20"/>
      <w:u w:val="single"/>
    </w:rPr>
  </w:style>
  <w:style w:type="paragraph" w:styleId="Revision">
    <w:name w:val="Revision"/>
    <w:hidden/>
    <w:uiPriority w:val="99"/>
    <w:semiHidden/>
    <w:rsid w:val="0030035F"/>
    <w:pPr>
      <w:spacing w:after="0" w:line="240" w:lineRule="auto"/>
    </w:pPr>
  </w:style>
  <w:style w:type="character" w:styleId="Hyperlink">
    <w:name w:val="Hyperlink"/>
    <w:basedOn w:val="DefaultParagraphFont"/>
    <w:uiPriority w:val="99"/>
    <w:unhideWhenUsed/>
    <w:rsid w:val="00A60FF3"/>
    <w:rPr>
      <w:color w:val="0000FF" w:themeColor="hyperlink"/>
      <w:u w:val="single"/>
    </w:rPr>
  </w:style>
  <w:style w:type="paragraph" w:styleId="FootnoteText">
    <w:name w:val="footnote text"/>
    <w:basedOn w:val="Normal"/>
    <w:link w:val="FootnoteTextChar"/>
    <w:uiPriority w:val="99"/>
    <w:unhideWhenUsed/>
    <w:rsid w:val="002320B3"/>
    <w:rPr>
      <w:sz w:val="20"/>
      <w:szCs w:val="20"/>
    </w:rPr>
  </w:style>
  <w:style w:type="character" w:customStyle="1" w:styleId="FootnoteTextChar">
    <w:name w:val="Footnote Text Char"/>
    <w:basedOn w:val="DefaultParagraphFont"/>
    <w:link w:val="FootnoteText"/>
    <w:uiPriority w:val="99"/>
    <w:rsid w:val="002320B3"/>
    <w:rPr>
      <w:sz w:val="20"/>
      <w:szCs w:val="20"/>
    </w:rPr>
  </w:style>
  <w:style w:type="character" w:styleId="FootnoteReference">
    <w:name w:val="footnote reference"/>
    <w:basedOn w:val="DefaultParagraphFont"/>
    <w:uiPriority w:val="99"/>
    <w:unhideWhenUsed/>
    <w:rsid w:val="002320B3"/>
    <w:rPr>
      <w:vertAlign w:val="superscript"/>
    </w:rPr>
  </w:style>
  <w:style w:type="paragraph" w:customStyle="1" w:styleId="footnote">
    <w:name w:val="footnote"/>
    <w:basedOn w:val="FootnoteText"/>
    <w:link w:val="footnoteChar"/>
    <w:qFormat/>
    <w:rsid w:val="002320B3"/>
    <w:pPr>
      <w:jc w:val="both"/>
    </w:pPr>
    <w:rPr>
      <w:rFonts w:ascii="Calibri" w:eastAsia="Calibri" w:hAnsi="Calibri"/>
    </w:rPr>
  </w:style>
  <w:style w:type="character" w:customStyle="1" w:styleId="footnoteChar">
    <w:name w:val="footnote Char"/>
    <w:link w:val="footnote"/>
    <w:rsid w:val="002320B3"/>
    <w:rPr>
      <w:rFonts w:ascii="Calibri" w:eastAsia="Calibri" w:hAnsi="Calibri" w:cs="Times New Roman"/>
      <w:sz w:val="20"/>
      <w:szCs w:val="20"/>
    </w:rPr>
  </w:style>
  <w:style w:type="character" w:customStyle="1" w:styleId="UnresolvedMention1">
    <w:name w:val="Unresolved Mention1"/>
    <w:basedOn w:val="DefaultParagraphFont"/>
    <w:uiPriority w:val="99"/>
    <w:semiHidden/>
    <w:unhideWhenUsed/>
    <w:rsid w:val="006E5E85"/>
    <w:rPr>
      <w:color w:val="808080"/>
      <w:shd w:val="clear" w:color="auto" w:fill="E6E6E6"/>
    </w:rPr>
  </w:style>
  <w:style w:type="character" w:styleId="FollowedHyperlink">
    <w:name w:val="FollowedHyperlink"/>
    <w:basedOn w:val="DefaultParagraphFont"/>
    <w:uiPriority w:val="99"/>
    <w:semiHidden/>
    <w:unhideWhenUsed/>
    <w:rsid w:val="00AB6823"/>
    <w:rPr>
      <w:color w:val="800080" w:themeColor="followedHyperlink"/>
      <w:u w:val="single"/>
    </w:rPr>
  </w:style>
  <w:style w:type="character" w:customStyle="1" w:styleId="UnresolvedMention2">
    <w:name w:val="Unresolved Mention2"/>
    <w:basedOn w:val="DefaultParagraphFont"/>
    <w:uiPriority w:val="99"/>
    <w:semiHidden/>
    <w:unhideWhenUsed/>
    <w:rsid w:val="009E7A6F"/>
    <w:rPr>
      <w:color w:val="605E5C"/>
      <w:shd w:val="clear" w:color="auto" w:fill="E1DFDD"/>
    </w:rPr>
  </w:style>
  <w:style w:type="character" w:styleId="UnresolvedMention">
    <w:name w:val="Unresolved Mention"/>
    <w:basedOn w:val="DefaultParagraphFont"/>
    <w:uiPriority w:val="99"/>
    <w:unhideWhenUsed/>
    <w:rsid w:val="00C04200"/>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apple-converted-space">
    <w:name w:val="apple-converted-space"/>
    <w:basedOn w:val="DefaultParagraphFont"/>
    <w:rsid w:val="00F209CB"/>
  </w:style>
  <w:style w:type="character" w:customStyle="1" w:styleId="ui-provider">
    <w:name w:val="ui-provider"/>
    <w:basedOn w:val="DefaultParagraphFont"/>
    <w:rsid w:val="00046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gcc02.safelinks.protection.outlook.com/?url=https%3A%2F%2Flnks.gd%2Fl%2FeyJhbGciOiJIUzI1NiJ9.eyJidWxsZXRpbl9saW5rX2lkIjoxMDUsInVyaSI6ImJwMjpjbGljayIsImJ1bGxldGluX2lkIjoiMjAyMjA2MjIuNTk3NTA4NzEiLCJ1cmwiOiJodHRwczovL3d3dy50cmFuc2l0LmRvdC5nb3Yvc2FmZXR5L3B1YmxpYy10cmFuc3BvcnRhdGlvbi1hZ2VuY3ktc2FmZXR5LXByb2dyYW0vYWdlbmN5LXNhZmV0eS1wbGFuLWFzcC1kaXJlY3RvcnkifQ.xO-ooPIiwI6DHlJ8SOgrx_fOhHRxJs6cAouqJXY05ws%2Fs%2F1184691756%2Fbr%2F133427115190-l&amp;data=05%7C01%7CTia.Swain%40dot.gov%7Cdb1616a0280343b474bb08da547cfd1f%7Cc4cd245b44f04395a1aa3848d258f78b%7C0%7C0%7C637915193070676988%7CUnknown%7CTWFpbGZsb3d8eyJWIjoiMC4wLjAwMDAiLCJQIjoiV2luMzIiLCJBTiI6Ik1haWwiLCJXVCI6Mn0%3D%7C3000%7C%7C%7C&amp;sdata=k7JZumPQyMatckhOd%2Fx9zJPsXfVG2UqaXFJUPfnFJuM%3D&amp;reserved=0"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441A70BE235C642AE3EE2905CBA9AD2" ma:contentTypeVersion="16" ma:contentTypeDescription="Create a new document." ma:contentTypeScope="" ma:versionID="189018c1d9e9946b9e03f2383ca3ba04">
  <xsd:schema xmlns:xsd="http://www.w3.org/2001/XMLSchema" xmlns:xs="http://www.w3.org/2001/XMLSchema" xmlns:p="http://schemas.microsoft.com/office/2006/metadata/properties" xmlns:ns2="ca16393a-f5d8-4089-bece-96efb3901bf4" xmlns:ns3="6dd46299-25c1-451e-b3ef-839a5c7b3f96" targetNamespace="http://schemas.microsoft.com/office/2006/metadata/properties" ma:root="true" ma:fieldsID="3992eb79936c613323068c901710c1a7" ns2:_="" ns3:_="">
    <xsd:import namespace="ca16393a-f5d8-4089-bece-96efb3901bf4"/>
    <xsd:import namespace="6dd46299-25c1-451e-b3ef-839a5c7b3f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6393a-f5d8-4089-bece-96efb3901bf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3" nillable="true" ma:displayName="Taxonomy Catch All Column" ma:hidden="true" ma:list="{d8974423-2e27-4d4c-900e-e1ce992e31e1}" ma:internalName="TaxCatchAll" ma:showField="CatchAllData" ma:web="ca16393a-f5d8-4089-bece-96efb3901b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d46299-25c1-451e-b3ef-839a5c7b3f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a16393a-f5d8-4089-bece-96efb3901bf4">
      <UserInfo>
        <DisplayName>alofton</DisplayName>
        <AccountId>69</AccountId>
        <AccountType/>
      </UserInfo>
      <UserInfo>
        <DisplayName>Swain, Tia (FTA)</DisplayName>
        <AccountId>32</AccountId>
        <AccountType/>
      </UserInfo>
      <UserInfo>
        <DisplayName>Tyer, Sharece (OST)</DisplayName>
        <AccountId>20</AccountId>
        <AccountType/>
      </UserInfo>
      <UserInfo>
        <DisplayName>Mader, Stewart (FTA)</DisplayName>
        <AccountId>33</AccountId>
        <AccountType/>
      </UserInfo>
      <UserInfo>
        <DisplayName>Barnes, Mary CTR (FTA)</DisplayName>
        <AccountId>76</AccountId>
        <AccountType/>
      </UserInfo>
      <UserInfo>
        <DisplayName>Chandler, Nicole CTR (FTA)</DisplayName>
        <AccountId>77</AccountId>
        <AccountType/>
      </UserInfo>
      <UserInfo>
        <DisplayName>Furrer, Jeremy (FTA)</DisplayName>
        <AccountId>73</AccountId>
        <AccountType/>
      </UserInfo>
      <UserInfo>
        <DisplayName>Orchard, Paulina (FTA)</DisplayName>
        <AccountId>25</AccountId>
        <AccountType/>
      </UserInfo>
      <UserInfo>
        <DisplayName>Lofton, Andy CTR (FTA)</DisplayName>
        <AccountId>35</AccountId>
        <AccountType/>
      </UserInfo>
    </SharedWithUsers>
    <TaxCatchAll xmlns="ca16393a-f5d8-4089-bece-96efb3901bf4" xsi:nil="true"/>
    <lcf76f155ced4ddcb4097134ff3c332f xmlns="6dd46299-25c1-451e-b3ef-839a5c7b3f9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7BC093-BCA9-4A10-BF05-515BB8F954DE}">
  <ds:schemaRefs>
    <ds:schemaRef ds:uri="http://schemas.openxmlformats.org/officeDocument/2006/bibliography"/>
  </ds:schemaRefs>
</ds:datastoreItem>
</file>

<file path=customXml/itemProps2.xml><?xml version="1.0" encoding="utf-8"?>
<ds:datastoreItem xmlns:ds="http://schemas.openxmlformats.org/officeDocument/2006/customXml" ds:itemID="{0829DE93-A4F6-4046-A396-63EC6F033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6393a-f5d8-4089-bece-96efb3901bf4"/>
    <ds:schemaRef ds:uri="6dd46299-25c1-451e-b3ef-839a5c7b3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3C05B5-F0AD-4B20-86FB-D192DE70442C}">
  <ds:schemaRefs>
    <ds:schemaRef ds:uri="ca16393a-f5d8-4089-bece-96efb3901bf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dd46299-25c1-451e-b3ef-839a5c7b3f96"/>
    <ds:schemaRef ds:uri="http://www.w3.org/XML/1998/namespace"/>
    <ds:schemaRef ds:uri="http://purl.org/dc/dcmitype/"/>
  </ds:schemaRefs>
</ds:datastoreItem>
</file>

<file path=customXml/itemProps4.xml><?xml version="1.0" encoding="utf-8"?>
<ds:datastoreItem xmlns:ds="http://schemas.openxmlformats.org/officeDocument/2006/customXml" ds:itemID="{2B9965F9-0A6D-4E5E-8329-46D1FCCE0E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4962</Words>
  <Characters>28286</Characters>
  <Application>Microsoft Office Word</Application>
  <DocSecurity>0</DocSecurity>
  <Lines>235</Lines>
  <Paragraphs>66</Paragraphs>
  <ScaleCrop>false</ScaleCrop>
  <Company>DOT</Company>
  <LinksUpToDate>false</LinksUpToDate>
  <CharactersWithSpaces>33182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Harrison, James (VOLPE)</dc:creator>
  <cp:lastModifiedBy>Harpold, Tracy (FTA)</cp:lastModifiedBy>
  <cp:revision>2</cp:revision>
  <cp:lastPrinted>2016-02-04T04:13:00Z</cp:lastPrinted>
  <dcterms:created xsi:type="dcterms:W3CDTF">2024-04-11T19:00:00Z</dcterms:created>
  <dcterms:modified xsi:type="dcterms:W3CDTF">2024-04-11T19:00:00Z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0x010100C441A70BE235C642AE3EE2905CBA9AD2</vt:lpwstr>
  </property>
  <property fmtid="{D5CDD505-2E9C-101B-9397-08002B2CF9AE}" pid="3" name="MediaServiceImageTags">
    <vt:lpwstr/>
  </property>
</Properties>
</file>