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71769" w:rsidRPr="009305A0" w:rsidP="001E2BED" w14:paraId="54316990" w14:textId="48ACA719">
      <w:pPr>
        <w:jc w:val="center"/>
        <w:rPr>
          <w:b/>
        </w:rPr>
      </w:pPr>
      <w:r w:rsidRPr="009305A0">
        <w:rPr>
          <w:b/>
        </w:rPr>
        <w:t>HUD</w:t>
      </w:r>
      <w:r w:rsidRPr="009305A0" w:rsidR="007659C8">
        <w:rPr>
          <w:b/>
        </w:rPr>
        <w:t xml:space="preserve"> </w:t>
      </w:r>
      <w:r w:rsidRPr="009305A0">
        <w:rPr>
          <w:b/>
        </w:rPr>
        <w:t>F</w:t>
      </w:r>
      <w:r w:rsidRPr="009305A0" w:rsidR="007659C8">
        <w:rPr>
          <w:b/>
        </w:rPr>
        <w:t>orm</w:t>
      </w:r>
      <w:r w:rsidRPr="009305A0" w:rsidR="00C86175">
        <w:rPr>
          <w:b/>
        </w:rPr>
        <w:t xml:space="preserve"> </w:t>
      </w:r>
      <w:r w:rsidRPr="009305A0">
        <w:rPr>
          <w:b/>
        </w:rPr>
        <w:t>#</w:t>
      </w:r>
      <w:r w:rsidR="0042339D">
        <w:rPr>
          <w:b/>
        </w:rPr>
        <w:t>900</w:t>
      </w:r>
      <w:r w:rsidR="00877C54">
        <w:rPr>
          <w:b/>
        </w:rPr>
        <w:t>1</w:t>
      </w:r>
      <w:r w:rsidRPr="009305A0" w:rsidR="0052685D">
        <w:rPr>
          <w:b/>
        </w:rPr>
        <w:t>-ORCF</w:t>
      </w:r>
      <w:r w:rsidRPr="009305A0">
        <w:rPr>
          <w:b/>
        </w:rPr>
        <w:t xml:space="preserve">, </w:t>
      </w:r>
      <w:r w:rsidR="00C92264">
        <w:rPr>
          <w:b/>
        </w:rPr>
        <w:t>Lender Narrative</w:t>
      </w:r>
      <w:r w:rsidR="0042339D">
        <w:rPr>
          <w:b/>
        </w:rPr>
        <w:t>-</w:t>
      </w:r>
      <w:r w:rsidRPr="009305A0" w:rsidR="007F3027">
        <w:rPr>
          <w:b/>
        </w:rPr>
        <w:t xml:space="preserve"> Section 232</w:t>
      </w:r>
      <w:r w:rsidR="00C92264">
        <w:rPr>
          <w:b/>
        </w:rPr>
        <w:t>/223(a)(7) Refinance</w:t>
      </w:r>
    </w:p>
    <w:p w:rsidR="00425931" w:rsidRPr="009305A0" w:rsidP="001E2BED" w14:paraId="06AB9268" w14:textId="77777777">
      <w:pPr>
        <w:jc w:val="center"/>
        <w:rPr>
          <w:b/>
        </w:rPr>
      </w:pPr>
    </w:p>
    <w:p w:rsidR="00F518E4" w:rsidRPr="009305A0" w:rsidP="001E2BED" w14:paraId="6C4A0965" w14:textId="77777777"/>
    <w:tbl>
      <w:tblPr>
        <w:tblW w:w="95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3960"/>
        <w:gridCol w:w="3960"/>
      </w:tblGrid>
      <w:tr w14:paraId="724AF2F4" w14:textId="77777777" w:rsidTr="00C92B33">
        <w:tblPrEx>
          <w:tblW w:w="95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620" w:type="dxa"/>
          </w:tcPr>
          <w:p w:rsidR="00FA3CD6" w:rsidRPr="009305A0" w:rsidP="001E2BED" w14:paraId="4E11EE94" w14:textId="77777777">
            <w:pPr>
              <w:jc w:val="center"/>
              <w:rPr>
                <w:b/>
              </w:rPr>
            </w:pPr>
            <w:r w:rsidRPr="009305A0">
              <w:rPr>
                <w:b/>
              </w:rPr>
              <w:t>LOCATION</w:t>
            </w:r>
          </w:p>
        </w:tc>
        <w:tc>
          <w:tcPr>
            <w:tcW w:w="3960" w:type="dxa"/>
          </w:tcPr>
          <w:p w:rsidR="00FA3CD6" w:rsidRPr="009305A0" w:rsidP="001E2BED" w14:paraId="20FA8DCB" w14:textId="77777777">
            <w:pPr>
              <w:jc w:val="center"/>
              <w:rPr>
                <w:b/>
              </w:rPr>
            </w:pPr>
            <w:r w:rsidRPr="009305A0">
              <w:rPr>
                <w:b/>
              </w:rPr>
              <w:t>CURRENT TEXT</w:t>
            </w:r>
          </w:p>
        </w:tc>
        <w:tc>
          <w:tcPr>
            <w:tcW w:w="3960" w:type="dxa"/>
          </w:tcPr>
          <w:p w:rsidR="00FA3CD6" w:rsidRPr="009305A0" w:rsidP="001E2BED" w14:paraId="471E590C" w14:textId="77777777">
            <w:pPr>
              <w:jc w:val="center"/>
              <w:rPr>
                <w:b/>
              </w:rPr>
            </w:pPr>
            <w:r w:rsidRPr="009305A0">
              <w:rPr>
                <w:b/>
              </w:rPr>
              <w:t>REVISED TEXT</w:t>
            </w:r>
          </w:p>
        </w:tc>
      </w:tr>
      <w:tr w14:paraId="2A37B87A" w14:textId="77777777" w:rsidTr="00C92B33">
        <w:tblPrEx>
          <w:tblW w:w="9540" w:type="dxa"/>
          <w:tblInd w:w="-455" w:type="dxa"/>
          <w:tblLayout w:type="fixed"/>
          <w:tblLook w:val="01E0"/>
        </w:tblPrEx>
        <w:tc>
          <w:tcPr>
            <w:tcW w:w="1620" w:type="dxa"/>
          </w:tcPr>
          <w:p w:rsidR="00FA3CD6" w:rsidRPr="009305A0" w:rsidP="001E2BED" w14:paraId="50FEF740" w14:textId="77777777">
            <w:r w:rsidRPr="009305A0">
              <w:t>p. 1</w:t>
            </w:r>
          </w:p>
        </w:tc>
        <w:tc>
          <w:tcPr>
            <w:tcW w:w="3960" w:type="dxa"/>
          </w:tcPr>
          <w:p w:rsidR="00FA3CD6" w:rsidRPr="009305A0" w:rsidP="001E2BED" w14:paraId="60604304" w14:textId="7950C1FB">
            <w:r w:rsidRPr="009305A0">
              <w:rPr>
                <w:rFonts w:eastAsia="Arial"/>
                <w:b/>
                <w:color w:val="000000"/>
              </w:rPr>
              <w:t xml:space="preserve">Public reporting burden </w:t>
            </w:r>
            <w:r w:rsidRPr="009305A0">
              <w:rPr>
                <w:rFonts w:eastAsia="Arial"/>
                <w:color w:val="000000"/>
              </w:rPr>
              <w:t xml:space="preserve">for this collection of information is estimated to average </w:t>
            </w:r>
            <w:r w:rsidR="001B697E">
              <w:rPr>
                <w:rFonts w:eastAsia="Arial"/>
                <w:color w:val="000000"/>
              </w:rPr>
              <w:t>22</w:t>
            </w:r>
            <w:r w:rsidRPr="009305A0">
              <w:rPr>
                <w:rFonts w:eastAsia="Arial"/>
                <w:color w:val="000000"/>
              </w:rPr>
              <w:t xml:space="preserve"> hours per response, including the time for reviewing instructions, searching existing data sources, </w:t>
            </w:r>
            <w:r w:rsidRPr="009305A0">
              <w:rPr>
                <w:rFonts w:eastAsia="Arial"/>
                <w:color w:val="000000"/>
              </w:rPr>
              <w:t>gathering</w:t>
            </w:r>
            <w:r w:rsidRPr="009305A0">
              <w:rPr>
                <w:rFonts w:eastAsia="Arial"/>
                <w:color w:val="000000"/>
              </w:rPr>
              <w:t xml:space="preserve"> and maintaining the data needed, and completing and reviewing the collection of information. The agency may not conduct or sponsor, and a person is not required to respond to a collection of information unless that collection displays a valid OMB control number.</w:t>
            </w:r>
          </w:p>
        </w:tc>
        <w:tc>
          <w:tcPr>
            <w:tcW w:w="3960" w:type="dxa"/>
          </w:tcPr>
          <w:p w:rsidR="00FA3CD6" w:rsidRPr="009305A0" w:rsidP="001E2BED" w14:paraId="67F7D874" w14:textId="03E1315F">
            <w:r w:rsidRPr="009305A0">
              <w:rPr>
                <w:b/>
                <w:bCs/>
              </w:rPr>
              <w:t>Public reporting burden</w:t>
            </w:r>
            <w:r w:rsidRPr="009305A0">
              <w:t xml:space="preserve"> for this collection of information is estimated to average </w:t>
            </w:r>
            <w:r w:rsidR="001B697E">
              <w:t>22</w:t>
            </w:r>
            <w:r w:rsidRPr="009305A0">
              <w:t xml:space="preserve"> hours per response, including the time for reviewing instructions, searching existing data sources, </w:t>
            </w:r>
            <w:r w:rsidRPr="009305A0">
              <w:t>gathering</w:t>
            </w:r>
            <w:r w:rsidRPr="009305A0">
              <w:t xml:space="preserve"> and maintaining the data needed, and completing and reviewing the collection of information. The information is being collected to obtain the supportive documentation that must be submitted to HUD for </w:t>
            </w:r>
            <w:r w:rsidRPr="009305A0">
              <w:t>approval, and</w:t>
            </w:r>
            <w:r w:rsidRPr="009305A0">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r w:rsidRPr="009305A0">
              <w:t>in order to</w:t>
            </w:r>
            <w:r w:rsidRPr="009305A0">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p>
        </w:tc>
      </w:tr>
      <w:tr w14:paraId="62AB96C3" w14:textId="77777777" w:rsidTr="00C92B33">
        <w:tblPrEx>
          <w:tblW w:w="9540" w:type="dxa"/>
          <w:tblInd w:w="-455" w:type="dxa"/>
          <w:tblLayout w:type="fixed"/>
          <w:tblLook w:val="01E0"/>
        </w:tblPrEx>
        <w:trPr>
          <w:trHeight w:val="3437"/>
        </w:trPr>
        <w:tc>
          <w:tcPr>
            <w:tcW w:w="1620" w:type="dxa"/>
          </w:tcPr>
          <w:p w:rsidR="00FA3CD6" w:rsidRPr="009305A0" w:rsidP="001E2BED" w14:paraId="36ACEE19" w14:textId="77777777">
            <w:r w:rsidRPr="009305A0">
              <w:t>p.1</w:t>
            </w:r>
          </w:p>
        </w:tc>
        <w:tc>
          <w:tcPr>
            <w:tcW w:w="3960" w:type="dxa"/>
          </w:tcPr>
          <w:p w:rsidR="00FA3CD6" w:rsidRPr="009305A0" w:rsidP="001E2BED" w14:paraId="2336FD64" w14:textId="77777777">
            <w:bookmarkStart w:id="0" w:name="_Hlk85708561"/>
            <w:r w:rsidRPr="009305A0">
              <w:rPr>
                <w:b/>
                <w:bCs/>
              </w:rPr>
              <w:t>Warning:</w:t>
            </w:r>
            <w:r w:rsidRPr="009305A0">
              <w:t xml:space="preserve"> Any person who knowingly presents a false, fictitious, or fraudulent statement or claim in a matter within the jurisdiction of the U.S. Department of Housing and Urban Development is subject to criminal penalties, civil liability, and administrative sanctions.</w:t>
            </w:r>
            <w:bookmarkEnd w:id="0"/>
          </w:p>
        </w:tc>
        <w:tc>
          <w:tcPr>
            <w:tcW w:w="3960" w:type="dxa"/>
          </w:tcPr>
          <w:p w:rsidR="00FA3CD6" w:rsidRPr="009305A0" w:rsidP="001E2BED" w14:paraId="0FA3A3AC" w14:textId="77777777">
            <w:pPr>
              <w:ind w:left="90" w:right="432"/>
              <w:textAlignment w:val="baseline"/>
              <w:rPr>
                <w:rFonts w:eastAsia="Arial"/>
                <w:b/>
                <w:color w:val="000000"/>
              </w:rPr>
            </w:pPr>
            <w:r w:rsidRPr="009305A0">
              <w:rPr>
                <w:rFonts w:eastAsia="Arial"/>
                <w:b/>
                <w:color w:val="000000"/>
              </w:rPr>
              <w:t xml:space="preserve">Warning: </w:t>
            </w:r>
            <w:r w:rsidRPr="009305A0">
              <w:t>Anyone who knowingly submits a false claim or makes a false statement is subject to criminal and/or civil penalties, including confinement for up to 5 years, fines, and civil and administrative penalties. (18 U.S.C. §§ 287, 1001, 1010, 1012; 31 U.S.C. §3729, 3802).</w:t>
            </w:r>
          </w:p>
          <w:p w:rsidR="00FA3CD6" w:rsidRPr="009305A0" w:rsidP="001E2BED" w14:paraId="13CAB5C2" w14:textId="77777777"/>
        </w:tc>
      </w:tr>
      <w:tr w14:paraId="07643A28" w14:textId="77777777" w:rsidTr="00C92B33">
        <w:tblPrEx>
          <w:tblW w:w="9540" w:type="dxa"/>
          <w:tblInd w:w="-455" w:type="dxa"/>
          <w:tblLayout w:type="fixed"/>
          <w:tblLook w:val="01E0"/>
        </w:tblPrEx>
        <w:tc>
          <w:tcPr>
            <w:tcW w:w="1620" w:type="dxa"/>
          </w:tcPr>
          <w:p w:rsidR="00FA3CD6" w:rsidRPr="009305A0" w:rsidP="001E2BED" w14:paraId="6BC39506" w14:textId="1B7A9E6D">
            <w:r w:rsidRPr="009305A0">
              <w:t>p.</w:t>
            </w:r>
            <w:r w:rsidR="00297558">
              <w:t>1</w:t>
            </w:r>
          </w:p>
        </w:tc>
        <w:tc>
          <w:tcPr>
            <w:tcW w:w="3960" w:type="dxa"/>
          </w:tcPr>
          <w:p w:rsidR="00FA3CD6" w:rsidRPr="009305A0" w:rsidP="001E2BED" w14:paraId="4938ED62" w14:textId="438CDF57">
            <w:r w:rsidRPr="00DC5696">
              <w:rPr>
                <w:b/>
                <w:bCs/>
                <w:sz w:val="20"/>
                <w:szCs w:val="20"/>
              </w:rPr>
              <w:t>Privacy Act Notice:</w:t>
            </w:r>
            <w:r w:rsidRPr="00DC5696">
              <w:rPr>
                <w:sz w:val="20"/>
                <w:szCs w:val="20"/>
              </w:rPr>
              <w:t xml:space="preserve">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mandatory to receive the mortgage insurance benefits to be derived from the National Housing Act Section 232 Healthcare Facility Insurance Program.  No confidentiality is assured.</w:t>
            </w:r>
          </w:p>
        </w:tc>
        <w:tc>
          <w:tcPr>
            <w:tcW w:w="3960" w:type="dxa"/>
          </w:tcPr>
          <w:p w:rsidR="00FA3CD6" w:rsidRPr="009305A0" w:rsidP="001E2BED" w14:paraId="27F79927" w14:textId="1E96F501">
            <w:r w:rsidRPr="00803BE0">
              <w:rPr>
                <w:b/>
                <w:bCs/>
                <w:sz w:val="20"/>
                <w:szCs w:val="20"/>
              </w:rPr>
              <w:t>Privacy Act Statement</w:t>
            </w:r>
            <w:r w:rsidRPr="00803BE0">
              <w:rPr>
                <w:sz w:val="20"/>
                <w:szCs w:val="20"/>
              </w:rPr>
              <w:t>: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r>
              <w:rPr>
                <w:sz w:val="20"/>
                <w:szCs w:val="20"/>
              </w:rPr>
              <w:t>.</w:t>
            </w:r>
          </w:p>
          <w:p w:rsidR="00FA3CD6" w:rsidRPr="009305A0" w:rsidP="001E2BED" w14:paraId="60BB2AC2" w14:textId="77777777"/>
        </w:tc>
      </w:tr>
      <w:tr w14:paraId="2CD6FA5F" w14:textId="77777777" w:rsidTr="00C92B33">
        <w:tblPrEx>
          <w:tblW w:w="9540" w:type="dxa"/>
          <w:tblInd w:w="-455" w:type="dxa"/>
          <w:tblLayout w:type="fixed"/>
          <w:tblLook w:val="01E0"/>
        </w:tblPrEx>
        <w:tc>
          <w:tcPr>
            <w:tcW w:w="1620" w:type="dxa"/>
          </w:tcPr>
          <w:p w:rsidR="00890E84" w:rsidP="001E6927" w14:paraId="5DBE5E00" w14:textId="4E2A0FCC">
            <w:pPr>
              <w:tabs>
                <w:tab w:val="left" w:pos="450"/>
                <w:tab w:val="center" w:pos="702"/>
              </w:tabs>
            </w:pPr>
            <w:r>
              <w:t>p. 8-9</w:t>
            </w:r>
          </w:p>
        </w:tc>
        <w:tc>
          <w:tcPr>
            <w:tcW w:w="3960" w:type="dxa"/>
          </w:tcPr>
          <w:p w:rsidR="00890E84" w:rsidP="001E2BED" w14:paraId="6B290229" w14:textId="28FE66B5">
            <w:r>
              <w:t>New section</w:t>
            </w:r>
          </w:p>
        </w:tc>
        <w:tc>
          <w:tcPr>
            <w:tcW w:w="3960" w:type="dxa"/>
          </w:tcPr>
          <w:p w:rsidR="00021F89" w:rsidP="00021F89" w14:paraId="7361A06B" w14:textId="77777777">
            <w:r>
              <w:t>Green MIP for Section 223(a)(7) Projects</w:t>
            </w:r>
          </w:p>
          <w:p w:rsidR="00021F89" w:rsidP="00021F89" w14:paraId="03541E10" w14:textId="77777777">
            <w:r>
              <w:t xml:space="preserve">&lt;&lt;Provide a narrative discussion.  Green MIP Rates are eligible for 223(a)(7) applicants pursuing the Green MIP program and meeting program requirements. The program is also available to 223(a)(7) applicants when the existing mortgage has a Green MIP rate earned not more than 15 years prior to the date of application. In either circumstance, include the name of the existing or new green building certification and level that will be provided/pursued, (e.g., LEED, Silver, Gold, etc.).  Include the Energy Star Score and </w:t>
            </w:r>
            <w:r>
              <w:t>provide the current baseline Energy Use Intensity (</w:t>
            </w:r>
            <w:r>
              <w:t>kBtu</w:t>
            </w:r>
            <w:r>
              <w:t xml:space="preserve">/ft2) as analyzed in the Statement of Energy Performance (SEP)Report. Confirm that the proposed energy and water reductions, the green building certification and the required Energy Star Score will be achieved per ORCFs Green MIP Program Guidance. Energy conservation measures must be designed for the entire project.&gt;&gt;        </w:t>
            </w:r>
          </w:p>
          <w:p w:rsidR="00021F89" w:rsidP="00021F89" w14:paraId="4D120296" w14:textId="77777777">
            <w:r>
              <w:t xml:space="preserve"> </w:t>
            </w:r>
          </w:p>
          <w:p w:rsidR="00021F89" w:rsidP="00021F89" w14:paraId="46FA05DE" w14:textId="77777777">
            <w:r>
              <w:t xml:space="preserve">If the existing mortgage is FHA insured with a Green-MIP rate, and its green building certification is more than 15 years old, then the project must certify to the next level of retrofits/repairs.  </w:t>
            </w:r>
          </w:p>
          <w:p w:rsidR="00021F89" w:rsidP="00021F89" w14:paraId="00BFEA2C" w14:textId="77777777"/>
          <w:p w:rsidR="00021F89" w:rsidP="00021F89" w14:paraId="5D874943" w14:textId="77777777">
            <w:r>
              <w:t>Green MIP Eligibility</w:t>
            </w:r>
          </w:p>
          <w:p w:rsidR="00021F89" w:rsidP="00021F89" w14:paraId="2A1280C9" w14:textId="77777777"/>
          <w:p w:rsidR="00021F89" w:rsidP="00021F89" w14:paraId="22E35E1C" w14:textId="77777777">
            <w:r>
              <w:t>Key Questions                                                                                                        Yes          No</w:t>
            </w:r>
          </w:p>
          <w:p w:rsidR="00021F89" w:rsidP="00021F89" w14:paraId="079E2FC4" w14:textId="77777777">
            <w:r>
              <w:t xml:space="preserve">                                                                                                                             </w:t>
            </w:r>
          </w:p>
          <w:p w:rsidR="00021F89" w:rsidP="00021F89" w14:paraId="0CDE2794" w14:textId="6B63F745">
            <w:r>
              <w:t>1.</w:t>
            </w:r>
            <w:r>
              <w:tab/>
              <w:t xml:space="preserve">For Green MIP projects, did the project Architect or the energy design professional determine that the project will not achieve the selected green building certification, energy and water reductions, and Energy Star Score required for the reduction of the Green MIP rate?    N/A                   </w:t>
            </w:r>
          </w:p>
          <w:p w:rsidR="00021F89" w:rsidP="00021F89" w14:paraId="3EACE6AB" w14:textId="77777777"/>
          <w:p w:rsidR="00021F89" w:rsidP="00021F89" w14:paraId="0A19F4A2" w14:textId="77777777">
            <w:r>
              <w:t>2.</w:t>
            </w:r>
            <w:r>
              <w:tab/>
              <w:t>For Green MIP projects, are the energy conservation measures limited to the area of repairs, alterations, addition and/or a new construction rather than covering the entire project?                                                  N/A</w:t>
            </w:r>
            <w:r>
              <w:tab/>
            </w:r>
          </w:p>
          <w:p w:rsidR="00021F89" w:rsidP="00021F89" w14:paraId="6608D5E7" w14:textId="408B82DF">
            <w:r>
              <w:t>3.</w:t>
            </w:r>
            <w:r>
              <w:tab/>
              <w:t>For Green MIP projects, does the energy design professional lack the relevant experience and qualifications as provided in ORCFs Green MIP Program Guidance?                                                                      N/A</w:t>
            </w:r>
          </w:p>
          <w:p w:rsidR="00021F89" w:rsidP="00021F89" w14:paraId="73AD91F3" w14:textId="4196E820"/>
          <w:p w:rsidR="00021F89" w:rsidP="00021F89" w14:paraId="64C518C0" w14:textId="77777777">
            <w:r>
              <w:t>&lt;&lt;If you answered “yes” to any of the questions above, this facility is not eligible under this program. Note: HUD will not consider changes to participate in the Green MIP program after the issuance of a Firm Commitment. &gt;&gt;</w:t>
            </w:r>
          </w:p>
          <w:p w:rsidR="00890E84" w:rsidP="001E2BED" w14:paraId="1F44C8C5" w14:textId="77777777"/>
        </w:tc>
      </w:tr>
      <w:tr w14:paraId="5778B0FD" w14:textId="77777777" w:rsidTr="00C92B33">
        <w:tblPrEx>
          <w:tblW w:w="9540" w:type="dxa"/>
          <w:tblInd w:w="-455" w:type="dxa"/>
          <w:tblLayout w:type="fixed"/>
          <w:tblLook w:val="01E0"/>
        </w:tblPrEx>
        <w:tc>
          <w:tcPr>
            <w:tcW w:w="1620" w:type="dxa"/>
          </w:tcPr>
          <w:p w:rsidR="00890E84" w:rsidP="001E6927" w14:paraId="45E8225E" w14:textId="21F34FB0">
            <w:pPr>
              <w:tabs>
                <w:tab w:val="left" w:pos="450"/>
                <w:tab w:val="center" w:pos="702"/>
              </w:tabs>
            </w:pPr>
            <w:r>
              <w:t>p. 10</w:t>
            </w:r>
          </w:p>
        </w:tc>
        <w:tc>
          <w:tcPr>
            <w:tcW w:w="3960" w:type="dxa"/>
          </w:tcPr>
          <w:p w:rsidR="00890E84" w:rsidP="001E2BED" w14:paraId="757B4FD4" w14:textId="7926A492">
            <w:r>
              <w:t>New section</w:t>
            </w:r>
          </w:p>
        </w:tc>
        <w:tc>
          <w:tcPr>
            <w:tcW w:w="3960" w:type="dxa"/>
          </w:tcPr>
          <w:p w:rsidR="006F3D72" w:rsidP="006F3D72" w14:paraId="40DB88D8" w14:textId="77777777">
            <w:r>
              <w:t>Green MIP Program:</w:t>
            </w:r>
          </w:p>
          <w:p w:rsidR="006F3D72" w:rsidP="006F3D72" w14:paraId="411D991D" w14:textId="77777777">
            <w:r>
              <w:t xml:space="preserve">&lt;&lt;Project Architect or Professional Engineer (PE) for the Green MIP Program, if Applicable&gt;&gt;       </w:t>
            </w:r>
          </w:p>
          <w:p w:rsidR="006F3D72" w:rsidP="006F3D72" w14:paraId="2787D4CA" w14:textId="77777777">
            <w:r>
              <w:t xml:space="preserve"> &lt;&lt;Brief description of qualifications demonstrating that the energy design professional meets HUDs program requirements.&gt;&gt;       </w:t>
            </w:r>
          </w:p>
          <w:p w:rsidR="006F3D72" w:rsidP="006F3D72" w14:paraId="20FB0866" w14:textId="77777777"/>
          <w:p w:rsidR="00890E84" w:rsidP="006F3D72" w14:paraId="16B2767F" w14:textId="597E01AD">
            <w:r>
              <w:t>•</w:t>
            </w:r>
            <w:r>
              <w:tab/>
              <w:t xml:space="preserve">An energy design professional (Architect or PE) may not serve as both the energy design professional representing the Borrower </w:t>
            </w:r>
            <w:r>
              <w:t>and also</w:t>
            </w:r>
            <w:r>
              <w:t xml:space="preserve"> the green building certification verifier/validator representing the standard-keeper of the green building certification.</w:t>
            </w:r>
          </w:p>
        </w:tc>
      </w:tr>
      <w:tr w14:paraId="154AD2F0" w14:textId="77777777" w:rsidTr="00C92B33">
        <w:tblPrEx>
          <w:tblW w:w="9540" w:type="dxa"/>
          <w:tblInd w:w="-455" w:type="dxa"/>
          <w:tblLayout w:type="fixed"/>
          <w:tblLook w:val="01E0"/>
        </w:tblPrEx>
        <w:tc>
          <w:tcPr>
            <w:tcW w:w="1620" w:type="dxa"/>
          </w:tcPr>
          <w:p w:rsidR="00890E84" w:rsidP="001E6927" w14:paraId="7B5A9667" w14:textId="43D3C31F">
            <w:pPr>
              <w:tabs>
                <w:tab w:val="left" w:pos="450"/>
                <w:tab w:val="center" w:pos="702"/>
              </w:tabs>
            </w:pPr>
            <w:r>
              <w:t>p. 10</w:t>
            </w:r>
          </w:p>
        </w:tc>
        <w:tc>
          <w:tcPr>
            <w:tcW w:w="3960" w:type="dxa"/>
          </w:tcPr>
          <w:p w:rsidR="00890E84" w:rsidP="001E2BED" w14:paraId="5D48E5C0" w14:textId="4D38F324">
            <w:r>
              <w:t>New line</w:t>
            </w:r>
          </w:p>
        </w:tc>
        <w:tc>
          <w:tcPr>
            <w:tcW w:w="3960" w:type="dxa"/>
          </w:tcPr>
          <w:p w:rsidR="00890E84" w:rsidP="001E2BED" w14:paraId="50A2EC29" w14:textId="60D7C182">
            <w:r w:rsidRPr="003D7F41">
              <w:t>1.</w:t>
            </w:r>
            <w:r w:rsidRPr="003D7F41">
              <w:tab/>
              <w:t>Is this a Green MIP project? (If yes, the Needs Asses</w:t>
            </w:r>
            <w:r w:rsidR="00084135">
              <w:t>s</w:t>
            </w:r>
            <w:r w:rsidRPr="003D7F41">
              <w:t xml:space="preserve">or must specify all appliances and heating and air conditioning systems as ENERGY STAR® when replaced in the new PCNA?)  </w:t>
            </w:r>
          </w:p>
        </w:tc>
      </w:tr>
      <w:tr w14:paraId="1AFE6A2A" w14:textId="77777777" w:rsidTr="00C92B33">
        <w:tblPrEx>
          <w:tblW w:w="9540" w:type="dxa"/>
          <w:tblInd w:w="-455" w:type="dxa"/>
          <w:tblLayout w:type="fixed"/>
          <w:tblLook w:val="01E0"/>
        </w:tblPrEx>
        <w:tc>
          <w:tcPr>
            <w:tcW w:w="1620" w:type="dxa"/>
          </w:tcPr>
          <w:p w:rsidR="003C0769" w:rsidRPr="003C0769" w:rsidP="003C0769" w14:paraId="62F4230B" w14:textId="77777777">
            <w:r w:rsidRPr="003C0769">
              <w:t>p.14</w:t>
            </w:r>
          </w:p>
          <w:p w:rsidR="003C0769" w:rsidP="003C0769" w14:paraId="4679B510" w14:textId="77777777">
            <w:pPr>
              <w:tabs>
                <w:tab w:val="left" w:pos="450"/>
                <w:tab w:val="center" w:pos="702"/>
              </w:tabs>
            </w:pPr>
          </w:p>
        </w:tc>
        <w:tc>
          <w:tcPr>
            <w:tcW w:w="3960" w:type="dxa"/>
          </w:tcPr>
          <w:p w:rsidR="003C0769" w:rsidP="003C0769" w14:paraId="4623F4E3" w14:textId="4AF153D5">
            <w:r w:rsidRPr="003C0769">
              <w:t>Handicapped Accessibility</w:t>
            </w:r>
          </w:p>
        </w:tc>
        <w:tc>
          <w:tcPr>
            <w:tcW w:w="3960" w:type="dxa"/>
          </w:tcPr>
          <w:p w:rsidR="003C0769" w:rsidRPr="003D7F41" w:rsidP="003C0769" w14:paraId="6C768CA4" w14:textId="2729EF5E">
            <w:r w:rsidRPr="003C0769">
              <w:t xml:space="preserve">Accessibility for Persons </w:t>
            </w:r>
            <w:r w:rsidRPr="003C0769">
              <w:t>With</w:t>
            </w:r>
            <w:r w:rsidRPr="003C0769">
              <w:t xml:space="preserve"> a Disability</w:t>
            </w:r>
          </w:p>
        </w:tc>
      </w:tr>
      <w:tr w14:paraId="5D2B8354" w14:textId="77777777" w:rsidTr="00C92B33">
        <w:tblPrEx>
          <w:tblW w:w="9540" w:type="dxa"/>
          <w:tblInd w:w="-455" w:type="dxa"/>
          <w:tblLayout w:type="fixed"/>
          <w:tblLook w:val="01E0"/>
        </w:tblPrEx>
        <w:tc>
          <w:tcPr>
            <w:tcW w:w="1620" w:type="dxa"/>
          </w:tcPr>
          <w:p w:rsidR="003C0769" w:rsidP="003C0769" w14:paraId="4B040C09" w14:textId="62F5671B">
            <w:pPr>
              <w:tabs>
                <w:tab w:val="left" w:pos="450"/>
                <w:tab w:val="center" w:pos="702"/>
              </w:tabs>
            </w:pPr>
            <w:r>
              <w:t>p. 15</w:t>
            </w:r>
          </w:p>
        </w:tc>
        <w:tc>
          <w:tcPr>
            <w:tcW w:w="3960" w:type="dxa"/>
          </w:tcPr>
          <w:p w:rsidR="003C0769" w:rsidP="003C0769" w14:paraId="754EA163" w14:textId="4090E7DD">
            <w:r w:rsidRPr="00BD0A5E">
              <w:t xml:space="preserve">NOTE: This section is applicable for Section 223(a)(7) when a term extension is requested or when it has been more than 10 years since the last PCNA inspection.  If not applicable, check the box and move to the ALTA/ACSM Land Survey section.  N/A </w:t>
            </w:r>
          </w:p>
        </w:tc>
        <w:tc>
          <w:tcPr>
            <w:tcW w:w="3960" w:type="dxa"/>
          </w:tcPr>
          <w:p w:rsidR="003C0769" w:rsidP="003C0769" w14:paraId="64925749" w14:textId="699FD031">
            <w:r w:rsidRPr="00C3173F">
              <w:t xml:space="preserve">NOTE: This section is applicable for Section 223(a)(7) when repairs are proposed.  If not applicable, check the box and move to the ALTA/ACSM Land Survey section.  N/A </w:t>
            </w:r>
          </w:p>
        </w:tc>
      </w:tr>
      <w:tr w14:paraId="3B663955" w14:textId="77777777" w:rsidTr="00C92B33">
        <w:tblPrEx>
          <w:tblW w:w="9540" w:type="dxa"/>
          <w:tblInd w:w="-455" w:type="dxa"/>
          <w:tblLayout w:type="fixed"/>
          <w:tblLook w:val="01E0"/>
        </w:tblPrEx>
        <w:tc>
          <w:tcPr>
            <w:tcW w:w="1620" w:type="dxa"/>
          </w:tcPr>
          <w:p w:rsidR="003C0769" w:rsidP="003C0769" w14:paraId="267BD400" w14:textId="631BD641">
            <w:pPr>
              <w:tabs>
                <w:tab w:val="left" w:pos="450"/>
                <w:tab w:val="center" w:pos="702"/>
              </w:tabs>
            </w:pPr>
            <w:r>
              <w:t>p. 15</w:t>
            </w:r>
          </w:p>
        </w:tc>
        <w:tc>
          <w:tcPr>
            <w:tcW w:w="3960" w:type="dxa"/>
          </w:tcPr>
          <w:p w:rsidR="003C0769" w:rsidP="003C0769" w14:paraId="43FE40BA" w14:textId="77777777">
            <w:r>
              <w:t>Date of Inspection:</w:t>
            </w:r>
          </w:p>
          <w:p w:rsidR="003C0769" w:rsidP="003C0769" w14:paraId="0C05F032" w14:textId="5A9A5988">
            <w:r>
              <w:t>Firm:</w:t>
            </w:r>
          </w:p>
          <w:p w:rsidR="003C0769" w:rsidP="003C0769" w14:paraId="5ADC72B9" w14:textId="70E4C3BE">
            <w:r>
              <w:t>Needs Assessor:</w:t>
            </w:r>
          </w:p>
          <w:p w:rsidR="003C0769" w:rsidP="003C0769" w14:paraId="7780DB70" w14:textId="498AB663">
            <w:r>
              <w:t>Units Inspected:</w:t>
            </w:r>
          </w:p>
        </w:tc>
        <w:tc>
          <w:tcPr>
            <w:tcW w:w="3960" w:type="dxa"/>
          </w:tcPr>
          <w:p w:rsidR="003C0769" w:rsidP="003C0769" w14:paraId="1366F764" w14:textId="77777777">
            <w:r>
              <w:t>Date of Inspection:</w:t>
            </w:r>
          </w:p>
          <w:p w:rsidR="003C0769" w:rsidP="003C0769" w14:paraId="702D7AC3" w14:textId="77777777">
            <w:r>
              <w:t>PCNA Firm:</w:t>
            </w:r>
          </w:p>
          <w:p w:rsidR="003C0769" w:rsidP="003C0769" w14:paraId="1BCB76F7" w14:textId="77777777">
            <w:r>
              <w:t>PCNA Needs Assessor:</w:t>
            </w:r>
          </w:p>
          <w:p w:rsidR="003C0769" w:rsidP="003C0769" w14:paraId="679F9966" w14:textId="77777777">
            <w:r>
              <w:t>Units Inspected:</w:t>
            </w:r>
          </w:p>
          <w:p w:rsidR="003C0769" w:rsidP="003C0769" w14:paraId="256F56EB" w14:textId="70CCDCAE">
            <w:r>
              <w:t>Name of Energy Professional:</w:t>
            </w:r>
          </w:p>
        </w:tc>
      </w:tr>
      <w:tr w14:paraId="4C0ED10A" w14:textId="77777777" w:rsidTr="00C92B33">
        <w:tblPrEx>
          <w:tblW w:w="9540" w:type="dxa"/>
          <w:tblInd w:w="-455" w:type="dxa"/>
          <w:tblLayout w:type="fixed"/>
          <w:tblLook w:val="01E0"/>
        </w:tblPrEx>
        <w:tc>
          <w:tcPr>
            <w:tcW w:w="1620" w:type="dxa"/>
          </w:tcPr>
          <w:p w:rsidR="003C0769" w:rsidP="003C0769" w14:paraId="0D54661B" w14:textId="1FA5AE4C">
            <w:pPr>
              <w:tabs>
                <w:tab w:val="left" w:pos="450"/>
                <w:tab w:val="center" w:pos="702"/>
              </w:tabs>
            </w:pPr>
            <w:r>
              <w:t>p. 15</w:t>
            </w:r>
          </w:p>
        </w:tc>
        <w:tc>
          <w:tcPr>
            <w:tcW w:w="3960" w:type="dxa"/>
          </w:tcPr>
          <w:p w:rsidR="003C0769" w:rsidP="003C0769" w14:paraId="79DDD4EC" w14:textId="321C4F42">
            <w:r w:rsidRPr="00612509">
              <w:t xml:space="preserve">The report was prepared in accordance with HUD’s requirements, as provided in applicable guides or handbooks, for a Limited Scope PCNA. </w:t>
            </w:r>
          </w:p>
        </w:tc>
        <w:tc>
          <w:tcPr>
            <w:tcW w:w="3960" w:type="dxa"/>
          </w:tcPr>
          <w:p w:rsidR="003C0769" w:rsidP="003C0769" w14:paraId="4E3E6E00" w14:textId="6EB2DA5C">
            <w:r w:rsidRPr="00612509">
              <w:t>The report was prepared in accordance with HUD’s requirements, as provided in applicable guides or handbooks, for a Limited Scope PCNA. For Green MIP 223(a)(7) transactions, a PCNA must be submitted, and must have been prepared in accordance with the Green MIP Program Guidance.</w:t>
            </w:r>
          </w:p>
        </w:tc>
      </w:tr>
      <w:tr w14:paraId="35B26DBA" w14:textId="77777777" w:rsidTr="00C92B33">
        <w:tblPrEx>
          <w:tblW w:w="9540" w:type="dxa"/>
          <w:tblInd w:w="-455" w:type="dxa"/>
          <w:tblLayout w:type="fixed"/>
          <w:tblLook w:val="01E0"/>
        </w:tblPrEx>
        <w:tc>
          <w:tcPr>
            <w:tcW w:w="1620" w:type="dxa"/>
          </w:tcPr>
          <w:p w:rsidR="003C0769" w:rsidP="003C0769" w14:paraId="6B81B896" w14:textId="3F0A5225">
            <w:pPr>
              <w:tabs>
                <w:tab w:val="left" w:pos="450"/>
                <w:tab w:val="center" w:pos="702"/>
              </w:tabs>
            </w:pPr>
            <w:r>
              <w:t>p. 15</w:t>
            </w:r>
          </w:p>
        </w:tc>
        <w:tc>
          <w:tcPr>
            <w:tcW w:w="3960" w:type="dxa"/>
          </w:tcPr>
          <w:p w:rsidR="003C0769" w:rsidP="003C0769" w14:paraId="2DADA546" w14:textId="77777777">
            <w:r>
              <w:t xml:space="preserve">Critical Repairs </w:t>
            </w:r>
          </w:p>
          <w:p w:rsidR="003C0769" w:rsidP="003C0769" w14:paraId="124D6BA4" w14:textId="6F29CEB0">
            <w:r>
              <w:t>Non-Critical Repairs</w:t>
            </w:r>
          </w:p>
          <w:p w:rsidR="003C0769" w:rsidP="003C0769" w14:paraId="6A93456E" w14:textId="3F2732F1">
            <w:r>
              <w:t>Borrower Proposed Repairs:</w:t>
            </w:r>
          </w:p>
        </w:tc>
        <w:tc>
          <w:tcPr>
            <w:tcW w:w="3960" w:type="dxa"/>
          </w:tcPr>
          <w:p w:rsidR="003C0769" w:rsidP="003C0769" w14:paraId="32C2682F" w14:textId="77777777">
            <w:r>
              <w:t xml:space="preserve">Critical Repairs </w:t>
            </w:r>
          </w:p>
          <w:p w:rsidR="003C0769" w:rsidP="003C0769" w14:paraId="67239695" w14:textId="77777777">
            <w:r>
              <w:t>Non-Critical Repairs</w:t>
            </w:r>
          </w:p>
          <w:p w:rsidR="003C0769" w:rsidP="003C0769" w14:paraId="5B54C538" w14:textId="77777777">
            <w:r>
              <w:t>Green MIP Retrofits</w:t>
            </w:r>
          </w:p>
          <w:p w:rsidR="003C0769" w:rsidP="003C0769" w14:paraId="2EDB7F61" w14:textId="5E1ECF2E">
            <w:r>
              <w:t>Borrower Proposed Repairs:</w:t>
            </w:r>
          </w:p>
        </w:tc>
      </w:tr>
      <w:tr w14:paraId="47E275E9" w14:textId="77777777" w:rsidTr="00C92B33">
        <w:tblPrEx>
          <w:tblW w:w="9540" w:type="dxa"/>
          <w:tblInd w:w="-455" w:type="dxa"/>
          <w:tblLayout w:type="fixed"/>
          <w:tblLook w:val="01E0"/>
        </w:tblPrEx>
        <w:tc>
          <w:tcPr>
            <w:tcW w:w="1620" w:type="dxa"/>
          </w:tcPr>
          <w:p w:rsidR="003C0769" w:rsidP="003C0769" w14:paraId="55AFE900" w14:textId="30F2FC71">
            <w:pPr>
              <w:tabs>
                <w:tab w:val="left" w:pos="450"/>
                <w:tab w:val="center" w:pos="702"/>
              </w:tabs>
            </w:pPr>
            <w:r>
              <w:t>p. 15</w:t>
            </w:r>
          </w:p>
        </w:tc>
        <w:tc>
          <w:tcPr>
            <w:tcW w:w="3960" w:type="dxa"/>
          </w:tcPr>
          <w:p w:rsidR="003C0769" w:rsidP="003C0769" w14:paraId="588A8D13" w14:textId="53D01BBF">
            <w:r>
              <w:t xml:space="preserve">1. Will the non-critical, and/or borrower-proposed repairs be less than 110% of the repair estimate?  </w:t>
            </w:r>
          </w:p>
        </w:tc>
        <w:tc>
          <w:tcPr>
            <w:tcW w:w="3960" w:type="dxa"/>
          </w:tcPr>
          <w:p w:rsidR="003C0769" w:rsidP="003C0769" w14:paraId="5652F734" w14:textId="56D78C48">
            <w:r>
              <w:t xml:space="preserve">1. Will the non-critical, energy conservation retrofits, and/or borrower-proposed repairs be less than 110% of the repair estimate?  </w:t>
            </w:r>
          </w:p>
        </w:tc>
      </w:tr>
      <w:tr w14:paraId="51FF520B" w14:textId="77777777" w:rsidTr="00C92B33">
        <w:tblPrEx>
          <w:tblW w:w="9540" w:type="dxa"/>
          <w:tblInd w:w="-455" w:type="dxa"/>
          <w:tblLayout w:type="fixed"/>
          <w:tblLook w:val="01E0"/>
        </w:tblPrEx>
        <w:tc>
          <w:tcPr>
            <w:tcW w:w="1620" w:type="dxa"/>
          </w:tcPr>
          <w:p w:rsidR="003C0769" w:rsidP="003C0769" w14:paraId="4ADC3BF3" w14:textId="1BDA7483">
            <w:pPr>
              <w:tabs>
                <w:tab w:val="left" w:pos="450"/>
                <w:tab w:val="center" w:pos="702"/>
              </w:tabs>
            </w:pPr>
            <w:r>
              <w:t>p. 16</w:t>
            </w:r>
          </w:p>
        </w:tc>
        <w:tc>
          <w:tcPr>
            <w:tcW w:w="3960" w:type="dxa"/>
          </w:tcPr>
          <w:p w:rsidR="003C0769" w:rsidP="003C0769" w14:paraId="7DF4A926" w14:textId="26B49923">
            <w:r w:rsidRPr="00DB6534">
              <w:t xml:space="preserve">The underwriter has deleted this item as it is not eligible for reimbursement from the replacement reserve account.” &gt;&gt;       </w:t>
            </w:r>
          </w:p>
        </w:tc>
        <w:tc>
          <w:tcPr>
            <w:tcW w:w="3960" w:type="dxa"/>
          </w:tcPr>
          <w:p w:rsidR="003C0769" w:rsidP="003C0769" w14:paraId="2E0A08C6" w14:textId="4940588B">
            <w:r w:rsidRPr="00DB6534">
              <w:t xml:space="preserve">The underwriter has deleted this item as it is not eligible for reimbursement from the replacement reserve account.” Note: the lender or borrower cannot make any modifications to the energy conservation retrofits associated with the Green MIP reduction program. &gt;&gt;       </w:t>
            </w:r>
          </w:p>
        </w:tc>
      </w:tr>
      <w:tr w14:paraId="0021E69C" w14:textId="77777777" w:rsidTr="00C92B33">
        <w:tblPrEx>
          <w:tblW w:w="9540" w:type="dxa"/>
          <w:tblInd w:w="-455" w:type="dxa"/>
          <w:tblLayout w:type="fixed"/>
          <w:tblLook w:val="01E0"/>
        </w:tblPrEx>
        <w:tc>
          <w:tcPr>
            <w:tcW w:w="1620" w:type="dxa"/>
          </w:tcPr>
          <w:p w:rsidR="003C0769" w:rsidP="003C0769" w14:paraId="6D33D9D3" w14:textId="6805DEA7">
            <w:pPr>
              <w:tabs>
                <w:tab w:val="left" w:pos="450"/>
                <w:tab w:val="center" w:pos="702"/>
              </w:tabs>
            </w:pPr>
            <w:r>
              <w:t>p. 17</w:t>
            </w:r>
          </w:p>
        </w:tc>
        <w:tc>
          <w:tcPr>
            <w:tcW w:w="3960" w:type="dxa"/>
          </w:tcPr>
          <w:p w:rsidR="003C0769" w:rsidP="003C0769" w14:paraId="79386384" w14:textId="792D3318">
            <w:r>
              <w:t>New section</w:t>
            </w:r>
          </w:p>
        </w:tc>
        <w:tc>
          <w:tcPr>
            <w:tcW w:w="3960" w:type="dxa"/>
          </w:tcPr>
          <w:p w:rsidR="003C0769" w:rsidP="003C0769" w14:paraId="75F074DA" w14:textId="77777777">
            <w:r>
              <w:t>Additional Non-Critical Repairs, for Green MIP Eligibility:</w:t>
            </w:r>
          </w:p>
          <w:p w:rsidR="003C0769" w:rsidP="003C0769" w14:paraId="24BFBD1E" w14:textId="77777777">
            <w:r>
              <w:t xml:space="preserve">&lt;&lt;Provide </w:t>
            </w:r>
            <w:r>
              <w:t>a brief summary</w:t>
            </w:r>
            <w:r>
              <w:t xml:space="preserve"> of the required non-critical repairs for energy conservation retrofits.  </w:t>
            </w:r>
          </w:p>
          <w:p w:rsidR="003C0769" w:rsidP="003C0769" w14:paraId="6AC6ED5B" w14:textId="77777777">
            <w:r>
              <w:t xml:space="preserve">Example: The energy design professional identified the following non-critical repair items totaling $   </w:t>
            </w:r>
            <w:r>
              <w:t xml:space="preserve">  :</w:t>
            </w:r>
            <w:r>
              <w:t xml:space="preserve"> </w:t>
            </w:r>
          </w:p>
          <w:p w:rsidR="003C0769" w:rsidP="003C0769" w14:paraId="6C8CA482" w14:textId="77777777"/>
          <w:p w:rsidR="003C0769" w:rsidP="003C0769" w14:paraId="6A8FF128" w14:textId="77777777">
            <w:r>
              <w:t>1.</w:t>
            </w:r>
            <w:r>
              <w:tab/>
              <w:t xml:space="preserve">Remove and replace    </w:t>
            </w:r>
            <w:r>
              <w:t xml:space="preserve">  .</w:t>
            </w:r>
            <w:r>
              <w:t xml:space="preserve">  Estimated cost: $   </w:t>
            </w:r>
            <w:r>
              <w:t xml:space="preserve">  .</w:t>
            </w:r>
            <w:r>
              <w:t xml:space="preserve"> </w:t>
            </w:r>
          </w:p>
          <w:p w:rsidR="003C0769" w:rsidP="003C0769" w14:paraId="2F2374F5" w14:textId="77777777">
            <w:r>
              <w:t>2.</w:t>
            </w:r>
            <w:r>
              <w:tab/>
              <w:t xml:space="preserve">Install       in all units.  Estimated Cost: $    </w:t>
            </w:r>
            <w:r>
              <w:t xml:space="preserve">  .</w:t>
            </w:r>
          </w:p>
          <w:p w:rsidR="003C0769" w:rsidP="003C0769" w14:paraId="034EC681" w14:textId="7E4AA448">
            <w:r>
              <w:t xml:space="preserve">     </w:t>
            </w:r>
          </w:p>
        </w:tc>
      </w:tr>
      <w:tr w14:paraId="06237B80" w14:textId="77777777" w:rsidTr="00C92B33">
        <w:tblPrEx>
          <w:tblW w:w="9540" w:type="dxa"/>
          <w:tblInd w:w="-455" w:type="dxa"/>
          <w:tblLayout w:type="fixed"/>
          <w:tblLook w:val="01E0"/>
        </w:tblPrEx>
        <w:tc>
          <w:tcPr>
            <w:tcW w:w="1620" w:type="dxa"/>
          </w:tcPr>
          <w:p w:rsidR="003C0769" w:rsidP="003C0769" w14:paraId="61546628" w14:textId="0A5F1C05">
            <w:pPr>
              <w:tabs>
                <w:tab w:val="left" w:pos="450"/>
                <w:tab w:val="center" w:pos="702"/>
              </w:tabs>
            </w:pPr>
            <w:r>
              <w:t>p. 18</w:t>
            </w:r>
          </w:p>
        </w:tc>
        <w:tc>
          <w:tcPr>
            <w:tcW w:w="3960" w:type="dxa"/>
          </w:tcPr>
          <w:p w:rsidR="003C0769" w:rsidP="003C0769" w14:paraId="7DDFEC83" w14:textId="139B024A">
            <w:r w:rsidRPr="00FB5600">
              <w:t>The description is sufficiently detailed so that an experienced person can perform the work and that an experienced inspector can inspect with minimal additional direction or consultation</w:t>
            </w:r>
          </w:p>
        </w:tc>
        <w:tc>
          <w:tcPr>
            <w:tcW w:w="3960" w:type="dxa"/>
          </w:tcPr>
          <w:p w:rsidR="003C0769" w:rsidP="003C0769" w14:paraId="12815195" w14:textId="10D4CCCA">
            <w:r w:rsidRPr="00FB5600">
              <w:t xml:space="preserve">The description is sufficiently detailed so that an experienced person can perform the work and that an experienced inspector can inspect with minimal additional direction or consultation.  Exhibit C must delineate, separate and apart from any </w:t>
            </w:r>
            <w:r w:rsidRPr="00FB5600">
              <w:t>other repairs, those repairs related to eligibility for energy-related reduced Mortgage Insurance Premium.  Such energy-related repairs must include all repairs identified by the energy design professional.</w:t>
            </w:r>
          </w:p>
        </w:tc>
      </w:tr>
      <w:tr w14:paraId="65F6B80B" w14:textId="77777777" w:rsidTr="00C92B33">
        <w:tblPrEx>
          <w:tblW w:w="9540" w:type="dxa"/>
          <w:tblInd w:w="-455" w:type="dxa"/>
          <w:tblLayout w:type="fixed"/>
          <w:tblLook w:val="01E0"/>
        </w:tblPrEx>
        <w:tc>
          <w:tcPr>
            <w:tcW w:w="1620" w:type="dxa"/>
          </w:tcPr>
          <w:p w:rsidR="003C0769" w:rsidP="003C0769" w14:paraId="31DE4431" w14:textId="2941C3A2">
            <w:pPr>
              <w:tabs>
                <w:tab w:val="left" w:pos="450"/>
                <w:tab w:val="center" w:pos="702"/>
              </w:tabs>
            </w:pPr>
            <w:r>
              <w:t>p. 18</w:t>
            </w:r>
          </w:p>
        </w:tc>
        <w:tc>
          <w:tcPr>
            <w:tcW w:w="3960" w:type="dxa"/>
          </w:tcPr>
          <w:p w:rsidR="003C0769" w:rsidP="003C0769" w14:paraId="36EAC7E5" w14:textId="708DB572">
            <w:r>
              <w:t>New paragraph</w:t>
            </w:r>
          </w:p>
        </w:tc>
        <w:tc>
          <w:tcPr>
            <w:tcW w:w="3960" w:type="dxa"/>
          </w:tcPr>
          <w:p w:rsidR="003C0769" w:rsidP="003C0769" w14:paraId="68036997" w14:textId="2A0D8BAE">
            <w:r w:rsidRPr="00CA69A4">
              <w:t xml:space="preserve">For Green MIP projects, the replacement reserve schedule must specify all appliances and heating and air conditioning systems as ENERGY STAR® when replaced. For lighting, </w:t>
            </w:r>
            <w:r w:rsidRPr="00CA69A4">
              <w:t>electrical</w:t>
            </w:r>
            <w:r w:rsidRPr="00CA69A4">
              <w:t xml:space="preserve"> and mechanical equipment, and building envelope components with no available ENERGY STAR® label, the replacement reserve schedule must specify high performance and/or sustainable replacements.   To meet the ongoing obligations with respect to the Green MIP, if the existing replacement reserve schedule does not specify replacement with ENERGY STAR® label items or high performance and/or sustainable items, as applicable, submit a new PCNA with an updated Reserve for Replacement schedule.</w:t>
            </w:r>
          </w:p>
        </w:tc>
      </w:tr>
      <w:tr w14:paraId="7859D402" w14:textId="77777777" w:rsidTr="00C92B33">
        <w:tblPrEx>
          <w:tblW w:w="9540" w:type="dxa"/>
          <w:tblInd w:w="-455" w:type="dxa"/>
          <w:tblLayout w:type="fixed"/>
          <w:tblLook w:val="01E0"/>
        </w:tblPrEx>
        <w:tc>
          <w:tcPr>
            <w:tcW w:w="1620" w:type="dxa"/>
          </w:tcPr>
          <w:p w:rsidR="003C0769" w:rsidP="003C0769" w14:paraId="025EB7F2" w14:textId="55B900BE">
            <w:pPr>
              <w:tabs>
                <w:tab w:val="left" w:pos="450"/>
                <w:tab w:val="center" w:pos="702"/>
              </w:tabs>
            </w:pPr>
            <w:r>
              <w:t>p. 22</w:t>
            </w:r>
          </w:p>
        </w:tc>
        <w:tc>
          <w:tcPr>
            <w:tcW w:w="3960" w:type="dxa"/>
          </w:tcPr>
          <w:p w:rsidR="003C0769" w:rsidP="003C0769" w14:paraId="06C37564" w14:textId="6BAE278D">
            <w:r w:rsidRPr="003A6FB6">
              <w:t xml:space="preserve">Note that HUD’s definition of routine maintenance may vary from other definitions of routine maintenance.  </w:t>
            </w:r>
          </w:p>
        </w:tc>
        <w:tc>
          <w:tcPr>
            <w:tcW w:w="3960" w:type="dxa"/>
          </w:tcPr>
          <w:p w:rsidR="003C0769" w:rsidP="003C0769" w14:paraId="137B32D5" w14:textId="3FC57E55">
            <w:r w:rsidRPr="003A6FB6">
              <w:t>Note that HUD’s definition of routine maintenance may vary from other definitions of routine maintenance.  Note that this qualification may also apply to energy conservation retrofits required for eligibility under the Green MIP program.</w:t>
            </w:r>
          </w:p>
        </w:tc>
      </w:tr>
      <w:tr w14:paraId="191CA5D9" w14:textId="77777777" w:rsidTr="00C92B33">
        <w:tblPrEx>
          <w:tblW w:w="9540" w:type="dxa"/>
          <w:tblInd w:w="-455" w:type="dxa"/>
          <w:tblLayout w:type="fixed"/>
          <w:tblLook w:val="01E0"/>
        </w:tblPrEx>
        <w:tc>
          <w:tcPr>
            <w:tcW w:w="1620" w:type="dxa"/>
          </w:tcPr>
          <w:p w:rsidR="003C0769" w:rsidP="003C0769" w14:paraId="14A76486" w14:textId="75E5EA9E">
            <w:pPr>
              <w:tabs>
                <w:tab w:val="left" w:pos="450"/>
                <w:tab w:val="center" w:pos="702"/>
              </w:tabs>
            </w:pPr>
            <w:r>
              <w:t>p. 66</w:t>
            </w:r>
          </w:p>
        </w:tc>
        <w:tc>
          <w:tcPr>
            <w:tcW w:w="3960" w:type="dxa"/>
          </w:tcPr>
          <w:p w:rsidR="003C0769" w:rsidP="003C0769" w14:paraId="74C82777" w14:textId="5DBE4254">
            <w:r w:rsidRPr="005E0A25">
              <w:t xml:space="preserve">&lt;&lt;If the proposal includes funding critical, non-critical, or owner-elected repairs, list the repairs, the estimated cost and provide justification.  If none, state “None”&gt;&gt;       </w:t>
            </w:r>
          </w:p>
        </w:tc>
        <w:tc>
          <w:tcPr>
            <w:tcW w:w="3960" w:type="dxa"/>
          </w:tcPr>
          <w:p w:rsidR="003C0769" w:rsidP="003C0769" w14:paraId="3D9F08AD" w14:textId="466C0F6C">
            <w:r w:rsidRPr="005E0A25">
              <w:t xml:space="preserve">&lt;&lt;If the proposal includes funding critical, non-critical, Green MIP retrofits, or owner-elected repairs, list the repairs, the estimated cost and provide justification.  If none, state “None”&gt;&gt;       </w:t>
            </w:r>
          </w:p>
        </w:tc>
      </w:tr>
      <w:tr w14:paraId="1526C812" w14:textId="77777777" w:rsidTr="00C92B33">
        <w:tblPrEx>
          <w:tblW w:w="9540" w:type="dxa"/>
          <w:tblInd w:w="-455" w:type="dxa"/>
          <w:tblLayout w:type="fixed"/>
          <w:tblLook w:val="01E0"/>
        </w:tblPrEx>
        <w:tc>
          <w:tcPr>
            <w:tcW w:w="1620" w:type="dxa"/>
          </w:tcPr>
          <w:p w:rsidR="003C0769" w:rsidP="003C0769" w14:paraId="4AE756B7" w14:textId="3A082C07">
            <w:pPr>
              <w:tabs>
                <w:tab w:val="left" w:pos="450"/>
                <w:tab w:val="center" w:pos="702"/>
              </w:tabs>
            </w:pPr>
            <w:r>
              <w:t>p. 66</w:t>
            </w:r>
          </w:p>
        </w:tc>
        <w:tc>
          <w:tcPr>
            <w:tcW w:w="3960" w:type="dxa"/>
          </w:tcPr>
          <w:p w:rsidR="003C0769" w:rsidP="003C0769" w14:paraId="74808CC7" w14:textId="77777777">
            <w:r>
              <w:t xml:space="preserve">Critical:  </w:t>
            </w:r>
          </w:p>
          <w:p w:rsidR="003C0769" w:rsidP="003C0769" w14:paraId="02A5A73B" w14:textId="77777777">
            <w:r>
              <w:t xml:space="preserve">Non-Critical: </w:t>
            </w:r>
          </w:p>
          <w:p w:rsidR="003C0769" w:rsidP="003C0769" w14:paraId="27F68106" w14:textId="1ED6F1F1">
            <w:r>
              <w:t>Owner-Elected:</w:t>
            </w:r>
          </w:p>
        </w:tc>
        <w:tc>
          <w:tcPr>
            <w:tcW w:w="3960" w:type="dxa"/>
          </w:tcPr>
          <w:p w:rsidR="003C0769" w:rsidP="003C0769" w14:paraId="1B6C7F5E" w14:textId="77777777">
            <w:r>
              <w:t xml:space="preserve">Critical:  </w:t>
            </w:r>
          </w:p>
          <w:p w:rsidR="003C0769" w:rsidP="003C0769" w14:paraId="2C5EF684" w14:textId="77777777">
            <w:r>
              <w:t xml:space="preserve">Non-Critical: </w:t>
            </w:r>
          </w:p>
          <w:p w:rsidR="003C0769" w:rsidP="003C0769" w14:paraId="5223F6BA" w14:textId="77777777">
            <w:r>
              <w:t>Green MIP Retrofits:</w:t>
            </w:r>
          </w:p>
          <w:p w:rsidR="003C0769" w:rsidP="003C0769" w14:paraId="36C09527" w14:textId="48BD1011">
            <w:r>
              <w:t>Owner-Elected:</w:t>
            </w:r>
          </w:p>
        </w:tc>
      </w:tr>
      <w:tr w14:paraId="40E1A558" w14:textId="77777777" w:rsidTr="00C92B33">
        <w:tblPrEx>
          <w:tblW w:w="9540" w:type="dxa"/>
          <w:tblInd w:w="-455" w:type="dxa"/>
          <w:tblLayout w:type="fixed"/>
          <w:tblLook w:val="01E0"/>
        </w:tblPrEx>
        <w:tc>
          <w:tcPr>
            <w:tcW w:w="1620" w:type="dxa"/>
          </w:tcPr>
          <w:p w:rsidR="003C0769" w:rsidRPr="009305A0" w:rsidP="003C0769" w14:paraId="5DBD8A4A" w14:textId="60B5BD40">
            <w:pPr>
              <w:tabs>
                <w:tab w:val="left" w:pos="450"/>
                <w:tab w:val="center" w:pos="702"/>
              </w:tabs>
            </w:pPr>
            <w:r>
              <w:t>p. 32;38;49;60;</w:t>
            </w:r>
          </w:p>
        </w:tc>
        <w:tc>
          <w:tcPr>
            <w:tcW w:w="3960" w:type="dxa"/>
          </w:tcPr>
          <w:p w:rsidR="003C0769" w:rsidRPr="009305A0" w:rsidP="003C0769" w14:paraId="4B6F29E0" w14:textId="3D7C18A0">
            <w:r>
              <w:t>form</w:t>
            </w:r>
          </w:p>
        </w:tc>
        <w:tc>
          <w:tcPr>
            <w:tcW w:w="3960" w:type="dxa"/>
          </w:tcPr>
          <w:p w:rsidR="003C0769" w:rsidP="003C0769" w14:paraId="02A64CEC" w14:textId="10EE20C6">
            <w:r>
              <w:t>Form</w:t>
            </w:r>
          </w:p>
        </w:tc>
      </w:tr>
    </w:tbl>
    <w:p w:rsidR="007314E6" w:rsidRPr="009305A0" w:rsidP="001E2BED" w14:paraId="1BCB1EDE" w14:textId="33B1D8E7">
      <w:pPr>
        <w:ind w:left="-1170"/>
      </w:pP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69"/>
    <w:rsid w:val="00000B63"/>
    <w:rsid w:val="00000F97"/>
    <w:rsid w:val="00002685"/>
    <w:rsid w:val="00003A11"/>
    <w:rsid w:val="00004AA6"/>
    <w:rsid w:val="00005992"/>
    <w:rsid w:val="000062D3"/>
    <w:rsid w:val="00006D86"/>
    <w:rsid w:val="00007087"/>
    <w:rsid w:val="00010818"/>
    <w:rsid w:val="00010C03"/>
    <w:rsid w:val="00011078"/>
    <w:rsid w:val="00012B92"/>
    <w:rsid w:val="00014B51"/>
    <w:rsid w:val="0001729E"/>
    <w:rsid w:val="00021F89"/>
    <w:rsid w:val="00022C48"/>
    <w:rsid w:val="00023A9A"/>
    <w:rsid w:val="00024058"/>
    <w:rsid w:val="00024EA4"/>
    <w:rsid w:val="000254B5"/>
    <w:rsid w:val="00031B85"/>
    <w:rsid w:val="00031B94"/>
    <w:rsid w:val="00032ECA"/>
    <w:rsid w:val="000359D5"/>
    <w:rsid w:val="0004296C"/>
    <w:rsid w:val="0004507A"/>
    <w:rsid w:val="000469FE"/>
    <w:rsid w:val="00050E5B"/>
    <w:rsid w:val="000538A0"/>
    <w:rsid w:val="0006076C"/>
    <w:rsid w:val="00062551"/>
    <w:rsid w:val="00064D2D"/>
    <w:rsid w:val="00065A7A"/>
    <w:rsid w:val="000665EA"/>
    <w:rsid w:val="000670A6"/>
    <w:rsid w:val="00071479"/>
    <w:rsid w:val="00074568"/>
    <w:rsid w:val="00084135"/>
    <w:rsid w:val="00085A14"/>
    <w:rsid w:val="00085B21"/>
    <w:rsid w:val="00087C8A"/>
    <w:rsid w:val="00093192"/>
    <w:rsid w:val="00095505"/>
    <w:rsid w:val="0009649A"/>
    <w:rsid w:val="000978D0"/>
    <w:rsid w:val="000A133E"/>
    <w:rsid w:val="000A33A4"/>
    <w:rsid w:val="000A3EB0"/>
    <w:rsid w:val="000A49FE"/>
    <w:rsid w:val="000A7094"/>
    <w:rsid w:val="000B018C"/>
    <w:rsid w:val="000B178D"/>
    <w:rsid w:val="000B6B6F"/>
    <w:rsid w:val="000C4E98"/>
    <w:rsid w:val="000C50D0"/>
    <w:rsid w:val="000C6B2E"/>
    <w:rsid w:val="000D0D18"/>
    <w:rsid w:val="000D2F31"/>
    <w:rsid w:val="000D3707"/>
    <w:rsid w:val="000D61B7"/>
    <w:rsid w:val="000E1044"/>
    <w:rsid w:val="000E104B"/>
    <w:rsid w:val="000E160E"/>
    <w:rsid w:val="000E361A"/>
    <w:rsid w:val="000E4092"/>
    <w:rsid w:val="000E4FF5"/>
    <w:rsid w:val="000E50F7"/>
    <w:rsid w:val="000E7052"/>
    <w:rsid w:val="000F23DE"/>
    <w:rsid w:val="000F455F"/>
    <w:rsid w:val="000F497F"/>
    <w:rsid w:val="000F6C1C"/>
    <w:rsid w:val="001029E7"/>
    <w:rsid w:val="00103379"/>
    <w:rsid w:val="001033E7"/>
    <w:rsid w:val="00103A0B"/>
    <w:rsid w:val="00107115"/>
    <w:rsid w:val="00107B21"/>
    <w:rsid w:val="00111D9D"/>
    <w:rsid w:val="00114D18"/>
    <w:rsid w:val="001161C1"/>
    <w:rsid w:val="0011709F"/>
    <w:rsid w:val="00120C34"/>
    <w:rsid w:val="001254D0"/>
    <w:rsid w:val="00125FF8"/>
    <w:rsid w:val="0013158F"/>
    <w:rsid w:val="00131B6F"/>
    <w:rsid w:val="00134CD0"/>
    <w:rsid w:val="001411A2"/>
    <w:rsid w:val="00142366"/>
    <w:rsid w:val="0014270A"/>
    <w:rsid w:val="001443D4"/>
    <w:rsid w:val="0014573B"/>
    <w:rsid w:val="001468B0"/>
    <w:rsid w:val="00150A0A"/>
    <w:rsid w:val="001522B8"/>
    <w:rsid w:val="001545EF"/>
    <w:rsid w:val="00154FB5"/>
    <w:rsid w:val="001559E3"/>
    <w:rsid w:val="00165659"/>
    <w:rsid w:val="00167ED9"/>
    <w:rsid w:val="0017055C"/>
    <w:rsid w:val="00170D2D"/>
    <w:rsid w:val="00171F79"/>
    <w:rsid w:val="00174478"/>
    <w:rsid w:val="00183845"/>
    <w:rsid w:val="00183F7E"/>
    <w:rsid w:val="0018721A"/>
    <w:rsid w:val="0018799D"/>
    <w:rsid w:val="001910F8"/>
    <w:rsid w:val="001932A1"/>
    <w:rsid w:val="00194254"/>
    <w:rsid w:val="00194FBA"/>
    <w:rsid w:val="001A06A3"/>
    <w:rsid w:val="001A1FBD"/>
    <w:rsid w:val="001A3372"/>
    <w:rsid w:val="001A40EC"/>
    <w:rsid w:val="001A468F"/>
    <w:rsid w:val="001A4815"/>
    <w:rsid w:val="001A4F82"/>
    <w:rsid w:val="001B2F21"/>
    <w:rsid w:val="001B697E"/>
    <w:rsid w:val="001B717A"/>
    <w:rsid w:val="001C0BA3"/>
    <w:rsid w:val="001C0EFC"/>
    <w:rsid w:val="001C3CAC"/>
    <w:rsid w:val="001C530B"/>
    <w:rsid w:val="001C5AC2"/>
    <w:rsid w:val="001C7EFB"/>
    <w:rsid w:val="001D20D5"/>
    <w:rsid w:val="001D28E0"/>
    <w:rsid w:val="001D64B7"/>
    <w:rsid w:val="001E08A3"/>
    <w:rsid w:val="001E2BED"/>
    <w:rsid w:val="001E4B2C"/>
    <w:rsid w:val="001E4EDE"/>
    <w:rsid w:val="001E4F84"/>
    <w:rsid w:val="001E5151"/>
    <w:rsid w:val="001E5C1A"/>
    <w:rsid w:val="001E6927"/>
    <w:rsid w:val="001E6AD8"/>
    <w:rsid w:val="001F1FBC"/>
    <w:rsid w:val="001F36FD"/>
    <w:rsid w:val="001F4364"/>
    <w:rsid w:val="001F673E"/>
    <w:rsid w:val="002004BE"/>
    <w:rsid w:val="00203FA3"/>
    <w:rsid w:val="00204013"/>
    <w:rsid w:val="0020498A"/>
    <w:rsid w:val="00205441"/>
    <w:rsid w:val="00207289"/>
    <w:rsid w:val="002102C6"/>
    <w:rsid w:val="00210788"/>
    <w:rsid w:val="00214499"/>
    <w:rsid w:val="00214A70"/>
    <w:rsid w:val="00216347"/>
    <w:rsid w:val="002233A2"/>
    <w:rsid w:val="0022567F"/>
    <w:rsid w:val="002262B0"/>
    <w:rsid w:val="0023431F"/>
    <w:rsid w:val="00234E8D"/>
    <w:rsid w:val="00235592"/>
    <w:rsid w:val="00241F50"/>
    <w:rsid w:val="002422AE"/>
    <w:rsid w:val="00246762"/>
    <w:rsid w:val="00246775"/>
    <w:rsid w:val="00247FA3"/>
    <w:rsid w:val="00254859"/>
    <w:rsid w:val="0025702B"/>
    <w:rsid w:val="002637DC"/>
    <w:rsid w:val="00263A36"/>
    <w:rsid w:val="00263D79"/>
    <w:rsid w:val="00264F78"/>
    <w:rsid w:val="00265011"/>
    <w:rsid w:val="002662AA"/>
    <w:rsid w:val="00267489"/>
    <w:rsid w:val="0027149E"/>
    <w:rsid w:val="002731A2"/>
    <w:rsid w:val="00274C0F"/>
    <w:rsid w:val="0027731A"/>
    <w:rsid w:val="00283154"/>
    <w:rsid w:val="0028643E"/>
    <w:rsid w:val="0028780F"/>
    <w:rsid w:val="0029109A"/>
    <w:rsid w:val="00294515"/>
    <w:rsid w:val="00295116"/>
    <w:rsid w:val="00295BED"/>
    <w:rsid w:val="00297558"/>
    <w:rsid w:val="002A0F6B"/>
    <w:rsid w:val="002A4E8C"/>
    <w:rsid w:val="002A5589"/>
    <w:rsid w:val="002A698C"/>
    <w:rsid w:val="002A6E88"/>
    <w:rsid w:val="002B1798"/>
    <w:rsid w:val="002B184B"/>
    <w:rsid w:val="002B32B4"/>
    <w:rsid w:val="002B3390"/>
    <w:rsid w:val="002B681E"/>
    <w:rsid w:val="002C1CA3"/>
    <w:rsid w:val="002C2072"/>
    <w:rsid w:val="002C53ED"/>
    <w:rsid w:val="002C6A74"/>
    <w:rsid w:val="002D3A49"/>
    <w:rsid w:val="002D4DFE"/>
    <w:rsid w:val="002D61F1"/>
    <w:rsid w:val="002D7FA1"/>
    <w:rsid w:val="002E0E40"/>
    <w:rsid w:val="002E4EF2"/>
    <w:rsid w:val="002F00A9"/>
    <w:rsid w:val="002F149E"/>
    <w:rsid w:val="002F2785"/>
    <w:rsid w:val="002F2ADD"/>
    <w:rsid w:val="002F5E42"/>
    <w:rsid w:val="002F673C"/>
    <w:rsid w:val="002F70A8"/>
    <w:rsid w:val="002F782F"/>
    <w:rsid w:val="002F79D4"/>
    <w:rsid w:val="002F7CC4"/>
    <w:rsid w:val="00300E2E"/>
    <w:rsid w:val="00301264"/>
    <w:rsid w:val="00301BB5"/>
    <w:rsid w:val="00303BEE"/>
    <w:rsid w:val="00304E02"/>
    <w:rsid w:val="00307DBF"/>
    <w:rsid w:val="0031514C"/>
    <w:rsid w:val="0031667B"/>
    <w:rsid w:val="00317A28"/>
    <w:rsid w:val="00335D5E"/>
    <w:rsid w:val="00336F84"/>
    <w:rsid w:val="0033759E"/>
    <w:rsid w:val="00337D32"/>
    <w:rsid w:val="0034083A"/>
    <w:rsid w:val="00341B1D"/>
    <w:rsid w:val="003453EC"/>
    <w:rsid w:val="00347E38"/>
    <w:rsid w:val="0035252C"/>
    <w:rsid w:val="00352D44"/>
    <w:rsid w:val="00355FFE"/>
    <w:rsid w:val="00356357"/>
    <w:rsid w:val="0035640F"/>
    <w:rsid w:val="00360BA0"/>
    <w:rsid w:val="00360D5B"/>
    <w:rsid w:val="00363CF2"/>
    <w:rsid w:val="00366186"/>
    <w:rsid w:val="0036619F"/>
    <w:rsid w:val="00366434"/>
    <w:rsid w:val="00374D09"/>
    <w:rsid w:val="003815C1"/>
    <w:rsid w:val="003817E9"/>
    <w:rsid w:val="003829F0"/>
    <w:rsid w:val="00383A78"/>
    <w:rsid w:val="00384989"/>
    <w:rsid w:val="00385B6B"/>
    <w:rsid w:val="003866D7"/>
    <w:rsid w:val="00386BE7"/>
    <w:rsid w:val="003914EE"/>
    <w:rsid w:val="003940BF"/>
    <w:rsid w:val="0039645E"/>
    <w:rsid w:val="00397132"/>
    <w:rsid w:val="003A4394"/>
    <w:rsid w:val="003A568C"/>
    <w:rsid w:val="003A6FB6"/>
    <w:rsid w:val="003A7C35"/>
    <w:rsid w:val="003B1263"/>
    <w:rsid w:val="003B2DA4"/>
    <w:rsid w:val="003B59D6"/>
    <w:rsid w:val="003B5B10"/>
    <w:rsid w:val="003B765C"/>
    <w:rsid w:val="003B7A9B"/>
    <w:rsid w:val="003C006B"/>
    <w:rsid w:val="003C0769"/>
    <w:rsid w:val="003C0A68"/>
    <w:rsid w:val="003C0E54"/>
    <w:rsid w:val="003C2034"/>
    <w:rsid w:val="003C6076"/>
    <w:rsid w:val="003C6C10"/>
    <w:rsid w:val="003C7AA9"/>
    <w:rsid w:val="003D120A"/>
    <w:rsid w:val="003D5CC1"/>
    <w:rsid w:val="003D5F98"/>
    <w:rsid w:val="003D72C2"/>
    <w:rsid w:val="003D7F41"/>
    <w:rsid w:val="003E3188"/>
    <w:rsid w:val="003E5285"/>
    <w:rsid w:val="003E5483"/>
    <w:rsid w:val="003F2FB1"/>
    <w:rsid w:val="003F304B"/>
    <w:rsid w:val="003F36EC"/>
    <w:rsid w:val="003F4CC7"/>
    <w:rsid w:val="003F50D5"/>
    <w:rsid w:val="00405E73"/>
    <w:rsid w:val="004067A5"/>
    <w:rsid w:val="00407B87"/>
    <w:rsid w:val="00412203"/>
    <w:rsid w:val="00417317"/>
    <w:rsid w:val="00417AC6"/>
    <w:rsid w:val="0042339D"/>
    <w:rsid w:val="00424DD3"/>
    <w:rsid w:val="00425931"/>
    <w:rsid w:val="004279C3"/>
    <w:rsid w:val="004302F7"/>
    <w:rsid w:val="00431848"/>
    <w:rsid w:val="004328A7"/>
    <w:rsid w:val="00432B91"/>
    <w:rsid w:val="004376B1"/>
    <w:rsid w:val="0044071F"/>
    <w:rsid w:val="00440D93"/>
    <w:rsid w:val="00441D78"/>
    <w:rsid w:val="00445697"/>
    <w:rsid w:val="00445E6B"/>
    <w:rsid w:val="00450AA8"/>
    <w:rsid w:val="0045243F"/>
    <w:rsid w:val="00453AEE"/>
    <w:rsid w:val="00455D2D"/>
    <w:rsid w:val="00457941"/>
    <w:rsid w:val="00460FF4"/>
    <w:rsid w:val="00461055"/>
    <w:rsid w:val="004642B8"/>
    <w:rsid w:val="00465B90"/>
    <w:rsid w:val="00465DAB"/>
    <w:rsid w:val="004679C4"/>
    <w:rsid w:val="004721C4"/>
    <w:rsid w:val="00477196"/>
    <w:rsid w:val="00477D51"/>
    <w:rsid w:val="00481152"/>
    <w:rsid w:val="004819F7"/>
    <w:rsid w:val="004838EC"/>
    <w:rsid w:val="00483B6F"/>
    <w:rsid w:val="00486042"/>
    <w:rsid w:val="00496FDE"/>
    <w:rsid w:val="004974E5"/>
    <w:rsid w:val="004A0692"/>
    <w:rsid w:val="004A0F22"/>
    <w:rsid w:val="004A0FA9"/>
    <w:rsid w:val="004A267D"/>
    <w:rsid w:val="004A2DEE"/>
    <w:rsid w:val="004A38B3"/>
    <w:rsid w:val="004A4726"/>
    <w:rsid w:val="004A60EE"/>
    <w:rsid w:val="004A6F05"/>
    <w:rsid w:val="004B66A5"/>
    <w:rsid w:val="004B6FB6"/>
    <w:rsid w:val="004C1EB6"/>
    <w:rsid w:val="004C36E9"/>
    <w:rsid w:val="004C3EE8"/>
    <w:rsid w:val="004C5324"/>
    <w:rsid w:val="004C6DBF"/>
    <w:rsid w:val="004D01AA"/>
    <w:rsid w:val="004D5B83"/>
    <w:rsid w:val="004D6400"/>
    <w:rsid w:val="004D6F04"/>
    <w:rsid w:val="004E3672"/>
    <w:rsid w:val="004E48E4"/>
    <w:rsid w:val="004E5E24"/>
    <w:rsid w:val="004F0FBC"/>
    <w:rsid w:val="004F3EB2"/>
    <w:rsid w:val="004F47F3"/>
    <w:rsid w:val="004F6F93"/>
    <w:rsid w:val="00500009"/>
    <w:rsid w:val="005013C8"/>
    <w:rsid w:val="005032FB"/>
    <w:rsid w:val="00507B3A"/>
    <w:rsid w:val="00513013"/>
    <w:rsid w:val="00517B72"/>
    <w:rsid w:val="0052023D"/>
    <w:rsid w:val="00520BF5"/>
    <w:rsid w:val="00521C40"/>
    <w:rsid w:val="005222D7"/>
    <w:rsid w:val="00522C30"/>
    <w:rsid w:val="00525386"/>
    <w:rsid w:val="005263DB"/>
    <w:rsid w:val="0052685D"/>
    <w:rsid w:val="005304BA"/>
    <w:rsid w:val="00533B54"/>
    <w:rsid w:val="00536F53"/>
    <w:rsid w:val="00540BFA"/>
    <w:rsid w:val="0054207E"/>
    <w:rsid w:val="005435DF"/>
    <w:rsid w:val="005439E9"/>
    <w:rsid w:val="00545533"/>
    <w:rsid w:val="00547BE7"/>
    <w:rsid w:val="005501EA"/>
    <w:rsid w:val="005505F0"/>
    <w:rsid w:val="00553318"/>
    <w:rsid w:val="00553650"/>
    <w:rsid w:val="00553A39"/>
    <w:rsid w:val="005553AB"/>
    <w:rsid w:val="00557D6E"/>
    <w:rsid w:val="00560B7D"/>
    <w:rsid w:val="00561547"/>
    <w:rsid w:val="00562FCD"/>
    <w:rsid w:val="0056459E"/>
    <w:rsid w:val="00565075"/>
    <w:rsid w:val="00565382"/>
    <w:rsid w:val="005655BB"/>
    <w:rsid w:val="0056706B"/>
    <w:rsid w:val="00567FC6"/>
    <w:rsid w:val="00571E6C"/>
    <w:rsid w:val="00577685"/>
    <w:rsid w:val="00580D08"/>
    <w:rsid w:val="0058196C"/>
    <w:rsid w:val="00581F2B"/>
    <w:rsid w:val="00582021"/>
    <w:rsid w:val="00582A23"/>
    <w:rsid w:val="00583FCA"/>
    <w:rsid w:val="00585D1D"/>
    <w:rsid w:val="005868A6"/>
    <w:rsid w:val="00593528"/>
    <w:rsid w:val="0059612A"/>
    <w:rsid w:val="005966B7"/>
    <w:rsid w:val="00596E67"/>
    <w:rsid w:val="005978F2"/>
    <w:rsid w:val="005A134B"/>
    <w:rsid w:val="005A1742"/>
    <w:rsid w:val="005A3427"/>
    <w:rsid w:val="005A3FDF"/>
    <w:rsid w:val="005A50A5"/>
    <w:rsid w:val="005A53B2"/>
    <w:rsid w:val="005A6986"/>
    <w:rsid w:val="005B1A7E"/>
    <w:rsid w:val="005B42E9"/>
    <w:rsid w:val="005B4DC5"/>
    <w:rsid w:val="005B7CBF"/>
    <w:rsid w:val="005B7D34"/>
    <w:rsid w:val="005C0B94"/>
    <w:rsid w:val="005C10AD"/>
    <w:rsid w:val="005C3890"/>
    <w:rsid w:val="005C42A6"/>
    <w:rsid w:val="005C4382"/>
    <w:rsid w:val="005C527B"/>
    <w:rsid w:val="005D2935"/>
    <w:rsid w:val="005D511B"/>
    <w:rsid w:val="005D541F"/>
    <w:rsid w:val="005D716C"/>
    <w:rsid w:val="005E0190"/>
    <w:rsid w:val="005E0777"/>
    <w:rsid w:val="005E0A25"/>
    <w:rsid w:val="005E21C7"/>
    <w:rsid w:val="005E7CFD"/>
    <w:rsid w:val="005F0793"/>
    <w:rsid w:val="005F08B9"/>
    <w:rsid w:val="005F0C25"/>
    <w:rsid w:val="005F1D01"/>
    <w:rsid w:val="005F23B8"/>
    <w:rsid w:val="005F2E4F"/>
    <w:rsid w:val="006000A1"/>
    <w:rsid w:val="0060614A"/>
    <w:rsid w:val="006076DA"/>
    <w:rsid w:val="00611132"/>
    <w:rsid w:val="00612509"/>
    <w:rsid w:val="00614E6A"/>
    <w:rsid w:val="00615F20"/>
    <w:rsid w:val="006165D8"/>
    <w:rsid w:val="00617B94"/>
    <w:rsid w:val="006210D3"/>
    <w:rsid w:val="006213E4"/>
    <w:rsid w:val="006233D1"/>
    <w:rsid w:val="00625820"/>
    <w:rsid w:val="0062709F"/>
    <w:rsid w:val="006274FA"/>
    <w:rsid w:val="00631A59"/>
    <w:rsid w:val="0063320E"/>
    <w:rsid w:val="0063344A"/>
    <w:rsid w:val="00633BC8"/>
    <w:rsid w:val="00633D05"/>
    <w:rsid w:val="00635346"/>
    <w:rsid w:val="00635DC7"/>
    <w:rsid w:val="006422C1"/>
    <w:rsid w:val="00642FA6"/>
    <w:rsid w:val="00643679"/>
    <w:rsid w:val="006440E9"/>
    <w:rsid w:val="00644F76"/>
    <w:rsid w:val="0064616F"/>
    <w:rsid w:val="0064776F"/>
    <w:rsid w:val="0065129C"/>
    <w:rsid w:val="00652B75"/>
    <w:rsid w:val="00655E80"/>
    <w:rsid w:val="006560AA"/>
    <w:rsid w:val="006613B5"/>
    <w:rsid w:val="0066150C"/>
    <w:rsid w:val="00662063"/>
    <w:rsid w:val="006702F4"/>
    <w:rsid w:val="00670A25"/>
    <w:rsid w:val="00670F6A"/>
    <w:rsid w:val="00672295"/>
    <w:rsid w:val="00673113"/>
    <w:rsid w:val="00676FA7"/>
    <w:rsid w:val="006776CC"/>
    <w:rsid w:val="00677B2A"/>
    <w:rsid w:val="00681308"/>
    <w:rsid w:val="0068555F"/>
    <w:rsid w:val="00685BBD"/>
    <w:rsid w:val="00690296"/>
    <w:rsid w:val="00690FDB"/>
    <w:rsid w:val="00691E91"/>
    <w:rsid w:val="006A1215"/>
    <w:rsid w:val="006A1554"/>
    <w:rsid w:val="006A1F29"/>
    <w:rsid w:val="006A34DD"/>
    <w:rsid w:val="006A3680"/>
    <w:rsid w:val="006A53CF"/>
    <w:rsid w:val="006A70AC"/>
    <w:rsid w:val="006B1105"/>
    <w:rsid w:val="006B1DA3"/>
    <w:rsid w:val="006B4034"/>
    <w:rsid w:val="006B63D4"/>
    <w:rsid w:val="006B6EAE"/>
    <w:rsid w:val="006B75C8"/>
    <w:rsid w:val="006C2694"/>
    <w:rsid w:val="006C4861"/>
    <w:rsid w:val="006C4ED9"/>
    <w:rsid w:val="006D10D6"/>
    <w:rsid w:val="006D1A68"/>
    <w:rsid w:val="006D468C"/>
    <w:rsid w:val="006D4C4D"/>
    <w:rsid w:val="006D7624"/>
    <w:rsid w:val="006E0805"/>
    <w:rsid w:val="006E23BD"/>
    <w:rsid w:val="006E2CC9"/>
    <w:rsid w:val="006E38A4"/>
    <w:rsid w:val="006E54FD"/>
    <w:rsid w:val="006E5D29"/>
    <w:rsid w:val="006F203F"/>
    <w:rsid w:val="006F2C04"/>
    <w:rsid w:val="006F2D9B"/>
    <w:rsid w:val="006F3D72"/>
    <w:rsid w:val="006F428D"/>
    <w:rsid w:val="006F4580"/>
    <w:rsid w:val="006F4C3F"/>
    <w:rsid w:val="0070361D"/>
    <w:rsid w:val="00704996"/>
    <w:rsid w:val="00705842"/>
    <w:rsid w:val="00705AB3"/>
    <w:rsid w:val="00705D62"/>
    <w:rsid w:val="00707AC7"/>
    <w:rsid w:val="00707BFF"/>
    <w:rsid w:val="00710781"/>
    <w:rsid w:val="0071452B"/>
    <w:rsid w:val="0071718C"/>
    <w:rsid w:val="00720CC8"/>
    <w:rsid w:val="007229A8"/>
    <w:rsid w:val="007230F4"/>
    <w:rsid w:val="0072472B"/>
    <w:rsid w:val="007268A0"/>
    <w:rsid w:val="00727073"/>
    <w:rsid w:val="0073008F"/>
    <w:rsid w:val="007307A9"/>
    <w:rsid w:val="00730E4B"/>
    <w:rsid w:val="007311F7"/>
    <w:rsid w:val="007314E6"/>
    <w:rsid w:val="00731F38"/>
    <w:rsid w:val="00736036"/>
    <w:rsid w:val="00737157"/>
    <w:rsid w:val="007411DE"/>
    <w:rsid w:val="007447DE"/>
    <w:rsid w:val="00751C84"/>
    <w:rsid w:val="00751F4B"/>
    <w:rsid w:val="00753785"/>
    <w:rsid w:val="007569E7"/>
    <w:rsid w:val="00756F59"/>
    <w:rsid w:val="00760073"/>
    <w:rsid w:val="00761FCC"/>
    <w:rsid w:val="007646D1"/>
    <w:rsid w:val="007659C8"/>
    <w:rsid w:val="00765A1E"/>
    <w:rsid w:val="00765E89"/>
    <w:rsid w:val="007719C2"/>
    <w:rsid w:val="007722D3"/>
    <w:rsid w:val="007723A8"/>
    <w:rsid w:val="00774336"/>
    <w:rsid w:val="00775597"/>
    <w:rsid w:val="0077591B"/>
    <w:rsid w:val="00775C80"/>
    <w:rsid w:val="007766E6"/>
    <w:rsid w:val="00777028"/>
    <w:rsid w:val="00777B25"/>
    <w:rsid w:val="00780397"/>
    <w:rsid w:val="00783645"/>
    <w:rsid w:val="0079134F"/>
    <w:rsid w:val="00792C90"/>
    <w:rsid w:val="0079759F"/>
    <w:rsid w:val="00797DD5"/>
    <w:rsid w:val="007A0604"/>
    <w:rsid w:val="007A17C6"/>
    <w:rsid w:val="007A5C9F"/>
    <w:rsid w:val="007A65E7"/>
    <w:rsid w:val="007A6870"/>
    <w:rsid w:val="007B0849"/>
    <w:rsid w:val="007B3256"/>
    <w:rsid w:val="007B765F"/>
    <w:rsid w:val="007C0B4B"/>
    <w:rsid w:val="007C3607"/>
    <w:rsid w:val="007C5F74"/>
    <w:rsid w:val="007D077E"/>
    <w:rsid w:val="007D14E1"/>
    <w:rsid w:val="007D7D77"/>
    <w:rsid w:val="007E1563"/>
    <w:rsid w:val="007E1E93"/>
    <w:rsid w:val="007E2E12"/>
    <w:rsid w:val="007E3AEE"/>
    <w:rsid w:val="007E3DB8"/>
    <w:rsid w:val="007E45C8"/>
    <w:rsid w:val="007E7467"/>
    <w:rsid w:val="007E7E91"/>
    <w:rsid w:val="007F1595"/>
    <w:rsid w:val="007F2A6A"/>
    <w:rsid w:val="007F3027"/>
    <w:rsid w:val="007F4924"/>
    <w:rsid w:val="007F7694"/>
    <w:rsid w:val="00802206"/>
    <w:rsid w:val="00802D82"/>
    <w:rsid w:val="00802DC7"/>
    <w:rsid w:val="00803BE0"/>
    <w:rsid w:val="0080450D"/>
    <w:rsid w:val="00806043"/>
    <w:rsid w:val="00806555"/>
    <w:rsid w:val="0081135B"/>
    <w:rsid w:val="0081316A"/>
    <w:rsid w:val="00815477"/>
    <w:rsid w:val="008155B6"/>
    <w:rsid w:val="00815B87"/>
    <w:rsid w:val="00816563"/>
    <w:rsid w:val="00821B29"/>
    <w:rsid w:val="0082483A"/>
    <w:rsid w:val="00825E1E"/>
    <w:rsid w:val="00825E4D"/>
    <w:rsid w:val="00825EE9"/>
    <w:rsid w:val="008263EB"/>
    <w:rsid w:val="00827746"/>
    <w:rsid w:val="00830046"/>
    <w:rsid w:val="00830982"/>
    <w:rsid w:val="00833473"/>
    <w:rsid w:val="00836294"/>
    <w:rsid w:val="008411A9"/>
    <w:rsid w:val="00841951"/>
    <w:rsid w:val="00843A7F"/>
    <w:rsid w:val="00844A7F"/>
    <w:rsid w:val="0085152A"/>
    <w:rsid w:val="00852E81"/>
    <w:rsid w:val="008549AE"/>
    <w:rsid w:val="00855051"/>
    <w:rsid w:val="008563A1"/>
    <w:rsid w:val="008576F3"/>
    <w:rsid w:val="00857E63"/>
    <w:rsid w:val="00862622"/>
    <w:rsid w:val="00863EC3"/>
    <w:rsid w:val="008675C8"/>
    <w:rsid w:val="00867709"/>
    <w:rsid w:val="00871127"/>
    <w:rsid w:val="00874381"/>
    <w:rsid w:val="008745F2"/>
    <w:rsid w:val="008758A7"/>
    <w:rsid w:val="00876CC4"/>
    <w:rsid w:val="00877C54"/>
    <w:rsid w:val="00880767"/>
    <w:rsid w:val="008815D7"/>
    <w:rsid w:val="00882589"/>
    <w:rsid w:val="008833DE"/>
    <w:rsid w:val="0088366C"/>
    <w:rsid w:val="00884E6C"/>
    <w:rsid w:val="00886053"/>
    <w:rsid w:val="00886DAB"/>
    <w:rsid w:val="00890E84"/>
    <w:rsid w:val="00893C76"/>
    <w:rsid w:val="0089464B"/>
    <w:rsid w:val="008A3011"/>
    <w:rsid w:val="008A7A62"/>
    <w:rsid w:val="008A7FF7"/>
    <w:rsid w:val="008B0142"/>
    <w:rsid w:val="008B155E"/>
    <w:rsid w:val="008B20B5"/>
    <w:rsid w:val="008B3E54"/>
    <w:rsid w:val="008B49D8"/>
    <w:rsid w:val="008B62EB"/>
    <w:rsid w:val="008B756D"/>
    <w:rsid w:val="008C1109"/>
    <w:rsid w:val="008C520C"/>
    <w:rsid w:val="008C7F43"/>
    <w:rsid w:val="008D1B63"/>
    <w:rsid w:val="008D49D5"/>
    <w:rsid w:val="008D609E"/>
    <w:rsid w:val="008E1479"/>
    <w:rsid w:val="008E4396"/>
    <w:rsid w:val="008E5996"/>
    <w:rsid w:val="008F7EA8"/>
    <w:rsid w:val="0090143E"/>
    <w:rsid w:val="009015C1"/>
    <w:rsid w:val="009036BD"/>
    <w:rsid w:val="0090727B"/>
    <w:rsid w:val="009077A0"/>
    <w:rsid w:val="00907968"/>
    <w:rsid w:val="009107FD"/>
    <w:rsid w:val="009116C3"/>
    <w:rsid w:val="00916A3C"/>
    <w:rsid w:val="00916D90"/>
    <w:rsid w:val="0092251D"/>
    <w:rsid w:val="00922BC3"/>
    <w:rsid w:val="0092302B"/>
    <w:rsid w:val="00923181"/>
    <w:rsid w:val="00924FDA"/>
    <w:rsid w:val="009302FE"/>
    <w:rsid w:val="009305A0"/>
    <w:rsid w:val="009313BF"/>
    <w:rsid w:val="00933468"/>
    <w:rsid w:val="00937638"/>
    <w:rsid w:val="00942F12"/>
    <w:rsid w:val="00945B81"/>
    <w:rsid w:val="00945C56"/>
    <w:rsid w:val="00945FE7"/>
    <w:rsid w:val="00946496"/>
    <w:rsid w:val="0095063B"/>
    <w:rsid w:val="00951416"/>
    <w:rsid w:val="00951CBC"/>
    <w:rsid w:val="009521FC"/>
    <w:rsid w:val="00954248"/>
    <w:rsid w:val="00954466"/>
    <w:rsid w:val="00956C4F"/>
    <w:rsid w:val="00962386"/>
    <w:rsid w:val="0096248E"/>
    <w:rsid w:val="0096275C"/>
    <w:rsid w:val="0096278E"/>
    <w:rsid w:val="009627B6"/>
    <w:rsid w:val="00963344"/>
    <w:rsid w:val="00963C09"/>
    <w:rsid w:val="009650BE"/>
    <w:rsid w:val="00965190"/>
    <w:rsid w:val="0096748E"/>
    <w:rsid w:val="00967DAF"/>
    <w:rsid w:val="00971B49"/>
    <w:rsid w:val="009740AF"/>
    <w:rsid w:val="00975363"/>
    <w:rsid w:val="009757B2"/>
    <w:rsid w:val="00977BB1"/>
    <w:rsid w:val="00982DC7"/>
    <w:rsid w:val="009832D6"/>
    <w:rsid w:val="0098368A"/>
    <w:rsid w:val="009841CD"/>
    <w:rsid w:val="0098484D"/>
    <w:rsid w:val="00987319"/>
    <w:rsid w:val="00990ECF"/>
    <w:rsid w:val="00991845"/>
    <w:rsid w:val="00991909"/>
    <w:rsid w:val="0099204C"/>
    <w:rsid w:val="00994026"/>
    <w:rsid w:val="00995707"/>
    <w:rsid w:val="00996541"/>
    <w:rsid w:val="00997F0B"/>
    <w:rsid w:val="009A5FE1"/>
    <w:rsid w:val="009B02C9"/>
    <w:rsid w:val="009B084C"/>
    <w:rsid w:val="009B2FB5"/>
    <w:rsid w:val="009B351B"/>
    <w:rsid w:val="009B3E84"/>
    <w:rsid w:val="009B6F9A"/>
    <w:rsid w:val="009B780E"/>
    <w:rsid w:val="009C412E"/>
    <w:rsid w:val="009C4759"/>
    <w:rsid w:val="009D1722"/>
    <w:rsid w:val="009D2594"/>
    <w:rsid w:val="009D4E05"/>
    <w:rsid w:val="009E1213"/>
    <w:rsid w:val="009E1D62"/>
    <w:rsid w:val="009E55E0"/>
    <w:rsid w:val="009E5702"/>
    <w:rsid w:val="009E59C3"/>
    <w:rsid w:val="009E679C"/>
    <w:rsid w:val="009E7BAC"/>
    <w:rsid w:val="009F0F53"/>
    <w:rsid w:val="009F12E2"/>
    <w:rsid w:val="009F2F68"/>
    <w:rsid w:val="009F3870"/>
    <w:rsid w:val="00A0262D"/>
    <w:rsid w:val="00A029F1"/>
    <w:rsid w:val="00A04686"/>
    <w:rsid w:val="00A053BD"/>
    <w:rsid w:val="00A061BD"/>
    <w:rsid w:val="00A10584"/>
    <w:rsid w:val="00A10B9E"/>
    <w:rsid w:val="00A10CFF"/>
    <w:rsid w:val="00A117E7"/>
    <w:rsid w:val="00A119A6"/>
    <w:rsid w:val="00A11F30"/>
    <w:rsid w:val="00A12D12"/>
    <w:rsid w:val="00A13318"/>
    <w:rsid w:val="00A160F9"/>
    <w:rsid w:val="00A162D0"/>
    <w:rsid w:val="00A163A6"/>
    <w:rsid w:val="00A21112"/>
    <w:rsid w:val="00A236CF"/>
    <w:rsid w:val="00A23E70"/>
    <w:rsid w:val="00A25426"/>
    <w:rsid w:val="00A3045D"/>
    <w:rsid w:val="00A34F01"/>
    <w:rsid w:val="00A361D8"/>
    <w:rsid w:val="00A373DB"/>
    <w:rsid w:val="00A406F1"/>
    <w:rsid w:val="00A4243C"/>
    <w:rsid w:val="00A43B65"/>
    <w:rsid w:val="00A46565"/>
    <w:rsid w:val="00A508BE"/>
    <w:rsid w:val="00A51364"/>
    <w:rsid w:val="00A52F49"/>
    <w:rsid w:val="00A5467A"/>
    <w:rsid w:val="00A55111"/>
    <w:rsid w:val="00A554A2"/>
    <w:rsid w:val="00A560C3"/>
    <w:rsid w:val="00A60767"/>
    <w:rsid w:val="00A6309B"/>
    <w:rsid w:val="00A651E8"/>
    <w:rsid w:val="00A6706A"/>
    <w:rsid w:val="00A70856"/>
    <w:rsid w:val="00A74362"/>
    <w:rsid w:val="00A74C5F"/>
    <w:rsid w:val="00A80B90"/>
    <w:rsid w:val="00A81D7B"/>
    <w:rsid w:val="00A8264E"/>
    <w:rsid w:val="00A84444"/>
    <w:rsid w:val="00A87EB9"/>
    <w:rsid w:val="00A94229"/>
    <w:rsid w:val="00A942D2"/>
    <w:rsid w:val="00A96A86"/>
    <w:rsid w:val="00AA0341"/>
    <w:rsid w:val="00AA11A8"/>
    <w:rsid w:val="00AA16F3"/>
    <w:rsid w:val="00AA4BF3"/>
    <w:rsid w:val="00AA55E5"/>
    <w:rsid w:val="00AA643E"/>
    <w:rsid w:val="00AA6B86"/>
    <w:rsid w:val="00AB186B"/>
    <w:rsid w:val="00AB3A0C"/>
    <w:rsid w:val="00AB4FFB"/>
    <w:rsid w:val="00AB6349"/>
    <w:rsid w:val="00AB6E82"/>
    <w:rsid w:val="00AC180F"/>
    <w:rsid w:val="00AC2994"/>
    <w:rsid w:val="00AC29B4"/>
    <w:rsid w:val="00AC4C24"/>
    <w:rsid w:val="00AC6995"/>
    <w:rsid w:val="00AC6B0D"/>
    <w:rsid w:val="00AC7056"/>
    <w:rsid w:val="00AD195F"/>
    <w:rsid w:val="00AD21F6"/>
    <w:rsid w:val="00AD282C"/>
    <w:rsid w:val="00AD3A4F"/>
    <w:rsid w:val="00AD750B"/>
    <w:rsid w:val="00AE4314"/>
    <w:rsid w:val="00AE734F"/>
    <w:rsid w:val="00AF2AA6"/>
    <w:rsid w:val="00AF4B38"/>
    <w:rsid w:val="00AF6876"/>
    <w:rsid w:val="00B0086F"/>
    <w:rsid w:val="00B01ABC"/>
    <w:rsid w:val="00B05339"/>
    <w:rsid w:val="00B10EDB"/>
    <w:rsid w:val="00B123E1"/>
    <w:rsid w:val="00B1370C"/>
    <w:rsid w:val="00B15361"/>
    <w:rsid w:val="00B15A7E"/>
    <w:rsid w:val="00B15B89"/>
    <w:rsid w:val="00B17BA5"/>
    <w:rsid w:val="00B222CC"/>
    <w:rsid w:val="00B2237E"/>
    <w:rsid w:val="00B22511"/>
    <w:rsid w:val="00B23BAC"/>
    <w:rsid w:val="00B25117"/>
    <w:rsid w:val="00B30D09"/>
    <w:rsid w:val="00B30F20"/>
    <w:rsid w:val="00B35989"/>
    <w:rsid w:val="00B447AC"/>
    <w:rsid w:val="00B452D3"/>
    <w:rsid w:val="00B455F8"/>
    <w:rsid w:val="00B4580A"/>
    <w:rsid w:val="00B472D9"/>
    <w:rsid w:val="00B477AD"/>
    <w:rsid w:val="00B51C14"/>
    <w:rsid w:val="00B532E5"/>
    <w:rsid w:val="00B556B0"/>
    <w:rsid w:val="00B60EE3"/>
    <w:rsid w:val="00B64E5A"/>
    <w:rsid w:val="00B668EB"/>
    <w:rsid w:val="00B66942"/>
    <w:rsid w:val="00B7020C"/>
    <w:rsid w:val="00B71843"/>
    <w:rsid w:val="00B73638"/>
    <w:rsid w:val="00B77A37"/>
    <w:rsid w:val="00B81E1B"/>
    <w:rsid w:val="00B84C46"/>
    <w:rsid w:val="00B86967"/>
    <w:rsid w:val="00B91F9E"/>
    <w:rsid w:val="00B91FCA"/>
    <w:rsid w:val="00B93101"/>
    <w:rsid w:val="00B94A80"/>
    <w:rsid w:val="00BA6931"/>
    <w:rsid w:val="00BA6A6A"/>
    <w:rsid w:val="00BB0034"/>
    <w:rsid w:val="00BB056E"/>
    <w:rsid w:val="00BB374A"/>
    <w:rsid w:val="00BB5AFD"/>
    <w:rsid w:val="00BC2D75"/>
    <w:rsid w:val="00BC5B0C"/>
    <w:rsid w:val="00BC73D8"/>
    <w:rsid w:val="00BC7A25"/>
    <w:rsid w:val="00BD00A0"/>
    <w:rsid w:val="00BD0A5E"/>
    <w:rsid w:val="00BD168F"/>
    <w:rsid w:val="00BD289F"/>
    <w:rsid w:val="00BD2BB4"/>
    <w:rsid w:val="00BD5AD0"/>
    <w:rsid w:val="00BD64EB"/>
    <w:rsid w:val="00BD6FCD"/>
    <w:rsid w:val="00BE163E"/>
    <w:rsid w:val="00BE198F"/>
    <w:rsid w:val="00BE3A55"/>
    <w:rsid w:val="00BE4398"/>
    <w:rsid w:val="00BE4B2A"/>
    <w:rsid w:val="00BF1273"/>
    <w:rsid w:val="00BF499D"/>
    <w:rsid w:val="00C00BC3"/>
    <w:rsid w:val="00C012C9"/>
    <w:rsid w:val="00C018BD"/>
    <w:rsid w:val="00C01A89"/>
    <w:rsid w:val="00C01E2C"/>
    <w:rsid w:val="00C0504E"/>
    <w:rsid w:val="00C06279"/>
    <w:rsid w:val="00C068CD"/>
    <w:rsid w:val="00C10A44"/>
    <w:rsid w:val="00C1305B"/>
    <w:rsid w:val="00C21B00"/>
    <w:rsid w:val="00C21EEA"/>
    <w:rsid w:val="00C22318"/>
    <w:rsid w:val="00C24F68"/>
    <w:rsid w:val="00C269E5"/>
    <w:rsid w:val="00C27CE9"/>
    <w:rsid w:val="00C3045A"/>
    <w:rsid w:val="00C3173F"/>
    <w:rsid w:val="00C3300F"/>
    <w:rsid w:val="00C33E5B"/>
    <w:rsid w:val="00C35A99"/>
    <w:rsid w:val="00C404A4"/>
    <w:rsid w:val="00C41A38"/>
    <w:rsid w:val="00C42E19"/>
    <w:rsid w:val="00C4392B"/>
    <w:rsid w:val="00C46EB0"/>
    <w:rsid w:val="00C47124"/>
    <w:rsid w:val="00C500AD"/>
    <w:rsid w:val="00C54E26"/>
    <w:rsid w:val="00C57F8E"/>
    <w:rsid w:val="00C6048B"/>
    <w:rsid w:val="00C64243"/>
    <w:rsid w:val="00C6613C"/>
    <w:rsid w:val="00C66420"/>
    <w:rsid w:val="00C66C53"/>
    <w:rsid w:val="00C7150A"/>
    <w:rsid w:val="00C71FD8"/>
    <w:rsid w:val="00C75D9C"/>
    <w:rsid w:val="00C76B37"/>
    <w:rsid w:val="00C777E1"/>
    <w:rsid w:val="00C80CB7"/>
    <w:rsid w:val="00C82806"/>
    <w:rsid w:val="00C82B21"/>
    <w:rsid w:val="00C8371E"/>
    <w:rsid w:val="00C84AA3"/>
    <w:rsid w:val="00C86175"/>
    <w:rsid w:val="00C92264"/>
    <w:rsid w:val="00C92B33"/>
    <w:rsid w:val="00C945AE"/>
    <w:rsid w:val="00C94809"/>
    <w:rsid w:val="00C95CB3"/>
    <w:rsid w:val="00C969B5"/>
    <w:rsid w:val="00C96F25"/>
    <w:rsid w:val="00C976EC"/>
    <w:rsid w:val="00CA0157"/>
    <w:rsid w:val="00CA1CA8"/>
    <w:rsid w:val="00CA4D34"/>
    <w:rsid w:val="00CA69A4"/>
    <w:rsid w:val="00CB01F9"/>
    <w:rsid w:val="00CB0775"/>
    <w:rsid w:val="00CB0FB9"/>
    <w:rsid w:val="00CB62FB"/>
    <w:rsid w:val="00CC0ECC"/>
    <w:rsid w:val="00CC6079"/>
    <w:rsid w:val="00CC62EA"/>
    <w:rsid w:val="00CC7504"/>
    <w:rsid w:val="00CD0C89"/>
    <w:rsid w:val="00CD256D"/>
    <w:rsid w:val="00CD32D3"/>
    <w:rsid w:val="00CD5F03"/>
    <w:rsid w:val="00CE04CC"/>
    <w:rsid w:val="00CE1AF3"/>
    <w:rsid w:val="00CE2AA4"/>
    <w:rsid w:val="00CE4443"/>
    <w:rsid w:val="00CE48C7"/>
    <w:rsid w:val="00CE4B08"/>
    <w:rsid w:val="00CE5326"/>
    <w:rsid w:val="00CE7911"/>
    <w:rsid w:val="00CF0D94"/>
    <w:rsid w:val="00CF33A2"/>
    <w:rsid w:val="00CF4B65"/>
    <w:rsid w:val="00CF5370"/>
    <w:rsid w:val="00CF5E47"/>
    <w:rsid w:val="00CF7C81"/>
    <w:rsid w:val="00D00095"/>
    <w:rsid w:val="00D013B2"/>
    <w:rsid w:val="00D01CDA"/>
    <w:rsid w:val="00D02E5A"/>
    <w:rsid w:val="00D04311"/>
    <w:rsid w:val="00D046F3"/>
    <w:rsid w:val="00D1228E"/>
    <w:rsid w:val="00D1381C"/>
    <w:rsid w:val="00D13CAF"/>
    <w:rsid w:val="00D25DD7"/>
    <w:rsid w:val="00D3010E"/>
    <w:rsid w:val="00D3112B"/>
    <w:rsid w:val="00D36E8B"/>
    <w:rsid w:val="00D37DC6"/>
    <w:rsid w:val="00D41FE0"/>
    <w:rsid w:val="00D43723"/>
    <w:rsid w:val="00D50E80"/>
    <w:rsid w:val="00D56113"/>
    <w:rsid w:val="00D61978"/>
    <w:rsid w:val="00D653CB"/>
    <w:rsid w:val="00D7045F"/>
    <w:rsid w:val="00D71769"/>
    <w:rsid w:val="00D71A56"/>
    <w:rsid w:val="00D7206E"/>
    <w:rsid w:val="00D72954"/>
    <w:rsid w:val="00D7338D"/>
    <w:rsid w:val="00D7339A"/>
    <w:rsid w:val="00D75B48"/>
    <w:rsid w:val="00D773F7"/>
    <w:rsid w:val="00D83D59"/>
    <w:rsid w:val="00D87C24"/>
    <w:rsid w:val="00D90579"/>
    <w:rsid w:val="00D91FAB"/>
    <w:rsid w:val="00D9415C"/>
    <w:rsid w:val="00D950AC"/>
    <w:rsid w:val="00DA24BA"/>
    <w:rsid w:val="00DA5FE5"/>
    <w:rsid w:val="00DB3CFB"/>
    <w:rsid w:val="00DB49CD"/>
    <w:rsid w:val="00DB5205"/>
    <w:rsid w:val="00DB6534"/>
    <w:rsid w:val="00DB67CD"/>
    <w:rsid w:val="00DC0DD8"/>
    <w:rsid w:val="00DC1C4E"/>
    <w:rsid w:val="00DC1D34"/>
    <w:rsid w:val="00DC5101"/>
    <w:rsid w:val="00DC5696"/>
    <w:rsid w:val="00DD1210"/>
    <w:rsid w:val="00DD67D2"/>
    <w:rsid w:val="00DE05A4"/>
    <w:rsid w:val="00DE0AD8"/>
    <w:rsid w:val="00DE7F1F"/>
    <w:rsid w:val="00DF083A"/>
    <w:rsid w:val="00DF1260"/>
    <w:rsid w:val="00DF2219"/>
    <w:rsid w:val="00DF23F1"/>
    <w:rsid w:val="00DF3A57"/>
    <w:rsid w:val="00DF4A08"/>
    <w:rsid w:val="00DF4E9A"/>
    <w:rsid w:val="00DF529F"/>
    <w:rsid w:val="00E00225"/>
    <w:rsid w:val="00E0122F"/>
    <w:rsid w:val="00E016CA"/>
    <w:rsid w:val="00E02108"/>
    <w:rsid w:val="00E04825"/>
    <w:rsid w:val="00E049F5"/>
    <w:rsid w:val="00E06414"/>
    <w:rsid w:val="00E07936"/>
    <w:rsid w:val="00E115F4"/>
    <w:rsid w:val="00E12DEB"/>
    <w:rsid w:val="00E14C8C"/>
    <w:rsid w:val="00E16820"/>
    <w:rsid w:val="00E20322"/>
    <w:rsid w:val="00E204EC"/>
    <w:rsid w:val="00E215C7"/>
    <w:rsid w:val="00E25978"/>
    <w:rsid w:val="00E310C2"/>
    <w:rsid w:val="00E32D70"/>
    <w:rsid w:val="00E33720"/>
    <w:rsid w:val="00E3398A"/>
    <w:rsid w:val="00E341B8"/>
    <w:rsid w:val="00E3446A"/>
    <w:rsid w:val="00E40438"/>
    <w:rsid w:val="00E4461C"/>
    <w:rsid w:val="00E51677"/>
    <w:rsid w:val="00E5227D"/>
    <w:rsid w:val="00E5323C"/>
    <w:rsid w:val="00E546DF"/>
    <w:rsid w:val="00E566E5"/>
    <w:rsid w:val="00E63DDE"/>
    <w:rsid w:val="00E63EA1"/>
    <w:rsid w:val="00E64358"/>
    <w:rsid w:val="00E670A3"/>
    <w:rsid w:val="00E70853"/>
    <w:rsid w:val="00E70F3E"/>
    <w:rsid w:val="00E712A2"/>
    <w:rsid w:val="00E71FAF"/>
    <w:rsid w:val="00E72BDA"/>
    <w:rsid w:val="00E802F2"/>
    <w:rsid w:val="00E81C85"/>
    <w:rsid w:val="00E85621"/>
    <w:rsid w:val="00E86820"/>
    <w:rsid w:val="00E87D80"/>
    <w:rsid w:val="00E91334"/>
    <w:rsid w:val="00E918A6"/>
    <w:rsid w:val="00E92F40"/>
    <w:rsid w:val="00E95E1F"/>
    <w:rsid w:val="00E96CE8"/>
    <w:rsid w:val="00EA2180"/>
    <w:rsid w:val="00EA2E32"/>
    <w:rsid w:val="00EA4FA0"/>
    <w:rsid w:val="00EA6451"/>
    <w:rsid w:val="00EB096B"/>
    <w:rsid w:val="00EB132E"/>
    <w:rsid w:val="00EB2783"/>
    <w:rsid w:val="00EB3C16"/>
    <w:rsid w:val="00EB4044"/>
    <w:rsid w:val="00EB4B85"/>
    <w:rsid w:val="00EB78D0"/>
    <w:rsid w:val="00EB7DAB"/>
    <w:rsid w:val="00EC01A6"/>
    <w:rsid w:val="00EC0320"/>
    <w:rsid w:val="00EC133A"/>
    <w:rsid w:val="00EC23A8"/>
    <w:rsid w:val="00EC3FB9"/>
    <w:rsid w:val="00EC403E"/>
    <w:rsid w:val="00EC49D6"/>
    <w:rsid w:val="00EC5251"/>
    <w:rsid w:val="00EC57EA"/>
    <w:rsid w:val="00EC6B05"/>
    <w:rsid w:val="00EC782C"/>
    <w:rsid w:val="00ED0336"/>
    <w:rsid w:val="00ED2679"/>
    <w:rsid w:val="00ED45ED"/>
    <w:rsid w:val="00ED7FF6"/>
    <w:rsid w:val="00EE1244"/>
    <w:rsid w:val="00EE1AEE"/>
    <w:rsid w:val="00EE4710"/>
    <w:rsid w:val="00EE4A65"/>
    <w:rsid w:val="00EE575C"/>
    <w:rsid w:val="00EE6F09"/>
    <w:rsid w:val="00EE6F14"/>
    <w:rsid w:val="00EF0166"/>
    <w:rsid w:val="00EF2E46"/>
    <w:rsid w:val="00EF7249"/>
    <w:rsid w:val="00EF73B7"/>
    <w:rsid w:val="00EF7912"/>
    <w:rsid w:val="00EF79B8"/>
    <w:rsid w:val="00F0102C"/>
    <w:rsid w:val="00F01A82"/>
    <w:rsid w:val="00F03FDC"/>
    <w:rsid w:val="00F0400C"/>
    <w:rsid w:val="00F048AD"/>
    <w:rsid w:val="00F04D2C"/>
    <w:rsid w:val="00F062DE"/>
    <w:rsid w:val="00F06501"/>
    <w:rsid w:val="00F075C0"/>
    <w:rsid w:val="00F101F6"/>
    <w:rsid w:val="00F137CD"/>
    <w:rsid w:val="00F14574"/>
    <w:rsid w:val="00F1527C"/>
    <w:rsid w:val="00F17686"/>
    <w:rsid w:val="00F21698"/>
    <w:rsid w:val="00F22E3E"/>
    <w:rsid w:val="00F248F2"/>
    <w:rsid w:val="00F255FA"/>
    <w:rsid w:val="00F2575C"/>
    <w:rsid w:val="00F25934"/>
    <w:rsid w:val="00F25C68"/>
    <w:rsid w:val="00F25FE5"/>
    <w:rsid w:val="00F26436"/>
    <w:rsid w:val="00F3205B"/>
    <w:rsid w:val="00F320CB"/>
    <w:rsid w:val="00F322BE"/>
    <w:rsid w:val="00F32A86"/>
    <w:rsid w:val="00F33D32"/>
    <w:rsid w:val="00F35BAB"/>
    <w:rsid w:val="00F372D5"/>
    <w:rsid w:val="00F41D62"/>
    <w:rsid w:val="00F43AB7"/>
    <w:rsid w:val="00F45F5F"/>
    <w:rsid w:val="00F46160"/>
    <w:rsid w:val="00F466D5"/>
    <w:rsid w:val="00F4746D"/>
    <w:rsid w:val="00F47A41"/>
    <w:rsid w:val="00F518E4"/>
    <w:rsid w:val="00F53170"/>
    <w:rsid w:val="00F53751"/>
    <w:rsid w:val="00F5524F"/>
    <w:rsid w:val="00F559C9"/>
    <w:rsid w:val="00F57EB8"/>
    <w:rsid w:val="00F6138C"/>
    <w:rsid w:val="00F6679F"/>
    <w:rsid w:val="00F66BC2"/>
    <w:rsid w:val="00F66E41"/>
    <w:rsid w:val="00F67444"/>
    <w:rsid w:val="00F706EE"/>
    <w:rsid w:val="00F70822"/>
    <w:rsid w:val="00F71107"/>
    <w:rsid w:val="00F726D3"/>
    <w:rsid w:val="00F7357F"/>
    <w:rsid w:val="00F757AD"/>
    <w:rsid w:val="00F77F05"/>
    <w:rsid w:val="00F80281"/>
    <w:rsid w:val="00F82DA7"/>
    <w:rsid w:val="00F90FED"/>
    <w:rsid w:val="00F912A8"/>
    <w:rsid w:val="00F91A0B"/>
    <w:rsid w:val="00F91C32"/>
    <w:rsid w:val="00F9274A"/>
    <w:rsid w:val="00FA106F"/>
    <w:rsid w:val="00FA2BC1"/>
    <w:rsid w:val="00FA34A6"/>
    <w:rsid w:val="00FA3CD6"/>
    <w:rsid w:val="00FA4860"/>
    <w:rsid w:val="00FA52EE"/>
    <w:rsid w:val="00FA7B70"/>
    <w:rsid w:val="00FB1E69"/>
    <w:rsid w:val="00FB3BDF"/>
    <w:rsid w:val="00FB3D36"/>
    <w:rsid w:val="00FB5600"/>
    <w:rsid w:val="00FB7E91"/>
    <w:rsid w:val="00FB7F91"/>
    <w:rsid w:val="00FC15EA"/>
    <w:rsid w:val="00FC3C3E"/>
    <w:rsid w:val="00FC68D2"/>
    <w:rsid w:val="00FC708A"/>
    <w:rsid w:val="00FD1473"/>
    <w:rsid w:val="00FD24CA"/>
    <w:rsid w:val="00FD40A7"/>
    <w:rsid w:val="00FD4555"/>
    <w:rsid w:val="00FD4C6E"/>
    <w:rsid w:val="00FD624D"/>
    <w:rsid w:val="00FE163A"/>
    <w:rsid w:val="00FE1C79"/>
    <w:rsid w:val="00FF4E2E"/>
    <w:rsid w:val="00FF64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B4ABE05"/>
  <w15:chartTrackingRefBased/>
  <w15:docId w15:val="{6EFD8089-00C4-4493-B656-E997DE9E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F12E2"/>
    <w:rPr>
      <w:rFonts w:ascii="Segoe UI" w:hAnsi="Segoe UI" w:cs="Segoe UI"/>
      <w:sz w:val="18"/>
      <w:szCs w:val="18"/>
    </w:rPr>
  </w:style>
  <w:style w:type="character" w:customStyle="1" w:styleId="BalloonTextChar">
    <w:name w:val="Balloon Text Char"/>
    <w:link w:val="BalloonText"/>
    <w:rsid w:val="009F12E2"/>
    <w:rPr>
      <w:rFonts w:ascii="Segoe UI" w:hAnsi="Segoe UI" w:cs="Segoe UI"/>
      <w:sz w:val="18"/>
      <w:szCs w:val="18"/>
    </w:rPr>
  </w:style>
  <w:style w:type="character" w:styleId="CommentReference">
    <w:name w:val="annotation reference"/>
    <w:rsid w:val="00445E6B"/>
    <w:rPr>
      <w:sz w:val="16"/>
      <w:szCs w:val="16"/>
    </w:rPr>
  </w:style>
  <w:style w:type="paragraph" w:styleId="CommentText">
    <w:name w:val="annotation text"/>
    <w:basedOn w:val="Normal"/>
    <w:link w:val="CommentTextChar"/>
    <w:rsid w:val="00445E6B"/>
    <w:rPr>
      <w:rFonts w:ascii="Garamond" w:hAnsi="Garamond"/>
      <w:sz w:val="20"/>
      <w:szCs w:val="20"/>
    </w:rPr>
  </w:style>
  <w:style w:type="character" w:customStyle="1" w:styleId="CommentTextChar">
    <w:name w:val="Comment Text Char"/>
    <w:basedOn w:val="DefaultParagraphFont"/>
    <w:link w:val="CommentText"/>
    <w:rsid w:val="00445E6B"/>
    <w:rPr>
      <w:rFonts w:ascii="Garamond" w:hAnsi="Garamond"/>
    </w:rPr>
  </w:style>
  <w:style w:type="paragraph" w:styleId="ListParagraph">
    <w:name w:val="List Paragraph"/>
    <w:basedOn w:val="Normal"/>
    <w:uiPriority w:val="34"/>
    <w:qFormat/>
    <w:rsid w:val="00263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5D032B-5DB4-41F5-AFB9-09BC5F2EA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13B5A-2171-4060-A465-A00FBB8560A8}">
  <ds:schemaRefs>
    <ds:schemaRef ds:uri="http://schemas.microsoft.com/sharepoint/events"/>
  </ds:schemaRefs>
</ds:datastoreItem>
</file>

<file path=customXml/itemProps3.xml><?xml version="1.0" encoding="utf-8"?>
<ds:datastoreItem xmlns:ds="http://schemas.openxmlformats.org/officeDocument/2006/customXml" ds:itemID="{36816246-602F-4912-A163-A0C510162530}">
  <ds:schemaRefs>
    <ds:schemaRef ds:uri="http://schemas.microsoft.com/sharepoint/v3/contenttype/forms"/>
  </ds:schemaRefs>
</ds:datastoreItem>
</file>

<file path=customXml/itemProps4.xml><?xml version="1.0" encoding="utf-8"?>
<ds:datastoreItem xmlns:ds="http://schemas.openxmlformats.org/officeDocument/2006/customXml" ds:itemID="{4FB3B3FE-74C6-4B61-9B57-CDAAD0C72CC6}">
  <ds:schemaRefs>
    <ds:schemaRef ds:uri="http://purl.org/dc/terms/"/>
    <ds:schemaRef ds:uri="4bacd349-b20a-48ff-8973-d4be6c28d45d"/>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f10644bb-070c-4845-b8fb-7b4f216dfff3"/>
    <ds:schemaRef ds:uri="http://schemas.microsoft.com/office/infopath/2007/PartnerControls"/>
    <ds:schemaRef ds:uri="d4a638c4-874f-49c0-bb2b-5cb8563c2b1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1626</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FF-####, TITLE</vt:lpstr>
    </vt:vector>
  </TitlesOfParts>
  <Company>FEMA</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 TITLE</dc:title>
  <dc:creator>FEMA Employee</dc:creator>
  <cp:lastModifiedBy>Yeow, Emmanuel</cp:lastModifiedBy>
  <cp:revision>25</cp:revision>
  <cp:lastPrinted>2018-10-03T15:19:00Z</cp:lastPrinted>
  <dcterms:created xsi:type="dcterms:W3CDTF">2022-04-14T18:37:00Z</dcterms:created>
  <dcterms:modified xsi:type="dcterms:W3CDTF">2022-09-21T13:40:00Z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ies>
</file>