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142B" w:rsidR="00A35EEF" w:rsidRDefault="00C769DC" w14:paraId="2FB7AD09" w14:textId="79998E93">
      <w:pPr>
        <w:pStyle w:val="Title"/>
        <w:rPr>
          <w:b/>
        </w:rPr>
      </w:pPr>
      <w:r w:rsidRPr="00B0142B">
        <w:rPr>
          <w:b/>
        </w:rPr>
        <w:t>S</w:t>
      </w:r>
      <w:r w:rsidRPr="00B0142B" w:rsidR="00E63D16">
        <w:rPr>
          <w:b/>
        </w:rPr>
        <w:t>UPPORTING STATEMENT</w:t>
      </w:r>
      <w:r w:rsidRPr="00B0142B" w:rsidR="005032DC">
        <w:rPr>
          <w:b/>
        </w:rPr>
        <w:t xml:space="preserve"> </w:t>
      </w:r>
      <w:r w:rsidRPr="00B0142B" w:rsidR="008348D8">
        <w:rPr>
          <w:b/>
        </w:rPr>
        <w:t xml:space="preserve">PART </w:t>
      </w:r>
      <w:r w:rsidRPr="00B0142B" w:rsidR="005032DC">
        <w:rPr>
          <w:b/>
        </w:rPr>
        <w:t>A</w:t>
      </w:r>
    </w:p>
    <w:p w:rsidRPr="00B0142B" w:rsidR="00A83EC7" w:rsidRDefault="00A83EC7" w14:paraId="2C3C7C2D" w14:textId="77777777">
      <w:pPr>
        <w:pStyle w:val="Title"/>
        <w:rPr>
          <w:b/>
        </w:rPr>
      </w:pPr>
    </w:p>
    <w:p w:rsidRPr="00B0142B" w:rsidR="00A83EC7" w:rsidP="001B4872" w:rsidRDefault="00A83EC7" w14:paraId="53B3E453" w14:textId="0D8F1137">
      <w:pPr>
        <w:pStyle w:val="Title"/>
        <w:jc w:val="left"/>
        <w:rPr>
          <w:u w:val="none"/>
        </w:rPr>
      </w:pPr>
    </w:p>
    <w:p w:rsidRPr="00B0142B" w:rsidR="00735632" w:rsidRDefault="00A72B30" w14:paraId="3878EF38" w14:textId="26ABD770">
      <w:r w:rsidRPr="00B0142B">
        <w:rPr>
          <w:b/>
        </w:rPr>
        <w:t>TITLE OF INFO</w:t>
      </w:r>
      <w:r w:rsidRPr="00B0142B" w:rsidR="00735632">
        <w:rPr>
          <w:b/>
        </w:rPr>
        <w:t>RM</w:t>
      </w:r>
      <w:r w:rsidRPr="00B0142B">
        <w:rPr>
          <w:b/>
        </w:rPr>
        <w:t>ATION COLLECTION:</w:t>
      </w:r>
      <w:r w:rsidRPr="00B0142B" w:rsidR="0064380C">
        <w:rPr>
          <w:b/>
        </w:rPr>
        <w:t xml:space="preserve">  </w:t>
      </w:r>
      <w:r w:rsidRPr="00B0142B" w:rsidR="00A50C48">
        <w:rPr>
          <w:b/>
        </w:rPr>
        <w:t>NFS 1827, Patents, Data, Copyrights</w:t>
      </w:r>
    </w:p>
    <w:p w:rsidRPr="00B0142B" w:rsidR="00443291" w:rsidRDefault="00443291" w14:paraId="127E0B31" w14:textId="77777777">
      <w:pPr>
        <w:rPr>
          <w:b/>
        </w:rPr>
      </w:pPr>
    </w:p>
    <w:p w:rsidRPr="00B0142B" w:rsidR="00A72B30" w:rsidRDefault="00A72B30" w14:paraId="08801419" w14:textId="7902D09F">
      <w:r w:rsidRPr="00B0142B">
        <w:rPr>
          <w:b/>
        </w:rPr>
        <w:t>TYPE OF INFO</w:t>
      </w:r>
      <w:r w:rsidRPr="00B0142B" w:rsidR="00341264">
        <w:rPr>
          <w:b/>
        </w:rPr>
        <w:t>RM</w:t>
      </w:r>
      <w:r w:rsidRPr="00B0142B">
        <w:rPr>
          <w:b/>
        </w:rPr>
        <w:t xml:space="preserve">ATION COLLECTION: </w:t>
      </w:r>
      <w:r w:rsidRPr="00B0142B" w:rsidR="00A50C48">
        <w:rPr>
          <w:b/>
        </w:rPr>
        <w:t>Revision of a Currently Approved Information Collection</w:t>
      </w:r>
    </w:p>
    <w:p w:rsidRPr="00B0142B" w:rsidR="0017761A" w:rsidRDefault="0017761A" w14:paraId="348FA686" w14:textId="77777777"/>
    <w:p w:rsidRPr="00B0142B" w:rsidR="008250DF" w:rsidRDefault="008250DF" w14:paraId="05F4394D" w14:textId="77777777">
      <w:pPr>
        <w:rPr>
          <w:b/>
        </w:rPr>
      </w:pPr>
      <w:r w:rsidRPr="00B0142B">
        <w:rPr>
          <w:b/>
        </w:rPr>
        <w:t xml:space="preserve">A.  </w:t>
      </w:r>
      <w:r w:rsidRPr="00B0142B" w:rsidR="001B4872">
        <w:rPr>
          <w:b/>
        </w:rPr>
        <w:t>JUSTIFICATION</w:t>
      </w:r>
    </w:p>
    <w:p w:rsidRPr="00B0142B" w:rsidR="003F4B4D" w:rsidRDefault="003F4B4D" w14:paraId="0546F18E" w14:textId="77777777">
      <w:pPr>
        <w:rPr>
          <w:b/>
        </w:rPr>
      </w:pPr>
    </w:p>
    <w:p w:rsidRPr="00B0142B" w:rsidR="0030480E" w:rsidP="0099131F" w:rsidRDefault="00DF585D" w14:paraId="3241A70E" w14:textId="77777777">
      <w:pPr>
        <w:pStyle w:val="ListParagraph"/>
        <w:numPr>
          <w:ilvl w:val="0"/>
          <w:numId w:val="19"/>
        </w:numPr>
        <w:tabs>
          <w:tab w:val="left" w:pos="-1440"/>
        </w:tabs>
        <w:rPr>
          <w:rFonts w:ascii="Times New Roman" w:hAnsi="Times New Roman"/>
          <w:b/>
        </w:rPr>
      </w:pPr>
      <w:r w:rsidRPr="00B0142B">
        <w:rPr>
          <w:rFonts w:ascii="Times New Roman" w:hAnsi="Times New Roman"/>
          <w:b/>
        </w:rPr>
        <w:t>E</w:t>
      </w:r>
      <w:r w:rsidRPr="00B0142B" w:rsidR="00CD285D">
        <w:rPr>
          <w:rFonts w:ascii="Times New Roman" w:hAnsi="Times New Roman"/>
          <w:b/>
        </w:rPr>
        <w:t xml:space="preserve">xplain the circumstances that make the collection of information necessary. </w:t>
      </w:r>
    </w:p>
    <w:p w:rsidRPr="00B0142B" w:rsidR="00A50C48" w:rsidP="00A50C48" w:rsidRDefault="00A50C48" w14:paraId="1430D789" w14:textId="77777777">
      <w:pPr>
        <w:ind w:firstLine="660"/>
        <w:rPr>
          <w:i/>
        </w:rPr>
      </w:pPr>
      <w:r w:rsidRPr="00B0142B">
        <w:rPr>
          <w:i/>
        </w:rPr>
        <w:t>This information is required to ensure the proper disposition of rights to inventions made</w:t>
      </w:r>
    </w:p>
    <w:p w:rsidRPr="00B0142B" w:rsidR="00A50C48" w:rsidP="00A50C48" w:rsidRDefault="00A50C48" w14:paraId="30C9501A" w14:textId="77777777">
      <w:pPr>
        <w:ind w:firstLine="660"/>
        <w:rPr>
          <w:i/>
        </w:rPr>
      </w:pPr>
      <w:r w:rsidRPr="00B0142B">
        <w:rPr>
          <w:i/>
        </w:rPr>
        <w:t>in the course of NASA-funded research contracts. The requirement is codified in 48 CFR</w:t>
      </w:r>
    </w:p>
    <w:p w:rsidRPr="00B0142B" w:rsidR="00B741A2" w:rsidP="00A50C48" w:rsidRDefault="00A50C48" w14:paraId="7B226B27" w14:textId="3612CB2A">
      <w:pPr>
        <w:ind w:left="660"/>
      </w:pPr>
      <w:r w:rsidRPr="00B0142B">
        <w:rPr>
          <w:i/>
        </w:rPr>
        <w:t>Part 1827. The legislative authorities are 42 U.S.C. 2457 et seq., and 35 U.S.C. 200 et seq.</w:t>
      </w:r>
    </w:p>
    <w:p w:rsidRPr="00B0142B" w:rsidR="00B66ECC" w:rsidP="001F47B7" w:rsidRDefault="00B66ECC" w14:paraId="3BA0BC99" w14:textId="77777777">
      <w:pPr>
        <w:tabs>
          <w:tab w:val="left" w:pos="-1440"/>
        </w:tabs>
      </w:pPr>
    </w:p>
    <w:p w:rsidRPr="00B0142B" w:rsidR="005B616E" w:rsidP="00146766" w:rsidRDefault="005B616E" w14:paraId="20701B24" w14:textId="2CFEA66A">
      <w:pPr>
        <w:pStyle w:val="ListParagraph"/>
        <w:numPr>
          <w:ilvl w:val="0"/>
          <w:numId w:val="19"/>
        </w:numPr>
        <w:tabs>
          <w:tab w:val="left" w:pos="-1440"/>
        </w:tabs>
        <w:rPr>
          <w:rFonts w:ascii="Times New Roman" w:hAnsi="Times New Roman"/>
          <w:b/>
        </w:rPr>
      </w:pPr>
      <w:r w:rsidRPr="00B0142B">
        <w:rPr>
          <w:rFonts w:ascii="Times New Roman" w:hAnsi="Times New Roman"/>
          <w:b/>
        </w:rPr>
        <w:t xml:space="preserve">Indicate how, by whom, and for what purpose the information is to be used. </w:t>
      </w:r>
    </w:p>
    <w:p w:rsidRPr="00B0142B" w:rsidR="00A50C48" w:rsidP="00A50C48" w:rsidRDefault="00A50C48" w14:paraId="4C948E9F" w14:textId="77777777">
      <w:pPr>
        <w:pStyle w:val="ListParagraph"/>
        <w:tabs>
          <w:tab w:val="left" w:pos="-1440"/>
        </w:tabs>
        <w:ind w:left="660"/>
        <w:rPr>
          <w:rFonts w:ascii="Times New Roman" w:hAnsi="Times New Roman"/>
          <w:i/>
        </w:rPr>
      </w:pPr>
      <w:r w:rsidRPr="00B0142B">
        <w:rPr>
          <w:rFonts w:ascii="Times New Roman" w:hAnsi="Times New Roman"/>
          <w:i/>
        </w:rPr>
        <w:t>The information is used by NASA legal counsel and contracting offices to ensure</w:t>
      </w:r>
    </w:p>
    <w:p w:rsidRPr="00B0142B" w:rsidR="00A50C48" w:rsidP="00A50C48" w:rsidRDefault="00A50C48" w14:paraId="7A305A73" w14:textId="77777777">
      <w:pPr>
        <w:pStyle w:val="ListParagraph"/>
        <w:tabs>
          <w:tab w:val="left" w:pos="-1440"/>
        </w:tabs>
        <w:ind w:left="660"/>
        <w:rPr>
          <w:rFonts w:ascii="Times New Roman" w:hAnsi="Times New Roman"/>
          <w:i/>
        </w:rPr>
      </w:pPr>
      <w:r w:rsidRPr="00B0142B">
        <w:rPr>
          <w:rFonts w:ascii="Times New Roman" w:hAnsi="Times New Roman"/>
          <w:i/>
        </w:rPr>
        <w:t>disposition of inventions in accordance with statutes and to determine the Government’s</w:t>
      </w:r>
    </w:p>
    <w:p w:rsidRPr="00B0142B" w:rsidR="00A50C48" w:rsidP="00A50C48" w:rsidRDefault="00A50C48" w14:paraId="2C0AF52D" w14:textId="77777777">
      <w:pPr>
        <w:pStyle w:val="ListParagraph"/>
        <w:tabs>
          <w:tab w:val="left" w:pos="-1440"/>
        </w:tabs>
        <w:ind w:left="660"/>
        <w:rPr>
          <w:rFonts w:ascii="Times New Roman" w:hAnsi="Times New Roman"/>
          <w:i/>
        </w:rPr>
      </w:pPr>
      <w:r w:rsidRPr="00B0142B">
        <w:rPr>
          <w:rFonts w:ascii="Times New Roman" w:hAnsi="Times New Roman"/>
          <w:i/>
        </w:rPr>
        <w:t>rights in data. NASA has multiple agency-specific data right clauses which differ from</w:t>
      </w:r>
    </w:p>
    <w:p w:rsidRPr="00B0142B" w:rsidR="00A50C48" w:rsidP="00A50C48" w:rsidRDefault="00A50C48" w14:paraId="3B6C7B84" w14:textId="77777777">
      <w:pPr>
        <w:pStyle w:val="ListParagraph"/>
        <w:tabs>
          <w:tab w:val="left" w:pos="-1440"/>
        </w:tabs>
        <w:ind w:left="660"/>
        <w:rPr>
          <w:rFonts w:ascii="Times New Roman" w:hAnsi="Times New Roman"/>
          <w:i/>
        </w:rPr>
      </w:pPr>
      <w:r w:rsidRPr="00B0142B">
        <w:rPr>
          <w:rFonts w:ascii="Times New Roman" w:hAnsi="Times New Roman"/>
          <w:i/>
        </w:rPr>
        <w:t>those in the Federal Acquisition Regulation (FAR). Consequently, NASA has a distinct</w:t>
      </w:r>
    </w:p>
    <w:p w:rsidRPr="00B0142B" w:rsidR="0030480E" w:rsidP="00A50C48" w:rsidRDefault="00A50C48" w14:paraId="2FE051D2" w14:textId="4BCB4B52">
      <w:pPr>
        <w:pStyle w:val="ListParagraph"/>
        <w:tabs>
          <w:tab w:val="left" w:pos="-1440"/>
        </w:tabs>
        <w:ind w:left="660"/>
        <w:rPr>
          <w:rFonts w:ascii="Times New Roman" w:hAnsi="Times New Roman"/>
          <w:b/>
        </w:rPr>
      </w:pPr>
      <w:r w:rsidRPr="00B0142B">
        <w:rPr>
          <w:rFonts w:ascii="Times New Roman" w:hAnsi="Times New Roman"/>
          <w:i/>
        </w:rPr>
        <w:t>information collection which is not covered under a Federal-wide approved collection.</w:t>
      </w:r>
    </w:p>
    <w:p w:rsidRPr="00B0142B" w:rsidR="0030480E" w:rsidP="0030480E" w:rsidRDefault="0030480E" w14:paraId="30F37EC6" w14:textId="77777777">
      <w:pPr>
        <w:pStyle w:val="ListParagraph"/>
        <w:tabs>
          <w:tab w:val="left" w:pos="-1440"/>
        </w:tabs>
        <w:ind w:left="660"/>
        <w:rPr>
          <w:rFonts w:ascii="Times New Roman" w:hAnsi="Times New Roman"/>
          <w:b/>
        </w:rPr>
      </w:pPr>
    </w:p>
    <w:p w:rsidRPr="00B0142B" w:rsidR="00146766" w:rsidP="00393BC4" w:rsidRDefault="005B616E" w14:paraId="0F5F0787" w14:textId="4674424D">
      <w:pPr>
        <w:pStyle w:val="ListParagraph"/>
        <w:numPr>
          <w:ilvl w:val="0"/>
          <w:numId w:val="19"/>
        </w:numPr>
        <w:tabs>
          <w:tab w:val="left" w:pos="-1440"/>
        </w:tabs>
        <w:rPr>
          <w:rFonts w:ascii="Times New Roman" w:hAnsi="Times New Roman"/>
          <w:b/>
        </w:rPr>
      </w:pPr>
      <w:r w:rsidRPr="00B0142B">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B0142B" w:rsidR="00A50C48" w:rsidP="00A50C48" w:rsidRDefault="00A50C48" w14:paraId="3AB10DF9" w14:textId="77777777">
      <w:pPr>
        <w:pStyle w:val="ListParagraph"/>
        <w:tabs>
          <w:tab w:val="left" w:pos="-1440"/>
        </w:tabs>
        <w:ind w:left="660"/>
        <w:rPr>
          <w:rFonts w:ascii="Times New Roman" w:hAnsi="Times New Roman"/>
          <w:i/>
          <w:szCs w:val="24"/>
        </w:rPr>
      </w:pPr>
      <w:r w:rsidRPr="00B0142B">
        <w:rPr>
          <w:rFonts w:ascii="Times New Roman" w:hAnsi="Times New Roman"/>
          <w:i/>
          <w:szCs w:val="24"/>
        </w:rPr>
        <w:t xml:space="preserve">NASA encourages the use of computer technology and is participating in Federal efforts to extend the use of information technology to more Government processes via the Internet. For example, NASA FAR Supplement clauses for patent rights and new technology encourage the contractor to use an electronic form and provide a hyperlink to the electronic New Technology Reporting Web (e-NTR) site http://invention.nasa.gov. This website has been set up to help NASA employees and parties under NASA funding agreements (i.e., contractors, grantees, cooperative agreement holders, and subcontractors) to report new technology information directly, via a secure Internet connection, to NASA. Contractors and grantees have been trained on how to use the </w:t>
      </w:r>
    </w:p>
    <w:p w:rsidRPr="00B0142B" w:rsidR="00A50C48" w:rsidP="00A50C48" w:rsidRDefault="00A50C48" w14:paraId="4416B9B9" w14:textId="4A410030">
      <w:pPr>
        <w:pStyle w:val="ListParagraph"/>
        <w:tabs>
          <w:tab w:val="left" w:pos="-1440"/>
        </w:tabs>
        <w:ind w:left="660"/>
        <w:rPr>
          <w:rFonts w:ascii="Times New Roman" w:hAnsi="Times New Roman"/>
          <w:i/>
          <w:szCs w:val="24"/>
        </w:rPr>
      </w:pPr>
      <w:r w:rsidRPr="00B0142B">
        <w:rPr>
          <w:rFonts w:ascii="Times New Roman" w:hAnsi="Times New Roman"/>
          <w:i/>
          <w:szCs w:val="24"/>
        </w:rPr>
        <w:t>e-NTR system. Security issues have been resolved and technical drawings and</w:t>
      </w:r>
    </w:p>
    <w:p w:rsidRPr="00B0142B" w:rsidR="0030480E" w:rsidP="00A50C48" w:rsidRDefault="00A50C48" w14:paraId="75205917" w14:textId="36DFCF3E">
      <w:pPr>
        <w:pStyle w:val="ListParagraph"/>
        <w:tabs>
          <w:tab w:val="left" w:pos="-1440"/>
        </w:tabs>
        <w:ind w:left="660"/>
        <w:rPr>
          <w:rFonts w:ascii="Times New Roman" w:hAnsi="Times New Roman"/>
          <w:b/>
        </w:rPr>
      </w:pPr>
      <w:r w:rsidRPr="00B0142B">
        <w:rPr>
          <w:rFonts w:ascii="Times New Roman" w:hAnsi="Times New Roman"/>
          <w:i/>
          <w:szCs w:val="24"/>
        </w:rPr>
        <w:t>other documents can now be sent electronically through this system.</w:t>
      </w:r>
    </w:p>
    <w:p w:rsidRPr="00B0142B" w:rsidR="00B02ECD" w:rsidP="00481A4E" w:rsidRDefault="00B02ECD" w14:paraId="1017A4CB" w14:textId="77777777">
      <w:pPr>
        <w:tabs>
          <w:tab w:val="left" w:pos="-1440"/>
        </w:tabs>
        <w:rPr>
          <w:b/>
          <w:i/>
        </w:rPr>
      </w:pPr>
    </w:p>
    <w:p w:rsidRPr="00B0142B" w:rsidR="005B616E" w:rsidP="00146766" w:rsidRDefault="005B616E" w14:paraId="6972031E" w14:textId="413FEC19">
      <w:pPr>
        <w:pStyle w:val="ListParagraph"/>
        <w:numPr>
          <w:ilvl w:val="0"/>
          <w:numId w:val="19"/>
        </w:numPr>
        <w:tabs>
          <w:tab w:val="left" w:pos="-1440"/>
        </w:tabs>
        <w:rPr>
          <w:rFonts w:ascii="Times New Roman" w:hAnsi="Times New Roman"/>
          <w:b/>
        </w:rPr>
      </w:pPr>
      <w:r w:rsidRPr="00B0142B">
        <w:rPr>
          <w:rFonts w:ascii="Times New Roman" w:hAnsi="Times New Roman"/>
          <w:b/>
        </w:rPr>
        <w:t xml:space="preserve">Describe efforts to identify duplication. </w:t>
      </w:r>
    </w:p>
    <w:p w:rsidRPr="00B0142B" w:rsidR="0030480E" w:rsidP="00A50C48" w:rsidRDefault="00A50C48" w14:paraId="4C514DA7" w14:textId="5DA55476">
      <w:pPr>
        <w:pStyle w:val="ListParagraph"/>
        <w:tabs>
          <w:tab w:val="left" w:pos="-1440"/>
        </w:tabs>
        <w:ind w:left="660"/>
        <w:rPr>
          <w:rFonts w:ascii="Times New Roman" w:hAnsi="Times New Roman"/>
          <w:b/>
        </w:rPr>
      </w:pPr>
      <w:r w:rsidRPr="00B0142B">
        <w:rPr>
          <w:rFonts w:ascii="Times New Roman" w:hAnsi="Times New Roman"/>
          <w:i/>
          <w:szCs w:val="24"/>
        </w:rPr>
        <w:t>The data collected is unique to patents and copyrights resulting from inventions made in the performance of work under Agency research contracts. The data is not otherwise available.</w:t>
      </w:r>
    </w:p>
    <w:p w:rsidRPr="00B0142B" w:rsidR="005B616E" w:rsidP="005B616E" w:rsidRDefault="005B616E" w14:paraId="3A779258" w14:textId="77777777">
      <w:pPr>
        <w:rPr>
          <w:b/>
          <w:i/>
        </w:rPr>
      </w:pPr>
    </w:p>
    <w:p w:rsidRPr="00B0142B" w:rsidR="005B616E" w:rsidP="00146766" w:rsidRDefault="005B616E" w14:paraId="18361E00" w14:textId="0638DC8C">
      <w:pPr>
        <w:pStyle w:val="ListParagraph"/>
        <w:numPr>
          <w:ilvl w:val="0"/>
          <w:numId w:val="19"/>
        </w:numPr>
        <w:tabs>
          <w:tab w:val="left" w:pos="-1440"/>
        </w:tabs>
        <w:rPr>
          <w:rFonts w:ascii="Times New Roman" w:hAnsi="Times New Roman"/>
          <w:b/>
        </w:rPr>
      </w:pPr>
      <w:r w:rsidRPr="00B0142B">
        <w:rPr>
          <w:rFonts w:ascii="Times New Roman" w:hAnsi="Times New Roman"/>
          <w:b/>
        </w:rPr>
        <w:t>If the collection of information impacts small businesses or other small entities (Item 5 of the OMB Form 83-I), describe the methods used to minimize burden.</w:t>
      </w:r>
    </w:p>
    <w:p w:rsidRPr="00B0142B" w:rsidR="00146766" w:rsidP="00A50C48" w:rsidRDefault="00A50C48" w14:paraId="3FDF6222" w14:textId="032766C2">
      <w:pPr>
        <w:pStyle w:val="BodyText"/>
        <w:ind w:left="660"/>
        <w:rPr>
          <w:rFonts w:ascii="Times New Roman" w:hAnsi="Times New Roman"/>
          <w:i w:val="0"/>
        </w:rPr>
      </w:pPr>
      <w:r w:rsidRPr="00B0142B">
        <w:rPr>
          <w:rFonts w:ascii="Times New Roman" w:hAnsi="Times New Roman"/>
          <w:szCs w:val="24"/>
        </w:rPr>
        <w:lastRenderedPageBreak/>
        <w:t>The burden on small business is the minimum consistent with applicable laws, Executive Orders, regulations, and prudent business practices.</w:t>
      </w:r>
    </w:p>
    <w:p w:rsidRPr="00B0142B"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p>
    <w:p w:rsidRPr="00B0142B" w:rsidR="005B616E" w:rsidP="00146766" w:rsidRDefault="005B616E" w14:paraId="56DCF24B" w14:textId="77507F7E">
      <w:pPr>
        <w:pStyle w:val="ListParagraph"/>
        <w:numPr>
          <w:ilvl w:val="0"/>
          <w:numId w:val="19"/>
        </w:numPr>
        <w:tabs>
          <w:tab w:val="left" w:pos="-1440"/>
        </w:tabs>
        <w:rPr>
          <w:rFonts w:ascii="Times New Roman" w:hAnsi="Times New Roman"/>
          <w:b/>
        </w:rPr>
      </w:pPr>
      <w:r w:rsidRPr="00B0142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B0142B" w:rsidR="00A50C48" w:rsidP="00A50C48" w:rsidRDefault="00A50C48" w14:paraId="6E26363B" w14:textId="77777777">
      <w:pPr>
        <w:pStyle w:val="ListParagraph"/>
        <w:tabs>
          <w:tab w:val="left" w:pos="-1440"/>
        </w:tabs>
        <w:ind w:left="660"/>
        <w:rPr>
          <w:rFonts w:ascii="Times New Roman" w:hAnsi="Times New Roman"/>
          <w:i/>
          <w:szCs w:val="24"/>
        </w:rPr>
      </w:pPr>
      <w:r w:rsidRPr="00B0142B">
        <w:rPr>
          <w:rFonts w:ascii="Times New Roman" w:hAnsi="Times New Roman"/>
          <w:i/>
          <w:szCs w:val="24"/>
        </w:rPr>
        <w:t>If this information was not collected, or collected less frequently, it would result in a high</w:t>
      </w:r>
    </w:p>
    <w:p w:rsidRPr="00B0142B" w:rsidR="00A50C48" w:rsidP="00A50C48" w:rsidRDefault="00A50C48" w14:paraId="4AFB63E1" w14:textId="77777777">
      <w:pPr>
        <w:pStyle w:val="ListParagraph"/>
        <w:tabs>
          <w:tab w:val="left" w:pos="-1440"/>
        </w:tabs>
        <w:ind w:left="660"/>
        <w:rPr>
          <w:rFonts w:ascii="Times New Roman" w:hAnsi="Times New Roman"/>
          <w:i/>
          <w:szCs w:val="24"/>
        </w:rPr>
      </w:pPr>
      <w:r w:rsidRPr="00B0142B">
        <w:rPr>
          <w:rFonts w:ascii="Times New Roman" w:hAnsi="Times New Roman"/>
          <w:i/>
          <w:szCs w:val="24"/>
        </w:rPr>
        <w:t>potential for:</w:t>
      </w:r>
    </w:p>
    <w:p w:rsidRPr="00B0142B" w:rsidR="00A50C48" w:rsidP="00A50C48" w:rsidRDefault="00A50C48" w14:paraId="29337EB0" w14:textId="77777777">
      <w:pPr>
        <w:pStyle w:val="ListParagraph"/>
        <w:tabs>
          <w:tab w:val="left" w:pos="-1440"/>
        </w:tabs>
        <w:ind w:left="660"/>
        <w:rPr>
          <w:rFonts w:ascii="Times New Roman" w:hAnsi="Times New Roman"/>
          <w:i/>
          <w:szCs w:val="24"/>
        </w:rPr>
      </w:pPr>
      <w:r w:rsidRPr="00B0142B">
        <w:rPr>
          <w:rFonts w:ascii="Times New Roman" w:hAnsi="Times New Roman"/>
          <w:i/>
          <w:szCs w:val="24"/>
        </w:rPr>
        <w:t>1. the mis-assignment of rights to data or inventions,</w:t>
      </w:r>
    </w:p>
    <w:p w:rsidRPr="00B0142B" w:rsidR="00A50C48" w:rsidP="00A50C48" w:rsidRDefault="00A50C48" w14:paraId="378FF882" w14:textId="77777777">
      <w:pPr>
        <w:pStyle w:val="ListParagraph"/>
        <w:tabs>
          <w:tab w:val="left" w:pos="-1440"/>
        </w:tabs>
        <w:ind w:left="660"/>
        <w:rPr>
          <w:rFonts w:ascii="Times New Roman" w:hAnsi="Times New Roman"/>
          <w:i/>
          <w:szCs w:val="24"/>
        </w:rPr>
      </w:pPr>
      <w:r w:rsidRPr="00B0142B">
        <w:rPr>
          <w:rFonts w:ascii="Times New Roman" w:hAnsi="Times New Roman"/>
          <w:i/>
          <w:szCs w:val="24"/>
        </w:rPr>
        <w:t>2. duplicate funding and payment to reproduce already existing data,</w:t>
      </w:r>
    </w:p>
    <w:p w:rsidRPr="00B0142B" w:rsidR="00A50C48" w:rsidP="00A50C48" w:rsidRDefault="00A50C48" w14:paraId="293D7383" w14:textId="77777777">
      <w:pPr>
        <w:pStyle w:val="ListParagraph"/>
        <w:tabs>
          <w:tab w:val="left" w:pos="-1440"/>
        </w:tabs>
        <w:ind w:left="660"/>
        <w:rPr>
          <w:rFonts w:ascii="Times New Roman" w:hAnsi="Times New Roman"/>
          <w:i/>
          <w:szCs w:val="24"/>
        </w:rPr>
      </w:pPr>
      <w:r w:rsidRPr="00B0142B">
        <w:rPr>
          <w:rFonts w:ascii="Times New Roman" w:hAnsi="Times New Roman"/>
          <w:i/>
          <w:szCs w:val="24"/>
        </w:rPr>
        <w:t>3. re-invention, and/or,</w:t>
      </w:r>
    </w:p>
    <w:p w:rsidRPr="00B0142B" w:rsidR="008F7BF2" w:rsidP="00A50C48" w:rsidRDefault="00A50C48" w14:paraId="6637FFE1" w14:textId="35852BBA">
      <w:pPr>
        <w:pStyle w:val="ListParagraph"/>
        <w:tabs>
          <w:tab w:val="left" w:pos="-1440"/>
        </w:tabs>
        <w:ind w:left="660"/>
        <w:rPr>
          <w:rFonts w:ascii="Times New Roman" w:hAnsi="Times New Roman"/>
          <w:b/>
        </w:rPr>
      </w:pPr>
      <w:r w:rsidRPr="00B0142B">
        <w:rPr>
          <w:rFonts w:ascii="Times New Roman" w:hAnsi="Times New Roman"/>
          <w:i/>
          <w:szCs w:val="24"/>
        </w:rPr>
        <w:t>4. unavailability of data or inventions to the public.</w:t>
      </w:r>
    </w:p>
    <w:p w:rsidRPr="00B0142B" w:rsidR="000D4593" w:rsidP="00C61506" w:rsidRDefault="000D4593" w14:paraId="15731B2E" w14:textId="77777777">
      <w:pPr>
        <w:pStyle w:val="BodyText"/>
        <w:rPr>
          <w:rFonts w:ascii="Times New Roman" w:hAnsi="Times New Roman"/>
          <w:i w:val="0"/>
        </w:rPr>
      </w:pPr>
    </w:p>
    <w:p w:rsidRPr="00B0142B" w:rsidR="008F7BF2" w:rsidP="008F7BF2" w:rsidRDefault="005B616E" w14:paraId="181F5767" w14:textId="2F1ACBDF">
      <w:pPr>
        <w:pStyle w:val="ListParagraph"/>
        <w:numPr>
          <w:ilvl w:val="0"/>
          <w:numId w:val="19"/>
        </w:numPr>
        <w:tabs>
          <w:tab w:val="left" w:pos="-1440"/>
        </w:tabs>
        <w:rPr>
          <w:rFonts w:ascii="Times New Roman" w:hAnsi="Times New Roman"/>
          <w:b/>
        </w:rPr>
      </w:pPr>
      <w:r w:rsidRPr="00B0142B">
        <w:rPr>
          <w:rFonts w:ascii="Times New Roman" w:hAnsi="Times New Roman"/>
          <w:b/>
        </w:rPr>
        <w:t>Explain any special circumstances that would cause an information collection to be conducted in a</w:t>
      </w:r>
      <w:r w:rsidRPr="00B0142B" w:rsidR="00B61787">
        <w:rPr>
          <w:rFonts w:ascii="Times New Roman" w:hAnsi="Times New Roman"/>
          <w:b/>
        </w:rPr>
        <w:t>n exceptional</w:t>
      </w:r>
      <w:r w:rsidRPr="00B0142B">
        <w:rPr>
          <w:rFonts w:ascii="Times New Roman" w:hAnsi="Times New Roman"/>
          <w:b/>
        </w:rPr>
        <w:t xml:space="preserve"> manner: </w:t>
      </w:r>
    </w:p>
    <w:p w:rsidRPr="00B0142B" w:rsidR="008F7BF2" w:rsidP="00337526" w:rsidRDefault="00337526" w14:paraId="3DE12ED5" w14:textId="7976D857">
      <w:pPr>
        <w:pStyle w:val="ListParagraph"/>
        <w:ind w:left="1350"/>
        <w:rPr>
          <w:rFonts w:ascii="Times New Roman" w:hAnsi="Times New Roman"/>
          <w:i/>
          <w:szCs w:val="24"/>
        </w:rPr>
      </w:pPr>
      <w:r w:rsidRPr="00B0142B">
        <w:rPr>
          <w:rFonts w:ascii="Times New Roman" w:hAnsi="Times New Roman"/>
          <w:i/>
          <w:szCs w:val="24"/>
        </w:rPr>
        <w:t>Not applicable</w:t>
      </w:r>
    </w:p>
    <w:p w:rsidRPr="00B0142B" w:rsidR="008F7BF2" w:rsidP="008F7BF2" w:rsidRDefault="008F7BF2" w14:paraId="6B957C79" w14:textId="46C86A52">
      <w:pPr>
        <w:pStyle w:val="ListParagraph"/>
        <w:tabs>
          <w:tab w:val="left" w:pos="-1440"/>
        </w:tabs>
        <w:ind w:left="660"/>
        <w:rPr>
          <w:rFonts w:ascii="Times New Roman" w:hAnsi="Times New Roman"/>
          <w:b/>
        </w:rPr>
      </w:pPr>
    </w:p>
    <w:p w:rsidRPr="00B0142B" w:rsidR="000A05C7" w:rsidP="008F7BF2" w:rsidRDefault="000A05C7" w14:paraId="11A39F0A" w14:textId="77777777">
      <w:pPr>
        <w:pStyle w:val="ListParagraph"/>
        <w:tabs>
          <w:tab w:val="left" w:pos="-1440"/>
        </w:tabs>
        <w:ind w:left="660"/>
        <w:rPr>
          <w:rFonts w:ascii="Times New Roman" w:hAnsi="Times New Roman"/>
          <w:b/>
        </w:rPr>
      </w:pPr>
    </w:p>
    <w:p w:rsidRPr="00B0142B" w:rsidR="005B616E" w:rsidP="000A05C7" w:rsidRDefault="005B616E" w14:paraId="1D4D27DF" w14:textId="64E6D73F">
      <w:pPr>
        <w:pStyle w:val="ListParagraph"/>
        <w:numPr>
          <w:ilvl w:val="0"/>
          <w:numId w:val="19"/>
        </w:numPr>
        <w:rPr>
          <w:rFonts w:ascii="Times New Roman" w:hAnsi="Times New Roman"/>
          <w:b/>
        </w:rPr>
      </w:pPr>
      <w:r w:rsidRPr="00B0142B">
        <w:rPr>
          <w:rFonts w:ascii="Times New Roman" w:hAnsi="Times New Roman"/>
          <w:b/>
        </w:rPr>
        <w:t>Provide the date and page number of publication in the Federal Register for the 60-day and 30-day FNRS, required by 5 CFR 1320.8(d), soliciting comments on the information collec</w:t>
      </w:r>
      <w:r w:rsidRPr="00B0142B" w:rsidR="005B1C19">
        <w:rPr>
          <w:rFonts w:ascii="Times New Roman" w:hAnsi="Times New Roman"/>
          <w:b/>
        </w:rPr>
        <w:t>tion prior to submission to OMB</w:t>
      </w:r>
      <w:r w:rsidRPr="00B0142B">
        <w:rPr>
          <w:rFonts w:ascii="Times New Roman" w:hAnsi="Times New Roman"/>
          <w:b/>
        </w:rPr>
        <w:t xml:space="preserve">.  </w:t>
      </w:r>
    </w:p>
    <w:p w:rsidRPr="00B0142B" w:rsidR="00EF313C" w:rsidP="00523999" w:rsidRDefault="00EF313C" w14:paraId="7A21D107" w14:textId="43508E48">
      <w:pPr>
        <w:pStyle w:val="Default"/>
        <w:spacing w:before="120" w:after="120"/>
        <w:ind w:left="630"/>
        <w:rPr>
          <w:rFonts w:ascii="Times New Roman" w:hAnsi="Times New Roman" w:cs="Times New Roman"/>
          <w:color w:val="auto"/>
        </w:rPr>
      </w:pPr>
      <w:r w:rsidRPr="00B0142B">
        <w:rPr>
          <w:rFonts w:ascii="Times New Roman" w:hAnsi="Times New Roman" w:cs="Times New Roman"/>
          <w:b/>
          <w:color w:val="auto"/>
        </w:rPr>
        <w:t>60-day FRN:</w:t>
      </w:r>
      <w:r w:rsidRPr="00B0142B">
        <w:rPr>
          <w:rFonts w:ascii="Times New Roman" w:hAnsi="Times New Roman" w:cs="Times New Roman"/>
          <w:color w:val="auto"/>
        </w:rPr>
        <w:t xml:space="preserve"> Federal Register Volume </w:t>
      </w:r>
      <w:r w:rsidR="002568D2">
        <w:rPr>
          <w:rFonts w:ascii="Times New Roman" w:hAnsi="Times New Roman" w:cs="Times New Roman"/>
          <w:color w:val="auto"/>
        </w:rPr>
        <w:t>86</w:t>
      </w:r>
      <w:r w:rsidRPr="00B0142B">
        <w:rPr>
          <w:rFonts w:ascii="Times New Roman" w:hAnsi="Times New Roman" w:cs="Times New Roman"/>
          <w:color w:val="auto"/>
        </w:rPr>
        <w:t xml:space="preserve">, Number </w:t>
      </w:r>
      <w:r w:rsidR="002568D2">
        <w:rPr>
          <w:rFonts w:ascii="Times New Roman" w:hAnsi="Times New Roman" w:cs="Times New Roman"/>
          <w:color w:val="auto"/>
        </w:rPr>
        <w:t>018</w:t>
      </w:r>
      <w:r w:rsidRPr="00B0142B">
        <w:rPr>
          <w:rFonts w:ascii="Times New Roman" w:hAnsi="Times New Roman" w:cs="Times New Roman"/>
          <w:color w:val="auto"/>
        </w:rPr>
        <w:t xml:space="preserve">, on </w:t>
      </w:r>
      <w:r w:rsidR="002568D2">
        <w:rPr>
          <w:rFonts w:ascii="Times New Roman" w:hAnsi="Times New Roman"/>
        </w:rPr>
        <w:t>01</w:t>
      </w:r>
      <w:r w:rsidRPr="00B0142B">
        <w:rPr>
          <w:rFonts w:ascii="Times New Roman" w:hAnsi="Times New Roman"/>
        </w:rPr>
        <w:t>/</w:t>
      </w:r>
      <w:r w:rsidR="002568D2">
        <w:rPr>
          <w:rFonts w:ascii="Times New Roman" w:hAnsi="Times New Roman"/>
        </w:rPr>
        <w:t>29</w:t>
      </w:r>
      <w:r w:rsidRPr="00B0142B">
        <w:rPr>
          <w:rFonts w:ascii="Times New Roman" w:hAnsi="Times New Roman"/>
        </w:rPr>
        <w:t>/</w:t>
      </w:r>
      <w:r w:rsidR="002568D2">
        <w:rPr>
          <w:rFonts w:ascii="Times New Roman" w:hAnsi="Times New Roman"/>
        </w:rPr>
        <w:t>2021</w:t>
      </w:r>
      <w:r w:rsidRPr="00B0142B">
        <w:rPr>
          <w:rFonts w:ascii="Times New Roman" w:hAnsi="Times New Roman" w:cs="Times New Roman"/>
          <w:color w:val="auto"/>
        </w:rPr>
        <w:t>. No comments were received.</w:t>
      </w:r>
    </w:p>
    <w:p w:rsidRPr="00B0142B" w:rsidR="00EF313C" w:rsidP="00523999" w:rsidRDefault="00EF313C" w14:paraId="7E5CF94B" w14:textId="0419DDB2">
      <w:pPr>
        <w:pStyle w:val="Default"/>
        <w:spacing w:before="120"/>
        <w:ind w:left="630"/>
        <w:rPr>
          <w:rFonts w:ascii="Times New Roman" w:hAnsi="Times New Roman" w:cs="Times New Roman"/>
          <w:color w:val="auto"/>
        </w:rPr>
      </w:pPr>
      <w:r w:rsidRPr="00B0142B">
        <w:rPr>
          <w:rFonts w:ascii="Times New Roman" w:hAnsi="Times New Roman" w:cs="Times New Roman"/>
          <w:b/>
          <w:color w:val="auto"/>
        </w:rPr>
        <w:t>30-day FRN:</w:t>
      </w:r>
      <w:r w:rsidRPr="00B0142B">
        <w:rPr>
          <w:rFonts w:ascii="Times New Roman" w:hAnsi="Times New Roman" w:cs="Times New Roman"/>
          <w:color w:val="auto"/>
        </w:rPr>
        <w:t xml:space="preserve"> Federal Register Volume </w:t>
      </w:r>
      <w:r w:rsidR="002568D2">
        <w:rPr>
          <w:rFonts w:ascii="Times New Roman" w:hAnsi="Times New Roman" w:cs="Times New Roman"/>
          <w:color w:val="auto"/>
        </w:rPr>
        <w:t>86</w:t>
      </w:r>
      <w:r w:rsidRPr="00B0142B">
        <w:rPr>
          <w:rFonts w:ascii="Times New Roman" w:hAnsi="Times New Roman" w:cs="Times New Roman"/>
          <w:color w:val="auto"/>
        </w:rPr>
        <w:t xml:space="preserve">, Number </w:t>
      </w:r>
      <w:r w:rsidR="002568D2">
        <w:rPr>
          <w:rFonts w:ascii="Times New Roman" w:hAnsi="Times New Roman" w:cs="Times New Roman"/>
          <w:color w:val="auto"/>
        </w:rPr>
        <w:t>069</w:t>
      </w:r>
      <w:r w:rsidRPr="00B0142B">
        <w:rPr>
          <w:rFonts w:ascii="Times New Roman" w:hAnsi="Times New Roman" w:cs="Times New Roman"/>
          <w:color w:val="auto"/>
        </w:rPr>
        <w:t xml:space="preserve">, on </w:t>
      </w:r>
      <w:r w:rsidR="002568D2">
        <w:rPr>
          <w:rFonts w:ascii="Times New Roman" w:hAnsi="Times New Roman" w:cs="Times New Roman"/>
          <w:color w:val="auto"/>
        </w:rPr>
        <w:t>04</w:t>
      </w:r>
      <w:r w:rsidRPr="00B0142B">
        <w:rPr>
          <w:rFonts w:ascii="Times New Roman" w:hAnsi="Times New Roman" w:cs="Times New Roman"/>
          <w:color w:val="auto"/>
        </w:rPr>
        <w:t>/</w:t>
      </w:r>
      <w:r w:rsidR="002568D2">
        <w:rPr>
          <w:rFonts w:ascii="Times New Roman" w:hAnsi="Times New Roman" w:cs="Times New Roman"/>
          <w:color w:val="auto"/>
        </w:rPr>
        <w:t>13</w:t>
      </w:r>
      <w:r w:rsidRPr="00B0142B">
        <w:rPr>
          <w:rFonts w:ascii="Times New Roman" w:hAnsi="Times New Roman" w:cs="Times New Roman"/>
          <w:color w:val="auto"/>
        </w:rPr>
        <w:t>/</w:t>
      </w:r>
      <w:r w:rsidR="002568D2">
        <w:rPr>
          <w:rFonts w:ascii="Times New Roman" w:hAnsi="Times New Roman" w:cs="Times New Roman"/>
          <w:color w:val="auto"/>
        </w:rPr>
        <w:t>2021</w:t>
      </w:r>
      <w:r w:rsidRPr="00B0142B">
        <w:rPr>
          <w:rFonts w:ascii="Times New Roman" w:hAnsi="Times New Roman" w:cs="Times New Roman"/>
          <w:color w:val="auto"/>
        </w:rPr>
        <w:t>. No comments were received.</w:t>
      </w:r>
    </w:p>
    <w:p w:rsidRPr="00B0142B" w:rsidR="00EF313C" w:rsidP="000A05C7" w:rsidRDefault="00EF313C" w14:paraId="6366CF0B" w14:textId="06DC6B6D">
      <w:pPr>
        <w:rPr>
          <w:b/>
        </w:rPr>
      </w:pPr>
    </w:p>
    <w:p w:rsidRPr="00B0142B" w:rsidR="000A05C7" w:rsidP="005B616E" w:rsidRDefault="000A05C7" w14:paraId="5111D86A" w14:textId="77777777">
      <w:pPr>
        <w:rPr>
          <w:b/>
        </w:rPr>
      </w:pPr>
    </w:p>
    <w:p w:rsidRPr="00B0142B" w:rsidR="005B616E" w:rsidP="00DE19EE" w:rsidRDefault="005B616E" w14:paraId="003E53EE" w14:textId="47FCB21B">
      <w:pPr>
        <w:pStyle w:val="ListParagraph"/>
        <w:numPr>
          <w:ilvl w:val="0"/>
          <w:numId w:val="19"/>
        </w:numPr>
        <w:tabs>
          <w:tab w:val="left" w:pos="-1440"/>
        </w:tabs>
        <w:rPr>
          <w:rFonts w:ascii="Times New Roman" w:hAnsi="Times New Roman"/>
          <w:b/>
        </w:rPr>
      </w:pPr>
      <w:r w:rsidRPr="00B0142B">
        <w:rPr>
          <w:rFonts w:ascii="Times New Roman" w:hAnsi="Times New Roman"/>
          <w:b/>
        </w:rPr>
        <w:t xml:space="preserve">Explain any decision to provide any payment or gift to respondents, other than remuneration of contractors or grantees.  </w:t>
      </w:r>
    </w:p>
    <w:p w:rsidRPr="00B0142B" w:rsidR="00DE19EE" w:rsidP="00DE19EE" w:rsidRDefault="00337526" w14:paraId="44499DF5" w14:textId="3C5F2DFD">
      <w:pPr>
        <w:pStyle w:val="ListParagraph"/>
        <w:tabs>
          <w:tab w:val="left" w:pos="-1440"/>
        </w:tabs>
        <w:ind w:left="660"/>
        <w:rPr>
          <w:rFonts w:ascii="Times New Roman" w:hAnsi="Times New Roman"/>
          <w:b/>
        </w:rPr>
      </w:pPr>
      <w:r w:rsidRPr="00B0142B">
        <w:rPr>
          <w:rFonts w:ascii="Times New Roman" w:hAnsi="Times New Roman"/>
          <w:i/>
          <w:szCs w:val="24"/>
        </w:rPr>
        <w:t>Not applicable.</w:t>
      </w:r>
    </w:p>
    <w:p w:rsidRPr="00B0142B" w:rsidR="005B616E" w:rsidP="005B616E" w:rsidRDefault="005B616E" w14:paraId="7226768C" w14:textId="122AC874">
      <w:pPr>
        <w:pStyle w:val="BodyTextIndent3"/>
        <w:rPr>
          <w:rFonts w:ascii="Times New Roman" w:hAnsi="Times New Roman"/>
        </w:rPr>
      </w:pPr>
    </w:p>
    <w:p w:rsidRPr="00B0142B" w:rsidR="00523999" w:rsidP="005B616E" w:rsidRDefault="00523999" w14:paraId="0E58CCFB" w14:textId="77777777">
      <w:pPr>
        <w:pStyle w:val="BodyTextIndent3"/>
        <w:rPr>
          <w:rFonts w:ascii="Times New Roman" w:hAnsi="Times New Roman"/>
        </w:rPr>
      </w:pPr>
    </w:p>
    <w:p w:rsidRPr="00B0142B" w:rsidR="00E64757" w:rsidP="00E64757" w:rsidRDefault="005B616E" w14:paraId="56C90585" w14:textId="77777777">
      <w:pPr>
        <w:pStyle w:val="ListParagraph"/>
        <w:numPr>
          <w:ilvl w:val="0"/>
          <w:numId w:val="19"/>
        </w:numPr>
        <w:tabs>
          <w:tab w:val="left" w:pos="-1440"/>
        </w:tabs>
        <w:rPr>
          <w:rFonts w:ascii="Times New Roman" w:hAnsi="Times New Roman"/>
          <w:b/>
        </w:rPr>
      </w:pPr>
      <w:r w:rsidRPr="00B0142B">
        <w:rPr>
          <w:rFonts w:ascii="Times New Roman" w:hAnsi="Times New Roman"/>
          <w:b/>
        </w:rPr>
        <w:t>Describe any assurance of confidentiality provided to respondents and the basis for the assurance in statute, regulation, or agency policy.</w:t>
      </w:r>
    </w:p>
    <w:p w:rsidRPr="00B0142B" w:rsidR="00670181" w:rsidP="00337526" w:rsidRDefault="00337526" w14:paraId="7CA7FF7C" w14:textId="2CB3727E">
      <w:pPr>
        <w:autoSpaceDE w:val="0"/>
        <w:autoSpaceDN w:val="0"/>
        <w:adjustRightInd w:val="0"/>
        <w:ind w:left="660"/>
        <w:rPr>
          <w:i/>
          <w:snapToGrid w:val="0"/>
        </w:rPr>
      </w:pPr>
      <w:r w:rsidRPr="00B0142B">
        <w:rPr>
          <w:i/>
        </w:rPr>
        <w:t>The confidentiality of this information is governed by patent statutes, the Freedom of Information Act, and contract clauses.</w:t>
      </w:r>
    </w:p>
    <w:p w:rsidRPr="00B0142B" w:rsidR="006C68FB" w:rsidP="006C68FB" w:rsidRDefault="006C68FB" w14:paraId="0E6F3AEF" w14:textId="77777777">
      <w:pPr>
        <w:pStyle w:val="BodyText"/>
        <w:rPr>
          <w:rFonts w:ascii="Times New Roman" w:hAnsi="Times New Roman"/>
          <w:i w:val="0"/>
        </w:rPr>
      </w:pPr>
    </w:p>
    <w:p w:rsidRPr="00B0142B" w:rsidR="006C68FB" w:rsidP="006C68FB" w:rsidRDefault="006C68FB" w14:paraId="5C349014" w14:textId="6FC1557F">
      <w:pPr>
        <w:pStyle w:val="ListParagraph"/>
        <w:numPr>
          <w:ilvl w:val="0"/>
          <w:numId w:val="19"/>
        </w:numPr>
        <w:tabs>
          <w:tab w:val="left" w:pos="-1440"/>
        </w:tabs>
        <w:rPr>
          <w:rFonts w:ascii="Times New Roman" w:hAnsi="Times New Roman"/>
          <w:b/>
        </w:rPr>
      </w:pPr>
      <w:r w:rsidRPr="00B0142B">
        <w:rPr>
          <w:rFonts w:ascii="Times New Roman" w:hAnsi="Times New Roman"/>
          <w:b/>
        </w:rPr>
        <w:t>Provide additional justification for any questions of a sensitive nature, such as sexual behavior and attitudes, religious beliefs, and other matters that are commonly considered private.</w:t>
      </w:r>
    </w:p>
    <w:p w:rsidRPr="00B0142B" w:rsidR="00E64757" w:rsidP="00E64757" w:rsidRDefault="00337526" w14:paraId="1909E7EE" w14:textId="18145863">
      <w:pPr>
        <w:pStyle w:val="ListParagraph"/>
        <w:tabs>
          <w:tab w:val="left" w:pos="440"/>
          <w:tab w:val="left" w:pos="770"/>
        </w:tabs>
        <w:ind w:left="660"/>
        <w:rPr>
          <w:rFonts w:ascii="Times New Roman" w:hAnsi="Times New Roman"/>
          <w:i/>
          <w:szCs w:val="24"/>
        </w:rPr>
      </w:pPr>
      <w:r w:rsidRPr="00B0142B">
        <w:rPr>
          <w:rFonts w:ascii="Times New Roman" w:hAnsi="Times New Roman"/>
          <w:i/>
          <w:szCs w:val="24"/>
        </w:rPr>
        <w:t>Not applicable.</w:t>
      </w:r>
    </w:p>
    <w:p w:rsidRPr="00B0142B" w:rsidR="004A0E26" w:rsidP="004A0E26" w:rsidRDefault="004A0E26" w14:paraId="27FF7F66" w14:textId="77777777">
      <w:pPr>
        <w:pStyle w:val="ListParagraph"/>
        <w:tabs>
          <w:tab w:val="left" w:pos="-1440"/>
        </w:tabs>
        <w:ind w:left="660"/>
        <w:rPr>
          <w:rFonts w:ascii="Times New Roman" w:hAnsi="Times New Roman"/>
          <w:i/>
        </w:rPr>
      </w:pPr>
    </w:p>
    <w:p w:rsidRPr="00B0142B" w:rsidR="004A0E26" w:rsidP="00146766" w:rsidRDefault="004A0E2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B0142B">
        <w:rPr>
          <w:rFonts w:ascii="Times New Roman" w:hAnsi="Times New Roman"/>
          <w:b/>
        </w:rPr>
        <w:t>Provide estimates of the hour burden of the collection of information.</w:t>
      </w:r>
    </w:p>
    <w:p w:rsidRPr="00B0142B" w:rsidR="004A0E26" w:rsidP="004A0E26" w:rsidRDefault="004A0E26" w14:paraId="756A63F7" w14:textId="77777777">
      <w:pPr>
        <w:pStyle w:val="ListParagraph"/>
        <w:tabs>
          <w:tab w:val="left" w:pos="540"/>
        </w:tabs>
        <w:ind w:left="660"/>
        <w:rPr>
          <w:rFonts w:ascii="Times New Roman" w:hAnsi="Times New Roman"/>
          <w:i/>
          <w:szCs w:val="24"/>
        </w:rPr>
      </w:pPr>
      <w:r w:rsidRPr="00B0142B">
        <w:rPr>
          <w:rFonts w:ascii="Times New Roman" w:hAnsi="Times New Roman"/>
          <w:i/>
          <w:szCs w:val="24"/>
        </w:rPr>
        <w:t>Provide estimates of the hour burden of the collection of information.</w:t>
      </w:r>
    </w:p>
    <w:p w:rsidRPr="00B0142B" w:rsidR="004A0E26" w:rsidP="004A0E26" w:rsidRDefault="004A0E26" w14:paraId="0D89E522" w14:textId="3A73C8ED">
      <w:pPr>
        <w:pStyle w:val="ListParagraph"/>
        <w:tabs>
          <w:tab w:val="left" w:pos="540"/>
        </w:tabs>
        <w:ind w:left="660"/>
        <w:rPr>
          <w:rFonts w:ascii="Times New Roman" w:hAnsi="Times New Roman"/>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Pr="00B0142B" w:rsidR="004A0E26" w:rsidTr="00920DAE" w14:paraId="08218E47" w14:textId="77777777">
        <w:tc>
          <w:tcPr>
            <w:tcW w:w="2394" w:type="dxa"/>
            <w:shd w:val="clear" w:color="auto" w:fill="auto"/>
          </w:tcPr>
          <w:p w:rsidRPr="00B0142B" w:rsidR="004A0E26" w:rsidP="00920DAE" w:rsidRDefault="004A0E26" w14:paraId="7E27FA20" w14:textId="77777777">
            <w:pPr>
              <w:autoSpaceDE w:val="0"/>
              <w:autoSpaceDN w:val="0"/>
              <w:adjustRightInd w:val="0"/>
            </w:pPr>
            <w:r w:rsidRPr="00B0142B">
              <w:lastRenderedPageBreak/>
              <w:t>RESPONDENT CATEGORY</w:t>
            </w:r>
          </w:p>
        </w:tc>
        <w:tc>
          <w:tcPr>
            <w:tcW w:w="2394" w:type="dxa"/>
            <w:shd w:val="clear" w:color="auto" w:fill="auto"/>
          </w:tcPr>
          <w:p w:rsidRPr="00B0142B" w:rsidR="004A0E26" w:rsidP="00920DAE" w:rsidRDefault="004A0E26" w14:paraId="5EB3A757" w14:textId="77777777">
            <w:pPr>
              <w:autoSpaceDE w:val="0"/>
              <w:autoSpaceDN w:val="0"/>
              <w:adjustRightInd w:val="0"/>
            </w:pPr>
            <w:r w:rsidRPr="00B0142B">
              <w:t>NUMBER OF RESPONDENTS</w:t>
            </w:r>
          </w:p>
        </w:tc>
        <w:tc>
          <w:tcPr>
            <w:tcW w:w="2394" w:type="dxa"/>
            <w:shd w:val="clear" w:color="auto" w:fill="auto"/>
          </w:tcPr>
          <w:p w:rsidRPr="00B0142B" w:rsidR="004A0E26" w:rsidP="00920DAE" w:rsidRDefault="004A0E26" w14:paraId="2D27AF6A" w14:textId="77777777">
            <w:pPr>
              <w:autoSpaceDE w:val="0"/>
              <w:autoSpaceDN w:val="0"/>
              <w:adjustRightInd w:val="0"/>
            </w:pPr>
            <w:r w:rsidRPr="00B0142B">
              <w:t>ESTIMATED COMPLETION TIME</w:t>
            </w:r>
          </w:p>
        </w:tc>
        <w:tc>
          <w:tcPr>
            <w:tcW w:w="2394" w:type="dxa"/>
            <w:shd w:val="clear" w:color="auto" w:fill="auto"/>
          </w:tcPr>
          <w:p w:rsidRPr="00B0142B" w:rsidR="004A0E26" w:rsidP="00920DAE" w:rsidRDefault="004A0E26" w14:paraId="6681442E" w14:textId="77777777">
            <w:pPr>
              <w:autoSpaceDE w:val="0"/>
              <w:autoSpaceDN w:val="0"/>
              <w:adjustRightInd w:val="0"/>
            </w:pPr>
            <w:r w:rsidRPr="00B0142B">
              <w:t>ANNUAL BURDEN</w:t>
            </w:r>
          </w:p>
        </w:tc>
      </w:tr>
      <w:tr w:rsidRPr="00B0142B" w:rsidR="004A0E26" w:rsidTr="00920DAE" w14:paraId="41154100" w14:textId="77777777">
        <w:tc>
          <w:tcPr>
            <w:tcW w:w="2394" w:type="dxa"/>
            <w:shd w:val="clear" w:color="auto" w:fill="auto"/>
          </w:tcPr>
          <w:p w:rsidRPr="00B0142B" w:rsidR="004A0E26" w:rsidP="00920DAE" w:rsidRDefault="00337526" w14:paraId="0A5BED0C" w14:textId="143552AC">
            <w:pPr>
              <w:autoSpaceDE w:val="0"/>
              <w:autoSpaceDN w:val="0"/>
              <w:adjustRightInd w:val="0"/>
            </w:pPr>
            <w:r w:rsidRPr="00B0142B">
              <w:t>Individuals reporting patent/data information</w:t>
            </w:r>
          </w:p>
        </w:tc>
        <w:tc>
          <w:tcPr>
            <w:tcW w:w="2394" w:type="dxa"/>
            <w:shd w:val="clear" w:color="auto" w:fill="auto"/>
          </w:tcPr>
          <w:p w:rsidRPr="00B0142B" w:rsidR="004A0E26" w:rsidP="00920DAE" w:rsidRDefault="00337526" w14:paraId="03A1A221" w14:textId="0BA1F5A8">
            <w:pPr>
              <w:autoSpaceDE w:val="0"/>
              <w:autoSpaceDN w:val="0"/>
              <w:adjustRightInd w:val="0"/>
            </w:pPr>
            <w:r w:rsidRPr="00B0142B">
              <w:t>3372</w:t>
            </w:r>
          </w:p>
        </w:tc>
        <w:tc>
          <w:tcPr>
            <w:tcW w:w="2394" w:type="dxa"/>
            <w:shd w:val="clear" w:color="auto" w:fill="auto"/>
          </w:tcPr>
          <w:p w:rsidRPr="00B0142B" w:rsidR="004A0E26" w:rsidP="00920DAE" w:rsidRDefault="00337526" w14:paraId="6AD58B60" w14:textId="667184F4">
            <w:pPr>
              <w:autoSpaceDE w:val="0"/>
              <w:autoSpaceDN w:val="0"/>
              <w:adjustRightInd w:val="0"/>
            </w:pPr>
            <w:r w:rsidRPr="00B0142B">
              <w:t>3 hours</w:t>
            </w:r>
          </w:p>
        </w:tc>
        <w:tc>
          <w:tcPr>
            <w:tcW w:w="2394" w:type="dxa"/>
            <w:shd w:val="clear" w:color="auto" w:fill="auto"/>
          </w:tcPr>
          <w:p w:rsidRPr="00B0142B" w:rsidR="004A0E26" w:rsidP="00920DAE" w:rsidRDefault="00337526" w14:paraId="1D50D558" w14:textId="2FE90050">
            <w:pPr>
              <w:autoSpaceDE w:val="0"/>
              <w:autoSpaceDN w:val="0"/>
              <w:adjustRightInd w:val="0"/>
            </w:pPr>
            <w:r w:rsidRPr="00B0142B">
              <w:t>10,116</w:t>
            </w:r>
          </w:p>
        </w:tc>
      </w:tr>
      <w:tr w:rsidRPr="00B0142B" w:rsidR="004A0E26" w:rsidTr="00920DAE" w14:paraId="316C04D9" w14:textId="77777777">
        <w:tc>
          <w:tcPr>
            <w:tcW w:w="2394" w:type="dxa"/>
            <w:shd w:val="clear" w:color="auto" w:fill="auto"/>
          </w:tcPr>
          <w:p w:rsidRPr="00B0142B" w:rsidR="004A0E26" w:rsidP="00920DAE" w:rsidRDefault="004A0E26" w14:paraId="676B6108" w14:textId="77777777">
            <w:pPr>
              <w:autoSpaceDE w:val="0"/>
              <w:autoSpaceDN w:val="0"/>
              <w:adjustRightInd w:val="0"/>
            </w:pPr>
          </w:p>
        </w:tc>
        <w:tc>
          <w:tcPr>
            <w:tcW w:w="2394" w:type="dxa"/>
            <w:shd w:val="clear" w:color="auto" w:fill="auto"/>
          </w:tcPr>
          <w:p w:rsidRPr="00B0142B" w:rsidR="004A0E26" w:rsidP="00920DAE" w:rsidRDefault="004A0E26" w14:paraId="1D766D6A" w14:textId="77777777">
            <w:pPr>
              <w:autoSpaceDE w:val="0"/>
              <w:autoSpaceDN w:val="0"/>
              <w:adjustRightInd w:val="0"/>
            </w:pPr>
          </w:p>
        </w:tc>
        <w:tc>
          <w:tcPr>
            <w:tcW w:w="2394" w:type="dxa"/>
            <w:shd w:val="clear" w:color="auto" w:fill="auto"/>
          </w:tcPr>
          <w:p w:rsidRPr="00B0142B" w:rsidR="004A0E26" w:rsidP="00920DAE" w:rsidRDefault="004A0E26" w14:paraId="6350387F" w14:textId="77777777">
            <w:pPr>
              <w:autoSpaceDE w:val="0"/>
              <w:autoSpaceDN w:val="0"/>
              <w:adjustRightInd w:val="0"/>
            </w:pPr>
          </w:p>
        </w:tc>
        <w:tc>
          <w:tcPr>
            <w:tcW w:w="2394" w:type="dxa"/>
            <w:shd w:val="clear" w:color="auto" w:fill="auto"/>
          </w:tcPr>
          <w:p w:rsidRPr="00B0142B" w:rsidR="004A0E26" w:rsidP="00920DAE" w:rsidRDefault="004A0E26" w14:paraId="17945ACC" w14:textId="77777777">
            <w:pPr>
              <w:autoSpaceDE w:val="0"/>
              <w:autoSpaceDN w:val="0"/>
              <w:adjustRightInd w:val="0"/>
            </w:pPr>
          </w:p>
        </w:tc>
      </w:tr>
      <w:tr w:rsidRPr="00B0142B" w:rsidR="004A0E26" w:rsidTr="00920DAE" w14:paraId="54CA9550" w14:textId="77777777">
        <w:tc>
          <w:tcPr>
            <w:tcW w:w="2394" w:type="dxa"/>
            <w:shd w:val="clear" w:color="auto" w:fill="auto"/>
          </w:tcPr>
          <w:p w:rsidRPr="00B0142B" w:rsidR="004A0E26" w:rsidP="00920DAE" w:rsidRDefault="004A0E26" w14:paraId="1802D047" w14:textId="77777777">
            <w:pPr>
              <w:autoSpaceDE w:val="0"/>
              <w:autoSpaceDN w:val="0"/>
              <w:adjustRightInd w:val="0"/>
              <w:rPr>
                <w:b/>
              </w:rPr>
            </w:pPr>
            <w:r w:rsidRPr="00B0142B">
              <w:rPr>
                <w:b/>
              </w:rPr>
              <w:t>TOTAL</w:t>
            </w:r>
          </w:p>
        </w:tc>
        <w:tc>
          <w:tcPr>
            <w:tcW w:w="2394" w:type="dxa"/>
            <w:shd w:val="clear" w:color="auto" w:fill="auto"/>
          </w:tcPr>
          <w:p w:rsidRPr="00B0142B" w:rsidR="004A0E26" w:rsidP="00920DAE" w:rsidRDefault="00337526" w14:paraId="3EFCE64C" w14:textId="3390F15B">
            <w:pPr>
              <w:autoSpaceDE w:val="0"/>
              <w:autoSpaceDN w:val="0"/>
              <w:adjustRightInd w:val="0"/>
              <w:rPr>
                <w:b/>
              </w:rPr>
            </w:pPr>
            <w:r w:rsidRPr="00B0142B">
              <w:rPr>
                <w:b/>
              </w:rPr>
              <w:t>3372</w:t>
            </w:r>
          </w:p>
        </w:tc>
        <w:tc>
          <w:tcPr>
            <w:tcW w:w="2394" w:type="dxa"/>
            <w:shd w:val="clear" w:color="auto" w:fill="auto"/>
          </w:tcPr>
          <w:p w:rsidRPr="00B0142B" w:rsidR="004A0E26" w:rsidP="00920DAE" w:rsidRDefault="00337526" w14:paraId="071BB56C" w14:textId="6DCE6003">
            <w:pPr>
              <w:autoSpaceDE w:val="0"/>
              <w:autoSpaceDN w:val="0"/>
              <w:adjustRightInd w:val="0"/>
              <w:rPr>
                <w:b/>
              </w:rPr>
            </w:pPr>
            <w:r w:rsidRPr="00B0142B">
              <w:rPr>
                <w:b/>
              </w:rPr>
              <w:t>3 hours</w:t>
            </w:r>
          </w:p>
        </w:tc>
        <w:tc>
          <w:tcPr>
            <w:tcW w:w="2394" w:type="dxa"/>
            <w:shd w:val="clear" w:color="auto" w:fill="auto"/>
          </w:tcPr>
          <w:p w:rsidRPr="00B0142B" w:rsidR="004A0E26" w:rsidP="00920DAE" w:rsidRDefault="00337526" w14:paraId="4D0BB278" w14:textId="0692B2FD">
            <w:pPr>
              <w:autoSpaceDE w:val="0"/>
              <w:autoSpaceDN w:val="0"/>
              <w:adjustRightInd w:val="0"/>
              <w:rPr>
                <w:b/>
              </w:rPr>
            </w:pPr>
            <w:r w:rsidRPr="00B0142B">
              <w:rPr>
                <w:b/>
              </w:rPr>
              <w:t>10,116 Hours</w:t>
            </w:r>
          </w:p>
        </w:tc>
      </w:tr>
    </w:tbl>
    <w:p w:rsidRPr="00B0142B"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B0142B"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B0142B" w:rsidR="004A0E26" w:rsidP="004A0E26" w:rsidRDefault="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B0142B">
        <w:rPr>
          <w:rFonts w:ascii="Times New Roman" w:hAnsi="Times New Roman"/>
          <w:b/>
        </w:rPr>
        <w:t>Provide an estimate of the total annual cost burden to respondents or record keepers resulting from the collection of information.</w:t>
      </w:r>
    </w:p>
    <w:p w:rsidRPr="00B0142B" w:rsidR="00337526" w:rsidP="00337526" w:rsidRDefault="00337526" w14:paraId="057FE1DC" w14:textId="602D8869">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i/>
          <w:szCs w:val="24"/>
        </w:rPr>
      </w:pPr>
      <w:r w:rsidRPr="00B0142B">
        <w:rPr>
          <w:rFonts w:ascii="Times New Roman" w:hAnsi="Times New Roman"/>
          <w:i/>
          <w:szCs w:val="24"/>
        </w:rPr>
        <w:t>Estimated annual costs to the contractors are calculated by multiplying the estimated hours for preparation of patent reports (see item 12) by an estimated cost rate of $51.23* per hour. This totals $518,</w:t>
      </w:r>
      <w:r w:rsidR="000049E6">
        <w:rPr>
          <w:rFonts w:ascii="Times New Roman" w:hAnsi="Times New Roman"/>
          <w:i/>
          <w:szCs w:val="24"/>
        </w:rPr>
        <w:t>243.</w:t>
      </w:r>
      <w:bookmarkStart w:name="_GoBack" w:id="0"/>
      <w:bookmarkEnd w:id="0"/>
    </w:p>
    <w:p w:rsidRPr="00B0142B" w:rsidR="00337526" w:rsidP="00337526" w:rsidRDefault="00337526" w14:paraId="160859B7" w14:textId="108A568E">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i/>
          <w:szCs w:val="24"/>
        </w:rPr>
      </w:pPr>
      <w:r w:rsidRPr="00B0142B">
        <w:rPr>
          <w:rFonts w:ascii="Times New Roman" w:hAnsi="Times New Roman"/>
          <w:i/>
          <w:szCs w:val="24"/>
        </w:rPr>
        <w:t>* Labor rates utilized is that of a GS-14 (2020) as that pay level closely represents the</w:t>
      </w:r>
    </w:p>
    <w:p w:rsidRPr="00B0142B" w:rsidR="00146766" w:rsidP="00337526" w:rsidRDefault="00337526" w14:paraId="1F1209FE" w14:textId="59667C13">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r w:rsidRPr="00B0142B">
        <w:rPr>
          <w:rFonts w:ascii="Times New Roman" w:hAnsi="Times New Roman"/>
          <w:i/>
          <w:szCs w:val="24"/>
        </w:rPr>
        <w:t>pay and skill level of a contractor employee preparing these reports.</w:t>
      </w:r>
      <w:r w:rsidRPr="00B0142B" w:rsidR="00562268">
        <w:rPr>
          <w:rFonts w:ascii="Times New Roman" w:hAnsi="Times New Roman"/>
          <w:b/>
        </w:rPr>
        <w:br/>
      </w:r>
    </w:p>
    <w:p w:rsidRPr="00B0142B" w:rsidR="007F1F34" w:rsidP="007F1F34" w:rsidRDefault="007F1F34" w14:paraId="7C5E6247" w14:textId="77777777">
      <w:pPr>
        <w:tabs>
          <w:tab w:val="left" w:pos="440"/>
          <w:tab w:val="left" w:pos="770"/>
        </w:tabs>
      </w:pPr>
    </w:p>
    <w:p w:rsidRPr="00B0142B" w:rsidR="003763E0" w:rsidP="004D0670" w:rsidRDefault="007F1F34" w14:paraId="2186D2F1" w14:textId="0A0660DE">
      <w:pPr>
        <w:pStyle w:val="ListParagraph"/>
        <w:numPr>
          <w:ilvl w:val="0"/>
          <w:numId w:val="19"/>
        </w:numPr>
        <w:tabs>
          <w:tab w:val="clear" w:pos="660"/>
          <w:tab w:val="left" w:pos="630"/>
          <w:tab w:val="left" w:pos="770"/>
          <w:tab w:val="num" w:pos="900"/>
        </w:tabs>
        <w:rPr>
          <w:rFonts w:ascii="Times New Roman" w:hAnsi="Times New Roman"/>
          <w:b/>
          <w:szCs w:val="24"/>
        </w:rPr>
      </w:pPr>
      <w:r w:rsidRPr="00B0142B">
        <w:rPr>
          <w:rFonts w:ascii="Times New Roman" w:hAnsi="Times New Roman"/>
          <w:b/>
          <w:szCs w:val="24"/>
        </w:rPr>
        <w:t xml:space="preserve">Cost to the Federal Government:  Provide estimates of </w:t>
      </w:r>
      <w:r w:rsidRPr="00B0142B" w:rsidR="00146766">
        <w:rPr>
          <w:rFonts w:ascii="Times New Roman" w:hAnsi="Times New Roman"/>
          <w:b/>
          <w:szCs w:val="24"/>
        </w:rPr>
        <w:t xml:space="preserve">annualized costs to the Federal </w:t>
      </w:r>
      <w:r w:rsidRPr="00B0142B">
        <w:rPr>
          <w:rFonts w:ascii="Times New Roman" w:hAnsi="Times New Roman"/>
          <w:b/>
          <w:szCs w:val="24"/>
        </w:rPr>
        <w:t xml:space="preserve">government. </w:t>
      </w:r>
    </w:p>
    <w:p w:rsidRPr="00B0142B" w:rsidR="00274E14" w:rsidP="00274E14" w:rsidRDefault="00274E14" w14:paraId="7ABE3920" w14:textId="38B42124">
      <w:pPr>
        <w:pStyle w:val="ListParagraph"/>
        <w:tabs>
          <w:tab w:val="left" w:pos="440"/>
          <w:tab w:val="left" w:pos="770"/>
        </w:tabs>
        <w:ind w:left="660"/>
        <w:rPr>
          <w:rFonts w:ascii="Times New Roman" w:hAnsi="Times New Roman"/>
          <w:i/>
          <w:szCs w:val="24"/>
        </w:rPr>
      </w:pPr>
      <w:r w:rsidRPr="00B0142B">
        <w:rPr>
          <w:rFonts w:ascii="Times New Roman" w:hAnsi="Times New Roman"/>
          <w:i/>
          <w:szCs w:val="24"/>
        </w:rPr>
        <w:t>Estimated annual costs to the Federal Government are calculated by multiplying the estimated hours</w:t>
      </w:r>
      <w:r w:rsidRPr="00B0142B" w:rsidR="00EF4BB0">
        <w:rPr>
          <w:rFonts w:ascii="Times New Roman" w:hAnsi="Times New Roman"/>
          <w:i/>
          <w:szCs w:val="24"/>
        </w:rPr>
        <w:t xml:space="preserve"> </w:t>
      </w:r>
      <w:r w:rsidRPr="00B0142B">
        <w:rPr>
          <w:rFonts w:ascii="Times New Roman" w:hAnsi="Times New Roman"/>
          <w:i/>
          <w:szCs w:val="24"/>
        </w:rPr>
        <w:t xml:space="preserve">to review the patent report (1 hour per report) by an estimated cost of $51.23* per hour.  This totals </w:t>
      </w:r>
      <w:r w:rsidRPr="00B0142B" w:rsidR="00EF4BB0">
        <w:rPr>
          <w:rFonts w:ascii="Times New Roman" w:hAnsi="Times New Roman"/>
          <w:i/>
          <w:szCs w:val="24"/>
        </w:rPr>
        <w:t>$172,747.56.</w:t>
      </w:r>
    </w:p>
    <w:p w:rsidRPr="00B0142B" w:rsidR="00274E14" w:rsidP="00274E14" w:rsidRDefault="00274E14" w14:paraId="2621FFB7" w14:textId="3E1E3FF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i/>
          <w:szCs w:val="24"/>
        </w:rPr>
      </w:pPr>
      <w:r w:rsidRPr="00B0142B">
        <w:rPr>
          <w:rFonts w:ascii="Times New Roman" w:hAnsi="Times New Roman"/>
          <w:i/>
          <w:szCs w:val="24"/>
        </w:rPr>
        <w:t>*  Labor rates utilized is that of a GS-14 (2020) as that pay level closely represents the</w:t>
      </w:r>
    </w:p>
    <w:p w:rsidRPr="00B0142B" w:rsidR="004A0E26" w:rsidP="00274E14" w:rsidRDefault="00274E14" w14:paraId="31BED940" w14:textId="1E6EBC26">
      <w:pPr>
        <w:pStyle w:val="ListParagraph"/>
        <w:tabs>
          <w:tab w:val="left" w:pos="440"/>
          <w:tab w:val="left" w:pos="770"/>
        </w:tabs>
        <w:ind w:left="660"/>
        <w:rPr>
          <w:rFonts w:ascii="Times New Roman" w:hAnsi="Times New Roman"/>
          <w:b/>
          <w:szCs w:val="24"/>
        </w:rPr>
      </w:pPr>
      <w:r w:rsidRPr="00B0142B">
        <w:rPr>
          <w:rFonts w:ascii="Times New Roman" w:hAnsi="Times New Roman"/>
          <w:i/>
          <w:szCs w:val="24"/>
        </w:rPr>
        <w:t>pay and skill level of a Federal Government employee reviewing these reports.</w:t>
      </w:r>
    </w:p>
    <w:p w:rsidRPr="00B0142B" w:rsidR="007F1F34" w:rsidP="007F1F34" w:rsidRDefault="007F1F34" w14:paraId="68088A74" w14:textId="77777777">
      <w:pPr>
        <w:tabs>
          <w:tab w:val="left" w:pos="440"/>
          <w:tab w:val="left" w:pos="770"/>
        </w:tabs>
        <w:ind w:left="360"/>
        <w:rPr>
          <w:b/>
        </w:rPr>
      </w:pPr>
    </w:p>
    <w:p w:rsidRPr="00B0142B"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B0142B">
        <w:rPr>
          <w:rFonts w:ascii="Times New Roman" w:hAnsi="Times New Roman"/>
          <w:b/>
          <w:szCs w:val="24"/>
        </w:rPr>
        <w:t>Changes in Burden: Explain the reasons for any program changes or adjustments reported in Items 13 or 14 of the OMB Form 83-I, if applicable.</w:t>
      </w:r>
      <w:r w:rsidRPr="00B0142B" w:rsidR="00033CCD">
        <w:rPr>
          <w:rFonts w:ascii="Times New Roman" w:hAnsi="Times New Roman"/>
          <w:b/>
          <w:szCs w:val="24"/>
        </w:rPr>
        <w:t xml:space="preserve">  </w:t>
      </w:r>
    </w:p>
    <w:p w:rsidRPr="00B0142B" w:rsidR="00EF4BB0" w:rsidP="00EF4BB0" w:rsidRDefault="00EF4BB0" w14:paraId="756BA940" w14:textId="77777777">
      <w:pPr>
        <w:pStyle w:val="ListParagraph"/>
        <w:tabs>
          <w:tab w:val="left" w:pos="440"/>
          <w:tab w:val="left" w:pos="770"/>
        </w:tabs>
        <w:ind w:left="660"/>
        <w:rPr>
          <w:rFonts w:ascii="Times New Roman" w:hAnsi="Times New Roman"/>
          <w:i/>
          <w:szCs w:val="24"/>
        </w:rPr>
      </w:pPr>
      <w:r w:rsidRPr="00B0142B">
        <w:rPr>
          <w:rFonts w:ascii="Times New Roman" w:hAnsi="Times New Roman"/>
          <w:i/>
          <w:szCs w:val="24"/>
        </w:rPr>
        <w:t>This information collection reflects an increase in the number of contracts</w:t>
      </w:r>
    </w:p>
    <w:p w:rsidRPr="00B0142B" w:rsidR="004A0E26" w:rsidP="00EF4BB0" w:rsidRDefault="00795E22" w14:paraId="71AB8500" w14:textId="019C27FF">
      <w:pPr>
        <w:pStyle w:val="ListParagraph"/>
        <w:tabs>
          <w:tab w:val="left" w:pos="440"/>
          <w:tab w:val="left" w:pos="770"/>
        </w:tabs>
        <w:ind w:left="660"/>
        <w:rPr>
          <w:rFonts w:ascii="Times New Roman" w:hAnsi="Times New Roman"/>
          <w:b/>
          <w:szCs w:val="24"/>
        </w:rPr>
      </w:pPr>
      <w:r w:rsidRPr="00B0142B">
        <w:rPr>
          <w:rFonts w:ascii="Times New Roman" w:hAnsi="Times New Roman"/>
          <w:i/>
          <w:szCs w:val="24"/>
        </w:rPr>
        <w:t>r</w:t>
      </w:r>
      <w:r w:rsidRPr="00B0142B" w:rsidR="00EF4BB0">
        <w:rPr>
          <w:rFonts w:ascii="Times New Roman" w:hAnsi="Times New Roman"/>
          <w:i/>
          <w:szCs w:val="24"/>
        </w:rPr>
        <w:t>eporting (2017 was 2,240 responses, 2020 is 3372)</w:t>
      </w:r>
    </w:p>
    <w:p w:rsidRPr="00B0142B" w:rsidR="007F1F34" w:rsidP="007F1F34" w:rsidRDefault="007F1F34" w14:paraId="66384453" w14:textId="77777777">
      <w:pPr>
        <w:pStyle w:val="ListParagraph"/>
        <w:rPr>
          <w:rFonts w:ascii="Times New Roman" w:hAnsi="Times New Roman"/>
          <w:b/>
          <w:szCs w:val="24"/>
        </w:rPr>
      </w:pPr>
    </w:p>
    <w:p w:rsidRPr="00B0142B"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B0142B">
        <w:rPr>
          <w:rFonts w:ascii="Times New Roman" w:hAnsi="Times New Roman"/>
          <w:b/>
          <w:szCs w:val="24"/>
        </w:rPr>
        <w:t xml:space="preserve">Publication of Results: For collections of information whose results will be published, outline plans for tabulation and publication.  </w:t>
      </w:r>
    </w:p>
    <w:p w:rsidRPr="00B0142B" w:rsidR="004A0E26" w:rsidP="004A0E26" w:rsidRDefault="00EF4BB0" w14:paraId="46F68ADB" w14:textId="12BDFB73">
      <w:pPr>
        <w:pStyle w:val="ListParagraph"/>
        <w:tabs>
          <w:tab w:val="left" w:pos="440"/>
          <w:tab w:val="left" w:pos="770"/>
        </w:tabs>
        <w:ind w:left="660"/>
        <w:rPr>
          <w:rFonts w:ascii="Times New Roman" w:hAnsi="Times New Roman"/>
          <w:b/>
          <w:szCs w:val="24"/>
        </w:rPr>
      </w:pPr>
      <w:r w:rsidRPr="00B0142B">
        <w:rPr>
          <w:rFonts w:ascii="Times New Roman" w:hAnsi="Times New Roman"/>
          <w:i/>
          <w:szCs w:val="24"/>
        </w:rPr>
        <w:t>Not applicable.</w:t>
      </w:r>
    </w:p>
    <w:p w:rsidRPr="00B0142B" w:rsidR="007F1F34" w:rsidP="007F1F34" w:rsidRDefault="007F1F34" w14:paraId="4103781F" w14:textId="77777777">
      <w:pPr>
        <w:pStyle w:val="ListParagraph"/>
        <w:rPr>
          <w:rFonts w:ascii="Times New Roman" w:hAnsi="Times New Roman"/>
          <w:b/>
          <w:szCs w:val="24"/>
        </w:rPr>
      </w:pPr>
    </w:p>
    <w:p w:rsidRPr="00B0142B" w:rsidR="00033CCD" w:rsidP="007F1F34" w:rsidRDefault="00033CCD" w14:paraId="46338007" w14:textId="77777777">
      <w:pPr>
        <w:pStyle w:val="ListParagraph"/>
        <w:rPr>
          <w:rFonts w:ascii="Times New Roman" w:hAnsi="Times New Roman"/>
          <w:b/>
          <w:szCs w:val="24"/>
        </w:rPr>
      </w:pPr>
    </w:p>
    <w:p w:rsidRPr="00B0142B"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B0142B">
        <w:rPr>
          <w:rFonts w:ascii="Times New Roman" w:hAnsi="Times New Roman"/>
          <w:b/>
          <w:szCs w:val="24"/>
        </w:rPr>
        <w:t>If seeking approval to not display the expiration date for OMB approval of the information collection, explain the reasons that display would be inappropriate.</w:t>
      </w:r>
    </w:p>
    <w:p w:rsidRPr="00B0142B" w:rsidR="00F72270" w:rsidP="00F72270" w:rsidRDefault="00EF4BB0" w14:paraId="627E6B55" w14:textId="3D0E5174">
      <w:pPr>
        <w:pStyle w:val="ListParagraph"/>
        <w:tabs>
          <w:tab w:val="left" w:pos="440"/>
          <w:tab w:val="left" w:pos="770"/>
        </w:tabs>
        <w:ind w:left="660"/>
        <w:rPr>
          <w:rFonts w:ascii="Times New Roman" w:hAnsi="Times New Roman"/>
          <w:szCs w:val="24"/>
        </w:rPr>
      </w:pPr>
      <w:r w:rsidRPr="00B0142B">
        <w:rPr>
          <w:rFonts w:ascii="Times New Roman" w:hAnsi="Times New Roman"/>
          <w:i/>
          <w:szCs w:val="24"/>
        </w:rPr>
        <w:t>NASA will display the expiration date within the required PRA Statement.</w:t>
      </w:r>
    </w:p>
    <w:p w:rsidRPr="00B0142B"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B0142B"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B0142B">
        <w:rPr>
          <w:rFonts w:ascii="Times New Roman" w:hAnsi="Times New Roman"/>
          <w:b/>
          <w:szCs w:val="24"/>
        </w:rPr>
        <w:t xml:space="preserve">Explain each exception to the certification statement identified in Item 19, "Certification for Paperwork Reduction Act Submissions," of OMB Form 83-I. </w:t>
      </w:r>
    </w:p>
    <w:p w:rsidRPr="00B0142B" w:rsidR="006B1CB3" w:rsidP="006B1CB3" w:rsidRDefault="00EF4BB0" w14:paraId="1A538EAA" w14:textId="49B31079">
      <w:pPr>
        <w:pStyle w:val="ListParagraph"/>
        <w:ind w:left="660"/>
        <w:rPr>
          <w:rFonts w:ascii="Times New Roman" w:hAnsi="Times New Roman" w:eastAsia="Calibri"/>
          <w:i/>
          <w:szCs w:val="24"/>
        </w:rPr>
      </w:pPr>
      <w:r w:rsidRPr="00B0142B">
        <w:rPr>
          <w:rFonts w:ascii="Times New Roman" w:hAnsi="Times New Roman" w:eastAsia="Calibri"/>
          <w:i/>
          <w:szCs w:val="24"/>
        </w:rPr>
        <w:t>NASA takes no exception to the following:</w:t>
      </w:r>
    </w:p>
    <w:p w:rsidRPr="00B0142B" w:rsidR="006B1CB3" w:rsidP="006B1CB3" w:rsidRDefault="006B1CB3" w14:paraId="1643F137" w14:textId="77777777">
      <w:pPr>
        <w:pStyle w:val="ListParagraph"/>
        <w:ind w:left="660"/>
        <w:rPr>
          <w:rFonts w:ascii="Times New Roman" w:hAnsi="Times New Roman" w:eastAsia="Calibri"/>
          <w:i/>
          <w:szCs w:val="24"/>
        </w:rPr>
      </w:pPr>
    </w:p>
    <w:p w:rsidRPr="00B0142B" w:rsidR="006B1CB3" w:rsidP="006B1CB3" w:rsidRDefault="006B1CB3" w14:paraId="6D5DB92E" w14:textId="77777777">
      <w:pPr>
        <w:pStyle w:val="CM11"/>
        <w:spacing w:before="120" w:after="120" w:line="240" w:lineRule="auto"/>
        <w:ind w:left="660"/>
        <w:jc w:val="both"/>
        <w:rPr>
          <w:rFonts w:ascii="Times New Roman" w:hAnsi="Times New Roman"/>
        </w:rPr>
      </w:pPr>
      <w:r w:rsidRPr="00B0142B">
        <w:rPr>
          <w:rFonts w:ascii="Times New Roman" w:hAnsi="Times New Roman"/>
          <w:i/>
          <w:iCs/>
        </w:rPr>
        <w:t xml:space="preserve">The proposed collection of information – </w:t>
      </w:r>
    </w:p>
    <w:p w:rsidRPr="00B0142B" w:rsidR="006B1CB3" w:rsidP="006B1CB3" w:rsidRDefault="006B1CB3" w14:paraId="3F96127F"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lastRenderedPageBreak/>
        <w:t xml:space="preserve">(a) is necessary for the proper performance of the functions of NASA, including that the information to be collected will have practical utility; </w:t>
      </w:r>
    </w:p>
    <w:p w:rsidRPr="00B0142B" w:rsidR="006B1CB3" w:rsidP="006B1CB3" w:rsidRDefault="006B1CB3" w14:paraId="7B50647B"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(b) is not unnecessarily duplicative of information that is reasonably accessible to the agency; </w:t>
      </w:r>
    </w:p>
    <w:p w:rsidRPr="00B0142B" w:rsidR="006B1CB3" w:rsidP="006B1CB3" w:rsidRDefault="006B1CB3" w14:paraId="562BB46C"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Pr="00B0142B" w:rsidR="006B1CB3" w:rsidP="006B1CB3" w:rsidRDefault="006B1CB3" w14:paraId="65B5893F" w14:textId="77777777">
      <w:pPr>
        <w:pStyle w:val="Default"/>
        <w:spacing w:before="120" w:after="120"/>
        <w:ind w:left="1800"/>
        <w:rPr>
          <w:rFonts w:ascii="Times New Roman" w:hAnsi="Times New Roman" w:cs="Times New Roman"/>
          <w:color w:val="auto"/>
        </w:rPr>
      </w:pPr>
      <w:r w:rsidRPr="00B0142B">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Pr="00B0142B" w:rsidR="006B1CB3" w:rsidP="006B1CB3" w:rsidRDefault="006B1CB3" w14:paraId="005F12F4" w14:textId="77777777">
      <w:pPr>
        <w:pStyle w:val="Default"/>
        <w:spacing w:before="120" w:after="120"/>
        <w:ind w:left="1800"/>
        <w:rPr>
          <w:rFonts w:ascii="Times New Roman" w:hAnsi="Times New Roman" w:cs="Times New Roman"/>
          <w:color w:val="auto"/>
        </w:rPr>
      </w:pPr>
      <w:r w:rsidRPr="00B0142B">
        <w:rPr>
          <w:rFonts w:ascii="Times New Roman" w:hAnsi="Times New Roman" w:cs="Times New Roman"/>
          <w:i/>
          <w:iCs/>
          <w:color w:val="auto"/>
        </w:rPr>
        <w:t xml:space="preserve">(2) the clarification, consolidation, or simplification of compliance and reporting requirements; or </w:t>
      </w:r>
    </w:p>
    <w:p w:rsidRPr="00B0142B" w:rsidR="006B1CB3" w:rsidP="006B1CB3" w:rsidRDefault="006B1CB3" w14:paraId="5A66BEAE" w14:textId="77777777">
      <w:pPr>
        <w:pStyle w:val="Default"/>
        <w:spacing w:before="120" w:after="120"/>
        <w:ind w:left="1800"/>
        <w:rPr>
          <w:rFonts w:ascii="Times New Roman" w:hAnsi="Times New Roman" w:cs="Times New Roman"/>
          <w:color w:val="auto"/>
        </w:rPr>
      </w:pPr>
      <w:r w:rsidRPr="00B0142B">
        <w:rPr>
          <w:rFonts w:ascii="Times New Roman" w:hAnsi="Times New Roman" w:cs="Times New Roman"/>
          <w:i/>
          <w:iCs/>
          <w:color w:val="auto"/>
        </w:rPr>
        <w:t xml:space="preserve">(3) an exemption from coverage of the collection of information, or any part thereof; </w:t>
      </w:r>
    </w:p>
    <w:p w:rsidRPr="00B0142B" w:rsidR="006B1CB3" w:rsidP="006B1CB3" w:rsidRDefault="006B1CB3" w14:paraId="32AE0137"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(d) is written using plain, coherent, and unambiguous terminology and is understandable to those who are targeted to respond; </w:t>
      </w:r>
    </w:p>
    <w:p w:rsidRPr="00B0142B" w:rsidR="006B1CB3" w:rsidP="006B1CB3" w:rsidRDefault="006B1CB3" w14:paraId="58716156"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(e) indicates for each recordkeeping requirement the length of time persons are required to maintain the records specified; </w:t>
      </w:r>
    </w:p>
    <w:p w:rsidRPr="00B0142B" w:rsidR="006B1CB3" w:rsidP="006B1CB3" w:rsidRDefault="006B1CB3" w14:paraId="10B00F97"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Pr="00B0142B" w:rsidR="006B1CB3" w:rsidP="006B1CB3" w:rsidRDefault="006B1CB3" w14:paraId="4D52C42F"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Pr="00B0142B" w:rsidR="006B1CB3" w:rsidP="006B1CB3" w:rsidRDefault="006B1CB3" w14:paraId="7B3D1EFB" w14:textId="77777777">
      <w:pPr>
        <w:pStyle w:val="Default"/>
        <w:spacing w:before="120" w:after="120"/>
        <w:ind w:left="1260"/>
        <w:rPr>
          <w:rFonts w:ascii="Times New Roman" w:hAnsi="Times New Roman" w:cs="Times New Roman"/>
          <w:color w:val="auto"/>
        </w:rPr>
      </w:pPr>
      <w:r w:rsidRPr="00B0142B">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Pr="00B0142B" w:rsidR="006B1CB3" w:rsidP="006B1CB3" w:rsidRDefault="006B1CB3" w14:paraId="72DA7034" w14:textId="77777777">
      <w:pPr>
        <w:pStyle w:val="Default"/>
        <w:spacing w:before="120" w:after="120"/>
        <w:ind w:left="1260"/>
        <w:rPr>
          <w:rFonts w:ascii="Times New Roman" w:hAnsi="Times New Roman" w:cs="Times New Roman"/>
          <w:i/>
          <w:iCs/>
          <w:color w:val="auto"/>
        </w:rPr>
      </w:pPr>
      <w:r w:rsidRPr="00B0142B">
        <w:rPr>
          <w:rFonts w:ascii="Times New Roman" w:hAnsi="Times New Roman" w:cs="Times New Roman"/>
          <w:color w:val="auto"/>
        </w:rPr>
        <w:t>(</w:t>
      </w:r>
      <w:r w:rsidRPr="00B0142B">
        <w:rPr>
          <w:rFonts w:ascii="Times New Roman" w:hAnsi="Times New Roman" w:cs="Times New Roman"/>
          <w:i/>
          <w:iCs/>
          <w:color w:val="auto"/>
        </w:rPr>
        <w:t xml:space="preserve">i) will display the required PRA statement with the active OMB control number, as validated on www.reginfo.gov </w:t>
      </w:r>
    </w:p>
    <w:p w:rsidRPr="00B0142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Pr="00B0142B"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0142B">
        <w:rPr>
          <w:rFonts w:ascii="Times New Roman" w:hAnsi="Times New Roman"/>
          <w:b/>
          <w:szCs w:val="24"/>
        </w:rPr>
        <w:t>The NASA office conducting or sponsoring this information collection certifies compliance with all provisions listed above.</w:t>
      </w:r>
    </w:p>
    <w:p w:rsidRPr="00B0142B"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B0142B" w:rsidR="006B1CB3" w:rsidP="006B1CB3" w:rsidRDefault="006B1CB3" w14:paraId="5BA93A63" w14:textId="7E20293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0142B">
        <w:rPr>
          <w:rFonts w:ascii="Times New Roman" w:hAnsi="Times New Roman"/>
          <w:b/>
          <w:szCs w:val="24"/>
        </w:rPr>
        <w:t>Name:</w:t>
      </w:r>
      <w:r w:rsidRPr="00B0142B" w:rsidR="00EF4BB0">
        <w:rPr>
          <w:rFonts w:ascii="Times New Roman" w:hAnsi="Times New Roman"/>
          <w:b/>
          <w:szCs w:val="24"/>
        </w:rPr>
        <w:t xml:space="preserve">  </w:t>
      </w:r>
      <w:r w:rsidRPr="00B0142B" w:rsidR="004A4999">
        <w:rPr>
          <w:rFonts w:ascii="Times New Roman" w:hAnsi="Times New Roman"/>
          <w:bCs/>
          <w:szCs w:val="24"/>
        </w:rPr>
        <w:t>Peter B. Tran</w:t>
      </w:r>
    </w:p>
    <w:p w:rsidRPr="00B0142B" w:rsidR="006B1CB3" w:rsidP="006B1CB3" w:rsidRDefault="006B1CB3" w14:paraId="0631C328" w14:textId="444AD0D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0142B">
        <w:rPr>
          <w:rFonts w:ascii="Times New Roman" w:hAnsi="Times New Roman"/>
          <w:b/>
          <w:szCs w:val="24"/>
        </w:rPr>
        <w:t>Title:</w:t>
      </w:r>
      <w:r w:rsidRPr="00B0142B" w:rsidR="004A4999">
        <w:rPr>
          <w:rFonts w:ascii="Times New Roman" w:hAnsi="Times New Roman"/>
          <w:b/>
          <w:szCs w:val="24"/>
        </w:rPr>
        <w:t xml:space="preserve">  </w:t>
      </w:r>
      <w:r w:rsidRPr="00B0142B" w:rsidR="004A4999">
        <w:rPr>
          <w:rFonts w:ascii="Times New Roman" w:hAnsi="Times New Roman"/>
          <w:bCs/>
          <w:szCs w:val="24"/>
        </w:rPr>
        <w:t>Supv, AST, Computer Rsch &amp; Development</w:t>
      </w:r>
      <w:r w:rsidRPr="00B0142B" w:rsidR="00795E22">
        <w:rPr>
          <w:rFonts w:ascii="Times New Roman" w:hAnsi="Times New Roman"/>
          <w:bCs/>
          <w:szCs w:val="24"/>
        </w:rPr>
        <w:t xml:space="preserve"> and NTTS Project Manager</w:t>
      </w:r>
    </w:p>
    <w:p w:rsidRPr="00B0142B" w:rsidR="004A4999" w:rsidP="004A4999" w:rsidRDefault="006B1CB3" w14:paraId="7F56E385" w14:textId="77777777">
      <w:pPr>
        <w:ind w:firstLine="660"/>
      </w:pPr>
      <w:r w:rsidRPr="00B0142B">
        <w:rPr>
          <w:b/>
        </w:rPr>
        <w:t xml:space="preserve">Email address or Phone number: </w:t>
      </w:r>
      <w:r w:rsidRPr="00B0142B" w:rsidR="004A4999">
        <w:t>peter.b.tran@nasa.gov</w:t>
      </w:r>
    </w:p>
    <w:p w:rsidRPr="00B0142B" w:rsidR="006B1CB3" w:rsidP="006B1CB3" w:rsidRDefault="006B1CB3" w14:paraId="3E188B2E" w14:textId="43635436">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B0142B" w:rsidR="006B1CB3" w:rsidP="006B1CB3" w:rsidRDefault="006B1CB3" w14:paraId="4EA03FA6" w14:textId="24759FB5">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B0142B">
        <w:rPr>
          <w:rFonts w:ascii="Times New Roman" w:hAnsi="Times New Roman"/>
          <w:b/>
          <w:szCs w:val="24"/>
        </w:rPr>
        <w:t>Date:</w:t>
      </w:r>
      <w:r w:rsidRPr="00B0142B" w:rsidR="004A4999">
        <w:rPr>
          <w:rFonts w:ascii="Times New Roman" w:hAnsi="Times New Roman"/>
          <w:b/>
          <w:szCs w:val="24"/>
        </w:rPr>
        <w:t xml:space="preserve">  10/2/20</w:t>
      </w:r>
    </w:p>
    <w:p w:rsidRPr="00B0142B"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Pr="00B0142B" w:rsidR="008348D8" w:rsidP="00B0142B" w:rsidRDefault="006B1CB3" w14:paraId="10A97211" w14:textId="439B74E8">
      <w:pPr>
        <w:pStyle w:val="ListParagraph"/>
        <w:tabs>
          <w:tab w:val="left" w:pos="440"/>
          <w:tab w:val="left" w:pos="770"/>
        </w:tabs>
        <w:ind w:left="660"/>
        <w:rPr>
          <w:rFonts w:ascii="Times New Roman" w:hAnsi="Times New Roman"/>
          <w:szCs w:val="24"/>
        </w:rPr>
      </w:pPr>
      <w:r w:rsidRPr="00B0142B">
        <w:rPr>
          <w:rFonts w:ascii="Times New Roman" w:hAnsi="Times New Roman"/>
          <w:i/>
          <w:szCs w:val="24"/>
        </w:rPr>
        <w:t>(Certifying individual must be a civil service employee)</w:t>
      </w:r>
      <w:r w:rsidRPr="00B0142B" w:rsidR="008348D8">
        <w:rPr>
          <w:rFonts w:ascii="Times New Roman" w:hAnsi="Times New Roman"/>
          <w:b/>
          <w:szCs w:val="24"/>
        </w:rPr>
        <w:t xml:space="preserve"> </w:t>
      </w:r>
    </w:p>
    <w:p w:rsidR="008348D8" w:rsidP="007F1F34" w:rsidRDefault="008348D8" w14:paraId="3F5D67B3" w14:textId="77777777">
      <w:pPr>
        <w:rPr>
          <w:b/>
        </w:rPr>
      </w:pPr>
    </w:p>
    <w:sectPr w:rsidR="008348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A109" w14:textId="77777777" w:rsidR="003312CF" w:rsidRDefault="003312CF">
      <w:r>
        <w:separator/>
      </w:r>
    </w:p>
  </w:endnote>
  <w:endnote w:type="continuationSeparator" w:id="0">
    <w:p w14:paraId="1C8681DF" w14:textId="77777777" w:rsidR="003312CF" w:rsidRDefault="0033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11D7" w14:textId="77777777" w:rsidR="003312CF" w:rsidRDefault="003312CF">
      <w:r>
        <w:separator/>
      </w:r>
    </w:p>
  </w:footnote>
  <w:footnote w:type="continuationSeparator" w:id="0">
    <w:p w14:paraId="1FB9C92B" w14:textId="77777777" w:rsidR="003312CF" w:rsidRDefault="0033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3"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2"/>
  </w:num>
  <w:num w:numId="7">
    <w:abstractNumId w:val="18"/>
  </w:num>
  <w:num w:numId="8">
    <w:abstractNumId w:val="3"/>
  </w:num>
  <w:num w:numId="9">
    <w:abstractNumId w:val="0"/>
  </w:num>
  <w:num w:numId="10">
    <w:abstractNumId w:val="13"/>
  </w:num>
  <w:num w:numId="11">
    <w:abstractNumId w:val="16"/>
  </w:num>
  <w:num w:numId="12">
    <w:abstractNumId w:val="5"/>
  </w:num>
  <w:num w:numId="13">
    <w:abstractNumId w:val="11"/>
  </w:num>
  <w:num w:numId="14">
    <w:abstractNumId w:val="14"/>
  </w:num>
  <w:num w:numId="15">
    <w:abstractNumId w:val="17"/>
  </w:num>
  <w:num w:numId="16">
    <w:abstractNumId w:val="10"/>
  </w:num>
  <w:num w:numId="17">
    <w:abstractNumId w:val="15"/>
  </w:num>
  <w:num w:numId="18">
    <w:abstractNumId w:val="7"/>
  </w:num>
  <w:num w:numId="19">
    <w:abstractNumId w:val="6"/>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49E6"/>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A05C7"/>
    <w:rsid w:val="000B3FB3"/>
    <w:rsid w:val="000B7D37"/>
    <w:rsid w:val="000C4663"/>
    <w:rsid w:val="000C59F0"/>
    <w:rsid w:val="000D4593"/>
    <w:rsid w:val="000F06BF"/>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B4872"/>
    <w:rsid w:val="001B7A40"/>
    <w:rsid w:val="001D00BB"/>
    <w:rsid w:val="001E5FE3"/>
    <w:rsid w:val="001E65DE"/>
    <w:rsid w:val="001E7C82"/>
    <w:rsid w:val="001F04FF"/>
    <w:rsid w:val="001F47B7"/>
    <w:rsid w:val="00201D43"/>
    <w:rsid w:val="00216F1E"/>
    <w:rsid w:val="0022362B"/>
    <w:rsid w:val="00230D24"/>
    <w:rsid w:val="0025010D"/>
    <w:rsid w:val="00256272"/>
    <w:rsid w:val="002568D2"/>
    <w:rsid w:val="002601A7"/>
    <w:rsid w:val="00262F23"/>
    <w:rsid w:val="002641F4"/>
    <w:rsid w:val="0026654F"/>
    <w:rsid w:val="00267EB4"/>
    <w:rsid w:val="00274076"/>
    <w:rsid w:val="00274E14"/>
    <w:rsid w:val="002776FE"/>
    <w:rsid w:val="00277E73"/>
    <w:rsid w:val="00283545"/>
    <w:rsid w:val="00287866"/>
    <w:rsid w:val="00290F02"/>
    <w:rsid w:val="00293F6C"/>
    <w:rsid w:val="002A3920"/>
    <w:rsid w:val="002A54BE"/>
    <w:rsid w:val="002A5859"/>
    <w:rsid w:val="002B77BB"/>
    <w:rsid w:val="002C6C69"/>
    <w:rsid w:val="002C7C25"/>
    <w:rsid w:val="002E161A"/>
    <w:rsid w:val="002E32F4"/>
    <w:rsid w:val="00301379"/>
    <w:rsid w:val="003044C2"/>
    <w:rsid w:val="0030480E"/>
    <w:rsid w:val="0031024C"/>
    <w:rsid w:val="00312B75"/>
    <w:rsid w:val="00325DD1"/>
    <w:rsid w:val="003312CF"/>
    <w:rsid w:val="003362DF"/>
    <w:rsid w:val="00337526"/>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A0E26"/>
    <w:rsid w:val="004A4999"/>
    <w:rsid w:val="004B6E9E"/>
    <w:rsid w:val="004D0670"/>
    <w:rsid w:val="004D3C82"/>
    <w:rsid w:val="004D3FF9"/>
    <w:rsid w:val="004E7141"/>
    <w:rsid w:val="00501421"/>
    <w:rsid w:val="005032DC"/>
    <w:rsid w:val="00510B28"/>
    <w:rsid w:val="00514795"/>
    <w:rsid w:val="00523999"/>
    <w:rsid w:val="00523F72"/>
    <w:rsid w:val="0052425D"/>
    <w:rsid w:val="0053169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F4EA7"/>
    <w:rsid w:val="006F5B98"/>
    <w:rsid w:val="0070748C"/>
    <w:rsid w:val="00723914"/>
    <w:rsid w:val="00735632"/>
    <w:rsid w:val="0074368C"/>
    <w:rsid w:val="0074624E"/>
    <w:rsid w:val="00747D31"/>
    <w:rsid w:val="007658E2"/>
    <w:rsid w:val="00774F7C"/>
    <w:rsid w:val="00784B50"/>
    <w:rsid w:val="007860F1"/>
    <w:rsid w:val="00792E13"/>
    <w:rsid w:val="00795E22"/>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1975"/>
    <w:rsid w:val="00823F94"/>
    <w:rsid w:val="008250DF"/>
    <w:rsid w:val="008260C2"/>
    <w:rsid w:val="008348D8"/>
    <w:rsid w:val="008437F3"/>
    <w:rsid w:val="008458C2"/>
    <w:rsid w:val="0085061B"/>
    <w:rsid w:val="0085489E"/>
    <w:rsid w:val="00856CD4"/>
    <w:rsid w:val="00856F5B"/>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371C"/>
    <w:rsid w:val="008F0C11"/>
    <w:rsid w:val="008F7BF2"/>
    <w:rsid w:val="009063E3"/>
    <w:rsid w:val="009070CA"/>
    <w:rsid w:val="00907A11"/>
    <w:rsid w:val="00915C9F"/>
    <w:rsid w:val="009255A1"/>
    <w:rsid w:val="00937482"/>
    <w:rsid w:val="009411B1"/>
    <w:rsid w:val="00942B9E"/>
    <w:rsid w:val="00944976"/>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50C48"/>
    <w:rsid w:val="00A703D2"/>
    <w:rsid w:val="00A70BAB"/>
    <w:rsid w:val="00A72B30"/>
    <w:rsid w:val="00A74448"/>
    <w:rsid w:val="00A74F45"/>
    <w:rsid w:val="00A83AA5"/>
    <w:rsid w:val="00A83EC7"/>
    <w:rsid w:val="00A94FFB"/>
    <w:rsid w:val="00A960E0"/>
    <w:rsid w:val="00A9656E"/>
    <w:rsid w:val="00A97ABD"/>
    <w:rsid w:val="00AA2915"/>
    <w:rsid w:val="00AB0563"/>
    <w:rsid w:val="00AB5A97"/>
    <w:rsid w:val="00AC3DCD"/>
    <w:rsid w:val="00AD06C5"/>
    <w:rsid w:val="00AD2B3E"/>
    <w:rsid w:val="00AD4C64"/>
    <w:rsid w:val="00AE197D"/>
    <w:rsid w:val="00AE52BB"/>
    <w:rsid w:val="00AE6BAC"/>
    <w:rsid w:val="00AE766E"/>
    <w:rsid w:val="00AE7C55"/>
    <w:rsid w:val="00AF2E86"/>
    <w:rsid w:val="00B0142B"/>
    <w:rsid w:val="00B02ECD"/>
    <w:rsid w:val="00B064E4"/>
    <w:rsid w:val="00B11265"/>
    <w:rsid w:val="00B2618D"/>
    <w:rsid w:val="00B37936"/>
    <w:rsid w:val="00B451FE"/>
    <w:rsid w:val="00B53D7E"/>
    <w:rsid w:val="00B5419E"/>
    <w:rsid w:val="00B57AE2"/>
    <w:rsid w:val="00B57E99"/>
    <w:rsid w:val="00B61787"/>
    <w:rsid w:val="00B66ECC"/>
    <w:rsid w:val="00B700D9"/>
    <w:rsid w:val="00B741A2"/>
    <w:rsid w:val="00B93F7E"/>
    <w:rsid w:val="00BA382F"/>
    <w:rsid w:val="00BA5176"/>
    <w:rsid w:val="00BB131B"/>
    <w:rsid w:val="00BC51A9"/>
    <w:rsid w:val="00BD253A"/>
    <w:rsid w:val="00BD3EF8"/>
    <w:rsid w:val="00BD67CC"/>
    <w:rsid w:val="00BE17A8"/>
    <w:rsid w:val="00BF6F56"/>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04EC"/>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19EE"/>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A11A7"/>
    <w:rsid w:val="00EA1A08"/>
    <w:rsid w:val="00EA687A"/>
    <w:rsid w:val="00EB3CC8"/>
    <w:rsid w:val="00EB668D"/>
    <w:rsid w:val="00EC16E0"/>
    <w:rsid w:val="00EC7735"/>
    <w:rsid w:val="00EE49CC"/>
    <w:rsid w:val="00EE5A22"/>
    <w:rsid w:val="00EF313C"/>
    <w:rsid w:val="00EF4BB0"/>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726C"/>
    <w:rsid w:val="00FD0453"/>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99"/>
    <w:rPr>
      <w:sz w:val="24"/>
      <w:szCs w:val="24"/>
    </w:rPr>
  </w:style>
  <w:style w:type="paragraph" w:styleId="Heading1">
    <w:name w:val="heading 1"/>
    <w:basedOn w:val="Normal"/>
    <w:next w:val="Normal"/>
    <w:qFormat/>
    <w:pPr>
      <w:keepNext/>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b/>
      <w:snapToGrid w:val="0"/>
      <w:szCs w:val="20"/>
      <w:u w:val="single"/>
    </w:rPr>
  </w:style>
  <w:style w:type="paragraph" w:styleId="Heading2">
    <w:name w:val="heading 2"/>
    <w:basedOn w:val="Normal"/>
    <w:next w:val="Normal"/>
    <w:qFormat/>
    <w:pPr>
      <w:keepNext/>
      <w:widowControl w:val="0"/>
      <w:ind w:left="720"/>
      <w:outlineLvl w:val="1"/>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val="0"/>
      <w:ind w:left="1440"/>
    </w:pPr>
    <w:rPr>
      <w:snapToGrid w:val="0"/>
      <w:szCs w:val="20"/>
    </w:rPr>
  </w:style>
  <w:style w:type="paragraph" w:customStyle="1" w:styleId="Level1">
    <w:name w:val="Level 1"/>
    <w:basedOn w:val="Normal"/>
    <w:pPr>
      <w:widowControl w:val="0"/>
      <w:numPr>
        <w:numId w:val="2"/>
      </w:numPr>
      <w:ind w:left="474" w:hanging="186"/>
      <w:outlineLvl w:val="0"/>
    </w:pPr>
    <w:rPr>
      <w:snapToGrid w:val="0"/>
      <w:szCs w:val="20"/>
    </w:rPr>
  </w:style>
  <w:style w:type="paragraph" w:styleId="Title">
    <w:name w:val="Title"/>
    <w:basedOn w:val="Normal"/>
    <w:qFormat/>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snapToGrid w:val="0"/>
      <w:szCs w:val="20"/>
      <w:u w:val="single"/>
    </w:rPr>
  </w:style>
  <w:style w:type="paragraph" w:customStyle="1" w:styleId="Level2">
    <w:name w:val="Level 2"/>
    <w:basedOn w:val="Normal"/>
    <w:pPr>
      <w:widowControl w:val="0"/>
      <w:ind w:left="722" w:hanging="361"/>
    </w:pPr>
    <w:rPr>
      <w:snapToGrid w:val="0"/>
      <w:szCs w:val="20"/>
    </w:rPr>
  </w:style>
  <w:style w:type="paragraph" w:styleId="BodyTextIndent2">
    <w:name w:val="Body Text Indent 2"/>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i/>
      <w:snapToGrid w:val="0"/>
      <w:szCs w:val="20"/>
    </w:rPr>
  </w:style>
  <w:style w:type="paragraph" w:styleId="BodyText">
    <w:name w:val="Body Text"/>
    <w:basedOn w:val="Normal"/>
    <w:pPr>
      <w:widowControl w:val="0"/>
    </w:pPr>
    <w:rPr>
      <w:rFonts w:ascii="Courier" w:hAnsi="Courier"/>
      <w:i/>
      <w:snapToGrid w:val="0"/>
      <w:szCs w:val="20"/>
    </w:rPr>
  </w:style>
  <w:style w:type="paragraph" w:styleId="BodyTextIndent3">
    <w:name w:val="Body Text Indent 3"/>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hAnsi="Courier"/>
      <w:i/>
      <w:snapToGrid w:val="0"/>
      <w:szCs w:val="20"/>
    </w:rPr>
  </w:style>
  <w:style w:type="character" w:styleId="Hyperlink">
    <w:name w:val="Hyperlink"/>
    <w:rsid w:val="002E161A"/>
    <w:rPr>
      <w:color w:val="0000FF"/>
      <w:u w:val="single"/>
    </w:rPr>
  </w:style>
  <w:style w:type="paragraph" w:styleId="Header">
    <w:name w:val="header"/>
    <w:basedOn w:val="Normal"/>
    <w:link w:val="HeaderChar"/>
    <w:rsid w:val="00C637E4"/>
    <w:pPr>
      <w:widowControl w:val="0"/>
      <w:tabs>
        <w:tab w:val="center" w:pos="4680"/>
        <w:tab w:val="right" w:pos="9360"/>
      </w:tabs>
    </w:pPr>
    <w:rPr>
      <w:rFonts w:ascii="Courier" w:hAnsi="Courier"/>
      <w:snapToGrid w:val="0"/>
      <w:szCs w:val="20"/>
    </w:r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widowControl w:val="0"/>
      <w:tabs>
        <w:tab w:val="center" w:pos="4680"/>
        <w:tab w:val="right" w:pos="9360"/>
      </w:tabs>
    </w:pPr>
    <w:rPr>
      <w:rFonts w:ascii="Courier" w:hAnsi="Courier"/>
      <w:snapToGrid w:val="0"/>
      <w:szCs w:val="20"/>
    </w:r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pPr>
      <w:widowControl w:val="0"/>
    </w:pPr>
    <w:rPr>
      <w:rFonts w:ascii="Segoe UI" w:hAnsi="Segoe UI" w:cs="Segoe UI"/>
      <w:snapToGrid w:val="0"/>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spacing w:before="100" w:beforeAutospacing="1" w:after="100" w:afterAutospacing="1"/>
    </w:pPr>
    <w:rPr>
      <w:rFonts w:ascii="Times" w:eastAsia="Calibri" w:hAnsi="Times"/>
      <w:sz w:val="20"/>
      <w:szCs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pPr>
      <w:widowControl w:val="0"/>
    </w:pPr>
    <w:rPr>
      <w:rFonts w:ascii="Courier" w:hAnsi="Courier"/>
      <w:snapToGrid w:val="0"/>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widowControl w:val="0"/>
      <w:ind w:left="720"/>
      <w:contextualSpacing/>
    </w:pPr>
    <w:rPr>
      <w:rFonts w:ascii="Courier" w:hAnsi="Courier"/>
      <w:snapToGrid w:val="0"/>
      <w:szCs w:val="20"/>
    </w:r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875650265">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1335C7-896D-4C85-883A-8FF39E8A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8901</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(HQ-JD000)[MIPSS SME]</cp:lastModifiedBy>
  <cp:revision>9</cp:revision>
  <cp:lastPrinted>2016-09-09T21:05:00Z</cp:lastPrinted>
  <dcterms:created xsi:type="dcterms:W3CDTF">2020-10-02T11:31:00Z</dcterms:created>
  <dcterms:modified xsi:type="dcterms:W3CDTF">2021-04-19T19:38:00Z</dcterms:modified>
</cp:coreProperties>
</file>