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0786" w:rsidP="00E1762D" w14:paraId="015F6E43" w14:textId="77777777">
      <w:pPr>
        <w:suppressAutoHyphens/>
        <w:jc w:val="center"/>
        <w:rPr>
          <w:rFonts w:ascii="Times New Roman" w:hAnsi="Times New Roman"/>
          <w:b/>
        </w:rPr>
      </w:pPr>
      <w:r>
        <w:rPr>
          <w:rFonts w:ascii="Times New Roman" w:hAnsi="Times New Roman"/>
          <w:b/>
        </w:rPr>
        <w:t xml:space="preserve">CONSOLIDATED </w:t>
      </w:r>
      <w:r w:rsidRPr="009B5EB0" w:rsidR="00C81087">
        <w:rPr>
          <w:rFonts w:ascii="Times New Roman" w:hAnsi="Times New Roman"/>
          <w:b/>
        </w:rPr>
        <w:t>SUPPORTING STATEMENT</w:t>
      </w:r>
    </w:p>
    <w:p w:rsidR="00C05C3F" w:rsidRPr="009B5EB0" w:rsidP="00857487" w14:paraId="4515B371" w14:textId="77777777">
      <w:pPr>
        <w:suppressAutoHyphens/>
        <w:spacing w:after="240"/>
        <w:jc w:val="center"/>
        <w:rPr>
          <w:rFonts w:ascii="Times New Roman" w:hAnsi="Times New Roman"/>
          <w:b/>
        </w:rPr>
      </w:pPr>
      <w:r w:rsidRPr="009B5EB0">
        <w:rPr>
          <w:rFonts w:ascii="Times New Roman" w:hAnsi="Times New Roman"/>
          <w:b/>
        </w:rPr>
        <w:t xml:space="preserve">FOR </w:t>
      </w:r>
      <w:r w:rsidR="0005605C">
        <w:rPr>
          <w:rFonts w:ascii="Times New Roman" w:hAnsi="Times New Roman"/>
          <w:b/>
        </w:rPr>
        <w:t xml:space="preserve">REVISED </w:t>
      </w:r>
      <w:r w:rsidRPr="009B5EB0">
        <w:rPr>
          <w:rFonts w:ascii="Times New Roman" w:hAnsi="Times New Roman"/>
          <w:b/>
        </w:rPr>
        <w:t>INFORMATION COLLECTION</w:t>
      </w:r>
      <w:r w:rsidR="0073153D">
        <w:rPr>
          <w:rFonts w:ascii="Times New Roman" w:hAnsi="Times New Roman"/>
          <w:b/>
        </w:rPr>
        <w:t>S</w:t>
      </w:r>
    </w:p>
    <w:p w:rsidR="00286DCE" w:rsidP="00857487" w14:paraId="6C91CB3E" w14:textId="77777777">
      <w:pPr>
        <w:tabs>
          <w:tab w:val="center" w:pos="4680"/>
        </w:tabs>
        <w:suppressAutoHyphens/>
        <w:spacing w:after="240"/>
        <w:jc w:val="center"/>
        <w:rPr>
          <w:rFonts w:ascii="Times New Roman" w:hAnsi="Times New Roman"/>
          <w:b/>
        </w:rPr>
      </w:pPr>
      <w:r>
        <w:rPr>
          <w:rFonts w:ascii="Times New Roman" w:hAnsi="Times New Roman"/>
          <w:b/>
        </w:rPr>
        <w:t>303</w:t>
      </w:r>
      <w:r w:rsidRPr="009B5EB0" w:rsidR="00C81087">
        <w:rPr>
          <w:rFonts w:ascii="Times New Roman" w:hAnsi="Times New Roman"/>
          <w:b/>
        </w:rPr>
        <w:t>8-</w:t>
      </w:r>
      <w:r w:rsidR="00CF1A79">
        <w:rPr>
          <w:rFonts w:ascii="Times New Roman" w:hAnsi="Times New Roman"/>
          <w:b/>
        </w:rPr>
        <w:t>00</w:t>
      </w:r>
      <w:r>
        <w:rPr>
          <w:rFonts w:ascii="Times New Roman" w:hAnsi="Times New Roman"/>
          <w:b/>
        </w:rPr>
        <w:t>93</w:t>
      </w:r>
      <w:r w:rsidR="0073153D">
        <w:rPr>
          <w:rFonts w:ascii="Times New Roman" w:hAnsi="Times New Roman"/>
          <w:b/>
        </w:rPr>
        <w:t xml:space="preserve">, </w:t>
      </w:r>
      <w:r w:rsidRPr="00B217E1">
        <w:rPr>
          <w:rFonts w:ascii="Times New Roman" w:hAnsi="Times New Roman"/>
          <w:b/>
        </w:rPr>
        <w:t>Part 40, Provisions Common to Registered Entities</w:t>
      </w:r>
    </w:p>
    <w:p w:rsidR="00C05C3F" w:rsidRPr="009B5EB0" w:rsidP="00857487" w14:paraId="302F02FC" w14:textId="77777777">
      <w:pPr>
        <w:tabs>
          <w:tab w:val="left" w:pos="-720"/>
        </w:tabs>
        <w:suppressAutoHyphens/>
        <w:spacing w:after="240"/>
        <w:rPr>
          <w:rFonts w:ascii="Times New Roman" w:hAnsi="Times New Roman"/>
          <w:b/>
        </w:rPr>
      </w:pPr>
      <w:r w:rsidRPr="009B5EB0">
        <w:rPr>
          <w:rFonts w:ascii="Times New Roman" w:hAnsi="Times New Roman"/>
          <w:b/>
        </w:rPr>
        <w:t>Justification</w:t>
      </w:r>
    </w:p>
    <w:p w:rsidR="0073153D" w:rsidP="0073153D" w14:paraId="169241F6" w14:textId="77777777">
      <w:pPr>
        <w:numPr>
          <w:ilvl w:val="0"/>
          <w:numId w:val="1"/>
        </w:numPr>
        <w:tabs>
          <w:tab w:val="left" w:pos="-720"/>
          <w:tab w:val="left" w:pos="0"/>
        </w:tabs>
        <w:suppressAutoHyphens/>
        <w:spacing w:after="240"/>
        <w:ind w:hanging="720"/>
        <w:rPr>
          <w:rFonts w:ascii="Times New Roman" w:hAnsi="Times New Roman"/>
          <w:b/>
        </w:rPr>
      </w:pPr>
      <w:r w:rsidRPr="009B5EB0">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b/>
        </w:rPr>
        <w:t>.</w:t>
      </w:r>
    </w:p>
    <w:p w:rsidR="00CF1A79" w:rsidRPr="00B217E1" w:rsidP="003538BF" w14:paraId="03F927A1" w14:textId="100AEA00">
      <w:pPr>
        <w:tabs>
          <w:tab w:val="left" w:pos="-720"/>
          <w:tab w:val="left" w:pos="0"/>
        </w:tabs>
        <w:suppressAutoHyphens/>
        <w:spacing w:after="240"/>
        <w:ind w:firstLine="720"/>
        <w:rPr>
          <w:rFonts w:ascii="Times New Roman" w:hAnsi="Times New Roman"/>
          <w:szCs w:val="24"/>
        </w:rPr>
      </w:pPr>
      <w:r w:rsidRPr="00C80FD4">
        <w:rPr>
          <w:rFonts w:ascii="Times New Roman" w:hAnsi="Times New Roman"/>
          <w:szCs w:val="24"/>
        </w:rPr>
        <w:t xml:space="preserve">The Commodity Futures Trading Commission (Commission or CFTC) is proposing amendments to its rules concerning event contracts in certain excluded commodities.  The Commission is proposing amendments to further specify types of event contracts that fall within the scope of section 5c(c)(5)(C) of the Commodity Exchange Act (CEA or the Act) and are contrary to the public interest, such that they may not be listed for trading or accepted for clearing on or through a CFTC-registered entity.  Among other things, the Commission proposes to further specify the types of event contracts that involve “gaming.”  The Commission also proposes to amend certain language in its event contract rules to further align with statutory text, and to make certain technical changes to its event contract rules in order to enhance clarity and organization.  </w:t>
      </w:r>
      <w:r w:rsidRPr="003538BF" w:rsidR="00B217E1">
        <w:rPr>
          <w:rFonts w:ascii="Times New Roman" w:hAnsi="Times New Roman"/>
          <w:szCs w:val="24"/>
        </w:rPr>
        <w:t xml:space="preserve">The proposed amendments </w:t>
      </w:r>
      <w:r w:rsidR="00B217E1">
        <w:rPr>
          <w:rFonts w:ascii="Times New Roman" w:hAnsi="Times New Roman"/>
          <w:szCs w:val="24"/>
        </w:rPr>
        <w:t>to</w:t>
      </w:r>
      <w:r w:rsidR="0035065E">
        <w:rPr>
          <w:rFonts w:ascii="Times New Roman" w:hAnsi="Times New Roman"/>
          <w:szCs w:val="24"/>
        </w:rPr>
        <w:t xml:space="preserve"> the Commission’s event contract rules, which are set forth in</w:t>
      </w:r>
      <w:r w:rsidR="00B217E1">
        <w:rPr>
          <w:rFonts w:ascii="Times New Roman" w:hAnsi="Times New Roman"/>
          <w:szCs w:val="24"/>
        </w:rPr>
        <w:t xml:space="preserve"> part 40 of the Commission’s regulations</w:t>
      </w:r>
      <w:r w:rsidR="0035065E">
        <w:rPr>
          <w:rFonts w:ascii="Times New Roman" w:hAnsi="Times New Roman"/>
          <w:szCs w:val="24"/>
        </w:rPr>
        <w:t>,</w:t>
      </w:r>
      <w:r w:rsidR="00B217E1">
        <w:rPr>
          <w:rFonts w:ascii="Times New Roman" w:hAnsi="Times New Roman"/>
          <w:szCs w:val="24"/>
        </w:rPr>
        <w:t xml:space="preserve"> would</w:t>
      </w:r>
      <w:r w:rsidRPr="003538BF" w:rsidR="00B217E1">
        <w:rPr>
          <w:rFonts w:ascii="Times New Roman" w:hAnsi="Times New Roman"/>
          <w:szCs w:val="24"/>
        </w:rPr>
        <w:t xml:space="preserve"> requir</w:t>
      </w:r>
      <w:r w:rsidR="00B217E1">
        <w:rPr>
          <w:rFonts w:ascii="Times New Roman" w:hAnsi="Times New Roman"/>
          <w:szCs w:val="24"/>
        </w:rPr>
        <w:t>e</w:t>
      </w:r>
      <w:r w:rsidRPr="003538BF" w:rsidR="00B217E1">
        <w:rPr>
          <w:rFonts w:ascii="Times New Roman" w:hAnsi="Times New Roman"/>
          <w:szCs w:val="24"/>
        </w:rPr>
        <w:t xml:space="preserve"> new submissions under </w:t>
      </w:r>
      <w:r w:rsidR="00B217E1">
        <w:rPr>
          <w:rFonts w:ascii="Times New Roman" w:hAnsi="Times New Roman"/>
          <w:szCs w:val="24"/>
        </w:rPr>
        <w:t>§ 40.6</w:t>
      </w:r>
      <w:r w:rsidR="00545507">
        <w:rPr>
          <w:rFonts w:ascii="Times New Roman" w:hAnsi="Times New Roman"/>
          <w:szCs w:val="24"/>
        </w:rPr>
        <w:t xml:space="preserve"> for registered entities that must delist contracts prohibited by the proposed </w:t>
      </w:r>
      <w:r w:rsidR="0035065E">
        <w:rPr>
          <w:rFonts w:ascii="Times New Roman" w:hAnsi="Times New Roman"/>
          <w:szCs w:val="24"/>
        </w:rPr>
        <w:t>amendments</w:t>
      </w:r>
      <w:r w:rsidRPr="003538BF" w:rsidR="00B217E1">
        <w:rPr>
          <w:rFonts w:ascii="Times New Roman" w:hAnsi="Times New Roman"/>
          <w:szCs w:val="24"/>
        </w:rPr>
        <w:t xml:space="preserve">.  These new reporting requirements </w:t>
      </w:r>
      <w:r w:rsidRPr="003538BF" w:rsidR="00EE3350">
        <w:rPr>
          <w:rFonts w:ascii="Times New Roman" w:hAnsi="Times New Roman"/>
          <w:szCs w:val="24"/>
        </w:rPr>
        <w:t>would require revision of</w:t>
      </w:r>
      <w:r w:rsidRPr="003538BF" w:rsidR="00B217E1">
        <w:rPr>
          <w:rFonts w:ascii="Times New Roman" w:hAnsi="Times New Roman"/>
          <w:szCs w:val="24"/>
        </w:rPr>
        <w:t xml:space="preserve"> OMB Control No. 3038-00</w:t>
      </w:r>
      <w:r w:rsidR="00B217E1">
        <w:rPr>
          <w:rFonts w:ascii="Times New Roman" w:hAnsi="Times New Roman"/>
          <w:szCs w:val="24"/>
        </w:rPr>
        <w:t>93</w:t>
      </w:r>
      <w:r w:rsidRPr="003538BF" w:rsidR="00B217E1">
        <w:rPr>
          <w:rFonts w:ascii="Times New Roman" w:hAnsi="Times New Roman"/>
          <w:szCs w:val="24"/>
        </w:rPr>
        <w:t xml:space="preserve">, </w:t>
      </w:r>
      <w:r w:rsidR="00B217E1">
        <w:rPr>
          <w:rFonts w:ascii="Times New Roman" w:hAnsi="Times New Roman"/>
          <w:szCs w:val="24"/>
        </w:rPr>
        <w:t>“Provisions Common to Regulated Entities.”</w:t>
      </w:r>
    </w:p>
    <w:p w:rsidR="0010119C" w:rsidRPr="00B55465" w:rsidP="008F5D39" w14:paraId="0871F3E1" w14:textId="77777777">
      <w:pPr>
        <w:pStyle w:val="citation-hover-present"/>
      </w:pPr>
      <w:r w:rsidRPr="00E1762D">
        <w:rPr>
          <w:b/>
        </w:rPr>
        <w:t>2.</w:t>
      </w:r>
      <w:r w:rsidR="00B415FD">
        <w:tab/>
      </w:r>
      <w:r w:rsidRPr="00B55465" w:rsidR="00C81087">
        <w:rPr>
          <w:b/>
        </w:rPr>
        <w:t>Indicate how, by whom, and for what purpose the data would be used.  Except for a new collection, indicate the actual use the agency has made of the information received from the current collection.</w:t>
      </w:r>
    </w:p>
    <w:p w:rsidR="0010119C" w:rsidP="00727837" w14:paraId="16A5AE8C" w14:textId="77777777">
      <w:pPr>
        <w:pStyle w:val="Default"/>
        <w:keepNext/>
        <w:spacing w:after="240"/>
        <w:ind w:firstLine="720"/>
        <w:rPr>
          <w:rFonts w:ascii="Times New Roman" w:hAnsi="Times New Roman"/>
        </w:rPr>
      </w:pPr>
      <w:r w:rsidRPr="00B55465">
        <w:rPr>
          <w:rFonts w:ascii="Times New Roman" w:hAnsi="Times New Roman" w:cs="Times New Roman"/>
        </w:rPr>
        <w:t>The</w:t>
      </w:r>
      <w:r>
        <w:rPr>
          <w:rFonts w:ascii="Times New Roman" w:hAnsi="Times New Roman"/>
        </w:rPr>
        <w:t xml:space="preserve"> requested information is essential to the </w:t>
      </w:r>
      <w:r w:rsidR="00EE3350">
        <w:rPr>
          <w:rFonts w:ascii="Times New Roman" w:hAnsi="Times New Roman"/>
        </w:rPr>
        <w:t>Commission</w:t>
      </w:r>
      <w:r w:rsidR="000713F5">
        <w:rPr>
          <w:rFonts w:ascii="Times New Roman" w:hAnsi="Times New Roman"/>
        </w:rPr>
        <w:t>’</w:t>
      </w:r>
      <w:r w:rsidR="00EE3350">
        <w:rPr>
          <w:rFonts w:ascii="Times New Roman" w:hAnsi="Times New Roman"/>
        </w:rPr>
        <w:t xml:space="preserve">s oversight of </w:t>
      </w:r>
      <w:r w:rsidR="00545507">
        <w:rPr>
          <w:rFonts w:ascii="Times New Roman" w:hAnsi="Times New Roman"/>
        </w:rPr>
        <w:t>contracts that</w:t>
      </w:r>
      <w:r w:rsidR="00FC459A">
        <w:rPr>
          <w:rFonts w:ascii="Times New Roman" w:hAnsi="Times New Roman"/>
        </w:rPr>
        <w:t xml:space="preserve"> fall within the scope of section 5(c)(5)(C)</w:t>
      </w:r>
      <w:r w:rsidR="0035065E">
        <w:rPr>
          <w:rFonts w:ascii="Times New Roman" w:hAnsi="Times New Roman"/>
        </w:rPr>
        <w:t xml:space="preserve"> of the Act</w:t>
      </w:r>
      <w:r w:rsidR="00FC459A">
        <w:rPr>
          <w:rFonts w:ascii="Times New Roman" w:hAnsi="Times New Roman"/>
        </w:rPr>
        <w:t xml:space="preserve"> and</w:t>
      </w:r>
      <w:r w:rsidR="00545507">
        <w:rPr>
          <w:rFonts w:ascii="Times New Roman" w:hAnsi="Times New Roman"/>
        </w:rPr>
        <w:t xml:space="preserve"> are contrary to the public interest</w:t>
      </w:r>
      <w:r w:rsidR="00FC459A">
        <w:rPr>
          <w:rFonts w:ascii="Times New Roman" w:hAnsi="Times New Roman"/>
        </w:rPr>
        <w:t>,</w:t>
      </w:r>
      <w:r w:rsidR="00545507">
        <w:rPr>
          <w:rFonts w:ascii="Times New Roman" w:hAnsi="Times New Roman"/>
        </w:rPr>
        <w:t xml:space="preserve"> such that they must not be listed for trading or accepted for clearing</w:t>
      </w:r>
      <w:r w:rsidR="00EE3350">
        <w:rPr>
          <w:rFonts w:ascii="Times New Roman" w:hAnsi="Times New Roman"/>
        </w:rPr>
        <w:t xml:space="preserve">.  </w:t>
      </w:r>
      <w:r>
        <w:rPr>
          <w:rFonts w:ascii="Times New Roman" w:hAnsi="Times New Roman"/>
        </w:rPr>
        <w:t xml:space="preserve">Staff </w:t>
      </w:r>
      <w:r w:rsidR="0035691C">
        <w:rPr>
          <w:rFonts w:ascii="Times New Roman" w:hAnsi="Times New Roman"/>
        </w:rPr>
        <w:t>will generally</w:t>
      </w:r>
      <w:r>
        <w:rPr>
          <w:rFonts w:ascii="Times New Roman" w:hAnsi="Times New Roman"/>
        </w:rPr>
        <w:t xml:space="preserve"> </w:t>
      </w:r>
      <w:r w:rsidR="00990426">
        <w:rPr>
          <w:rFonts w:ascii="Times New Roman" w:hAnsi="Times New Roman"/>
        </w:rPr>
        <w:t xml:space="preserve">use the </w:t>
      </w:r>
      <w:r w:rsidR="007A19A4">
        <w:rPr>
          <w:rFonts w:ascii="Times New Roman" w:hAnsi="Times New Roman"/>
        </w:rPr>
        <w:t xml:space="preserve">information submitted by the registered entity to </w:t>
      </w:r>
      <w:r w:rsidR="0035691C">
        <w:rPr>
          <w:rFonts w:ascii="Times New Roman" w:hAnsi="Times New Roman"/>
        </w:rPr>
        <w:t>monitor</w:t>
      </w:r>
      <w:r w:rsidR="00EE3350">
        <w:rPr>
          <w:rFonts w:ascii="Times New Roman" w:hAnsi="Times New Roman"/>
        </w:rPr>
        <w:t xml:space="preserve"> important information about compliance </w:t>
      </w:r>
      <w:r w:rsidR="0035691C">
        <w:rPr>
          <w:rFonts w:ascii="Times New Roman" w:hAnsi="Times New Roman"/>
        </w:rPr>
        <w:t>and</w:t>
      </w:r>
      <w:r w:rsidR="00EE3350">
        <w:rPr>
          <w:rFonts w:ascii="Times New Roman" w:hAnsi="Times New Roman"/>
        </w:rPr>
        <w:t xml:space="preserve"> to </w:t>
      </w:r>
      <w:r w:rsidRPr="00EE3350" w:rsidR="00EE3350">
        <w:rPr>
          <w:rFonts w:ascii="Times New Roman" w:hAnsi="Times New Roman"/>
        </w:rPr>
        <w:t xml:space="preserve">support the statutory </w:t>
      </w:r>
      <w:r w:rsidR="004048F0">
        <w:rPr>
          <w:rFonts w:ascii="Times New Roman" w:hAnsi="Times New Roman"/>
        </w:rPr>
        <w:t>provision</w:t>
      </w:r>
      <w:r w:rsidRPr="00EE3350" w:rsidR="004048F0">
        <w:rPr>
          <w:rFonts w:ascii="Times New Roman" w:hAnsi="Times New Roman"/>
        </w:rPr>
        <w:t xml:space="preserve"> </w:t>
      </w:r>
      <w:r w:rsidR="00545507">
        <w:rPr>
          <w:rFonts w:ascii="Times New Roman" w:hAnsi="Times New Roman"/>
        </w:rPr>
        <w:t>that authorizes the Commission to prohibit certain event contracts</w:t>
      </w:r>
      <w:r w:rsidR="00EE3350">
        <w:rPr>
          <w:rFonts w:ascii="Times New Roman" w:hAnsi="Times New Roman"/>
        </w:rPr>
        <w:t>.</w:t>
      </w:r>
    </w:p>
    <w:p w:rsidR="00C05C3F" w:rsidRPr="00857487" w:rsidP="0086314E" w14:paraId="6D25DFFD" w14:textId="77777777">
      <w:pPr>
        <w:keepNext/>
        <w:numPr>
          <w:ilvl w:val="0"/>
          <w:numId w:val="3"/>
        </w:numPr>
        <w:tabs>
          <w:tab w:val="left" w:pos="-720"/>
          <w:tab w:val="left" w:pos="0"/>
        </w:tabs>
        <w:suppressAutoHyphens/>
        <w:spacing w:after="240"/>
        <w:ind w:hanging="720"/>
        <w:rPr>
          <w:rFonts w:ascii="Times New Roman" w:hAnsi="Times New Roman"/>
          <w:u w:val="single"/>
        </w:rPr>
      </w:pPr>
      <w:r w:rsidRPr="00857487">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w:t>
      </w:r>
      <w:r w:rsidRPr="00857487">
        <w:rPr>
          <w:rFonts w:ascii="Times New Roman" w:hAnsi="Times New Roman"/>
          <w:b/>
          <w:i/>
        </w:rPr>
        <w:t>e.g.</w:t>
      </w:r>
      <w:r w:rsidRPr="00857487">
        <w:rPr>
          <w:rFonts w:ascii="Times New Roman" w:hAnsi="Times New Roman"/>
          <w:b/>
        </w:rPr>
        <w:t xml:space="preserve">, permitting electronic submission of </w:t>
      </w:r>
      <w:r w:rsidRPr="00857487">
        <w:rPr>
          <w:rFonts w:ascii="Times New Roman" w:hAnsi="Times New Roman"/>
          <w:b/>
        </w:rPr>
        <w:t>responses, and the basis for the decision for adopting this means of collection.  Also describe any consideration of using information technology to reduce burden.</w:t>
      </w:r>
    </w:p>
    <w:p w:rsidR="00E42401" w:rsidP="00727837" w14:paraId="610ED06A" w14:textId="77777777">
      <w:pPr>
        <w:pStyle w:val="Default"/>
        <w:keepNext/>
        <w:spacing w:after="240"/>
        <w:ind w:firstLine="720"/>
        <w:rPr>
          <w:rFonts w:ascii="Times New Roman" w:hAnsi="Times New Roman"/>
        </w:rPr>
      </w:pPr>
      <w:r w:rsidRPr="00FB5C6E">
        <w:rPr>
          <w:rFonts w:ascii="Times New Roman" w:hAnsi="Times New Roman"/>
        </w:rPr>
        <w:t xml:space="preserve">The Commission is committed to utilizing technology in order to reduce reporting burdens for respondents.  </w:t>
      </w:r>
      <w:r w:rsidR="0035065E">
        <w:rPr>
          <w:rFonts w:ascii="Times New Roman" w:hAnsi="Times New Roman"/>
        </w:rPr>
        <w:t>The n</w:t>
      </w:r>
      <w:r w:rsidRPr="003538BF" w:rsidR="0035065E">
        <w:rPr>
          <w:rFonts w:ascii="Times New Roman" w:hAnsi="Times New Roman"/>
        </w:rPr>
        <w:t xml:space="preserve">ew submissions under </w:t>
      </w:r>
      <w:r w:rsidR="0035065E">
        <w:rPr>
          <w:rFonts w:ascii="Times New Roman" w:hAnsi="Times New Roman"/>
        </w:rPr>
        <w:t xml:space="preserve">§ 40.6 for registered entities to delist contracts prohibited by the proposed amendments would be </w:t>
      </w:r>
      <w:r w:rsidRPr="00FB5C6E" w:rsidR="006816E6">
        <w:rPr>
          <w:rFonts w:ascii="Times New Roman" w:hAnsi="Times New Roman"/>
        </w:rPr>
        <w:t>file</w:t>
      </w:r>
      <w:r w:rsidR="0035065E">
        <w:rPr>
          <w:rFonts w:ascii="Times New Roman" w:hAnsi="Times New Roman"/>
        </w:rPr>
        <w:t>d</w:t>
      </w:r>
      <w:r w:rsidRPr="00FB5C6E" w:rsidR="006816E6">
        <w:rPr>
          <w:rFonts w:ascii="Times New Roman" w:hAnsi="Times New Roman"/>
        </w:rPr>
        <w:t xml:space="preserve"> electronically.  </w:t>
      </w:r>
      <w:r w:rsidRPr="00FB5C6E" w:rsidR="00A62A97">
        <w:rPr>
          <w:rFonts w:ascii="Times New Roman" w:hAnsi="Times New Roman"/>
        </w:rPr>
        <w:t>Such</w:t>
      </w:r>
      <w:r w:rsidR="00A62A97">
        <w:rPr>
          <w:rFonts w:ascii="Times New Roman" w:hAnsi="Times New Roman"/>
        </w:rPr>
        <w:t xml:space="preserve"> filings are currently made via an online portal.</w:t>
      </w:r>
    </w:p>
    <w:p w:rsidR="0035691C" w:rsidP="0035691C" w14:paraId="105E54BE" w14:textId="77777777">
      <w:pPr>
        <w:numPr>
          <w:ilvl w:val="0"/>
          <w:numId w:val="3"/>
        </w:numPr>
        <w:tabs>
          <w:tab w:val="left" w:pos="-720"/>
          <w:tab w:val="left" w:pos="0"/>
        </w:tabs>
        <w:suppressAutoHyphens/>
        <w:spacing w:after="240"/>
        <w:ind w:hanging="720"/>
        <w:rPr>
          <w:rFonts w:ascii="Times New Roman" w:hAnsi="Times New Roman"/>
        </w:rPr>
      </w:pPr>
      <w:r w:rsidRPr="00857487">
        <w:rPr>
          <w:rFonts w:ascii="Times New Roman" w:hAnsi="Times New Roman"/>
          <w:b/>
        </w:rPr>
        <w:t>Describe efforts to identify duplication.  Show specifically why any similar information already available cannot be used or modified for use for the purposes described in Item 2 above.</w:t>
      </w:r>
    </w:p>
    <w:p w:rsidR="0035691C" w:rsidRPr="0035691C" w:rsidP="00E1762D" w14:paraId="0DE5B586" w14:textId="77777777">
      <w:pPr>
        <w:tabs>
          <w:tab w:val="left" w:pos="-720"/>
          <w:tab w:val="left" w:pos="0"/>
        </w:tabs>
        <w:suppressAutoHyphens/>
        <w:spacing w:after="240"/>
        <w:ind w:firstLine="720"/>
        <w:rPr>
          <w:rFonts w:ascii="Times New Roman" w:hAnsi="Times New Roman"/>
        </w:rPr>
      </w:pPr>
      <w:r>
        <w:rPr>
          <w:rFonts w:ascii="Times New Roman" w:hAnsi="Times New Roman"/>
        </w:rPr>
        <w:t>The information to be submitted under the proposed rule</w:t>
      </w:r>
      <w:r w:rsidR="0035065E">
        <w:rPr>
          <w:rFonts w:ascii="Times New Roman" w:hAnsi="Times New Roman"/>
        </w:rPr>
        <w:t xml:space="preserve"> amendments</w:t>
      </w:r>
      <w:r>
        <w:rPr>
          <w:rFonts w:ascii="Times New Roman" w:hAnsi="Times New Roman"/>
        </w:rPr>
        <w:t xml:space="preserve"> is not duplicated by other sources or otherwise available to the Commission. </w:t>
      </w:r>
    </w:p>
    <w:p w:rsidR="00C05C3F" w:rsidRPr="00857487" w:rsidP="0086314E" w14:paraId="40718782" w14:textId="77777777">
      <w:pPr>
        <w:numPr>
          <w:ilvl w:val="0"/>
          <w:numId w:val="3"/>
        </w:numPr>
        <w:tabs>
          <w:tab w:val="left" w:pos="-720"/>
          <w:tab w:val="left" w:pos="0"/>
        </w:tabs>
        <w:suppressAutoHyphens/>
        <w:spacing w:after="240"/>
        <w:ind w:hanging="720"/>
        <w:rPr>
          <w:rFonts w:ascii="Times New Roman" w:hAnsi="Times New Roman"/>
        </w:rPr>
      </w:pPr>
      <w:r w:rsidRPr="00857487">
        <w:rPr>
          <w:rFonts w:ascii="Times New Roman" w:hAnsi="Times New Roman"/>
          <w:b/>
        </w:rPr>
        <w:t xml:space="preserve">If the collection of information involves small business or other small entities (Item 5 of OMB </w:t>
      </w:r>
      <w:r w:rsidRPr="00857487" w:rsidR="00857487">
        <w:rPr>
          <w:rFonts w:ascii="Times New Roman" w:hAnsi="Times New Roman"/>
          <w:b/>
        </w:rPr>
        <w:t xml:space="preserve">Form </w:t>
      </w:r>
      <w:r w:rsidRPr="00857487">
        <w:rPr>
          <w:rFonts w:ascii="Times New Roman" w:hAnsi="Times New Roman"/>
          <w:b/>
        </w:rPr>
        <w:t>83-I), describe the methods used to minimize burden.</w:t>
      </w:r>
    </w:p>
    <w:p w:rsidR="00482A98" w:rsidRPr="00482A98" w:rsidP="00B55465" w14:paraId="5E68580C" w14:textId="25C669A3">
      <w:pPr>
        <w:pStyle w:val="Default"/>
        <w:spacing w:after="240"/>
        <w:ind w:firstLine="720"/>
        <w:rPr>
          <w:rFonts w:ascii="Times New Roman" w:hAnsi="Times New Roman"/>
        </w:rPr>
      </w:pPr>
      <w:r>
        <w:rPr>
          <w:rFonts w:ascii="Times New Roman" w:hAnsi="Times New Roman"/>
        </w:rPr>
        <w:t xml:space="preserve">The collection of information does not involve small businesses or other small entities.  </w:t>
      </w:r>
      <w:r w:rsidRPr="00D468FE">
        <w:rPr>
          <w:rFonts w:ascii="Times New Roman" w:hAnsi="Times New Roman"/>
        </w:rPr>
        <w:t xml:space="preserve">The Commission has </w:t>
      </w:r>
      <w:r>
        <w:rPr>
          <w:rFonts w:ascii="Times New Roman" w:hAnsi="Times New Roman"/>
        </w:rPr>
        <w:t xml:space="preserve">previously </w:t>
      </w:r>
      <w:r w:rsidRPr="00D468FE">
        <w:rPr>
          <w:rFonts w:ascii="Times New Roman" w:hAnsi="Times New Roman"/>
        </w:rPr>
        <w:t xml:space="preserve">determined </w:t>
      </w:r>
      <w:r>
        <w:rPr>
          <w:rFonts w:ascii="Times New Roman" w:hAnsi="Times New Roman"/>
        </w:rPr>
        <w:t xml:space="preserve">that the </w:t>
      </w:r>
      <w:r w:rsidRPr="009B5EB0">
        <w:rPr>
          <w:rFonts w:ascii="Times New Roman" w:hAnsi="Times New Roman" w:cs="Times New Roman"/>
        </w:rPr>
        <w:t>registered entities</w:t>
      </w:r>
      <w:r>
        <w:rPr>
          <w:rFonts w:ascii="Times New Roman" w:hAnsi="Times New Roman" w:cs="Times New Roman"/>
        </w:rPr>
        <w:t xml:space="preserve"> subject to Part 40</w:t>
      </w:r>
      <w:r w:rsidR="00C94E38">
        <w:rPr>
          <w:rFonts w:ascii="Times New Roman" w:hAnsi="Times New Roman" w:cs="Times New Roman"/>
        </w:rPr>
        <w:t xml:space="preserve"> of its regulations</w:t>
      </w:r>
      <w:r>
        <w:rPr>
          <w:rFonts w:ascii="Times New Roman" w:hAnsi="Times New Roman" w:cs="Times New Roman"/>
        </w:rPr>
        <w:t xml:space="preserve">, including designated contract markets, swap execution facilities, </w:t>
      </w:r>
      <w:r w:rsidR="00B02CD7">
        <w:rPr>
          <w:rFonts w:ascii="Times New Roman" w:hAnsi="Times New Roman" w:cs="Times New Roman"/>
        </w:rPr>
        <w:t xml:space="preserve">and </w:t>
      </w:r>
      <w:r>
        <w:rPr>
          <w:rFonts w:ascii="Times New Roman" w:hAnsi="Times New Roman" w:cs="Times New Roman"/>
        </w:rPr>
        <w:t>derivatives clearing organizations</w:t>
      </w:r>
      <w:r w:rsidR="00B02CD7">
        <w:rPr>
          <w:rFonts w:ascii="Times New Roman" w:hAnsi="Times New Roman" w:cs="Times New Roman"/>
        </w:rPr>
        <w:t>,</w:t>
      </w:r>
      <w:r w:rsidR="00545507">
        <w:rPr>
          <w:rFonts w:ascii="Times New Roman" w:hAnsi="Times New Roman" w:cs="Times New Roman"/>
        </w:rPr>
        <w:t xml:space="preserve"> </w:t>
      </w:r>
      <w:r w:rsidRPr="00D468FE">
        <w:rPr>
          <w:rFonts w:ascii="Times New Roman" w:hAnsi="Times New Roman"/>
        </w:rPr>
        <w:t>are not small entities for purposes of the Regulatory Flexibility Act.</w:t>
      </w:r>
    </w:p>
    <w:p w:rsidR="00C05C3F" w:rsidRPr="00857487" w:rsidP="0086314E" w14:paraId="6406ABAF" w14:textId="77777777">
      <w:pPr>
        <w:numPr>
          <w:ilvl w:val="0"/>
          <w:numId w:val="3"/>
        </w:numPr>
        <w:tabs>
          <w:tab w:val="left" w:pos="-720"/>
          <w:tab w:val="left" w:pos="0"/>
        </w:tabs>
        <w:suppressAutoHyphens/>
        <w:spacing w:after="240"/>
        <w:ind w:hanging="720"/>
        <w:rPr>
          <w:rFonts w:ascii="Times New Roman" w:hAnsi="Times New Roman"/>
          <w:u w:val="single"/>
        </w:rPr>
      </w:pPr>
      <w:r w:rsidRPr="00857487">
        <w:rPr>
          <w:rFonts w:ascii="Times New Roman" w:hAnsi="Times New Roman"/>
          <w:b/>
        </w:rPr>
        <w:t>Describe the consequence to the Federal Program or policy activities if the collection were conducted less frequently as well as any technical or legal obstacles to reducing burden.</w:t>
      </w:r>
    </w:p>
    <w:p w:rsidR="000A3E6B" w:rsidRPr="000A3E6B" w:rsidP="000A3E6B" w14:paraId="7D6DB184" w14:textId="3AAC43F3">
      <w:pPr>
        <w:pStyle w:val="Default"/>
        <w:spacing w:after="240"/>
        <w:ind w:firstLine="720"/>
        <w:rPr>
          <w:rFonts w:ascii="Times New Roman" w:hAnsi="Times New Roman"/>
          <w:u w:val="single"/>
        </w:rPr>
      </w:pPr>
      <w:r w:rsidRPr="00113EB0">
        <w:rPr>
          <w:rFonts w:ascii="Times New Roman" w:hAnsi="Times New Roman"/>
        </w:rPr>
        <w:t xml:space="preserve">The Commission’s </w:t>
      </w:r>
      <w:r w:rsidR="00F91547">
        <w:rPr>
          <w:rFonts w:ascii="Times New Roman" w:hAnsi="Times New Roman"/>
        </w:rPr>
        <w:t xml:space="preserve">proposed </w:t>
      </w:r>
      <w:r w:rsidR="00B02CD7">
        <w:rPr>
          <w:rFonts w:ascii="Times New Roman" w:hAnsi="Times New Roman"/>
        </w:rPr>
        <w:t xml:space="preserve">rule </w:t>
      </w:r>
      <w:r w:rsidR="00F91547">
        <w:rPr>
          <w:rFonts w:ascii="Times New Roman" w:hAnsi="Times New Roman"/>
        </w:rPr>
        <w:t>amendments</w:t>
      </w:r>
      <w:r w:rsidRPr="00113EB0">
        <w:rPr>
          <w:rFonts w:ascii="Times New Roman" w:hAnsi="Times New Roman"/>
        </w:rPr>
        <w:t xml:space="preserve"> </w:t>
      </w:r>
      <w:r w:rsidR="00F91547">
        <w:rPr>
          <w:rFonts w:ascii="Times New Roman" w:hAnsi="Times New Roman"/>
        </w:rPr>
        <w:t xml:space="preserve">would </w:t>
      </w:r>
      <w:r w:rsidRPr="00113EB0">
        <w:rPr>
          <w:rFonts w:ascii="Times New Roman" w:hAnsi="Times New Roman"/>
        </w:rPr>
        <w:t xml:space="preserve">require </w:t>
      </w:r>
      <w:r w:rsidR="00375114">
        <w:rPr>
          <w:rFonts w:ascii="Times New Roman" w:hAnsi="Times New Roman"/>
        </w:rPr>
        <w:t xml:space="preserve">registered entities that offer certain event contracts to make </w:t>
      </w:r>
      <w:r w:rsidR="00545507">
        <w:rPr>
          <w:rFonts w:ascii="Times New Roman" w:hAnsi="Times New Roman"/>
        </w:rPr>
        <w:t xml:space="preserve">one-time </w:t>
      </w:r>
      <w:r w:rsidR="00375114">
        <w:rPr>
          <w:rFonts w:ascii="Times New Roman" w:hAnsi="Times New Roman"/>
        </w:rPr>
        <w:t>submissions to delist contract</w:t>
      </w:r>
      <w:r w:rsidR="006816E6">
        <w:rPr>
          <w:rFonts w:ascii="Times New Roman" w:hAnsi="Times New Roman"/>
        </w:rPr>
        <w:t>s</w:t>
      </w:r>
      <w:r w:rsidR="00375114">
        <w:rPr>
          <w:rFonts w:ascii="Times New Roman" w:hAnsi="Times New Roman"/>
        </w:rPr>
        <w:t xml:space="preserve"> that </w:t>
      </w:r>
      <w:r w:rsidR="00B02CD7">
        <w:rPr>
          <w:rFonts w:ascii="Times New Roman" w:hAnsi="Times New Roman"/>
        </w:rPr>
        <w:t xml:space="preserve">would be </w:t>
      </w:r>
      <w:r w:rsidR="00375114">
        <w:rPr>
          <w:rFonts w:ascii="Times New Roman" w:hAnsi="Times New Roman"/>
        </w:rPr>
        <w:t>prohibited by</w:t>
      </w:r>
      <w:r w:rsidR="00545507">
        <w:rPr>
          <w:rFonts w:ascii="Times New Roman" w:hAnsi="Times New Roman"/>
        </w:rPr>
        <w:t xml:space="preserve"> the proposed </w:t>
      </w:r>
      <w:r w:rsidR="00B02CD7">
        <w:rPr>
          <w:rFonts w:ascii="Times New Roman" w:hAnsi="Times New Roman"/>
        </w:rPr>
        <w:t>amendments</w:t>
      </w:r>
      <w:r w:rsidRPr="00113EB0">
        <w:rPr>
          <w:rFonts w:ascii="Times New Roman" w:hAnsi="Times New Roman"/>
        </w:rPr>
        <w:t xml:space="preserve">.  </w:t>
      </w:r>
      <w:r>
        <w:rPr>
          <w:rFonts w:ascii="Times New Roman" w:hAnsi="Times New Roman"/>
        </w:rPr>
        <w:t xml:space="preserve">The Commission believes that the </w:t>
      </w:r>
      <w:r w:rsidR="002318F9">
        <w:rPr>
          <w:rFonts w:ascii="Times New Roman" w:hAnsi="Times New Roman"/>
        </w:rPr>
        <w:t xml:space="preserve">proposed </w:t>
      </w:r>
      <w:r>
        <w:rPr>
          <w:rFonts w:ascii="Times New Roman" w:hAnsi="Times New Roman"/>
        </w:rPr>
        <w:t xml:space="preserve">frequency of reporting is the minimum necessary to carry out the </w:t>
      </w:r>
      <w:r w:rsidR="00FA19CA">
        <w:rPr>
          <w:rFonts w:ascii="Times New Roman" w:hAnsi="Times New Roman"/>
        </w:rPr>
        <w:t>Commission’s authority to prohibit registered entities from listing for trading or making available for clearing particular types of event contracts, if the Commission determines that such contracts are contrary to the public interest.</w:t>
      </w:r>
    </w:p>
    <w:p w:rsidR="00C05C3F" w:rsidRPr="00915AB0" w:rsidP="0086314E" w14:paraId="6EF544EB" w14:textId="4306F83A">
      <w:pPr>
        <w:numPr>
          <w:ilvl w:val="0"/>
          <w:numId w:val="3"/>
        </w:numPr>
        <w:tabs>
          <w:tab w:val="left" w:pos="-720"/>
          <w:tab w:val="left" w:pos="0"/>
        </w:tabs>
        <w:suppressAutoHyphens/>
        <w:spacing w:after="240"/>
        <w:ind w:hanging="720"/>
        <w:rPr>
          <w:rFonts w:ascii="Times New Roman" w:hAnsi="Times New Roman"/>
          <w:u w:val="single"/>
        </w:rPr>
      </w:pPr>
      <w:r w:rsidRPr="00F9300C">
        <w:rPr>
          <w:rFonts w:ascii="Times New Roman" w:hAnsi="Times New Roman"/>
          <w:b/>
        </w:rPr>
        <w:t>Explain any special circumstances that require the collection to be conducted in a manner:</w:t>
      </w:r>
    </w:p>
    <w:p w:rsidR="00C05C3F" w:rsidP="00857487" w14:paraId="5261DE3C" w14:textId="77777777">
      <w:pPr>
        <w:tabs>
          <w:tab w:val="left" w:pos="-720"/>
          <w:tab w:val="left" w:pos="0"/>
          <w:tab w:val="left" w:pos="720"/>
        </w:tabs>
        <w:suppressAutoHyphens/>
        <w:spacing w:after="240"/>
        <w:ind w:left="1440" w:hanging="1440"/>
        <w:rPr>
          <w:rFonts w:ascii="Times New Roman" w:hAnsi="Times New Roman"/>
          <w:u w:val="single"/>
        </w:rPr>
      </w:pPr>
      <w:r>
        <w:rPr>
          <w:rFonts w:ascii="Times New Roman" w:hAnsi="Times New Roman"/>
        </w:rPr>
        <w:tab/>
        <w:t>-</w:t>
      </w:r>
      <w:r>
        <w:rPr>
          <w:rFonts w:ascii="Times New Roman" w:hAnsi="Times New Roman"/>
        </w:rPr>
        <w:tab/>
      </w:r>
      <w:r w:rsidRPr="00F9300C">
        <w:rPr>
          <w:rFonts w:ascii="Times New Roman" w:hAnsi="Times New Roman"/>
          <w:b/>
        </w:rPr>
        <w:t>requiring respondents to report information to the agency more often than quarterly;</w:t>
      </w:r>
    </w:p>
    <w:p w:rsidR="00C05C3F" w:rsidP="00B55465" w14:paraId="0F978F2C" w14:textId="77777777">
      <w:pPr>
        <w:pStyle w:val="Default"/>
        <w:spacing w:after="240"/>
        <w:ind w:firstLine="720"/>
        <w:rPr>
          <w:rFonts w:ascii="Times New Roman" w:hAnsi="Times New Roman"/>
        </w:rPr>
      </w:pPr>
      <w:r>
        <w:rPr>
          <w:rFonts w:ascii="Times New Roman" w:hAnsi="Times New Roman"/>
        </w:rPr>
        <w:t>This does not apply.</w:t>
      </w:r>
    </w:p>
    <w:p w:rsidR="00C05C3F" w:rsidRPr="00F9300C" w:rsidP="00857487" w14:paraId="445C49A0"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F9300C">
        <w:rPr>
          <w:rFonts w:ascii="Times New Roman" w:hAnsi="Times New Roman"/>
          <w:b/>
        </w:rPr>
        <w:t>requiring respondents to prepare a written response to a collection of information in fewer than 30 days after receipt of it;</w:t>
      </w:r>
    </w:p>
    <w:p w:rsidR="00C05C3F" w:rsidP="00B55465" w14:paraId="23815346"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3364573B"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requiring respondents to submit more than an original and two copies of any document;</w:t>
      </w:r>
    </w:p>
    <w:p w:rsidR="00C05C3F" w:rsidP="00B55465" w14:paraId="2B73521E"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02222105"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requiring respondents to retain records other than health, medical, government contract, grant-in-aid, or tax records, for more than three years;</w:t>
      </w:r>
    </w:p>
    <w:p w:rsidR="00C05C3F" w:rsidP="00727837" w14:paraId="7259614E" w14:textId="77777777">
      <w:pPr>
        <w:pStyle w:val="Default"/>
        <w:spacing w:after="240"/>
        <w:ind w:firstLine="720"/>
        <w:rPr>
          <w:rFonts w:ascii="Times New Roman" w:hAnsi="Times New Roman"/>
        </w:rPr>
      </w:pPr>
      <w:r w:rsidRPr="00563679">
        <w:rPr>
          <w:rFonts w:ascii="Times New Roman" w:hAnsi="Times New Roman"/>
        </w:rPr>
        <w:t>Commission Regulation 1.31</w:t>
      </w:r>
      <w:r w:rsidR="00375114">
        <w:rPr>
          <w:rFonts w:ascii="Times New Roman" w:hAnsi="Times New Roman"/>
        </w:rPr>
        <w:t>, 17 CFR 1.31,</w:t>
      </w:r>
      <w:r w:rsidRPr="00563679">
        <w:rPr>
          <w:rFonts w:ascii="Times New Roman" w:hAnsi="Times New Roman"/>
        </w:rPr>
        <w:t xml:space="preserve">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p>
    <w:p w:rsidR="00C05C3F" w:rsidP="00857487" w14:paraId="69F6D8C9"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in connection with a statistical survey that is not designed to produce valid and reliable results that can be generalized to the universe of study;</w:t>
      </w:r>
    </w:p>
    <w:p w:rsidR="00C05C3F" w:rsidP="00B55465" w14:paraId="3DE773B5"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734EB4AD"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BA4016">
        <w:rPr>
          <w:rFonts w:ascii="Times New Roman" w:hAnsi="Times New Roman"/>
          <w:b/>
        </w:rPr>
        <w:t>requiring the use of a statistical data classification that has not been reviewed and approved by OMB;</w:t>
      </w:r>
    </w:p>
    <w:p w:rsidR="00C05C3F" w:rsidP="00857487" w14:paraId="2D764D74" w14:textId="77777777">
      <w:pPr>
        <w:tabs>
          <w:tab w:val="left" w:pos="-720"/>
        </w:tabs>
        <w:suppressAutoHyphens/>
        <w:spacing w:after="240"/>
        <w:ind w:firstLine="720"/>
        <w:rPr>
          <w:rFonts w:ascii="Times New Roman" w:hAnsi="Times New Roman"/>
        </w:rPr>
      </w:pPr>
      <w:r>
        <w:rPr>
          <w:rFonts w:ascii="Times New Roman" w:hAnsi="Times New Roman"/>
        </w:rPr>
        <w:t>This does not apply.</w:t>
      </w:r>
    </w:p>
    <w:p w:rsidR="00F62C02" w:rsidP="00857487" w14:paraId="2E8637AE"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F9300C">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F9300C">
        <w:rPr>
          <w:rFonts w:ascii="Times New Roman" w:hAnsi="Times New Roman"/>
          <w:b/>
        </w:rPr>
        <w:t>; or</w:t>
      </w:r>
      <w:r w:rsidRPr="002D3FBF" w:rsidR="002D3FBF">
        <w:rPr>
          <w:rFonts w:ascii="Times New Roman" w:hAnsi="Times New Roman"/>
          <w:b/>
        </w:rPr>
        <w:t xml:space="preserve"> </w:t>
      </w:r>
      <w:r w:rsidRPr="00F9300C" w:rsidR="002D3FBF">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727837" w:rsidP="00727837" w14:paraId="6E12CE32" w14:textId="77777777">
      <w:pPr>
        <w:pStyle w:val="Default"/>
        <w:spacing w:after="240"/>
        <w:ind w:firstLine="720"/>
        <w:rPr>
          <w:rFonts w:ascii="Times New Roman" w:hAnsi="Times New Roman"/>
        </w:rPr>
      </w:pPr>
      <w:r w:rsidRPr="007B2B31">
        <w:rPr>
          <w:rFonts w:ascii="Times New Roman" w:hAnsi="Times New Roman"/>
        </w:rPr>
        <w:t xml:space="preserve">The Commission has procedures to protect the confidentiality of an applicant’s or </w:t>
      </w:r>
      <w:r w:rsidR="00B02CD7">
        <w:rPr>
          <w:rFonts w:ascii="Times New Roman" w:hAnsi="Times New Roman"/>
        </w:rPr>
        <w:t xml:space="preserve">registered entity’s </w:t>
      </w:r>
      <w:r w:rsidRPr="007B2B31">
        <w:rPr>
          <w:rFonts w:ascii="Times New Roman" w:hAnsi="Times New Roman"/>
        </w:rPr>
        <w:t>data.  These are set forth in the Commission’s regulations at parts 145 and 147 of title 17 of the Code of Federal Regulations.</w:t>
      </w:r>
      <w:r w:rsidRPr="0071759C" w:rsidR="00C81087">
        <w:rPr>
          <w:rFonts w:ascii="Times New Roman" w:hAnsi="Times New Roman"/>
        </w:rPr>
        <w:t xml:space="preserve">  In addition, the Commission fully complies with section 8(a) of the CEA, which strictly prohibits the Commission, unless specifically authorized by the CEA, from making public “data and information that would separately disclose the business transactions or market positions of any person and trade secrets or names of customers.”</w:t>
      </w:r>
    </w:p>
    <w:p w:rsidR="00C05C3F" w:rsidP="0086314E" w14:paraId="627D5903" w14:textId="77777777">
      <w:pPr>
        <w:numPr>
          <w:ilvl w:val="0"/>
          <w:numId w:val="3"/>
        </w:numPr>
        <w:tabs>
          <w:tab w:val="left" w:pos="-720"/>
          <w:tab w:val="left" w:pos="0"/>
        </w:tabs>
        <w:suppressAutoHyphens/>
        <w:spacing w:after="240"/>
        <w:ind w:hanging="720"/>
        <w:rPr>
          <w:rFonts w:ascii="Times New Roman" w:hAnsi="Times New Roman"/>
        </w:rPr>
      </w:pPr>
      <w:r w:rsidRPr="005B5FA8">
        <w:rPr>
          <w:rFonts w:ascii="Times New Roman" w:hAnsi="Times New Roman"/>
          <w:b/>
        </w:rPr>
        <w:t xml:space="preserve">If applicable, provide a copy and identify the date and page number of </w:t>
      </w:r>
      <w:r w:rsidRPr="005B5FA8">
        <w:rPr>
          <w:rFonts w:ascii="Times New Roman" w:hAnsi="Times New Roman"/>
          <w:b/>
        </w:rPr>
        <w:t>publication</w:t>
      </w:r>
      <w:r w:rsidRPr="005B5FA8">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w:t>
      </w:r>
      <w:r w:rsidRPr="005B5FA8">
        <w:rPr>
          <w:rFonts w:ascii="Times New Roman" w:hAnsi="Times New Roman"/>
          <w:b/>
        </w:rPr>
        <w:t>actions taken by the agency in response to these comments.  Specifically address comments received on cost and hour burden.</w:t>
      </w:r>
    </w:p>
    <w:p w:rsidR="00C05C3F" w:rsidP="00857487" w14:paraId="7DCCA3E0" w14:textId="77777777">
      <w:pPr>
        <w:tabs>
          <w:tab w:val="left" w:pos="-720"/>
          <w:tab w:val="left" w:pos="0"/>
        </w:tabs>
        <w:suppressAutoHyphens/>
        <w:spacing w:after="240"/>
        <w:ind w:left="720" w:hanging="720"/>
        <w:rPr>
          <w:rFonts w:ascii="Times New Roman" w:hAnsi="Times New Roman"/>
          <w:u w:val="single"/>
        </w:rPr>
      </w:pPr>
      <w:r>
        <w:rPr>
          <w:rFonts w:ascii="Times New Roman" w:hAnsi="Times New Roman"/>
        </w:rPr>
        <w:tab/>
      </w:r>
      <w:r w:rsidRPr="005B5FA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5C3F" w:rsidP="00857487" w14:paraId="2EB7B5C6" w14:textId="77777777">
      <w:pPr>
        <w:tabs>
          <w:tab w:val="left" w:pos="-720"/>
          <w:tab w:val="left" w:pos="0"/>
        </w:tabs>
        <w:suppressAutoHyphens/>
        <w:spacing w:after="240"/>
        <w:ind w:left="720" w:hanging="720"/>
        <w:rPr>
          <w:rFonts w:ascii="Times New Roman" w:hAnsi="Times New Roman"/>
        </w:rPr>
      </w:pPr>
      <w:r>
        <w:rPr>
          <w:rFonts w:ascii="Times New Roman" w:hAnsi="Times New Roman"/>
        </w:rPr>
        <w:tab/>
      </w:r>
      <w:r w:rsidRPr="005B5FA8">
        <w:rPr>
          <w:rFonts w:ascii="Times New Roman" w:hAnsi="Times New Roman"/>
          <w:b/>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E407B5" w:rsidRPr="007B55D0" w:rsidP="00E407B5" w14:paraId="58C527E6" w14:textId="72EA4342">
      <w:pPr>
        <w:pStyle w:val="Default"/>
        <w:spacing w:after="240"/>
        <w:ind w:firstLine="720"/>
        <w:rPr>
          <w:rFonts w:ascii="Times New Roman" w:hAnsi="Times New Roman"/>
        </w:rPr>
      </w:pPr>
      <w:r w:rsidRPr="00E407B5">
        <w:rPr>
          <w:rFonts w:ascii="Times New Roman" w:hAnsi="Times New Roman"/>
        </w:rPr>
        <w:t>The Commission sought comment from the public concerning the</w:t>
      </w:r>
      <w:r w:rsidR="00F91547">
        <w:rPr>
          <w:rFonts w:ascii="Times New Roman" w:hAnsi="Times New Roman"/>
        </w:rPr>
        <w:t xml:space="preserve"> proposed</w:t>
      </w:r>
      <w:r w:rsidRPr="00E407B5">
        <w:rPr>
          <w:rFonts w:ascii="Times New Roman" w:hAnsi="Times New Roman"/>
        </w:rPr>
        <w:t xml:space="preserve"> </w:t>
      </w:r>
      <w:r w:rsidR="00C94E38">
        <w:rPr>
          <w:rFonts w:ascii="Times New Roman" w:hAnsi="Times New Roman"/>
        </w:rPr>
        <w:t xml:space="preserve">rule </w:t>
      </w:r>
      <w:r w:rsidR="00F91547">
        <w:rPr>
          <w:rFonts w:ascii="Times New Roman" w:hAnsi="Times New Roman"/>
        </w:rPr>
        <w:t>amendments</w:t>
      </w:r>
      <w:r w:rsidR="007B2B31">
        <w:rPr>
          <w:rFonts w:ascii="Times New Roman" w:hAnsi="Times New Roman"/>
        </w:rPr>
        <w:t xml:space="preserve"> and </w:t>
      </w:r>
      <w:r w:rsidRPr="007B2B31" w:rsidR="007B2B31">
        <w:rPr>
          <w:rFonts w:ascii="Times New Roman" w:hAnsi="Times New Roman"/>
        </w:rPr>
        <w:t>on any aspect of the proposed collection of information</w:t>
      </w:r>
      <w:r w:rsidRPr="00E407B5">
        <w:rPr>
          <w:rFonts w:ascii="Times New Roman" w:hAnsi="Times New Roman"/>
        </w:rPr>
        <w:t>.  A copy of the solicitation of public comment</w:t>
      </w:r>
      <w:r w:rsidR="00F91547">
        <w:rPr>
          <w:rFonts w:ascii="Times New Roman" w:hAnsi="Times New Roman"/>
        </w:rPr>
        <w:t xml:space="preserve"> in the </w:t>
      </w:r>
      <w:r w:rsidR="00C94E38">
        <w:rPr>
          <w:rFonts w:ascii="Times New Roman" w:hAnsi="Times New Roman"/>
        </w:rPr>
        <w:t xml:space="preserve">notice of proposed rulemaking </w:t>
      </w:r>
      <w:r w:rsidR="00563679">
        <w:rPr>
          <w:rFonts w:ascii="Times New Roman" w:hAnsi="Times New Roman"/>
        </w:rPr>
        <w:t>was published</w:t>
      </w:r>
      <w:r w:rsidRPr="00E407B5">
        <w:rPr>
          <w:rFonts w:ascii="Times New Roman" w:hAnsi="Times New Roman"/>
        </w:rPr>
        <w:t xml:space="preserve"> in the Federal Register</w:t>
      </w:r>
      <w:r w:rsidR="00640D26">
        <w:rPr>
          <w:rFonts w:ascii="Times New Roman" w:hAnsi="Times New Roman"/>
        </w:rPr>
        <w:t xml:space="preserve">.  </w:t>
      </w:r>
      <w:r w:rsidR="00640D26">
        <w:rPr>
          <w:rFonts w:ascii="Times New Roman" w:hAnsi="Times New Roman"/>
          <w:i/>
        </w:rPr>
        <w:t xml:space="preserve">See </w:t>
      </w:r>
      <w:r w:rsidR="00640D26">
        <w:rPr>
          <w:rFonts w:ascii="Times New Roman" w:hAnsi="Times New Roman"/>
        </w:rPr>
        <w:t xml:space="preserve">Notice of Proposed Rulemaking, </w:t>
      </w:r>
      <w:r w:rsidR="00640D26">
        <w:rPr>
          <w:rFonts w:ascii="Times New Roman" w:hAnsi="Times New Roman"/>
          <w:i/>
        </w:rPr>
        <w:t>Event Contracts</w:t>
      </w:r>
      <w:r w:rsidR="00640D26">
        <w:rPr>
          <w:rFonts w:ascii="Times New Roman" w:hAnsi="Times New Roman"/>
        </w:rPr>
        <w:t>, 89 FR 48968 (June 10, 2024).</w:t>
      </w:r>
      <w:r w:rsidRPr="00E407B5">
        <w:rPr>
          <w:rFonts w:ascii="Times New Roman" w:hAnsi="Times New Roman"/>
        </w:rPr>
        <w:t xml:space="preserve">  </w:t>
      </w:r>
      <w:r>
        <w:rPr>
          <w:rFonts w:ascii="Times New Roman" w:hAnsi="Times New Roman"/>
        </w:rPr>
        <w:t>In addition, the Commission maintains regular contact with r</w:t>
      </w:r>
      <w:bookmarkStart w:id="0" w:name="_GoBack"/>
      <w:bookmarkEnd w:id="0"/>
      <w:r>
        <w:rPr>
          <w:rFonts w:ascii="Times New Roman" w:hAnsi="Times New Roman"/>
        </w:rPr>
        <w:t>egulated entities.</w:t>
      </w:r>
    </w:p>
    <w:p w:rsidR="00C05C3F" w:rsidP="0086314E" w14:paraId="1E987A86" w14:textId="77777777">
      <w:pPr>
        <w:numPr>
          <w:ilvl w:val="0"/>
          <w:numId w:val="3"/>
        </w:numPr>
        <w:tabs>
          <w:tab w:val="left" w:pos="-720"/>
          <w:tab w:val="left" w:pos="0"/>
        </w:tabs>
        <w:suppressAutoHyphens/>
        <w:spacing w:after="240"/>
        <w:ind w:hanging="720"/>
        <w:rPr>
          <w:rFonts w:ascii="Times New Roman" w:hAnsi="Times New Roman"/>
        </w:rPr>
      </w:pPr>
      <w:r w:rsidRPr="005B5FA8">
        <w:rPr>
          <w:rFonts w:ascii="Times New Roman" w:hAnsi="Times New Roman"/>
          <w:b/>
        </w:rPr>
        <w:t>Explain any decision to provide any payment or gift to respondents, other than remuneration of contractors or grantees.</w:t>
      </w:r>
    </w:p>
    <w:p w:rsidR="00C05C3F" w:rsidP="00B55465" w14:paraId="5AA12398" w14:textId="77777777">
      <w:pPr>
        <w:pStyle w:val="Default"/>
        <w:spacing w:after="240"/>
        <w:ind w:firstLine="720"/>
        <w:rPr>
          <w:rFonts w:ascii="Times New Roman" w:hAnsi="Times New Roman"/>
        </w:rPr>
      </w:pPr>
      <w:r>
        <w:rPr>
          <w:rFonts w:ascii="Times New Roman" w:hAnsi="Times New Roman"/>
        </w:rPr>
        <w:t>This question does not apply.</w:t>
      </w:r>
      <w:r w:rsidR="001D0F6C">
        <w:rPr>
          <w:rFonts w:ascii="Times New Roman" w:hAnsi="Times New Roman"/>
        </w:rPr>
        <w:t xml:space="preserve">  </w:t>
      </w:r>
      <w:r w:rsidRPr="001D0F6C" w:rsidR="001D0F6C">
        <w:rPr>
          <w:rFonts w:ascii="Times New Roman" w:hAnsi="Times New Roman"/>
        </w:rPr>
        <w:t>The Commission has neither considered nor made any payment or gift to a respondent.</w:t>
      </w:r>
    </w:p>
    <w:p w:rsidR="00C05C3F" w:rsidP="0086314E" w14:paraId="72DF71E8" w14:textId="77777777">
      <w:pPr>
        <w:numPr>
          <w:ilvl w:val="0"/>
          <w:numId w:val="3"/>
        </w:numPr>
        <w:tabs>
          <w:tab w:val="left" w:pos="-720"/>
          <w:tab w:val="left" w:pos="0"/>
        </w:tabs>
        <w:suppressAutoHyphens/>
        <w:spacing w:after="240"/>
        <w:ind w:hanging="720"/>
        <w:rPr>
          <w:rFonts w:ascii="Times New Roman" w:hAnsi="Times New Roman"/>
        </w:rPr>
      </w:pPr>
      <w:r w:rsidRPr="005B5FA8">
        <w:rPr>
          <w:rFonts w:ascii="Times New Roman" w:hAnsi="Times New Roman"/>
          <w:b/>
        </w:rPr>
        <w:t>Describe any assurance of confidentiality provided to respondents and the basis for the assurance in statute, regulations, or agency policy.</w:t>
      </w:r>
    </w:p>
    <w:p w:rsidR="00185A95" w:rsidP="00B55465" w14:paraId="0121BC82" w14:textId="77777777">
      <w:pPr>
        <w:pStyle w:val="Default"/>
        <w:spacing w:after="240"/>
        <w:ind w:firstLine="720"/>
        <w:rPr>
          <w:rFonts w:ascii="Times New Roman" w:hAnsi="Times New Roman"/>
        </w:rPr>
      </w:pPr>
      <w:r w:rsidRPr="00185A95">
        <w:rPr>
          <w:rFonts w:ascii="Times New Roman" w:hAnsi="Times New Roman"/>
        </w:rPr>
        <w:t>The Commission does not provide respondents with an assurance of confidentiality beyond that provided by applicable law.  The Commission fully complies with section 8(a)(1) of the</w:t>
      </w:r>
      <w:r w:rsidR="000603C3">
        <w:rPr>
          <w:rFonts w:ascii="Times New Roman" w:hAnsi="Times New Roman"/>
        </w:rPr>
        <w:t xml:space="preserve"> CEA</w:t>
      </w:r>
      <w:r w:rsidRPr="00185A95">
        <w:rPr>
          <w:rFonts w:ascii="Times New Roman" w:hAnsi="Times New Roman"/>
        </w:rPr>
        <w:t>, which strictly prohibits the Commission, unless specifically authorized by the</w:t>
      </w:r>
      <w:r w:rsidR="00E37FD0">
        <w:rPr>
          <w:rFonts w:ascii="Times New Roman" w:hAnsi="Times New Roman"/>
        </w:rPr>
        <w:t xml:space="preserve"> CEA</w:t>
      </w:r>
      <w:r w:rsidRPr="00185A95">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w:t>
      </w:r>
      <w:r w:rsidR="00E37FD0">
        <w:rPr>
          <w:rFonts w:ascii="Times New Roman" w:hAnsi="Times New Roman"/>
        </w:rPr>
        <w:t>ered entity</w:t>
      </w:r>
      <w:r w:rsidRPr="00185A95">
        <w:rPr>
          <w:rFonts w:ascii="Times New Roman" w:hAnsi="Times New Roman"/>
        </w:rPr>
        <w:t>’s data.  These are set forth in the Commission’s regulations at parts 145 and 147 of title 17 of the Code of Federal Regulations.</w:t>
      </w:r>
    </w:p>
    <w:p w:rsidR="00C05C3F" w:rsidRPr="001D0F6C" w:rsidP="0086314E" w14:paraId="06497802" w14:textId="77777777">
      <w:pPr>
        <w:numPr>
          <w:ilvl w:val="0"/>
          <w:numId w:val="3"/>
        </w:numPr>
        <w:tabs>
          <w:tab w:val="left" w:pos="-720"/>
          <w:tab w:val="left" w:pos="0"/>
        </w:tabs>
        <w:suppressAutoHyphens/>
        <w:spacing w:after="240"/>
        <w:ind w:hanging="720"/>
        <w:rPr>
          <w:rFonts w:ascii="Times New Roman" w:hAnsi="Times New Roman"/>
        </w:rPr>
      </w:pPr>
      <w:r w:rsidRPr="001D0F6C">
        <w:rPr>
          <w:rFonts w:ascii="Times New Roman" w:hAnsi="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5C3F" w:rsidP="00B55465" w14:paraId="4B8DA1B8" w14:textId="5FE7A412">
      <w:pPr>
        <w:pStyle w:val="Default"/>
        <w:spacing w:after="240"/>
        <w:ind w:firstLine="720"/>
        <w:rPr>
          <w:rFonts w:ascii="Times New Roman" w:hAnsi="Times New Roman"/>
        </w:rPr>
      </w:pPr>
      <w:r>
        <w:rPr>
          <w:rFonts w:ascii="Times New Roman" w:hAnsi="Times New Roman"/>
        </w:rPr>
        <w:t xml:space="preserve">The </w:t>
      </w:r>
      <w:r w:rsidR="00E37FD0">
        <w:rPr>
          <w:rFonts w:ascii="Times New Roman" w:hAnsi="Times New Roman"/>
        </w:rPr>
        <w:t xml:space="preserve">proposed rule amendments </w:t>
      </w:r>
      <w:r>
        <w:rPr>
          <w:rFonts w:ascii="Times New Roman" w:hAnsi="Times New Roman"/>
        </w:rPr>
        <w:t xml:space="preserve">covered by </w:t>
      </w:r>
      <w:r w:rsidR="00676ACA">
        <w:rPr>
          <w:rFonts w:ascii="Times New Roman" w:hAnsi="Times New Roman"/>
        </w:rPr>
        <w:t xml:space="preserve">this </w:t>
      </w:r>
      <w:r>
        <w:rPr>
          <w:rFonts w:ascii="Times New Roman" w:hAnsi="Times New Roman"/>
        </w:rPr>
        <w:t xml:space="preserve">collection do not require the </w:t>
      </w:r>
      <w:r w:rsidR="003258B1">
        <w:rPr>
          <w:rFonts w:ascii="Times New Roman" w:hAnsi="Times New Roman"/>
        </w:rPr>
        <w:t xml:space="preserve">provision </w:t>
      </w:r>
      <w:r>
        <w:rPr>
          <w:rFonts w:ascii="Times New Roman" w:hAnsi="Times New Roman"/>
        </w:rPr>
        <w:t xml:space="preserve">of sensitive information, as that term is used in Question </w:t>
      </w:r>
      <w:r w:rsidR="007B2B31">
        <w:rPr>
          <w:rFonts w:ascii="Times New Roman" w:hAnsi="Times New Roman"/>
        </w:rPr>
        <w:t>11</w:t>
      </w:r>
      <w:r>
        <w:rPr>
          <w:rFonts w:ascii="Times New Roman" w:hAnsi="Times New Roman"/>
        </w:rPr>
        <w:t>.</w:t>
      </w:r>
    </w:p>
    <w:p w:rsidR="00C05C3F" w:rsidRPr="00857487" w:rsidP="0086314E" w14:paraId="1381EFA3" w14:textId="77777777">
      <w:pPr>
        <w:numPr>
          <w:ilvl w:val="0"/>
          <w:numId w:val="3"/>
        </w:numPr>
        <w:tabs>
          <w:tab w:val="left" w:pos="-720"/>
          <w:tab w:val="left" w:pos="0"/>
        </w:tabs>
        <w:suppressAutoHyphens/>
        <w:spacing w:after="240"/>
        <w:ind w:hanging="720"/>
        <w:rPr>
          <w:rFonts w:ascii="Times New Roman" w:hAnsi="Times New Roman"/>
        </w:rPr>
      </w:pPr>
      <w:r w:rsidRPr="00857487">
        <w:rPr>
          <w:rFonts w:ascii="Times New Roman" w:hAnsi="Times New Roman"/>
          <w:b/>
        </w:rPr>
        <w:t>Provide estimates of the hour burden of the collection of information.  The Statement should:</w:t>
      </w:r>
    </w:p>
    <w:p w:rsidR="00C05C3F" w:rsidRPr="004A301A" w:rsidP="00857487" w14:paraId="7AD307FE"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4A301A">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05C3F" w:rsidRPr="004A301A" w:rsidP="00857487" w14:paraId="0CE69BEE" w14:textId="77777777">
      <w:pPr>
        <w:tabs>
          <w:tab w:val="left" w:pos="-720"/>
          <w:tab w:val="left" w:pos="0"/>
          <w:tab w:val="left" w:pos="720"/>
        </w:tabs>
        <w:suppressAutoHyphens/>
        <w:spacing w:after="240"/>
        <w:ind w:left="1440" w:hanging="1440"/>
        <w:rPr>
          <w:rFonts w:ascii="Times New Roman" w:hAnsi="Times New Roman"/>
          <w:b/>
        </w:rPr>
      </w:pPr>
      <w:r w:rsidRPr="004A301A">
        <w:rPr>
          <w:rFonts w:ascii="Times New Roman" w:hAnsi="Times New Roman"/>
          <w:b/>
        </w:rPr>
        <w:tab/>
        <w:t>-</w:t>
      </w:r>
      <w:r w:rsidRPr="004A301A">
        <w:rPr>
          <w:rFonts w:ascii="Times New Roman" w:hAnsi="Times New Roman"/>
          <w:b/>
        </w:rPr>
        <w:tab/>
        <w:t>If the request for approval covers more than one form, provide separate hour burden estimates for each form and aggregate the hour burdens in Item 13 of OMB Form 83-I.</w:t>
      </w:r>
    </w:p>
    <w:p w:rsidR="00C05C3F" w:rsidP="002E6DAA" w14:paraId="05F8A84C" w14:textId="77777777">
      <w:pPr>
        <w:tabs>
          <w:tab w:val="left" w:pos="-720"/>
          <w:tab w:val="left" w:pos="0"/>
          <w:tab w:val="left" w:pos="720"/>
        </w:tabs>
        <w:suppressAutoHyphens/>
        <w:spacing w:after="240"/>
        <w:ind w:left="1440" w:hanging="1440"/>
        <w:rPr>
          <w:rFonts w:ascii="Times New Roman" w:hAnsi="Times New Roman"/>
        </w:rPr>
      </w:pPr>
      <w:r w:rsidRPr="004A301A">
        <w:rPr>
          <w:rFonts w:ascii="Times New Roman" w:hAnsi="Times New Roman"/>
          <w:b/>
        </w:rPr>
        <w:tab/>
        <w:t>-</w:t>
      </w:r>
      <w:r w:rsidRPr="004A301A">
        <w:rPr>
          <w:rFonts w:ascii="Times New Roman" w:hAnsi="Times New Roman"/>
          <w:b/>
        </w:rPr>
        <w:tab/>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05C3F" w:rsidP="00B55465" w14:paraId="2F5D0CE1" w14:textId="4DBF9A1A">
      <w:pPr>
        <w:pStyle w:val="Default"/>
        <w:spacing w:after="240"/>
        <w:ind w:firstLine="720"/>
        <w:rPr>
          <w:rFonts w:ascii="Times New Roman" w:hAnsi="Times New Roman"/>
        </w:rPr>
      </w:pPr>
      <w:r w:rsidRPr="005B5FA8">
        <w:rPr>
          <w:rFonts w:ascii="Times New Roman" w:hAnsi="Times New Roman"/>
        </w:rPr>
        <w:t>See</w:t>
      </w:r>
      <w:r>
        <w:rPr>
          <w:rFonts w:ascii="Times New Roman" w:hAnsi="Times New Roman"/>
        </w:rPr>
        <w:t xml:space="preserve"> Attachment A.</w:t>
      </w:r>
      <w:r w:rsidR="002E6DAA">
        <w:rPr>
          <w:rFonts w:ascii="Times New Roman" w:hAnsi="Times New Roman"/>
        </w:rPr>
        <w:t xml:space="preserve">  </w:t>
      </w:r>
      <w:r w:rsidRPr="004A301A">
        <w:rPr>
          <w:rFonts w:ascii="Times New Roman" w:hAnsi="Times New Roman"/>
        </w:rPr>
        <w:t xml:space="preserve">In calculating </w:t>
      </w:r>
      <w:r w:rsidR="003A4994">
        <w:rPr>
          <w:rFonts w:ascii="Times New Roman" w:hAnsi="Times New Roman"/>
        </w:rPr>
        <w:t>its</w:t>
      </w:r>
      <w:r w:rsidRPr="004A301A" w:rsidR="003A4994">
        <w:rPr>
          <w:rFonts w:ascii="Times New Roman" w:hAnsi="Times New Roman"/>
        </w:rPr>
        <w:t xml:space="preserve"> </w:t>
      </w:r>
      <w:r w:rsidR="003A4994">
        <w:rPr>
          <w:rFonts w:ascii="Times New Roman" w:hAnsi="Times New Roman"/>
        </w:rPr>
        <w:t xml:space="preserve">labor </w:t>
      </w:r>
      <w:r w:rsidRPr="004A301A">
        <w:rPr>
          <w:rFonts w:ascii="Times New Roman" w:hAnsi="Times New Roman"/>
        </w:rPr>
        <w:t>cost estimate</w:t>
      </w:r>
      <w:r w:rsidR="003A4994">
        <w:rPr>
          <w:rFonts w:ascii="Times New Roman" w:hAnsi="Times New Roman"/>
        </w:rPr>
        <w:t>s</w:t>
      </w:r>
      <w:r w:rsidRPr="004A301A">
        <w:rPr>
          <w:rFonts w:ascii="Times New Roman" w:hAnsi="Times New Roman"/>
        </w:rPr>
        <w:t>, the Commission estimates the appropriate wage rate based on salary information for the securities industry compiled by the Department of Labor’s Bureau of Labor Statistics (“BLS”). Commission staff arrived at an hourly rate of $</w:t>
      </w:r>
      <w:r w:rsidR="000005C1">
        <w:rPr>
          <w:rFonts w:ascii="Times New Roman" w:hAnsi="Times New Roman"/>
        </w:rPr>
        <w:t xml:space="preserve">266 </w:t>
      </w:r>
      <w:r w:rsidRPr="004A301A">
        <w:rPr>
          <w:rFonts w:ascii="Times New Roman" w:hAnsi="Times New Roman"/>
        </w:rPr>
        <w:t xml:space="preserve">using figures from </w:t>
      </w:r>
      <w:r w:rsidR="00E31F88">
        <w:rPr>
          <w:rFonts w:ascii="Times New Roman" w:hAnsi="Times New Roman"/>
        </w:rPr>
        <w:t xml:space="preserve">data on the </w:t>
      </w:r>
      <w:r w:rsidR="009F0501">
        <w:rPr>
          <w:rFonts w:ascii="Times New Roman" w:hAnsi="Times New Roman"/>
        </w:rPr>
        <w:t xml:space="preserve">relevant profession </w:t>
      </w:r>
      <w:r w:rsidRPr="004A301A">
        <w:rPr>
          <w:rFonts w:ascii="Times New Roman" w:hAnsi="Times New Roman"/>
        </w:rPr>
        <w:t>contained in the most recent BLS Occupational Employment and Wages Report (</w:t>
      </w:r>
      <w:r>
        <w:rPr>
          <w:rFonts w:ascii="Times New Roman" w:hAnsi="Times New Roman"/>
        </w:rPr>
        <w:t>May 202</w:t>
      </w:r>
      <w:r w:rsidR="000005C1">
        <w:rPr>
          <w:rFonts w:ascii="Times New Roman" w:hAnsi="Times New Roman"/>
        </w:rPr>
        <w:t>3</w:t>
      </w:r>
      <w:r w:rsidRPr="004A301A">
        <w:rPr>
          <w:rFonts w:ascii="Times New Roman" w:hAnsi="Times New Roman"/>
        </w:rPr>
        <w:t xml:space="preserve">) </w:t>
      </w:r>
      <w:r>
        <w:rPr>
          <w:rFonts w:ascii="Times New Roman" w:hAnsi="Times New Roman"/>
        </w:rPr>
        <w:t>under NAICS 523000</w:t>
      </w:r>
      <w:r w:rsidR="008D5FF1">
        <w:rPr>
          <w:rFonts w:ascii="Times New Roman" w:hAnsi="Times New Roman"/>
        </w:rPr>
        <w:t xml:space="preserve">.  </w:t>
      </w:r>
      <w:r w:rsidRPr="008D5FF1" w:rsidR="008D5FF1">
        <w:rPr>
          <w:rFonts w:ascii="Times New Roman" w:hAnsi="Times New Roman" w:cs="Times New Roman"/>
        </w:rPr>
        <w:t>According to BLS, the mean salary for financial examiners in the context of Securities, Commodity Contracts, and Other Financial Investments and Related Activities is $116,520. This number is divided by 1,800 work hours in a year to account for sick leave and vacations and multiplied by 4 to account for retirement, health, and other benefits or compensation, as well as for office space, computer equipment support, and human resources support.  This number is further multiplied by 1.0272 to account for the 2.72% change in the CPI for Urban Wage-Earners and Clerical Workers between May 2023 and March 2024 (298.382 to 306.502).</w:t>
      </w:r>
      <w:r w:rsidR="000A3E6B">
        <w:rPr>
          <w:rFonts w:ascii="Times New Roman" w:hAnsi="Times New Roman" w:cs="Times New Roman"/>
        </w:rPr>
        <w:t xml:space="preserve"> </w:t>
      </w:r>
      <w:r w:rsidRPr="008D5FF1" w:rsidR="008D5FF1">
        <w:rPr>
          <w:rFonts w:ascii="Times New Roman" w:hAnsi="Times New Roman" w:cs="Times New Roman"/>
        </w:rPr>
        <w:t xml:space="preserve"> BLS, CPI for Urban Wage Earners and Clerical Workers (CPI–W), U.S. City Average, All Items— CWUR0000SA0, available at </w:t>
      </w:r>
      <w:hyperlink r:id="rId10" w:history="1">
        <w:r w:rsidRPr="008D5FF1" w:rsidR="008D5FF1">
          <w:rPr>
            <w:rStyle w:val="Hyperlink"/>
            <w:rFonts w:ascii="Times New Roman" w:hAnsi="Times New Roman" w:cs="Times New Roman"/>
            <w:i/>
            <w:iCs/>
          </w:rPr>
          <w:t>https://www.bls.gov/data/#prices</w:t>
        </w:r>
      </w:hyperlink>
      <w:r w:rsidRPr="008D5FF1" w:rsidR="008D5FF1">
        <w:rPr>
          <w:rFonts w:ascii="Times New Roman" w:hAnsi="Times New Roman" w:cs="Times New Roman"/>
          <w:i/>
          <w:iCs/>
        </w:rPr>
        <w:t xml:space="preserve">. </w:t>
      </w:r>
      <w:r w:rsidRPr="008D5FF1" w:rsidR="008D5FF1">
        <w:rPr>
          <w:rFonts w:ascii="Times New Roman" w:hAnsi="Times New Roman" w:cs="Times New Roman"/>
        </w:rPr>
        <w:t xml:space="preserve">Together, these modifications yield an hourly rate of $266.  </w:t>
      </w:r>
      <w:r w:rsidRPr="008D5FF1">
        <w:rPr>
          <w:rFonts w:ascii="Times New Roman" w:hAnsi="Times New Roman" w:cs="Times New Roman"/>
        </w:rPr>
        <w:t>The estimated wage rate is a weighted national average of mean hourly</w:t>
      </w:r>
      <w:r w:rsidRPr="004A301A">
        <w:rPr>
          <w:rFonts w:ascii="Times New Roman" w:hAnsi="Times New Roman"/>
        </w:rPr>
        <w:t xml:space="preserve"> wages for the </w:t>
      </w:r>
      <w:r w:rsidR="00E31F88">
        <w:rPr>
          <w:rFonts w:ascii="Times New Roman" w:hAnsi="Times New Roman"/>
        </w:rPr>
        <w:t>occupation of</w:t>
      </w:r>
      <w:r w:rsidRPr="004A301A">
        <w:rPr>
          <w:rFonts w:ascii="Times New Roman" w:hAnsi="Times New Roman"/>
        </w:rPr>
        <w:t xml:space="preserve"> “</w:t>
      </w:r>
      <w:r w:rsidR="00E31F88">
        <w:rPr>
          <w:rFonts w:ascii="Times New Roman" w:hAnsi="Times New Roman"/>
        </w:rPr>
        <w:t>financial examiners</w:t>
      </w:r>
      <w:r w:rsidR="009F0501">
        <w:rPr>
          <w:rFonts w:ascii="Times New Roman" w:hAnsi="Times New Roman"/>
        </w:rPr>
        <w:t xml:space="preserve">” </w:t>
      </w:r>
      <w:r w:rsidRPr="004A301A">
        <w:rPr>
          <w:rFonts w:ascii="Times New Roman" w:hAnsi="Times New Roman"/>
        </w:rPr>
        <w:t>(</w:t>
      </w:r>
      <w:r w:rsidR="00E31F88">
        <w:rPr>
          <w:rFonts w:ascii="Times New Roman" w:hAnsi="Times New Roman"/>
        </w:rPr>
        <w:t>13-2061</w:t>
      </w:r>
      <w:r w:rsidRPr="004A301A">
        <w:rPr>
          <w:rFonts w:ascii="Times New Roman" w:hAnsi="Times New Roman"/>
        </w:rPr>
        <w:t>)</w:t>
      </w:r>
      <w:r w:rsidR="00E31F88">
        <w:rPr>
          <w:rFonts w:ascii="Times New Roman" w:hAnsi="Times New Roman"/>
        </w:rPr>
        <w:t xml:space="preserve">. </w:t>
      </w:r>
      <w:r w:rsidRPr="004A301A">
        <w:rPr>
          <w:rFonts w:ascii="Times New Roman" w:hAnsi="Times New Roman"/>
        </w:rPr>
        <w:t xml:space="preserve"> Commission staff chose this methodology to account for the variance in skill sets that may be used to accomplish the collection of information.</w:t>
      </w:r>
    </w:p>
    <w:p w:rsidR="00C05C3F" w:rsidP="0086314E" w14:paraId="1FC3E018" w14:textId="77777777">
      <w:pPr>
        <w:numPr>
          <w:ilvl w:val="0"/>
          <w:numId w:val="3"/>
        </w:numPr>
        <w:tabs>
          <w:tab w:val="left" w:pos="-720"/>
          <w:tab w:val="left" w:pos="0"/>
        </w:tabs>
        <w:suppressAutoHyphens/>
        <w:spacing w:after="240"/>
        <w:ind w:hanging="720"/>
        <w:rPr>
          <w:rFonts w:ascii="Times New Roman" w:hAnsi="Times New Roman"/>
        </w:rPr>
      </w:pPr>
      <w:r w:rsidRPr="005B5FA8">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C05C3F" w:rsidRPr="005B5FA8" w:rsidP="002E6DAA" w14:paraId="3878AFB8"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5B5FA8">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5B5FA8">
        <w:rPr>
          <w:rFonts w:ascii="Times New Roman" w:hAnsi="Times New Roman"/>
          <w:b/>
        </w:rPr>
        <w:t>take into account</w:t>
      </w:r>
      <w:r w:rsidRPr="005B5FA8">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05C3F" w:rsidRPr="005B5FA8" w:rsidP="002E6DAA" w14:paraId="08F9E5C3" w14:textId="77777777">
      <w:pPr>
        <w:tabs>
          <w:tab w:val="left" w:pos="-720"/>
          <w:tab w:val="left" w:pos="0"/>
          <w:tab w:val="left" w:pos="720"/>
        </w:tabs>
        <w:suppressAutoHyphens/>
        <w:spacing w:after="240"/>
        <w:ind w:left="1440" w:hanging="1440"/>
        <w:rPr>
          <w:rFonts w:ascii="Times New Roman" w:hAnsi="Times New Roman"/>
          <w:b/>
        </w:rPr>
      </w:pPr>
      <w:r w:rsidRPr="005B5FA8">
        <w:rPr>
          <w:rFonts w:ascii="Times New Roman" w:hAnsi="Times New Roman"/>
          <w:b/>
        </w:rPr>
        <w:tab/>
        <w:t>-</w:t>
      </w:r>
      <w:r w:rsidRPr="005B5FA8">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F31F9" w:rsidP="002E6DAA" w14:paraId="75F01AFD" w14:textId="77777777">
      <w:pPr>
        <w:tabs>
          <w:tab w:val="left" w:pos="-720"/>
          <w:tab w:val="left" w:pos="0"/>
          <w:tab w:val="left" w:pos="720"/>
        </w:tabs>
        <w:suppressAutoHyphens/>
        <w:spacing w:after="240"/>
        <w:ind w:left="1440" w:hanging="1440"/>
        <w:rPr>
          <w:rFonts w:ascii="Times New Roman" w:hAnsi="Times New Roman"/>
        </w:rPr>
      </w:pPr>
      <w:r w:rsidRPr="005B5FA8">
        <w:rPr>
          <w:rFonts w:ascii="Times New Roman" w:hAnsi="Times New Roman"/>
          <w:b/>
        </w:rPr>
        <w:tab/>
        <w:t>-</w:t>
      </w:r>
      <w:r w:rsidRPr="005B5FA8">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5C3F" w:rsidP="00A25434" w14:paraId="1748621C" w14:textId="77777777">
      <w:pPr>
        <w:pStyle w:val="Default"/>
        <w:spacing w:after="240"/>
        <w:ind w:firstLine="720"/>
        <w:rPr>
          <w:rFonts w:ascii="Times New Roman" w:hAnsi="Times New Roman"/>
        </w:rPr>
      </w:pPr>
      <w:r w:rsidRPr="31B24A77">
        <w:rPr>
          <w:rFonts w:ascii="Times New Roman" w:hAnsi="Times New Roman"/>
        </w:rPr>
        <w:t>There are no capital</w:t>
      </w:r>
      <w:r w:rsidRPr="31B24A77" w:rsidR="00FE1BC0">
        <w:rPr>
          <w:rFonts w:ascii="Times New Roman" w:hAnsi="Times New Roman"/>
        </w:rPr>
        <w:t xml:space="preserve">, </w:t>
      </w:r>
      <w:r w:rsidRPr="31B24A77">
        <w:rPr>
          <w:rFonts w:ascii="Times New Roman" w:hAnsi="Times New Roman"/>
        </w:rPr>
        <w:t>start-u</w:t>
      </w:r>
      <w:r w:rsidRPr="31B24A77" w:rsidR="00FE1BC0">
        <w:rPr>
          <w:rFonts w:ascii="Times New Roman" w:hAnsi="Times New Roman"/>
        </w:rPr>
        <w:t xml:space="preserve">p, or </w:t>
      </w:r>
      <w:r w:rsidR="00286DCE">
        <w:rPr>
          <w:rFonts w:ascii="Times New Roman" w:hAnsi="Times New Roman"/>
        </w:rPr>
        <w:t xml:space="preserve">operation and </w:t>
      </w:r>
      <w:r w:rsidRPr="31B24A77" w:rsidR="00FE1BC0">
        <w:rPr>
          <w:rFonts w:ascii="Times New Roman" w:hAnsi="Times New Roman"/>
        </w:rPr>
        <w:t xml:space="preserve">maintenance </w:t>
      </w:r>
      <w:r w:rsidRPr="31B24A77">
        <w:rPr>
          <w:rFonts w:ascii="Times New Roman" w:hAnsi="Times New Roman"/>
        </w:rPr>
        <w:t>costs</w:t>
      </w:r>
      <w:r w:rsidRPr="31B24A77" w:rsidR="00A35CD1">
        <w:rPr>
          <w:rFonts w:ascii="Times New Roman" w:hAnsi="Times New Roman"/>
        </w:rPr>
        <w:t xml:space="preserve"> </w:t>
      </w:r>
      <w:r w:rsidRPr="31B24A77" w:rsidR="00266604">
        <w:rPr>
          <w:rFonts w:ascii="Times New Roman" w:hAnsi="Times New Roman"/>
        </w:rPr>
        <w:t xml:space="preserve">associated with the </w:t>
      </w:r>
      <w:r w:rsidR="00286DCE">
        <w:rPr>
          <w:rFonts w:ascii="Times New Roman" w:hAnsi="Times New Roman"/>
        </w:rPr>
        <w:t xml:space="preserve">proposed </w:t>
      </w:r>
      <w:r w:rsidR="00E37FD0">
        <w:rPr>
          <w:rFonts w:ascii="Times New Roman" w:hAnsi="Times New Roman"/>
        </w:rPr>
        <w:t>rule amendments</w:t>
      </w:r>
      <w:r w:rsidRPr="31B24A77" w:rsidR="00266604">
        <w:rPr>
          <w:rFonts w:ascii="Times New Roman" w:hAnsi="Times New Roman"/>
        </w:rPr>
        <w:t xml:space="preserve">.  The Commission anticipates that respondents will leverage </w:t>
      </w:r>
      <w:r w:rsidRPr="31B24A77" w:rsidR="00A35CD1">
        <w:rPr>
          <w:rFonts w:ascii="Times New Roman" w:hAnsi="Times New Roman"/>
        </w:rPr>
        <w:t>existing systems</w:t>
      </w:r>
      <w:r w:rsidRPr="31B24A77" w:rsidR="00266604">
        <w:rPr>
          <w:rFonts w:ascii="Times New Roman" w:hAnsi="Times New Roman"/>
        </w:rPr>
        <w:t xml:space="preserve"> in complying with the</w:t>
      </w:r>
      <w:r w:rsidR="00CB368C">
        <w:rPr>
          <w:rFonts w:ascii="Times New Roman" w:hAnsi="Times New Roman"/>
        </w:rPr>
        <w:t xml:space="preserve"> proposed rule amendments</w:t>
      </w:r>
      <w:r w:rsidRPr="31B24A77">
        <w:rPr>
          <w:rFonts w:ascii="Times New Roman" w:hAnsi="Times New Roman"/>
        </w:rPr>
        <w:t>.</w:t>
      </w:r>
    </w:p>
    <w:p w:rsidR="00C05C3F" w:rsidRPr="002E6DAA" w:rsidP="0086314E" w14:paraId="4EE88BEF" w14:textId="77777777">
      <w:pPr>
        <w:numPr>
          <w:ilvl w:val="0"/>
          <w:numId w:val="3"/>
        </w:numPr>
        <w:tabs>
          <w:tab w:val="left" w:pos="-720"/>
          <w:tab w:val="left" w:pos="0"/>
        </w:tabs>
        <w:suppressAutoHyphens/>
        <w:spacing w:after="240"/>
        <w:ind w:hanging="720"/>
        <w:rPr>
          <w:rFonts w:ascii="Times New Roman" w:hAnsi="Times New Roman"/>
        </w:rPr>
      </w:pPr>
      <w:r w:rsidRPr="002E6DAA">
        <w:rPr>
          <w:rFonts w:ascii="Times New Roman" w:hAnsi="Times New Roman"/>
          <w:b/>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05C3F" w:rsidP="00A25434" w14:paraId="4A4D3FC4" w14:textId="77777777">
      <w:pPr>
        <w:pStyle w:val="Default"/>
        <w:spacing w:after="240"/>
        <w:ind w:firstLine="720"/>
        <w:rPr>
          <w:rFonts w:ascii="Times New Roman" w:hAnsi="Times New Roman"/>
        </w:rPr>
      </w:pPr>
      <w:r w:rsidRPr="31B24A77">
        <w:rPr>
          <w:rFonts w:ascii="Times New Roman" w:hAnsi="Times New Roman"/>
        </w:rPr>
        <w:t xml:space="preserve">It is not anticipated that the </w:t>
      </w:r>
      <w:r w:rsidR="00CB368C">
        <w:rPr>
          <w:rFonts w:ascii="Times New Roman" w:hAnsi="Times New Roman"/>
        </w:rPr>
        <w:t>proposed rule amendments</w:t>
      </w:r>
      <w:r w:rsidRPr="31B24A77">
        <w:rPr>
          <w:rFonts w:ascii="Times New Roman" w:hAnsi="Times New Roman"/>
        </w:rPr>
        <w:t xml:space="preserve"> will impose any additional costs to the Federal Government.</w:t>
      </w:r>
    </w:p>
    <w:p w:rsidR="00C05C3F" w:rsidRPr="00266604" w:rsidP="0086314E" w14:paraId="10942A48" w14:textId="77777777">
      <w:pPr>
        <w:numPr>
          <w:ilvl w:val="0"/>
          <w:numId w:val="3"/>
        </w:numPr>
        <w:tabs>
          <w:tab w:val="left" w:pos="-720"/>
          <w:tab w:val="left" w:pos="0"/>
        </w:tabs>
        <w:suppressAutoHyphens/>
        <w:spacing w:after="240"/>
        <w:ind w:hanging="720"/>
        <w:rPr>
          <w:rFonts w:ascii="Times New Roman" w:hAnsi="Times New Roman"/>
        </w:rPr>
      </w:pPr>
      <w:r w:rsidRPr="00266604">
        <w:rPr>
          <w:rFonts w:ascii="Times New Roman" w:hAnsi="Times New Roman"/>
          <w:b/>
        </w:rPr>
        <w:t>Explain the reasons for any program changes or adjustments reported in Items 13 or 14 of the OMB Form 83-I.</w:t>
      </w:r>
    </w:p>
    <w:p w:rsidR="00DF7B37" w:rsidP="00563D3B" w14:paraId="1F26CB19" w14:textId="77777777">
      <w:pPr>
        <w:pStyle w:val="Default"/>
        <w:spacing w:after="240"/>
        <w:ind w:firstLine="720"/>
        <w:rPr>
          <w:rFonts w:ascii="Times New Roman" w:hAnsi="Times New Roman" w:cs="Times New Roman"/>
          <w:b/>
        </w:rPr>
      </w:pPr>
      <w:r>
        <w:rPr>
          <w:rFonts w:ascii="Times New Roman" w:hAnsi="Times New Roman"/>
        </w:rPr>
        <w:t>The Commission is proposing r</w:t>
      </w:r>
      <w:r w:rsidR="008B54BF">
        <w:rPr>
          <w:rFonts w:ascii="Times New Roman" w:hAnsi="Times New Roman"/>
        </w:rPr>
        <w:t>ule amendments</w:t>
      </w:r>
      <w:r>
        <w:rPr>
          <w:rFonts w:ascii="Times New Roman" w:hAnsi="Times New Roman"/>
        </w:rPr>
        <w:t xml:space="preserve"> that would include </w:t>
      </w:r>
      <w:r w:rsidR="008D68C7">
        <w:rPr>
          <w:rFonts w:ascii="Times New Roman" w:hAnsi="Times New Roman"/>
        </w:rPr>
        <w:t xml:space="preserve">new </w:t>
      </w:r>
      <w:r w:rsidR="00652D33">
        <w:rPr>
          <w:rFonts w:ascii="Times New Roman" w:hAnsi="Times New Roman"/>
        </w:rPr>
        <w:t>reporting requirements</w:t>
      </w:r>
      <w:r>
        <w:rPr>
          <w:rFonts w:ascii="Times New Roman" w:hAnsi="Times New Roman"/>
        </w:rPr>
        <w:t xml:space="preserve"> and would result in the revision of its burden hour estimates for Collection 3038-00</w:t>
      </w:r>
      <w:r w:rsidR="00E31F88">
        <w:rPr>
          <w:rFonts w:ascii="Times New Roman" w:hAnsi="Times New Roman"/>
        </w:rPr>
        <w:t>9</w:t>
      </w:r>
      <w:r w:rsidR="00CB0A15">
        <w:rPr>
          <w:rFonts w:ascii="Times New Roman" w:hAnsi="Times New Roman"/>
        </w:rPr>
        <w:t>3</w:t>
      </w:r>
      <w:r w:rsidR="00F51357">
        <w:rPr>
          <w:rFonts w:ascii="Times New Roman" w:hAnsi="Times New Roman"/>
        </w:rPr>
        <w:t xml:space="preserve"> (</w:t>
      </w:r>
      <w:r w:rsidR="00E31F88">
        <w:rPr>
          <w:rFonts w:ascii="Times New Roman" w:hAnsi="Times New Roman"/>
        </w:rPr>
        <w:t>Provisions Common to Regulated Entities</w:t>
      </w:r>
      <w:r w:rsidR="00F51357">
        <w:rPr>
          <w:rFonts w:ascii="Times New Roman" w:hAnsi="Times New Roman"/>
        </w:rPr>
        <w:t>)</w:t>
      </w:r>
      <w:r w:rsidR="00652D33">
        <w:rPr>
          <w:rFonts w:ascii="Times New Roman" w:hAnsi="Times New Roman"/>
        </w:rPr>
        <w:t>.</w:t>
      </w:r>
      <w:r w:rsidR="00F51357">
        <w:rPr>
          <w:rFonts w:ascii="Times New Roman" w:hAnsi="Times New Roman"/>
        </w:rPr>
        <w:t xml:space="preserve">  The proposed </w:t>
      </w:r>
      <w:r w:rsidR="008B54BF">
        <w:rPr>
          <w:rFonts w:ascii="Times New Roman" w:hAnsi="Times New Roman"/>
        </w:rPr>
        <w:t xml:space="preserve">rule </w:t>
      </w:r>
      <w:r w:rsidR="00F51357">
        <w:rPr>
          <w:rFonts w:ascii="Times New Roman" w:hAnsi="Times New Roman"/>
        </w:rPr>
        <w:t>amendments would result in the following changes to the affected collection:</w:t>
      </w:r>
    </w:p>
    <w:tbl>
      <w:tblPr>
        <w:tblStyle w:val="TableGrid"/>
        <w:tblW w:w="9625" w:type="dxa"/>
        <w:tblLook w:val="04A0"/>
      </w:tblPr>
      <w:tblGrid>
        <w:gridCol w:w="3235"/>
        <w:gridCol w:w="3240"/>
        <w:gridCol w:w="3150"/>
      </w:tblGrid>
      <w:tr w14:paraId="1171A77D" w14:textId="77777777" w:rsidTr="00CC02C3">
        <w:tblPrEx>
          <w:tblW w:w="9625" w:type="dxa"/>
          <w:tblLook w:val="04A0"/>
        </w:tblPrEx>
        <w:tc>
          <w:tcPr>
            <w:tcW w:w="3235" w:type="dxa"/>
          </w:tcPr>
          <w:p w:rsidR="00AC424C" w:rsidRPr="00963C8F" w:rsidP="006430DF" w14:paraId="2E4A47BD" w14:textId="77777777">
            <w:pPr>
              <w:pStyle w:val="Default"/>
              <w:spacing w:after="240"/>
              <w:rPr>
                <w:rFonts w:ascii="Times New Roman" w:hAnsi="Times New Roman" w:cs="Times New Roman"/>
                <w:sz w:val="20"/>
                <w:szCs w:val="20"/>
              </w:rPr>
            </w:pPr>
          </w:p>
        </w:tc>
        <w:tc>
          <w:tcPr>
            <w:tcW w:w="3240" w:type="dxa"/>
          </w:tcPr>
          <w:p w:rsidR="00AC424C" w:rsidRPr="00963C8F" w:rsidP="006430DF" w14:paraId="72AEE656" w14:textId="77777777">
            <w:pPr>
              <w:pStyle w:val="Default"/>
              <w:spacing w:after="240"/>
              <w:rPr>
                <w:rFonts w:ascii="Times New Roman" w:hAnsi="Times New Roman" w:cs="Times New Roman"/>
                <w:b/>
                <w:sz w:val="20"/>
                <w:szCs w:val="20"/>
              </w:rPr>
            </w:pPr>
            <w:r w:rsidRPr="00963C8F">
              <w:rPr>
                <w:rFonts w:ascii="Times New Roman" w:hAnsi="Times New Roman" w:cs="Times New Roman"/>
                <w:b/>
                <w:sz w:val="20"/>
                <w:szCs w:val="20"/>
              </w:rPr>
              <w:t>Burden Hours</w:t>
            </w:r>
            <w:r>
              <w:rPr>
                <w:rStyle w:val="FootnoteReference"/>
                <w:rFonts w:ascii="Times New Roman" w:hAnsi="Times New Roman" w:cs="Times New Roman"/>
                <w:b/>
                <w:sz w:val="20"/>
                <w:szCs w:val="20"/>
              </w:rPr>
              <w:footnoteReference w:id="3"/>
            </w:r>
          </w:p>
        </w:tc>
        <w:tc>
          <w:tcPr>
            <w:tcW w:w="3150" w:type="dxa"/>
          </w:tcPr>
          <w:p w:rsidR="00AC424C" w:rsidRPr="00963C8F" w:rsidP="006430DF" w14:paraId="3AC778CA" w14:textId="77777777">
            <w:pPr>
              <w:pStyle w:val="Default"/>
              <w:spacing w:after="240"/>
              <w:rPr>
                <w:rFonts w:ascii="Times New Roman" w:hAnsi="Times New Roman" w:cs="Times New Roman"/>
                <w:b/>
                <w:sz w:val="20"/>
                <w:szCs w:val="20"/>
              </w:rPr>
            </w:pPr>
            <w:r>
              <w:rPr>
                <w:rFonts w:ascii="Times New Roman" w:hAnsi="Times New Roman" w:cs="Times New Roman"/>
                <w:b/>
                <w:sz w:val="20"/>
                <w:szCs w:val="20"/>
              </w:rPr>
              <w:t>Burden Hour Costs</w:t>
            </w:r>
          </w:p>
        </w:tc>
      </w:tr>
      <w:tr w14:paraId="0A9227BF" w14:textId="77777777" w:rsidTr="00CC02C3">
        <w:tblPrEx>
          <w:tblW w:w="9625" w:type="dxa"/>
          <w:tblLook w:val="04A0"/>
        </w:tblPrEx>
        <w:tc>
          <w:tcPr>
            <w:tcW w:w="3235" w:type="dxa"/>
          </w:tcPr>
          <w:p w:rsidR="00AC424C" w:rsidRPr="00963C8F" w:rsidP="006430DF" w14:paraId="50333289" w14:textId="77777777">
            <w:pPr>
              <w:pStyle w:val="Default"/>
              <w:spacing w:after="240"/>
              <w:rPr>
                <w:rFonts w:ascii="Times New Roman" w:hAnsi="Times New Roman" w:cs="Times New Roman"/>
                <w:b/>
                <w:sz w:val="20"/>
                <w:szCs w:val="20"/>
              </w:rPr>
            </w:pPr>
            <w:r>
              <w:rPr>
                <w:rFonts w:ascii="Times New Roman" w:hAnsi="Times New Roman" w:cs="Times New Roman"/>
                <w:b/>
                <w:sz w:val="20"/>
                <w:szCs w:val="20"/>
              </w:rPr>
              <w:t>Current Totals</w:t>
            </w:r>
          </w:p>
        </w:tc>
        <w:tc>
          <w:tcPr>
            <w:tcW w:w="3240" w:type="dxa"/>
          </w:tcPr>
          <w:p w:rsidR="00AC424C" w:rsidRPr="00963C8F" w:rsidP="006430DF" w14:paraId="5726A096" w14:textId="77777777">
            <w:pPr>
              <w:pStyle w:val="Default"/>
              <w:spacing w:after="240"/>
              <w:rPr>
                <w:rFonts w:ascii="Times New Roman" w:hAnsi="Times New Roman" w:cs="Times New Roman"/>
                <w:sz w:val="20"/>
                <w:szCs w:val="20"/>
              </w:rPr>
            </w:pPr>
            <w:r w:rsidRPr="00CB0A15">
              <w:rPr>
                <w:rFonts w:ascii="Times New Roman" w:hAnsi="Times New Roman" w:cs="Times New Roman"/>
                <w:sz w:val="20"/>
                <w:szCs w:val="20"/>
              </w:rPr>
              <w:t>20,540</w:t>
            </w:r>
          </w:p>
        </w:tc>
        <w:tc>
          <w:tcPr>
            <w:tcW w:w="3150" w:type="dxa"/>
          </w:tcPr>
          <w:p w:rsidR="00AC424C" w:rsidRPr="00963C8F" w:rsidP="006430DF" w14:paraId="7FEB8D21" w14:textId="77777777">
            <w:pPr>
              <w:pStyle w:val="Default"/>
              <w:spacing w:after="240"/>
              <w:rPr>
                <w:rFonts w:ascii="Times New Roman" w:hAnsi="Times New Roman" w:cs="Times New Roman"/>
                <w:sz w:val="20"/>
                <w:szCs w:val="20"/>
              </w:rPr>
            </w:pPr>
            <w:r>
              <w:rPr>
                <w:rFonts w:ascii="Times New Roman" w:hAnsi="Times New Roman" w:cs="Times New Roman"/>
                <w:sz w:val="20"/>
                <w:szCs w:val="20"/>
              </w:rPr>
              <w:t>$2,188,742.40</w:t>
            </w:r>
          </w:p>
        </w:tc>
      </w:tr>
      <w:tr w14:paraId="7A0FE5ED" w14:textId="77777777" w:rsidTr="00CC02C3">
        <w:tblPrEx>
          <w:tblW w:w="9625" w:type="dxa"/>
          <w:tblLook w:val="04A0"/>
        </w:tblPrEx>
        <w:tc>
          <w:tcPr>
            <w:tcW w:w="3235" w:type="dxa"/>
          </w:tcPr>
          <w:p w:rsidR="00AC424C" w:rsidP="006430DF" w14:paraId="240B8E80" w14:textId="77777777">
            <w:pPr>
              <w:pStyle w:val="Default"/>
              <w:spacing w:after="240"/>
              <w:rPr>
                <w:rFonts w:ascii="Times New Roman" w:hAnsi="Times New Roman" w:cs="Times New Roman"/>
                <w:b/>
                <w:sz w:val="20"/>
                <w:szCs w:val="20"/>
              </w:rPr>
            </w:pPr>
            <w:r>
              <w:rPr>
                <w:rFonts w:ascii="Times New Roman" w:hAnsi="Times New Roman" w:cs="Times New Roman"/>
                <w:b/>
                <w:sz w:val="20"/>
                <w:szCs w:val="20"/>
              </w:rPr>
              <w:t>Incremental Burden</w:t>
            </w:r>
          </w:p>
        </w:tc>
        <w:tc>
          <w:tcPr>
            <w:tcW w:w="3240" w:type="dxa"/>
          </w:tcPr>
          <w:p w:rsidR="00AC424C" w:rsidRPr="000A3E6B" w:rsidP="006430DF" w14:paraId="6A667C3F" w14:textId="77777777">
            <w:pPr>
              <w:pStyle w:val="Default"/>
              <w:spacing w:after="240"/>
              <w:rPr>
                <w:rFonts w:ascii="Times New Roman" w:hAnsi="Times New Roman" w:cs="Times New Roman"/>
                <w:sz w:val="20"/>
                <w:szCs w:val="20"/>
              </w:rPr>
            </w:pPr>
            <w:r w:rsidRPr="000A3E6B">
              <w:rPr>
                <w:rFonts w:ascii="Times New Roman" w:hAnsi="Times New Roman" w:cs="Times New Roman"/>
                <w:sz w:val="20"/>
                <w:szCs w:val="20"/>
              </w:rPr>
              <w:t>+</w:t>
            </w:r>
            <w:r w:rsidRPr="000A3E6B" w:rsidR="00C80FD4">
              <w:rPr>
                <w:rFonts w:ascii="Times New Roman" w:hAnsi="Times New Roman" w:cs="Times New Roman"/>
                <w:sz w:val="20"/>
                <w:szCs w:val="20"/>
              </w:rPr>
              <w:t>60</w:t>
            </w:r>
          </w:p>
        </w:tc>
        <w:tc>
          <w:tcPr>
            <w:tcW w:w="3150" w:type="dxa"/>
          </w:tcPr>
          <w:p w:rsidR="00AC424C" w:rsidRPr="000A3E6B" w:rsidP="006430DF" w14:paraId="78B95C1E" w14:textId="6F11C148">
            <w:pPr>
              <w:pStyle w:val="Default"/>
              <w:spacing w:after="240"/>
              <w:rPr>
                <w:rFonts w:ascii="Times New Roman" w:hAnsi="Times New Roman" w:cs="Times New Roman"/>
                <w:sz w:val="20"/>
                <w:szCs w:val="20"/>
              </w:rPr>
            </w:pPr>
            <w:r w:rsidRPr="000A3E6B">
              <w:rPr>
                <w:rFonts w:ascii="Times New Roman" w:hAnsi="Times New Roman" w:cs="Times New Roman"/>
                <w:sz w:val="20"/>
                <w:szCs w:val="20"/>
              </w:rPr>
              <w:t>+</w:t>
            </w:r>
            <w:r w:rsidRPr="000A3E6B">
              <w:rPr>
                <w:rFonts w:ascii="Times New Roman" w:hAnsi="Times New Roman" w:cs="Times New Roman"/>
                <w:bCs/>
                <w:sz w:val="20"/>
                <w:szCs w:val="20"/>
              </w:rPr>
              <w:t>$</w:t>
            </w:r>
            <w:r w:rsidRPr="000A3E6B" w:rsidR="000A3E6B">
              <w:rPr>
                <w:rFonts w:ascii="Times New Roman" w:hAnsi="Times New Roman" w:cs="Times New Roman"/>
                <w:bCs/>
                <w:sz w:val="20"/>
                <w:szCs w:val="20"/>
              </w:rPr>
              <w:t>15,960</w:t>
            </w:r>
          </w:p>
        </w:tc>
      </w:tr>
      <w:tr w14:paraId="3AAFB2C3" w14:textId="77777777" w:rsidTr="00CC02C3">
        <w:tblPrEx>
          <w:tblW w:w="9625" w:type="dxa"/>
          <w:tblLook w:val="04A0"/>
        </w:tblPrEx>
        <w:tc>
          <w:tcPr>
            <w:tcW w:w="3235" w:type="dxa"/>
          </w:tcPr>
          <w:p w:rsidR="00AC424C" w:rsidP="006430DF" w14:paraId="4EF4BF31" w14:textId="77777777">
            <w:pPr>
              <w:pStyle w:val="Default"/>
              <w:spacing w:after="240"/>
              <w:rPr>
                <w:rFonts w:ascii="Times New Roman" w:hAnsi="Times New Roman" w:cs="Times New Roman"/>
                <w:b/>
                <w:sz w:val="20"/>
                <w:szCs w:val="20"/>
              </w:rPr>
            </w:pPr>
            <w:r>
              <w:rPr>
                <w:rFonts w:ascii="Times New Roman" w:hAnsi="Times New Roman" w:cs="Times New Roman"/>
                <w:b/>
                <w:sz w:val="20"/>
                <w:szCs w:val="20"/>
              </w:rPr>
              <w:t>New Totals</w:t>
            </w:r>
          </w:p>
        </w:tc>
        <w:tc>
          <w:tcPr>
            <w:tcW w:w="3240" w:type="dxa"/>
          </w:tcPr>
          <w:p w:rsidR="00AC424C" w:rsidRPr="00CC02C3" w:rsidP="006430DF" w14:paraId="1E578BA7" w14:textId="77777777">
            <w:pPr>
              <w:pStyle w:val="Default"/>
              <w:spacing w:after="240"/>
              <w:rPr>
                <w:rFonts w:ascii="Times New Roman" w:hAnsi="Times New Roman" w:cs="Times New Roman"/>
                <w:b/>
                <w:sz w:val="20"/>
                <w:szCs w:val="20"/>
              </w:rPr>
            </w:pPr>
            <w:r>
              <w:rPr>
                <w:rFonts w:ascii="Times New Roman" w:hAnsi="Times New Roman" w:cs="Times New Roman"/>
                <w:b/>
                <w:sz w:val="20"/>
                <w:szCs w:val="20"/>
              </w:rPr>
              <w:t>20,600</w:t>
            </w:r>
          </w:p>
        </w:tc>
        <w:tc>
          <w:tcPr>
            <w:tcW w:w="3150" w:type="dxa"/>
          </w:tcPr>
          <w:p w:rsidR="00AC424C" w:rsidP="006430DF" w14:paraId="1F9538C5" w14:textId="2BDCA341">
            <w:pPr>
              <w:pStyle w:val="Default"/>
              <w:spacing w:after="240"/>
              <w:rPr>
                <w:rFonts w:ascii="Times New Roman" w:hAnsi="Times New Roman" w:cs="Times New Roman"/>
                <w:sz w:val="20"/>
                <w:szCs w:val="20"/>
              </w:rPr>
            </w:pPr>
            <w:r>
              <w:rPr>
                <w:b/>
                <w:bCs/>
                <w:sz w:val="16"/>
                <w:szCs w:val="16"/>
              </w:rPr>
              <w:t>$2,20</w:t>
            </w:r>
            <w:r w:rsidR="000A3E6B">
              <w:rPr>
                <w:b/>
                <w:bCs/>
                <w:sz w:val="16"/>
                <w:szCs w:val="16"/>
              </w:rPr>
              <w:t>4,702.40</w:t>
            </w:r>
          </w:p>
        </w:tc>
      </w:tr>
    </w:tbl>
    <w:p w:rsidR="00C05C3F" w:rsidRPr="002E6DAA" w:rsidP="006D12EA" w14:paraId="0169AA7A" w14:textId="77777777">
      <w:pPr>
        <w:numPr>
          <w:ilvl w:val="0"/>
          <w:numId w:val="3"/>
        </w:numPr>
        <w:tabs>
          <w:tab w:val="left" w:pos="-720"/>
          <w:tab w:val="left" w:pos="0"/>
        </w:tabs>
        <w:suppressAutoHyphens/>
        <w:spacing w:before="360" w:after="240"/>
        <w:ind w:hanging="720"/>
        <w:rPr>
          <w:rFonts w:ascii="Times New Roman" w:hAnsi="Times New Roman"/>
        </w:rPr>
      </w:pPr>
      <w:r w:rsidRPr="002E6DAA">
        <w:rPr>
          <w:rFonts w:ascii="Times New Roman" w:hAnsi="Times New Roman"/>
          <w:b/>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C05C3F" w:rsidP="00A25434" w14:paraId="4DBDB04F" w14:textId="77777777">
      <w:pPr>
        <w:pStyle w:val="Default"/>
        <w:spacing w:after="240"/>
        <w:ind w:firstLine="720"/>
        <w:rPr>
          <w:rFonts w:ascii="Times New Roman" w:hAnsi="Times New Roman"/>
        </w:rPr>
      </w:pPr>
      <w:r>
        <w:rPr>
          <w:rFonts w:ascii="Times New Roman" w:hAnsi="Times New Roman"/>
        </w:rPr>
        <w:t>This question does not apply.</w:t>
      </w:r>
    </w:p>
    <w:p w:rsidR="00C05C3F" w:rsidRPr="004A301A" w:rsidP="0086314E" w14:paraId="0121A411" w14:textId="77777777">
      <w:pPr>
        <w:numPr>
          <w:ilvl w:val="0"/>
          <w:numId w:val="3"/>
        </w:numPr>
        <w:tabs>
          <w:tab w:val="left" w:pos="-720"/>
          <w:tab w:val="left" w:pos="0"/>
        </w:tabs>
        <w:suppressAutoHyphens/>
        <w:spacing w:after="240"/>
        <w:ind w:hanging="720"/>
        <w:rPr>
          <w:rFonts w:ascii="Times New Roman" w:hAnsi="Times New Roman"/>
          <w:b/>
        </w:rPr>
      </w:pPr>
      <w:r w:rsidRPr="004A301A">
        <w:rPr>
          <w:rFonts w:ascii="Times New Roman" w:hAnsi="Times New Roman"/>
          <w:b/>
        </w:rPr>
        <w:t>If seeking approval to not display the expiration date for OMB approval of the information collection, explain the reasons that display would be inappropriate.</w:t>
      </w:r>
    </w:p>
    <w:p w:rsidR="00C05C3F" w:rsidP="00A25434" w14:paraId="029FC532" w14:textId="77777777">
      <w:pPr>
        <w:pStyle w:val="Default"/>
        <w:spacing w:after="240"/>
        <w:ind w:firstLine="720"/>
        <w:rPr>
          <w:rFonts w:ascii="Times New Roman" w:hAnsi="Times New Roman"/>
        </w:rPr>
      </w:pPr>
      <w:r>
        <w:rPr>
          <w:rFonts w:ascii="Times New Roman" w:hAnsi="Times New Roman"/>
        </w:rPr>
        <w:t xml:space="preserve">This question does not apply.  </w:t>
      </w:r>
    </w:p>
    <w:p w:rsidR="00C05C3F" w:rsidP="0086314E" w14:paraId="465CB84D" w14:textId="77777777">
      <w:pPr>
        <w:numPr>
          <w:ilvl w:val="0"/>
          <w:numId w:val="3"/>
        </w:numPr>
        <w:tabs>
          <w:tab w:val="left" w:pos="-720"/>
          <w:tab w:val="left" w:pos="0"/>
        </w:tabs>
        <w:suppressAutoHyphens/>
        <w:spacing w:after="240"/>
        <w:ind w:hanging="720"/>
        <w:rPr>
          <w:rFonts w:ascii="Times New Roman" w:hAnsi="Times New Roman"/>
        </w:rPr>
      </w:pPr>
      <w:r w:rsidRPr="004A301A">
        <w:rPr>
          <w:rFonts w:ascii="Times New Roman" w:hAnsi="Times New Roman"/>
          <w:b/>
        </w:rPr>
        <w:t xml:space="preserve">Explain each exception to the certification statement identified in Item 19, </w:t>
      </w:r>
      <w:r w:rsidR="00266604">
        <w:rPr>
          <w:rFonts w:ascii="Times New Roman" w:hAnsi="Times New Roman"/>
          <w:b/>
        </w:rPr>
        <w:t>“</w:t>
      </w:r>
      <w:r w:rsidRPr="004A301A">
        <w:rPr>
          <w:rFonts w:ascii="Times New Roman" w:hAnsi="Times New Roman"/>
          <w:b/>
        </w:rPr>
        <w:t>Certification for Paperwork Reduction Act Submissions,</w:t>
      </w:r>
      <w:r w:rsidR="00266604">
        <w:rPr>
          <w:rFonts w:ascii="Times New Roman" w:hAnsi="Times New Roman"/>
          <w:b/>
        </w:rPr>
        <w:t>”</w:t>
      </w:r>
      <w:r w:rsidRPr="004A301A">
        <w:rPr>
          <w:rFonts w:ascii="Times New Roman" w:hAnsi="Times New Roman"/>
          <w:b/>
        </w:rPr>
        <w:t xml:space="preserve"> of OMB Form 83-I.</w:t>
      </w:r>
    </w:p>
    <w:p w:rsidR="003258B1" w:rsidP="003258B1" w14:paraId="6E173C98" w14:textId="77777777">
      <w:pPr>
        <w:tabs>
          <w:tab w:val="left" w:pos="-720"/>
        </w:tabs>
        <w:suppressAutoHyphens/>
        <w:spacing w:after="240"/>
        <w:ind w:firstLine="720"/>
        <w:rPr>
          <w:rFonts w:ascii="Times New Roman" w:hAnsi="Times New Roman"/>
        </w:rPr>
        <w:sectPr w:rsidSect="0086314E">
          <w:headerReference w:type="default" r:id="rId11"/>
          <w:footnotePr>
            <w:numRestart w:val="eachSect"/>
          </w:footnotePr>
          <w:endnotePr>
            <w:numFmt w:val="decimal"/>
          </w:endnotePr>
          <w:pgSz w:w="12240" w:h="15840"/>
          <w:pgMar w:top="1440" w:right="1440" w:bottom="1440" w:left="1440" w:header="1440" w:footer="1440" w:gutter="0"/>
          <w:pgNumType w:start="1"/>
          <w:cols w:space="720"/>
          <w:noEndnote/>
          <w:docGrid w:linePitch="326"/>
        </w:sectPr>
      </w:pPr>
      <w:r>
        <w:rPr>
          <w:rFonts w:ascii="Times New Roman" w:hAnsi="Times New Roman"/>
        </w:rPr>
        <w:t>No exceptions exist.</w:t>
      </w:r>
    </w:p>
    <w:p w:rsidR="003258B1" w:rsidP="0000319C" w14:paraId="0C7C83EA" w14:textId="77777777">
      <w:pPr>
        <w:tabs>
          <w:tab w:val="left" w:pos="-720"/>
        </w:tabs>
        <w:suppressAutoHyphens/>
        <w:jc w:val="center"/>
        <w:rPr>
          <w:rFonts w:ascii="Times New Roman" w:hAnsi="Times New Roman"/>
          <w:b/>
          <w:u w:val="single"/>
        </w:rPr>
      </w:pPr>
      <w:r>
        <w:rPr>
          <w:rFonts w:ascii="Times New Roman" w:hAnsi="Times New Roman"/>
          <w:b/>
          <w:u w:val="single"/>
        </w:rPr>
        <w:t>Attachment A</w:t>
      </w:r>
    </w:p>
    <w:p w:rsidR="00C45C49" w:rsidP="00E31F88" w14:paraId="1FDD62AE" w14:textId="77777777">
      <w:pPr>
        <w:pStyle w:val="BodyTextIndent"/>
        <w:spacing w:after="240"/>
        <w:jc w:val="center"/>
        <w:rPr>
          <w:b/>
        </w:rPr>
      </w:pPr>
      <w:r>
        <w:rPr>
          <w:b/>
        </w:rPr>
        <w:t>Collection 0038-</w:t>
      </w:r>
      <w:r w:rsidRPr="00C45C49">
        <w:rPr>
          <w:b/>
        </w:rPr>
        <w:t>00</w:t>
      </w:r>
      <w:r w:rsidR="00E31F88">
        <w:rPr>
          <w:b/>
        </w:rPr>
        <w:t>93</w:t>
      </w:r>
      <w:r w:rsidRPr="00C45C49">
        <w:rPr>
          <w:b/>
        </w:rPr>
        <w:t xml:space="preserve"> “</w:t>
      </w:r>
      <w:r w:rsidR="00E31F88">
        <w:rPr>
          <w:b/>
        </w:rPr>
        <w:t>Provisions Common to Regulated Entities</w:t>
      </w:r>
      <w:r w:rsidRPr="00C45C49">
        <w:rPr>
          <w:b/>
        </w:rPr>
        <w:t>”</w:t>
      </w:r>
    </w:p>
    <w:p w:rsidR="00B854F5" w:rsidP="00F30183" w14:paraId="0B1F694F" w14:textId="77777777">
      <w:pPr>
        <w:pStyle w:val="BodyTextIndent"/>
        <w:spacing w:after="240"/>
        <w:rPr>
          <w:b/>
        </w:rPr>
      </w:pPr>
      <w:r>
        <w:rPr>
          <w:b/>
        </w:rPr>
        <w:t>IC:  Part 40, Provisions Common to Registered Entities</w:t>
      </w:r>
    </w:p>
    <w:p w:rsidR="0072054E" w:rsidP="00C45C49" w14:paraId="4F17A2BC" w14:textId="77777777">
      <w:pPr>
        <w:keepNext/>
        <w:keepLines/>
        <w:jc w:val="center"/>
        <w:rPr>
          <w:rFonts w:asciiTheme="minorHAnsi" w:hAnsiTheme="minorHAnsi" w:cstheme="minorHAnsi"/>
          <w:b/>
          <w:sz w:val="20"/>
        </w:rPr>
      </w:pPr>
      <w:r>
        <w:rPr>
          <w:rFonts w:asciiTheme="minorHAnsi" w:hAnsiTheme="minorHAnsi" w:cstheme="minorHAnsi"/>
          <w:b/>
          <w:sz w:val="20"/>
        </w:rPr>
        <w:t>Reporting</w:t>
      </w:r>
      <w:r w:rsidRPr="000B55B6" w:rsidR="00B217E1">
        <w:rPr>
          <w:rFonts w:asciiTheme="minorHAnsi" w:hAnsiTheme="minorHAnsi" w:cstheme="minorHAnsi"/>
          <w:b/>
          <w:sz w:val="20"/>
        </w:rPr>
        <w:t xml:space="preserve"> Burden Hours and Costs</w:t>
      </w:r>
    </w:p>
    <w:tbl>
      <w:tblPr>
        <w:tblpPr w:leftFromText="180" w:rightFromText="180" w:vertAnchor="text" w:horzAnchor="page" w:tblpX="374" w:tblpY="75"/>
        <w:tblW w:w="15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795"/>
        <w:gridCol w:w="1275"/>
        <w:gridCol w:w="1620"/>
        <w:gridCol w:w="1530"/>
        <w:gridCol w:w="1625"/>
        <w:gridCol w:w="1520"/>
        <w:gridCol w:w="1620"/>
        <w:gridCol w:w="1530"/>
        <w:gridCol w:w="1260"/>
        <w:gridCol w:w="1350"/>
      </w:tblGrid>
      <w:tr w14:paraId="44BE3F05" w14:textId="77777777" w:rsidTr="00B0369F">
        <w:tblPrEx>
          <w:tblW w:w="15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432"/>
        </w:trPr>
        <w:tc>
          <w:tcPr>
            <w:tcW w:w="1795" w:type="dxa"/>
          </w:tcPr>
          <w:p w:rsidR="0072054E" w:rsidRPr="00B42A90" w:rsidP="00B0369F" w14:paraId="58CAF87D"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1.</w:t>
            </w:r>
          </w:p>
          <w:p w:rsidR="0072054E" w:rsidRPr="00B42A90" w:rsidP="00B0369F" w14:paraId="7DABA65A" w14:textId="77777777">
            <w:pPr>
              <w:jc w:val="center"/>
              <w:rPr>
                <w:rFonts w:ascii="Arial" w:hAnsi="Arial" w:cs="Arial"/>
                <w:sz w:val="16"/>
                <w:szCs w:val="16"/>
              </w:rPr>
            </w:pPr>
            <w:r w:rsidRPr="00B42A90">
              <w:rPr>
                <w:rFonts w:ascii="Arial" w:hAnsi="Arial" w:cs="Arial"/>
                <w:b/>
                <w:sz w:val="16"/>
                <w:szCs w:val="16"/>
              </w:rPr>
              <w:t>Regulation(s)</w:t>
            </w:r>
          </w:p>
        </w:tc>
        <w:tc>
          <w:tcPr>
            <w:tcW w:w="1275" w:type="dxa"/>
          </w:tcPr>
          <w:p w:rsidR="0072054E" w:rsidRPr="00B42A90" w:rsidP="00B0369F" w14:paraId="3D19CDD2"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2.</w:t>
            </w:r>
          </w:p>
          <w:p w:rsidR="0072054E" w:rsidRPr="00B42A90" w:rsidP="00B0369F" w14:paraId="21F9C656"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Respondents</w:t>
            </w:r>
          </w:p>
          <w:p w:rsidR="0072054E" w:rsidRPr="00B42A90" w:rsidP="00B0369F" w14:paraId="063A8AF1" w14:textId="77777777">
            <w:pPr>
              <w:jc w:val="center"/>
              <w:rPr>
                <w:rFonts w:ascii="Arial" w:hAnsi="Arial" w:cs="Arial"/>
                <w:sz w:val="16"/>
                <w:szCs w:val="16"/>
              </w:rPr>
            </w:pPr>
          </w:p>
        </w:tc>
        <w:tc>
          <w:tcPr>
            <w:tcW w:w="1620" w:type="dxa"/>
          </w:tcPr>
          <w:p w:rsidR="0072054E" w:rsidRPr="00B42A90" w:rsidP="00B0369F" w14:paraId="0EF0EDC9"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3.</w:t>
            </w:r>
          </w:p>
          <w:p w:rsidR="0072054E" w:rsidRPr="00B42A90" w:rsidP="00B0369F" w14:paraId="4BDEEE44"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Reports</w:t>
            </w:r>
          </w:p>
          <w:p w:rsidR="0072054E" w:rsidRPr="00B42A90" w:rsidP="00B0369F" w14:paraId="42679406" w14:textId="03F3D82E">
            <w:pPr>
              <w:jc w:val="center"/>
              <w:rPr>
                <w:rFonts w:ascii="Arial" w:hAnsi="Arial" w:cs="Arial"/>
                <w:sz w:val="16"/>
                <w:szCs w:val="16"/>
              </w:rPr>
            </w:pPr>
            <w:r w:rsidRPr="00B42A90">
              <w:rPr>
                <w:rFonts w:ascii="Arial" w:hAnsi="Arial" w:cs="Arial"/>
                <w:b/>
                <w:sz w:val="16"/>
                <w:szCs w:val="16"/>
              </w:rPr>
              <w:t>by Each Respondent</w:t>
            </w:r>
            <w:r>
              <w:rPr>
                <w:rStyle w:val="EndnoteReference"/>
                <w:rFonts w:ascii="Arial" w:hAnsi="Arial" w:cs="Arial"/>
                <w:b/>
                <w:sz w:val="16"/>
                <w:szCs w:val="16"/>
              </w:rPr>
              <w:endnoteReference w:id="2"/>
            </w:r>
          </w:p>
        </w:tc>
        <w:tc>
          <w:tcPr>
            <w:tcW w:w="1530" w:type="dxa"/>
          </w:tcPr>
          <w:p w:rsidR="0072054E" w:rsidRPr="00B42A90" w:rsidP="00B0369F" w14:paraId="1AA6848C"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4.</w:t>
            </w:r>
          </w:p>
          <w:p w:rsidR="0072054E" w:rsidRPr="00B42A90" w:rsidP="00B0369F" w14:paraId="0137A496" w14:textId="77777777">
            <w:pPr>
              <w:jc w:val="center"/>
              <w:rPr>
                <w:rFonts w:ascii="Arial" w:hAnsi="Arial" w:cs="Arial"/>
                <w:sz w:val="16"/>
                <w:szCs w:val="16"/>
              </w:rPr>
            </w:pPr>
            <w:r w:rsidRPr="00B42A90">
              <w:rPr>
                <w:rFonts w:ascii="Arial" w:hAnsi="Arial" w:cs="Arial"/>
                <w:b/>
                <w:sz w:val="16"/>
                <w:szCs w:val="16"/>
              </w:rPr>
              <w:t>Estimated Average Number of Burden Hours per Response</w:t>
            </w:r>
          </w:p>
        </w:tc>
        <w:tc>
          <w:tcPr>
            <w:tcW w:w="1625" w:type="dxa"/>
          </w:tcPr>
          <w:p w:rsidR="0072054E" w:rsidRPr="00B42A90" w:rsidP="00B0369F" w14:paraId="4EB1CB09"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5.</w:t>
            </w:r>
          </w:p>
          <w:p w:rsidR="0072054E" w:rsidRPr="00B42A90" w:rsidP="00B0369F" w14:paraId="15C6E91F"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Annual Number of Burden Hours per Respondent</w:t>
            </w:r>
          </w:p>
          <w:p w:rsidR="0072054E" w:rsidRPr="00B42A90" w:rsidP="00B0369F" w14:paraId="0AEA08D5" w14:textId="77777777">
            <w:pPr>
              <w:jc w:val="center"/>
              <w:rPr>
                <w:rFonts w:ascii="Arial" w:hAnsi="Arial" w:cs="Arial"/>
                <w:sz w:val="16"/>
                <w:szCs w:val="16"/>
              </w:rPr>
            </w:pPr>
            <w:r w:rsidRPr="00B42A90">
              <w:rPr>
                <w:rFonts w:ascii="Arial" w:hAnsi="Arial" w:cs="Arial"/>
                <w:b/>
                <w:sz w:val="16"/>
                <w:szCs w:val="16"/>
              </w:rPr>
              <w:t xml:space="preserve">(3 </w:t>
            </w:r>
            <w:r>
              <w:rPr>
                <w:rFonts w:ascii="Arial" w:hAnsi="Arial" w:cs="Arial"/>
                <w:b/>
                <w:sz w:val="16"/>
                <w:szCs w:val="16"/>
              </w:rPr>
              <w:t>×</w:t>
            </w:r>
            <w:r w:rsidRPr="00B42A90">
              <w:rPr>
                <w:rFonts w:ascii="Arial" w:hAnsi="Arial" w:cs="Arial"/>
                <w:b/>
                <w:sz w:val="16"/>
                <w:szCs w:val="16"/>
              </w:rPr>
              <w:t xml:space="preserve"> 4)</w:t>
            </w:r>
          </w:p>
        </w:tc>
        <w:tc>
          <w:tcPr>
            <w:tcW w:w="1520" w:type="dxa"/>
          </w:tcPr>
          <w:p w:rsidR="0072054E" w:rsidRPr="00B42A90" w:rsidP="00B0369F" w14:paraId="4F617A31" w14:textId="77777777">
            <w:pPr>
              <w:suppressAutoHyphens/>
              <w:jc w:val="center"/>
              <w:rPr>
                <w:rFonts w:ascii="Arial" w:hAnsi="Arial" w:cs="Arial"/>
                <w:b/>
                <w:bCs/>
                <w:sz w:val="16"/>
                <w:szCs w:val="16"/>
              </w:rPr>
            </w:pPr>
            <w:r w:rsidRPr="00B42A90">
              <w:rPr>
                <w:rFonts w:ascii="Arial" w:hAnsi="Arial" w:cs="Arial"/>
                <w:b/>
                <w:bCs/>
                <w:sz w:val="16"/>
                <w:szCs w:val="16"/>
              </w:rPr>
              <w:t>6.</w:t>
            </w:r>
          </w:p>
          <w:p w:rsidR="0072054E" w:rsidRPr="00B42A90" w:rsidP="00B0369F" w14:paraId="69998716" w14:textId="72F72A72">
            <w:pPr>
              <w:suppressAutoHyphens/>
              <w:jc w:val="center"/>
              <w:rPr>
                <w:rFonts w:ascii="Arial" w:hAnsi="Arial" w:cs="Arial"/>
                <w:b/>
                <w:bCs/>
                <w:sz w:val="16"/>
                <w:szCs w:val="16"/>
                <w:vertAlign w:val="superscript"/>
              </w:rPr>
            </w:pPr>
            <w:r w:rsidRPr="00B42A90">
              <w:rPr>
                <w:rFonts w:ascii="Arial" w:hAnsi="Arial" w:cs="Arial"/>
                <w:b/>
                <w:bCs/>
                <w:sz w:val="16"/>
                <w:szCs w:val="16"/>
              </w:rPr>
              <w:t>Estimated Average Burden Hour Cost</w:t>
            </w:r>
            <w:r>
              <w:rPr>
                <w:rStyle w:val="EndnoteReference"/>
                <w:rFonts w:ascii="Arial" w:hAnsi="Arial" w:cs="Arial"/>
                <w:b/>
                <w:bCs/>
                <w:sz w:val="16"/>
                <w:szCs w:val="16"/>
              </w:rPr>
              <w:endnoteReference w:id="3"/>
            </w:r>
          </w:p>
          <w:p w:rsidR="0072054E" w:rsidRPr="00B42A90" w:rsidP="00B0369F" w14:paraId="41E0364D" w14:textId="77777777">
            <w:pPr>
              <w:jc w:val="center"/>
              <w:rPr>
                <w:rFonts w:ascii="Arial" w:hAnsi="Arial" w:cs="Arial"/>
                <w:sz w:val="16"/>
                <w:szCs w:val="16"/>
              </w:rPr>
            </w:pPr>
          </w:p>
        </w:tc>
        <w:tc>
          <w:tcPr>
            <w:tcW w:w="1620" w:type="dxa"/>
          </w:tcPr>
          <w:p w:rsidR="0072054E" w:rsidRPr="00B42A90" w:rsidP="00B0369F" w14:paraId="5190039C" w14:textId="77777777">
            <w:pPr>
              <w:jc w:val="center"/>
              <w:rPr>
                <w:rFonts w:ascii="Arial" w:hAnsi="Arial" w:cs="Arial"/>
                <w:b/>
                <w:bCs/>
                <w:sz w:val="16"/>
                <w:szCs w:val="16"/>
              </w:rPr>
            </w:pPr>
            <w:r w:rsidRPr="00B42A90">
              <w:rPr>
                <w:rFonts w:ascii="Arial" w:hAnsi="Arial" w:cs="Arial"/>
                <w:b/>
                <w:bCs/>
                <w:sz w:val="16"/>
                <w:szCs w:val="16"/>
              </w:rPr>
              <w:t>7.</w:t>
            </w:r>
          </w:p>
          <w:p w:rsidR="0072054E" w:rsidRPr="00B42A90" w:rsidP="00B0369F" w14:paraId="1CE75722" w14:textId="77777777">
            <w:pPr>
              <w:jc w:val="center"/>
              <w:rPr>
                <w:rFonts w:ascii="Arial" w:hAnsi="Arial" w:cs="Arial"/>
                <w:b/>
                <w:sz w:val="16"/>
                <w:szCs w:val="16"/>
              </w:rPr>
            </w:pPr>
            <w:r w:rsidRPr="00B42A90">
              <w:rPr>
                <w:rFonts w:ascii="Arial" w:hAnsi="Arial" w:cs="Arial"/>
                <w:b/>
                <w:sz w:val="16"/>
                <w:szCs w:val="16"/>
              </w:rPr>
              <w:t>Total Average Hour Burden Cost Per Respondent</w:t>
            </w:r>
          </w:p>
          <w:p w:rsidR="0072054E" w:rsidRPr="00B42A90" w:rsidP="00B0369F" w14:paraId="7206768F" w14:textId="77777777">
            <w:pPr>
              <w:jc w:val="center"/>
              <w:rPr>
                <w:rFonts w:ascii="Arial" w:hAnsi="Arial" w:cs="Arial"/>
                <w:sz w:val="16"/>
                <w:szCs w:val="16"/>
              </w:rPr>
            </w:pPr>
            <w:r w:rsidRPr="00B42A90">
              <w:rPr>
                <w:rFonts w:ascii="Arial" w:hAnsi="Arial" w:cs="Arial"/>
                <w:b/>
                <w:sz w:val="16"/>
                <w:szCs w:val="16"/>
              </w:rPr>
              <w:t xml:space="preserve">(5 </w:t>
            </w:r>
            <w:r>
              <w:rPr>
                <w:rFonts w:ascii="Arial" w:hAnsi="Arial" w:cs="Arial"/>
                <w:b/>
                <w:sz w:val="16"/>
                <w:szCs w:val="16"/>
              </w:rPr>
              <w:t>×</w:t>
            </w:r>
            <w:r w:rsidRPr="00B42A90">
              <w:rPr>
                <w:rFonts w:ascii="Arial" w:hAnsi="Arial" w:cs="Arial"/>
                <w:b/>
                <w:sz w:val="16"/>
                <w:szCs w:val="16"/>
              </w:rPr>
              <w:t xml:space="preserve"> 6)</w:t>
            </w:r>
          </w:p>
        </w:tc>
        <w:tc>
          <w:tcPr>
            <w:tcW w:w="1530" w:type="dxa"/>
          </w:tcPr>
          <w:p w:rsidR="0072054E" w:rsidRPr="00B42A90" w:rsidP="00B0369F" w14:paraId="7CFF4987"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8.</w:t>
            </w:r>
          </w:p>
          <w:p w:rsidR="0072054E" w:rsidRPr="00B42A90" w:rsidP="00B0369F" w14:paraId="68B4AA5D"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w:t>
            </w:r>
          </w:p>
          <w:p w:rsidR="0072054E" w:rsidRPr="00B42A90" w:rsidP="00B0369F" w14:paraId="75F8A865" w14:textId="427AE032">
            <w:pPr>
              <w:tabs>
                <w:tab w:val="left" w:pos="-720"/>
                <w:tab w:val="left" w:pos="0"/>
              </w:tabs>
              <w:suppressAutoHyphens/>
              <w:jc w:val="center"/>
              <w:rPr>
                <w:rFonts w:ascii="Arial" w:hAnsi="Arial" w:cs="Arial"/>
                <w:b/>
                <w:sz w:val="16"/>
                <w:szCs w:val="16"/>
              </w:rPr>
            </w:pPr>
            <w:r w:rsidRPr="00B42A90">
              <w:rPr>
                <w:rFonts w:ascii="Arial" w:hAnsi="Arial" w:cs="Arial"/>
                <w:b/>
                <w:sz w:val="16"/>
                <w:szCs w:val="16"/>
              </w:rPr>
              <w:t>Responses</w:t>
            </w:r>
            <w:r>
              <w:rPr>
                <w:rStyle w:val="EndnoteReference"/>
                <w:rFonts w:ascii="Arial" w:hAnsi="Arial" w:cs="Arial"/>
                <w:b/>
                <w:sz w:val="16"/>
                <w:szCs w:val="16"/>
              </w:rPr>
              <w:endnoteReference w:id="4"/>
            </w:r>
          </w:p>
          <w:p w:rsidR="0072054E" w:rsidRPr="00B42A90" w:rsidP="00B0369F" w14:paraId="5F611922" w14:textId="77777777">
            <w:pPr>
              <w:jc w:val="center"/>
              <w:rPr>
                <w:rFonts w:ascii="Arial" w:hAnsi="Arial" w:cs="Arial"/>
                <w:sz w:val="16"/>
                <w:szCs w:val="16"/>
              </w:rPr>
            </w:pPr>
          </w:p>
        </w:tc>
        <w:tc>
          <w:tcPr>
            <w:tcW w:w="1260" w:type="dxa"/>
          </w:tcPr>
          <w:p w:rsidR="0072054E" w:rsidRPr="00B42A90" w:rsidP="00B0369F" w14:paraId="2B0E23AA"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9.</w:t>
            </w:r>
          </w:p>
          <w:p w:rsidR="0072054E" w:rsidRPr="00B42A90" w:rsidP="00B0369F" w14:paraId="587B0354"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Number of Burden Hours</w:t>
            </w:r>
          </w:p>
          <w:p w:rsidR="0072054E" w:rsidRPr="00B42A90" w:rsidP="00B0369F" w14:paraId="023B8DCD" w14:textId="77777777">
            <w:pPr>
              <w:jc w:val="center"/>
              <w:rPr>
                <w:rFonts w:ascii="Arial" w:hAnsi="Arial" w:cs="Arial"/>
                <w:sz w:val="16"/>
                <w:szCs w:val="16"/>
              </w:rPr>
            </w:pPr>
            <w:r w:rsidRPr="00B42A90">
              <w:rPr>
                <w:rFonts w:ascii="Arial" w:hAnsi="Arial" w:cs="Arial"/>
                <w:b/>
                <w:sz w:val="16"/>
                <w:szCs w:val="16"/>
              </w:rPr>
              <w:t xml:space="preserve">(2 </w:t>
            </w:r>
            <w:r>
              <w:rPr>
                <w:rFonts w:ascii="Arial" w:hAnsi="Arial" w:cs="Arial"/>
                <w:b/>
                <w:sz w:val="16"/>
                <w:szCs w:val="16"/>
              </w:rPr>
              <w:t>×</w:t>
            </w:r>
            <w:r w:rsidRPr="00B42A90">
              <w:rPr>
                <w:rFonts w:ascii="Arial" w:hAnsi="Arial" w:cs="Arial"/>
                <w:b/>
                <w:sz w:val="16"/>
                <w:szCs w:val="16"/>
              </w:rPr>
              <w:t xml:space="preserve"> 5)</w:t>
            </w:r>
          </w:p>
        </w:tc>
        <w:tc>
          <w:tcPr>
            <w:tcW w:w="1350" w:type="dxa"/>
          </w:tcPr>
          <w:p w:rsidR="0072054E" w:rsidRPr="00B42A90" w:rsidP="00B0369F" w14:paraId="41BBB49C" w14:textId="77777777">
            <w:pPr>
              <w:suppressAutoHyphens/>
              <w:jc w:val="center"/>
              <w:rPr>
                <w:rFonts w:ascii="Arial" w:hAnsi="Arial" w:cs="Arial"/>
                <w:b/>
                <w:bCs/>
                <w:sz w:val="16"/>
                <w:szCs w:val="16"/>
              </w:rPr>
            </w:pPr>
            <w:r w:rsidRPr="00B42A90">
              <w:rPr>
                <w:rFonts w:ascii="Arial" w:hAnsi="Arial" w:cs="Arial"/>
                <w:b/>
                <w:bCs/>
                <w:sz w:val="16"/>
                <w:szCs w:val="16"/>
              </w:rPr>
              <w:t>10.</w:t>
            </w:r>
          </w:p>
          <w:p w:rsidR="0072054E" w:rsidRPr="00B42A90" w:rsidP="00B0369F" w14:paraId="590C94EC"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Burden Hour Cost of All Responses</w:t>
            </w:r>
          </w:p>
          <w:p w:rsidR="0072054E" w:rsidRPr="00B42A90" w:rsidP="00B0369F" w14:paraId="52BA00D1" w14:textId="77777777">
            <w:pPr>
              <w:jc w:val="center"/>
              <w:rPr>
                <w:rFonts w:ascii="Arial" w:hAnsi="Arial" w:cs="Arial"/>
                <w:sz w:val="16"/>
                <w:szCs w:val="16"/>
              </w:rPr>
            </w:pPr>
            <w:r w:rsidRPr="00B42A90">
              <w:rPr>
                <w:rFonts w:ascii="Arial" w:hAnsi="Arial" w:cs="Arial"/>
                <w:b/>
                <w:sz w:val="16"/>
                <w:szCs w:val="16"/>
              </w:rPr>
              <w:t xml:space="preserve">(2 </w:t>
            </w:r>
            <w:r>
              <w:rPr>
                <w:rFonts w:ascii="Arial" w:hAnsi="Arial" w:cs="Arial"/>
                <w:b/>
                <w:sz w:val="16"/>
                <w:szCs w:val="16"/>
              </w:rPr>
              <w:t>×</w:t>
            </w:r>
            <w:r w:rsidRPr="00B42A90">
              <w:rPr>
                <w:rFonts w:ascii="Arial" w:hAnsi="Arial" w:cs="Arial"/>
                <w:b/>
                <w:sz w:val="16"/>
                <w:szCs w:val="16"/>
              </w:rPr>
              <w:t xml:space="preserve"> 7)</w:t>
            </w:r>
          </w:p>
        </w:tc>
      </w:tr>
      <w:tr w14:paraId="6A315537" w14:textId="77777777" w:rsidTr="00B0369F">
        <w:tblPrEx>
          <w:tblW w:w="15125" w:type="dxa"/>
          <w:tblLayout w:type="fixed"/>
          <w:tblLook w:val="04A0"/>
        </w:tblPrEx>
        <w:trPr>
          <w:trHeight w:val="432"/>
        </w:trPr>
        <w:tc>
          <w:tcPr>
            <w:tcW w:w="1795" w:type="dxa"/>
          </w:tcPr>
          <w:p w:rsidR="0072054E" w:rsidRPr="007B4B2D" w:rsidP="00B0369F" w14:paraId="51848EA3"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 40.2 and 40.3 (Products)</w:t>
            </w:r>
          </w:p>
        </w:tc>
        <w:tc>
          <w:tcPr>
            <w:tcW w:w="1275" w:type="dxa"/>
          </w:tcPr>
          <w:p w:rsidR="0072054E" w:rsidRPr="007B4B2D" w:rsidP="00B0369F" w14:paraId="6560EBAA"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70</w:t>
            </w:r>
          </w:p>
        </w:tc>
        <w:tc>
          <w:tcPr>
            <w:tcW w:w="1620" w:type="dxa"/>
          </w:tcPr>
          <w:p w:rsidR="0072054E" w:rsidRPr="007B4B2D" w:rsidP="00B0369F" w14:paraId="523DBA8A" w14:textId="77777777">
            <w:pPr>
              <w:tabs>
                <w:tab w:val="left" w:pos="-720"/>
                <w:tab w:val="left" w:pos="0"/>
              </w:tabs>
              <w:suppressAutoHyphens/>
              <w:jc w:val="center"/>
              <w:rPr>
                <w:rFonts w:ascii="Arial" w:hAnsi="Arial" w:cs="Arial"/>
                <w:sz w:val="16"/>
                <w:szCs w:val="16"/>
              </w:rPr>
            </w:pPr>
            <w:r w:rsidRPr="007B4B2D">
              <w:rPr>
                <w:rFonts w:ascii="Arial" w:hAnsi="Arial" w:cs="Arial"/>
                <w:sz w:val="16"/>
                <w:szCs w:val="16"/>
              </w:rPr>
              <w:t>12</w:t>
            </w:r>
          </w:p>
        </w:tc>
        <w:tc>
          <w:tcPr>
            <w:tcW w:w="1530" w:type="dxa"/>
          </w:tcPr>
          <w:p w:rsidR="0072054E" w:rsidRPr="007B4B2D" w:rsidP="00B0369F" w14:paraId="252A1B8C" w14:textId="77777777">
            <w:pPr>
              <w:tabs>
                <w:tab w:val="left" w:pos="-720"/>
                <w:tab w:val="left" w:pos="0"/>
              </w:tabs>
              <w:suppressAutoHyphens/>
              <w:jc w:val="center"/>
              <w:rPr>
                <w:rFonts w:ascii="Arial" w:hAnsi="Arial" w:cs="Arial"/>
                <w:sz w:val="16"/>
                <w:szCs w:val="16"/>
              </w:rPr>
            </w:pPr>
            <w:r>
              <w:rPr>
                <w:rFonts w:ascii="Arial" w:hAnsi="Arial" w:cs="Arial"/>
                <w:sz w:val="16"/>
                <w:szCs w:val="16"/>
              </w:rPr>
              <w:t>21</w:t>
            </w:r>
          </w:p>
        </w:tc>
        <w:tc>
          <w:tcPr>
            <w:tcW w:w="1625" w:type="dxa"/>
          </w:tcPr>
          <w:p w:rsidR="0072054E" w:rsidRPr="007B4B2D" w:rsidP="00B0369F" w14:paraId="5B6F9469" w14:textId="77777777">
            <w:pPr>
              <w:tabs>
                <w:tab w:val="left" w:pos="-720"/>
                <w:tab w:val="left" w:pos="0"/>
              </w:tabs>
              <w:suppressAutoHyphens/>
              <w:jc w:val="center"/>
              <w:rPr>
                <w:rFonts w:ascii="Arial" w:hAnsi="Arial" w:cs="Arial"/>
                <w:sz w:val="16"/>
                <w:szCs w:val="16"/>
              </w:rPr>
            </w:pPr>
            <w:r>
              <w:rPr>
                <w:rFonts w:ascii="Arial" w:hAnsi="Arial" w:cs="Arial"/>
                <w:sz w:val="16"/>
                <w:szCs w:val="16"/>
              </w:rPr>
              <w:t>252</w:t>
            </w:r>
          </w:p>
        </w:tc>
        <w:tc>
          <w:tcPr>
            <w:tcW w:w="1520" w:type="dxa"/>
          </w:tcPr>
          <w:p w:rsidR="0072054E" w:rsidRPr="0082796F" w:rsidP="00B0369F" w14:paraId="629D7614" w14:textId="77777777">
            <w:pPr>
              <w:suppressAutoHyphens/>
              <w:jc w:val="center"/>
              <w:rPr>
                <w:rFonts w:ascii="Arial" w:hAnsi="Arial" w:cs="Arial"/>
                <w:bCs/>
                <w:sz w:val="16"/>
                <w:szCs w:val="16"/>
              </w:rPr>
            </w:pPr>
            <w:r w:rsidRPr="0082796F">
              <w:rPr>
                <w:rFonts w:ascii="Arial" w:hAnsi="Arial" w:cs="Arial"/>
                <w:bCs/>
                <w:sz w:val="16"/>
                <w:szCs w:val="16"/>
              </w:rPr>
              <w:t>$106.56</w:t>
            </w:r>
          </w:p>
        </w:tc>
        <w:tc>
          <w:tcPr>
            <w:tcW w:w="1620" w:type="dxa"/>
          </w:tcPr>
          <w:p w:rsidR="0072054E" w:rsidRPr="0082796F" w:rsidP="00B0369F" w14:paraId="4DC7D9B9" w14:textId="77777777">
            <w:pPr>
              <w:jc w:val="center"/>
              <w:rPr>
                <w:rFonts w:ascii="Arial" w:hAnsi="Arial" w:cs="Arial"/>
                <w:bCs/>
                <w:sz w:val="16"/>
                <w:szCs w:val="16"/>
              </w:rPr>
            </w:pPr>
            <w:r w:rsidRPr="0082796F">
              <w:rPr>
                <w:rFonts w:ascii="Arial" w:hAnsi="Arial" w:cs="Arial"/>
                <w:bCs/>
                <w:sz w:val="16"/>
                <w:szCs w:val="16"/>
              </w:rPr>
              <w:t>$</w:t>
            </w:r>
            <w:r w:rsidRPr="00474DC7">
              <w:rPr>
                <w:rFonts w:ascii="Arial" w:hAnsi="Arial" w:cs="Arial"/>
                <w:bCs/>
                <w:sz w:val="16"/>
                <w:szCs w:val="16"/>
              </w:rPr>
              <w:t>26,853.12</w:t>
            </w:r>
          </w:p>
        </w:tc>
        <w:tc>
          <w:tcPr>
            <w:tcW w:w="1530" w:type="dxa"/>
          </w:tcPr>
          <w:p w:rsidR="0072054E" w:rsidRPr="0082796F" w:rsidP="00B0369F" w14:paraId="06F85CBC"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848</w:t>
            </w:r>
          </w:p>
        </w:tc>
        <w:tc>
          <w:tcPr>
            <w:tcW w:w="1260" w:type="dxa"/>
          </w:tcPr>
          <w:p w:rsidR="0072054E" w:rsidRPr="0082796F" w:rsidP="00B0369F" w14:paraId="010A5990" w14:textId="77777777">
            <w:pPr>
              <w:tabs>
                <w:tab w:val="left" w:pos="-720"/>
                <w:tab w:val="left" w:pos="0"/>
              </w:tabs>
              <w:suppressAutoHyphens/>
              <w:jc w:val="center"/>
              <w:rPr>
                <w:rFonts w:ascii="Arial" w:hAnsi="Arial" w:cs="Arial"/>
                <w:sz w:val="16"/>
                <w:szCs w:val="16"/>
              </w:rPr>
            </w:pPr>
            <w:r w:rsidRPr="00474DC7">
              <w:rPr>
                <w:rFonts w:ascii="Arial" w:hAnsi="Arial" w:cs="Arial"/>
                <w:sz w:val="16"/>
                <w:szCs w:val="16"/>
              </w:rPr>
              <w:t>17,640</w:t>
            </w:r>
          </w:p>
        </w:tc>
        <w:tc>
          <w:tcPr>
            <w:tcW w:w="1350" w:type="dxa"/>
          </w:tcPr>
          <w:p w:rsidR="0072054E" w:rsidRPr="0082796F" w:rsidP="00B0369F" w14:paraId="051AA4CF" w14:textId="77777777">
            <w:pPr>
              <w:suppressAutoHyphens/>
              <w:jc w:val="center"/>
              <w:rPr>
                <w:rFonts w:ascii="Arial" w:hAnsi="Arial" w:cs="Arial"/>
                <w:bCs/>
                <w:sz w:val="16"/>
                <w:szCs w:val="16"/>
              </w:rPr>
            </w:pPr>
            <w:r w:rsidRPr="0082796F">
              <w:rPr>
                <w:rFonts w:ascii="Arial" w:hAnsi="Arial" w:cs="Arial"/>
                <w:bCs/>
                <w:sz w:val="16"/>
                <w:szCs w:val="16"/>
              </w:rPr>
              <w:t>$</w:t>
            </w:r>
            <w:r w:rsidRPr="00474DC7">
              <w:rPr>
                <w:rFonts w:ascii="Arial" w:hAnsi="Arial" w:cs="Arial"/>
                <w:bCs/>
                <w:sz w:val="16"/>
                <w:szCs w:val="16"/>
              </w:rPr>
              <w:t>1,879,718.4</w:t>
            </w:r>
            <w:r>
              <w:rPr>
                <w:rFonts w:ascii="Arial" w:hAnsi="Arial" w:cs="Arial"/>
                <w:bCs/>
                <w:sz w:val="16"/>
                <w:szCs w:val="16"/>
              </w:rPr>
              <w:t>0</w:t>
            </w:r>
          </w:p>
        </w:tc>
      </w:tr>
      <w:tr w14:paraId="2AFA8EC9" w14:textId="77777777" w:rsidTr="00B0369F">
        <w:tblPrEx>
          <w:tblW w:w="15125" w:type="dxa"/>
          <w:tblLayout w:type="fixed"/>
          <w:tblLook w:val="04A0"/>
        </w:tblPrEx>
        <w:trPr>
          <w:trHeight w:val="432"/>
        </w:trPr>
        <w:tc>
          <w:tcPr>
            <w:tcW w:w="1795" w:type="dxa"/>
          </w:tcPr>
          <w:p w:rsidR="0072054E" w:rsidRPr="0082796F" w:rsidP="00B0369F" w14:paraId="019F1747" w14:textId="255149CF">
            <w:pPr>
              <w:tabs>
                <w:tab w:val="left" w:pos="-720"/>
                <w:tab w:val="left" w:pos="0"/>
              </w:tabs>
              <w:suppressAutoHyphens/>
              <w:jc w:val="center"/>
              <w:rPr>
                <w:rFonts w:ascii="Arial" w:hAnsi="Arial" w:cs="Arial"/>
                <w:sz w:val="16"/>
                <w:szCs w:val="16"/>
              </w:rPr>
            </w:pPr>
            <w:r w:rsidRPr="0082796F">
              <w:rPr>
                <w:rFonts w:ascii="Arial" w:hAnsi="Arial" w:cs="Arial"/>
                <w:sz w:val="16"/>
                <w:szCs w:val="16"/>
              </w:rPr>
              <w:t>§§ 40.5 and 40.6 (Rules)</w:t>
            </w:r>
            <w:r>
              <w:rPr>
                <w:rStyle w:val="EndnoteReference"/>
                <w:rFonts w:ascii="Arial" w:hAnsi="Arial" w:cs="Arial"/>
                <w:sz w:val="16"/>
                <w:szCs w:val="16"/>
              </w:rPr>
              <w:endnoteReference w:id="5"/>
            </w:r>
          </w:p>
        </w:tc>
        <w:tc>
          <w:tcPr>
            <w:tcW w:w="1275" w:type="dxa"/>
          </w:tcPr>
          <w:p w:rsidR="0072054E" w:rsidRPr="0082796F" w:rsidP="00B0369F" w14:paraId="4F4CAF6C"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70</w:t>
            </w:r>
          </w:p>
        </w:tc>
        <w:tc>
          <w:tcPr>
            <w:tcW w:w="1620" w:type="dxa"/>
          </w:tcPr>
          <w:p w:rsidR="0072054E" w:rsidRPr="0082796F" w:rsidP="00B0369F" w14:paraId="4BF297A7"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20</w:t>
            </w:r>
          </w:p>
        </w:tc>
        <w:tc>
          <w:tcPr>
            <w:tcW w:w="1530" w:type="dxa"/>
          </w:tcPr>
          <w:p w:rsidR="0072054E" w:rsidRPr="0082796F" w:rsidP="00B0369F" w14:paraId="34B0C9AB" w14:textId="77777777">
            <w:pPr>
              <w:tabs>
                <w:tab w:val="left" w:pos="-720"/>
                <w:tab w:val="left" w:pos="0"/>
              </w:tabs>
              <w:suppressAutoHyphens/>
              <w:jc w:val="center"/>
              <w:rPr>
                <w:rFonts w:ascii="Arial" w:hAnsi="Arial" w:cs="Arial"/>
                <w:sz w:val="16"/>
                <w:szCs w:val="16"/>
              </w:rPr>
            </w:pPr>
            <w:r>
              <w:rPr>
                <w:rFonts w:ascii="Arial" w:hAnsi="Arial" w:cs="Arial"/>
                <w:sz w:val="16"/>
                <w:szCs w:val="16"/>
              </w:rPr>
              <w:t>2</w:t>
            </w:r>
          </w:p>
        </w:tc>
        <w:tc>
          <w:tcPr>
            <w:tcW w:w="1625" w:type="dxa"/>
          </w:tcPr>
          <w:p w:rsidR="0072054E" w:rsidRPr="0082796F" w:rsidP="00B0369F" w14:paraId="7D358374" w14:textId="77777777">
            <w:pPr>
              <w:tabs>
                <w:tab w:val="left" w:pos="-720"/>
                <w:tab w:val="left" w:pos="0"/>
              </w:tabs>
              <w:suppressAutoHyphens/>
              <w:jc w:val="center"/>
              <w:rPr>
                <w:rFonts w:ascii="Arial" w:hAnsi="Arial" w:cs="Arial"/>
                <w:sz w:val="16"/>
                <w:szCs w:val="16"/>
              </w:rPr>
            </w:pPr>
            <w:r>
              <w:rPr>
                <w:rFonts w:ascii="Arial" w:hAnsi="Arial" w:cs="Arial"/>
                <w:sz w:val="16"/>
                <w:szCs w:val="16"/>
              </w:rPr>
              <w:t>40</w:t>
            </w:r>
          </w:p>
        </w:tc>
        <w:tc>
          <w:tcPr>
            <w:tcW w:w="1520" w:type="dxa"/>
          </w:tcPr>
          <w:p w:rsidR="0072054E" w:rsidRPr="0082796F" w:rsidP="00B0369F" w14:paraId="0900ED48" w14:textId="77777777">
            <w:pPr>
              <w:suppressAutoHyphens/>
              <w:jc w:val="center"/>
              <w:rPr>
                <w:rFonts w:ascii="Arial" w:hAnsi="Arial" w:cs="Arial"/>
                <w:bCs/>
                <w:sz w:val="16"/>
                <w:szCs w:val="16"/>
              </w:rPr>
            </w:pPr>
            <w:r w:rsidRPr="0082796F">
              <w:rPr>
                <w:rFonts w:ascii="Arial" w:hAnsi="Arial" w:cs="Arial"/>
                <w:bCs/>
                <w:sz w:val="16"/>
                <w:szCs w:val="16"/>
              </w:rPr>
              <w:t>$106.56</w:t>
            </w:r>
          </w:p>
          <w:p w:rsidR="0072054E" w:rsidRPr="0082796F" w:rsidP="00B0369F" w14:paraId="039BAB9E" w14:textId="77777777">
            <w:pPr>
              <w:suppressAutoHyphens/>
              <w:jc w:val="center"/>
              <w:rPr>
                <w:rFonts w:ascii="Arial" w:hAnsi="Arial" w:cs="Arial"/>
                <w:bCs/>
                <w:sz w:val="16"/>
                <w:szCs w:val="16"/>
              </w:rPr>
            </w:pPr>
          </w:p>
        </w:tc>
        <w:tc>
          <w:tcPr>
            <w:tcW w:w="1620" w:type="dxa"/>
          </w:tcPr>
          <w:p w:rsidR="0072054E" w:rsidRPr="0082796F" w:rsidP="00B0369F" w14:paraId="06137251" w14:textId="77777777">
            <w:pPr>
              <w:jc w:val="center"/>
              <w:rPr>
                <w:rFonts w:ascii="Arial" w:hAnsi="Arial" w:cs="Arial"/>
                <w:bCs/>
                <w:sz w:val="16"/>
                <w:szCs w:val="16"/>
              </w:rPr>
            </w:pPr>
            <w:r w:rsidRPr="0082796F">
              <w:rPr>
                <w:rFonts w:ascii="Arial" w:hAnsi="Arial" w:cs="Arial"/>
                <w:bCs/>
                <w:sz w:val="16"/>
                <w:szCs w:val="16"/>
              </w:rPr>
              <w:t>$</w:t>
            </w:r>
            <w:r w:rsidRPr="00267178">
              <w:rPr>
                <w:rFonts w:ascii="Arial" w:hAnsi="Arial" w:cs="Arial"/>
                <w:bCs/>
                <w:sz w:val="16"/>
                <w:szCs w:val="16"/>
              </w:rPr>
              <w:t>4,262.4</w:t>
            </w:r>
            <w:r>
              <w:rPr>
                <w:rFonts w:ascii="Arial" w:hAnsi="Arial" w:cs="Arial"/>
                <w:bCs/>
                <w:sz w:val="16"/>
                <w:szCs w:val="16"/>
              </w:rPr>
              <w:t>0</w:t>
            </w:r>
          </w:p>
        </w:tc>
        <w:tc>
          <w:tcPr>
            <w:tcW w:w="1530" w:type="dxa"/>
          </w:tcPr>
          <w:p w:rsidR="0072054E" w:rsidRPr="0082796F" w:rsidP="00B0369F" w14:paraId="33153D75"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1,412</w:t>
            </w:r>
          </w:p>
        </w:tc>
        <w:tc>
          <w:tcPr>
            <w:tcW w:w="1260" w:type="dxa"/>
          </w:tcPr>
          <w:p w:rsidR="0072054E" w:rsidRPr="0082796F" w:rsidP="00B0369F" w14:paraId="50E3758A" w14:textId="77777777">
            <w:pPr>
              <w:tabs>
                <w:tab w:val="left" w:pos="-720"/>
                <w:tab w:val="left" w:pos="0"/>
              </w:tabs>
              <w:suppressAutoHyphens/>
              <w:jc w:val="center"/>
              <w:rPr>
                <w:rFonts w:ascii="Arial" w:hAnsi="Arial" w:cs="Arial"/>
                <w:sz w:val="16"/>
                <w:szCs w:val="16"/>
              </w:rPr>
            </w:pPr>
            <w:r w:rsidRPr="00267178">
              <w:rPr>
                <w:rFonts w:ascii="Arial" w:hAnsi="Arial" w:cs="Arial"/>
                <w:sz w:val="16"/>
                <w:szCs w:val="16"/>
              </w:rPr>
              <w:t>2,800</w:t>
            </w:r>
          </w:p>
        </w:tc>
        <w:tc>
          <w:tcPr>
            <w:tcW w:w="1350" w:type="dxa"/>
          </w:tcPr>
          <w:p w:rsidR="0072054E" w:rsidRPr="0082796F" w:rsidP="00B0369F" w14:paraId="41210646" w14:textId="77777777">
            <w:pPr>
              <w:suppressAutoHyphens/>
              <w:jc w:val="center"/>
              <w:rPr>
                <w:rFonts w:ascii="Arial" w:hAnsi="Arial" w:cs="Arial"/>
                <w:bCs/>
                <w:sz w:val="16"/>
                <w:szCs w:val="16"/>
              </w:rPr>
            </w:pPr>
            <w:r w:rsidRPr="0082796F">
              <w:rPr>
                <w:rFonts w:ascii="Arial" w:hAnsi="Arial" w:cs="Arial"/>
                <w:bCs/>
                <w:sz w:val="16"/>
                <w:szCs w:val="16"/>
              </w:rPr>
              <w:t>$</w:t>
            </w:r>
            <w:r w:rsidRPr="00267178">
              <w:rPr>
                <w:rFonts w:ascii="Arial" w:hAnsi="Arial" w:cs="Arial"/>
                <w:bCs/>
                <w:sz w:val="16"/>
                <w:szCs w:val="16"/>
              </w:rPr>
              <w:t>298,368</w:t>
            </w:r>
            <w:r>
              <w:rPr>
                <w:rFonts w:ascii="Arial" w:hAnsi="Arial" w:cs="Arial"/>
                <w:bCs/>
                <w:sz w:val="16"/>
                <w:szCs w:val="16"/>
              </w:rPr>
              <w:t>.00</w:t>
            </w:r>
          </w:p>
        </w:tc>
      </w:tr>
      <w:tr w14:paraId="28FC0BAC" w14:textId="77777777" w:rsidTr="00B0369F">
        <w:tblPrEx>
          <w:tblW w:w="15125" w:type="dxa"/>
          <w:tblLayout w:type="fixed"/>
          <w:tblLook w:val="04A0"/>
        </w:tblPrEx>
        <w:trPr>
          <w:trHeight w:val="432"/>
        </w:trPr>
        <w:tc>
          <w:tcPr>
            <w:tcW w:w="1795" w:type="dxa"/>
          </w:tcPr>
          <w:p w:rsidR="0072054E" w:rsidRPr="00120C2F" w:rsidP="00B0369F" w14:paraId="69448950" w14:textId="77777777">
            <w:pPr>
              <w:tabs>
                <w:tab w:val="left" w:pos="-720"/>
                <w:tab w:val="left" w:pos="0"/>
              </w:tabs>
              <w:suppressAutoHyphens/>
              <w:jc w:val="center"/>
              <w:rPr>
                <w:rFonts w:ascii="Arial" w:hAnsi="Arial" w:cs="Arial"/>
                <w:b/>
                <w:sz w:val="16"/>
                <w:szCs w:val="16"/>
              </w:rPr>
            </w:pPr>
            <w:r w:rsidRPr="00120C2F">
              <w:rPr>
                <w:rFonts w:ascii="Arial" w:hAnsi="Arial" w:cs="Arial"/>
                <w:b/>
                <w:sz w:val="16"/>
                <w:szCs w:val="16"/>
              </w:rPr>
              <w:t>NEW BURDEN:</w:t>
            </w:r>
          </w:p>
          <w:p w:rsidR="0072054E" w:rsidRPr="00120C2F" w:rsidP="00B0369F" w14:paraId="0554A92B" w14:textId="77777777">
            <w:pPr>
              <w:tabs>
                <w:tab w:val="left" w:pos="-720"/>
                <w:tab w:val="left" w:pos="0"/>
              </w:tabs>
              <w:suppressAutoHyphens/>
              <w:jc w:val="center"/>
              <w:rPr>
                <w:rFonts w:ascii="Arial" w:hAnsi="Arial" w:cs="Arial"/>
                <w:b/>
                <w:sz w:val="16"/>
                <w:szCs w:val="16"/>
              </w:rPr>
            </w:pPr>
            <w:r w:rsidRPr="00120C2F">
              <w:rPr>
                <w:rFonts w:ascii="Arial" w:hAnsi="Arial" w:cs="Arial"/>
                <w:b/>
                <w:sz w:val="16"/>
                <w:szCs w:val="16"/>
              </w:rPr>
              <w:t>§40.6 Delisting Submissions for Gaming contracts (one-time burden)</w:t>
            </w:r>
          </w:p>
        </w:tc>
        <w:tc>
          <w:tcPr>
            <w:tcW w:w="1275" w:type="dxa"/>
          </w:tcPr>
          <w:p w:rsidR="0072054E" w:rsidRPr="0082796F" w:rsidP="00B0369F" w14:paraId="1BEA87B4" w14:textId="00CE5A38">
            <w:pPr>
              <w:tabs>
                <w:tab w:val="left" w:pos="-720"/>
                <w:tab w:val="left" w:pos="0"/>
              </w:tabs>
              <w:suppressAutoHyphens/>
              <w:jc w:val="center"/>
              <w:rPr>
                <w:rFonts w:ascii="Arial" w:hAnsi="Arial" w:cs="Arial"/>
                <w:sz w:val="16"/>
                <w:szCs w:val="16"/>
              </w:rPr>
            </w:pPr>
            <w:r>
              <w:rPr>
                <w:rFonts w:ascii="Arial" w:hAnsi="Arial" w:cs="Arial"/>
                <w:b/>
                <w:sz w:val="16"/>
                <w:szCs w:val="16"/>
              </w:rPr>
              <w:t>6</w:t>
            </w:r>
            <w:r>
              <w:rPr>
                <w:rStyle w:val="EndnoteReference"/>
                <w:rFonts w:ascii="Arial" w:hAnsi="Arial" w:cs="Arial"/>
                <w:b/>
                <w:sz w:val="16"/>
                <w:szCs w:val="16"/>
              </w:rPr>
              <w:endnoteReference w:id="6"/>
            </w:r>
          </w:p>
        </w:tc>
        <w:tc>
          <w:tcPr>
            <w:tcW w:w="1620" w:type="dxa"/>
          </w:tcPr>
          <w:p w:rsidR="0072054E" w:rsidRPr="0082796F" w:rsidP="00B0369F" w14:paraId="0F64B6E5" w14:textId="77777777">
            <w:pPr>
              <w:tabs>
                <w:tab w:val="left" w:pos="-720"/>
                <w:tab w:val="left" w:pos="0"/>
              </w:tabs>
              <w:suppressAutoHyphens/>
              <w:jc w:val="center"/>
              <w:rPr>
                <w:rFonts w:ascii="Arial" w:hAnsi="Arial" w:cs="Arial"/>
                <w:sz w:val="16"/>
                <w:szCs w:val="16"/>
              </w:rPr>
            </w:pPr>
            <w:r>
              <w:rPr>
                <w:rFonts w:ascii="Arial" w:hAnsi="Arial" w:cs="Arial"/>
                <w:b/>
                <w:sz w:val="16"/>
                <w:szCs w:val="16"/>
              </w:rPr>
              <w:t>5</w:t>
            </w:r>
          </w:p>
        </w:tc>
        <w:tc>
          <w:tcPr>
            <w:tcW w:w="1530" w:type="dxa"/>
          </w:tcPr>
          <w:p w:rsidR="0072054E" w:rsidP="00B0369F" w14:paraId="25C93301" w14:textId="77777777">
            <w:pPr>
              <w:tabs>
                <w:tab w:val="left" w:pos="-720"/>
                <w:tab w:val="left" w:pos="0"/>
              </w:tabs>
              <w:suppressAutoHyphens/>
              <w:jc w:val="center"/>
              <w:rPr>
                <w:rFonts w:ascii="Arial" w:hAnsi="Arial" w:cs="Arial"/>
                <w:sz w:val="16"/>
                <w:szCs w:val="16"/>
              </w:rPr>
            </w:pPr>
            <w:r>
              <w:rPr>
                <w:rFonts w:ascii="Arial" w:hAnsi="Arial" w:cs="Arial"/>
                <w:b/>
                <w:sz w:val="16"/>
                <w:szCs w:val="16"/>
              </w:rPr>
              <w:t>2</w:t>
            </w:r>
          </w:p>
        </w:tc>
        <w:tc>
          <w:tcPr>
            <w:tcW w:w="1625" w:type="dxa"/>
          </w:tcPr>
          <w:p w:rsidR="0072054E" w:rsidP="00B0369F" w14:paraId="32B66F9A" w14:textId="77777777">
            <w:pPr>
              <w:tabs>
                <w:tab w:val="left" w:pos="-720"/>
                <w:tab w:val="left" w:pos="0"/>
              </w:tabs>
              <w:suppressAutoHyphens/>
              <w:jc w:val="center"/>
              <w:rPr>
                <w:rFonts w:ascii="Arial" w:hAnsi="Arial" w:cs="Arial"/>
                <w:sz w:val="16"/>
                <w:szCs w:val="16"/>
              </w:rPr>
            </w:pPr>
            <w:r>
              <w:rPr>
                <w:rFonts w:ascii="Arial" w:hAnsi="Arial" w:cs="Arial"/>
                <w:b/>
                <w:sz w:val="16"/>
                <w:szCs w:val="16"/>
              </w:rPr>
              <w:t>10</w:t>
            </w:r>
          </w:p>
        </w:tc>
        <w:tc>
          <w:tcPr>
            <w:tcW w:w="1520" w:type="dxa"/>
          </w:tcPr>
          <w:p w:rsidR="0072054E" w:rsidRPr="001D3F89" w:rsidP="00B0369F" w14:paraId="1BE4304D" w14:textId="59AA6C97">
            <w:pPr>
              <w:suppressAutoHyphens/>
              <w:jc w:val="center"/>
              <w:rPr>
                <w:rFonts w:ascii="Arial" w:hAnsi="Arial" w:cs="Arial"/>
                <w:b/>
                <w:bCs/>
                <w:sz w:val="16"/>
                <w:szCs w:val="16"/>
              </w:rPr>
            </w:pPr>
            <w:r w:rsidRPr="001D3F89">
              <w:rPr>
                <w:rFonts w:ascii="Arial" w:hAnsi="Arial" w:cs="Arial"/>
                <w:b/>
                <w:bCs/>
                <w:sz w:val="16"/>
                <w:szCs w:val="16"/>
              </w:rPr>
              <w:t>$</w:t>
            </w:r>
            <w:r w:rsidR="0090263C">
              <w:rPr>
                <w:rFonts w:ascii="Arial" w:hAnsi="Arial" w:cs="Arial"/>
                <w:b/>
                <w:bCs/>
                <w:sz w:val="16"/>
                <w:szCs w:val="16"/>
              </w:rPr>
              <w:t>266</w:t>
            </w:r>
            <w:r>
              <w:rPr>
                <w:rStyle w:val="EndnoteReference"/>
                <w:rFonts w:ascii="Arial" w:hAnsi="Arial" w:cs="Arial"/>
                <w:b/>
                <w:bCs/>
                <w:sz w:val="16"/>
                <w:szCs w:val="16"/>
              </w:rPr>
              <w:endnoteReference w:id="7"/>
            </w:r>
          </w:p>
        </w:tc>
        <w:tc>
          <w:tcPr>
            <w:tcW w:w="1620" w:type="dxa"/>
          </w:tcPr>
          <w:p w:rsidR="0072054E" w:rsidRPr="0082796F" w:rsidP="00B0369F" w14:paraId="1C1DCD25" w14:textId="77777777">
            <w:pPr>
              <w:jc w:val="center"/>
              <w:rPr>
                <w:rFonts w:ascii="Arial" w:hAnsi="Arial" w:cs="Arial"/>
                <w:bCs/>
                <w:sz w:val="16"/>
                <w:szCs w:val="16"/>
              </w:rPr>
            </w:pPr>
            <w:r>
              <w:rPr>
                <w:rFonts w:ascii="Arial" w:hAnsi="Arial" w:cs="Arial"/>
                <w:b/>
                <w:bCs/>
                <w:sz w:val="16"/>
                <w:szCs w:val="16"/>
              </w:rPr>
              <w:t>$</w:t>
            </w:r>
            <w:r w:rsidR="00C80FD4">
              <w:rPr>
                <w:rFonts w:ascii="Arial" w:hAnsi="Arial" w:cs="Arial"/>
                <w:b/>
                <w:bCs/>
                <w:sz w:val="16"/>
                <w:szCs w:val="16"/>
              </w:rPr>
              <w:t>2,660</w:t>
            </w:r>
          </w:p>
        </w:tc>
        <w:tc>
          <w:tcPr>
            <w:tcW w:w="1530" w:type="dxa"/>
          </w:tcPr>
          <w:p w:rsidR="0072054E" w:rsidRPr="0082796F" w:rsidP="00B0369F" w14:paraId="3E53CFBF" w14:textId="77777777">
            <w:pPr>
              <w:tabs>
                <w:tab w:val="left" w:pos="-720"/>
                <w:tab w:val="left" w:pos="0"/>
              </w:tabs>
              <w:suppressAutoHyphens/>
              <w:jc w:val="center"/>
              <w:rPr>
                <w:rFonts w:ascii="Arial" w:hAnsi="Arial" w:cs="Arial"/>
                <w:sz w:val="16"/>
                <w:szCs w:val="16"/>
              </w:rPr>
            </w:pPr>
            <w:r>
              <w:rPr>
                <w:rFonts w:ascii="Arial" w:hAnsi="Arial" w:cs="Arial"/>
                <w:b/>
                <w:sz w:val="16"/>
                <w:szCs w:val="16"/>
              </w:rPr>
              <w:t>30</w:t>
            </w:r>
          </w:p>
        </w:tc>
        <w:tc>
          <w:tcPr>
            <w:tcW w:w="1260" w:type="dxa"/>
          </w:tcPr>
          <w:p w:rsidR="0072054E" w:rsidRPr="00267178" w:rsidP="00B0369F" w14:paraId="30559AEB" w14:textId="77777777">
            <w:pPr>
              <w:tabs>
                <w:tab w:val="left" w:pos="-720"/>
                <w:tab w:val="left" w:pos="0"/>
              </w:tabs>
              <w:suppressAutoHyphens/>
              <w:jc w:val="center"/>
              <w:rPr>
                <w:rFonts w:ascii="Arial" w:hAnsi="Arial" w:cs="Arial"/>
                <w:sz w:val="16"/>
                <w:szCs w:val="16"/>
              </w:rPr>
            </w:pPr>
            <w:r>
              <w:rPr>
                <w:rFonts w:ascii="Arial" w:hAnsi="Arial" w:cs="Arial"/>
                <w:b/>
                <w:sz w:val="16"/>
                <w:szCs w:val="16"/>
              </w:rPr>
              <w:t>60</w:t>
            </w:r>
          </w:p>
        </w:tc>
        <w:tc>
          <w:tcPr>
            <w:tcW w:w="1350" w:type="dxa"/>
          </w:tcPr>
          <w:p w:rsidR="0072054E" w:rsidRPr="0082796F" w:rsidP="00B0369F" w14:paraId="5F24FC9D" w14:textId="730C53F5">
            <w:pPr>
              <w:suppressAutoHyphens/>
              <w:jc w:val="center"/>
              <w:rPr>
                <w:rFonts w:ascii="Arial" w:hAnsi="Arial" w:cs="Arial"/>
                <w:bCs/>
                <w:sz w:val="16"/>
                <w:szCs w:val="16"/>
              </w:rPr>
            </w:pPr>
            <w:r>
              <w:rPr>
                <w:rFonts w:ascii="Arial" w:hAnsi="Arial" w:cs="Arial"/>
                <w:b/>
                <w:bCs/>
                <w:sz w:val="16"/>
                <w:szCs w:val="16"/>
              </w:rPr>
              <w:t>$</w:t>
            </w:r>
            <w:r w:rsidR="000A3E6B">
              <w:rPr>
                <w:rFonts w:ascii="Arial" w:hAnsi="Arial" w:cs="Arial"/>
                <w:b/>
                <w:bCs/>
                <w:sz w:val="16"/>
                <w:szCs w:val="16"/>
              </w:rPr>
              <w:t>15,960</w:t>
            </w:r>
          </w:p>
        </w:tc>
      </w:tr>
      <w:tr w14:paraId="5F415A44" w14:textId="77777777" w:rsidTr="00B0369F">
        <w:tblPrEx>
          <w:tblW w:w="15125" w:type="dxa"/>
          <w:tblLayout w:type="fixed"/>
          <w:tblLook w:val="04A0"/>
        </w:tblPrEx>
        <w:trPr>
          <w:trHeight w:val="432"/>
        </w:trPr>
        <w:tc>
          <w:tcPr>
            <w:tcW w:w="1795" w:type="dxa"/>
          </w:tcPr>
          <w:p w:rsidR="0072054E" w:rsidRPr="0082796F" w:rsidP="00B0369F" w14:paraId="685889E4"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 40.10 (SIDCO)</w:t>
            </w:r>
          </w:p>
        </w:tc>
        <w:tc>
          <w:tcPr>
            <w:tcW w:w="1275" w:type="dxa"/>
          </w:tcPr>
          <w:p w:rsidR="0072054E" w:rsidRPr="0082796F" w:rsidP="00B0369F" w14:paraId="27AEE9D0"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w:t>
            </w:r>
          </w:p>
        </w:tc>
        <w:tc>
          <w:tcPr>
            <w:tcW w:w="1620" w:type="dxa"/>
          </w:tcPr>
          <w:p w:rsidR="0072054E" w:rsidRPr="0082796F" w:rsidP="00B0369F" w14:paraId="7C4C9F4F"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1</w:t>
            </w:r>
          </w:p>
        </w:tc>
        <w:tc>
          <w:tcPr>
            <w:tcW w:w="1530" w:type="dxa"/>
          </w:tcPr>
          <w:p w:rsidR="0072054E" w:rsidRPr="0082796F" w:rsidP="00B0369F" w14:paraId="2288963B"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50</w:t>
            </w:r>
          </w:p>
        </w:tc>
        <w:tc>
          <w:tcPr>
            <w:tcW w:w="1625" w:type="dxa"/>
          </w:tcPr>
          <w:p w:rsidR="0072054E" w:rsidRPr="0082796F" w:rsidP="00B0369F" w14:paraId="6CF82B13"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50</w:t>
            </w:r>
          </w:p>
        </w:tc>
        <w:tc>
          <w:tcPr>
            <w:tcW w:w="1520" w:type="dxa"/>
          </w:tcPr>
          <w:p w:rsidR="0072054E" w:rsidRPr="0082796F" w:rsidP="00B0369F" w14:paraId="07996959" w14:textId="77777777">
            <w:pPr>
              <w:suppressAutoHyphens/>
              <w:jc w:val="center"/>
              <w:rPr>
                <w:rFonts w:ascii="Arial" w:hAnsi="Arial" w:cs="Arial"/>
                <w:bCs/>
                <w:sz w:val="16"/>
                <w:szCs w:val="16"/>
              </w:rPr>
            </w:pPr>
            <w:r w:rsidRPr="0082796F">
              <w:rPr>
                <w:rFonts w:ascii="Arial" w:hAnsi="Arial" w:cs="Arial"/>
                <w:bCs/>
                <w:sz w:val="16"/>
                <w:szCs w:val="16"/>
              </w:rPr>
              <w:t>$106.56</w:t>
            </w:r>
          </w:p>
          <w:p w:rsidR="0072054E" w:rsidRPr="0082796F" w:rsidP="00B0369F" w14:paraId="236B2F1C" w14:textId="77777777">
            <w:pPr>
              <w:suppressAutoHyphens/>
              <w:jc w:val="center"/>
              <w:rPr>
                <w:rFonts w:ascii="Arial" w:hAnsi="Arial" w:cs="Arial"/>
                <w:bCs/>
                <w:sz w:val="16"/>
                <w:szCs w:val="16"/>
              </w:rPr>
            </w:pPr>
          </w:p>
        </w:tc>
        <w:tc>
          <w:tcPr>
            <w:tcW w:w="1620" w:type="dxa"/>
          </w:tcPr>
          <w:p w:rsidR="0072054E" w:rsidRPr="0082796F" w:rsidP="00B0369F" w14:paraId="61FB0C5A" w14:textId="77777777">
            <w:pPr>
              <w:jc w:val="center"/>
              <w:rPr>
                <w:rFonts w:ascii="Arial" w:hAnsi="Arial" w:cs="Arial"/>
                <w:bCs/>
                <w:sz w:val="16"/>
                <w:szCs w:val="16"/>
              </w:rPr>
            </w:pPr>
            <w:r w:rsidRPr="0082796F">
              <w:rPr>
                <w:rFonts w:ascii="Arial" w:hAnsi="Arial" w:cs="Arial"/>
                <w:bCs/>
                <w:sz w:val="16"/>
                <w:szCs w:val="16"/>
              </w:rPr>
              <w:t>$5,328.00</w:t>
            </w:r>
          </w:p>
        </w:tc>
        <w:tc>
          <w:tcPr>
            <w:tcW w:w="1530" w:type="dxa"/>
          </w:tcPr>
          <w:p w:rsidR="0072054E" w:rsidRPr="0082796F" w:rsidP="00B0369F" w14:paraId="7715C7F6" w14:textId="77777777">
            <w:pPr>
              <w:tabs>
                <w:tab w:val="left" w:pos="-720"/>
                <w:tab w:val="left" w:pos="0"/>
              </w:tabs>
              <w:suppressAutoHyphens/>
              <w:jc w:val="center"/>
              <w:rPr>
                <w:rFonts w:ascii="Arial" w:hAnsi="Arial" w:cs="Arial"/>
                <w:sz w:val="16"/>
                <w:szCs w:val="16"/>
              </w:rPr>
            </w:pPr>
            <w:r w:rsidRPr="0082796F">
              <w:rPr>
                <w:rFonts w:ascii="Arial" w:hAnsi="Arial" w:cs="Arial"/>
                <w:sz w:val="16"/>
                <w:szCs w:val="16"/>
              </w:rPr>
              <w:t>2</w:t>
            </w:r>
          </w:p>
        </w:tc>
        <w:tc>
          <w:tcPr>
            <w:tcW w:w="1260" w:type="dxa"/>
          </w:tcPr>
          <w:p w:rsidR="0072054E" w:rsidRPr="0082796F" w:rsidP="00B0369F" w14:paraId="19A51E75" w14:textId="77777777">
            <w:pPr>
              <w:suppressAutoHyphens/>
              <w:jc w:val="center"/>
              <w:rPr>
                <w:rFonts w:ascii="Arial" w:hAnsi="Arial" w:cs="Arial"/>
                <w:bCs/>
                <w:sz w:val="16"/>
                <w:szCs w:val="16"/>
              </w:rPr>
            </w:pPr>
            <w:r w:rsidRPr="0082796F">
              <w:rPr>
                <w:rFonts w:ascii="Arial" w:hAnsi="Arial" w:cs="Arial"/>
                <w:bCs/>
                <w:sz w:val="16"/>
                <w:szCs w:val="16"/>
              </w:rPr>
              <w:t>100</w:t>
            </w:r>
          </w:p>
        </w:tc>
        <w:tc>
          <w:tcPr>
            <w:tcW w:w="1350" w:type="dxa"/>
          </w:tcPr>
          <w:p w:rsidR="0072054E" w:rsidRPr="0082796F" w:rsidP="00B0369F" w14:paraId="6E8E2C2B" w14:textId="77777777">
            <w:pPr>
              <w:suppressAutoHyphens/>
              <w:jc w:val="center"/>
              <w:rPr>
                <w:rFonts w:ascii="Arial" w:hAnsi="Arial" w:cs="Arial"/>
                <w:bCs/>
                <w:sz w:val="16"/>
                <w:szCs w:val="16"/>
              </w:rPr>
            </w:pPr>
            <w:r w:rsidRPr="0082796F">
              <w:rPr>
                <w:rFonts w:ascii="Arial" w:hAnsi="Arial" w:cs="Arial"/>
                <w:bCs/>
                <w:sz w:val="16"/>
                <w:szCs w:val="16"/>
              </w:rPr>
              <w:t>$10,656.00</w:t>
            </w:r>
          </w:p>
        </w:tc>
      </w:tr>
      <w:tr w14:paraId="1770B60E" w14:textId="77777777" w:rsidTr="00B0369F">
        <w:tblPrEx>
          <w:tblW w:w="15125" w:type="dxa"/>
          <w:tblLayout w:type="fixed"/>
          <w:tblLook w:val="04A0"/>
        </w:tblPrEx>
        <w:trPr>
          <w:trHeight w:val="432"/>
        </w:trPr>
        <w:tc>
          <w:tcPr>
            <w:tcW w:w="1795" w:type="dxa"/>
          </w:tcPr>
          <w:p w:rsidR="0072054E" w:rsidRPr="0082796F" w:rsidP="00B0369F" w14:paraId="6930CB3A"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 xml:space="preserve">New </w:t>
            </w:r>
            <w:r w:rsidRPr="0082796F">
              <w:rPr>
                <w:rFonts w:ascii="Arial" w:hAnsi="Arial" w:cs="Arial"/>
                <w:b/>
                <w:sz w:val="16"/>
                <w:szCs w:val="16"/>
              </w:rPr>
              <w:t>Totals</w:t>
            </w:r>
          </w:p>
        </w:tc>
        <w:tc>
          <w:tcPr>
            <w:tcW w:w="1275" w:type="dxa"/>
          </w:tcPr>
          <w:p w:rsidR="0072054E" w:rsidRPr="0082796F" w:rsidP="00B0369F" w14:paraId="0FF158D3" w14:textId="267C65DC">
            <w:pPr>
              <w:tabs>
                <w:tab w:val="left" w:pos="-720"/>
                <w:tab w:val="left" w:pos="0"/>
              </w:tabs>
              <w:suppressAutoHyphens/>
              <w:jc w:val="center"/>
              <w:rPr>
                <w:rFonts w:ascii="Arial" w:hAnsi="Arial" w:cs="Arial"/>
                <w:b/>
                <w:sz w:val="16"/>
                <w:szCs w:val="16"/>
              </w:rPr>
            </w:pPr>
            <w:r>
              <w:rPr>
                <w:rFonts w:ascii="Arial" w:hAnsi="Arial" w:cs="Arial"/>
                <w:b/>
                <w:sz w:val="16"/>
                <w:szCs w:val="16"/>
              </w:rPr>
              <w:t>70</w:t>
            </w:r>
            <w:r>
              <w:rPr>
                <w:rStyle w:val="EndnoteReference"/>
                <w:rFonts w:ascii="Arial" w:hAnsi="Arial" w:cs="Arial"/>
                <w:b/>
                <w:sz w:val="16"/>
                <w:szCs w:val="16"/>
              </w:rPr>
              <w:endnoteReference w:id="8"/>
            </w:r>
          </w:p>
        </w:tc>
        <w:tc>
          <w:tcPr>
            <w:tcW w:w="1620" w:type="dxa"/>
            <w:shd w:val="clear" w:color="auto" w:fill="D9D9D9" w:themeFill="background1" w:themeFillShade="D9"/>
          </w:tcPr>
          <w:p w:rsidR="0072054E" w:rsidRPr="0082796F" w:rsidP="00B0369F" w14:paraId="38E94795" w14:textId="77777777">
            <w:pPr>
              <w:tabs>
                <w:tab w:val="left" w:pos="-720"/>
                <w:tab w:val="left" w:pos="0"/>
              </w:tabs>
              <w:suppressAutoHyphens/>
              <w:jc w:val="center"/>
              <w:rPr>
                <w:rFonts w:ascii="Arial" w:hAnsi="Arial" w:cs="Arial"/>
                <w:b/>
                <w:sz w:val="16"/>
                <w:szCs w:val="16"/>
              </w:rPr>
            </w:pPr>
          </w:p>
        </w:tc>
        <w:tc>
          <w:tcPr>
            <w:tcW w:w="1530" w:type="dxa"/>
            <w:shd w:val="clear" w:color="auto" w:fill="D9D9D9" w:themeFill="background1" w:themeFillShade="D9"/>
          </w:tcPr>
          <w:p w:rsidR="0072054E" w:rsidRPr="0082796F" w:rsidP="00B0369F" w14:paraId="686BEA0E" w14:textId="77777777">
            <w:pPr>
              <w:tabs>
                <w:tab w:val="left" w:pos="-720"/>
                <w:tab w:val="left" w:pos="0"/>
              </w:tabs>
              <w:suppressAutoHyphens/>
              <w:jc w:val="center"/>
              <w:rPr>
                <w:rFonts w:ascii="Arial" w:hAnsi="Arial" w:cs="Arial"/>
                <w:b/>
                <w:sz w:val="16"/>
                <w:szCs w:val="16"/>
              </w:rPr>
            </w:pPr>
          </w:p>
        </w:tc>
        <w:tc>
          <w:tcPr>
            <w:tcW w:w="1625" w:type="dxa"/>
            <w:shd w:val="clear" w:color="auto" w:fill="D9D9D9" w:themeFill="background1" w:themeFillShade="D9"/>
          </w:tcPr>
          <w:p w:rsidR="0072054E" w:rsidRPr="0082796F" w:rsidP="00B0369F" w14:paraId="0EFF0D81" w14:textId="77777777">
            <w:pPr>
              <w:tabs>
                <w:tab w:val="left" w:pos="-720"/>
                <w:tab w:val="left" w:pos="0"/>
              </w:tabs>
              <w:suppressAutoHyphens/>
              <w:jc w:val="center"/>
              <w:rPr>
                <w:rFonts w:ascii="Arial" w:hAnsi="Arial" w:cs="Arial"/>
                <w:b/>
                <w:sz w:val="16"/>
                <w:szCs w:val="16"/>
              </w:rPr>
            </w:pPr>
          </w:p>
        </w:tc>
        <w:tc>
          <w:tcPr>
            <w:tcW w:w="1520" w:type="dxa"/>
            <w:shd w:val="clear" w:color="auto" w:fill="D9D9D9" w:themeFill="background1" w:themeFillShade="D9"/>
          </w:tcPr>
          <w:p w:rsidR="0072054E" w:rsidRPr="0082796F" w:rsidP="00B0369F" w14:paraId="69B5CF59" w14:textId="77777777">
            <w:pPr>
              <w:suppressAutoHyphens/>
              <w:jc w:val="center"/>
              <w:rPr>
                <w:rFonts w:ascii="Arial" w:hAnsi="Arial" w:cs="Arial"/>
                <w:b/>
                <w:bCs/>
                <w:sz w:val="16"/>
                <w:szCs w:val="16"/>
              </w:rPr>
            </w:pPr>
          </w:p>
        </w:tc>
        <w:tc>
          <w:tcPr>
            <w:tcW w:w="1620" w:type="dxa"/>
            <w:shd w:val="clear" w:color="auto" w:fill="D9D9D9" w:themeFill="background1" w:themeFillShade="D9"/>
          </w:tcPr>
          <w:p w:rsidR="0072054E" w:rsidRPr="0082796F" w:rsidP="00B0369F" w14:paraId="7EE08017" w14:textId="77777777">
            <w:pPr>
              <w:jc w:val="center"/>
              <w:rPr>
                <w:rFonts w:ascii="Arial" w:hAnsi="Arial" w:cs="Arial"/>
                <w:b/>
                <w:bCs/>
                <w:sz w:val="16"/>
                <w:szCs w:val="16"/>
              </w:rPr>
            </w:pPr>
          </w:p>
        </w:tc>
        <w:tc>
          <w:tcPr>
            <w:tcW w:w="1530" w:type="dxa"/>
            <w:shd w:val="clear" w:color="auto" w:fill="auto"/>
          </w:tcPr>
          <w:p w:rsidR="0072054E" w:rsidRPr="003E4706" w:rsidP="00B0369F" w14:paraId="059EEEBE"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2,292</w:t>
            </w:r>
          </w:p>
        </w:tc>
        <w:tc>
          <w:tcPr>
            <w:tcW w:w="1260" w:type="dxa"/>
          </w:tcPr>
          <w:p w:rsidR="0072054E" w:rsidRPr="0082796F" w:rsidP="00B0369F" w14:paraId="3D399038" w14:textId="77777777">
            <w:pPr>
              <w:suppressAutoHyphens/>
              <w:jc w:val="center"/>
              <w:rPr>
                <w:rFonts w:ascii="Arial" w:hAnsi="Arial" w:cs="Arial"/>
                <w:b/>
                <w:bCs/>
                <w:sz w:val="16"/>
                <w:szCs w:val="16"/>
              </w:rPr>
            </w:pPr>
            <w:r>
              <w:rPr>
                <w:rFonts w:ascii="Arial" w:hAnsi="Arial" w:cs="Arial"/>
                <w:b/>
                <w:bCs/>
                <w:sz w:val="16"/>
                <w:szCs w:val="16"/>
              </w:rPr>
              <w:t>20,600</w:t>
            </w:r>
          </w:p>
        </w:tc>
        <w:tc>
          <w:tcPr>
            <w:tcW w:w="1350" w:type="dxa"/>
          </w:tcPr>
          <w:p w:rsidR="0072054E" w:rsidRPr="0082796F" w:rsidP="00B0369F" w14:paraId="645E79BA" w14:textId="77777777">
            <w:pPr>
              <w:suppressAutoHyphens/>
              <w:jc w:val="center"/>
              <w:rPr>
                <w:rFonts w:ascii="Arial" w:hAnsi="Arial" w:cs="Arial"/>
                <w:b/>
                <w:bCs/>
                <w:sz w:val="16"/>
                <w:szCs w:val="16"/>
              </w:rPr>
            </w:pPr>
            <w:r>
              <w:rPr>
                <w:rFonts w:ascii="Arial" w:hAnsi="Arial" w:cs="Arial"/>
                <w:b/>
                <w:bCs/>
                <w:sz w:val="16"/>
                <w:szCs w:val="16"/>
              </w:rPr>
              <w:t>$</w:t>
            </w:r>
            <w:r w:rsidR="0029099C">
              <w:rPr>
                <w:rFonts w:ascii="Arial" w:hAnsi="Arial" w:cs="Arial"/>
                <w:b/>
                <w:bCs/>
                <w:sz w:val="16"/>
                <w:szCs w:val="16"/>
              </w:rPr>
              <w:t>2,207,362.20</w:t>
            </w:r>
          </w:p>
        </w:tc>
      </w:tr>
    </w:tbl>
    <w:p w:rsidR="001D3F89" w:rsidP="006E2A11" w14:paraId="5A04F6A0" w14:textId="77777777">
      <w:pPr>
        <w:keepNext/>
        <w:keepLines/>
        <w:jc w:val="center"/>
        <w:rPr>
          <w:rFonts w:asciiTheme="minorHAnsi" w:hAnsiTheme="minorHAnsi" w:cstheme="minorHAnsi"/>
          <w:b/>
          <w:sz w:val="20"/>
        </w:rPr>
      </w:pPr>
    </w:p>
    <w:sectPr w:rsidSect="00B0369F">
      <w:footerReference w:type="default" r:id="rId12"/>
      <w:footnotePr>
        <w:numRestart w:val="eachSect"/>
      </w:footnotePr>
      <w:endnotePr>
        <w:numFmt w:val="decimal"/>
      </w:endnotePr>
      <w:pgSz w:w="15840" w:h="12240" w:orient="landscape"/>
      <w:pgMar w:top="1440" w:right="1440" w:bottom="1440" w:left="144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C3FE7" w14:paraId="0A8BA7C3" w14:textId="77777777">
      <w:r>
        <w:separator/>
      </w:r>
    </w:p>
  </w:endnote>
  <w:endnote w:type="continuationSeparator" w:id="1">
    <w:p w:rsidR="00AC3FE7" w14:paraId="2FEA91F7" w14:textId="77777777">
      <w:r>
        <w:continuationSeparator/>
      </w:r>
    </w:p>
  </w:endnote>
  <w:endnote w:id="2">
    <w:p w:rsidR="0000319C" w:rsidRPr="0000319C" w:rsidP="0000319C" w14:paraId="258C4C4A" w14:textId="2117DF6F">
      <w:pPr>
        <w:pStyle w:val="EndnoteText"/>
        <w:spacing w:after="120"/>
        <w:rPr>
          <w:rFonts w:ascii="Times New Roman" w:hAnsi="Times New Roman"/>
          <w:sz w:val="16"/>
          <w:szCs w:val="16"/>
        </w:rPr>
      </w:pPr>
      <w:r w:rsidRPr="0000319C">
        <w:rPr>
          <w:rStyle w:val="EndnoteReference"/>
          <w:rFonts w:ascii="Times New Roman" w:hAnsi="Times New Roman"/>
          <w:sz w:val="16"/>
          <w:szCs w:val="16"/>
        </w:rPr>
        <w:endnoteRef/>
      </w:r>
      <w:r w:rsidRPr="0000319C">
        <w:rPr>
          <w:rFonts w:ascii="Times New Roman" w:hAnsi="Times New Roman"/>
          <w:sz w:val="16"/>
          <w:szCs w:val="16"/>
        </w:rPr>
        <w:t xml:space="preserve"> The totals for estimated numbers of reports by respondent per year are rounded.  These estimates are derived by dividing the total number of responses in Column 8 (based on an average of actual filings submitted to the Commission over the past three years) by the total number of respondents shown in Column 2.</w:t>
      </w:r>
    </w:p>
  </w:endnote>
  <w:endnote w:id="3">
    <w:p w:rsidR="0000319C" w:rsidRPr="0000319C" w:rsidP="0000319C" w14:paraId="3A815361" w14:textId="57278A97">
      <w:pPr>
        <w:pStyle w:val="EndnoteText"/>
        <w:spacing w:after="120"/>
        <w:rPr>
          <w:rFonts w:ascii="Times New Roman" w:hAnsi="Times New Roman"/>
          <w:sz w:val="16"/>
          <w:szCs w:val="16"/>
        </w:rPr>
      </w:pPr>
      <w:r w:rsidRPr="0000319C">
        <w:rPr>
          <w:rStyle w:val="EndnoteReference"/>
          <w:rFonts w:ascii="Times New Roman" w:hAnsi="Times New Roman"/>
          <w:sz w:val="16"/>
          <w:szCs w:val="16"/>
        </w:rPr>
        <w:endnoteRef/>
      </w:r>
      <w:r w:rsidRPr="0000319C">
        <w:rPr>
          <w:rFonts w:ascii="Times New Roman" w:hAnsi="Times New Roman"/>
          <w:sz w:val="16"/>
          <w:szCs w:val="16"/>
        </w:rPr>
        <w:t xml:space="preserve"> </w:t>
      </w:r>
      <w:r w:rsidRPr="0000319C">
        <w:rPr>
          <w:rFonts w:ascii="Times New Roman" w:eastAsia="Calibri" w:hAnsi="Times New Roman"/>
          <w:sz w:val="16"/>
          <w:szCs w:val="16"/>
        </w:rPr>
        <w:t xml:space="preserve">For the existing aggregated §§ 40.2. 40.3. 40.5, 40.6, and 40.10 burdens, the Commission is providing a blended rate using estimated industry specific wages for Compliance Officer and Lawyers multiplied by 1.3 to account for overhead and other benefits using data from 2022.  Per the U.S. Bureau of Labor Statistics, national industry-specific occupational employment and wage estimates with data collected from employers in the securities, commodity contracts, and other financial investments and related activities (NAICS 523000) provides that the mean hourly wage for a compliance officer is $44.31 and lawyer is $119.63.  The average of those wages is $81.97, when adjusted by 1.3 multiplier noted above results in the average hourly wage of $106.56.  </w:t>
      </w:r>
      <w:r w:rsidRPr="0000319C">
        <w:rPr>
          <w:rFonts w:ascii="Times New Roman" w:eastAsia="Calibri" w:hAnsi="Times New Roman"/>
          <w:i/>
          <w:iCs/>
          <w:sz w:val="16"/>
          <w:szCs w:val="16"/>
        </w:rPr>
        <w:t>See</w:t>
      </w:r>
      <w:r w:rsidRPr="0000319C">
        <w:rPr>
          <w:rFonts w:ascii="Times New Roman" w:eastAsia="Calibri" w:hAnsi="Times New Roman"/>
          <w:sz w:val="16"/>
          <w:szCs w:val="16"/>
        </w:rPr>
        <w:t xml:space="preserve"> May 2022 National Industry-Specific Occupational Employment and Wage Estimates, NAICS 523000 - Securities, Commodity Contracts, and Other Financial Investments and Related Activities, available at: https://www.bls.gov/oes/current/naics3_523000.htm.</w:t>
      </w:r>
    </w:p>
  </w:endnote>
  <w:endnote w:id="4">
    <w:p w:rsidR="0000319C" w:rsidRPr="0000319C" w:rsidP="0000319C" w14:paraId="546EC2A7" w14:textId="0078ECED">
      <w:pPr>
        <w:pStyle w:val="EndnoteText"/>
        <w:spacing w:after="120"/>
        <w:rPr>
          <w:rFonts w:ascii="Times New Roman" w:hAnsi="Times New Roman"/>
          <w:sz w:val="16"/>
          <w:szCs w:val="16"/>
        </w:rPr>
      </w:pPr>
      <w:r w:rsidRPr="0000319C">
        <w:rPr>
          <w:rStyle w:val="EndnoteReference"/>
          <w:rFonts w:ascii="Times New Roman" w:hAnsi="Times New Roman"/>
          <w:sz w:val="16"/>
          <w:szCs w:val="16"/>
        </w:rPr>
        <w:endnoteRef/>
      </w:r>
      <w:r w:rsidRPr="0000319C">
        <w:rPr>
          <w:rFonts w:ascii="Times New Roman" w:hAnsi="Times New Roman"/>
          <w:sz w:val="16"/>
          <w:szCs w:val="16"/>
        </w:rPr>
        <w:t xml:space="preserve"> The Total Annual Responses in column 8 were obtained by querying the Commission’s submission database for the total number of past three years of filings in each category.  The three-year totals were averaged to calculate the annual estimate. </w:t>
      </w:r>
      <w:r w:rsidRPr="0000319C">
        <w:rPr>
          <w:rFonts w:ascii="Times New Roman" w:hAnsi="Times New Roman"/>
          <w:i/>
          <w:sz w:val="16"/>
          <w:szCs w:val="16"/>
        </w:rPr>
        <w:t>See</w:t>
      </w:r>
      <w:r w:rsidRPr="0000319C">
        <w:rPr>
          <w:rFonts w:ascii="Times New Roman" w:hAnsi="Times New Roman"/>
          <w:sz w:val="16"/>
          <w:szCs w:val="16"/>
        </w:rPr>
        <w:t xml:space="preserve"> Provisions Common to Registered Entities, Notice of Proposed Rulemaking, 88 F.R. 61432, 61443 n.75, 61444 nn.79 and 82 (Sept. 6, 2023).</w:t>
      </w:r>
    </w:p>
  </w:endnote>
  <w:endnote w:id="5">
    <w:p w:rsidR="0000319C" w:rsidRPr="0000319C" w:rsidP="0000319C" w14:paraId="4C280A36" w14:textId="571F3374">
      <w:pPr>
        <w:pStyle w:val="EndnoteText"/>
        <w:spacing w:after="120"/>
        <w:rPr>
          <w:rFonts w:ascii="Times New Roman" w:hAnsi="Times New Roman"/>
          <w:sz w:val="16"/>
          <w:szCs w:val="16"/>
        </w:rPr>
      </w:pPr>
      <w:r w:rsidRPr="0000319C">
        <w:rPr>
          <w:rStyle w:val="EndnoteReference"/>
          <w:rFonts w:ascii="Times New Roman" w:hAnsi="Times New Roman"/>
          <w:sz w:val="16"/>
          <w:szCs w:val="16"/>
        </w:rPr>
        <w:endnoteRef/>
      </w:r>
      <w:r w:rsidRPr="0000319C">
        <w:rPr>
          <w:rFonts w:ascii="Times New Roman" w:hAnsi="Times New Roman"/>
          <w:sz w:val="16"/>
          <w:szCs w:val="16"/>
        </w:rPr>
        <w:t xml:space="preserve"> The category for §§ 40.5 and 40.6 now includes part 40 rule filings triggered by § 38.251(e), which had previously been listed as a separate line-item, and the filings triggered by § 150.9(a), which had previously been included in a second IC that has now been merged with the Provisions Common to Registered Entities IC.</w:t>
      </w:r>
    </w:p>
  </w:endnote>
  <w:endnote w:id="6">
    <w:p w:rsidR="0000319C" w:rsidRPr="0000319C" w:rsidP="0000319C" w14:paraId="334C9C5A" w14:textId="14DF7FD6">
      <w:pPr>
        <w:pStyle w:val="EndnoteText"/>
        <w:spacing w:after="120"/>
        <w:rPr>
          <w:rFonts w:ascii="Times New Roman" w:hAnsi="Times New Roman"/>
          <w:sz w:val="16"/>
          <w:szCs w:val="16"/>
        </w:rPr>
      </w:pPr>
      <w:r w:rsidRPr="0000319C">
        <w:rPr>
          <w:rStyle w:val="EndnoteReference"/>
          <w:rFonts w:ascii="Times New Roman" w:hAnsi="Times New Roman"/>
          <w:sz w:val="16"/>
          <w:szCs w:val="16"/>
        </w:rPr>
        <w:endnoteRef/>
      </w:r>
      <w:r w:rsidRPr="0000319C">
        <w:rPr>
          <w:rFonts w:ascii="Times New Roman" w:hAnsi="Times New Roman"/>
          <w:sz w:val="16"/>
          <w:szCs w:val="16"/>
        </w:rPr>
        <w:t xml:space="preserve"> As discussed in the notice of proposed rulemaking, only one designated contract market currently offers the types of event contracts that would be prohibited and require new § 40.6 filings to delist.  However, for the purposes of the PRA, the Commission is estimating the potential burden for all six designated contract markets that offer event contracts.  </w:t>
      </w:r>
    </w:p>
  </w:endnote>
  <w:endnote w:id="7">
    <w:p w:rsidR="0000319C" w:rsidRPr="0000319C" w:rsidP="0000319C" w14:paraId="2DE0A54F" w14:textId="50D692FC">
      <w:pPr>
        <w:pStyle w:val="Default"/>
        <w:spacing w:after="120"/>
        <w:rPr>
          <w:rFonts w:ascii="Times New Roman" w:hAnsi="Times New Roman" w:cs="Times New Roman"/>
          <w:sz w:val="16"/>
          <w:szCs w:val="16"/>
        </w:rPr>
      </w:pPr>
      <w:r w:rsidRPr="0000319C">
        <w:rPr>
          <w:rStyle w:val="EndnoteReference"/>
          <w:rFonts w:ascii="Times New Roman" w:hAnsi="Times New Roman" w:cs="Times New Roman"/>
          <w:sz w:val="16"/>
          <w:szCs w:val="16"/>
        </w:rPr>
        <w:endnoteRef/>
      </w:r>
      <w:r w:rsidRPr="0000319C">
        <w:rPr>
          <w:rFonts w:ascii="Times New Roman" w:hAnsi="Times New Roman" w:cs="Times New Roman"/>
          <w:sz w:val="16"/>
          <w:szCs w:val="16"/>
        </w:rPr>
        <w:t xml:space="preserve"> For the one-time § 40.6 burden for delisting gaming contracts stemming from the proposed rule, in calculating its labor cost estimates</w:t>
      </w:r>
      <w:r w:rsidRPr="0000319C">
        <w:rPr>
          <w:rStyle w:val="CommentReference"/>
          <w:rFonts w:ascii="Times New Roman" w:hAnsi="Times New Roman" w:cs="Times New Roman"/>
          <w:color w:val="auto"/>
        </w:rPr>
        <w:annotationRef/>
      </w:r>
      <w:r w:rsidRPr="0000319C">
        <w:rPr>
          <w:rStyle w:val="CommentReference"/>
          <w:rFonts w:ascii="Times New Roman" w:hAnsi="Times New Roman" w:cs="Times New Roman"/>
          <w:color w:val="auto"/>
        </w:rPr>
        <w:annotationRef/>
      </w:r>
      <w:r w:rsidRPr="0000319C">
        <w:rPr>
          <w:rFonts w:ascii="Times New Roman" w:hAnsi="Times New Roman" w:cs="Times New Roman"/>
          <w:sz w:val="16"/>
          <w:szCs w:val="16"/>
        </w:rPr>
        <w:t>, the Commission estimates the appropriate wage rate based on salary information for the securities industry compiled by the Department of Labor’s Bureau of Labor Statistics (“BLS”). Commission staff arrived at an hourly rate of $266 using figures from data on the relevant profession contained in the most recent BLS Occupational Employment and Wages Report (May 2023) under NAICS 523000</w:t>
      </w:r>
      <w:r w:rsidRPr="0000319C">
        <w:rPr>
          <w:rStyle w:val="CommentReference"/>
          <w:rFonts w:ascii="Times New Roman" w:hAnsi="Times New Roman" w:cs="Times New Roman"/>
          <w:color w:val="auto"/>
        </w:rPr>
        <w:annotationRef/>
      </w:r>
      <w:r w:rsidRPr="0000319C">
        <w:rPr>
          <w:rStyle w:val="CommentReference"/>
          <w:rFonts w:ascii="Times New Roman" w:hAnsi="Times New Roman" w:cs="Times New Roman"/>
          <w:color w:val="auto"/>
        </w:rPr>
        <w:annotationRef/>
      </w:r>
      <w:r w:rsidRPr="0000319C">
        <w:rPr>
          <w:rFonts w:ascii="Times New Roman" w:hAnsi="Times New Roman" w:cs="Times New Roman"/>
          <w:sz w:val="16"/>
          <w:szCs w:val="16"/>
        </w:rPr>
        <w:t xml:space="preserve">.  According to BLS, the mean salary for financial examiners in the context of Securities, Commodity Contracts, and Other Financial Investments and Related Activities is $116,520. This number is divided by 1,800 work hours in a year to account for sick leave and vacations and multiplied by 4 to account for retirement, health, and other benefits or compensation, as well as for office space, computer equipment support, and human resources support.  This number is further multiplied by 1.0272 to account for the 2.72% change in the CPI for Urban Wage-Earners and Clerical Workers between May 2023 and March 2024 (298.382 to 306.502). BLS, CPI for Urban Wage Earners and Clerical Workers (CPI–W), U.S. City Average, All Items— CWUR0000SA0, available at </w:t>
      </w:r>
      <w:hyperlink r:id="rId1" w:history="1">
        <w:r w:rsidRPr="0000319C">
          <w:rPr>
            <w:rStyle w:val="Hyperlink"/>
            <w:rFonts w:ascii="Times New Roman" w:hAnsi="Times New Roman" w:cs="Times New Roman"/>
            <w:i/>
            <w:iCs/>
            <w:sz w:val="16"/>
            <w:szCs w:val="16"/>
          </w:rPr>
          <w:t>https://www.bls.gov/data/#prices</w:t>
        </w:r>
      </w:hyperlink>
      <w:r w:rsidRPr="0000319C">
        <w:rPr>
          <w:rFonts w:ascii="Times New Roman" w:hAnsi="Times New Roman" w:cs="Times New Roman"/>
          <w:i/>
          <w:iCs/>
          <w:sz w:val="16"/>
          <w:szCs w:val="16"/>
        </w:rPr>
        <w:t xml:space="preserve">. </w:t>
      </w:r>
      <w:r w:rsidRPr="0000319C">
        <w:rPr>
          <w:rFonts w:ascii="Times New Roman" w:hAnsi="Times New Roman" w:cs="Times New Roman"/>
          <w:sz w:val="16"/>
          <w:szCs w:val="16"/>
        </w:rPr>
        <w:t>Together, these modifications yield an hourly rate of $266.  The estimated wage rate is a weighted national average of mean hourly wages for the occupation of “financial examiners” (13-2061).  Commission staff chose this methodology to account for the variance in skill sets that may be used to accomplish the collection of information.</w:t>
      </w:r>
    </w:p>
  </w:endnote>
  <w:endnote w:id="8">
    <w:p w:rsidR="0000319C" w:rsidRPr="0000319C" w:rsidP="0000319C" w14:paraId="10432314" w14:textId="2E45781C">
      <w:pPr>
        <w:pStyle w:val="EndnoteText"/>
        <w:spacing w:after="120"/>
      </w:pPr>
      <w:r w:rsidRPr="0000319C">
        <w:rPr>
          <w:rStyle w:val="EndnoteReference"/>
          <w:rFonts w:ascii="Times New Roman" w:hAnsi="Times New Roman"/>
          <w:sz w:val="16"/>
          <w:szCs w:val="16"/>
        </w:rPr>
        <w:endnoteRef/>
      </w:r>
      <w:r w:rsidRPr="0000319C">
        <w:rPr>
          <w:rFonts w:ascii="Times New Roman" w:hAnsi="Times New Roman"/>
          <w:sz w:val="16"/>
          <w:szCs w:val="16"/>
        </w:rPr>
        <w:t xml:space="preserve"> The total number of respondents for the Information Collection is 70.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1162270"/>
      <w:docPartObj>
        <w:docPartGallery w:val="Page Numbers (Bottom of Page)"/>
        <w:docPartUnique/>
      </w:docPartObj>
    </w:sdtPr>
    <w:sdtEndPr>
      <w:rPr>
        <w:rFonts w:ascii="Times New Roman" w:hAnsi="Times New Roman"/>
        <w:noProof/>
      </w:rPr>
    </w:sdtEndPr>
    <w:sdtContent>
      <w:p w:rsidR="00B217E1" w:rsidRPr="007F7877" w14:paraId="70FB69FF" w14:textId="77777777">
        <w:pPr>
          <w:pStyle w:val="Footer"/>
          <w:jc w:val="center"/>
          <w:rPr>
            <w:rFonts w:ascii="Times New Roman" w:hAnsi="Times New Roman"/>
          </w:rPr>
        </w:pPr>
        <w:r w:rsidRPr="007F7877">
          <w:rPr>
            <w:rFonts w:ascii="Times New Roman" w:hAnsi="Times New Roman"/>
          </w:rPr>
          <w:fldChar w:fldCharType="begin"/>
        </w:r>
        <w:r w:rsidRPr="007F7877">
          <w:rPr>
            <w:rFonts w:ascii="Times New Roman" w:hAnsi="Times New Roman"/>
          </w:rPr>
          <w:instrText xml:space="preserve"> PAGE   \* MERGEFORMAT </w:instrText>
        </w:r>
        <w:r w:rsidRPr="007F7877">
          <w:rPr>
            <w:rFonts w:ascii="Times New Roman" w:hAnsi="Times New Roman"/>
          </w:rPr>
          <w:fldChar w:fldCharType="separate"/>
        </w:r>
        <w:r w:rsidRPr="007F7877">
          <w:rPr>
            <w:rFonts w:ascii="Times New Roman" w:hAnsi="Times New Roman"/>
            <w:noProof/>
          </w:rPr>
          <w:t>2</w:t>
        </w:r>
        <w:r w:rsidRPr="007F7877">
          <w:rPr>
            <w:rFonts w:ascii="Times New Roman" w:hAnsi="Times New Roman"/>
            <w:noProof/>
          </w:rPr>
          <w:fldChar w:fldCharType="end"/>
        </w:r>
      </w:p>
    </w:sdtContent>
  </w:sdt>
  <w:p w:rsidR="00B217E1" w:rsidRPr="007F7877" w14:paraId="781E407D"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C3FE7" w:rsidP="00C05C3F" w14:paraId="5200C789" w14:textId="77777777">
      <w:r>
        <w:separator/>
      </w:r>
    </w:p>
  </w:footnote>
  <w:footnote w:type="continuationSeparator" w:id="1">
    <w:p w:rsidR="00AC3FE7" w:rsidP="00C05C3F" w14:paraId="5A28E338" w14:textId="77777777">
      <w:r>
        <w:continuationSeparator/>
      </w:r>
    </w:p>
  </w:footnote>
  <w:footnote w:type="continuationNotice" w:id="2">
    <w:p w:rsidR="00AC3FE7" w14:paraId="74008316" w14:textId="77777777"/>
  </w:footnote>
  <w:footnote w:id="3">
    <w:p w:rsidR="00AC424C" w:rsidRPr="00CC02C3" w14:paraId="557B5871" w14:textId="77777777">
      <w:pPr>
        <w:pStyle w:val="FootnoteText"/>
        <w:rPr>
          <w:sz w:val="16"/>
          <w:szCs w:val="16"/>
        </w:rPr>
      </w:pPr>
      <w:r w:rsidRPr="00CC02C3">
        <w:rPr>
          <w:rStyle w:val="FootnoteReference"/>
          <w:sz w:val="16"/>
          <w:szCs w:val="16"/>
        </w:rPr>
        <w:footnoteRef/>
      </w:r>
      <w:r w:rsidRPr="00CC02C3">
        <w:rPr>
          <w:sz w:val="16"/>
          <w:szCs w:val="16"/>
        </w:rPr>
        <w:t xml:space="preserve"> The current burden hours are reflected in the most recent renewal of 3038-0093, ICR Reference No: 202312-3038-001 (Conclusion Date Feb. 9, 2024), available at </w:t>
      </w:r>
      <w:hyperlink r:id="rId1" w:history="1">
        <w:r w:rsidRPr="00CC02C3">
          <w:rPr>
            <w:rStyle w:val="Hyperlink"/>
            <w:sz w:val="16"/>
            <w:szCs w:val="16"/>
          </w:rPr>
          <w:t>https://www.reginfo.gov/public/do/PRAViewICR?ref_nbr=202312-3038-001</w:t>
        </w:r>
      </w:hyperlink>
      <w:r w:rsidRPr="00CC02C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4320"/>
      <w:gridCol w:w="4320"/>
      <w:gridCol w:w="4320"/>
    </w:tblGrid>
    <w:tr w14:paraId="30E28325" w14:textId="77777777" w:rsidTr="008F5D39">
      <w:tblPrEx>
        <w:tblW w:w="0" w:type="auto"/>
        <w:tblLayout w:type="fixed"/>
        <w:tblLook w:val="06A0"/>
      </w:tblPrEx>
      <w:trPr>
        <w:trHeight w:val="300"/>
      </w:trPr>
      <w:tc>
        <w:tcPr>
          <w:tcW w:w="4320" w:type="dxa"/>
        </w:tcPr>
        <w:p w:rsidR="00B217E1" w:rsidP="008F5D39" w14:paraId="5E0A776D" w14:textId="77777777">
          <w:pPr>
            <w:pStyle w:val="Header"/>
            <w:ind w:left="-115"/>
          </w:pPr>
        </w:p>
      </w:tc>
      <w:tc>
        <w:tcPr>
          <w:tcW w:w="4320" w:type="dxa"/>
        </w:tcPr>
        <w:p w:rsidR="00B217E1" w:rsidP="008F5D39" w14:paraId="529473CD" w14:textId="77777777">
          <w:pPr>
            <w:pStyle w:val="Header"/>
            <w:jc w:val="center"/>
          </w:pPr>
        </w:p>
      </w:tc>
      <w:tc>
        <w:tcPr>
          <w:tcW w:w="4320" w:type="dxa"/>
        </w:tcPr>
        <w:p w:rsidR="00B217E1" w:rsidP="008F5D39" w14:paraId="242B6C32" w14:textId="77777777">
          <w:pPr>
            <w:pStyle w:val="Header"/>
            <w:ind w:right="-115"/>
            <w:jc w:val="right"/>
          </w:pPr>
        </w:p>
      </w:tc>
    </w:tr>
  </w:tbl>
  <w:p w:rsidR="00B217E1" w:rsidP="00B0369F" w14:paraId="7CCDF9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E507B"/>
    <w:multiLevelType w:val="hybridMultilevel"/>
    <w:tmpl w:val="CC86D80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B675D7"/>
    <w:multiLevelType w:val="hybridMultilevel"/>
    <w:tmpl w:val="36A8159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F90971"/>
    <w:multiLevelType w:val="hybridMultilevel"/>
    <w:tmpl w:val="F5EE3FD0"/>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3F"/>
    <w:rsid w:val="000005C1"/>
    <w:rsid w:val="0000319C"/>
    <w:rsid w:val="00003A17"/>
    <w:rsid w:val="000123A3"/>
    <w:rsid w:val="00012F85"/>
    <w:rsid w:val="00020F7A"/>
    <w:rsid w:val="0003656F"/>
    <w:rsid w:val="00037D11"/>
    <w:rsid w:val="00041996"/>
    <w:rsid w:val="00042B22"/>
    <w:rsid w:val="000530F8"/>
    <w:rsid w:val="00054A5F"/>
    <w:rsid w:val="0005605C"/>
    <w:rsid w:val="000576BF"/>
    <w:rsid w:val="00057743"/>
    <w:rsid w:val="000603C3"/>
    <w:rsid w:val="00060688"/>
    <w:rsid w:val="00065D7F"/>
    <w:rsid w:val="000713F5"/>
    <w:rsid w:val="00072097"/>
    <w:rsid w:val="00072761"/>
    <w:rsid w:val="000779B3"/>
    <w:rsid w:val="000803D6"/>
    <w:rsid w:val="00080548"/>
    <w:rsid w:val="00082C11"/>
    <w:rsid w:val="00086465"/>
    <w:rsid w:val="00087BAA"/>
    <w:rsid w:val="000A3E6B"/>
    <w:rsid w:val="000A6B22"/>
    <w:rsid w:val="000B55B6"/>
    <w:rsid w:val="000B727D"/>
    <w:rsid w:val="000C220F"/>
    <w:rsid w:val="000D002D"/>
    <w:rsid w:val="000D2AFF"/>
    <w:rsid w:val="000D78B8"/>
    <w:rsid w:val="000E1DF0"/>
    <w:rsid w:val="000E2909"/>
    <w:rsid w:val="000E47FD"/>
    <w:rsid w:val="000E5773"/>
    <w:rsid w:val="000E6888"/>
    <w:rsid w:val="000F2FB2"/>
    <w:rsid w:val="000F700E"/>
    <w:rsid w:val="0010119C"/>
    <w:rsid w:val="001058C9"/>
    <w:rsid w:val="00112BE4"/>
    <w:rsid w:val="00112D2B"/>
    <w:rsid w:val="00113EB0"/>
    <w:rsid w:val="00115369"/>
    <w:rsid w:val="00120786"/>
    <w:rsid w:val="00120C2F"/>
    <w:rsid w:val="00127E98"/>
    <w:rsid w:val="001417D0"/>
    <w:rsid w:val="00142CD6"/>
    <w:rsid w:val="00147462"/>
    <w:rsid w:val="001518FF"/>
    <w:rsid w:val="001638D0"/>
    <w:rsid w:val="0017017C"/>
    <w:rsid w:val="00177E2B"/>
    <w:rsid w:val="001808E9"/>
    <w:rsid w:val="00183FB5"/>
    <w:rsid w:val="00185A95"/>
    <w:rsid w:val="00190283"/>
    <w:rsid w:val="001A137B"/>
    <w:rsid w:val="001A3420"/>
    <w:rsid w:val="001B0806"/>
    <w:rsid w:val="001B4D16"/>
    <w:rsid w:val="001B70A4"/>
    <w:rsid w:val="001D0F6C"/>
    <w:rsid w:val="001D3F89"/>
    <w:rsid w:val="001D6B32"/>
    <w:rsid w:val="001E2311"/>
    <w:rsid w:val="001E6564"/>
    <w:rsid w:val="00217EBA"/>
    <w:rsid w:val="00224EAA"/>
    <w:rsid w:val="0022560D"/>
    <w:rsid w:val="00227457"/>
    <w:rsid w:val="00227EAA"/>
    <w:rsid w:val="002318F9"/>
    <w:rsid w:val="002325C6"/>
    <w:rsid w:val="002342A0"/>
    <w:rsid w:val="002375E8"/>
    <w:rsid w:val="0024190E"/>
    <w:rsid w:val="002475E3"/>
    <w:rsid w:val="0025096C"/>
    <w:rsid w:val="00253358"/>
    <w:rsid w:val="002601C2"/>
    <w:rsid w:val="002634DB"/>
    <w:rsid w:val="00266604"/>
    <w:rsid w:val="00267178"/>
    <w:rsid w:val="00270670"/>
    <w:rsid w:val="00271E7A"/>
    <w:rsid w:val="00275A48"/>
    <w:rsid w:val="00275EF6"/>
    <w:rsid w:val="002819B6"/>
    <w:rsid w:val="00286DCE"/>
    <w:rsid w:val="0029099C"/>
    <w:rsid w:val="00291994"/>
    <w:rsid w:val="002972FA"/>
    <w:rsid w:val="002A0D89"/>
    <w:rsid w:val="002B3973"/>
    <w:rsid w:val="002B49FB"/>
    <w:rsid w:val="002B7F13"/>
    <w:rsid w:val="002C77A6"/>
    <w:rsid w:val="002D3FBF"/>
    <w:rsid w:val="002E074F"/>
    <w:rsid w:val="002E09D5"/>
    <w:rsid w:val="002E3635"/>
    <w:rsid w:val="002E3F53"/>
    <w:rsid w:val="002E4155"/>
    <w:rsid w:val="002E6DAA"/>
    <w:rsid w:val="002F0867"/>
    <w:rsid w:val="002F3985"/>
    <w:rsid w:val="002F6957"/>
    <w:rsid w:val="00302008"/>
    <w:rsid w:val="003046EA"/>
    <w:rsid w:val="00307E70"/>
    <w:rsid w:val="00310B42"/>
    <w:rsid w:val="00311F25"/>
    <w:rsid w:val="003132BA"/>
    <w:rsid w:val="0031347C"/>
    <w:rsid w:val="003147FC"/>
    <w:rsid w:val="003200CF"/>
    <w:rsid w:val="003216DB"/>
    <w:rsid w:val="003228ED"/>
    <w:rsid w:val="003258B1"/>
    <w:rsid w:val="00327EC8"/>
    <w:rsid w:val="00330F61"/>
    <w:rsid w:val="003313F7"/>
    <w:rsid w:val="0033283D"/>
    <w:rsid w:val="0033546B"/>
    <w:rsid w:val="0034629E"/>
    <w:rsid w:val="0035065E"/>
    <w:rsid w:val="00351B43"/>
    <w:rsid w:val="00351B58"/>
    <w:rsid w:val="003538BF"/>
    <w:rsid w:val="0035691C"/>
    <w:rsid w:val="00362E40"/>
    <w:rsid w:val="00367BAA"/>
    <w:rsid w:val="003702A7"/>
    <w:rsid w:val="00373767"/>
    <w:rsid w:val="003744B3"/>
    <w:rsid w:val="00375114"/>
    <w:rsid w:val="003753B3"/>
    <w:rsid w:val="00375F0C"/>
    <w:rsid w:val="00375F24"/>
    <w:rsid w:val="00381817"/>
    <w:rsid w:val="003855F2"/>
    <w:rsid w:val="003860DE"/>
    <w:rsid w:val="00386B6D"/>
    <w:rsid w:val="00397F54"/>
    <w:rsid w:val="003A2080"/>
    <w:rsid w:val="003A40AF"/>
    <w:rsid w:val="003A4994"/>
    <w:rsid w:val="003A5177"/>
    <w:rsid w:val="003B0A71"/>
    <w:rsid w:val="003B1994"/>
    <w:rsid w:val="003C09CE"/>
    <w:rsid w:val="003C641E"/>
    <w:rsid w:val="003D29E1"/>
    <w:rsid w:val="003D42F1"/>
    <w:rsid w:val="003D585B"/>
    <w:rsid w:val="003E2E56"/>
    <w:rsid w:val="003E3804"/>
    <w:rsid w:val="003E3BE1"/>
    <w:rsid w:val="003E4706"/>
    <w:rsid w:val="0040233C"/>
    <w:rsid w:val="00403823"/>
    <w:rsid w:val="004048F0"/>
    <w:rsid w:val="00411385"/>
    <w:rsid w:val="00411C02"/>
    <w:rsid w:val="0041498D"/>
    <w:rsid w:val="004149D3"/>
    <w:rsid w:val="00442F8D"/>
    <w:rsid w:val="004638D9"/>
    <w:rsid w:val="00466E59"/>
    <w:rsid w:val="00473D8D"/>
    <w:rsid w:val="00474DC7"/>
    <w:rsid w:val="00481EBF"/>
    <w:rsid w:val="00482A98"/>
    <w:rsid w:val="00493721"/>
    <w:rsid w:val="004A301A"/>
    <w:rsid w:val="004B0212"/>
    <w:rsid w:val="004B12D3"/>
    <w:rsid w:val="004B34B9"/>
    <w:rsid w:val="004C6742"/>
    <w:rsid w:val="004C71AC"/>
    <w:rsid w:val="004C79B7"/>
    <w:rsid w:val="004D014B"/>
    <w:rsid w:val="004D5495"/>
    <w:rsid w:val="004D6B69"/>
    <w:rsid w:val="004E0219"/>
    <w:rsid w:val="004E3C48"/>
    <w:rsid w:val="004E43DA"/>
    <w:rsid w:val="00500B2B"/>
    <w:rsid w:val="00501CF5"/>
    <w:rsid w:val="00506D74"/>
    <w:rsid w:val="00507C2A"/>
    <w:rsid w:val="005131BF"/>
    <w:rsid w:val="00513D9E"/>
    <w:rsid w:val="00522AB7"/>
    <w:rsid w:val="0053222D"/>
    <w:rsid w:val="00542BAA"/>
    <w:rsid w:val="00545507"/>
    <w:rsid w:val="005462A4"/>
    <w:rsid w:val="00551EB8"/>
    <w:rsid w:val="005570A5"/>
    <w:rsid w:val="00563679"/>
    <w:rsid w:val="00563D3B"/>
    <w:rsid w:val="00565296"/>
    <w:rsid w:val="00584808"/>
    <w:rsid w:val="00585718"/>
    <w:rsid w:val="0058642A"/>
    <w:rsid w:val="00594F1F"/>
    <w:rsid w:val="00595C03"/>
    <w:rsid w:val="005B2284"/>
    <w:rsid w:val="005B5FA8"/>
    <w:rsid w:val="005C208E"/>
    <w:rsid w:val="005C7654"/>
    <w:rsid w:val="005D0297"/>
    <w:rsid w:val="005D1055"/>
    <w:rsid w:val="005E01E6"/>
    <w:rsid w:val="005E549F"/>
    <w:rsid w:val="005F0640"/>
    <w:rsid w:val="005F3B53"/>
    <w:rsid w:val="005F4482"/>
    <w:rsid w:val="005F5443"/>
    <w:rsid w:val="00602068"/>
    <w:rsid w:val="00602376"/>
    <w:rsid w:val="00603512"/>
    <w:rsid w:val="006041ED"/>
    <w:rsid w:val="0060490D"/>
    <w:rsid w:val="00607D38"/>
    <w:rsid w:val="00615E4C"/>
    <w:rsid w:val="006163DC"/>
    <w:rsid w:val="0061793E"/>
    <w:rsid w:val="00623913"/>
    <w:rsid w:val="006243BC"/>
    <w:rsid w:val="006246D8"/>
    <w:rsid w:val="00625AA1"/>
    <w:rsid w:val="00635FF8"/>
    <w:rsid w:val="0063622E"/>
    <w:rsid w:val="00637BE5"/>
    <w:rsid w:val="00640D26"/>
    <w:rsid w:val="006420B8"/>
    <w:rsid w:val="006430DF"/>
    <w:rsid w:val="00646F67"/>
    <w:rsid w:val="00652D33"/>
    <w:rsid w:val="00654294"/>
    <w:rsid w:val="00657447"/>
    <w:rsid w:val="00667CD6"/>
    <w:rsid w:val="00674F18"/>
    <w:rsid w:val="00675C63"/>
    <w:rsid w:val="00676ACA"/>
    <w:rsid w:val="006816E6"/>
    <w:rsid w:val="006840E8"/>
    <w:rsid w:val="006921FB"/>
    <w:rsid w:val="00695253"/>
    <w:rsid w:val="00696F12"/>
    <w:rsid w:val="006A4E2A"/>
    <w:rsid w:val="006B1BD7"/>
    <w:rsid w:val="006B2565"/>
    <w:rsid w:val="006B6345"/>
    <w:rsid w:val="006C31EC"/>
    <w:rsid w:val="006D12EA"/>
    <w:rsid w:val="006D50C7"/>
    <w:rsid w:val="006E2A11"/>
    <w:rsid w:val="006E4356"/>
    <w:rsid w:val="006E44F2"/>
    <w:rsid w:val="006E504E"/>
    <w:rsid w:val="006F47B3"/>
    <w:rsid w:val="006F569A"/>
    <w:rsid w:val="006F7364"/>
    <w:rsid w:val="006F7A19"/>
    <w:rsid w:val="007029A9"/>
    <w:rsid w:val="00704155"/>
    <w:rsid w:val="00705F6F"/>
    <w:rsid w:val="00706BE8"/>
    <w:rsid w:val="00712C72"/>
    <w:rsid w:val="007141E8"/>
    <w:rsid w:val="0071759C"/>
    <w:rsid w:val="0072054E"/>
    <w:rsid w:val="0072195B"/>
    <w:rsid w:val="0072213F"/>
    <w:rsid w:val="00727837"/>
    <w:rsid w:val="0073153D"/>
    <w:rsid w:val="00736814"/>
    <w:rsid w:val="00743FE9"/>
    <w:rsid w:val="0074737B"/>
    <w:rsid w:val="00750AFA"/>
    <w:rsid w:val="00755021"/>
    <w:rsid w:val="00761C9B"/>
    <w:rsid w:val="00763367"/>
    <w:rsid w:val="00763976"/>
    <w:rsid w:val="00766327"/>
    <w:rsid w:val="0077280B"/>
    <w:rsid w:val="00772A95"/>
    <w:rsid w:val="00773F11"/>
    <w:rsid w:val="007750CE"/>
    <w:rsid w:val="00775DFE"/>
    <w:rsid w:val="0077660A"/>
    <w:rsid w:val="007860EC"/>
    <w:rsid w:val="00790900"/>
    <w:rsid w:val="007936F5"/>
    <w:rsid w:val="007942EE"/>
    <w:rsid w:val="00797BD1"/>
    <w:rsid w:val="007A19A4"/>
    <w:rsid w:val="007A3682"/>
    <w:rsid w:val="007A3DB4"/>
    <w:rsid w:val="007B0C8C"/>
    <w:rsid w:val="007B2B31"/>
    <w:rsid w:val="007B4B2D"/>
    <w:rsid w:val="007B55D0"/>
    <w:rsid w:val="007D0138"/>
    <w:rsid w:val="007D5B62"/>
    <w:rsid w:val="007D6557"/>
    <w:rsid w:val="007E631C"/>
    <w:rsid w:val="007F11D8"/>
    <w:rsid w:val="007F43FD"/>
    <w:rsid w:val="007F69D0"/>
    <w:rsid w:val="007F7877"/>
    <w:rsid w:val="0081595B"/>
    <w:rsid w:val="00815CD7"/>
    <w:rsid w:val="00822C94"/>
    <w:rsid w:val="00822CF3"/>
    <w:rsid w:val="008267C1"/>
    <w:rsid w:val="0082782C"/>
    <w:rsid w:val="0082796F"/>
    <w:rsid w:val="00827B6F"/>
    <w:rsid w:val="00832084"/>
    <w:rsid w:val="0083252D"/>
    <w:rsid w:val="00834234"/>
    <w:rsid w:val="00836497"/>
    <w:rsid w:val="008566B4"/>
    <w:rsid w:val="00857487"/>
    <w:rsid w:val="0086314E"/>
    <w:rsid w:val="00864D9A"/>
    <w:rsid w:val="008751C2"/>
    <w:rsid w:val="008756F8"/>
    <w:rsid w:val="00886906"/>
    <w:rsid w:val="00894F84"/>
    <w:rsid w:val="008A0EB3"/>
    <w:rsid w:val="008A5F62"/>
    <w:rsid w:val="008B130E"/>
    <w:rsid w:val="008B1337"/>
    <w:rsid w:val="008B3082"/>
    <w:rsid w:val="008B420F"/>
    <w:rsid w:val="008B54BF"/>
    <w:rsid w:val="008C60DB"/>
    <w:rsid w:val="008C761E"/>
    <w:rsid w:val="008D0A14"/>
    <w:rsid w:val="008D1379"/>
    <w:rsid w:val="008D5FF1"/>
    <w:rsid w:val="008D68C7"/>
    <w:rsid w:val="008D6F48"/>
    <w:rsid w:val="008F42B8"/>
    <w:rsid w:val="008F5D39"/>
    <w:rsid w:val="00901D65"/>
    <w:rsid w:val="0090263C"/>
    <w:rsid w:val="00907CEE"/>
    <w:rsid w:val="00913FC1"/>
    <w:rsid w:val="00915AB0"/>
    <w:rsid w:val="00924B83"/>
    <w:rsid w:val="00927289"/>
    <w:rsid w:val="00927A63"/>
    <w:rsid w:val="009309EC"/>
    <w:rsid w:val="00933A95"/>
    <w:rsid w:val="00954EE4"/>
    <w:rsid w:val="00963C8F"/>
    <w:rsid w:val="00965DB8"/>
    <w:rsid w:val="0096708A"/>
    <w:rsid w:val="00974A92"/>
    <w:rsid w:val="00974FCA"/>
    <w:rsid w:val="009779B8"/>
    <w:rsid w:val="009859B4"/>
    <w:rsid w:val="00990426"/>
    <w:rsid w:val="00993423"/>
    <w:rsid w:val="00994495"/>
    <w:rsid w:val="009B2A86"/>
    <w:rsid w:val="009B5EB0"/>
    <w:rsid w:val="009C05D4"/>
    <w:rsid w:val="009D47CC"/>
    <w:rsid w:val="009D6E96"/>
    <w:rsid w:val="009E0DB6"/>
    <w:rsid w:val="009E5B2E"/>
    <w:rsid w:val="009F0501"/>
    <w:rsid w:val="009F1472"/>
    <w:rsid w:val="009F4764"/>
    <w:rsid w:val="00A01F3F"/>
    <w:rsid w:val="00A05C18"/>
    <w:rsid w:val="00A17C2A"/>
    <w:rsid w:val="00A2041D"/>
    <w:rsid w:val="00A22A55"/>
    <w:rsid w:val="00A23264"/>
    <w:rsid w:val="00A25434"/>
    <w:rsid w:val="00A25B88"/>
    <w:rsid w:val="00A3457C"/>
    <w:rsid w:val="00A35B90"/>
    <w:rsid w:val="00A35C56"/>
    <w:rsid w:val="00A35CD1"/>
    <w:rsid w:val="00A447B0"/>
    <w:rsid w:val="00A45C60"/>
    <w:rsid w:val="00A524A7"/>
    <w:rsid w:val="00A532E6"/>
    <w:rsid w:val="00A53636"/>
    <w:rsid w:val="00A60E81"/>
    <w:rsid w:val="00A62A97"/>
    <w:rsid w:val="00A62D8F"/>
    <w:rsid w:val="00A62E04"/>
    <w:rsid w:val="00A633BB"/>
    <w:rsid w:val="00A67F50"/>
    <w:rsid w:val="00A72BCB"/>
    <w:rsid w:val="00A72F9B"/>
    <w:rsid w:val="00A823B3"/>
    <w:rsid w:val="00A8301A"/>
    <w:rsid w:val="00A8352E"/>
    <w:rsid w:val="00A857F9"/>
    <w:rsid w:val="00A97539"/>
    <w:rsid w:val="00AA1140"/>
    <w:rsid w:val="00AA3EA9"/>
    <w:rsid w:val="00AA5877"/>
    <w:rsid w:val="00AB0775"/>
    <w:rsid w:val="00AB2A1C"/>
    <w:rsid w:val="00AB3971"/>
    <w:rsid w:val="00AB4262"/>
    <w:rsid w:val="00AB537A"/>
    <w:rsid w:val="00AC3FE7"/>
    <w:rsid w:val="00AC424C"/>
    <w:rsid w:val="00AC5CD2"/>
    <w:rsid w:val="00AD013F"/>
    <w:rsid w:val="00AD2E35"/>
    <w:rsid w:val="00AE2399"/>
    <w:rsid w:val="00AE2934"/>
    <w:rsid w:val="00AE2F40"/>
    <w:rsid w:val="00AE426C"/>
    <w:rsid w:val="00AE7F0C"/>
    <w:rsid w:val="00AF446F"/>
    <w:rsid w:val="00AF4C7F"/>
    <w:rsid w:val="00AF5315"/>
    <w:rsid w:val="00B02CD7"/>
    <w:rsid w:val="00B0369F"/>
    <w:rsid w:val="00B1093F"/>
    <w:rsid w:val="00B217E1"/>
    <w:rsid w:val="00B32A4B"/>
    <w:rsid w:val="00B3385A"/>
    <w:rsid w:val="00B40A14"/>
    <w:rsid w:val="00B415FD"/>
    <w:rsid w:val="00B42A90"/>
    <w:rsid w:val="00B43B0C"/>
    <w:rsid w:val="00B54BFC"/>
    <w:rsid w:val="00B55439"/>
    <w:rsid w:val="00B55465"/>
    <w:rsid w:val="00B555DB"/>
    <w:rsid w:val="00B556F3"/>
    <w:rsid w:val="00B56EAE"/>
    <w:rsid w:val="00B6268A"/>
    <w:rsid w:val="00B63A94"/>
    <w:rsid w:val="00B6782F"/>
    <w:rsid w:val="00B77493"/>
    <w:rsid w:val="00B77F9E"/>
    <w:rsid w:val="00B80A18"/>
    <w:rsid w:val="00B854F5"/>
    <w:rsid w:val="00B91704"/>
    <w:rsid w:val="00B95581"/>
    <w:rsid w:val="00BA283E"/>
    <w:rsid w:val="00BA36C3"/>
    <w:rsid w:val="00BA4016"/>
    <w:rsid w:val="00BA5069"/>
    <w:rsid w:val="00BA7632"/>
    <w:rsid w:val="00BA7930"/>
    <w:rsid w:val="00BB23B4"/>
    <w:rsid w:val="00BB42DD"/>
    <w:rsid w:val="00BB4FA7"/>
    <w:rsid w:val="00BB5C30"/>
    <w:rsid w:val="00BD66C5"/>
    <w:rsid w:val="00BE1380"/>
    <w:rsid w:val="00BE21A0"/>
    <w:rsid w:val="00BE27D4"/>
    <w:rsid w:val="00BE4B98"/>
    <w:rsid w:val="00BE66A6"/>
    <w:rsid w:val="00BE6AC8"/>
    <w:rsid w:val="00BF01DE"/>
    <w:rsid w:val="00BF2ADD"/>
    <w:rsid w:val="00BF38DB"/>
    <w:rsid w:val="00BF7A1E"/>
    <w:rsid w:val="00C00623"/>
    <w:rsid w:val="00C04A97"/>
    <w:rsid w:val="00C05C3F"/>
    <w:rsid w:val="00C11F83"/>
    <w:rsid w:val="00C12863"/>
    <w:rsid w:val="00C21A7D"/>
    <w:rsid w:val="00C23A3C"/>
    <w:rsid w:val="00C2466C"/>
    <w:rsid w:val="00C26F4F"/>
    <w:rsid w:val="00C32573"/>
    <w:rsid w:val="00C32EE4"/>
    <w:rsid w:val="00C35880"/>
    <w:rsid w:val="00C41377"/>
    <w:rsid w:val="00C423F7"/>
    <w:rsid w:val="00C452B9"/>
    <w:rsid w:val="00C45C49"/>
    <w:rsid w:val="00C50E85"/>
    <w:rsid w:val="00C53896"/>
    <w:rsid w:val="00C54780"/>
    <w:rsid w:val="00C575C2"/>
    <w:rsid w:val="00C6263B"/>
    <w:rsid w:val="00C65BC1"/>
    <w:rsid w:val="00C72912"/>
    <w:rsid w:val="00C740EE"/>
    <w:rsid w:val="00C761C9"/>
    <w:rsid w:val="00C80FD4"/>
    <w:rsid w:val="00C81087"/>
    <w:rsid w:val="00C81533"/>
    <w:rsid w:val="00C81751"/>
    <w:rsid w:val="00C94E38"/>
    <w:rsid w:val="00CA05F2"/>
    <w:rsid w:val="00CA1D7B"/>
    <w:rsid w:val="00CA24B8"/>
    <w:rsid w:val="00CB0A15"/>
    <w:rsid w:val="00CB223A"/>
    <w:rsid w:val="00CB2EA3"/>
    <w:rsid w:val="00CB368C"/>
    <w:rsid w:val="00CB6747"/>
    <w:rsid w:val="00CC02C3"/>
    <w:rsid w:val="00CC1218"/>
    <w:rsid w:val="00CC1E33"/>
    <w:rsid w:val="00CC3C50"/>
    <w:rsid w:val="00CC3CC0"/>
    <w:rsid w:val="00CC5AD5"/>
    <w:rsid w:val="00CE0598"/>
    <w:rsid w:val="00CE1D7C"/>
    <w:rsid w:val="00CE25D1"/>
    <w:rsid w:val="00CE2BA2"/>
    <w:rsid w:val="00CE30CD"/>
    <w:rsid w:val="00CE4B1A"/>
    <w:rsid w:val="00CF1A79"/>
    <w:rsid w:val="00D04049"/>
    <w:rsid w:val="00D136A4"/>
    <w:rsid w:val="00D2078A"/>
    <w:rsid w:val="00D22594"/>
    <w:rsid w:val="00D27AE8"/>
    <w:rsid w:val="00D30B26"/>
    <w:rsid w:val="00D32331"/>
    <w:rsid w:val="00D3599A"/>
    <w:rsid w:val="00D43D8C"/>
    <w:rsid w:val="00D468FE"/>
    <w:rsid w:val="00D52338"/>
    <w:rsid w:val="00D52367"/>
    <w:rsid w:val="00D608E6"/>
    <w:rsid w:val="00D63FF6"/>
    <w:rsid w:val="00D6405D"/>
    <w:rsid w:val="00D7043C"/>
    <w:rsid w:val="00D75F60"/>
    <w:rsid w:val="00D77A91"/>
    <w:rsid w:val="00D77E35"/>
    <w:rsid w:val="00D869C3"/>
    <w:rsid w:val="00D969C6"/>
    <w:rsid w:val="00DA66F3"/>
    <w:rsid w:val="00DA7A5F"/>
    <w:rsid w:val="00DA7A70"/>
    <w:rsid w:val="00DB0E27"/>
    <w:rsid w:val="00DB1AD1"/>
    <w:rsid w:val="00DB4C0C"/>
    <w:rsid w:val="00DB6455"/>
    <w:rsid w:val="00DB65A1"/>
    <w:rsid w:val="00DB7297"/>
    <w:rsid w:val="00DC5D4B"/>
    <w:rsid w:val="00DD59A2"/>
    <w:rsid w:val="00DE4346"/>
    <w:rsid w:val="00DE6D8D"/>
    <w:rsid w:val="00DF25D9"/>
    <w:rsid w:val="00DF31F9"/>
    <w:rsid w:val="00DF7B37"/>
    <w:rsid w:val="00DF7FB9"/>
    <w:rsid w:val="00E006FB"/>
    <w:rsid w:val="00E056E4"/>
    <w:rsid w:val="00E1455C"/>
    <w:rsid w:val="00E15032"/>
    <w:rsid w:val="00E16250"/>
    <w:rsid w:val="00E1762D"/>
    <w:rsid w:val="00E2046B"/>
    <w:rsid w:val="00E214E5"/>
    <w:rsid w:val="00E26D5F"/>
    <w:rsid w:val="00E2727D"/>
    <w:rsid w:val="00E31F88"/>
    <w:rsid w:val="00E32A8E"/>
    <w:rsid w:val="00E3356E"/>
    <w:rsid w:val="00E35B61"/>
    <w:rsid w:val="00E36FC3"/>
    <w:rsid w:val="00E37DE1"/>
    <w:rsid w:val="00E37FD0"/>
    <w:rsid w:val="00E407B5"/>
    <w:rsid w:val="00E407F9"/>
    <w:rsid w:val="00E42401"/>
    <w:rsid w:val="00E456FF"/>
    <w:rsid w:val="00E5157B"/>
    <w:rsid w:val="00E562CB"/>
    <w:rsid w:val="00E57B4B"/>
    <w:rsid w:val="00E57EAF"/>
    <w:rsid w:val="00E6170B"/>
    <w:rsid w:val="00E63C3C"/>
    <w:rsid w:val="00E667DF"/>
    <w:rsid w:val="00E850CF"/>
    <w:rsid w:val="00E850DD"/>
    <w:rsid w:val="00E85EC5"/>
    <w:rsid w:val="00E87F90"/>
    <w:rsid w:val="00EB260F"/>
    <w:rsid w:val="00EB79E5"/>
    <w:rsid w:val="00EC188A"/>
    <w:rsid w:val="00EC36E4"/>
    <w:rsid w:val="00EC7AE2"/>
    <w:rsid w:val="00ED0DD0"/>
    <w:rsid w:val="00ED1D36"/>
    <w:rsid w:val="00ED61B7"/>
    <w:rsid w:val="00EE3350"/>
    <w:rsid w:val="00EE7CAC"/>
    <w:rsid w:val="00EF1084"/>
    <w:rsid w:val="00EF383E"/>
    <w:rsid w:val="00EF64D3"/>
    <w:rsid w:val="00F00C06"/>
    <w:rsid w:val="00F02014"/>
    <w:rsid w:val="00F020A9"/>
    <w:rsid w:val="00F04132"/>
    <w:rsid w:val="00F10BE7"/>
    <w:rsid w:val="00F11AF6"/>
    <w:rsid w:val="00F16F9A"/>
    <w:rsid w:val="00F24141"/>
    <w:rsid w:val="00F26AB3"/>
    <w:rsid w:val="00F30183"/>
    <w:rsid w:val="00F30D9D"/>
    <w:rsid w:val="00F31EFB"/>
    <w:rsid w:val="00F33528"/>
    <w:rsid w:val="00F378A6"/>
    <w:rsid w:val="00F40EA5"/>
    <w:rsid w:val="00F43372"/>
    <w:rsid w:val="00F4338A"/>
    <w:rsid w:val="00F43584"/>
    <w:rsid w:val="00F47BAB"/>
    <w:rsid w:val="00F5061A"/>
    <w:rsid w:val="00F51357"/>
    <w:rsid w:val="00F522CD"/>
    <w:rsid w:val="00F52D90"/>
    <w:rsid w:val="00F62C02"/>
    <w:rsid w:val="00F66272"/>
    <w:rsid w:val="00F67204"/>
    <w:rsid w:val="00F715FF"/>
    <w:rsid w:val="00F773F4"/>
    <w:rsid w:val="00F81C8D"/>
    <w:rsid w:val="00F822CE"/>
    <w:rsid w:val="00F84BE9"/>
    <w:rsid w:val="00F873F2"/>
    <w:rsid w:val="00F91547"/>
    <w:rsid w:val="00F9300C"/>
    <w:rsid w:val="00F9412B"/>
    <w:rsid w:val="00F96D2C"/>
    <w:rsid w:val="00FA1308"/>
    <w:rsid w:val="00FA19CA"/>
    <w:rsid w:val="00FA2430"/>
    <w:rsid w:val="00FA6333"/>
    <w:rsid w:val="00FB184D"/>
    <w:rsid w:val="00FB5C6E"/>
    <w:rsid w:val="00FB6F46"/>
    <w:rsid w:val="00FC459A"/>
    <w:rsid w:val="00FE1BC0"/>
    <w:rsid w:val="00FE452F"/>
    <w:rsid w:val="00FE64EA"/>
    <w:rsid w:val="00FF4E09"/>
    <w:rsid w:val="03E2A248"/>
    <w:rsid w:val="063AFD34"/>
    <w:rsid w:val="09F69ADF"/>
    <w:rsid w:val="0CFF2D47"/>
    <w:rsid w:val="0EF8743D"/>
    <w:rsid w:val="1029195B"/>
    <w:rsid w:val="10F41DFA"/>
    <w:rsid w:val="12C554FA"/>
    <w:rsid w:val="17038622"/>
    <w:rsid w:val="1B61D4B9"/>
    <w:rsid w:val="1BDEE4CB"/>
    <w:rsid w:val="1C0FC27F"/>
    <w:rsid w:val="1C2CBE5A"/>
    <w:rsid w:val="1CF888B4"/>
    <w:rsid w:val="1E118DDB"/>
    <w:rsid w:val="1E320FCB"/>
    <w:rsid w:val="1FF3CAC3"/>
    <w:rsid w:val="27F17707"/>
    <w:rsid w:val="2A90C354"/>
    <w:rsid w:val="2AF3DBFE"/>
    <w:rsid w:val="2BA1D7CE"/>
    <w:rsid w:val="2C4DA2D3"/>
    <w:rsid w:val="2C858340"/>
    <w:rsid w:val="31A5C590"/>
    <w:rsid w:val="31B24A77"/>
    <w:rsid w:val="360B5A2E"/>
    <w:rsid w:val="373C4EC3"/>
    <w:rsid w:val="3A2A97E0"/>
    <w:rsid w:val="3BA576B2"/>
    <w:rsid w:val="3DC0618B"/>
    <w:rsid w:val="41B8B923"/>
    <w:rsid w:val="42141390"/>
    <w:rsid w:val="424FEA41"/>
    <w:rsid w:val="437176CB"/>
    <w:rsid w:val="462E3737"/>
    <w:rsid w:val="4AF2EB4A"/>
    <w:rsid w:val="4FCE49F3"/>
    <w:rsid w:val="5046875A"/>
    <w:rsid w:val="5356976D"/>
    <w:rsid w:val="56CADDEC"/>
    <w:rsid w:val="5746705E"/>
    <w:rsid w:val="57D95BD8"/>
    <w:rsid w:val="59028DE7"/>
    <w:rsid w:val="5BAA0392"/>
    <w:rsid w:val="611512DB"/>
    <w:rsid w:val="62296937"/>
    <w:rsid w:val="6618CFD1"/>
    <w:rsid w:val="67EF7FA2"/>
    <w:rsid w:val="6B712CB9"/>
    <w:rsid w:val="71CC48F1"/>
    <w:rsid w:val="72BEA646"/>
    <w:rsid w:val="79074B28"/>
    <w:rsid w:val="7B4D4BC4"/>
    <w:rsid w:val="7D4A58D0"/>
    <w:rsid w:val="7E738E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B9004A"/>
  <w15:docId w15:val="{E78D9138-A98B-4403-A520-A8EBDC18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C05C3F"/>
    <w:rPr>
      <w:rFonts w:ascii="Times New Roman" w:hAnsi="Times New Roman"/>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rsid w:val="00C05C3F"/>
    <w:rPr>
      <w:rFonts w:ascii="Times New Roman" w:eastAsia="Times New Roman" w:hAnsi="Times New Roman" w:cs="Times New Roman"/>
      <w:sz w:val="20"/>
      <w:szCs w:val="20"/>
    </w:rPr>
  </w:style>
  <w:style w:type="character" w:styleId="FootnoteReference">
    <w:name w:val="footnote reference"/>
    <w:aliases w:val="(NECG) Footnote Reference,12,Footnote,Nota,Style 11,Style 12,Style 13,Style 14,Style 15,Style 16,Style 17,Style 18,Style 19,Style 20,Style 28,Style 35,Style 39,Style 46,Style 7,Style 8,Style 9,Tory Footnotes,fr,fr1,fr2,fr3,o,o1,o2,o3"/>
    <w:basedOn w:val="DefaultParagraphFont"/>
    <w:uiPriority w:val="99"/>
    <w:qFormat/>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 w:type="paragraph" w:customStyle="1" w:styleId="Default">
    <w:name w:val="Default"/>
    <w:rsid w:val="002375E8"/>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72BCB"/>
    <w:rPr>
      <w:rFonts w:ascii="Tahoma" w:hAnsi="Tahoma" w:cs="Tahoma"/>
      <w:sz w:val="16"/>
      <w:szCs w:val="16"/>
    </w:rPr>
  </w:style>
  <w:style w:type="character" w:customStyle="1" w:styleId="BalloonTextChar">
    <w:name w:val="Balloon Text Char"/>
    <w:basedOn w:val="DefaultParagraphFont"/>
    <w:link w:val="BalloonText"/>
    <w:uiPriority w:val="99"/>
    <w:semiHidden/>
    <w:rsid w:val="00A72BCB"/>
    <w:rPr>
      <w:rFonts w:ascii="Tahoma" w:eastAsia="Times New Roman" w:hAnsi="Tahoma" w:cs="Tahoma"/>
      <w:sz w:val="16"/>
      <w:szCs w:val="16"/>
    </w:rPr>
  </w:style>
  <w:style w:type="character" w:styleId="CommentReference">
    <w:name w:val="annotation reference"/>
    <w:basedOn w:val="DefaultParagraphFont"/>
    <w:uiPriority w:val="99"/>
    <w:unhideWhenUsed/>
    <w:rsid w:val="00506D74"/>
    <w:rPr>
      <w:sz w:val="16"/>
      <w:szCs w:val="16"/>
    </w:rPr>
  </w:style>
  <w:style w:type="paragraph" w:styleId="CommentText">
    <w:name w:val="annotation text"/>
    <w:basedOn w:val="Normal"/>
    <w:link w:val="CommentTextChar"/>
    <w:unhideWhenUsed/>
    <w:rsid w:val="00506D74"/>
    <w:rPr>
      <w:sz w:val="20"/>
    </w:rPr>
  </w:style>
  <w:style w:type="character" w:customStyle="1" w:styleId="CommentTextChar">
    <w:name w:val="Comment Text Char"/>
    <w:basedOn w:val="DefaultParagraphFont"/>
    <w:link w:val="CommentText"/>
    <w:uiPriority w:val="99"/>
    <w:rsid w:val="00506D7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06D74"/>
    <w:rPr>
      <w:b/>
      <w:bCs/>
    </w:rPr>
  </w:style>
  <w:style w:type="character" w:customStyle="1" w:styleId="CommentSubjectChar">
    <w:name w:val="Comment Subject Char"/>
    <w:basedOn w:val="CommentTextChar"/>
    <w:link w:val="CommentSubject"/>
    <w:uiPriority w:val="99"/>
    <w:semiHidden/>
    <w:rsid w:val="00506D74"/>
    <w:rPr>
      <w:rFonts w:ascii="Courier" w:eastAsia="Times New Roman" w:hAnsi="Courier" w:cs="Times New Roman"/>
      <w:b/>
      <w:bCs/>
      <w:sz w:val="20"/>
      <w:szCs w:val="20"/>
    </w:rPr>
  </w:style>
  <w:style w:type="paragraph" w:styleId="ListParagraph">
    <w:name w:val="List Paragraph"/>
    <w:basedOn w:val="Normal"/>
    <w:uiPriority w:val="34"/>
    <w:qFormat/>
    <w:rsid w:val="00F9300C"/>
    <w:pPr>
      <w:ind w:left="720"/>
      <w:contextualSpacing/>
    </w:pPr>
  </w:style>
  <w:style w:type="paragraph" w:styleId="Footer">
    <w:name w:val="footer"/>
    <w:basedOn w:val="Normal"/>
    <w:link w:val="FooterChar"/>
    <w:uiPriority w:val="99"/>
    <w:unhideWhenUsed/>
    <w:rsid w:val="00270670"/>
    <w:pPr>
      <w:tabs>
        <w:tab w:val="center" w:pos="4680"/>
        <w:tab w:val="right" w:pos="9360"/>
      </w:tabs>
    </w:pPr>
  </w:style>
  <w:style w:type="character" w:customStyle="1" w:styleId="FooterChar">
    <w:name w:val="Footer Char"/>
    <w:basedOn w:val="DefaultParagraphFont"/>
    <w:link w:val="Footer"/>
    <w:uiPriority w:val="99"/>
    <w:rsid w:val="00270670"/>
    <w:rPr>
      <w:rFonts w:ascii="Courier" w:eastAsia="Times New Roman" w:hAnsi="Courier" w:cs="Times New Roman"/>
      <w:sz w:val="24"/>
      <w:szCs w:val="20"/>
    </w:rPr>
  </w:style>
  <w:style w:type="character" w:customStyle="1" w:styleId="normaltextrun">
    <w:name w:val="normaltextrun"/>
    <w:basedOn w:val="DefaultParagraphFont"/>
    <w:rsid w:val="00EC7AE2"/>
  </w:style>
  <w:style w:type="character" w:customStyle="1" w:styleId="eop">
    <w:name w:val="eop"/>
    <w:basedOn w:val="DefaultParagraphFont"/>
    <w:rsid w:val="00EC7AE2"/>
  </w:style>
  <w:style w:type="paragraph" w:styleId="Revision">
    <w:name w:val="Revision"/>
    <w:hidden/>
    <w:uiPriority w:val="99"/>
    <w:semiHidden/>
    <w:rsid w:val="00DE4346"/>
    <w:pPr>
      <w:spacing w:after="0" w:line="240" w:lineRule="auto"/>
    </w:pPr>
    <w:rPr>
      <w:rFonts w:ascii="Courier" w:eastAsia="Times New Roman" w:hAnsi="Courier" w:cs="Times New Roman"/>
      <w:sz w:val="24"/>
      <w:szCs w:val="20"/>
    </w:rPr>
  </w:style>
  <w:style w:type="character" w:styleId="Hyperlink">
    <w:name w:val="Hyperlink"/>
    <w:basedOn w:val="DefaultParagraphFont"/>
    <w:uiPriority w:val="99"/>
    <w:unhideWhenUsed/>
    <w:rsid w:val="00E57EAF"/>
    <w:rPr>
      <w:color w:val="0000FF"/>
      <w:u w:val="single"/>
    </w:rPr>
  </w:style>
  <w:style w:type="character" w:styleId="UnresolvedMention">
    <w:name w:val="Unresolved Mention"/>
    <w:basedOn w:val="DefaultParagraphFont"/>
    <w:uiPriority w:val="99"/>
    <w:semiHidden/>
    <w:unhideWhenUsed/>
    <w:rsid w:val="00E57EA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hover-present">
    <w:name w:val="citation-hover-present"/>
    <w:basedOn w:val="Normal"/>
    <w:rsid w:val="00B415FD"/>
    <w:pPr>
      <w:spacing w:before="100" w:beforeAutospacing="1" w:after="100" w:afterAutospacing="1"/>
    </w:pPr>
    <w:rPr>
      <w:rFonts w:ascii="Times New Roman" w:hAnsi="Times New Roman"/>
      <w:szCs w:val="24"/>
    </w:rPr>
  </w:style>
  <w:style w:type="paragraph" w:styleId="EndnoteText">
    <w:name w:val="endnote text"/>
    <w:basedOn w:val="Normal"/>
    <w:link w:val="EndnoteTextChar"/>
    <w:uiPriority w:val="99"/>
    <w:semiHidden/>
    <w:unhideWhenUsed/>
    <w:rsid w:val="0072054E"/>
    <w:rPr>
      <w:sz w:val="20"/>
    </w:rPr>
  </w:style>
  <w:style w:type="character" w:customStyle="1" w:styleId="EndnoteTextChar">
    <w:name w:val="Endnote Text Char"/>
    <w:basedOn w:val="DefaultParagraphFont"/>
    <w:link w:val="EndnoteText"/>
    <w:uiPriority w:val="99"/>
    <w:semiHidden/>
    <w:rsid w:val="0072054E"/>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720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bls.gov%2Fdata%2F%23prices&amp;data=05%7C02%7CLBennett%40CFTC.gov%7Cf1785fa053054bac7a1f08dc63d31751%7Cff902a6348374fa7905b52887c7f3cff%7C0%7C0%7C638495005501170111%7CUnknown%7CTWFpbGZsb3d8eyJWIjoiMC4wLjAwMDAiLCJQIjoiV2luMzIiLCJBTiI6Ik1haWwiLCJXVCI6Mn0%3D%7C0%7C%7C%7C&amp;sdata=wPYZuTHQyE51Awk4ylZin9mE9cXPWPU6TZzgKQdJqsY%3D&amp;reserved=0"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endnotes.xml.rels><?xml version="1.0" encoding="utf-8" standalone="yes"?><Relationships xmlns="http://schemas.openxmlformats.org/package/2006/relationships"><Relationship Id="rId1" Type="http://schemas.openxmlformats.org/officeDocument/2006/relationships/hyperlink" Target="https://gcc02.safelinks.protection.outlook.com/?url=https%3A%2F%2Fwww.bls.gov%2Fdata%2F%23prices&amp;data=05%7C02%7CLBennett%40CFTC.gov%7Cf1785fa053054bac7a1f08dc63d31751%7Cff902a6348374fa7905b52887c7f3cff%7C0%7C0%7C638495005501170111%7CUnknown%7CTWFpbGZsb3d8eyJWIjoiMC4wLjAwMDAiLCJQIjoiV2luMzIiLCJBTiI6Ik1haWwiLCJXVCI6Mn0%3D%7C0%7C%7C%7C&amp;sdata=wPYZuTHQyE51Awk4ylZin9mE9cXPWPU6TZzgKQdJqsY%3D&amp;reserved=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312-3038-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4F6A752C689F4FB0C4F50271F12630" ma:contentTypeVersion="9" ma:contentTypeDescription="Create a new document." ma:contentTypeScope="" ma:versionID="e1d2f3202d7455d406d9828dab19d8c1">
  <xsd:schema xmlns:xsd="http://www.w3.org/2001/XMLSchema" xmlns:xs="http://www.w3.org/2001/XMLSchema" xmlns:p="http://schemas.microsoft.com/office/2006/metadata/properties" xmlns:ns3="808b604e-1bb8-4308-a31c-73b0071a6f24" targetNamespace="http://schemas.microsoft.com/office/2006/metadata/properties" ma:root="true" ma:fieldsID="f941e2c9f5fa0a4a6d9eff3307c0b1fb" ns3:_="">
    <xsd:import namespace="808b604e-1bb8-4308-a31c-73b0071a6f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b604e-1bb8-4308-a31c-73b0071a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58227-68A1-41B4-B424-1AE986B06D26}">
  <ds:schemaRefs>
    <ds:schemaRef ds:uri="http://schemas.openxmlformats.org/package/2006/metadata/core-properties"/>
    <ds:schemaRef ds:uri="808b604e-1bb8-4308-a31c-73b0071a6f24"/>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EA3BDC-F4AF-4C54-BFEB-151BE495C48B}">
  <ds:schemaRefs>
    <ds:schemaRef ds:uri="http://schemas.microsoft.com/sharepoint/v3/contenttype/forms"/>
  </ds:schemaRefs>
</ds:datastoreItem>
</file>

<file path=customXml/itemProps3.xml><?xml version="1.0" encoding="utf-8"?>
<ds:datastoreItem xmlns:ds="http://schemas.openxmlformats.org/officeDocument/2006/customXml" ds:itemID="{1AC01F2F-9526-4597-A4EE-C9A3A25E1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b604e-1bb8-4308-a31c-73b0071a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EECEF-68A4-4929-AF27-72BEA0A1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MHargrow</dc:creator>
  <cp:lastModifiedBy>Kenny Wright</cp:lastModifiedBy>
  <cp:revision>5</cp:revision>
  <cp:lastPrinted>2018-08-20T18:22:00Z</cp:lastPrinted>
  <dcterms:created xsi:type="dcterms:W3CDTF">2024-05-20T15:01:00Z</dcterms:created>
  <dcterms:modified xsi:type="dcterms:W3CDTF">2024-06-10T13:40:00Z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0x010100464F6A752C689F4FB0C4F50271F12630</vt:lpwstr>
  </property>
</Properties>
</file>