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5D7B" w:rsidRPr="001240AB" w:rsidP="00435D7B" w14:paraId="24F33AC1" w14:textId="77777777">
      <w:pPr>
        <w:spacing w:after="0" w:line="240" w:lineRule="auto"/>
        <w:jc w:val="center"/>
        <w:rPr>
          <w:rFonts w:ascii="Arial" w:hAnsi="Arial" w:cs="Arial"/>
          <w:b/>
          <w:sz w:val="24"/>
          <w:szCs w:val="24"/>
        </w:rPr>
      </w:pPr>
      <w:r w:rsidRPr="001240AB">
        <w:rPr>
          <w:rFonts w:ascii="Arial" w:hAnsi="Arial" w:cs="Arial"/>
          <w:b/>
          <w:sz w:val="24"/>
          <w:szCs w:val="24"/>
        </w:rPr>
        <w:t>SUPPORTING STATEMENT FOR PAPERWORK REDUCTION SUBMISSION</w:t>
      </w:r>
    </w:p>
    <w:p w:rsidR="00435D7B" w:rsidRPr="001240AB" w:rsidP="00435D7B" w14:paraId="0521D771" w14:textId="6CFB53A3">
      <w:pPr>
        <w:spacing w:after="0" w:line="240" w:lineRule="auto"/>
        <w:jc w:val="center"/>
        <w:rPr>
          <w:rFonts w:ascii="Arial" w:hAnsi="Arial" w:cs="Arial"/>
          <w:b/>
          <w:sz w:val="24"/>
          <w:szCs w:val="24"/>
        </w:rPr>
      </w:pPr>
      <w:r w:rsidRPr="00435D7B">
        <w:rPr>
          <w:rFonts w:ascii="Arial" w:hAnsi="Arial" w:cs="Arial"/>
          <w:b/>
          <w:bCs/>
          <w:color w:val="3B3838" w:themeColor="background2" w:themeShade="40"/>
          <w:sz w:val="24"/>
          <w:szCs w:val="24"/>
        </w:rPr>
        <w:t xml:space="preserve">Generic Clearance for the </w:t>
      </w:r>
      <w:r>
        <w:rPr>
          <w:rFonts w:ascii="Arial" w:hAnsi="Arial" w:cs="Arial"/>
          <w:b/>
          <w:bCs/>
          <w:color w:val="3B3838" w:themeColor="background2" w:themeShade="40"/>
          <w:sz w:val="24"/>
          <w:szCs w:val="24"/>
        </w:rPr>
        <w:t xml:space="preserve">National Science Foundation (NSF) </w:t>
      </w:r>
      <w:r w:rsidRPr="00435D7B">
        <w:rPr>
          <w:rFonts w:ascii="Arial" w:hAnsi="Arial" w:cs="Arial"/>
          <w:b/>
          <w:bCs/>
          <w:color w:val="3B3838" w:themeColor="background2" w:themeShade="40"/>
          <w:sz w:val="24"/>
          <w:szCs w:val="24"/>
        </w:rPr>
        <w:t xml:space="preserve">Regional Innovation Engines </w:t>
      </w:r>
      <w:r>
        <w:rPr>
          <w:rFonts w:ascii="Arial" w:hAnsi="Arial" w:cs="Arial"/>
          <w:b/>
          <w:bCs/>
          <w:color w:val="3B3838" w:themeColor="background2" w:themeShade="40"/>
          <w:sz w:val="24"/>
          <w:szCs w:val="24"/>
        </w:rPr>
        <w:t xml:space="preserve">(RIE) </w:t>
      </w:r>
      <w:r w:rsidRPr="00435D7B">
        <w:rPr>
          <w:rFonts w:ascii="Arial" w:hAnsi="Arial" w:cs="Arial"/>
          <w:b/>
          <w:bCs/>
          <w:color w:val="3B3838" w:themeColor="background2" w:themeShade="40"/>
          <w:sz w:val="24"/>
          <w:szCs w:val="24"/>
        </w:rPr>
        <w:t>Evaluation and Monitoring Plan</w:t>
      </w:r>
    </w:p>
    <w:p w:rsidR="00435D7B" w:rsidP="00435D7B" w14:paraId="7E52B189" w14:textId="77777777">
      <w:pPr>
        <w:pStyle w:val="Heading2"/>
        <w:spacing w:before="0" w:line="240" w:lineRule="auto"/>
        <w:rPr>
          <w:rFonts w:ascii="Arial" w:hAnsi="Arial" w:cs="Arial"/>
          <w:color w:val="323E4F" w:themeColor="text2" w:themeShade="BF"/>
          <w:sz w:val="24"/>
          <w:szCs w:val="24"/>
        </w:rPr>
      </w:pPr>
    </w:p>
    <w:p w:rsidR="00435D7B" w:rsidRPr="001240AB" w:rsidP="00435D7B" w14:paraId="4571CA68" w14:textId="77777777">
      <w:pPr>
        <w:pStyle w:val="Heading2"/>
        <w:spacing w:before="0" w:line="240" w:lineRule="auto"/>
        <w:rPr>
          <w:rFonts w:ascii="Arial" w:hAnsi="Arial" w:cs="Arial"/>
          <w:color w:val="323E4F" w:themeColor="text2" w:themeShade="BF"/>
          <w:sz w:val="24"/>
          <w:szCs w:val="24"/>
        </w:rPr>
      </w:pPr>
      <w:r w:rsidRPr="001240AB">
        <w:rPr>
          <w:rFonts w:ascii="Arial" w:hAnsi="Arial" w:cs="Arial"/>
          <w:color w:val="323E4F" w:themeColor="text2" w:themeShade="BF"/>
          <w:sz w:val="24"/>
          <w:szCs w:val="24"/>
        </w:rPr>
        <w:t>SUPPLEMENTARY INFORMATION</w:t>
      </w:r>
    </w:p>
    <w:p w:rsidR="00435D7B" w:rsidRPr="001240AB" w:rsidP="00435D7B" w14:paraId="396ED884" w14:textId="77777777">
      <w:pPr>
        <w:spacing w:after="0" w:line="240" w:lineRule="auto"/>
        <w:rPr>
          <w:rFonts w:ascii="Arial" w:hAnsi="Arial" w:cs="Arial"/>
          <w:sz w:val="24"/>
          <w:szCs w:val="24"/>
        </w:rPr>
      </w:pPr>
    </w:p>
    <w:p w:rsidR="00435D7B" w:rsidRPr="001240AB" w:rsidP="00435D7B" w14:paraId="6C750688" w14:textId="797E24D2">
      <w:pPr>
        <w:pStyle w:val="Heading2"/>
        <w:spacing w:before="0" w:line="240" w:lineRule="auto"/>
        <w:rPr>
          <w:rFonts w:ascii="Arial" w:hAnsi="Arial" w:cs="Arial"/>
          <w:color w:val="auto"/>
          <w:sz w:val="24"/>
          <w:szCs w:val="24"/>
        </w:rPr>
      </w:pPr>
      <w:r w:rsidRPr="001240AB">
        <w:rPr>
          <w:rFonts w:ascii="Arial" w:hAnsi="Arial" w:cs="Arial"/>
          <w:color w:val="auto"/>
          <w:sz w:val="24"/>
          <w:szCs w:val="24"/>
        </w:rPr>
        <w:t xml:space="preserve">Title of Collection: </w:t>
      </w:r>
      <w:r w:rsidRPr="00070757" w:rsidR="00070757">
        <w:rPr>
          <w:rFonts w:ascii="Arial" w:hAnsi="Arial" w:cs="Arial"/>
          <w:b w:val="0"/>
          <w:bCs w:val="0"/>
          <w:color w:val="auto"/>
          <w:sz w:val="24"/>
          <w:szCs w:val="24"/>
        </w:rPr>
        <w:t xml:space="preserve">Generic Clearance for the National Science Foundation (NSF) Regional Innovation Engines (RIE) </w:t>
      </w:r>
      <w:r w:rsidR="00070757">
        <w:rPr>
          <w:rFonts w:ascii="Arial" w:hAnsi="Arial" w:cs="Arial"/>
          <w:b w:val="0"/>
          <w:bCs w:val="0"/>
          <w:color w:val="auto"/>
          <w:sz w:val="24"/>
          <w:szCs w:val="24"/>
        </w:rPr>
        <w:t xml:space="preserve">Program </w:t>
      </w:r>
      <w:r w:rsidRPr="00070757" w:rsidR="00070757">
        <w:rPr>
          <w:rFonts w:ascii="Arial" w:hAnsi="Arial" w:cs="Arial"/>
          <w:b w:val="0"/>
          <w:bCs w:val="0"/>
          <w:color w:val="auto"/>
          <w:sz w:val="24"/>
          <w:szCs w:val="24"/>
        </w:rPr>
        <w:t>Evaluation and Monitoring Plan</w:t>
      </w:r>
    </w:p>
    <w:p w:rsidR="00435D7B" w:rsidRPr="001240AB" w:rsidP="00435D7B" w14:paraId="608893A7" w14:textId="77777777">
      <w:pPr>
        <w:spacing w:after="0" w:line="240" w:lineRule="auto"/>
        <w:rPr>
          <w:rFonts w:ascii="Arial" w:hAnsi="Arial" w:cs="Arial"/>
          <w:sz w:val="24"/>
          <w:szCs w:val="24"/>
        </w:rPr>
      </w:pPr>
    </w:p>
    <w:p w:rsidR="00435D7B" w:rsidRPr="001240AB" w:rsidP="00435D7B" w14:paraId="72955E6F" w14:textId="11154340">
      <w:pPr>
        <w:pStyle w:val="Heading1"/>
        <w:spacing w:before="0" w:line="240" w:lineRule="auto"/>
        <w:rPr>
          <w:rFonts w:ascii="Arial" w:hAnsi="Arial" w:cs="Arial"/>
          <w:b w:val="0"/>
          <w:bCs w:val="0"/>
          <w:sz w:val="24"/>
          <w:szCs w:val="24"/>
        </w:rPr>
      </w:pPr>
      <w:r w:rsidRPr="001240AB">
        <w:rPr>
          <w:rFonts w:ascii="Arial" w:hAnsi="Arial" w:cs="Arial"/>
          <w:color w:val="auto"/>
          <w:sz w:val="24"/>
          <w:szCs w:val="24"/>
        </w:rPr>
        <w:t xml:space="preserve">Type of Request:  </w:t>
      </w:r>
      <w:r w:rsidRPr="005A649D" w:rsidR="005A649D">
        <w:rPr>
          <w:rFonts w:ascii="Arial" w:hAnsi="Arial" w:cs="Arial"/>
          <w:b w:val="0"/>
          <w:bCs w:val="0"/>
          <w:color w:val="auto"/>
          <w:sz w:val="24"/>
          <w:szCs w:val="24"/>
        </w:rPr>
        <w:t>New information collection</w:t>
      </w:r>
    </w:p>
    <w:p w:rsidR="00435D7B" w:rsidRPr="001240AB" w:rsidP="00435D7B" w14:paraId="6754B053" w14:textId="77777777">
      <w:pPr>
        <w:pStyle w:val="Heading1"/>
        <w:spacing w:before="0" w:line="240" w:lineRule="auto"/>
        <w:rPr>
          <w:rFonts w:ascii="Arial" w:hAnsi="Arial" w:cs="Arial"/>
          <w:color w:val="auto"/>
          <w:sz w:val="24"/>
          <w:szCs w:val="24"/>
        </w:rPr>
      </w:pPr>
    </w:p>
    <w:p w:rsidR="00435D7B" w:rsidRPr="001240AB" w:rsidP="00435D7B" w14:paraId="36FD3E7D" w14:textId="77777777">
      <w:pPr>
        <w:pStyle w:val="Heading1"/>
        <w:spacing w:before="0" w:line="240" w:lineRule="auto"/>
        <w:rPr>
          <w:rFonts w:ascii="Arial" w:hAnsi="Arial" w:cs="Arial"/>
          <w:color w:val="44546A" w:themeColor="text2"/>
          <w:sz w:val="24"/>
          <w:szCs w:val="24"/>
        </w:rPr>
      </w:pPr>
    </w:p>
    <w:p w:rsidR="00DC7B0C" w:rsidRPr="000B41A2" w:rsidP="000B41A2" w14:paraId="7D67FADE" w14:textId="73209C19">
      <w:pPr>
        <w:pStyle w:val="Heading1"/>
        <w:spacing w:before="0" w:line="240" w:lineRule="auto"/>
        <w:rPr>
          <w:rFonts w:ascii="Arial" w:hAnsi="Arial" w:cs="Arial"/>
          <w:color w:val="44546A" w:themeColor="text2"/>
          <w:sz w:val="24"/>
          <w:szCs w:val="24"/>
        </w:rPr>
      </w:pPr>
      <w:r w:rsidRPr="001240AB">
        <w:rPr>
          <w:rFonts w:ascii="Arial" w:hAnsi="Arial" w:cs="Arial"/>
          <w:color w:val="44546A" w:themeColor="text2"/>
          <w:sz w:val="24"/>
          <w:szCs w:val="24"/>
        </w:rPr>
        <w:t>Section A.  Justification</w:t>
      </w:r>
    </w:p>
    <w:p w:rsidR="000B41A2" w:rsidRPr="006A1F50" w:rsidP="000E230B" w14:paraId="605D5620" w14:textId="5445A2BE">
      <w:pPr>
        <w:pStyle w:val="NormalWeb"/>
        <w:spacing w:line="264" w:lineRule="auto"/>
        <w:jc w:val="both"/>
        <w:rPr>
          <w:rFonts w:ascii="Arial" w:hAnsi="Arial" w:cs="Arial"/>
          <w:sz w:val="22"/>
          <w:szCs w:val="22"/>
        </w:rPr>
      </w:pPr>
      <w:r w:rsidRPr="006A1F50">
        <w:rPr>
          <w:rFonts w:ascii="Arial" w:hAnsi="Arial" w:cs="Arial"/>
          <w:sz w:val="22"/>
          <w:szCs w:val="22"/>
        </w:rPr>
        <w:t xml:space="preserve">This request is for approval of </w:t>
      </w:r>
      <w:r w:rsidR="00E10AB3">
        <w:rPr>
          <w:rFonts w:ascii="Arial" w:hAnsi="Arial" w:cs="Arial"/>
          <w:sz w:val="22"/>
          <w:szCs w:val="22"/>
        </w:rPr>
        <w:t>data collection</w:t>
      </w:r>
      <w:r w:rsidR="000F27C2">
        <w:rPr>
          <w:rFonts w:ascii="Arial" w:hAnsi="Arial" w:cs="Arial"/>
          <w:sz w:val="22"/>
          <w:szCs w:val="22"/>
        </w:rPr>
        <w:t>—through web-based surveys and focus group interviews—</w:t>
      </w:r>
      <w:r w:rsidR="00E10AB3">
        <w:rPr>
          <w:rFonts w:ascii="Arial" w:hAnsi="Arial" w:cs="Arial"/>
          <w:sz w:val="22"/>
          <w:szCs w:val="22"/>
        </w:rPr>
        <w:t>from</w:t>
      </w:r>
      <w:r w:rsidR="000F27C2">
        <w:rPr>
          <w:rFonts w:ascii="Arial" w:hAnsi="Arial" w:cs="Arial"/>
          <w:sz w:val="22"/>
          <w:szCs w:val="22"/>
        </w:rPr>
        <w:t xml:space="preserve"> </w:t>
      </w:r>
      <w:r w:rsidR="00E10AB3">
        <w:rPr>
          <w:rFonts w:ascii="Arial" w:hAnsi="Arial" w:cs="Arial"/>
          <w:sz w:val="22"/>
          <w:szCs w:val="22"/>
        </w:rPr>
        <w:t xml:space="preserve">NSF RIE </w:t>
      </w:r>
      <w:r w:rsidR="000F27C2">
        <w:rPr>
          <w:rFonts w:ascii="Arial" w:hAnsi="Arial" w:cs="Arial"/>
          <w:sz w:val="22"/>
          <w:szCs w:val="22"/>
        </w:rPr>
        <w:t xml:space="preserve">awardees, participants, and partner organizations </w:t>
      </w:r>
      <w:r w:rsidRPr="006A1F50">
        <w:rPr>
          <w:rFonts w:ascii="Arial" w:hAnsi="Arial" w:cs="Arial"/>
          <w:sz w:val="22"/>
          <w:szCs w:val="22"/>
        </w:rPr>
        <w:t>intended to monitor progresses, outputs, short-term, intermediate, and long-term outcomes of the National Science Foundation (NSF) investments in th</w:t>
      </w:r>
      <w:r w:rsidR="000F27C2">
        <w:rPr>
          <w:rFonts w:ascii="Arial" w:hAnsi="Arial" w:cs="Arial"/>
          <w:sz w:val="22"/>
          <w:szCs w:val="22"/>
        </w:rPr>
        <w:t xml:space="preserve">e </w:t>
      </w:r>
      <w:hyperlink r:id="rId9" w:history="1">
        <w:r w:rsidRPr="0040055B" w:rsidR="000F27C2">
          <w:rPr>
            <w:rStyle w:val="Hyperlink"/>
            <w:rFonts w:ascii="Arial" w:hAnsi="Arial" w:cs="Arial"/>
            <w:sz w:val="22"/>
            <w:szCs w:val="22"/>
          </w:rPr>
          <w:t>Regional Innovation Engines (</w:t>
        </w:r>
        <w:r w:rsidRPr="0040055B" w:rsidR="00CC6795">
          <w:rPr>
            <w:rStyle w:val="Hyperlink"/>
            <w:rFonts w:ascii="Arial" w:hAnsi="Arial" w:cs="Arial"/>
            <w:sz w:val="22"/>
            <w:szCs w:val="22"/>
          </w:rPr>
          <w:t xml:space="preserve">hereby referred to as </w:t>
        </w:r>
        <w:r w:rsidRPr="0040055B" w:rsidR="00CC6795">
          <w:rPr>
            <w:rStyle w:val="Hyperlink"/>
            <w:rFonts w:ascii="Arial" w:hAnsi="Arial" w:cs="Arial"/>
            <w:i/>
            <w:iCs/>
            <w:sz w:val="22"/>
            <w:szCs w:val="22"/>
          </w:rPr>
          <w:t>NSF Engines</w:t>
        </w:r>
        <w:r w:rsidRPr="0040055B" w:rsidR="00CC6795">
          <w:rPr>
            <w:rStyle w:val="Hyperlink"/>
            <w:rFonts w:ascii="Arial" w:hAnsi="Arial" w:cs="Arial"/>
            <w:sz w:val="22"/>
            <w:szCs w:val="22"/>
          </w:rPr>
          <w:t>)</w:t>
        </w:r>
        <w:r w:rsidRPr="0040055B" w:rsidR="006422EB">
          <w:rPr>
            <w:rStyle w:val="Hyperlink"/>
            <w:rFonts w:ascii="Arial" w:hAnsi="Arial" w:cs="Arial"/>
            <w:sz w:val="22"/>
            <w:szCs w:val="22"/>
          </w:rPr>
          <w:t xml:space="preserve"> Program</w:t>
        </w:r>
      </w:hyperlink>
      <w:r w:rsidR="006422EB">
        <w:rPr>
          <w:rFonts w:ascii="Arial" w:hAnsi="Arial" w:cs="Arial"/>
          <w:sz w:val="22"/>
          <w:szCs w:val="22"/>
        </w:rPr>
        <w:t xml:space="preserve">. </w:t>
      </w:r>
    </w:p>
    <w:p w:rsidR="000703EC" w:rsidRPr="008A0405" w:rsidP="000E230B" w14:paraId="64A7A212" w14:textId="77777777">
      <w:pPr>
        <w:spacing w:line="264" w:lineRule="auto"/>
        <w:jc w:val="both"/>
        <w:rPr>
          <w:rFonts w:ascii="Arial" w:hAnsi="Arial" w:cs="Arial"/>
        </w:rPr>
      </w:pPr>
      <w:r w:rsidRPr="006250B3">
        <w:rPr>
          <w:rFonts w:ascii="Arial" w:hAnsi="Arial" w:cs="Arial"/>
        </w:rPr>
        <w:t xml:space="preserve">The CHIPS and Science Act of 2022 codified the National Science Foundation’s cross-cutting Directorate for Technology, Innovation and Partnerships (TIP), NSF’s first new directorate in more than 30 years, and charged it with the critical mission of advancing U.S. competitiveness through investments that accelerate the development of key technologies and address pressing </w:t>
      </w:r>
      <w:r w:rsidRPr="008A0405">
        <w:rPr>
          <w:rFonts w:ascii="Arial" w:hAnsi="Arial" w:cs="Arial"/>
        </w:rPr>
        <w:t xml:space="preserve">national, societal, and geostrategic challenges. </w:t>
      </w:r>
      <w:r w:rsidRPr="008A0405">
        <w:rPr>
          <w:rFonts w:ascii="Arial" w:hAnsi="Arial" w:cs="Arial"/>
        </w:rPr>
        <w:t xml:space="preserve"> </w:t>
      </w:r>
    </w:p>
    <w:p w:rsidR="006F61D3" w:rsidP="000E230B" w14:paraId="23E428AA" w14:textId="77777777">
      <w:pPr>
        <w:jc w:val="both"/>
        <w:rPr>
          <w:rFonts w:ascii="Arial" w:hAnsi="Arial" w:cs="Arial"/>
        </w:rPr>
      </w:pPr>
      <w:r w:rsidRPr="008A0405">
        <w:rPr>
          <w:rFonts w:ascii="Arial" w:hAnsi="Arial" w:cs="Arial"/>
        </w:rPr>
        <w:t>The NSF Engines program was authorized in the CHIPS and Science Act of 2022 (Section 10388) to (1) advance multidisciplinary, collaborative, use-inspired and translational research, technology development, in key technology focus areas; (2) address regional, national, societal, or geostrategic challenges; (3) leverage the expertise of multidisciplinary and multi-sector partners, including partners from private industry, nonprofit organizations, and civil society organizations; and (4) support the development of scientific, innovation, entrepreneurial, and STEM educational capacity within the region of the Regional Innovation Engine to grow and sustain regional innovation.</w:t>
      </w:r>
      <w:r w:rsidR="004D798B">
        <w:rPr>
          <w:rFonts w:ascii="Arial" w:hAnsi="Arial" w:cs="Arial"/>
        </w:rPr>
        <w:t xml:space="preserve">  </w:t>
      </w:r>
      <w:r w:rsidRPr="004D798B" w:rsidR="004D798B">
        <w:rPr>
          <w:rFonts w:ascii="Arial" w:hAnsi="Arial" w:cs="Arial"/>
        </w:rPr>
        <w:t xml:space="preserve">The NSF </w:t>
      </w:r>
      <w:r w:rsidR="004D798B">
        <w:rPr>
          <w:rFonts w:ascii="Arial" w:hAnsi="Arial" w:cs="Arial"/>
        </w:rPr>
        <w:t>Engines program</w:t>
      </w:r>
      <w:r w:rsidRPr="004D798B" w:rsidR="004D798B">
        <w:rPr>
          <w:rFonts w:ascii="Arial" w:hAnsi="Arial" w:cs="Arial"/>
        </w:rPr>
        <w:t xml:space="preserve"> serves as a flagship funding program of the TIP directorate, with the goal of expanding and accelerating scientific and technological innovation within the United States by catalyzing regional innovation ecosystems throughout every region of our nation.</w:t>
      </w:r>
      <w:r w:rsidR="00970A2E">
        <w:rPr>
          <w:rFonts w:ascii="Arial" w:hAnsi="Arial" w:cs="Arial"/>
        </w:rPr>
        <w:t xml:space="preserve">  </w:t>
      </w:r>
    </w:p>
    <w:p w:rsidR="00970A2E" w:rsidP="000E230B" w14:paraId="73F7A5F0" w14:textId="15E41709">
      <w:pPr>
        <w:jc w:val="both"/>
      </w:pPr>
      <w:r>
        <w:rPr>
          <w:rFonts w:ascii="Arial" w:hAnsi="Arial" w:cs="Arial"/>
        </w:rPr>
        <w:t xml:space="preserve">In January 2024, NSF </w:t>
      </w:r>
      <w:r w:rsidR="000A0887">
        <w:rPr>
          <w:rFonts w:ascii="Arial" w:hAnsi="Arial" w:cs="Arial"/>
        </w:rPr>
        <w:t xml:space="preserve">established </w:t>
      </w:r>
      <w:r w:rsidR="006C7B92">
        <w:rPr>
          <w:rFonts w:ascii="Arial" w:hAnsi="Arial" w:cs="Arial"/>
        </w:rPr>
        <w:t>10 inaugural</w:t>
      </w:r>
      <w:r>
        <w:rPr>
          <w:rFonts w:ascii="Arial" w:hAnsi="Arial" w:cs="Arial"/>
        </w:rPr>
        <w:t xml:space="preserve"> </w:t>
      </w:r>
      <w:r w:rsidR="00A173F8">
        <w:rPr>
          <w:rFonts w:ascii="Arial" w:hAnsi="Arial" w:cs="Arial"/>
        </w:rPr>
        <w:t>NSF Engine awards across 18 states</w:t>
      </w:r>
      <w:r w:rsidR="006F61D3">
        <w:rPr>
          <w:rFonts w:ascii="Arial" w:hAnsi="Arial" w:cs="Arial"/>
        </w:rPr>
        <w:t>,</w:t>
      </w:r>
      <w:r w:rsidR="00E932AA">
        <w:rPr>
          <w:rFonts w:ascii="Arial" w:hAnsi="Arial" w:cs="Arial"/>
        </w:rPr>
        <w:t xml:space="preserve"> </w:t>
      </w:r>
      <w:r w:rsidR="00F27610">
        <w:rPr>
          <w:rFonts w:ascii="Arial" w:hAnsi="Arial" w:cs="Arial"/>
        </w:rPr>
        <w:t>uniqu</w:t>
      </w:r>
      <w:r w:rsidR="00DD6C54">
        <w:rPr>
          <w:rFonts w:ascii="Arial" w:hAnsi="Arial" w:cs="Arial"/>
        </w:rPr>
        <w:t xml:space="preserve">ely </w:t>
      </w:r>
      <w:r w:rsidR="0019525D">
        <w:rPr>
          <w:rFonts w:ascii="Arial" w:hAnsi="Arial" w:cs="Arial"/>
        </w:rPr>
        <w:t>plac</w:t>
      </w:r>
      <w:r w:rsidR="009E6114">
        <w:rPr>
          <w:rFonts w:ascii="Arial" w:hAnsi="Arial" w:cs="Arial"/>
        </w:rPr>
        <w:t>ing</w:t>
      </w:r>
      <w:r w:rsidR="0019525D">
        <w:rPr>
          <w:rFonts w:ascii="Arial" w:hAnsi="Arial" w:cs="Arial"/>
        </w:rPr>
        <w:t xml:space="preserve"> science and technology leadership </w:t>
      </w:r>
      <w:r w:rsidR="00BC09F5">
        <w:rPr>
          <w:rFonts w:ascii="Arial" w:hAnsi="Arial" w:cs="Arial"/>
        </w:rPr>
        <w:t xml:space="preserve">as the central driver for regional economic </w:t>
      </w:r>
      <w:r w:rsidR="00554CB9">
        <w:rPr>
          <w:rFonts w:ascii="Arial" w:hAnsi="Arial" w:cs="Arial"/>
        </w:rPr>
        <w:t>competitiveness</w:t>
      </w:r>
      <w:r w:rsidR="000F35EA">
        <w:rPr>
          <w:rFonts w:ascii="Arial" w:hAnsi="Arial" w:cs="Arial"/>
        </w:rPr>
        <w:t xml:space="preserve">. </w:t>
      </w:r>
      <w:r w:rsidRPr="00305D22" w:rsidR="00305D22">
        <w:rPr>
          <w:rFonts w:ascii="Arial" w:hAnsi="Arial" w:cs="Arial"/>
        </w:rPr>
        <w:t xml:space="preserve">Detailed information about the 10 inaugural Engine teams including each Engine’s lead institution, region of service, competitive advantage, and key technology areas can be found at </w:t>
      </w:r>
      <w:hyperlink r:id="rId10" w:history="1">
        <w:r w:rsidRPr="00305D22" w:rsidR="00305D22">
          <w:rPr>
            <w:rStyle w:val="Hyperlink"/>
            <w:rFonts w:ascii="Arial" w:hAnsi="Arial" w:cs="Arial"/>
          </w:rPr>
          <w:t>https://new.nsf.gov/funding/initiatives/regional-innovation-engines/portfolio</w:t>
        </w:r>
      </w:hyperlink>
      <w:r w:rsidRPr="00305D22" w:rsidR="00305D22">
        <w:rPr>
          <w:rFonts w:ascii="Arial" w:hAnsi="Arial" w:cs="Arial"/>
        </w:rPr>
        <w:t>.</w:t>
      </w:r>
    </w:p>
    <w:p w:rsidR="00E34A80" w:rsidRPr="00C46523" w:rsidP="000E230B" w14:paraId="3DAA728B" w14:textId="31180292">
      <w:pPr>
        <w:jc w:val="both"/>
        <w:rPr>
          <w:rFonts w:ascii="Arial" w:hAnsi="Arial" w:cs="Arial"/>
        </w:rPr>
      </w:pPr>
      <w:r w:rsidRPr="00C46523">
        <w:rPr>
          <w:rFonts w:ascii="Arial" w:hAnsi="Arial" w:cs="Arial"/>
        </w:rPr>
        <w:t xml:space="preserve">Each Engine is focused on addressing specific aspects of a major national, societal and/or geostrategic challenge that are of significant interest in the NSF Engine’s defined ‘‘region of </w:t>
      </w:r>
      <w:r w:rsidRPr="00C46523">
        <w:rPr>
          <w:rFonts w:ascii="Arial" w:hAnsi="Arial" w:cs="Arial"/>
        </w:rPr>
        <w:t>service.’’ The NSF Engines program envisions a future in which all sectors of the American population can participate in</w:t>
      </w:r>
      <w:r w:rsidRPr="00C46523" w:rsidR="00880BBF">
        <w:rPr>
          <w:rFonts w:ascii="Arial" w:hAnsi="Arial" w:cs="Arial"/>
        </w:rPr>
        <w:t>,</w:t>
      </w:r>
      <w:r w:rsidRPr="00C46523">
        <w:rPr>
          <w:rFonts w:ascii="Arial" w:hAnsi="Arial" w:cs="Arial"/>
        </w:rPr>
        <w:t xml:space="preserve"> and benefit from</w:t>
      </w:r>
      <w:r w:rsidRPr="00C46523" w:rsidR="00C46523">
        <w:rPr>
          <w:rFonts w:ascii="Arial" w:hAnsi="Arial" w:cs="Arial"/>
        </w:rPr>
        <w:t>,</w:t>
      </w:r>
      <w:r w:rsidRPr="00C46523">
        <w:rPr>
          <w:rFonts w:ascii="Arial" w:hAnsi="Arial" w:cs="Arial"/>
        </w:rPr>
        <w:t xml:space="preserve"> advancements in scientific research and development equitably to advance U.S. global competitiveness and leadership. </w:t>
      </w:r>
      <w:r w:rsidRPr="00C46523" w:rsidR="00C46523">
        <w:rPr>
          <w:rFonts w:ascii="Arial" w:hAnsi="Arial" w:cs="Arial"/>
        </w:rPr>
        <w:t xml:space="preserve"> </w:t>
      </w:r>
      <w:r w:rsidRPr="00C46523">
        <w:rPr>
          <w:rFonts w:ascii="Arial" w:hAnsi="Arial" w:cs="Arial"/>
        </w:rPr>
        <w:t>The program’s mission is to establish sustainable regional innovation ecosystems that address pressing regional, national, societal, or geostrategic challenges by advancing use-inspired and translational research and development in key technology focus areas. The programmatic level</w:t>
      </w:r>
      <w:r w:rsidRPr="00C46523" w:rsidR="00C46523">
        <w:rPr>
          <w:rFonts w:ascii="Arial" w:hAnsi="Arial" w:cs="Arial"/>
        </w:rPr>
        <w:t xml:space="preserve"> </w:t>
      </w:r>
      <w:r w:rsidRPr="00C46523">
        <w:rPr>
          <w:rFonts w:ascii="Arial" w:hAnsi="Arial" w:cs="Arial"/>
        </w:rPr>
        <w:t>goals of NSF Engines are to:</w:t>
      </w:r>
    </w:p>
    <w:p w:rsidR="00E34A80" w:rsidRPr="00C46523" w:rsidP="000E230B" w14:paraId="4EF92466" w14:textId="3C6F2C9F">
      <w:pPr>
        <w:pStyle w:val="ListParagraph"/>
        <w:numPr>
          <w:ilvl w:val="0"/>
          <w:numId w:val="1"/>
        </w:numPr>
        <w:jc w:val="both"/>
        <w:rPr>
          <w:rFonts w:ascii="Arial" w:hAnsi="Arial" w:cs="Arial"/>
          <w:sz w:val="22"/>
          <w:szCs w:val="22"/>
        </w:rPr>
      </w:pPr>
      <w:r w:rsidRPr="00C46523">
        <w:rPr>
          <w:rFonts w:ascii="Arial" w:hAnsi="Arial" w:cs="Arial"/>
          <w:sz w:val="22"/>
          <w:szCs w:val="22"/>
        </w:rPr>
        <w:t xml:space="preserve">Goal 1: </w:t>
      </w:r>
      <w:r w:rsidR="00C47E08">
        <w:rPr>
          <w:rFonts w:ascii="Arial" w:hAnsi="Arial" w:cs="Arial"/>
          <w:sz w:val="22"/>
          <w:szCs w:val="22"/>
        </w:rPr>
        <w:t xml:space="preserve">Establish self-sustaining innovation </w:t>
      </w:r>
      <w:r w:rsidR="00C47E08">
        <w:rPr>
          <w:rFonts w:ascii="Arial" w:hAnsi="Arial" w:cs="Arial"/>
          <w:sz w:val="22"/>
          <w:szCs w:val="22"/>
        </w:rPr>
        <w:t>ecosystems</w:t>
      </w:r>
      <w:r w:rsidRPr="00C46523">
        <w:rPr>
          <w:rFonts w:ascii="Arial" w:hAnsi="Arial" w:cs="Arial"/>
          <w:sz w:val="22"/>
          <w:szCs w:val="22"/>
        </w:rPr>
        <w:t>;</w:t>
      </w:r>
    </w:p>
    <w:p w:rsidR="00E34A80" w:rsidRPr="00C46523" w:rsidP="000E230B" w14:paraId="46F63818" w14:textId="100FA5EF">
      <w:pPr>
        <w:pStyle w:val="ListParagraph"/>
        <w:numPr>
          <w:ilvl w:val="0"/>
          <w:numId w:val="1"/>
        </w:numPr>
        <w:jc w:val="both"/>
        <w:rPr>
          <w:rFonts w:ascii="Arial" w:hAnsi="Arial" w:cs="Arial"/>
          <w:sz w:val="22"/>
          <w:szCs w:val="22"/>
        </w:rPr>
      </w:pPr>
      <w:r w:rsidRPr="00C46523">
        <w:rPr>
          <w:rFonts w:ascii="Arial" w:hAnsi="Arial" w:cs="Arial"/>
          <w:sz w:val="22"/>
          <w:szCs w:val="22"/>
        </w:rPr>
        <w:t xml:space="preserve">Goal 2: </w:t>
      </w:r>
      <w:r w:rsidR="00C47E08">
        <w:rPr>
          <w:rFonts w:ascii="Arial" w:hAnsi="Arial" w:cs="Arial"/>
          <w:sz w:val="22"/>
          <w:szCs w:val="22"/>
        </w:rPr>
        <w:t xml:space="preserve">Establish </w:t>
      </w:r>
      <w:r w:rsidR="00C47E08">
        <w:rPr>
          <w:rFonts w:ascii="Arial" w:hAnsi="Arial" w:cs="Arial"/>
          <w:sz w:val="22"/>
          <w:szCs w:val="22"/>
        </w:rPr>
        <w:t>nationally-recognized</w:t>
      </w:r>
      <w:r w:rsidR="00C47E08">
        <w:rPr>
          <w:rFonts w:ascii="Arial" w:hAnsi="Arial" w:cs="Arial"/>
          <w:sz w:val="22"/>
          <w:szCs w:val="22"/>
        </w:rPr>
        <w:t xml:space="preserve"> regional ecosystems for key industries</w:t>
      </w:r>
      <w:r w:rsidRPr="00C46523">
        <w:rPr>
          <w:rFonts w:ascii="Arial" w:hAnsi="Arial" w:cs="Arial"/>
          <w:sz w:val="22"/>
          <w:szCs w:val="22"/>
        </w:rPr>
        <w:t>;</w:t>
      </w:r>
    </w:p>
    <w:p w:rsidR="00E34A80" w:rsidRPr="00C46523" w:rsidP="000E230B" w14:paraId="6ED2BECB" w14:textId="435D70F4">
      <w:pPr>
        <w:pStyle w:val="ListParagraph"/>
        <w:numPr>
          <w:ilvl w:val="0"/>
          <w:numId w:val="1"/>
        </w:numPr>
        <w:jc w:val="both"/>
        <w:rPr>
          <w:rFonts w:ascii="Arial" w:hAnsi="Arial" w:cs="Arial"/>
          <w:sz w:val="22"/>
          <w:szCs w:val="22"/>
        </w:rPr>
      </w:pPr>
      <w:r w:rsidRPr="00C46523">
        <w:rPr>
          <w:rFonts w:ascii="Arial" w:hAnsi="Arial" w:cs="Arial"/>
          <w:sz w:val="22"/>
          <w:szCs w:val="22"/>
        </w:rPr>
        <w:t xml:space="preserve">Goal 3: </w:t>
      </w:r>
      <w:r w:rsidR="00C47E08">
        <w:rPr>
          <w:rFonts w:ascii="Arial" w:hAnsi="Arial" w:cs="Arial"/>
          <w:sz w:val="22"/>
          <w:szCs w:val="22"/>
        </w:rPr>
        <w:t xml:space="preserve">Broaden participation in inclusive innovation </w:t>
      </w:r>
      <w:r w:rsidR="00C47E08">
        <w:rPr>
          <w:rFonts w:ascii="Arial" w:hAnsi="Arial" w:cs="Arial"/>
          <w:sz w:val="22"/>
          <w:szCs w:val="22"/>
        </w:rPr>
        <w:t>ecosystems</w:t>
      </w:r>
      <w:r w:rsidRPr="00C46523">
        <w:rPr>
          <w:rFonts w:ascii="Arial" w:hAnsi="Arial" w:cs="Arial"/>
          <w:sz w:val="22"/>
          <w:szCs w:val="22"/>
        </w:rPr>
        <w:t>;</w:t>
      </w:r>
    </w:p>
    <w:p w:rsidR="00E34A80" w:rsidRPr="00C46523" w:rsidP="000E230B" w14:paraId="25EE55ED" w14:textId="72C32425">
      <w:pPr>
        <w:pStyle w:val="ListParagraph"/>
        <w:numPr>
          <w:ilvl w:val="0"/>
          <w:numId w:val="1"/>
        </w:numPr>
        <w:jc w:val="both"/>
        <w:rPr>
          <w:rFonts w:ascii="Arial" w:hAnsi="Arial" w:cs="Arial"/>
          <w:sz w:val="22"/>
          <w:szCs w:val="22"/>
        </w:rPr>
      </w:pPr>
      <w:r w:rsidRPr="00C46523">
        <w:rPr>
          <w:rFonts w:ascii="Arial" w:hAnsi="Arial" w:cs="Arial"/>
          <w:sz w:val="22"/>
          <w:szCs w:val="22"/>
        </w:rPr>
        <w:t xml:space="preserve">Goal 4: </w:t>
      </w:r>
      <w:r w:rsidR="00C47E08">
        <w:rPr>
          <w:rFonts w:ascii="Arial" w:hAnsi="Arial" w:cs="Arial"/>
          <w:sz w:val="22"/>
          <w:szCs w:val="22"/>
        </w:rPr>
        <w:t xml:space="preserve">Advance technologies relevant to national </w:t>
      </w:r>
      <w:r w:rsidR="00C47E08">
        <w:rPr>
          <w:rFonts w:ascii="Arial" w:hAnsi="Arial" w:cs="Arial"/>
          <w:sz w:val="22"/>
          <w:szCs w:val="22"/>
        </w:rPr>
        <w:t>competitiveness</w:t>
      </w:r>
      <w:r w:rsidRPr="00C46523">
        <w:rPr>
          <w:rFonts w:ascii="Arial" w:hAnsi="Arial" w:cs="Arial"/>
          <w:sz w:val="22"/>
          <w:szCs w:val="22"/>
        </w:rPr>
        <w:t>;</w:t>
      </w:r>
    </w:p>
    <w:p w:rsidR="00E34A80" w:rsidRPr="00C46523" w:rsidP="000E230B" w14:paraId="43633964" w14:textId="434E81AC">
      <w:pPr>
        <w:pStyle w:val="ListParagraph"/>
        <w:numPr>
          <w:ilvl w:val="0"/>
          <w:numId w:val="1"/>
        </w:numPr>
        <w:jc w:val="both"/>
        <w:rPr>
          <w:rFonts w:ascii="Arial" w:hAnsi="Arial" w:cs="Arial"/>
          <w:sz w:val="22"/>
          <w:szCs w:val="22"/>
        </w:rPr>
      </w:pPr>
      <w:r w:rsidRPr="00C46523">
        <w:rPr>
          <w:rFonts w:ascii="Arial" w:hAnsi="Arial" w:cs="Arial"/>
          <w:sz w:val="22"/>
          <w:szCs w:val="22"/>
        </w:rPr>
        <w:t xml:space="preserve">Goal 5: </w:t>
      </w:r>
      <w:r w:rsidR="0057242B">
        <w:rPr>
          <w:rFonts w:ascii="Arial" w:hAnsi="Arial" w:cs="Arial"/>
          <w:sz w:val="22"/>
          <w:szCs w:val="22"/>
        </w:rPr>
        <w:t xml:space="preserve">Catalyze regions with nascent innovation </w:t>
      </w:r>
      <w:r w:rsidR="0057242B">
        <w:rPr>
          <w:rFonts w:ascii="Arial" w:hAnsi="Arial" w:cs="Arial"/>
          <w:sz w:val="22"/>
          <w:szCs w:val="22"/>
        </w:rPr>
        <w:t>ecosystems</w:t>
      </w:r>
      <w:r w:rsidRPr="00C46523">
        <w:rPr>
          <w:rFonts w:ascii="Arial" w:hAnsi="Arial" w:cs="Arial"/>
          <w:sz w:val="22"/>
          <w:szCs w:val="22"/>
        </w:rPr>
        <w:t>;</w:t>
      </w:r>
    </w:p>
    <w:p w:rsidR="00E34A80" w:rsidRPr="00C46523" w:rsidP="000E230B" w14:paraId="48ED8B67" w14:textId="1CDBD403">
      <w:pPr>
        <w:pStyle w:val="ListParagraph"/>
        <w:numPr>
          <w:ilvl w:val="0"/>
          <w:numId w:val="1"/>
        </w:numPr>
        <w:jc w:val="both"/>
        <w:rPr>
          <w:rFonts w:ascii="Arial" w:hAnsi="Arial" w:cs="Arial"/>
          <w:sz w:val="22"/>
          <w:szCs w:val="22"/>
        </w:rPr>
      </w:pPr>
      <w:r w:rsidRPr="00C46523">
        <w:rPr>
          <w:rFonts w:ascii="Arial" w:hAnsi="Arial" w:cs="Arial"/>
          <w:sz w:val="22"/>
          <w:szCs w:val="22"/>
        </w:rPr>
        <w:t xml:space="preserve">Goal </w:t>
      </w:r>
      <w:r w:rsidR="0057242B">
        <w:rPr>
          <w:rFonts w:ascii="Arial" w:hAnsi="Arial" w:cs="Arial"/>
          <w:sz w:val="22"/>
          <w:szCs w:val="22"/>
        </w:rPr>
        <w:t>6</w:t>
      </w:r>
      <w:r w:rsidRPr="00C46523">
        <w:rPr>
          <w:rFonts w:ascii="Arial" w:hAnsi="Arial" w:cs="Arial"/>
          <w:sz w:val="22"/>
          <w:szCs w:val="22"/>
        </w:rPr>
        <w:t xml:space="preserve">: Increase economic </w:t>
      </w:r>
      <w:r w:rsidRPr="00C46523">
        <w:rPr>
          <w:rFonts w:ascii="Arial" w:hAnsi="Arial" w:cs="Arial"/>
          <w:sz w:val="22"/>
          <w:szCs w:val="22"/>
        </w:rPr>
        <w:t>growth;</w:t>
      </w:r>
    </w:p>
    <w:p w:rsidR="00E34A80" w:rsidRPr="00C46523" w:rsidP="000E230B" w14:paraId="5C09C748" w14:textId="3861398D">
      <w:pPr>
        <w:pStyle w:val="ListParagraph"/>
        <w:numPr>
          <w:ilvl w:val="0"/>
          <w:numId w:val="1"/>
        </w:numPr>
        <w:jc w:val="both"/>
        <w:rPr>
          <w:rFonts w:ascii="Arial" w:hAnsi="Arial" w:cs="Arial"/>
          <w:sz w:val="22"/>
          <w:szCs w:val="22"/>
        </w:rPr>
      </w:pPr>
      <w:r w:rsidRPr="00C46523">
        <w:rPr>
          <w:rFonts w:ascii="Arial" w:hAnsi="Arial" w:cs="Arial"/>
          <w:sz w:val="22"/>
          <w:szCs w:val="22"/>
        </w:rPr>
        <w:t xml:space="preserve">Goal </w:t>
      </w:r>
      <w:r w:rsidR="0057242B">
        <w:rPr>
          <w:rFonts w:ascii="Arial" w:hAnsi="Arial" w:cs="Arial"/>
          <w:sz w:val="22"/>
          <w:szCs w:val="22"/>
        </w:rPr>
        <w:t>7</w:t>
      </w:r>
      <w:r w:rsidRPr="00C46523">
        <w:rPr>
          <w:rFonts w:ascii="Arial" w:hAnsi="Arial" w:cs="Arial"/>
          <w:sz w:val="22"/>
          <w:szCs w:val="22"/>
        </w:rPr>
        <w:t>: Increase job creation.</w:t>
      </w:r>
    </w:p>
    <w:p w:rsidR="008A0405" w:rsidP="000E230B" w14:paraId="04ADE7B0" w14:textId="7EA5CD6A">
      <w:pPr>
        <w:spacing w:line="264" w:lineRule="auto"/>
        <w:jc w:val="both"/>
        <w:rPr>
          <w:rFonts w:ascii="Arial" w:hAnsi="Arial" w:cs="Arial"/>
        </w:rPr>
      </w:pPr>
    </w:p>
    <w:p w:rsidR="000425EF" w:rsidP="000E230B" w14:paraId="2EFD7B3C" w14:textId="77777777">
      <w:pPr>
        <w:spacing w:line="264" w:lineRule="auto"/>
        <w:jc w:val="both"/>
        <w:rPr>
          <w:rFonts w:ascii="Arial" w:hAnsi="Arial" w:cs="Arial"/>
        </w:rPr>
      </w:pPr>
      <w:r w:rsidRPr="000425EF">
        <w:rPr>
          <w:rFonts w:ascii="Arial" w:hAnsi="Arial" w:cs="Arial"/>
        </w:rPr>
        <w:t xml:space="preserve">To achieve these goals, each Engine will carry out an integrated and comprehensive set of activities spanning use-inspired research, translation-to practice, entrepreneurship, and workforce development to nurture and accelerate regional industries. </w:t>
      </w:r>
      <w:r>
        <w:rPr>
          <w:rFonts w:ascii="Arial" w:hAnsi="Arial" w:cs="Arial"/>
        </w:rPr>
        <w:t xml:space="preserve"> </w:t>
      </w:r>
      <w:r w:rsidRPr="000425EF">
        <w:rPr>
          <w:rFonts w:ascii="Arial" w:hAnsi="Arial" w:cs="Arial"/>
        </w:rPr>
        <w:t xml:space="preserve">In addition, each Engine is expected to embody a culture of innovation and have a demonstrated, intense, and meaningful focus on improving diversity throughout its regional science and technology ecosystem. </w:t>
      </w:r>
      <w:r>
        <w:rPr>
          <w:rFonts w:ascii="Arial" w:hAnsi="Arial" w:cs="Arial"/>
        </w:rPr>
        <w:t xml:space="preserve"> </w:t>
      </w:r>
    </w:p>
    <w:p w:rsidR="00040AF9" w:rsidP="000E230B" w14:paraId="3DE5E699" w14:textId="12613806">
      <w:pPr>
        <w:spacing w:line="264" w:lineRule="auto"/>
        <w:jc w:val="both"/>
        <w:rPr>
          <w:rFonts w:ascii="Arial" w:hAnsi="Arial" w:cs="Arial"/>
        </w:rPr>
      </w:pPr>
      <w:r w:rsidRPr="00040AF9">
        <w:rPr>
          <w:rFonts w:ascii="Arial" w:hAnsi="Arial" w:cs="Arial"/>
        </w:rPr>
        <w:t>This data collection, which entails collecting information from NSF Engines awardees, participants, and partner organizations</w:t>
      </w:r>
      <w:r>
        <w:rPr>
          <w:rFonts w:ascii="Arial" w:hAnsi="Arial" w:cs="Arial"/>
        </w:rPr>
        <w:t xml:space="preserve"> </w:t>
      </w:r>
      <w:r w:rsidRPr="00040AF9">
        <w:rPr>
          <w:rFonts w:ascii="Arial" w:hAnsi="Arial" w:cs="Arial"/>
        </w:rPr>
        <w:t xml:space="preserve">is in accordance with the </w:t>
      </w:r>
      <w:r w:rsidR="00491B01">
        <w:rPr>
          <w:rFonts w:ascii="Arial" w:hAnsi="Arial" w:cs="Arial"/>
        </w:rPr>
        <w:t>NSF’s</w:t>
      </w:r>
      <w:r w:rsidRPr="00040AF9">
        <w:rPr>
          <w:rFonts w:ascii="Arial" w:hAnsi="Arial" w:cs="Arial"/>
        </w:rPr>
        <w:t xml:space="preserve"> commitment to improving service delivery as well as the </w:t>
      </w:r>
      <w:r w:rsidR="00491B01">
        <w:rPr>
          <w:rFonts w:ascii="Arial" w:hAnsi="Arial" w:cs="Arial"/>
        </w:rPr>
        <w:t>a</w:t>
      </w:r>
      <w:r w:rsidRPr="00040AF9">
        <w:rPr>
          <w:rFonts w:ascii="Arial" w:hAnsi="Arial" w:cs="Arial"/>
        </w:rPr>
        <w:t>gency’s strategic goal to ‘‘</w:t>
      </w:r>
      <w:r w:rsidRPr="00040AF9">
        <w:rPr>
          <w:rFonts w:ascii="Arial" w:hAnsi="Arial" w:cs="Arial"/>
          <w:i/>
          <w:iCs/>
        </w:rPr>
        <w:t>advance the capability of the Nation to meet current and future challenges.</w:t>
      </w:r>
      <w:r w:rsidRPr="00040AF9">
        <w:rPr>
          <w:rFonts w:ascii="Arial" w:hAnsi="Arial" w:cs="Arial"/>
        </w:rPr>
        <w:t>’’</w:t>
      </w:r>
    </w:p>
    <w:p w:rsidR="00787A1C" w:rsidRPr="00040AF9" w:rsidP="00040AF9" w14:paraId="6F1543C5" w14:textId="77777777">
      <w:pPr>
        <w:spacing w:line="264" w:lineRule="auto"/>
        <w:rPr>
          <w:rFonts w:ascii="Arial" w:hAnsi="Arial" w:cs="Arial"/>
        </w:rPr>
      </w:pPr>
    </w:p>
    <w:p w:rsidR="002D6D87" w:rsidRPr="00787A1C" w:rsidP="002D6D87" w14:paraId="3CE5637D" w14:textId="77777777">
      <w:pPr>
        <w:pStyle w:val="Heading3"/>
        <w:rPr>
          <w:rFonts w:ascii="Arial" w:hAnsi="Arial" w:cs="Arial"/>
          <w:b/>
          <w:bCs/>
        </w:rPr>
      </w:pPr>
      <w:bookmarkStart w:id="0" w:name="_Hlk158384735"/>
      <w:r w:rsidRPr="00787A1C">
        <w:rPr>
          <w:rFonts w:ascii="Arial" w:hAnsi="Arial" w:cs="Arial"/>
          <w:b/>
          <w:bCs/>
        </w:rPr>
        <w:t>A.1 Circumstances Requiring the Collection of Data</w:t>
      </w:r>
      <w:bookmarkEnd w:id="0"/>
    </w:p>
    <w:p w:rsidR="005846D3" w:rsidP="005846D3" w14:paraId="2C5819A8" w14:textId="4933C153">
      <w:pPr>
        <w:spacing w:after="0" w:line="264" w:lineRule="auto"/>
        <w:rPr>
          <w:rFonts w:ascii="Arial" w:hAnsi="Arial" w:cs="Arial"/>
          <w:b/>
          <w:bCs/>
        </w:rPr>
      </w:pPr>
    </w:p>
    <w:p w:rsidR="001635FE" w:rsidP="001635FE" w14:paraId="28341E44" w14:textId="68B8F2B3">
      <w:pPr>
        <w:spacing w:line="264" w:lineRule="auto"/>
        <w:rPr>
          <w:rFonts w:ascii="Arial" w:hAnsi="Arial" w:cs="Arial"/>
        </w:rPr>
      </w:pPr>
      <w:r>
        <w:rPr>
          <w:rFonts w:ascii="Arial" w:hAnsi="Arial" w:cs="Arial"/>
        </w:rPr>
        <w:t>As the</w:t>
      </w:r>
      <w:r w:rsidRPr="00AE39B7">
        <w:rPr>
          <w:rFonts w:ascii="Arial" w:hAnsi="Arial" w:cs="Arial"/>
        </w:rPr>
        <w:t xml:space="preserve"> total</w:t>
      </w:r>
      <w:r w:rsidR="00B875AA">
        <w:rPr>
          <w:rFonts w:ascii="Arial" w:hAnsi="Arial" w:cs="Arial"/>
        </w:rPr>
        <w:t xml:space="preserve"> potential</w:t>
      </w:r>
      <w:r w:rsidRPr="00AE39B7">
        <w:rPr>
          <w:rFonts w:ascii="Arial" w:hAnsi="Arial" w:cs="Arial"/>
        </w:rPr>
        <w:t xml:space="preserve"> funding for each Engine is up to $160 million over 10 year</w:t>
      </w:r>
      <w:r>
        <w:rPr>
          <w:rFonts w:ascii="Arial" w:hAnsi="Arial" w:cs="Arial"/>
        </w:rPr>
        <w:t xml:space="preserve">s—one of the </w:t>
      </w:r>
      <w:r w:rsidR="00B875AA">
        <w:rPr>
          <w:rFonts w:ascii="Arial" w:hAnsi="Arial" w:cs="Arial"/>
        </w:rPr>
        <w:t>largest R&amp;D</w:t>
      </w:r>
      <w:r w:rsidR="000848AB">
        <w:rPr>
          <w:rFonts w:ascii="Arial" w:hAnsi="Arial" w:cs="Arial"/>
        </w:rPr>
        <w:t xml:space="preserve"> award</w:t>
      </w:r>
      <w:r>
        <w:rPr>
          <w:rFonts w:ascii="Arial" w:hAnsi="Arial" w:cs="Arial"/>
        </w:rPr>
        <w:t>s given out by the agency,</w:t>
      </w:r>
      <w:r>
        <w:rPr>
          <w:rFonts w:ascii="Arial" w:hAnsi="Arial" w:cs="Arial"/>
        </w:rPr>
        <w:t xml:space="preserve"> </w:t>
      </w:r>
      <w:r>
        <w:rPr>
          <w:rFonts w:ascii="Arial" w:hAnsi="Arial" w:cs="Arial"/>
        </w:rPr>
        <w:t xml:space="preserve">and the funding vehicle is through </w:t>
      </w:r>
      <w:r w:rsidRPr="000425EF">
        <w:rPr>
          <w:rFonts w:ascii="Arial" w:hAnsi="Arial" w:cs="Arial"/>
        </w:rPr>
        <w:t>cooperative agreements</w:t>
      </w:r>
      <w:r>
        <w:rPr>
          <w:rFonts w:ascii="Arial" w:hAnsi="Arial" w:cs="Arial"/>
        </w:rPr>
        <w:t xml:space="preserve">, </w:t>
      </w:r>
      <w:r>
        <w:rPr>
          <w:rFonts w:ascii="Arial" w:hAnsi="Arial" w:cs="Arial"/>
        </w:rPr>
        <w:t>e</w:t>
      </w:r>
      <w:r w:rsidRPr="00AE39B7">
        <w:rPr>
          <w:rFonts w:ascii="Arial" w:hAnsi="Arial" w:cs="Arial"/>
        </w:rPr>
        <w:t xml:space="preserve">ffective </w:t>
      </w:r>
      <w:r w:rsidR="00231E4B">
        <w:rPr>
          <w:rFonts w:ascii="Arial" w:hAnsi="Arial" w:cs="Arial"/>
        </w:rPr>
        <w:t>oversight</w:t>
      </w:r>
      <w:r w:rsidRPr="00AE39B7">
        <w:rPr>
          <w:rFonts w:ascii="Arial" w:hAnsi="Arial" w:cs="Arial"/>
        </w:rPr>
        <w:t xml:space="preserve">, </w:t>
      </w:r>
      <w:r w:rsidR="00B50A99">
        <w:rPr>
          <w:rFonts w:ascii="Arial" w:hAnsi="Arial" w:cs="Arial"/>
        </w:rPr>
        <w:t xml:space="preserve">continuous </w:t>
      </w:r>
      <w:r w:rsidR="00231E4B">
        <w:rPr>
          <w:rFonts w:ascii="Arial" w:hAnsi="Arial" w:cs="Arial"/>
        </w:rPr>
        <w:t>monitoring</w:t>
      </w:r>
      <w:r w:rsidRPr="00B50A99" w:rsidR="00B50A99">
        <w:rPr>
          <w:rFonts w:ascii="Arial" w:hAnsi="Arial" w:cs="Arial"/>
        </w:rPr>
        <w:t xml:space="preserve"> </w:t>
      </w:r>
      <w:r w:rsidR="00B50A99">
        <w:rPr>
          <w:rFonts w:ascii="Arial" w:hAnsi="Arial" w:cs="Arial"/>
        </w:rPr>
        <w:t>on</w:t>
      </w:r>
      <w:r w:rsidRPr="000425EF" w:rsidR="00B50A99">
        <w:rPr>
          <w:rFonts w:ascii="Arial" w:hAnsi="Arial" w:cs="Arial"/>
        </w:rPr>
        <w:t xml:space="preserve"> performance</w:t>
      </w:r>
      <w:r w:rsidRPr="00AE39B7">
        <w:rPr>
          <w:rFonts w:ascii="Arial" w:hAnsi="Arial" w:cs="Arial"/>
        </w:rPr>
        <w:t>, and</w:t>
      </w:r>
      <w:r w:rsidR="00B50A99">
        <w:rPr>
          <w:rFonts w:ascii="Arial" w:hAnsi="Arial" w:cs="Arial"/>
        </w:rPr>
        <w:t xml:space="preserve"> annual comprehensive </w:t>
      </w:r>
      <w:r w:rsidRPr="00AE39B7">
        <w:rPr>
          <w:rFonts w:ascii="Arial" w:hAnsi="Arial" w:cs="Arial"/>
        </w:rPr>
        <w:t xml:space="preserve">evaluation of </w:t>
      </w:r>
      <w:r>
        <w:rPr>
          <w:rFonts w:ascii="Arial" w:hAnsi="Arial" w:cs="Arial"/>
        </w:rPr>
        <w:t xml:space="preserve">each </w:t>
      </w:r>
      <w:r w:rsidRPr="00AE39B7">
        <w:rPr>
          <w:rFonts w:ascii="Arial" w:hAnsi="Arial" w:cs="Arial"/>
        </w:rPr>
        <w:t xml:space="preserve">Engine </w:t>
      </w:r>
      <w:r w:rsidR="00B50A99">
        <w:rPr>
          <w:rFonts w:ascii="Arial" w:hAnsi="Arial" w:cs="Arial"/>
        </w:rPr>
        <w:t xml:space="preserve">(through the life of the award) </w:t>
      </w:r>
      <w:r>
        <w:rPr>
          <w:rFonts w:ascii="Arial" w:hAnsi="Arial" w:cs="Arial"/>
        </w:rPr>
        <w:t>are</w:t>
      </w:r>
      <w:r w:rsidRPr="00AE39B7">
        <w:rPr>
          <w:rFonts w:ascii="Arial" w:hAnsi="Arial" w:cs="Arial"/>
        </w:rPr>
        <w:t xml:space="preserve"> critical</w:t>
      </w:r>
      <w:r>
        <w:rPr>
          <w:rFonts w:ascii="Arial" w:hAnsi="Arial" w:cs="Arial"/>
        </w:rPr>
        <w:t xml:space="preserve"> to </w:t>
      </w:r>
      <w:r w:rsidR="00B50A99">
        <w:rPr>
          <w:rFonts w:ascii="Arial" w:hAnsi="Arial" w:cs="Arial"/>
        </w:rPr>
        <w:t xml:space="preserve">inform </w:t>
      </w:r>
      <w:r w:rsidR="00A85848">
        <w:rPr>
          <w:rFonts w:ascii="Arial" w:hAnsi="Arial" w:cs="Arial"/>
        </w:rPr>
        <w:t>programmatic funding decisions</w:t>
      </w:r>
      <w:r w:rsidR="00C573CF">
        <w:rPr>
          <w:rFonts w:ascii="Arial" w:hAnsi="Arial" w:cs="Arial"/>
        </w:rPr>
        <w:t xml:space="preserve">, increase understanding of how regional innovation ecosystems are </w:t>
      </w:r>
      <w:r w:rsidR="00B22F68">
        <w:rPr>
          <w:rFonts w:ascii="Arial" w:hAnsi="Arial" w:cs="Arial"/>
        </w:rPr>
        <w:t>catalyzed and grown</w:t>
      </w:r>
      <w:r w:rsidR="00C573CF">
        <w:rPr>
          <w:rFonts w:ascii="Arial" w:hAnsi="Arial" w:cs="Arial"/>
        </w:rPr>
        <w:t>,</w:t>
      </w:r>
      <w:r w:rsidR="00B50A99">
        <w:rPr>
          <w:rFonts w:ascii="Arial" w:hAnsi="Arial" w:cs="Arial"/>
        </w:rPr>
        <w:t xml:space="preserve"> as well as the overall success of </w:t>
      </w:r>
      <w:r>
        <w:rPr>
          <w:rFonts w:ascii="Arial" w:hAnsi="Arial" w:cs="Arial"/>
        </w:rPr>
        <w:t xml:space="preserve">the </w:t>
      </w:r>
      <w:r w:rsidR="00B50A99">
        <w:rPr>
          <w:rFonts w:ascii="Arial" w:hAnsi="Arial" w:cs="Arial"/>
        </w:rPr>
        <w:t xml:space="preserve">program. </w:t>
      </w:r>
      <w:r>
        <w:rPr>
          <w:rFonts w:ascii="Arial" w:hAnsi="Arial" w:cs="Arial"/>
        </w:rPr>
        <w:t xml:space="preserve">  </w:t>
      </w:r>
    </w:p>
    <w:p w:rsidR="000E230B" w:rsidP="00AE39B7" w14:paraId="2790ACFE" w14:textId="247C2FF4">
      <w:pPr>
        <w:spacing w:line="264" w:lineRule="auto"/>
        <w:rPr>
          <w:rFonts w:ascii="Arial" w:hAnsi="Arial" w:cs="Arial"/>
        </w:rPr>
      </w:pPr>
      <w:bookmarkStart w:id="1" w:name="OLE_LINK1"/>
      <w:r w:rsidRPr="00AE39B7">
        <w:rPr>
          <w:rFonts w:ascii="Arial" w:hAnsi="Arial" w:cs="Arial"/>
        </w:rPr>
        <w:t xml:space="preserve">Systematic data and information collection will be qualitative, quantitative, and descriptive in nature and will provide a means for managing Program Directors to monitor progress </w:t>
      </w:r>
      <w:r w:rsidR="009C69BB">
        <w:rPr>
          <w:rFonts w:ascii="Arial" w:hAnsi="Arial" w:cs="Arial"/>
        </w:rPr>
        <w:t>of an</w:t>
      </w:r>
      <w:r w:rsidRPr="00AE39B7">
        <w:rPr>
          <w:rFonts w:ascii="Arial" w:hAnsi="Arial" w:cs="Arial"/>
        </w:rPr>
        <w:t xml:space="preserve"> award and ensure that the award is in good standing. </w:t>
      </w:r>
      <w:r w:rsidR="009C69BB">
        <w:rPr>
          <w:rFonts w:ascii="Arial" w:hAnsi="Arial" w:cs="Arial"/>
        </w:rPr>
        <w:t xml:space="preserve"> </w:t>
      </w:r>
      <w:r w:rsidRPr="00AE39B7">
        <w:rPr>
          <w:rFonts w:ascii="Arial" w:hAnsi="Arial" w:cs="Arial"/>
        </w:rPr>
        <w:t xml:space="preserve">These data will also allow </w:t>
      </w:r>
      <w:r w:rsidR="00B02188">
        <w:rPr>
          <w:rFonts w:ascii="Arial" w:hAnsi="Arial" w:cs="Arial"/>
        </w:rPr>
        <w:t xml:space="preserve">the assessment of </w:t>
      </w:r>
      <w:r w:rsidRPr="00AE39B7">
        <w:rPr>
          <w:rFonts w:ascii="Arial" w:hAnsi="Arial" w:cs="Arial"/>
        </w:rPr>
        <w:t xml:space="preserve">the NSF Engines in terms of intellectual, technological, societal, commercial, and economic impacts that are core to the NSF merit review criteria. </w:t>
      </w:r>
      <w:r w:rsidR="00B02188">
        <w:rPr>
          <w:rFonts w:ascii="Arial" w:hAnsi="Arial" w:cs="Arial"/>
        </w:rPr>
        <w:t xml:space="preserve"> </w:t>
      </w:r>
      <w:r w:rsidRPr="00AE39B7">
        <w:rPr>
          <w:rFonts w:ascii="Arial" w:hAnsi="Arial" w:cs="Arial"/>
        </w:rPr>
        <w:t>Finally, in compliance with the Evidence Act of 2019, information collected will be used for both internal and external program evaluation and assessment, satisfying Congressional requests, and supporting the Agency’s policymaking and reporting needs.</w:t>
      </w:r>
    </w:p>
    <w:bookmarkEnd w:id="1"/>
    <w:p w:rsidR="005846D3" w:rsidP="005846D3" w14:paraId="6F165C81" w14:textId="50087D10">
      <w:pPr>
        <w:pStyle w:val="Heading3"/>
        <w:rPr>
          <w:rFonts w:ascii="Arial" w:hAnsi="Arial" w:cs="Arial"/>
          <w:b/>
          <w:bCs/>
        </w:rPr>
      </w:pPr>
      <w:r w:rsidRPr="00787A1C">
        <w:rPr>
          <w:rFonts w:ascii="Arial" w:hAnsi="Arial" w:cs="Arial"/>
          <w:b/>
          <w:bCs/>
        </w:rPr>
        <w:t>A.</w:t>
      </w:r>
      <w:r>
        <w:rPr>
          <w:rFonts w:ascii="Arial" w:hAnsi="Arial" w:cs="Arial"/>
          <w:b/>
          <w:bCs/>
        </w:rPr>
        <w:t>2</w:t>
      </w:r>
      <w:r w:rsidRPr="00787A1C">
        <w:rPr>
          <w:rFonts w:ascii="Arial" w:hAnsi="Arial" w:cs="Arial"/>
          <w:b/>
          <w:bCs/>
        </w:rPr>
        <w:t xml:space="preserve"> </w:t>
      </w:r>
      <w:r>
        <w:rPr>
          <w:rFonts w:ascii="Arial" w:hAnsi="Arial" w:cs="Arial"/>
          <w:b/>
          <w:bCs/>
        </w:rPr>
        <w:t>Purpose and Use</w:t>
      </w:r>
      <w:r w:rsidRPr="00787A1C">
        <w:rPr>
          <w:rFonts w:ascii="Arial" w:hAnsi="Arial" w:cs="Arial"/>
          <w:b/>
          <w:bCs/>
        </w:rPr>
        <w:t xml:space="preserve"> of</w:t>
      </w:r>
      <w:r>
        <w:rPr>
          <w:rFonts w:ascii="Arial" w:hAnsi="Arial" w:cs="Arial"/>
          <w:b/>
          <w:bCs/>
        </w:rPr>
        <w:t xml:space="preserve"> the</w:t>
      </w:r>
      <w:r w:rsidRPr="00787A1C">
        <w:rPr>
          <w:rFonts w:ascii="Arial" w:hAnsi="Arial" w:cs="Arial"/>
          <w:b/>
          <w:bCs/>
        </w:rPr>
        <w:t xml:space="preserve"> Data</w:t>
      </w:r>
    </w:p>
    <w:p w:rsidR="005846D3" w:rsidRPr="005846D3" w:rsidP="005846D3" w14:paraId="391F3D03" w14:textId="285B79C1">
      <w:pPr>
        <w:spacing w:after="0"/>
      </w:pPr>
    </w:p>
    <w:p w:rsidR="00A152FD" w:rsidP="000E230B" w14:paraId="3B10DE5A" w14:textId="149EA960">
      <w:pPr>
        <w:spacing w:line="264" w:lineRule="auto"/>
        <w:jc w:val="both"/>
        <w:rPr>
          <w:rFonts w:ascii="Arial" w:hAnsi="Arial" w:cs="Arial"/>
        </w:rPr>
      </w:pPr>
      <w:r>
        <w:rPr>
          <w:rFonts w:ascii="Arial" w:hAnsi="Arial" w:cs="Arial"/>
        </w:rPr>
        <w:t xml:space="preserve">The data collection consists of </w:t>
      </w:r>
      <w:r w:rsidRPr="006F3D0A" w:rsidR="006F3D0A">
        <w:rPr>
          <w:rFonts w:ascii="Arial" w:hAnsi="Arial" w:cs="Arial"/>
        </w:rPr>
        <w:t>six survey instruments</w:t>
      </w:r>
      <w:r w:rsidR="00CD37C7">
        <w:rPr>
          <w:rFonts w:ascii="Arial" w:hAnsi="Arial" w:cs="Arial"/>
        </w:rPr>
        <w:t>—3 intake surveys and 3 follow-on surveys (see Figure 1</w:t>
      </w:r>
      <w:r w:rsidR="00CD37C7">
        <w:rPr>
          <w:rFonts w:ascii="Arial" w:hAnsi="Arial" w:cs="Arial"/>
        </w:rPr>
        <w:t>)</w:t>
      </w:r>
      <w:r w:rsidR="008D48C8">
        <w:rPr>
          <w:rFonts w:ascii="Arial" w:hAnsi="Arial" w:cs="Arial"/>
        </w:rPr>
        <w:t>, and</w:t>
      </w:r>
      <w:r w:rsidR="008D48C8">
        <w:rPr>
          <w:rFonts w:ascii="Arial" w:hAnsi="Arial" w:cs="Arial"/>
        </w:rPr>
        <w:t xml:space="preserve"> focus group interview questions.  </w:t>
      </w:r>
    </w:p>
    <w:p w:rsidR="008D48C8" w:rsidP="000E230B" w14:paraId="6697FA51" w14:textId="4D7F5D32">
      <w:pPr>
        <w:spacing w:line="264" w:lineRule="auto"/>
        <w:jc w:val="both"/>
        <w:rPr>
          <w:rFonts w:ascii="Arial" w:hAnsi="Arial" w:cs="Arial"/>
        </w:rPr>
      </w:pPr>
      <w:r>
        <w:rPr>
          <w:rFonts w:ascii="Arial" w:hAnsi="Arial" w:cs="Arial"/>
        </w:rPr>
        <w:t xml:space="preserve">The six survey instruments are: </w:t>
      </w:r>
    </w:p>
    <w:p w:rsidR="00661203" w:rsidRPr="009301EB" w:rsidP="000E230B" w14:paraId="087452C5" w14:textId="54491B15">
      <w:pPr>
        <w:pStyle w:val="ListParagraph"/>
        <w:numPr>
          <w:ilvl w:val="0"/>
          <w:numId w:val="2"/>
        </w:numPr>
        <w:spacing w:line="264" w:lineRule="auto"/>
        <w:jc w:val="both"/>
        <w:rPr>
          <w:rFonts w:ascii="Arial" w:hAnsi="Arial" w:cs="Arial"/>
          <w:sz w:val="22"/>
          <w:szCs w:val="22"/>
        </w:rPr>
      </w:pPr>
      <w:r w:rsidRPr="009301EB">
        <w:rPr>
          <w:rFonts w:ascii="Arial" w:hAnsi="Arial" w:cs="Arial"/>
          <w:sz w:val="22"/>
          <w:szCs w:val="22"/>
        </w:rPr>
        <w:t>Intake: Survey on programmatic activities</w:t>
      </w:r>
    </w:p>
    <w:p w:rsidR="00661203" w:rsidRPr="009301EB" w:rsidP="000E230B" w14:paraId="04C21986" w14:textId="56B68C75">
      <w:pPr>
        <w:pStyle w:val="ListParagraph"/>
        <w:numPr>
          <w:ilvl w:val="0"/>
          <w:numId w:val="2"/>
        </w:numPr>
        <w:spacing w:line="264" w:lineRule="auto"/>
        <w:jc w:val="both"/>
        <w:rPr>
          <w:rFonts w:ascii="Arial" w:hAnsi="Arial" w:cs="Arial"/>
          <w:sz w:val="22"/>
          <w:szCs w:val="22"/>
        </w:rPr>
      </w:pPr>
      <w:r w:rsidRPr="009301EB">
        <w:rPr>
          <w:rFonts w:ascii="Arial" w:hAnsi="Arial" w:cs="Arial"/>
          <w:sz w:val="22"/>
          <w:szCs w:val="22"/>
        </w:rPr>
        <w:t xml:space="preserve">Intake: </w:t>
      </w:r>
      <w:r w:rsidRPr="009301EB">
        <w:rPr>
          <w:rFonts w:ascii="Arial" w:hAnsi="Arial" w:cs="Arial"/>
          <w:sz w:val="22"/>
          <w:szCs w:val="22"/>
        </w:rPr>
        <w:t xml:space="preserve">Survey on </w:t>
      </w:r>
      <w:r w:rsidRPr="009301EB" w:rsidR="004C54F1">
        <w:rPr>
          <w:rFonts w:ascii="Arial" w:hAnsi="Arial" w:cs="Arial"/>
          <w:sz w:val="22"/>
          <w:szCs w:val="22"/>
        </w:rPr>
        <w:t>additional funds received</w:t>
      </w:r>
    </w:p>
    <w:p w:rsidR="004C54F1" w:rsidRPr="009301EB" w:rsidP="000E230B" w14:paraId="19928AFE" w14:textId="59F8C044">
      <w:pPr>
        <w:pStyle w:val="ListParagraph"/>
        <w:numPr>
          <w:ilvl w:val="0"/>
          <w:numId w:val="2"/>
        </w:numPr>
        <w:spacing w:line="264" w:lineRule="auto"/>
        <w:jc w:val="both"/>
        <w:rPr>
          <w:rFonts w:ascii="Arial" w:hAnsi="Arial" w:cs="Arial"/>
          <w:sz w:val="22"/>
          <w:szCs w:val="22"/>
        </w:rPr>
      </w:pPr>
      <w:r w:rsidRPr="009301EB">
        <w:rPr>
          <w:rFonts w:ascii="Arial" w:hAnsi="Arial" w:cs="Arial"/>
          <w:sz w:val="22"/>
          <w:szCs w:val="22"/>
        </w:rPr>
        <w:t xml:space="preserve">Intake: </w:t>
      </w:r>
      <w:bookmarkStart w:id="2" w:name="_Hlk158380373"/>
      <w:r w:rsidRPr="009301EB">
        <w:rPr>
          <w:rFonts w:ascii="Arial" w:hAnsi="Arial" w:cs="Arial"/>
          <w:sz w:val="22"/>
          <w:szCs w:val="22"/>
        </w:rPr>
        <w:t xml:space="preserve">Survey on program participants and/or individuals involved in </w:t>
      </w:r>
      <w:r w:rsidRPr="009301EB">
        <w:rPr>
          <w:rFonts w:ascii="Arial" w:hAnsi="Arial" w:cs="Arial"/>
          <w:sz w:val="22"/>
          <w:szCs w:val="22"/>
        </w:rPr>
        <w:t>Engines’ activities</w:t>
      </w:r>
      <w:bookmarkEnd w:id="2"/>
    </w:p>
    <w:p w:rsidR="007B6E05" w:rsidRPr="009301EB" w:rsidP="000E230B" w14:paraId="461E94D8" w14:textId="3A552856">
      <w:pPr>
        <w:pStyle w:val="ListParagraph"/>
        <w:numPr>
          <w:ilvl w:val="0"/>
          <w:numId w:val="2"/>
        </w:numPr>
        <w:spacing w:line="264" w:lineRule="auto"/>
        <w:jc w:val="both"/>
        <w:rPr>
          <w:rFonts w:ascii="Arial" w:hAnsi="Arial" w:cs="Arial"/>
          <w:sz w:val="22"/>
          <w:szCs w:val="22"/>
        </w:rPr>
      </w:pPr>
      <w:r w:rsidRPr="009301EB">
        <w:rPr>
          <w:rFonts w:ascii="Arial" w:hAnsi="Arial" w:cs="Arial"/>
          <w:sz w:val="22"/>
          <w:szCs w:val="22"/>
        </w:rPr>
        <w:t xml:space="preserve">Survey on programmatic </w:t>
      </w:r>
      <w:r w:rsidRPr="009301EB">
        <w:rPr>
          <w:rFonts w:ascii="Arial" w:hAnsi="Arial" w:cs="Arial"/>
          <w:sz w:val="22"/>
          <w:szCs w:val="22"/>
        </w:rPr>
        <w:t>activities</w:t>
      </w:r>
    </w:p>
    <w:p w:rsidR="00F84C10" w:rsidRPr="009301EB" w:rsidP="000E230B" w14:paraId="665B7282" w14:textId="1A1FF1E6">
      <w:pPr>
        <w:pStyle w:val="ListParagraph"/>
        <w:numPr>
          <w:ilvl w:val="0"/>
          <w:numId w:val="2"/>
        </w:numPr>
        <w:spacing w:line="264" w:lineRule="auto"/>
        <w:jc w:val="both"/>
        <w:rPr>
          <w:rFonts w:ascii="Arial" w:hAnsi="Arial" w:cs="Arial"/>
          <w:sz w:val="22"/>
          <w:szCs w:val="22"/>
        </w:rPr>
      </w:pPr>
      <w:r w:rsidRPr="009301EB">
        <w:rPr>
          <w:rFonts w:ascii="Arial" w:hAnsi="Arial" w:cs="Arial"/>
          <w:sz w:val="22"/>
          <w:szCs w:val="22"/>
        </w:rPr>
        <w:t xml:space="preserve">Survey on program participants and/or individuals involved in Engines’ </w:t>
      </w:r>
      <w:r w:rsidRPr="009301EB">
        <w:rPr>
          <w:rFonts w:ascii="Arial" w:hAnsi="Arial" w:cs="Arial"/>
          <w:sz w:val="22"/>
          <w:szCs w:val="22"/>
        </w:rPr>
        <w:t>activities</w:t>
      </w:r>
    </w:p>
    <w:p w:rsidR="0070269C" w:rsidP="000E230B" w14:paraId="20E1C50A" w14:textId="333F5CF9">
      <w:pPr>
        <w:pStyle w:val="ListParagraph"/>
        <w:numPr>
          <w:ilvl w:val="0"/>
          <w:numId w:val="2"/>
        </w:numPr>
        <w:spacing w:line="264" w:lineRule="auto"/>
        <w:jc w:val="both"/>
        <w:rPr>
          <w:rFonts w:ascii="Arial" w:hAnsi="Arial" w:cs="Arial"/>
          <w:sz w:val="22"/>
          <w:szCs w:val="22"/>
        </w:rPr>
      </w:pPr>
      <w:r w:rsidRPr="009301EB">
        <w:rPr>
          <w:rFonts w:ascii="Arial" w:hAnsi="Arial" w:cs="Arial"/>
          <w:sz w:val="22"/>
          <w:szCs w:val="22"/>
        </w:rPr>
        <w:t xml:space="preserve">Survey on partner </w:t>
      </w:r>
      <w:r w:rsidRPr="009301EB">
        <w:rPr>
          <w:rFonts w:ascii="Arial" w:hAnsi="Arial" w:cs="Arial"/>
          <w:sz w:val="22"/>
          <w:szCs w:val="22"/>
        </w:rPr>
        <w:t>organizations</w:t>
      </w:r>
    </w:p>
    <w:p w:rsidR="009301EB" w:rsidRPr="009301EB" w:rsidP="009301EB" w14:paraId="1316B75E" w14:textId="77777777">
      <w:pPr>
        <w:pStyle w:val="ListParagraph"/>
        <w:spacing w:line="264" w:lineRule="auto"/>
        <w:rPr>
          <w:rFonts w:ascii="Arial" w:hAnsi="Arial" w:cs="Arial"/>
          <w:sz w:val="22"/>
          <w:szCs w:val="22"/>
        </w:rPr>
      </w:pPr>
    </w:p>
    <w:p w:rsidR="00792A4D" w:rsidRPr="00792A4D" w:rsidP="000E230B" w14:paraId="36E61409" w14:textId="7B328F39">
      <w:pPr>
        <w:spacing w:line="264" w:lineRule="auto"/>
        <w:jc w:val="both"/>
        <w:rPr>
          <w:rFonts w:ascii="Arial" w:hAnsi="Arial" w:cs="Arial"/>
        </w:rPr>
      </w:pPr>
      <w:r w:rsidRPr="0070269C">
        <w:rPr>
          <w:rFonts w:ascii="Arial" w:hAnsi="Arial" w:cs="Arial"/>
        </w:rPr>
        <w:t xml:space="preserve">The surveys will </w:t>
      </w:r>
      <w:r w:rsidR="00BD79DB">
        <w:rPr>
          <w:rFonts w:ascii="Arial" w:hAnsi="Arial" w:cs="Arial"/>
        </w:rPr>
        <w:t xml:space="preserve">enable the program to collect </w:t>
      </w:r>
      <w:r w:rsidRPr="0070269C" w:rsidR="00BD79DB">
        <w:rPr>
          <w:rFonts w:ascii="Arial" w:hAnsi="Arial" w:cs="Arial"/>
        </w:rPr>
        <w:t>baseline measures</w:t>
      </w:r>
      <w:r w:rsidR="00727E52">
        <w:rPr>
          <w:rFonts w:ascii="Arial" w:hAnsi="Arial" w:cs="Arial"/>
        </w:rPr>
        <w:t xml:space="preserve"> from awardees, program participants, and partners at </w:t>
      </w:r>
      <w:r w:rsidRPr="0070269C" w:rsidR="00BD79DB">
        <w:rPr>
          <w:rFonts w:ascii="Arial" w:hAnsi="Arial" w:cs="Arial"/>
        </w:rPr>
        <w:t>the start of the program a</w:t>
      </w:r>
      <w:r w:rsidR="00727E52">
        <w:rPr>
          <w:rFonts w:ascii="Arial" w:hAnsi="Arial" w:cs="Arial"/>
        </w:rPr>
        <w:t>s well as</w:t>
      </w:r>
      <w:r w:rsidRPr="0070269C" w:rsidR="00BD79DB">
        <w:rPr>
          <w:rFonts w:ascii="Arial" w:hAnsi="Arial" w:cs="Arial"/>
        </w:rPr>
        <w:t xml:space="preserve"> information on the progress made by each</w:t>
      </w:r>
      <w:r w:rsidR="00727E52">
        <w:rPr>
          <w:rFonts w:ascii="Arial" w:hAnsi="Arial" w:cs="Arial"/>
        </w:rPr>
        <w:t xml:space="preserve"> </w:t>
      </w:r>
      <w:r w:rsidRPr="0070269C" w:rsidR="00BD79DB">
        <w:rPr>
          <w:rFonts w:ascii="Arial" w:hAnsi="Arial" w:cs="Arial"/>
        </w:rPr>
        <w:t xml:space="preserve">Engine to </w:t>
      </w:r>
      <w:r w:rsidR="00727E52">
        <w:rPr>
          <w:rFonts w:ascii="Arial" w:hAnsi="Arial" w:cs="Arial"/>
        </w:rPr>
        <w:t>ascertain</w:t>
      </w:r>
      <w:r w:rsidRPr="0070269C" w:rsidR="00BD79DB">
        <w:rPr>
          <w:rFonts w:ascii="Arial" w:hAnsi="Arial" w:cs="Arial"/>
        </w:rPr>
        <w:t xml:space="preserve"> inclusive, sustainable regional innovation ecosystems</w:t>
      </w:r>
      <w:r w:rsidR="00727E52">
        <w:rPr>
          <w:rFonts w:ascii="Arial" w:hAnsi="Arial" w:cs="Arial"/>
        </w:rPr>
        <w:t xml:space="preserve"> are being developed. </w:t>
      </w:r>
      <w:r w:rsidRPr="00792A4D">
        <w:rPr>
          <w:rFonts w:ascii="Arial" w:hAnsi="Arial" w:cs="Arial"/>
        </w:rPr>
        <w:t>The information collected</w:t>
      </w:r>
      <w:r>
        <w:rPr>
          <w:rFonts w:ascii="Arial" w:hAnsi="Arial" w:cs="Arial"/>
        </w:rPr>
        <w:t xml:space="preserve"> will </w:t>
      </w:r>
      <w:r w:rsidRPr="00792A4D">
        <w:rPr>
          <w:rFonts w:ascii="Arial" w:hAnsi="Arial" w:cs="Arial"/>
        </w:rPr>
        <w:t>allow managing</w:t>
      </w:r>
      <w:r>
        <w:rPr>
          <w:rFonts w:ascii="Arial" w:hAnsi="Arial" w:cs="Arial"/>
        </w:rPr>
        <w:t xml:space="preserve"> </w:t>
      </w:r>
      <w:r w:rsidRPr="00792A4D">
        <w:rPr>
          <w:rFonts w:ascii="Arial" w:hAnsi="Arial" w:cs="Arial"/>
        </w:rPr>
        <w:t xml:space="preserve">Program Directors to ensure that the </w:t>
      </w:r>
      <w:r>
        <w:rPr>
          <w:rFonts w:ascii="Arial" w:hAnsi="Arial" w:cs="Arial"/>
        </w:rPr>
        <w:t>Engines</w:t>
      </w:r>
      <w:r w:rsidRPr="00792A4D">
        <w:rPr>
          <w:rFonts w:ascii="Arial" w:hAnsi="Arial" w:cs="Arial"/>
        </w:rPr>
        <w:t xml:space="preserve"> awarded are in good </w:t>
      </w:r>
      <w:r w:rsidRPr="00792A4D">
        <w:rPr>
          <w:rFonts w:ascii="Arial" w:hAnsi="Arial" w:cs="Arial"/>
        </w:rPr>
        <w:t>standing, and</w:t>
      </w:r>
      <w:r w:rsidRPr="00792A4D">
        <w:rPr>
          <w:rFonts w:ascii="Arial" w:hAnsi="Arial" w:cs="Arial"/>
        </w:rPr>
        <w:t xml:space="preserve"> complying with </w:t>
      </w:r>
      <w:r w:rsidR="00834B76">
        <w:rPr>
          <w:rFonts w:ascii="Arial" w:hAnsi="Arial" w:cs="Arial"/>
        </w:rPr>
        <w:t>p</w:t>
      </w:r>
      <w:r w:rsidRPr="00792A4D">
        <w:rPr>
          <w:rFonts w:ascii="Arial" w:hAnsi="Arial" w:cs="Arial"/>
        </w:rPr>
        <w:t xml:space="preserve">rogram requirements.  Data collected is also used for recommending changes to improve and strengthen the Program. </w:t>
      </w:r>
      <w:r w:rsidR="00834B76">
        <w:rPr>
          <w:rFonts w:ascii="Arial" w:hAnsi="Arial" w:cs="Arial"/>
        </w:rPr>
        <w:t xml:space="preserve"> </w:t>
      </w:r>
    </w:p>
    <w:p w:rsidR="0070269C" w:rsidRPr="0070269C" w:rsidP="000E230B" w14:paraId="3B102D95" w14:textId="3E67505F">
      <w:pPr>
        <w:spacing w:line="264" w:lineRule="auto"/>
        <w:jc w:val="both"/>
        <w:rPr>
          <w:rFonts w:ascii="Arial" w:hAnsi="Arial" w:cs="Arial"/>
        </w:rPr>
      </w:pPr>
      <w:r>
        <w:rPr>
          <w:rFonts w:ascii="Arial" w:hAnsi="Arial" w:cs="Arial"/>
        </w:rPr>
        <w:t>In addition, d</w:t>
      </w:r>
      <w:r w:rsidRPr="0070269C">
        <w:rPr>
          <w:rFonts w:ascii="Arial" w:hAnsi="Arial" w:cs="Arial"/>
        </w:rPr>
        <w:t xml:space="preserve">ata </w:t>
      </w:r>
      <w:r>
        <w:rPr>
          <w:rFonts w:ascii="Arial" w:hAnsi="Arial" w:cs="Arial"/>
        </w:rPr>
        <w:t xml:space="preserve">pertaining to individual Engines </w:t>
      </w:r>
      <w:r w:rsidRPr="0070269C">
        <w:rPr>
          <w:rFonts w:ascii="Arial" w:hAnsi="Arial" w:cs="Arial"/>
        </w:rPr>
        <w:t xml:space="preserve">will </w:t>
      </w:r>
      <w:r w:rsidR="00AA1CD5">
        <w:rPr>
          <w:rFonts w:ascii="Arial" w:hAnsi="Arial" w:cs="Arial"/>
        </w:rPr>
        <w:t xml:space="preserve">also be </w:t>
      </w:r>
      <w:r w:rsidRPr="0070269C">
        <w:rPr>
          <w:rFonts w:ascii="Arial" w:hAnsi="Arial" w:cs="Arial"/>
        </w:rPr>
        <w:t xml:space="preserve">made available to external evaluator(s) for each </w:t>
      </w:r>
      <w:r w:rsidR="00B574EE">
        <w:rPr>
          <w:rFonts w:ascii="Arial" w:hAnsi="Arial" w:cs="Arial"/>
        </w:rPr>
        <w:t>respective</w:t>
      </w:r>
      <w:r w:rsidRPr="0070269C">
        <w:rPr>
          <w:rFonts w:ascii="Arial" w:hAnsi="Arial" w:cs="Arial"/>
        </w:rPr>
        <w:t xml:space="preserve"> Engine to be used for their own </w:t>
      </w:r>
      <w:r w:rsidR="003B291F">
        <w:rPr>
          <w:rFonts w:ascii="Arial" w:hAnsi="Arial" w:cs="Arial"/>
        </w:rPr>
        <w:t xml:space="preserve">internal </w:t>
      </w:r>
      <w:r w:rsidRPr="0070269C">
        <w:rPr>
          <w:rFonts w:ascii="Arial" w:hAnsi="Arial" w:cs="Arial"/>
        </w:rPr>
        <w:t xml:space="preserve">analyses, assessments, and </w:t>
      </w:r>
      <w:r w:rsidR="003B291F">
        <w:rPr>
          <w:rFonts w:ascii="Arial" w:hAnsi="Arial" w:cs="Arial"/>
        </w:rPr>
        <w:t>validation</w:t>
      </w:r>
      <w:r w:rsidRPr="0070269C">
        <w:rPr>
          <w:rFonts w:ascii="Arial" w:hAnsi="Arial" w:cs="Arial"/>
        </w:rPr>
        <w:t>. </w:t>
      </w:r>
    </w:p>
    <w:p w:rsidR="00AE39B7" w:rsidRPr="009301EB" w:rsidP="000E230B" w14:paraId="596CF9FC" w14:textId="135912ED">
      <w:pPr>
        <w:spacing w:line="264" w:lineRule="auto"/>
        <w:jc w:val="both"/>
        <w:rPr>
          <w:rFonts w:ascii="Arial" w:hAnsi="Arial" w:cs="Arial"/>
        </w:rPr>
      </w:pPr>
      <w:r w:rsidRPr="00794C8F">
        <w:rPr>
          <w:rFonts w:ascii="Arial" w:hAnsi="Arial" w:cs="Arial"/>
        </w:rPr>
        <w:t xml:space="preserve">Descriptions of each survey instrument is provided below and a summary of the number of survey </w:t>
      </w:r>
      <w:r>
        <w:rPr>
          <w:rFonts w:ascii="Arial" w:hAnsi="Arial" w:cs="Arial"/>
        </w:rPr>
        <w:t>items</w:t>
      </w:r>
      <w:r w:rsidRPr="00794C8F">
        <w:rPr>
          <w:rFonts w:ascii="Arial" w:hAnsi="Arial" w:cs="Arial"/>
        </w:rPr>
        <w:t xml:space="preserve"> by type for each survey instrument can be found in </w:t>
      </w:r>
      <w:r w:rsidRPr="00794C8F">
        <w:rPr>
          <w:rFonts w:ascii="Arial" w:hAnsi="Arial" w:cs="Arial"/>
        </w:rPr>
        <w:fldChar w:fldCharType="begin"/>
      </w:r>
      <w:r w:rsidRPr="00794C8F">
        <w:rPr>
          <w:rFonts w:ascii="Arial" w:hAnsi="Arial" w:cs="Arial"/>
        </w:rPr>
        <w:instrText xml:space="preserve"> REF _Ref156918002 \h </w:instrText>
      </w:r>
      <w:r w:rsidR="000E230B">
        <w:rPr>
          <w:rFonts w:ascii="Arial" w:hAnsi="Arial" w:cs="Arial"/>
        </w:rPr>
        <w:instrText xml:space="preserve"> \* MERGEFORMAT </w:instrText>
      </w:r>
      <w:r w:rsidRPr="00794C8F">
        <w:rPr>
          <w:rFonts w:ascii="Arial" w:hAnsi="Arial" w:cs="Arial"/>
        </w:rPr>
        <w:fldChar w:fldCharType="separate"/>
      </w:r>
      <w:r w:rsidRPr="00794C8F">
        <w:rPr>
          <w:rFonts w:ascii="Arial" w:hAnsi="Arial" w:cs="Arial"/>
        </w:rPr>
        <w:t>Table 1</w:t>
      </w:r>
      <w:r w:rsidRPr="00794C8F">
        <w:rPr>
          <w:rFonts w:ascii="Arial" w:hAnsi="Arial" w:cs="Arial"/>
        </w:rPr>
        <w:fldChar w:fldCharType="end"/>
      </w:r>
      <w:r w:rsidRPr="00794C8F">
        <w:rPr>
          <w:rFonts w:ascii="Arial" w:hAnsi="Arial" w:cs="Arial"/>
        </w:rPr>
        <w:t xml:space="preserve">. Lastly, we identified the </w:t>
      </w:r>
      <w:r w:rsidR="009301EB">
        <w:rPr>
          <w:rFonts w:ascii="Arial" w:hAnsi="Arial" w:cs="Arial"/>
        </w:rPr>
        <w:t>target population</w:t>
      </w:r>
      <w:r w:rsidRPr="00794C8F">
        <w:rPr>
          <w:rFonts w:ascii="Arial" w:hAnsi="Arial" w:cs="Arial"/>
        </w:rPr>
        <w:t xml:space="preserve"> who will be responding to each survey instrument in </w:t>
      </w:r>
      <w:r w:rsidRPr="00794C8F">
        <w:rPr>
          <w:rFonts w:ascii="Arial" w:hAnsi="Arial" w:cs="Arial"/>
        </w:rPr>
        <w:fldChar w:fldCharType="begin"/>
      </w:r>
      <w:r w:rsidRPr="00794C8F">
        <w:rPr>
          <w:rFonts w:ascii="Arial" w:hAnsi="Arial" w:cs="Arial"/>
        </w:rPr>
        <w:instrText xml:space="preserve"> REF _Ref155961792 \h </w:instrText>
      </w:r>
      <w:r w:rsidR="000E230B">
        <w:rPr>
          <w:rFonts w:ascii="Arial" w:hAnsi="Arial" w:cs="Arial"/>
        </w:rPr>
        <w:instrText xml:space="preserve"> \* MERGEFORMAT </w:instrText>
      </w:r>
      <w:r w:rsidRPr="00794C8F">
        <w:rPr>
          <w:rFonts w:ascii="Arial" w:hAnsi="Arial" w:cs="Arial"/>
        </w:rPr>
        <w:fldChar w:fldCharType="separate"/>
      </w:r>
      <w:r w:rsidRPr="00794C8F">
        <w:rPr>
          <w:rFonts w:ascii="Arial" w:hAnsi="Arial" w:cs="Arial"/>
        </w:rPr>
        <w:t>Table 2</w:t>
      </w:r>
      <w:r w:rsidRPr="00794C8F">
        <w:rPr>
          <w:rFonts w:ascii="Arial" w:hAnsi="Arial" w:cs="Arial"/>
        </w:rPr>
        <w:fldChar w:fldCharType="end"/>
      </w:r>
      <w:r w:rsidRPr="00794C8F">
        <w:rPr>
          <w:rFonts w:ascii="Arial" w:hAnsi="Arial" w:cs="Arial"/>
        </w:rPr>
        <w:t>.</w:t>
      </w:r>
      <w:r w:rsidR="000429DB">
        <w:rPr>
          <w:rFonts w:ascii="Arial" w:hAnsi="Arial" w:cs="Arial"/>
        </w:rPr>
        <w:t xml:space="preserve"> The survey questions presented </w:t>
      </w:r>
      <w:r w:rsidR="007E6BA3">
        <w:rPr>
          <w:rFonts w:ascii="Arial" w:hAnsi="Arial" w:cs="Arial"/>
        </w:rPr>
        <w:t xml:space="preserve">in this package are to collect administrative data </w:t>
      </w:r>
      <w:r w:rsidR="0047365E">
        <w:rPr>
          <w:rFonts w:ascii="Arial" w:hAnsi="Arial" w:cs="Arial"/>
        </w:rPr>
        <w:t>for fact-finding purposes.</w:t>
      </w:r>
    </w:p>
    <w:p w:rsidR="00890C3E" w:rsidRPr="00CC1BE4" w:rsidP="00890C3E" w14:paraId="38C41495" w14:textId="65BF8B2A">
      <w:pPr>
        <w:rPr>
          <w:rFonts w:ascii="Arial" w:hAnsi="Arial" w:cs="Arial"/>
          <w:b/>
          <w:bCs/>
          <w:color w:val="2F5496" w:themeColor="accent1" w:themeShade="BF"/>
        </w:rPr>
      </w:pPr>
      <w:r>
        <w:rPr>
          <w:rFonts w:ascii="Arial" w:hAnsi="Arial" w:cs="Arial"/>
          <w:b/>
          <w:bCs/>
          <w:color w:val="2F5496" w:themeColor="accent1" w:themeShade="BF"/>
        </w:rPr>
        <w:t xml:space="preserve">Survey Instrument (1) | </w:t>
      </w:r>
      <w:r w:rsidRPr="00CC1BE4">
        <w:rPr>
          <w:rFonts w:ascii="Arial" w:hAnsi="Arial" w:cs="Arial"/>
          <w:b/>
          <w:bCs/>
          <w:color w:val="2F5496" w:themeColor="accent1" w:themeShade="BF"/>
        </w:rPr>
        <w:t>Intake: Survey on programmatic activities</w:t>
      </w:r>
    </w:p>
    <w:p w:rsidR="00EF35ED" w:rsidRPr="00EF35ED" w:rsidP="000E230B" w14:paraId="7AD23612" w14:textId="6BD5AA98">
      <w:pPr>
        <w:jc w:val="both"/>
        <w:rPr>
          <w:rFonts w:ascii="Arial" w:hAnsi="Arial" w:cs="Arial"/>
        </w:rPr>
      </w:pPr>
      <w:r w:rsidRPr="00890C3E">
        <w:rPr>
          <w:rFonts w:ascii="Arial" w:hAnsi="Arial" w:cs="Arial"/>
        </w:rPr>
        <w:t xml:space="preserve">This survey allows </w:t>
      </w:r>
      <w:r>
        <w:rPr>
          <w:rFonts w:ascii="Arial" w:hAnsi="Arial" w:cs="Arial"/>
        </w:rPr>
        <w:t xml:space="preserve">an </w:t>
      </w:r>
      <w:r w:rsidRPr="00890C3E">
        <w:rPr>
          <w:rFonts w:ascii="Arial" w:hAnsi="Arial" w:cs="Arial"/>
        </w:rPr>
        <w:t xml:space="preserve">Engine to identify the programmatic activities taking place in their Engine along with the associated programmatic activity lead and his/her email address. </w:t>
      </w:r>
      <w:r w:rsidR="005E2C45">
        <w:rPr>
          <w:rFonts w:ascii="Arial" w:hAnsi="Arial" w:cs="Arial"/>
        </w:rPr>
        <w:t xml:space="preserve"> </w:t>
      </w:r>
      <w:r w:rsidRPr="00890C3E">
        <w:rPr>
          <w:rFonts w:ascii="Arial" w:hAnsi="Arial" w:cs="Arial"/>
        </w:rPr>
        <w:t>Designated Engine personnel will provide basic information on each NSF Engine programmatic activity (</w:t>
      </w:r>
      <w:r w:rsidRPr="00890C3E">
        <w:rPr>
          <w:rFonts w:ascii="Arial" w:hAnsi="Arial" w:cs="Arial"/>
          <w:i/>
          <w:iCs/>
        </w:rPr>
        <w:t xml:space="preserve">e.g., </w:t>
      </w:r>
      <w:r w:rsidRPr="00890C3E">
        <w:rPr>
          <w:rFonts w:ascii="Arial" w:hAnsi="Arial" w:cs="Arial"/>
        </w:rPr>
        <w:t xml:space="preserve">title of activity, activity lead name and email address, short description of the activity). Programmatic activities only need to be entered once into this survey. Once a programmatic activity has been entered, it does not need to be re-entered in future years. Each survey response is one programmatic activity. If an NSF Engine does not start any new programmatic activities within a reporting year, then the NSF Engine does not have to submit any responses to this intake survey. </w:t>
      </w:r>
    </w:p>
    <w:p w:rsidR="00EF35ED" w:rsidRPr="00CC1BE4" w:rsidP="00EF35ED" w14:paraId="64C7D7F0" w14:textId="286573E4">
      <w:pPr>
        <w:rPr>
          <w:rFonts w:ascii="Arial" w:hAnsi="Arial" w:cs="Arial"/>
          <w:b/>
          <w:bCs/>
          <w:color w:val="2F5496" w:themeColor="accent1" w:themeShade="BF"/>
        </w:rPr>
      </w:pPr>
      <w:r>
        <w:rPr>
          <w:rFonts w:ascii="Arial" w:hAnsi="Arial" w:cs="Arial"/>
          <w:b/>
          <w:bCs/>
          <w:color w:val="2F5496" w:themeColor="accent1" w:themeShade="BF"/>
        </w:rPr>
        <w:t xml:space="preserve">Survey Instrument (2) | </w:t>
      </w:r>
      <w:r w:rsidRPr="00CC1BE4">
        <w:rPr>
          <w:rFonts w:ascii="Arial" w:hAnsi="Arial" w:cs="Arial"/>
          <w:b/>
          <w:bCs/>
          <w:color w:val="2F5496" w:themeColor="accent1" w:themeShade="BF"/>
        </w:rPr>
        <w:t xml:space="preserve">Intake: Survey on additional funds </w:t>
      </w:r>
      <w:r w:rsidRPr="00CC1BE4">
        <w:rPr>
          <w:rFonts w:ascii="Arial" w:hAnsi="Arial" w:cs="Arial"/>
          <w:b/>
          <w:bCs/>
          <w:color w:val="2F5496" w:themeColor="accent1" w:themeShade="BF"/>
        </w:rPr>
        <w:t>received</w:t>
      </w:r>
    </w:p>
    <w:p w:rsidR="009301EB" w:rsidRPr="00E66ABB" w:rsidP="00E66ABB" w14:paraId="5FF3F5B5" w14:textId="1F14B378">
      <w:pPr>
        <w:jc w:val="both"/>
        <w:rPr>
          <w:rFonts w:ascii="Arial" w:hAnsi="Arial" w:cs="Arial"/>
          <w:color w:val="000000" w:themeColor="text1"/>
        </w:rPr>
      </w:pPr>
      <w:r w:rsidRPr="007F7B1B">
        <w:rPr>
          <w:rFonts w:ascii="Arial" w:hAnsi="Arial" w:cs="Arial"/>
          <w:color w:val="000000" w:themeColor="text1"/>
        </w:rPr>
        <w:t xml:space="preserve">This survey allows designated Engine personnel to report additional funds received by each Engine during the reporting year from entities such as </w:t>
      </w:r>
      <w:r>
        <w:rPr>
          <w:rFonts w:ascii="Arial" w:hAnsi="Arial" w:cs="Arial"/>
          <w:color w:val="000000" w:themeColor="text1"/>
        </w:rPr>
        <w:t>s</w:t>
      </w:r>
      <w:r w:rsidRPr="007F7B1B">
        <w:rPr>
          <w:rFonts w:ascii="Arial" w:hAnsi="Arial" w:cs="Arial"/>
          <w:color w:val="000000" w:themeColor="text1"/>
        </w:rPr>
        <w:t xml:space="preserve">tate or local government, philanthropic organizations, and other Federal sources of funding. </w:t>
      </w:r>
      <w:r w:rsidR="00CD35E8">
        <w:rPr>
          <w:rFonts w:ascii="Arial" w:hAnsi="Arial" w:cs="Arial"/>
          <w:color w:val="000000" w:themeColor="text1"/>
        </w:rPr>
        <w:t xml:space="preserve"> </w:t>
      </w:r>
      <w:r w:rsidRPr="007F7B1B">
        <w:rPr>
          <w:rFonts w:ascii="Arial" w:hAnsi="Arial" w:cs="Arial"/>
          <w:color w:val="000000" w:themeColor="text1"/>
        </w:rPr>
        <w:t xml:space="preserve">Data collected from this survey include the amount of funds received; type of entity that provided the funds (e.g., venture capital; local or </w:t>
      </w:r>
      <w:r w:rsidR="00CD35E8">
        <w:rPr>
          <w:rFonts w:ascii="Arial" w:hAnsi="Arial" w:cs="Arial"/>
          <w:color w:val="000000" w:themeColor="text1"/>
        </w:rPr>
        <w:t>s</w:t>
      </w:r>
      <w:r w:rsidRPr="007F7B1B">
        <w:rPr>
          <w:rFonts w:ascii="Arial" w:hAnsi="Arial" w:cs="Arial"/>
          <w:color w:val="000000" w:themeColor="text1"/>
        </w:rPr>
        <w:t xml:space="preserve">tate government; philanthropic organization); and a summary of the terms and conditions under which certain funds (i.e., investments) are made. </w:t>
      </w:r>
      <w:r w:rsidR="00CD35E8">
        <w:rPr>
          <w:rFonts w:ascii="Arial" w:hAnsi="Arial" w:cs="Arial"/>
          <w:color w:val="000000" w:themeColor="text1"/>
        </w:rPr>
        <w:t xml:space="preserve"> </w:t>
      </w:r>
      <w:r w:rsidRPr="007F7B1B">
        <w:rPr>
          <w:rFonts w:ascii="Arial" w:hAnsi="Arial" w:cs="Arial"/>
          <w:color w:val="000000" w:themeColor="text1"/>
        </w:rPr>
        <w:t xml:space="preserve">Each survey response indicates one instance of funding or in-kind contribution that was received by an Engine. </w:t>
      </w:r>
      <w:r w:rsidR="00CD35E8">
        <w:rPr>
          <w:rFonts w:ascii="Arial" w:hAnsi="Arial" w:cs="Arial"/>
          <w:color w:val="000000" w:themeColor="text1"/>
        </w:rPr>
        <w:t xml:space="preserve"> </w:t>
      </w:r>
      <w:r w:rsidRPr="007F7B1B">
        <w:rPr>
          <w:rFonts w:ascii="Arial" w:hAnsi="Arial" w:cs="Arial"/>
          <w:color w:val="000000" w:themeColor="text1"/>
        </w:rPr>
        <w:t xml:space="preserve">If an Engine does not receive any additional funding or in-kind contributions within a reporting year, then the NSF Engine does not have to submit any responses to this intake survey. </w:t>
      </w:r>
      <w:bookmarkStart w:id="3" w:name="_Hlk158380879"/>
    </w:p>
    <w:p w:rsidR="00CD35E8" w:rsidRPr="00CC1BE4" w:rsidP="00CD35E8" w14:paraId="1D9BFF1A" w14:textId="45F4A76E">
      <w:pPr>
        <w:rPr>
          <w:rFonts w:ascii="Arial" w:hAnsi="Arial" w:cs="Arial"/>
          <w:b/>
          <w:bCs/>
          <w:color w:val="2F5496" w:themeColor="accent1" w:themeShade="BF"/>
        </w:rPr>
      </w:pPr>
      <w:r>
        <w:rPr>
          <w:rFonts w:ascii="Arial" w:hAnsi="Arial" w:cs="Arial"/>
          <w:b/>
          <w:bCs/>
          <w:color w:val="2F5496" w:themeColor="accent1" w:themeShade="BF"/>
        </w:rPr>
        <w:t xml:space="preserve">Survey Instrument (3) | </w:t>
      </w:r>
      <w:r w:rsidRPr="00CC1BE4">
        <w:rPr>
          <w:rFonts w:ascii="Arial" w:hAnsi="Arial" w:cs="Arial"/>
          <w:b/>
          <w:bCs/>
          <w:color w:val="2F5496" w:themeColor="accent1" w:themeShade="BF"/>
        </w:rPr>
        <w:t xml:space="preserve">Intake: Survey on program participants and/or individuals involved in Engines’ </w:t>
      </w:r>
      <w:r w:rsidRPr="00CC1BE4">
        <w:rPr>
          <w:rFonts w:ascii="Arial" w:hAnsi="Arial" w:cs="Arial"/>
          <w:b/>
          <w:bCs/>
          <w:color w:val="2F5496" w:themeColor="accent1" w:themeShade="BF"/>
        </w:rPr>
        <w:t>activities</w:t>
      </w:r>
    </w:p>
    <w:bookmarkEnd w:id="3"/>
    <w:p w:rsidR="001F2188" w:rsidRPr="001F2188" w:rsidP="000E230B" w14:paraId="73A49AB9" w14:textId="6F49BF6C">
      <w:pPr>
        <w:jc w:val="both"/>
        <w:rPr>
          <w:rFonts w:ascii="Arial" w:hAnsi="Arial" w:cs="Arial"/>
          <w:color w:val="000000" w:themeColor="text1"/>
        </w:rPr>
      </w:pPr>
      <w:r w:rsidRPr="007F7B1B">
        <w:rPr>
          <w:rFonts w:ascii="Arial" w:hAnsi="Arial" w:cs="Arial"/>
          <w:color w:val="000000" w:themeColor="text1"/>
        </w:rPr>
        <w:t>This</w:t>
      </w:r>
      <w:r w:rsidRPr="001F2188">
        <w:rPr>
          <w:kern w:val="2"/>
          <w:sz w:val="24"/>
          <w:szCs w:val="24"/>
          <w14:ligatures w14:val="standardContextual"/>
        </w:rPr>
        <w:t xml:space="preserve"> </w:t>
      </w:r>
      <w:r w:rsidRPr="001F2188">
        <w:rPr>
          <w:rFonts w:ascii="Arial" w:hAnsi="Arial" w:cs="Arial"/>
          <w:color w:val="000000" w:themeColor="text1"/>
        </w:rPr>
        <w:t xml:space="preserve">survey allows </w:t>
      </w:r>
      <w:r>
        <w:rPr>
          <w:rFonts w:ascii="Arial" w:hAnsi="Arial" w:cs="Arial"/>
          <w:color w:val="000000" w:themeColor="text1"/>
        </w:rPr>
        <w:t>an</w:t>
      </w:r>
      <w:r w:rsidRPr="001F2188">
        <w:rPr>
          <w:rFonts w:ascii="Arial" w:hAnsi="Arial" w:cs="Arial"/>
          <w:color w:val="000000" w:themeColor="text1"/>
        </w:rPr>
        <w:t xml:space="preserve"> Engine to identify individuals who are involved or participate in any Engine programmatic activities</w:t>
      </w:r>
      <w:r>
        <w:rPr>
          <w:rFonts w:ascii="Arial" w:hAnsi="Arial" w:cs="Arial"/>
          <w:color w:val="000000" w:themeColor="text1"/>
        </w:rPr>
        <w:t>,</w:t>
      </w:r>
      <w:r w:rsidRPr="001F2188">
        <w:rPr>
          <w:rFonts w:ascii="Arial" w:hAnsi="Arial" w:cs="Arial"/>
          <w:color w:val="000000" w:themeColor="text1"/>
        </w:rPr>
        <w:t xml:space="preserve"> including hired Engine personnel and those who serve on an</w:t>
      </w:r>
      <w:r w:rsidR="00B70E99">
        <w:rPr>
          <w:rFonts w:ascii="Arial" w:hAnsi="Arial" w:cs="Arial"/>
          <w:color w:val="000000" w:themeColor="text1"/>
        </w:rPr>
        <w:t xml:space="preserve"> </w:t>
      </w:r>
      <w:r w:rsidRPr="001F2188">
        <w:rPr>
          <w:rFonts w:ascii="Arial" w:hAnsi="Arial" w:cs="Arial"/>
          <w:color w:val="000000" w:themeColor="text1"/>
        </w:rPr>
        <w:t xml:space="preserve">Engine leadership team, governance board, or advisory committee. </w:t>
      </w:r>
      <w:r w:rsidR="00B70E99">
        <w:rPr>
          <w:rFonts w:ascii="Arial" w:hAnsi="Arial" w:cs="Arial"/>
          <w:color w:val="000000" w:themeColor="text1"/>
        </w:rPr>
        <w:t xml:space="preserve"> </w:t>
      </w:r>
      <w:r w:rsidRPr="001F2188">
        <w:rPr>
          <w:rFonts w:ascii="Arial" w:hAnsi="Arial" w:cs="Arial"/>
          <w:color w:val="000000" w:themeColor="text1"/>
        </w:rPr>
        <w:t>Designated Engine personnel will provide basic information on each participant (</w:t>
      </w:r>
      <w:r w:rsidRPr="001F2188">
        <w:rPr>
          <w:rFonts w:ascii="Arial" w:hAnsi="Arial" w:cs="Arial"/>
          <w:i/>
          <w:iCs/>
          <w:color w:val="000000" w:themeColor="text1"/>
        </w:rPr>
        <w:t>e.g.,</w:t>
      </w:r>
      <w:r w:rsidRPr="001F2188">
        <w:rPr>
          <w:rFonts w:ascii="Arial" w:hAnsi="Arial" w:cs="Arial"/>
          <w:color w:val="000000" w:themeColor="text1"/>
        </w:rPr>
        <w:t xml:space="preserve"> name of individual, email address of individual, which Engine activity the individual is involved in). </w:t>
      </w:r>
      <w:r w:rsidR="00B70E99">
        <w:rPr>
          <w:rFonts w:ascii="Arial" w:hAnsi="Arial" w:cs="Arial"/>
          <w:color w:val="000000" w:themeColor="text1"/>
        </w:rPr>
        <w:t xml:space="preserve"> </w:t>
      </w:r>
      <w:r w:rsidRPr="001F2188">
        <w:rPr>
          <w:rFonts w:ascii="Arial" w:hAnsi="Arial" w:cs="Arial"/>
          <w:color w:val="000000" w:themeColor="text1"/>
        </w:rPr>
        <w:t>Upon each successful questionnaire entry, the individual identified in this questionnaire receive</w:t>
      </w:r>
      <w:r w:rsidR="00B70E99">
        <w:rPr>
          <w:rFonts w:ascii="Arial" w:hAnsi="Arial" w:cs="Arial"/>
          <w:color w:val="000000" w:themeColor="text1"/>
        </w:rPr>
        <w:t>s</w:t>
      </w:r>
      <w:r w:rsidRPr="001F2188">
        <w:rPr>
          <w:rFonts w:ascii="Arial" w:hAnsi="Arial" w:cs="Arial"/>
          <w:color w:val="000000" w:themeColor="text1"/>
        </w:rPr>
        <w:t xml:space="preserve"> an automatic email with a unique link and invitation to complete the</w:t>
      </w:r>
      <w:r w:rsidR="00B70E99">
        <w:rPr>
          <w:rFonts w:ascii="Arial" w:hAnsi="Arial" w:cs="Arial"/>
          <w:color w:val="000000" w:themeColor="text1"/>
        </w:rPr>
        <w:t xml:space="preserve"> survey. </w:t>
      </w:r>
      <w:r w:rsidRPr="001F2188">
        <w:rPr>
          <w:rFonts w:ascii="Arial" w:hAnsi="Arial" w:cs="Arial"/>
          <w:color w:val="000000" w:themeColor="text1"/>
        </w:rPr>
        <w:t xml:space="preserve"> Individuals only need to be entered </w:t>
      </w:r>
      <w:r w:rsidR="00B70E99">
        <w:rPr>
          <w:rFonts w:ascii="Arial" w:hAnsi="Arial" w:cs="Arial"/>
          <w:color w:val="000000" w:themeColor="text1"/>
        </w:rPr>
        <w:t>their information once</w:t>
      </w:r>
      <w:r w:rsidRPr="001F2188">
        <w:rPr>
          <w:rFonts w:ascii="Arial" w:hAnsi="Arial" w:cs="Arial"/>
          <w:color w:val="000000" w:themeColor="text1"/>
        </w:rPr>
        <w:t xml:space="preserve"> </w:t>
      </w:r>
      <w:r w:rsidR="00B70E99">
        <w:rPr>
          <w:rFonts w:ascii="Arial" w:hAnsi="Arial" w:cs="Arial"/>
          <w:color w:val="000000" w:themeColor="text1"/>
        </w:rPr>
        <w:t>for the lifetime of the data collection.</w:t>
      </w:r>
    </w:p>
    <w:p w:rsidR="00B70E99" w:rsidRPr="00CC1BE4" w:rsidP="00B70E99" w14:paraId="56A406E6" w14:textId="037E209D">
      <w:pPr>
        <w:rPr>
          <w:rFonts w:ascii="Arial" w:hAnsi="Arial" w:cs="Arial"/>
          <w:b/>
          <w:bCs/>
          <w:color w:val="000000" w:themeColor="text1"/>
        </w:rPr>
      </w:pPr>
      <w:bookmarkStart w:id="4" w:name="_Hlk158383950"/>
      <w:r>
        <w:rPr>
          <w:rFonts w:ascii="Arial" w:hAnsi="Arial" w:cs="Arial"/>
          <w:b/>
          <w:bCs/>
          <w:color w:val="2F5496" w:themeColor="accent1" w:themeShade="BF"/>
        </w:rPr>
        <w:t xml:space="preserve">Survey Instrument (4) | </w:t>
      </w:r>
      <w:r w:rsidR="00886BBC">
        <w:rPr>
          <w:rFonts w:ascii="Arial" w:hAnsi="Arial" w:cs="Arial"/>
          <w:b/>
          <w:bCs/>
          <w:color w:val="2F5496" w:themeColor="accent1" w:themeShade="BF"/>
        </w:rPr>
        <w:t xml:space="preserve">Follow on: </w:t>
      </w:r>
      <w:r w:rsidRPr="00CC1BE4">
        <w:rPr>
          <w:rFonts w:ascii="Arial" w:hAnsi="Arial" w:cs="Arial"/>
          <w:b/>
          <w:bCs/>
          <w:color w:val="2F5496" w:themeColor="accent1" w:themeShade="BF"/>
        </w:rPr>
        <w:t xml:space="preserve">Survey on programmatic </w:t>
      </w:r>
      <w:r w:rsidRPr="00CC1BE4">
        <w:rPr>
          <w:rFonts w:ascii="Arial" w:hAnsi="Arial" w:cs="Arial"/>
          <w:b/>
          <w:bCs/>
          <w:color w:val="2F5496" w:themeColor="accent1" w:themeShade="BF"/>
        </w:rPr>
        <w:t>activities</w:t>
      </w:r>
      <w:r w:rsidRPr="00CC1BE4">
        <w:rPr>
          <w:rFonts w:ascii="Arial" w:hAnsi="Arial" w:cs="Arial"/>
          <w:b/>
          <w:bCs/>
          <w:color w:val="000000" w:themeColor="text1"/>
        </w:rPr>
        <w:t xml:space="preserve"> </w:t>
      </w:r>
    </w:p>
    <w:bookmarkEnd w:id="4"/>
    <w:p w:rsidR="0098541E" w:rsidP="000E230B" w14:paraId="02FE5D14" w14:textId="77777777">
      <w:pPr>
        <w:jc w:val="both"/>
        <w:rPr>
          <w:rFonts w:ascii="Arial" w:hAnsi="Arial" w:cs="Arial"/>
          <w:color w:val="000000" w:themeColor="text1"/>
        </w:rPr>
      </w:pPr>
      <w:r w:rsidRPr="0098541E">
        <w:rPr>
          <w:rFonts w:ascii="Arial" w:hAnsi="Arial" w:cs="Arial"/>
          <w:color w:val="000000" w:themeColor="text1"/>
        </w:rPr>
        <w:t>The programmatic activity lead identified in</w:t>
      </w:r>
      <w:r w:rsidRPr="0098541E">
        <w:rPr>
          <w:rFonts w:ascii="Arial" w:hAnsi="Arial" w:cs="Arial"/>
          <w:i/>
          <w:iCs/>
          <w:color w:val="1F3864" w:themeColor="accent1" w:themeShade="80"/>
        </w:rPr>
        <w:t xml:space="preserve"> </w:t>
      </w:r>
      <w:r w:rsidRPr="00CC1BE4">
        <w:rPr>
          <w:rFonts w:ascii="Arial" w:hAnsi="Arial" w:cs="Arial"/>
          <w:i/>
          <w:iCs/>
          <w:color w:val="1F3864" w:themeColor="accent1" w:themeShade="80"/>
        </w:rPr>
        <w:t xml:space="preserve">Intake: Survey on programmatic activities </w:t>
      </w:r>
      <w:r>
        <w:rPr>
          <w:rFonts w:ascii="Arial" w:hAnsi="Arial" w:cs="Arial"/>
          <w:color w:val="000000" w:themeColor="text1"/>
        </w:rPr>
        <w:t xml:space="preserve">will </w:t>
      </w:r>
      <w:r w:rsidRPr="0098541E">
        <w:rPr>
          <w:rFonts w:ascii="Arial" w:hAnsi="Arial" w:cs="Arial"/>
          <w:color w:val="000000" w:themeColor="text1"/>
        </w:rPr>
        <w:t xml:space="preserve">receive an automatic email asking them to complete the </w:t>
      </w:r>
      <w:r w:rsidRPr="0098541E">
        <w:rPr>
          <w:rFonts w:ascii="Arial" w:hAnsi="Arial" w:cs="Arial"/>
          <w:i/>
          <w:iCs/>
          <w:color w:val="000000" w:themeColor="text1"/>
        </w:rPr>
        <w:t>programmatic activities</w:t>
      </w:r>
      <w:r w:rsidRPr="0098541E">
        <w:rPr>
          <w:rFonts w:ascii="Arial" w:hAnsi="Arial" w:cs="Arial"/>
          <w:color w:val="000000" w:themeColor="text1"/>
        </w:rPr>
        <w:t xml:space="preserve"> survey for the activity in which they serve as lead. </w:t>
      </w:r>
    </w:p>
    <w:p w:rsidR="0098541E" w:rsidRPr="0098541E" w:rsidP="000E230B" w14:paraId="7719694B" w14:textId="73458913">
      <w:pPr>
        <w:jc w:val="both"/>
        <w:rPr>
          <w:rFonts w:ascii="Arial" w:hAnsi="Arial" w:cs="Arial"/>
          <w:color w:val="2F5496" w:themeColor="accent1" w:themeShade="BF"/>
        </w:rPr>
      </w:pPr>
      <w:r w:rsidRPr="0098541E">
        <w:rPr>
          <w:rFonts w:ascii="Arial" w:hAnsi="Arial" w:cs="Arial"/>
          <w:color w:val="000000" w:themeColor="text1"/>
        </w:rPr>
        <w:t xml:space="preserve">This survey collects information on each Engine activity such as the status of the activity; the milestones associated with the activity; the status of each of the milestones; the technology and adoption readiness level (TRL and ARL) of the activity; the intellectual property that has resulted from the activity; and the partner organizations that are involved in the activity. </w:t>
      </w:r>
      <w:r>
        <w:rPr>
          <w:rFonts w:ascii="Arial" w:hAnsi="Arial" w:cs="Arial"/>
          <w:color w:val="000000" w:themeColor="text1"/>
        </w:rPr>
        <w:t xml:space="preserve"> </w:t>
      </w:r>
      <w:r w:rsidRPr="0098541E">
        <w:rPr>
          <w:rFonts w:ascii="Arial" w:hAnsi="Arial" w:cs="Arial"/>
          <w:color w:val="000000" w:themeColor="text1"/>
        </w:rPr>
        <w:t xml:space="preserve">Within this survey, the point of contact for each partner organization involved in the programmatic activity is identified. </w:t>
      </w:r>
    </w:p>
    <w:p w:rsidR="0098541E" w:rsidRPr="0098541E" w:rsidP="000E230B" w14:paraId="24E958C9" w14:textId="7151E332">
      <w:pPr>
        <w:jc w:val="both"/>
        <w:rPr>
          <w:rFonts w:ascii="Arial" w:hAnsi="Arial" w:cs="Arial"/>
          <w:color w:val="000000" w:themeColor="text1"/>
        </w:rPr>
      </w:pPr>
      <w:r w:rsidRPr="0098541E">
        <w:rPr>
          <w:rFonts w:ascii="Arial" w:hAnsi="Arial" w:cs="Arial"/>
          <w:color w:val="000000" w:themeColor="text1"/>
        </w:rPr>
        <w:t xml:space="preserve">Leads of workforce development activities will be asked survey questions regarding who the targeted population(s) of the workforce development activity is, whether workforce development participants will receive some form of credential upon successful completion of the program, and other relevant workforce development questions. </w:t>
      </w:r>
      <w:r w:rsidR="006D70A3">
        <w:rPr>
          <w:rFonts w:ascii="Arial" w:hAnsi="Arial" w:cs="Arial"/>
          <w:color w:val="000000" w:themeColor="text1"/>
        </w:rPr>
        <w:t xml:space="preserve"> </w:t>
      </w:r>
      <w:r w:rsidRPr="0098541E">
        <w:rPr>
          <w:rFonts w:ascii="Arial" w:hAnsi="Arial" w:cs="Arial"/>
          <w:color w:val="000000" w:themeColor="text1"/>
        </w:rPr>
        <w:t xml:space="preserve">Individual NSF Engines may use the data for internal assessments and to help inform decision making. </w:t>
      </w:r>
      <w:r w:rsidR="002709D9">
        <w:rPr>
          <w:rFonts w:ascii="Arial" w:hAnsi="Arial" w:cs="Arial"/>
          <w:color w:val="000000" w:themeColor="text1"/>
        </w:rPr>
        <w:t xml:space="preserve"> </w:t>
      </w:r>
      <w:r w:rsidRPr="0098541E">
        <w:rPr>
          <w:rFonts w:ascii="Arial" w:hAnsi="Arial" w:cs="Arial"/>
          <w:color w:val="000000" w:themeColor="text1"/>
        </w:rPr>
        <w:t xml:space="preserve">Data collected from this effort will also be used to monitor and assess the progress made in use-inspired and translational research, workforce development, DEIA, and ecosystem building within and across </w:t>
      </w:r>
      <w:r w:rsidR="002709D9">
        <w:rPr>
          <w:rFonts w:ascii="Arial" w:hAnsi="Arial" w:cs="Arial"/>
          <w:color w:val="000000" w:themeColor="text1"/>
        </w:rPr>
        <w:t xml:space="preserve">all </w:t>
      </w:r>
      <w:r w:rsidRPr="0098541E">
        <w:rPr>
          <w:rFonts w:ascii="Arial" w:hAnsi="Arial" w:cs="Arial"/>
          <w:color w:val="000000" w:themeColor="text1"/>
        </w:rPr>
        <w:t>Engines.</w:t>
      </w:r>
    </w:p>
    <w:p w:rsidR="0098541E" w:rsidRPr="0098541E" w:rsidP="000E230B" w14:paraId="26FFD849" w14:textId="107BEB86">
      <w:pPr>
        <w:jc w:val="both"/>
        <w:rPr>
          <w:rFonts w:ascii="Arial" w:hAnsi="Arial" w:cs="Arial"/>
          <w:color w:val="000000" w:themeColor="text1"/>
        </w:rPr>
      </w:pPr>
      <w:r w:rsidRPr="0098541E">
        <w:rPr>
          <w:rFonts w:ascii="Arial" w:hAnsi="Arial" w:cs="Arial"/>
          <w:color w:val="000000" w:themeColor="text1"/>
        </w:rPr>
        <w:t xml:space="preserve">There are three variations on the category in which the programmatic activity falls (i.e., R&amp;D and translation, workforce development, or ecosystem building). </w:t>
      </w:r>
      <w:r w:rsidR="003A6150">
        <w:rPr>
          <w:rFonts w:ascii="Arial" w:hAnsi="Arial" w:cs="Arial"/>
          <w:color w:val="000000" w:themeColor="text1"/>
        </w:rPr>
        <w:t xml:space="preserve"> </w:t>
      </w:r>
      <w:r w:rsidRPr="0098541E">
        <w:rPr>
          <w:rFonts w:ascii="Arial" w:hAnsi="Arial" w:cs="Arial"/>
          <w:color w:val="000000" w:themeColor="text1"/>
        </w:rPr>
        <w:t xml:space="preserve">Information specific to each programmatic category will also be collected. </w:t>
      </w:r>
      <w:r w:rsidR="003A6150">
        <w:rPr>
          <w:rFonts w:ascii="Arial" w:hAnsi="Arial" w:cs="Arial"/>
          <w:color w:val="000000" w:themeColor="text1"/>
        </w:rPr>
        <w:t xml:space="preserve"> </w:t>
      </w:r>
      <w:r w:rsidRPr="0098541E">
        <w:rPr>
          <w:rFonts w:ascii="Arial" w:hAnsi="Arial" w:cs="Arial"/>
          <w:color w:val="000000" w:themeColor="text1"/>
        </w:rPr>
        <w:t xml:space="preserve">For instance, programmatic activities that are categorized as </w:t>
      </w:r>
      <w:r w:rsidRPr="0098541E">
        <w:rPr>
          <w:rFonts w:ascii="Arial" w:hAnsi="Arial" w:cs="Arial"/>
          <w:i/>
          <w:iCs/>
          <w:color w:val="000000" w:themeColor="text1"/>
        </w:rPr>
        <w:t>R&amp;D and translation</w:t>
      </w:r>
      <w:r w:rsidRPr="0098541E">
        <w:rPr>
          <w:rFonts w:ascii="Arial" w:hAnsi="Arial" w:cs="Arial"/>
          <w:color w:val="000000" w:themeColor="text1"/>
        </w:rPr>
        <w:t xml:space="preserve"> will have survey questions related to intellectual property (e.g., invention disclosures, patents, licensing agreements, royalties earned), and associated TRLs and ARLs. </w:t>
      </w:r>
      <w:r w:rsidR="003A6150">
        <w:rPr>
          <w:rFonts w:ascii="Arial" w:hAnsi="Arial" w:cs="Arial"/>
          <w:color w:val="000000" w:themeColor="text1"/>
        </w:rPr>
        <w:t xml:space="preserve"> </w:t>
      </w:r>
      <w:r w:rsidRPr="0098541E">
        <w:rPr>
          <w:rFonts w:ascii="Arial" w:hAnsi="Arial" w:cs="Arial"/>
          <w:color w:val="000000" w:themeColor="text1"/>
        </w:rPr>
        <w:t xml:space="preserve">Correspondingly, programmatic activities that are categorized as </w:t>
      </w:r>
      <w:r w:rsidRPr="0098541E">
        <w:rPr>
          <w:rFonts w:ascii="Arial" w:hAnsi="Arial" w:cs="Arial"/>
          <w:i/>
          <w:iCs/>
          <w:color w:val="000000" w:themeColor="text1"/>
        </w:rPr>
        <w:t>workforce development</w:t>
      </w:r>
      <w:r w:rsidRPr="0098541E">
        <w:rPr>
          <w:rFonts w:ascii="Arial" w:hAnsi="Arial" w:cs="Arial"/>
          <w:color w:val="000000" w:themeColor="text1"/>
        </w:rPr>
        <w:t xml:space="preserve"> will have survey questions such as identifying who the targeted populations or groups are, number of individuals who participated and completed the activity, and whether </w:t>
      </w:r>
      <w:r w:rsidRPr="0098541E">
        <w:rPr>
          <w:rFonts w:ascii="Arial" w:hAnsi="Arial" w:cs="Arial"/>
          <w:color w:val="000000" w:themeColor="text1"/>
        </w:rPr>
        <w:t>individuals receive any credentials or certifications upon successful completion of the activity. While the</w:t>
      </w:r>
      <w:r w:rsidR="003A6150">
        <w:rPr>
          <w:rFonts w:ascii="Arial" w:hAnsi="Arial" w:cs="Arial"/>
          <w:color w:val="000000" w:themeColor="text1"/>
        </w:rPr>
        <w:t>re are 113 survey items on the survey,</w:t>
      </w:r>
      <w:r w:rsidRPr="0098541E">
        <w:rPr>
          <w:rFonts w:ascii="Arial" w:hAnsi="Arial" w:cs="Arial"/>
          <w:color w:val="000000" w:themeColor="text1"/>
        </w:rPr>
        <w:t xml:space="preserve"> respondents will only be asked a subset of these questions based on which programmatic category their activity falls under. </w:t>
      </w:r>
      <w:r w:rsidR="003A6150">
        <w:rPr>
          <w:rFonts w:ascii="Arial" w:hAnsi="Arial" w:cs="Arial"/>
          <w:color w:val="000000" w:themeColor="text1"/>
        </w:rPr>
        <w:t xml:space="preserve"> </w:t>
      </w:r>
      <w:r w:rsidRPr="0098541E">
        <w:rPr>
          <w:rFonts w:ascii="Arial" w:hAnsi="Arial" w:cs="Arial"/>
          <w:color w:val="000000" w:themeColor="text1"/>
        </w:rPr>
        <w:t xml:space="preserve">Individual Engines may use the data for internal assessments and to help inform decision making. </w:t>
      </w:r>
      <w:r w:rsidR="001E6738">
        <w:rPr>
          <w:rFonts w:ascii="Arial" w:hAnsi="Arial" w:cs="Arial"/>
          <w:color w:val="000000" w:themeColor="text1"/>
        </w:rPr>
        <w:t xml:space="preserve"> </w:t>
      </w:r>
      <w:r w:rsidRPr="0098541E">
        <w:rPr>
          <w:rFonts w:ascii="Arial" w:hAnsi="Arial" w:cs="Arial"/>
          <w:color w:val="000000" w:themeColor="text1"/>
        </w:rPr>
        <w:t xml:space="preserve">Data collected from this effort will also be used to monitor and assess the progress made in use-inspired and translational research, workforce development, DEIA, and ecosystem building within and across </w:t>
      </w:r>
      <w:r w:rsidR="001E6738">
        <w:rPr>
          <w:rFonts w:ascii="Arial" w:hAnsi="Arial" w:cs="Arial"/>
          <w:color w:val="000000" w:themeColor="text1"/>
        </w:rPr>
        <w:t>all</w:t>
      </w:r>
      <w:r w:rsidRPr="0098541E">
        <w:rPr>
          <w:rFonts w:ascii="Arial" w:hAnsi="Arial" w:cs="Arial"/>
          <w:color w:val="000000" w:themeColor="text1"/>
        </w:rPr>
        <w:t xml:space="preserve"> Engines.</w:t>
      </w:r>
    </w:p>
    <w:p w:rsidR="00EF35ED" w:rsidRPr="009301EB" w:rsidP="000E230B" w14:paraId="5DE0B2B4" w14:textId="077E0757">
      <w:pPr>
        <w:jc w:val="both"/>
        <w:rPr>
          <w:rFonts w:ascii="Arial" w:hAnsi="Arial" w:cs="Arial"/>
          <w:i/>
          <w:iCs/>
          <w:color w:val="000000" w:themeColor="text1"/>
        </w:rPr>
      </w:pPr>
      <w:r w:rsidRPr="0098541E">
        <w:rPr>
          <w:rFonts w:ascii="Arial" w:hAnsi="Arial" w:cs="Arial"/>
          <w:color w:val="000000" w:themeColor="text1"/>
        </w:rPr>
        <w:t xml:space="preserve">Activity leads will be asked to review and update their survey responses for any programmatic activities that have an </w:t>
      </w:r>
      <w:r w:rsidRPr="0098541E">
        <w:rPr>
          <w:rFonts w:ascii="Arial" w:hAnsi="Arial" w:cs="Arial"/>
          <w:i/>
          <w:iCs/>
          <w:color w:val="000000" w:themeColor="text1"/>
        </w:rPr>
        <w:t>active</w:t>
      </w:r>
      <w:r w:rsidRPr="0098541E">
        <w:rPr>
          <w:rFonts w:ascii="Arial" w:hAnsi="Arial" w:cs="Arial"/>
          <w:color w:val="000000" w:themeColor="text1"/>
        </w:rPr>
        <w:t xml:space="preserve"> or </w:t>
      </w:r>
      <w:r w:rsidRPr="0098541E">
        <w:rPr>
          <w:rFonts w:ascii="Arial" w:hAnsi="Arial" w:cs="Arial"/>
          <w:i/>
          <w:iCs/>
          <w:color w:val="000000" w:themeColor="text1"/>
        </w:rPr>
        <w:t>on hold</w:t>
      </w:r>
      <w:r>
        <w:rPr>
          <w:rFonts w:ascii="Arial" w:hAnsi="Arial" w:cs="Arial"/>
          <w:i/>
          <w:iCs/>
          <w:color w:val="000000" w:themeColor="text1"/>
          <w:vertAlign w:val="superscript"/>
        </w:rPr>
        <w:footnoteReference w:id="3"/>
      </w:r>
      <w:r w:rsidRPr="0098541E">
        <w:rPr>
          <w:rFonts w:ascii="Arial" w:hAnsi="Arial" w:cs="Arial"/>
          <w:color w:val="000000" w:themeColor="text1"/>
        </w:rPr>
        <w:t xml:space="preserve"> status the previous reporting year. </w:t>
      </w:r>
    </w:p>
    <w:p w:rsidR="001E6738" w:rsidRPr="00CC1BE4" w:rsidP="001E6738" w14:paraId="3F7A2BAF" w14:textId="4EABCF95">
      <w:pPr>
        <w:rPr>
          <w:rFonts w:ascii="Arial" w:hAnsi="Arial" w:cs="Arial"/>
          <w:b/>
          <w:bCs/>
          <w:color w:val="2F5496" w:themeColor="accent1" w:themeShade="BF"/>
        </w:rPr>
      </w:pPr>
      <w:r>
        <w:rPr>
          <w:rFonts w:ascii="Arial" w:hAnsi="Arial" w:cs="Arial"/>
          <w:b/>
          <w:bCs/>
          <w:color w:val="2F5496" w:themeColor="accent1" w:themeShade="BF"/>
        </w:rPr>
        <w:t xml:space="preserve">Survey Instrument (5) | </w:t>
      </w:r>
      <w:r w:rsidR="00886BBC">
        <w:rPr>
          <w:rFonts w:ascii="Arial" w:hAnsi="Arial" w:cs="Arial"/>
          <w:b/>
          <w:bCs/>
          <w:color w:val="2F5496" w:themeColor="accent1" w:themeShade="BF"/>
        </w:rPr>
        <w:t xml:space="preserve">Follow on: </w:t>
      </w:r>
      <w:r w:rsidRPr="00CC1BE4">
        <w:rPr>
          <w:rFonts w:ascii="Arial" w:hAnsi="Arial" w:cs="Arial"/>
          <w:b/>
          <w:bCs/>
          <w:color w:val="2F5496" w:themeColor="accent1" w:themeShade="BF"/>
        </w:rPr>
        <w:t xml:space="preserve">Survey on program participants and/or individuals involved in Engines’ </w:t>
      </w:r>
      <w:r w:rsidRPr="00CC1BE4">
        <w:rPr>
          <w:rFonts w:ascii="Arial" w:hAnsi="Arial" w:cs="Arial"/>
          <w:b/>
          <w:bCs/>
          <w:color w:val="2F5496" w:themeColor="accent1" w:themeShade="BF"/>
        </w:rPr>
        <w:t>activities</w:t>
      </w:r>
    </w:p>
    <w:p w:rsidR="000435A3" w:rsidRPr="000435A3" w:rsidP="000E230B" w14:paraId="7065FC18" w14:textId="2DBBF8C0">
      <w:pPr>
        <w:jc w:val="both"/>
        <w:rPr>
          <w:rFonts w:ascii="Arial" w:hAnsi="Arial" w:cs="Arial"/>
          <w:color w:val="2F5496" w:themeColor="accent1" w:themeShade="BF"/>
        </w:rPr>
      </w:pPr>
      <w:r w:rsidRPr="000435A3">
        <w:rPr>
          <w:rFonts w:ascii="Arial" w:hAnsi="Arial" w:cs="Arial"/>
        </w:rPr>
        <w:t xml:space="preserve">This survey collects demographic information (e.g., gender, race, ethnicity, country of origin, income, education level) for all individuals identified in the </w:t>
      </w:r>
      <w:r w:rsidRPr="00CC1BE4">
        <w:rPr>
          <w:rFonts w:ascii="Arial" w:hAnsi="Arial" w:cs="Arial"/>
          <w:i/>
          <w:iCs/>
          <w:color w:val="1F3864" w:themeColor="accent1" w:themeShade="80"/>
        </w:rPr>
        <w:t>Intake: Survey on program participants and/or individuals involved in Engines’ activities</w:t>
      </w:r>
      <w:r w:rsidRPr="000435A3">
        <w:rPr>
          <w:rFonts w:ascii="Arial" w:hAnsi="Arial" w:cs="Arial"/>
        </w:rPr>
        <w:t xml:space="preserve">. </w:t>
      </w:r>
      <w:r w:rsidR="008963D9">
        <w:rPr>
          <w:rFonts w:ascii="Arial" w:hAnsi="Arial" w:cs="Arial"/>
        </w:rPr>
        <w:t xml:space="preserve"> </w:t>
      </w:r>
      <w:r w:rsidRPr="000435A3">
        <w:rPr>
          <w:rFonts w:ascii="Arial" w:hAnsi="Arial" w:cs="Arial"/>
        </w:rPr>
        <w:t xml:space="preserve">Data collected from individuals will be used to monitor and assess whether the Engine's participants reflect the demographic diversity of the region of service defined by the NSF Engine. </w:t>
      </w:r>
      <w:r w:rsidR="008963D9">
        <w:rPr>
          <w:rFonts w:ascii="Arial" w:hAnsi="Arial" w:cs="Arial"/>
        </w:rPr>
        <w:t xml:space="preserve"> </w:t>
      </w:r>
      <w:r w:rsidRPr="000435A3">
        <w:rPr>
          <w:rFonts w:ascii="Arial" w:hAnsi="Arial" w:cs="Arial"/>
        </w:rPr>
        <w:t xml:space="preserve">In addition, these data can be used by individual Engines to assess whether they are meeting their diversity, equity, inclusion, and accessibility (DEIA) objectives and targets. </w:t>
      </w:r>
    </w:p>
    <w:p w:rsidR="000435A3" w:rsidRPr="000435A3" w:rsidP="000E230B" w14:paraId="1385066E" w14:textId="04AF3331">
      <w:pPr>
        <w:jc w:val="both"/>
        <w:rPr>
          <w:rFonts w:ascii="Arial" w:hAnsi="Arial" w:cs="Arial"/>
        </w:rPr>
      </w:pPr>
      <w:r w:rsidRPr="000435A3">
        <w:rPr>
          <w:rFonts w:ascii="Arial" w:hAnsi="Arial" w:cs="Arial"/>
        </w:rPr>
        <w:t>There are four variations of th</w:t>
      </w:r>
      <w:r w:rsidR="005958FA">
        <w:rPr>
          <w:rFonts w:ascii="Arial" w:hAnsi="Arial" w:cs="Arial"/>
        </w:rPr>
        <w:t>e survey</w:t>
      </w:r>
      <w:r w:rsidRPr="000435A3">
        <w:rPr>
          <w:rFonts w:ascii="Arial" w:hAnsi="Arial" w:cs="Arial"/>
        </w:rPr>
        <w:t xml:space="preserve"> based on the roles and responsibilities an individual has within an Engine. Specifically, an individual will be classified as an R&amp;D or translation participant; a workforce development participant; or someone who serves as a programmatic lead, is part of the leadership team, or is a member of the governance board. </w:t>
      </w:r>
      <w:r w:rsidR="005958FA">
        <w:rPr>
          <w:rFonts w:ascii="Arial" w:hAnsi="Arial" w:cs="Arial"/>
        </w:rPr>
        <w:t xml:space="preserve"> </w:t>
      </w:r>
      <w:r w:rsidRPr="000435A3">
        <w:rPr>
          <w:rFonts w:ascii="Arial" w:hAnsi="Arial" w:cs="Arial"/>
        </w:rPr>
        <w:t xml:space="preserve">Someone who is not in one of these three categories will be classified in the catch-all fourth category of </w:t>
      </w:r>
      <w:r w:rsidRPr="000435A3">
        <w:rPr>
          <w:rFonts w:ascii="Arial" w:hAnsi="Arial" w:cs="Arial"/>
          <w:i/>
          <w:iCs/>
        </w:rPr>
        <w:t>all other Engine participants and personnel</w:t>
      </w:r>
      <w:r w:rsidRPr="000435A3">
        <w:rPr>
          <w:rFonts w:ascii="Arial" w:hAnsi="Arial" w:cs="Arial"/>
        </w:rPr>
        <w:t>.</w:t>
      </w:r>
      <w:r w:rsidR="005958FA">
        <w:rPr>
          <w:rFonts w:ascii="Arial" w:hAnsi="Arial" w:cs="Arial"/>
        </w:rPr>
        <w:t xml:space="preserve"> </w:t>
      </w:r>
      <w:r w:rsidRPr="000435A3">
        <w:rPr>
          <w:rFonts w:ascii="Arial" w:hAnsi="Arial" w:cs="Arial"/>
        </w:rPr>
        <w:t xml:space="preserve"> Individuals will be asked additional survey questions based on the category in which they fall. </w:t>
      </w:r>
      <w:r w:rsidR="005958FA">
        <w:rPr>
          <w:rFonts w:ascii="Arial" w:hAnsi="Arial" w:cs="Arial"/>
        </w:rPr>
        <w:t xml:space="preserve"> </w:t>
      </w:r>
      <w:r w:rsidRPr="000435A3">
        <w:rPr>
          <w:rFonts w:ascii="Arial" w:hAnsi="Arial" w:cs="Arial"/>
        </w:rPr>
        <w:t xml:space="preserve">For instance, workforce development participants will be asked questions to determine their economic self-sufficiency, employment hope, financial strain, and their perceived barriers to employment. </w:t>
      </w:r>
      <w:r w:rsidR="005958FA">
        <w:rPr>
          <w:rFonts w:ascii="Arial" w:hAnsi="Arial" w:cs="Arial"/>
        </w:rPr>
        <w:t xml:space="preserve"> </w:t>
      </w:r>
      <w:r w:rsidRPr="000435A3">
        <w:rPr>
          <w:rFonts w:ascii="Arial" w:hAnsi="Arial" w:cs="Arial"/>
        </w:rPr>
        <w:t xml:space="preserve">Alternatively, individuals who are part of the Engine leadership team, governance board, or </w:t>
      </w:r>
      <w:r w:rsidR="00E81168">
        <w:rPr>
          <w:rFonts w:ascii="Arial" w:hAnsi="Arial" w:cs="Arial"/>
        </w:rPr>
        <w:t xml:space="preserve">are </w:t>
      </w:r>
      <w:r w:rsidRPr="000435A3">
        <w:rPr>
          <w:rFonts w:ascii="Arial" w:hAnsi="Arial" w:cs="Arial"/>
        </w:rPr>
        <w:t>programmatic lead</w:t>
      </w:r>
      <w:r w:rsidR="00E81168">
        <w:rPr>
          <w:rFonts w:ascii="Arial" w:hAnsi="Arial" w:cs="Arial"/>
        </w:rPr>
        <w:t>s</w:t>
      </w:r>
      <w:r w:rsidRPr="000435A3">
        <w:rPr>
          <w:rFonts w:ascii="Arial" w:hAnsi="Arial" w:cs="Arial"/>
        </w:rPr>
        <w:t xml:space="preserve"> will be asked questions regarding collaborations and trust within their Engine. </w:t>
      </w:r>
      <w:r w:rsidR="00E81168">
        <w:rPr>
          <w:rFonts w:ascii="Arial" w:hAnsi="Arial" w:cs="Arial"/>
        </w:rPr>
        <w:t xml:space="preserve"> </w:t>
      </w:r>
      <w:r w:rsidRPr="000435A3">
        <w:rPr>
          <w:rFonts w:ascii="Arial" w:hAnsi="Arial" w:cs="Arial"/>
        </w:rPr>
        <w:t>While the</w:t>
      </w:r>
      <w:r w:rsidR="00E81168">
        <w:rPr>
          <w:rFonts w:ascii="Arial" w:hAnsi="Arial" w:cs="Arial"/>
        </w:rPr>
        <w:t xml:space="preserve">re are 52 survey items in the survey, </w:t>
      </w:r>
      <w:r w:rsidRPr="000435A3">
        <w:rPr>
          <w:rFonts w:ascii="Arial" w:hAnsi="Arial" w:cs="Arial"/>
        </w:rPr>
        <w:t xml:space="preserve">survey respondents will only be asked a subset of these questions based on the roles and responsibilities they have within an Engine. </w:t>
      </w:r>
    </w:p>
    <w:p w:rsidR="005F3B78" w:rsidRPr="000435A3" w:rsidP="008D48C8" w14:paraId="428D8197" w14:textId="7AB635FF">
      <w:pPr>
        <w:jc w:val="both"/>
        <w:rPr>
          <w:rFonts w:ascii="Arial" w:hAnsi="Arial" w:cs="Arial"/>
        </w:rPr>
      </w:pPr>
      <w:r w:rsidRPr="000435A3">
        <w:rPr>
          <w:rFonts w:ascii="Arial" w:hAnsi="Arial" w:cs="Arial"/>
        </w:rPr>
        <w:t xml:space="preserve">Each survey response is from a unique individual who is involved or participates in an Engine activity, initiative, or effort. </w:t>
      </w:r>
      <w:r w:rsidR="00E81168">
        <w:rPr>
          <w:rFonts w:ascii="Arial" w:hAnsi="Arial" w:cs="Arial"/>
        </w:rPr>
        <w:t xml:space="preserve"> </w:t>
      </w:r>
      <w:r w:rsidRPr="000435A3">
        <w:rPr>
          <w:rFonts w:ascii="Arial" w:hAnsi="Arial" w:cs="Arial"/>
        </w:rPr>
        <w:t xml:space="preserve">Individuals who are involved or participate in Engine activities, initiatives, or efforts across reporting years will not have to re-answer demographic survey questions (i.e., </w:t>
      </w:r>
      <w:r w:rsidR="00E81168">
        <w:rPr>
          <w:rFonts w:ascii="Arial" w:hAnsi="Arial" w:cs="Arial"/>
        </w:rPr>
        <w:t>items</w:t>
      </w:r>
      <w:r w:rsidRPr="000435A3">
        <w:rPr>
          <w:rFonts w:ascii="Arial" w:hAnsi="Arial" w:cs="Arial"/>
        </w:rPr>
        <w:t xml:space="preserve"> 2 through 25) but will be asked to review and update their answers to role- and responsibility-specific survey questions (i.e., </w:t>
      </w:r>
      <w:r w:rsidR="00E81168">
        <w:rPr>
          <w:rFonts w:ascii="Arial" w:hAnsi="Arial" w:cs="Arial"/>
        </w:rPr>
        <w:t>items</w:t>
      </w:r>
      <w:r w:rsidRPr="000435A3">
        <w:rPr>
          <w:rFonts w:ascii="Arial" w:hAnsi="Arial" w:cs="Arial"/>
        </w:rPr>
        <w:t xml:space="preserve"> 26 through 42). </w:t>
      </w:r>
    </w:p>
    <w:p w:rsidR="00CC1BE4" w:rsidRPr="00C04B70" w:rsidP="00CC1BE4" w14:paraId="45901F16" w14:textId="2155BC5A">
      <w:pPr>
        <w:rPr>
          <w:rFonts w:ascii="Arial" w:hAnsi="Arial" w:cs="Arial"/>
          <w:b/>
          <w:bCs/>
          <w:color w:val="2F5496" w:themeColor="accent1" w:themeShade="BF"/>
        </w:rPr>
      </w:pPr>
      <w:r>
        <w:rPr>
          <w:rFonts w:ascii="Arial" w:hAnsi="Arial" w:cs="Arial"/>
          <w:b/>
          <w:bCs/>
          <w:color w:val="2F5496" w:themeColor="accent1" w:themeShade="BF"/>
        </w:rPr>
        <w:t xml:space="preserve">Survey Instrument (6) | </w:t>
      </w:r>
      <w:r w:rsidRPr="00C04B70">
        <w:rPr>
          <w:rFonts w:ascii="Arial" w:hAnsi="Arial" w:cs="Arial"/>
          <w:b/>
          <w:bCs/>
          <w:color w:val="2F5496" w:themeColor="accent1" w:themeShade="BF"/>
        </w:rPr>
        <w:t>Survey on partner organizations</w:t>
      </w:r>
    </w:p>
    <w:p w:rsidR="00C04B70" w:rsidP="001B0B6E" w14:paraId="39BF8C55" w14:textId="77777777">
      <w:pPr>
        <w:spacing w:line="264" w:lineRule="auto"/>
        <w:jc w:val="both"/>
        <w:rPr>
          <w:rFonts w:ascii="Arial" w:hAnsi="Arial" w:cs="Arial"/>
        </w:rPr>
      </w:pPr>
      <w:r w:rsidRPr="008F37C4">
        <w:rPr>
          <w:rFonts w:ascii="Arial" w:hAnsi="Arial" w:cs="Arial"/>
        </w:rPr>
        <w:t xml:space="preserve">The point of contact of partner organization(s) identified in the </w:t>
      </w:r>
      <w:r w:rsidRPr="008F37C4">
        <w:rPr>
          <w:rFonts w:ascii="Arial" w:hAnsi="Arial" w:cs="Arial"/>
          <w:i/>
          <w:iCs/>
          <w:color w:val="1F3864" w:themeColor="accent1" w:themeShade="80"/>
        </w:rPr>
        <w:t xml:space="preserve">Survey on programmatic activities </w:t>
      </w:r>
      <w:r w:rsidRPr="008F37C4">
        <w:rPr>
          <w:rFonts w:ascii="Arial" w:hAnsi="Arial" w:cs="Arial"/>
        </w:rPr>
        <w:t xml:space="preserve">will receive an automatic email asking them to complete the </w:t>
      </w:r>
      <w:r w:rsidRPr="008F37C4">
        <w:rPr>
          <w:rFonts w:ascii="Arial" w:hAnsi="Arial" w:cs="Arial"/>
          <w:i/>
          <w:iCs/>
        </w:rPr>
        <w:t>partner organizations survey</w:t>
      </w:r>
      <w:r w:rsidRPr="008F37C4">
        <w:rPr>
          <w:rFonts w:ascii="Arial" w:hAnsi="Arial" w:cs="Arial"/>
        </w:rPr>
        <w:t xml:space="preserve"> based on the programmatic activity in which their organization was identified as a partner organization. Partner organizations will be asked to provide basic information about its organization (</w:t>
      </w:r>
      <w:r w:rsidRPr="008F37C4">
        <w:rPr>
          <w:rFonts w:ascii="Arial" w:hAnsi="Arial" w:cs="Arial"/>
          <w:i/>
          <w:iCs/>
        </w:rPr>
        <w:t>e.g.,</w:t>
      </w:r>
      <w:r w:rsidRPr="008F37C4">
        <w:rPr>
          <w:rFonts w:ascii="Arial" w:hAnsi="Arial" w:cs="Arial"/>
        </w:rPr>
        <w:t xml:space="preserve"> employer identification number, legal name of the organization, type of organization); the monetary or estimated value of in-kind and other resources they contributed to the programmatic activity in which they participated; with which other partner organizations within the NSF Engine they collaborated; what motivated them to become a partner of the NSF Engine; and other information related to the roles and responsibilities the organization has within NSF Engine. </w:t>
      </w:r>
      <w:r>
        <w:rPr>
          <w:rFonts w:ascii="Arial" w:hAnsi="Arial" w:cs="Arial"/>
        </w:rPr>
        <w:t xml:space="preserve"> </w:t>
      </w:r>
    </w:p>
    <w:p w:rsidR="008F37C4" w:rsidRPr="008F37C4" w:rsidP="001B0B6E" w14:paraId="429513CF" w14:textId="765BC5C8">
      <w:pPr>
        <w:spacing w:line="264" w:lineRule="auto"/>
        <w:jc w:val="both"/>
        <w:rPr>
          <w:rFonts w:ascii="Arial" w:hAnsi="Arial" w:cs="Arial"/>
          <w:b/>
          <w:bCs/>
          <w:i/>
          <w:iCs/>
        </w:rPr>
      </w:pPr>
      <w:r w:rsidRPr="008F37C4">
        <w:rPr>
          <w:rFonts w:ascii="Arial" w:hAnsi="Arial" w:cs="Arial"/>
        </w:rPr>
        <w:t xml:space="preserve">Individual Engines may use the data for internal assessments and to help inform decision making. </w:t>
      </w:r>
      <w:r>
        <w:rPr>
          <w:rFonts w:ascii="Arial" w:hAnsi="Arial" w:cs="Arial"/>
        </w:rPr>
        <w:t xml:space="preserve"> </w:t>
      </w:r>
      <w:r w:rsidRPr="008F37C4">
        <w:rPr>
          <w:rFonts w:ascii="Arial" w:hAnsi="Arial" w:cs="Arial"/>
        </w:rPr>
        <w:t xml:space="preserve">Data collected from this effort will be used to monitor and assess the level of cross-sector partnerships created within and across </w:t>
      </w:r>
      <w:r>
        <w:rPr>
          <w:rFonts w:ascii="Arial" w:hAnsi="Arial" w:cs="Arial"/>
        </w:rPr>
        <w:t xml:space="preserve">all </w:t>
      </w:r>
      <w:r w:rsidRPr="008F37C4">
        <w:rPr>
          <w:rFonts w:ascii="Arial" w:hAnsi="Arial" w:cs="Arial"/>
        </w:rPr>
        <w:t>Engines.</w:t>
      </w:r>
    </w:p>
    <w:p w:rsidR="005F3B78" w:rsidP="001B0B6E" w14:paraId="00EF93E6" w14:textId="5E34DDB7">
      <w:pPr>
        <w:spacing w:line="264" w:lineRule="auto"/>
        <w:jc w:val="both"/>
        <w:rPr>
          <w:rFonts w:ascii="Arial" w:hAnsi="Arial" w:cs="Arial"/>
        </w:rPr>
      </w:pPr>
      <w:r w:rsidRPr="00C04B70">
        <w:rPr>
          <w:rFonts w:ascii="Arial" w:hAnsi="Arial" w:cs="Arial"/>
        </w:rPr>
        <w:t>Rather than completing a new survey</w:t>
      </w:r>
      <w:r w:rsidRPr="00C04B70">
        <w:rPr>
          <w:rFonts w:ascii="Arial" w:hAnsi="Arial" w:cs="Arial"/>
          <w:i/>
          <w:iCs/>
        </w:rPr>
        <w:t xml:space="preserve"> </w:t>
      </w:r>
      <w:r w:rsidRPr="00C04B70">
        <w:rPr>
          <w:rFonts w:ascii="Arial" w:hAnsi="Arial" w:cs="Arial"/>
        </w:rPr>
        <w:t>each year, partner organizations that are identified for the same programmatic activity across reporting years will be asked to review and update their responses for the current reporting yea</w:t>
      </w:r>
      <w:r>
        <w:rPr>
          <w:rFonts w:ascii="Arial" w:hAnsi="Arial" w:cs="Arial"/>
        </w:rPr>
        <w:t>r.</w:t>
      </w:r>
    </w:p>
    <w:p w:rsidR="00E37E9C" w:rsidRPr="00E37E9C" w:rsidP="00E37E9C" w14:paraId="5100C3A0" w14:textId="740756AE">
      <w:pPr>
        <w:spacing w:line="264" w:lineRule="auto"/>
        <w:jc w:val="both"/>
        <w:rPr>
          <w:rFonts w:ascii="Arial" w:hAnsi="Arial" w:cs="Arial"/>
          <w:b/>
          <w:bCs/>
          <w:color w:val="2F5496" w:themeColor="accent1" w:themeShade="BF"/>
        </w:rPr>
      </w:pPr>
      <w:bookmarkStart w:id="5" w:name="OLE_LINK2"/>
      <w:r>
        <w:rPr>
          <w:rFonts w:ascii="Arial" w:hAnsi="Arial" w:cs="Arial"/>
          <w:b/>
          <w:bCs/>
          <w:color w:val="2F5496" w:themeColor="accent1" w:themeShade="BF"/>
        </w:rPr>
        <w:t>Focus Group Interviews</w:t>
      </w:r>
    </w:p>
    <w:p w:rsidR="00E37E9C" w:rsidRPr="00E37E9C" w:rsidP="00E37E9C" w14:paraId="255DC15F" w14:textId="77777777">
      <w:pPr>
        <w:spacing w:line="264" w:lineRule="auto"/>
        <w:jc w:val="both"/>
        <w:rPr>
          <w:rFonts w:ascii="Arial" w:hAnsi="Arial" w:cs="Arial"/>
        </w:rPr>
      </w:pPr>
      <w:r w:rsidRPr="00E37E9C">
        <w:rPr>
          <w:rFonts w:ascii="Arial" w:hAnsi="Arial" w:cs="Arial"/>
        </w:rPr>
        <w:t xml:space="preserve">In addition to the survey instruments, focus groups will be used to collect qualitatively rich discourse and observational information that cannot be collected through survey instruments from individuals in the Engine leadership team (e.g., Chief Executive Officer (CEO), programmatic leads), members of the governance boards or advisory committees, and NSF Engines stakeholders such as NSF Engines participants, and partner and community-based organizations. Data collected from the focus groups will offer valuable insights and enrich the overall comprehensiveness of the data collection efforts of the NSF Engines program. </w:t>
      </w:r>
    </w:p>
    <w:p w:rsidR="00E37E9C" w:rsidRPr="00E37E9C" w:rsidP="00E37E9C" w14:paraId="18D010BD" w14:textId="37625663">
      <w:pPr>
        <w:spacing w:line="264" w:lineRule="auto"/>
        <w:jc w:val="both"/>
        <w:rPr>
          <w:rFonts w:ascii="Arial" w:hAnsi="Arial" w:cs="Arial"/>
        </w:rPr>
      </w:pPr>
      <w:r w:rsidRPr="00E37E9C">
        <w:rPr>
          <w:rFonts w:ascii="Arial" w:hAnsi="Arial" w:cs="Arial"/>
        </w:rPr>
        <w:t>Insights from the survey instruments along with the informal knowledge from Engines program staff will be used to guide the selection of suitable participants as well as the design of questions to be used in the focus groups. Individuals identified as suitable participants will receive an invitation email to participate in a focus group. Individuals who decide to participate will receive a secondary email confirming the details of the focus group session, and a third email, about a week before the scheduled focus group session, containing guiding questions to prepare them for the focus group discussion. The three main guiding questions that will be used to guide the focus group sessions are:</w:t>
      </w:r>
    </w:p>
    <w:p w:rsidR="00E37E9C" w:rsidRPr="00E37E9C" w:rsidP="00E37E9C" w14:paraId="011ED11F" w14:textId="77777777">
      <w:pPr>
        <w:numPr>
          <w:ilvl w:val="0"/>
          <w:numId w:val="3"/>
        </w:numPr>
        <w:spacing w:line="264" w:lineRule="auto"/>
        <w:jc w:val="both"/>
        <w:rPr>
          <w:rFonts w:ascii="Arial" w:hAnsi="Arial" w:cs="Arial"/>
        </w:rPr>
      </w:pPr>
      <w:r w:rsidRPr="00E37E9C">
        <w:rPr>
          <w:rFonts w:ascii="Arial" w:hAnsi="Arial" w:cs="Arial"/>
        </w:rPr>
        <w:t>What has been the most important benefit(s) of your NSF Engine to date?</w:t>
      </w:r>
    </w:p>
    <w:p w:rsidR="00E37E9C" w:rsidRPr="00E37E9C" w:rsidP="00E37E9C" w14:paraId="1649370E" w14:textId="77777777">
      <w:pPr>
        <w:numPr>
          <w:ilvl w:val="0"/>
          <w:numId w:val="3"/>
        </w:numPr>
        <w:spacing w:line="264" w:lineRule="auto"/>
        <w:jc w:val="both"/>
        <w:rPr>
          <w:rFonts w:ascii="Arial" w:hAnsi="Arial" w:cs="Arial"/>
        </w:rPr>
      </w:pPr>
      <w:r w:rsidRPr="00E37E9C">
        <w:rPr>
          <w:rFonts w:ascii="Arial" w:hAnsi="Arial" w:cs="Arial"/>
        </w:rPr>
        <w:t xml:space="preserve">Of the efforts that your NSF Engine has launched, which one(s) are you the </w:t>
      </w:r>
      <w:r w:rsidRPr="00E37E9C">
        <w:rPr>
          <w:rFonts w:ascii="Arial" w:hAnsi="Arial" w:cs="Arial"/>
        </w:rPr>
        <w:t>most proud</w:t>
      </w:r>
      <w:r w:rsidRPr="00E37E9C">
        <w:rPr>
          <w:rFonts w:ascii="Arial" w:hAnsi="Arial" w:cs="Arial"/>
        </w:rPr>
        <w:t xml:space="preserve"> of or excited about? And why?</w:t>
      </w:r>
    </w:p>
    <w:p w:rsidR="00E37E9C" w:rsidRPr="00E37E9C" w:rsidP="00E37E9C" w14:paraId="38F2D033" w14:textId="3CB9E91A">
      <w:pPr>
        <w:numPr>
          <w:ilvl w:val="0"/>
          <w:numId w:val="3"/>
        </w:numPr>
        <w:spacing w:line="264" w:lineRule="auto"/>
        <w:jc w:val="both"/>
        <w:rPr>
          <w:rFonts w:ascii="Arial" w:hAnsi="Arial" w:cs="Arial"/>
        </w:rPr>
      </w:pPr>
      <w:r w:rsidRPr="00E37E9C">
        <w:rPr>
          <w:rFonts w:ascii="Arial" w:hAnsi="Arial" w:cs="Arial"/>
        </w:rPr>
        <w:t>Is the work of your NSF Engine spurring other projects or programs that were unexpected or unanticipated by your team? These could include activities that other groups may be pursuing as an indirect result of the efforts made by your NSF Engine.</w:t>
      </w:r>
    </w:p>
    <w:p w:rsidR="00E37E9C" w:rsidRPr="00E37E9C" w:rsidP="00E37E9C" w14:paraId="562A14B2" w14:textId="7D7EF311">
      <w:pPr>
        <w:spacing w:line="264" w:lineRule="auto"/>
        <w:jc w:val="both"/>
        <w:rPr>
          <w:rFonts w:ascii="Arial" w:hAnsi="Arial" w:cs="Arial"/>
        </w:rPr>
      </w:pPr>
      <w:r>
        <w:rPr>
          <w:rFonts w:ascii="Arial" w:hAnsi="Arial" w:cs="Arial"/>
        </w:rPr>
        <w:t xml:space="preserve">Aside from these high-level guiding questions, the focus group interviews will be unstructured. </w:t>
      </w:r>
      <w:r w:rsidRPr="00E37E9C">
        <w:rPr>
          <w:rFonts w:ascii="Arial" w:hAnsi="Arial" w:cs="Arial"/>
        </w:rPr>
        <w:t xml:space="preserve">Each focus group session will begin with participants doing self-introductions. Subsequently, participants will be grouped in pairs to discuss the guiding questions provided before the session. </w:t>
      </w:r>
      <w:r w:rsidRPr="00E37E9C">
        <w:rPr>
          <w:rFonts w:ascii="Arial" w:hAnsi="Arial" w:cs="Arial"/>
        </w:rPr>
        <w:t>Trained focus group facilitators will ask follow-up questions as participants collectively build a map of activities and outcomes associated with their NSF Engine’s work.</w:t>
      </w:r>
    </w:p>
    <w:p w:rsidR="008D48C8" w:rsidP="001B0B6E" w14:paraId="16C5C8CF" w14:textId="301651D2">
      <w:pPr>
        <w:spacing w:line="264" w:lineRule="auto"/>
        <w:jc w:val="both"/>
        <w:rPr>
          <w:rFonts w:ascii="Arial" w:hAnsi="Arial" w:cs="Arial"/>
        </w:rPr>
      </w:pPr>
      <w:r w:rsidRPr="00E37E9C">
        <w:rPr>
          <w:rFonts w:ascii="Arial" w:hAnsi="Arial" w:cs="Arial"/>
        </w:rPr>
        <w:t xml:space="preserve">In the first year of the NSF Engines award, the focus group sessions will focus on how each NSF Engine is establishing and building the foundation of their innovation ecosystem. We intend to repeat this focus group at years 4 and 6 of the award with the aim to building on insights from the first year. </w:t>
      </w:r>
      <w:r w:rsidR="00686C19">
        <w:rPr>
          <w:rFonts w:ascii="Arial" w:hAnsi="Arial" w:cs="Arial"/>
        </w:rPr>
        <w:t xml:space="preserve"> </w:t>
      </w:r>
      <w:r w:rsidRPr="00E37E9C">
        <w:rPr>
          <w:rFonts w:ascii="Arial" w:hAnsi="Arial" w:cs="Arial"/>
        </w:rPr>
        <w:t>During these periods, we anticipate expanding on the lessons learned and formulating new sets of guiding questions to further our understanding of Engine ecosystems and the program's impact.</w:t>
      </w:r>
    </w:p>
    <w:bookmarkEnd w:id="5"/>
    <w:p w:rsidR="00155B08" w:rsidP="00407A46" w14:paraId="583E66A1" w14:textId="73C930A5">
      <w:pPr>
        <w:spacing w:after="0" w:line="264" w:lineRule="auto"/>
        <w:rPr>
          <w:rFonts w:ascii="Arial" w:hAnsi="Arial" w:cs="Arial"/>
        </w:rPr>
      </w:pPr>
    </w:p>
    <w:p w:rsidR="005F3B78" w:rsidP="005F3B78" w14:paraId="6ACFC249" w14:textId="53D54230">
      <w:pPr>
        <w:spacing w:line="264" w:lineRule="auto"/>
        <w:rPr>
          <w:rFonts w:ascii="Arial" w:hAnsi="Arial" w:cs="Arial"/>
          <w:b/>
          <w:bCs/>
          <w:color w:val="1F3864" w:themeColor="accent1" w:themeShade="80"/>
          <w:sz w:val="24"/>
          <w:szCs w:val="24"/>
        </w:rPr>
      </w:pPr>
      <w:r w:rsidRPr="005F3B78">
        <w:rPr>
          <w:rFonts w:ascii="Arial" w:hAnsi="Arial" w:cs="Arial"/>
          <w:b/>
          <w:bCs/>
          <w:color w:val="1F3864" w:themeColor="accent1" w:themeShade="80"/>
          <w:sz w:val="24"/>
          <w:szCs w:val="24"/>
        </w:rPr>
        <w:t xml:space="preserve">A.3 </w:t>
      </w:r>
      <w:r w:rsidR="00155B08">
        <w:rPr>
          <w:rFonts w:ascii="Arial" w:hAnsi="Arial" w:cs="Arial"/>
          <w:b/>
          <w:bCs/>
          <w:color w:val="1F3864" w:themeColor="accent1" w:themeShade="80"/>
          <w:sz w:val="24"/>
          <w:szCs w:val="24"/>
        </w:rPr>
        <w:t>Use of Information Technology to Reduce Burden</w:t>
      </w:r>
    </w:p>
    <w:p w:rsidR="001B0B6E" w:rsidRPr="0010531E" w:rsidP="001B0B6E" w14:paraId="3708430F" w14:textId="77777777">
      <w:pPr>
        <w:spacing w:after="240" w:line="240" w:lineRule="auto"/>
        <w:jc w:val="both"/>
        <w:rPr>
          <w:rFonts w:ascii="Arial" w:hAnsi="Arial" w:cs="Arial"/>
        </w:rPr>
      </w:pPr>
      <w:r w:rsidRPr="0010531E">
        <w:rPr>
          <w:rFonts w:ascii="Arial" w:hAnsi="Arial" w:cs="Arial"/>
        </w:rPr>
        <w:t xml:space="preserve">All </w:t>
      </w:r>
      <w:r>
        <w:rPr>
          <w:rFonts w:ascii="Arial" w:hAnsi="Arial" w:cs="Arial"/>
        </w:rPr>
        <w:t>components in the collection</w:t>
      </w:r>
      <w:r w:rsidRPr="0010531E">
        <w:rPr>
          <w:rFonts w:ascii="Arial" w:hAnsi="Arial" w:cs="Arial"/>
        </w:rPr>
        <w:t xml:space="preserve"> will utilize electronic forms to minimize data errors and respondent burden.  In some cases, Program Directors, NSF staff, and/or NSF authorized representatives may contact the respondents for clarifications or follow-up questions</w:t>
      </w:r>
      <w:r>
        <w:rPr>
          <w:rFonts w:ascii="Arial" w:hAnsi="Arial" w:cs="Arial"/>
        </w:rPr>
        <w:t xml:space="preserve"> to ensure quality assurance and use these conversations to increase the robustness on the data.</w:t>
      </w:r>
      <w:r w:rsidRPr="0010531E">
        <w:rPr>
          <w:rFonts w:ascii="Arial" w:hAnsi="Arial" w:cs="Arial"/>
        </w:rPr>
        <w:t xml:space="preserve"> </w:t>
      </w:r>
    </w:p>
    <w:p w:rsidR="00832EB9" w:rsidRPr="000128D7" w:rsidP="001B0B6E" w14:paraId="2F3E5BAF" w14:textId="04E9B47D">
      <w:pPr>
        <w:jc w:val="both"/>
        <w:rPr>
          <w:rFonts w:ascii="Arial" w:hAnsi="Arial" w:cs="Arial"/>
        </w:rPr>
      </w:pPr>
      <w:r w:rsidRPr="000128D7">
        <w:rPr>
          <w:rFonts w:ascii="Arial" w:hAnsi="Arial" w:cs="Arial"/>
        </w:rPr>
        <w:t>To reduce the risk of survey respondents misinterpreting questions asked and potentially undermining the accuracy of the answers provided, definitions of keywords, phrases, and concepts available to respondents via a</w:t>
      </w:r>
      <w:r w:rsidR="00D7642E">
        <w:rPr>
          <w:rFonts w:ascii="Arial" w:hAnsi="Arial" w:cs="Arial"/>
        </w:rPr>
        <w:t xml:space="preserve"> tooltip</w:t>
      </w:r>
      <w:r w:rsidR="0068698E">
        <w:rPr>
          <w:rFonts w:ascii="Arial" w:hAnsi="Arial" w:cs="Arial"/>
        </w:rPr>
        <w:t xml:space="preserve"> feature</w:t>
      </w:r>
      <w:r w:rsidRPr="000128D7">
        <w:rPr>
          <w:rFonts w:ascii="Arial" w:hAnsi="Arial" w:cs="Arial"/>
        </w:rPr>
        <w:t xml:space="preserve">. </w:t>
      </w:r>
      <w:r w:rsidR="00352322">
        <w:rPr>
          <w:rFonts w:ascii="Arial" w:hAnsi="Arial" w:cs="Arial"/>
        </w:rPr>
        <w:t xml:space="preserve"> </w:t>
      </w:r>
      <w:r w:rsidRPr="000128D7">
        <w:rPr>
          <w:rFonts w:ascii="Arial" w:hAnsi="Arial" w:cs="Arial"/>
        </w:rPr>
        <w:t xml:space="preserve">Underlined words, phrases, and concepts will provide pop-up definitions when respondents hover over the underlined portion with their cursor. </w:t>
      </w:r>
      <w:r w:rsidR="00352322">
        <w:rPr>
          <w:rFonts w:ascii="Arial" w:hAnsi="Arial" w:cs="Arial"/>
        </w:rPr>
        <w:t xml:space="preserve"> </w:t>
      </w:r>
      <w:r w:rsidRPr="000128D7">
        <w:rPr>
          <w:rFonts w:ascii="Arial" w:hAnsi="Arial" w:cs="Arial"/>
        </w:rPr>
        <w:t xml:space="preserve">A glossary of defined survey terms </w:t>
      </w:r>
      <w:r w:rsidR="00407A46">
        <w:rPr>
          <w:rFonts w:ascii="Arial" w:hAnsi="Arial" w:cs="Arial"/>
        </w:rPr>
        <w:t>is</w:t>
      </w:r>
      <w:r w:rsidRPr="000128D7">
        <w:rPr>
          <w:rFonts w:ascii="Arial" w:hAnsi="Arial" w:cs="Arial"/>
        </w:rPr>
        <w:t xml:space="preserve"> provided in Appendix A. </w:t>
      </w:r>
      <w:r w:rsidR="00352322">
        <w:rPr>
          <w:rFonts w:ascii="Arial" w:hAnsi="Arial" w:cs="Arial"/>
        </w:rPr>
        <w:t xml:space="preserve"> </w:t>
      </w:r>
      <w:r w:rsidRPr="000128D7">
        <w:rPr>
          <w:rFonts w:ascii="Arial" w:hAnsi="Arial" w:cs="Arial"/>
        </w:rPr>
        <w:t xml:space="preserve">In addition, to simplify the design of the survey instruments and </w:t>
      </w:r>
      <w:r w:rsidR="003662BF">
        <w:rPr>
          <w:rFonts w:ascii="Arial" w:hAnsi="Arial" w:cs="Arial"/>
        </w:rPr>
        <w:t>reduce burden</w:t>
      </w:r>
      <w:r w:rsidRPr="000128D7">
        <w:rPr>
          <w:rFonts w:ascii="Arial" w:hAnsi="Arial" w:cs="Arial"/>
        </w:rPr>
        <w:t xml:space="preserve">, piped text </w:t>
      </w:r>
      <w:r w:rsidR="003662BF">
        <w:rPr>
          <w:rFonts w:ascii="Arial" w:hAnsi="Arial" w:cs="Arial"/>
        </w:rPr>
        <w:t xml:space="preserve">are employed </w:t>
      </w:r>
      <w:r w:rsidRPr="000128D7">
        <w:rPr>
          <w:rFonts w:ascii="Arial" w:hAnsi="Arial" w:cs="Arial"/>
        </w:rPr>
        <w:t xml:space="preserve">whenever possible to reduce the need for respondents to type in the same text again. Piped text from the same survey or text that have been carried over from other surveys are italicized. </w:t>
      </w:r>
    </w:p>
    <w:p w:rsidR="00D226AA" w:rsidP="00407A46" w14:paraId="30DDECFB" w14:textId="5C7BE66D">
      <w:pPr>
        <w:spacing w:after="0" w:line="264" w:lineRule="auto"/>
        <w:rPr>
          <w:rFonts w:ascii="Arial" w:hAnsi="Arial" w:cs="Arial"/>
          <w:b/>
          <w:bCs/>
          <w:color w:val="1F3864" w:themeColor="accent1" w:themeShade="80"/>
          <w:sz w:val="24"/>
          <w:szCs w:val="24"/>
        </w:rPr>
      </w:pPr>
    </w:p>
    <w:p w:rsidR="00D226AA" w:rsidP="00D226AA" w14:paraId="0F1DD50A" w14:textId="3BF08E35">
      <w:pPr>
        <w:spacing w:line="264" w:lineRule="auto"/>
        <w:rPr>
          <w:rFonts w:ascii="Arial" w:hAnsi="Arial" w:cs="Arial"/>
          <w:b/>
          <w:bCs/>
          <w:color w:val="1F3864" w:themeColor="accent1" w:themeShade="80"/>
          <w:sz w:val="24"/>
          <w:szCs w:val="24"/>
        </w:rPr>
      </w:pPr>
      <w:r w:rsidRPr="005F3B78">
        <w:rPr>
          <w:rFonts w:ascii="Arial" w:hAnsi="Arial" w:cs="Arial"/>
          <w:b/>
          <w:bCs/>
          <w:color w:val="1F3864" w:themeColor="accent1" w:themeShade="80"/>
          <w:sz w:val="24"/>
          <w:szCs w:val="24"/>
        </w:rPr>
        <w:t>A.</w:t>
      </w:r>
      <w:r>
        <w:rPr>
          <w:rFonts w:ascii="Arial" w:hAnsi="Arial" w:cs="Arial"/>
          <w:b/>
          <w:bCs/>
          <w:color w:val="1F3864" w:themeColor="accent1" w:themeShade="80"/>
          <w:sz w:val="24"/>
          <w:szCs w:val="24"/>
        </w:rPr>
        <w:t>4</w:t>
      </w:r>
      <w:r w:rsidRPr="005F3B78">
        <w:rPr>
          <w:rFonts w:ascii="Arial" w:hAnsi="Arial" w:cs="Arial"/>
          <w:b/>
          <w:bCs/>
          <w:color w:val="1F3864" w:themeColor="accent1" w:themeShade="80"/>
          <w:sz w:val="24"/>
          <w:szCs w:val="24"/>
        </w:rPr>
        <w:t xml:space="preserve"> </w:t>
      </w:r>
      <w:r>
        <w:rPr>
          <w:rFonts w:ascii="Arial" w:hAnsi="Arial" w:cs="Arial"/>
          <w:b/>
          <w:bCs/>
          <w:color w:val="1F3864" w:themeColor="accent1" w:themeShade="80"/>
          <w:sz w:val="24"/>
          <w:szCs w:val="24"/>
        </w:rPr>
        <w:t>Efforts to Identify Duplication</w:t>
      </w:r>
    </w:p>
    <w:p w:rsidR="00407A46" w:rsidP="00407A46" w14:paraId="11100843" w14:textId="4FB5663C">
      <w:pPr>
        <w:pStyle w:val="p1-standpara"/>
        <w:spacing w:before="0" w:beforeAutospacing="0" w:after="240" w:afterAutospacing="0"/>
        <w:jc w:val="both"/>
        <w:rPr>
          <w:rFonts w:ascii="Arial" w:hAnsi="Arial" w:cs="Arial"/>
          <w:sz w:val="22"/>
          <w:szCs w:val="22"/>
        </w:rPr>
      </w:pPr>
      <w:r>
        <w:rPr>
          <w:rFonts w:ascii="Arial" w:hAnsi="Arial" w:cs="Arial"/>
          <w:sz w:val="22"/>
          <w:szCs w:val="22"/>
        </w:rPr>
        <w:t>The data collection</w:t>
      </w:r>
      <w:r w:rsidRPr="00407A46">
        <w:rPr>
          <w:rFonts w:ascii="Arial" w:hAnsi="Arial" w:cs="Arial"/>
          <w:sz w:val="22"/>
          <w:szCs w:val="22"/>
        </w:rPr>
        <w:t xml:space="preserve"> does not duplicate other efforts undertaken by NSF, other federal agencies, or other data collection agents. </w:t>
      </w:r>
    </w:p>
    <w:p w:rsidR="00407A46" w:rsidRPr="00407A46" w:rsidP="00407A46" w14:paraId="2E9CFB08" w14:textId="6BE34075">
      <w:pPr>
        <w:pStyle w:val="p1-standpara"/>
        <w:spacing w:before="0" w:beforeAutospacing="0" w:after="0" w:afterAutospacing="0"/>
        <w:jc w:val="both"/>
        <w:rPr>
          <w:rFonts w:ascii="Arial" w:hAnsi="Arial" w:cs="Arial"/>
          <w:sz w:val="22"/>
          <w:szCs w:val="22"/>
        </w:rPr>
      </w:pPr>
    </w:p>
    <w:p w:rsidR="00407A46" w:rsidP="00407A46" w14:paraId="348287AC" w14:textId="37C0545D">
      <w:pPr>
        <w:spacing w:line="264" w:lineRule="auto"/>
        <w:rPr>
          <w:rFonts w:ascii="Arial" w:hAnsi="Arial" w:cs="Arial"/>
          <w:b/>
          <w:bCs/>
          <w:color w:val="1F3864" w:themeColor="accent1" w:themeShade="80"/>
          <w:sz w:val="24"/>
          <w:szCs w:val="24"/>
        </w:rPr>
      </w:pPr>
      <w:r w:rsidRPr="005F3B78">
        <w:rPr>
          <w:rFonts w:ascii="Arial" w:hAnsi="Arial" w:cs="Arial"/>
          <w:b/>
          <w:bCs/>
          <w:color w:val="1F3864" w:themeColor="accent1" w:themeShade="80"/>
          <w:sz w:val="24"/>
          <w:szCs w:val="24"/>
        </w:rPr>
        <w:t>A.</w:t>
      </w:r>
      <w:r>
        <w:rPr>
          <w:rFonts w:ascii="Arial" w:hAnsi="Arial" w:cs="Arial"/>
          <w:b/>
          <w:bCs/>
          <w:color w:val="1F3864" w:themeColor="accent1" w:themeShade="80"/>
          <w:sz w:val="24"/>
          <w:szCs w:val="24"/>
        </w:rPr>
        <w:t>5</w:t>
      </w:r>
      <w:r w:rsidRPr="005F3B78">
        <w:rPr>
          <w:rFonts w:ascii="Arial" w:hAnsi="Arial" w:cs="Arial"/>
          <w:b/>
          <w:bCs/>
          <w:color w:val="1F3864" w:themeColor="accent1" w:themeShade="80"/>
          <w:sz w:val="24"/>
          <w:szCs w:val="24"/>
        </w:rPr>
        <w:t xml:space="preserve"> </w:t>
      </w:r>
      <w:r>
        <w:rPr>
          <w:rFonts w:ascii="Arial" w:hAnsi="Arial" w:cs="Arial"/>
          <w:b/>
          <w:bCs/>
          <w:color w:val="1F3864" w:themeColor="accent1" w:themeShade="80"/>
          <w:sz w:val="24"/>
          <w:szCs w:val="24"/>
        </w:rPr>
        <w:t>Small Business</w:t>
      </w:r>
    </w:p>
    <w:p w:rsidR="00384D0E" w:rsidP="00407A46" w14:paraId="46C04DA3" w14:textId="451AEC8A">
      <w:pPr>
        <w:spacing w:line="264" w:lineRule="auto"/>
        <w:rPr>
          <w:rFonts w:ascii="Arial" w:hAnsi="Arial" w:cs="Arial"/>
          <w:b/>
          <w:bCs/>
          <w:color w:val="1F3864" w:themeColor="accent1" w:themeShade="80"/>
          <w:sz w:val="24"/>
          <w:szCs w:val="24"/>
        </w:rPr>
      </w:pPr>
      <w:r>
        <w:rPr>
          <w:rFonts w:ascii="Arial" w:hAnsi="Arial" w:cs="Arial"/>
        </w:rPr>
        <w:t>Not applicable.</w:t>
      </w:r>
    </w:p>
    <w:p w:rsidR="00407A46" w:rsidP="00407A46" w14:paraId="33B84F07" w14:textId="0F04762C">
      <w:pPr>
        <w:spacing w:line="264" w:lineRule="auto"/>
        <w:rPr>
          <w:rFonts w:ascii="Arial" w:hAnsi="Arial" w:cs="Arial"/>
          <w:b/>
          <w:bCs/>
          <w:color w:val="1F3864" w:themeColor="accent1" w:themeShade="80"/>
          <w:sz w:val="24"/>
          <w:szCs w:val="24"/>
        </w:rPr>
      </w:pPr>
      <w:r w:rsidRPr="005F3B78">
        <w:rPr>
          <w:rFonts w:ascii="Arial" w:hAnsi="Arial" w:cs="Arial"/>
          <w:b/>
          <w:bCs/>
          <w:color w:val="1F3864" w:themeColor="accent1" w:themeShade="80"/>
          <w:sz w:val="24"/>
          <w:szCs w:val="24"/>
        </w:rPr>
        <w:t>A.</w:t>
      </w:r>
      <w:r>
        <w:rPr>
          <w:rFonts w:ascii="Arial" w:hAnsi="Arial" w:cs="Arial"/>
          <w:b/>
          <w:bCs/>
          <w:color w:val="1F3864" w:themeColor="accent1" w:themeShade="80"/>
          <w:sz w:val="24"/>
          <w:szCs w:val="24"/>
        </w:rPr>
        <w:t>6</w:t>
      </w:r>
      <w:r w:rsidRPr="005F3B78">
        <w:rPr>
          <w:rFonts w:ascii="Arial" w:hAnsi="Arial" w:cs="Arial"/>
          <w:b/>
          <w:bCs/>
          <w:color w:val="1F3864" w:themeColor="accent1" w:themeShade="80"/>
          <w:sz w:val="24"/>
          <w:szCs w:val="24"/>
        </w:rPr>
        <w:t xml:space="preserve"> </w:t>
      </w:r>
      <w:r>
        <w:rPr>
          <w:rFonts w:ascii="Arial" w:hAnsi="Arial" w:cs="Arial"/>
          <w:b/>
          <w:bCs/>
          <w:color w:val="1F3864" w:themeColor="accent1" w:themeShade="80"/>
          <w:sz w:val="24"/>
          <w:szCs w:val="24"/>
        </w:rPr>
        <w:t>Consequences of Not Collecting the Information</w:t>
      </w:r>
    </w:p>
    <w:p w:rsidR="00C90E37" w:rsidRPr="0010531E" w:rsidP="00C90E37" w14:paraId="7265EAD6" w14:textId="131B017B">
      <w:pPr>
        <w:spacing w:after="240" w:line="240" w:lineRule="auto"/>
        <w:jc w:val="both"/>
        <w:rPr>
          <w:rFonts w:ascii="Arial" w:hAnsi="Arial" w:cs="Arial"/>
        </w:rPr>
      </w:pPr>
      <w:r w:rsidRPr="0010531E">
        <w:rPr>
          <w:rFonts w:ascii="Arial" w:hAnsi="Arial" w:cs="Arial"/>
        </w:rPr>
        <w:t xml:space="preserve">If the information were not collected, NSF would be unable to </w:t>
      </w:r>
      <w:r>
        <w:rPr>
          <w:rFonts w:ascii="Arial" w:hAnsi="Arial" w:cs="Arial"/>
        </w:rPr>
        <w:t>(</w:t>
      </w:r>
      <w:r w:rsidRPr="0010531E">
        <w:rPr>
          <w:rFonts w:ascii="Arial" w:hAnsi="Arial" w:cs="Arial"/>
        </w:rPr>
        <w:t>1) meet its accountability requirements</w:t>
      </w:r>
      <w:r>
        <w:rPr>
          <w:rFonts w:ascii="Arial" w:hAnsi="Arial" w:cs="Arial"/>
        </w:rPr>
        <w:t xml:space="preserve">, (2) </w:t>
      </w:r>
      <w:r w:rsidRPr="0010531E">
        <w:rPr>
          <w:rFonts w:ascii="Arial" w:hAnsi="Arial" w:cs="Arial"/>
        </w:rPr>
        <w:t xml:space="preserve">assess the degree to which </w:t>
      </w:r>
      <w:r>
        <w:rPr>
          <w:rFonts w:ascii="Arial" w:hAnsi="Arial" w:cs="Arial"/>
        </w:rPr>
        <w:t>NSF Engines</w:t>
      </w:r>
      <w:r w:rsidRPr="0010531E">
        <w:rPr>
          <w:rFonts w:ascii="Arial" w:hAnsi="Arial" w:cs="Arial"/>
        </w:rPr>
        <w:t xml:space="preserve"> are meeting </w:t>
      </w:r>
      <w:r>
        <w:rPr>
          <w:rFonts w:ascii="Arial" w:hAnsi="Arial" w:cs="Arial"/>
        </w:rPr>
        <w:t xml:space="preserve">its programmatic and congressional </w:t>
      </w:r>
      <w:r w:rsidRPr="0010531E">
        <w:rPr>
          <w:rFonts w:ascii="Arial" w:hAnsi="Arial" w:cs="Arial"/>
        </w:rPr>
        <w:t xml:space="preserve">goals over time, and </w:t>
      </w:r>
      <w:r>
        <w:rPr>
          <w:rFonts w:ascii="Arial" w:hAnsi="Arial" w:cs="Arial"/>
        </w:rPr>
        <w:t>(3</w:t>
      </w:r>
      <w:r w:rsidRPr="0010531E">
        <w:rPr>
          <w:rFonts w:ascii="Arial" w:hAnsi="Arial" w:cs="Arial"/>
        </w:rPr>
        <w:t xml:space="preserve">) document progress and outcomes of the </w:t>
      </w:r>
      <w:r>
        <w:rPr>
          <w:rFonts w:ascii="Arial" w:hAnsi="Arial" w:cs="Arial"/>
        </w:rPr>
        <w:t>Engines.</w:t>
      </w:r>
    </w:p>
    <w:p w:rsidR="00C90E37" w:rsidRPr="00790180" w:rsidP="00C90E37" w14:paraId="4AEEF6A6" w14:textId="64E50267">
      <w:pPr>
        <w:spacing w:after="0" w:line="240" w:lineRule="auto"/>
        <w:jc w:val="both"/>
        <w:rPr>
          <w:rFonts w:ascii="Arial" w:eastAsia="Times New Roman" w:hAnsi="Arial" w:cs="Arial"/>
        </w:rPr>
      </w:pPr>
      <w:r w:rsidRPr="0010531E">
        <w:rPr>
          <w:rFonts w:ascii="Arial" w:eastAsia="Times New Roman" w:hAnsi="Arial" w:cs="Arial"/>
        </w:rPr>
        <w:t xml:space="preserve">Less frequent data collection would also preclude NSF from </w:t>
      </w:r>
      <w:r>
        <w:rPr>
          <w:rFonts w:ascii="Arial" w:eastAsia="Times New Roman" w:hAnsi="Arial" w:cs="Arial"/>
        </w:rPr>
        <w:t xml:space="preserve">adequately </w:t>
      </w:r>
      <w:r w:rsidRPr="0010531E">
        <w:rPr>
          <w:rFonts w:ascii="Arial" w:eastAsia="Times New Roman" w:hAnsi="Arial" w:cs="Arial"/>
        </w:rPr>
        <w:t>monitoring</w:t>
      </w:r>
      <w:r>
        <w:rPr>
          <w:rFonts w:ascii="Arial" w:eastAsia="Times New Roman" w:hAnsi="Arial" w:cs="Arial"/>
        </w:rPr>
        <w:t xml:space="preserve">, assessing, </w:t>
      </w:r>
      <w:r w:rsidRPr="0010531E">
        <w:rPr>
          <w:rFonts w:ascii="Arial" w:eastAsia="Times New Roman" w:hAnsi="Arial" w:cs="Arial"/>
        </w:rPr>
        <w:t>and document</w:t>
      </w:r>
      <w:r>
        <w:rPr>
          <w:rFonts w:ascii="Arial" w:eastAsia="Times New Roman" w:hAnsi="Arial" w:cs="Arial"/>
        </w:rPr>
        <w:t>ing</w:t>
      </w:r>
      <w:r w:rsidRPr="0010531E">
        <w:rPr>
          <w:rFonts w:ascii="Arial" w:eastAsia="Times New Roman" w:hAnsi="Arial" w:cs="Arial"/>
        </w:rPr>
        <w:t xml:space="preserve"> the progress of each </w:t>
      </w:r>
      <w:r>
        <w:rPr>
          <w:rFonts w:ascii="Arial" w:eastAsia="Times New Roman" w:hAnsi="Arial" w:cs="Arial"/>
        </w:rPr>
        <w:t>Engine</w:t>
      </w:r>
      <w:r w:rsidRPr="0010531E">
        <w:rPr>
          <w:rFonts w:ascii="Arial" w:eastAsia="Times New Roman" w:hAnsi="Arial" w:cs="Arial"/>
        </w:rPr>
        <w:t xml:space="preserve">. </w:t>
      </w:r>
      <w:r>
        <w:rPr>
          <w:rFonts w:ascii="Arial" w:eastAsia="Times New Roman" w:hAnsi="Arial" w:cs="Arial"/>
        </w:rPr>
        <w:t xml:space="preserve"> </w:t>
      </w:r>
      <w:r w:rsidRPr="0010531E">
        <w:rPr>
          <w:rFonts w:ascii="Arial" w:eastAsia="Times New Roman" w:hAnsi="Arial" w:cs="Arial"/>
        </w:rPr>
        <w:t xml:space="preserve">This inhibits NSF from making informed </w:t>
      </w:r>
      <w:r>
        <w:rPr>
          <w:rFonts w:ascii="Arial" w:eastAsia="Times New Roman" w:hAnsi="Arial" w:cs="Arial"/>
        </w:rPr>
        <w:t xml:space="preserve">funding </w:t>
      </w:r>
      <w:r w:rsidRPr="0010531E">
        <w:rPr>
          <w:rFonts w:ascii="Arial" w:eastAsia="Times New Roman" w:hAnsi="Arial" w:cs="Arial"/>
        </w:rPr>
        <w:t xml:space="preserve">decisions and the timely correction of weaknesses identified in </w:t>
      </w:r>
      <w:r w:rsidRPr="0010531E">
        <w:rPr>
          <w:rFonts w:ascii="Arial" w:eastAsia="Times New Roman" w:hAnsi="Arial" w:cs="Arial"/>
        </w:rPr>
        <w:t>a</w:t>
      </w:r>
      <w:r w:rsidRPr="0010531E">
        <w:rPr>
          <w:rFonts w:ascii="Arial" w:eastAsia="Times New Roman" w:hAnsi="Arial" w:cs="Arial"/>
        </w:rPr>
        <w:t xml:space="preserve"> </w:t>
      </w:r>
      <w:r w:rsidR="00F7265E">
        <w:rPr>
          <w:rFonts w:ascii="Arial" w:eastAsia="Times New Roman" w:hAnsi="Arial" w:cs="Arial"/>
        </w:rPr>
        <w:t>Engine’s</w:t>
      </w:r>
      <w:r w:rsidRPr="0010531E">
        <w:rPr>
          <w:rFonts w:ascii="Arial" w:eastAsia="Times New Roman" w:hAnsi="Arial" w:cs="Arial"/>
        </w:rPr>
        <w:t xml:space="preserve"> activities. The consequence of less frequent collection would manifest itself in lack of an effective way to monitor the investment of resources and time that NSF has committed to the </w:t>
      </w:r>
      <w:r w:rsidR="00F7265E">
        <w:rPr>
          <w:rFonts w:ascii="Arial" w:eastAsia="Times New Roman" w:hAnsi="Arial" w:cs="Arial"/>
        </w:rPr>
        <w:t>NSF Engines Program</w:t>
      </w:r>
      <w:r w:rsidRPr="0010531E">
        <w:rPr>
          <w:rFonts w:ascii="Arial" w:eastAsia="Times New Roman" w:hAnsi="Arial" w:cs="Arial"/>
        </w:rPr>
        <w:t xml:space="preserve">.  </w:t>
      </w:r>
    </w:p>
    <w:p w:rsidR="0074319A" w:rsidRPr="00787A1C" w:rsidP="0074319A" w14:paraId="2D27FD86" w14:textId="51095A65">
      <w:pPr>
        <w:pStyle w:val="Heading3"/>
        <w:rPr>
          <w:rFonts w:ascii="Arial" w:hAnsi="Arial" w:cs="Arial"/>
          <w:b/>
          <w:bCs/>
        </w:rPr>
      </w:pPr>
    </w:p>
    <w:p w:rsidR="00CB1D8A" w:rsidP="00CB1D8A" w14:paraId="2EBD3D12" w14:textId="3748EFFC">
      <w:pPr>
        <w:spacing w:line="264" w:lineRule="auto"/>
        <w:rPr>
          <w:rFonts w:ascii="Arial" w:hAnsi="Arial" w:cs="Arial"/>
          <w:b/>
          <w:bCs/>
          <w:color w:val="1F3864" w:themeColor="accent1" w:themeShade="80"/>
          <w:sz w:val="24"/>
          <w:szCs w:val="24"/>
        </w:rPr>
      </w:pPr>
      <w:r w:rsidRPr="005F3B78">
        <w:rPr>
          <w:rFonts w:ascii="Arial" w:hAnsi="Arial" w:cs="Arial"/>
          <w:b/>
          <w:bCs/>
          <w:color w:val="1F3864" w:themeColor="accent1" w:themeShade="80"/>
          <w:sz w:val="24"/>
          <w:szCs w:val="24"/>
        </w:rPr>
        <w:t>A.</w:t>
      </w:r>
      <w:r>
        <w:rPr>
          <w:rFonts w:ascii="Arial" w:hAnsi="Arial" w:cs="Arial"/>
          <w:b/>
          <w:bCs/>
          <w:color w:val="1F3864" w:themeColor="accent1" w:themeShade="80"/>
          <w:sz w:val="24"/>
          <w:szCs w:val="24"/>
        </w:rPr>
        <w:t>7</w:t>
      </w:r>
      <w:r w:rsidRPr="005F3B78">
        <w:rPr>
          <w:rFonts w:ascii="Arial" w:hAnsi="Arial" w:cs="Arial"/>
          <w:b/>
          <w:bCs/>
          <w:color w:val="1F3864" w:themeColor="accent1" w:themeShade="80"/>
          <w:sz w:val="24"/>
          <w:szCs w:val="24"/>
        </w:rPr>
        <w:t xml:space="preserve"> </w:t>
      </w:r>
      <w:r w:rsidR="003F6FB7">
        <w:rPr>
          <w:rFonts w:ascii="Arial" w:hAnsi="Arial" w:cs="Arial"/>
          <w:b/>
          <w:bCs/>
          <w:color w:val="1F3864" w:themeColor="accent1" w:themeShade="80"/>
          <w:sz w:val="24"/>
          <w:szCs w:val="24"/>
        </w:rPr>
        <w:t>Special Circumstances Justifying Inconsistences with Guidelines in 5 CFR 1320.6</w:t>
      </w:r>
    </w:p>
    <w:p w:rsidR="0074319A" w:rsidP="00BA4FEE" w14:paraId="4D7C1B16" w14:textId="3F28C696">
      <w:pPr>
        <w:pStyle w:val="NormalWeb"/>
        <w:spacing w:after="240" w:afterAutospacing="0"/>
        <w:jc w:val="both"/>
        <w:rPr>
          <w:rFonts w:ascii="Arial" w:hAnsi="Arial" w:cs="Arial"/>
          <w:sz w:val="22"/>
          <w:szCs w:val="22"/>
        </w:rPr>
      </w:pPr>
      <w:r w:rsidRPr="0010531E">
        <w:rPr>
          <w:rFonts w:ascii="Arial" w:hAnsi="Arial" w:cs="Arial"/>
          <w:sz w:val="22"/>
          <w:szCs w:val="22"/>
        </w:rPr>
        <w:t xml:space="preserve">Data collected will comply with 5 CFR 1320.6.   First, a valid OMB control number will be displayed at the beginning of the electronic form.  Second, as the reporting requirement is </w:t>
      </w:r>
      <w:r w:rsidR="00DC45B2">
        <w:rPr>
          <w:rFonts w:ascii="Arial" w:hAnsi="Arial" w:cs="Arial"/>
          <w:sz w:val="22"/>
          <w:szCs w:val="22"/>
        </w:rPr>
        <w:t>necessary for the success of the Program</w:t>
      </w:r>
      <w:r w:rsidRPr="0010531E">
        <w:rPr>
          <w:rFonts w:ascii="Arial" w:hAnsi="Arial" w:cs="Arial"/>
          <w:sz w:val="22"/>
          <w:szCs w:val="22"/>
        </w:rPr>
        <w:t xml:space="preserve">, the NSF </w:t>
      </w:r>
      <w:r>
        <w:rPr>
          <w:rFonts w:ascii="Arial" w:hAnsi="Arial" w:cs="Arial"/>
          <w:sz w:val="22"/>
          <w:szCs w:val="22"/>
        </w:rPr>
        <w:t xml:space="preserve">Engines </w:t>
      </w:r>
      <w:r w:rsidRPr="0010531E">
        <w:rPr>
          <w:rFonts w:ascii="Arial" w:hAnsi="Arial" w:cs="Arial"/>
          <w:sz w:val="22"/>
          <w:szCs w:val="22"/>
        </w:rPr>
        <w:t>Program will communicate clearly—</w:t>
      </w:r>
      <w:r>
        <w:rPr>
          <w:rFonts w:ascii="Arial" w:hAnsi="Arial" w:cs="Arial"/>
          <w:sz w:val="22"/>
          <w:szCs w:val="22"/>
        </w:rPr>
        <w:t>through</w:t>
      </w:r>
      <w:r w:rsidRPr="0010531E">
        <w:rPr>
          <w:rFonts w:ascii="Arial" w:hAnsi="Arial" w:cs="Arial"/>
          <w:i/>
          <w:iCs/>
          <w:sz w:val="22"/>
          <w:szCs w:val="22"/>
        </w:rPr>
        <w:t xml:space="preserve"> </w:t>
      </w:r>
      <w:r w:rsidRPr="0010531E">
        <w:rPr>
          <w:rFonts w:ascii="Arial" w:hAnsi="Arial" w:cs="Arial"/>
          <w:sz w:val="22"/>
          <w:szCs w:val="22"/>
        </w:rPr>
        <w:t>proposal solicitations, the NSF</w:t>
      </w:r>
      <w:r>
        <w:rPr>
          <w:rFonts w:ascii="Arial" w:hAnsi="Arial" w:cs="Arial"/>
          <w:sz w:val="22"/>
          <w:szCs w:val="22"/>
        </w:rPr>
        <w:t xml:space="preserve"> Engines</w:t>
      </w:r>
      <w:r w:rsidRPr="0010531E">
        <w:rPr>
          <w:rFonts w:ascii="Arial" w:hAnsi="Arial" w:cs="Arial"/>
          <w:sz w:val="22"/>
          <w:szCs w:val="22"/>
        </w:rPr>
        <w:t xml:space="preserve"> website, and program announcements—that such collection of </w:t>
      </w:r>
      <w:r>
        <w:rPr>
          <w:rFonts w:ascii="Arial" w:hAnsi="Arial" w:cs="Arial"/>
          <w:sz w:val="22"/>
          <w:szCs w:val="22"/>
        </w:rPr>
        <w:t xml:space="preserve">these </w:t>
      </w:r>
      <w:r w:rsidRPr="0010531E">
        <w:rPr>
          <w:rFonts w:ascii="Arial" w:hAnsi="Arial" w:cs="Arial"/>
          <w:sz w:val="22"/>
          <w:szCs w:val="22"/>
        </w:rPr>
        <w:t>information will be treated as a means for satisfying a condition for the receipt</w:t>
      </w:r>
      <w:r w:rsidRPr="0010531E">
        <w:rPr>
          <w:rFonts w:ascii="Arial" w:hAnsi="Arial" w:cs="Arial"/>
          <w:i/>
          <w:iCs/>
          <w:sz w:val="22"/>
          <w:szCs w:val="22"/>
        </w:rPr>
        <w:t xml:space="preserve"> </w:t>
      </w:r>
      <w:r w:rsidRPr="0010531E">
        <w:rPr>
          <w:rFonts w:ascii="Arial" w:hAnsi="Arial" w:cs="Arial"/>
          <w:sz w:val="22"/>
          <w:szCs w:val="22"/>
        </w:rPr>
        <w:t xml:space="preserve">of the </w:t>
      </w:r>
      <w:r w:rsidR="00DC45B2">
        <w:rPr>
          <w:rFonts w:ascii="Arial" w:hAnsi="Arial" w:cs="Arial"/>
          <w:sz w:val="22"/>
          <w:szCs w:val="22"/>
        </w:rPr>
        <w:t>NSF RIE</w:t>
      </w:r>
      <w:r w:rsidRPr="0010531E">
        <w:rPr>
          <w:rFonts w:ascii="Arial" w:hAnsi="Arial" w:cs="Arial"/>
          <w:sz w:val="22"/>
          <w:szCs w:val="22"/>
        </w:rPr>
        <w:t xml:space="preserve"> grant.</w:t>
      </w:r>
    </w:p>
    <w:p w:rsidR="00BA4FEE" w:rsidRPr="00AE39B7" w:rsidP="00BA4FEE" w14:paraId="21228258" w14:textId="54035158">
      <w:pPr>
        <w:pStyle w:val="NormalWeb"/>
        <w:spacing w:after="0" w:afterAutospacing="0"/>
        <w:jc w:val="both"/>
        <w:rPr>
          <w:rFonts w:ascii="Arial" w:hAnsi="Arial" w:cs="Arial"/>
          <w:sz w:val="22"/>
          <w:szCs w:val="22"/>
        </w:rPr>
      </w:pPr>
    </w:p>
    <w:p w:rsidR="003F6FB7" w:rsidP="003F6FB7" w14:paraId="7EDDE649" w14:textId="101841D6">
      <w:pPr>
        <w:spacing w:line="264" w:lineRule="auto"/>
        <w:rPr>
          <w:rFonts w:ascii="Arial" w:hAnsi="Arial" w:cs="Arial"/>
          <w:b/>
          <w:bCs/>
          <w:color w:val="1F3864" w:themeColor="accent1" w:themeShade="80"/>
          <w:sz w:val="24"/>
          <w:szCs w:val="24"/>
        </w:rPr>
      </w:pPr>
      <w:r w:rsidRPr="005F3B78">
        <w:rPr>
          <w:rFonts w:ascii="Arial" w:hAnsi="Arial" w:cs="Arial"/>
          <w:b/>
          <w:bCs/>
          <w:color w:val="1F3864" w:themeColor="accent1" w:themeShade="80"/>
          <w:sz w:val="24"/>
          <w:szCs w:val="24"/>
        </w:rPr>
        <w:t>A.</w:t>
      </w:r>
      <w:r>
        <w:rPr>
          <w:rFonts w:ascii="Arial" w:hAnsi="Arial" w:cs="Arial"/>
          <w:b/>
          <w:bCs/>
          <w:color w:val="1F3864" w:themeColor="accent1" w:themeShade="80"/>
          <w:sz w:val="24"/>
          <w:szCs w:val="24"/>
        </w:rPr>
        <w:t>8</w:t>
      </w:r>
      <w:r w:rsidRPr="005F3B78">
        <w:rPr>
          <w:rFonts w:ascii="Arial" w:hAnsi="Arial" w:cs="Arial"/>
          <w:b/>
          <w:bCs/>
          <w:color w:val="1F3864" w:themeColor="accent1" w:themeShade="80"/>
          <w:sz w:val="24"/>
          <w:szCs w:val="24"/>
        </w:rPr>
        <w:t xml:space="preserve"> </w:t>
      </w:r>
      <w:r>
        <w:rPr>
          <w:rFonts w:ascii="Arial" w:hAnsi="Arial" w:cs="Arial"/>
          <w:b/>
          <w:bCs/>
          <w:color w:val="1F3864" w:themeColor="accent1" w:themeShade="80"/>
          <w:sz w:val="24"/>
          <w:szCs w:val="24"/>
        </w:rPr>
        <w:t>Federal Register Notice and Consultation Outside the Agency</w:t>
      </w:r>
    </w:p>
    <w:p w:rsidR="00AE39B7" w:rsidP="00762F05" w14:paraId="73238F81" w14:textId="34F134D6">
      <w:pPr>
        <w:pStyle w:val="BodyText"/>
        <w:suppressAutoHyphens/>
        <w:spacing w:line="240" w:lineRule="auto"/>
        <w:jc w:val="both"/>
        <w:rPr>
          <w:rFonts w:ascii="Arial" w:hAnsi="Arial" w:cs="Arial"/>
          <w:bCs/>
          <w:szCs w:val="22"/>
        </w:rPr>
      </w:pPr>
      <w:r w:rsidRPr="0010531E">
        <w:rPr>
          <w:rFonts w:ascii="Arial" w:hAnsi="Arial" w:cs="Arial"/>
          <w:bCs/>
          <w:szCs w:val="22"/>
        </w:rPr>
        <w:t xml:space="preserve">The agency’s notice, as required by 5 CFR 1320.8(d), was published in the </w:t>
      </w:r>
      <w:r w:rsidRPr="0010531E">
        <w:rPr>
          <w:rFonts w:ascii="Arial" w:hAnsi="Arial" w:cs="Arial"/>
          <w:bCs/>
          <w:i/>
          <w:iCs/>
          <w:szCs w:val="22"/>
        </w:rPr>
        <w:t>Federal Register</w:t>
      </w:r>
      <w:r w:rsidRPr="0010531E">
        <w:rPr>
          <w:rFonts w:ascii="Arial" w:hAnsi="Arial" w:cs="Arial"/>
          <w:bCs/>
          <w:szCs w:val="22"/>
        </w:rPr>
        <w:t xml:space="preserve"> on </w:t>
      </w:r>
      <w:r w:rsidR="00730C75">
        <w:rPr>
          <w:rFonts w:ascii="Arial" w:hAnsi="Arial" w:cs="Arial"/>
          <w:bCs/>
          <w:szCs w:val="22"/>
        </w:rPr>
        <w:t>October</w:t>
      </w:r>
      <w:r w:rsidR="00762F05">
        <w:rPr>
          <w:rFonts w:ascii="Arial" w:hAnsi="Arial" w:cs="Arial"/>
          <w:bCs/>
          <w:szCs w:val="22"/>
        </w:rPr>
        <w:t xml:space="preserve"> 13, </w:t>
      </w:r>
      <w:r w:rsidRPr="0010531E">
        <w:rPr>
          <w:rFonts w:ascii="Arial" w:hAnsi="Arial" w:cs="Arial"/>
          <w:bCs/>
          <w:szCs w:val="22"/>
        </w:rPr>
        <w:t>202</w:t>
      </w:r>
      <w:r w:rsidR="00730C75">
        <w:rPr>
          <w:rFonts w:ascii="Arial" w:hAnsi="Arial" w:cs="Arial"/>
          <w:bCs/>
          <w:szCs w:val="22"/>
        </w:rPr>
        <w:t>3</w:t>
      </w:r>
      <w:r w:rsidRPr="0010531E">
        <w:rPr>
          <w:rFonts w:ascii="Arial" w:hAnsi="Arial" w:cs="Arial"/>
          <w:bCs/>
          <w:szCs w:val="22"/>
        </w:rPr>
        <w:t>, at 8</w:t>
      </w:r>
      <w:r w:rsidR="00730C75">
        <w:rPr>
          <w:rFonts w:ascii="Arial" w:hAnsi="Arial" w:cs="Arial"/>
          <w:bCs/>
          <w:szCs w:val="22"/>
        </w:rPr>
        <w:t>8</w:t>
      </w:r>
      <w:r w:rsidRPr="0010531E">
        <w:rPr>
          <w:rFonts w:ascii="Arial" w:hAnsi="Arial" w:cs="Arial"/>
          <w:bCs/>
          <w:szCs w:val="22"/>
        </w:rPr>
        <w:t xml:space="preserve"> FR </w:t>
      </w:r>
      <w:r w:rsidR="00730C75">
        <w:rPr>
          <w:rFonts w:ascii="Arial" w:hAnsi="Arial" w:cs="Arial"/>
          <w:bCs/>
          <w:szCs w:val="22"/>
        </w:rPr>
        <w:t>71033</w:t>
      </w:r>
      <w:r w:rsidR="00266991">
        <w:rPr>
          <w:rFonts w:ascii="Arial" w:hAnsi="Arial" w:cs="Arial"/>
          <w:bCs/>
          <w:szCs w:val="22"/>
        </w:rPr>
        <w:t>;</w:t>
      </w:r>
      <w:r w:rsidRPr="0010531E">
        <w:rPr>
          <w:rFonts w:ascii="Arial" w:hAnsi="Arial" w:cs="Arial"/>
          <w:bCs/>
          <w:szCs w:val="22"/>
        </w:rPr>
        <w:t xml:space="preserve"> </w:t>
      </w:r>
      <w:r w:rsidR="00266991">
        <w:rPr>
          <w:rFonts w:ascii="Arial" w:hAnsi="Arial" w:cs="Arial"/>
          <w:bCs/>
          <w:szCs w:val="22"/>
        </w:rPr>
        <w:t>t</w:t>
      </w:r>
      <w:r w:rsidRPr="00762F05" w:rsidR="00762F05">
        <w:rPr>
          <w:rFonts w:ascii="Arial" w:hAnsi="Arial" w:cs="Arial"/>
          <w:bCs/>
          <w:szCs w:val="22"/>
        </w:rPr>
        <w:t xml:space="preserve">he public comment period closed on December 12, </w:t>
      </w:r>
      <w:r w:rsidRPr="00762F05" w:rsidR="00762F05">
        <w:rPr>
          <w:rFonts w:ascii="Arial" w:hAnsi="Arial" w:cs="Arial"/>
          <w:bCs/>
          <w:szCs w:val="22"/>
        </w:rPr>
        <w:t>2023</w:t>
      </w:r>
      <w:r w:rsidRPr="00762F05" w:rsidR="00762F05">
        <w:rPr>
          <w:rFonts w:ascii="Arial" w:hAnsi="Arial" w:cs="Arial"/>
          <w:bCs/>
          <w:szCs w:val="22"/>
        </w:rPr>
        <w:t xml:space="preserve"> and no public comments were received during this time.</w:t>
      </w:r>
    </w:p>
    <w:p w:rsidR="00762F05" w:rsidRPr="00787A1C" w:rsidP="00762F05" w14:paraId="0BB3091B" w14:textId="77777777">
      <w:pPr>
        <w:pStyle w:val="BodyText"/>
        <w:suppressAutoHyphens/>
        <w:spacing w:line="240" w:lineRule="auto"/>
        <w:jc w:val="both"/>
        <w:rPr>
          <w:rFonts w:ascii="Arial" w:hAnsi="Arial" w:cs="Arial"/>
          <w:b/>
          <w:bCs/>
        </w:rPr>
      </w:pPr>
    </w:p>
    <w:p w:rsidR="00266991" w:rsidP="00266991" w14:paraId="46498DA8" w14:textId="3FBF2F1B">
      <w:pPr>
        <w:spacing w:after="0" w:line="264" w:lineRule="auto"/>
        <w:rPr>
          <w:rFonts w:ascii="Arial" w:hAnsi="Arial" w:cs="Arial"/>
          <w:b/>
          <w:bCs/>
          <w:color w:val="1F3864" w:themeColor="accent1" w:themeShade="80"/>
          <w:sz w:val="24"/>
          <w:szCs w:val="24"/>
        </w:rPr>
      </w:pPr>
    </w:p>
    <w:p w:rsidR="003F6FB7" w:rsidP="003F6FB7" w14:paraId="5A8AD0D3" w14:textId="78469185">
      <w:pPr>
        <w:spacing w:line="264" w:lineRule="auto"/>
        <w:rPr>
          <w:rFonts w:ascii="Arial" w:hAnsi="Arial" w:cs="Arial"/>
          <w:b/>
          <w:bCs/>
          <w:color w:val="1F3864" w:themeColor="accent1" w:themeShade="80"/>
          <w:sz w:val="24"/>
          <w:szCs w:val="24"/>
        </w:rPr>
      </w:pPr>
      <w:r w:rsidRPr="005F3B78">
        <w:rPr>
          <w:rFonts w:ascii="Arial" w:hAnsi="Arial" w:cs="Arial"/>
          <w:b/>
          <w:bCs/>
          <w:color w:val="1F3864" w:themeColor="accent1" w:themeShade="80"/>
          <w:sz w:val="24"/>
          <w:szCs w:val="24"/>
        </w:rPr>
        <w:t>A.</w:t>
      </w:r>
      <w:r>
        <w:rPr>
          <w:rFonts w:ascii="Arial" w:hAnsi="Arial" w:cs="Arial"/>
          <w:b/>
          <w:bCs/>
          <w:color w:val="1F3864" w:themeColor="accent1" w:themeShade="80"/>
          <w:sz w:val="24"/>
          <w:szCs w:val="24"/>
        </w:rPr>
        <w:t>9</w:t>
      </w:r>
      <w:r w:rsidRPr="005F3B78">
        <w:rPr>
          <w:rFonts w:ascii="Arial" w:hAnsi="Arial" w:cs="Arial"/>
          <w:b/>
          <w:bCs/>
          <w:color w:val="1F3864" w:themeColor="accent1" w:themeShade="80"/>
          <w:sz w:val="24"/>
          <w:szCs w:val="24"/>
        </w:rPr>
        <w:t xml:space="preserve"> </w:t>
      </w:r>
      <w:r>
        <w:rPr>
          <w:rFonts w:ascii="Arial" w:hAnsi="Arial" w:cs="Arial"/>
          <w:b/>
          <w:bCs/>
          <w:color w:val="1F3864" w:themeColor="accent1" w:themeShade="80"/>
          <w:sz w:val="24"/>
          <w:szCs w:val="24"/>
        </w:rPr>
        <w:t>Payments or Gifts to Respondents</w:t>
      </w:r>
    </w:p>
    <w:p w:rsidR="00890ED2" w:rsidRPr="005F3B78" w:rsidP="00890ED2" w14:paraId="4E9A3813" w14:textId="77777777">
      <w:pPr>
        <w:spacing w:line="264" w:lineRule="auto"/>
        <w:rPr>
          <w:rFonts w:ascii="Arial" w:hAnsi="Arial" w:cs="Arial"/>
          <w:b/>
          <w:bCs/>
          <w:color w:val="1F3864" w:themeColor="accent1" w:themeShade="80"/>
          <w:sz w:val="24"/>
          <w:szCs w:val="24"/>
        </w:rPr>
      </w:pPr>
      <w:r>
        <w:rPr>
          <w:rFonts w:ascii="Arial" w:hAnsi="Arial" w:cs="Arial"/>
        </w:rPr>
        <w:t>Not applicable.</w:t>
      </w:r>
    </w:p>
    <w:p w:rsidR="000425EF" w:rsidRPr="008A0405" w:rsidP="000E230B" w14:paraId="7DDDD74C" w14:textId="0BADC0B3">
      <w:pPr>
        <w:spacing w:after="0" w:line="264" w:lineRule="auto"/>
        <w:rPr>
          <w:rFonts w:ascii="Arial" w:hAnsi="Arial" w:cs="Arial"/>
        </w:rPr>
      </w:pPr>
    </w:p>
    <w:p w:rsidR="003F6FB7" w:rsidP="003F6FB7" w14:paraId="55134690" w14:textId="6C7BF3B7">
      <w:pPr>
        <w:spacing w:line="264" w:lineRule="auto"/>
        <w:rPr>
          <w:rFonts w:ascii="Arial" w:hAnsi="Arial" w:cs="Arial"/>
          <w:b/>
          <w:bCs/>
          <w:color w:val="1F3864" w:themeColor="accent1" w:themeShade="80"/>
          <w:sz w:val="24"/>
          <w:szCs w:val="24"/>
        </w:rPr>
      </w:pPr>
      <w:r w:rsidRPr="005F3B78">
        <w:rPr>
          <w:rFonts w:ascii="Arial" w:hAnsi="Arial" w:cs="Arial"/>
          <w:b/>
          <w:bCs/>
          <w:color w:val="1F3864" w:themeColor="accent1" w:themeShade="80"/>
          <w:sz w:val="24"/>
          <w:szCs w:val="24"/>
        </w:rPr>
        <w:t>A.</w:t>
      </w:r>
      <w:r>
        <w:rPr>
          <w:rFonts w:ascii="Arial" w:hAnsi="Arial" w:cs="Arial"/>
          <w:b/>
          <w:bCs/>
          <w:color w:val="1F3864" w:themeColor="accent1" w:themeShade="80"/>
          <w:sz w:val="24"/>
          <w:szCs w:val="24"/>
        </w:rPr>
        <w:t>10</w:t>
      </w:r>
      <w:r w:rsidRPr="005F3B78">
        <w:rPr>
          <w:rFonts w:ascii="Arial" w:hAnsi="Arial" w:cs="Arial"/>
          <w:b/>
          <w:bCs/>
          <w:color w:val="1F3864" w:themeColor="accent1" w:themeShade="80"/>
          <w:sz w:val="24"/>
          <w:szCs w:val="24"/>
        </w:rPr>
        <w:t xml:space="preserve"> </w:t>
      </w:r>
      <w:r>
        <w:rPr>
          <w:rFonts w:ascii="Arial" w:hAnsi="Arial" w:cs="Arial"/>
          <w:b/>
          <w:bCs/>
          <w:color w:val="1F3864" w:themeColor="accent1" w:themeShade="80"/>
          <w:sz w:val="24"/>
          <w:szCs w:val="24"/>
        </w:rPr>
        <w:t>Assurance of Confidentiality</w:t>
      </w:r>
    </w:p>
    <w:p w:rsidR="00166AE6" w:rsidRPr="0010531E" w:rsidP="00166AE6" w14:paraId="17521D59" w14:textId="5304D2C9">
      <w:pPr>
        <w:pStyle w:val="NormalWeb"/>
        <w:spacing w:before="0" w:beforeAutospacing="0" w:after="240" w:afterAutospacing="0"/>
        <w:jc w:val="both"/>
        <w:rPr>
          <w:rFonts w:ascii="Arial" w:hAnsi="Arial" w:cs="Arial"/>
          <w:sz w:val="22"/>
          <w:szCs w:val="22"/>
        </w:rPr>
      </w:pPr>
      <w:r w:rsidRPr="0010531E">
        <w:rPr>
          <w:rFonts w:ascii="Arial" w:hAnsi="Arial" w:cs="Arial"/>
          <w:sz w:val="22"/>
          <w:szCs w:val="22"/>
        </w:rPr>
        <w:t xml:space="preserve">Respondents will be informed that any information on specific individuals is maintained in accordance with the Privacy Act of 1974. </w:t>
      </w:r>
      <w:r>
        <w:rPr>
          <w:rFonts w:ascii="Arial" w:hAnsi="Arial" w:cs="Arial"/>
          <w:sz w:val="22"/>
          <w:szCs w:val="22"/>
        </w:rPr>
        <w:t xml:space="preserve"> </w:t>
      </w:r>
      <w:r w:rsidRPr="0010531E">
        <w:rPr>
          <w:rFonts w:ascii="Arial" w:hAnsi="Arial" w:cs="Arial"/>
          <w:sz w:val="22"/>
          <w:szCs w:val="22"/>
        </w:rPr>
        <w:t>Every data collection instrument will display both OMB and Privacy Act notices.</w:t>
      </w:r>
    </w:p>
    <w:p w:rsidR="008A0405" w:rsidP="00D56674" w14:paraId="1E9E09A8" w14:textId="7401CE80">
      <w:pPr>
        <w:pStyle w:val="NormalWeb"/>
        <w:spacing w:before="0" w:beforeAutospacing="0" w:after="240" w:afterAutospacing="0"/>
        <w:jc w:val="both"/>
      </w:pPr>
      <w:r w:rsidRPr="0010531E">
        <w:rPr>
          <w:rFonts w:ascii="Arial" w:hAnsi="Arial" w:cs="Arial"/>
          <w:sz w:val="22"/>
          <w:szCs w:val="22"/>
        </w:rPr>
        <w:t xml:space="preserve">Respondents will be told that data collected are available to NSF officials and staff, and authorized contractors and/or grantees, </w:t>
      </w:r>
      <w:r>
        <w:rPr>
          <w:rFonts w:ascii="Arial" w:hAnsi="Arial" w:cs="Arial"/>
          <w:sz w:val="22"/>
          <w:szCs w:val="22"/>
        </w:rPr>
        <w:t xml:space="preserve">who </w:t>
      </w:r>
      <w:r w:rsidRPr="0010531E">
        <w:rPr>
          <w:rFonts w:ascii="Arial" w:hAnsi="Arial" w:cs="Arial"/>
          <w:sz w:val="22"/>
          <w:szCs w:val="22"/>
        </w:rPr>
        <w:t>manage the data and data collection software.  Data will be processed according to federal and state privacy statutes. The system will limit access to personally identifiable information to authorized users.  Data submitted will be used in accordance with criteria established by NSF for monitoring research and education grants and in response to Public Law 99-383 and 42 USC 1885c.</w:t>
      </w:r>
    </w:p>
    <w:p w:rsidR="00BB7E8D" w:rsidRPr="008A0405" w:rsidP="008A0405" w14:paraId="2F3239A5" w14:textId="77777777"/>
    <w:p w:rsidR="003F6FB7" w:rsidP="003F6FB7" w14:paraId="05009FF9" w14:textId="6C100076">
      <w:pPr>
        <w:spacing w:line="264" w:lineRule="auto"/>
        <w:rPr>
          <w:rFonts w:ascii="Arial" w:hAnsi="Arial" w:cs="Arial"/>
          <w:b/>
          <w:bCs/>
          <w:color w:val="1F3864" w:themeColor="accent1" w:themeShade="80"/>
          <w:sz w:val="24"/>
          <w:szCs w:val="24"/>
        </w:rPr>
      </w:pPr>
      <w:r w:rsidRPr="005F3B78">
        <w:rPr>
          <w:rFonts w:ascii="Arial" w:hAnsi="Arial" w:cs="Arial"/>
          <w:b/>
          <w:bCs/>
          <w:color w:val="1F3864" w:themeColor="accent1" w:themeShade="80"/>
          <w:sz w:val="24"/>
          <w:szCs w:val="24"/>
        </w:rPr>
        <w:t>A.</w:t>
      </w:r>
      <w:r>
        <w:rPr>
          <w:rFonts w:ascii="Arial" w:hAnsi="Arial" w:cs="Arial"/>
          <w:b/>
          <w:bCs/>
          <w:color w:val="1F3864" w:themeColor="accent1" w:themeShade="80"/>
          <w:sz w:val="24"/>
          <w:szCs w:val="24"/>
        </w:rPr>
        <w:t>11</w:t>
      </w:r>
      <w:r w:rsidRPr="005F3B78">
        <w:rPr>
          <w:rFonts w:ascii="Arial" w:hAnsi="Arial" w:cs="Arial"/>
          <w:b/>
          <w:bCs/>
          <w:color w:val="1F3864" w:themeColor="accent1" w:themeShade="80"/>
          <w:sz w:val="24"/>
          <w:szCs w:val="24"/>
        </w:rPr>
        <w:t xml:space="preserve"> </w:t>
      </w:r>
      <w:r>
        <w:rPr>
          <w:rFonts w:ascii="Arial" w:hAnsi="Arial" w:cs="Arial"/>
          <w:b/>
          <w:bCs/>
          <w:color w:val="1F3864" w:themeColor="accent1" w:themeShade="80"/>
          <w:sz w:val="24"/>
          <w:szCs w:val="24"/>
        </w:rPr>
        <w:t>Questions of a Sensitive Nature</w:t>
      </w:r>
    </w:p>
    <w:p w:rsidR="008A1FEE" w:rsidP="00D53F30" w14:paraId="13046122" w14:textId="77777777">
      <w:pPr>
        <w:spacing w:line="240" w:lineRule="auto"/>
        <w:jc w:val="both"/>
        <w:rPr>
          <w:rFonts w:ascii="Arial" w:hAnsi="Arial" w:cs="Arial"/>
        </w:rPr>
      </w:pPr>
      <w:r w:rsidRPr="0010531E">
        <w:rPr>
          <w:rFonts w:ascii="Arial" w:hAnsi="Arial" w:cs="Arial"/>
        </w:rPr>
        <w:t xml:space="preserve">Information from survey </w:t>
      </w:r>
      <w:r>
        <w:rPr>
          <w:rFonts w:ascii="Arial" w:hAnsi="Arial" w:cs="Arial"/>
        </w:rPr>
        <w:t>cor</w:t>
      </w:r>
      <w:r w:rsidRPr="0010531E">
        <w:rPr>
          <w:rFonts w:ascii="Arial" w:hAnsi="Arial" w:cs="Arial"/>
        </w:rPr>
        <w:t>respondents, including name, affiliated organization, and email address are</w:t>
      </w:r>
      <w:r>
        <w:rPr>
          <w:rFonts w:ascii="Arial" w:hAnsi="Arial" w:cs="Arial"/>
        </w:rPr>
        <w:t xml:space="preserve"> </w:t>
      </w:r>
      <w:r w:rsidRPr="0010531E">
        <w:rPr>
          <w:rFonts w:ascii="Arial" w:hAnsi="Arial" w:cs="Arial"/>
        </w:rPr>
        <w:t>requested.</w:t>
      </w:r>
      <w:r w:rsidR="00FD2F45">
        <w:rPr>
          <w:rFonts w:ascii="Arial" w:hAnsi="Arial" w:cs="Arial"/>
        </w:rPr>
        <w:t xml:space="preserve"> This information will be used</w:t>
      </w:r>
      <w:r w:rsidR="00580593">
        <w:rPr>
          <w:rFonts w:ascii="Arial" w:hAnsi="Arial" w:cs="Arial"/>
        </w:rPr>
        <w:t xml:space="preserve"> to automate email invitations</w:t>
      </w:r>
      <w:r w:rsidR="00FD6732">
        <w:rPr>
          <w:rFonts w:ascii="Arial" w:hAnsi="Arial" w:cs="Arial"/>
        </w:rPr>
        <w:t xml:space="preserve"> </w:t>
      </w:r>
      <w:r w:rsidR="004C1F8C">
        <w:rPr>
          <w:rFonts w:ascii="Arial" w:hAnsi="Arial" w:cs="Arial"/>
        </w:rPr>
        <w:t xml:space="preserve">to follow-up surveys (i.e., </w:t>
      </w:r>
      <w:r w:rsidR="004C1F8C">
        <w:rPr>
          <w:rFonts w:ascii="Arial" w:hAnsi="Arial" w:cs="Arial"/>
          <w:i/>
          <w:iCs/>
        </w:rPr>
        <w:t xml:space="preserve">programmatic activities survey, individuals survey, </w:t>
      </w:r>
      <w:r w:rsidRPr="00F32A12" w:rsidR="004C1F8C">
        <w:rPr>
          <w:rFonts w:ascii="Arial" w:hAnsi="Arial" w:cs="Arial"/>
        </w:rPr>
        <w:t>and</w:t>
      </w:r>
      <w:r w:rsidR="004C1F8C">
        <w:rPr>
          <w:rFonts w:ascii="Arial" w:hAnsi="Arial" w:cs="Arial"/>
          <w:i/>
          <w:iCs/>
        </w:rPr>
        <w:t xml:space="preserve"> </w:t>
      </w:r>
      <w:r w:rsidRPr="00F32A12" w:rsidR="004C1F8C">
        <w:rPr>
          <w:rFonts w:ascii="Arial" w:hAnsi="Arial" w:cs="Arial"/>
          <w:i/>
          <w:iCs/>
        </w:rPr>
        <w:t>partner organization survey</w:t>
      </w:r>
      <w:r w:rsidR="004C1F8C">
        <w:rPr>
          <w:rFonts w:ascii="Arial" w:hAnsi="Arial" w:cs="Arial"/>
        </w:rPr>
        <w:t>)</w:t>
      </w:r>
      <w:r w:rsidR="00095E64">
        <w:rPr>
          <w:rFonts w:ascii="Arial" w:hAnsi="Arial" w:cs="Arial"/>
        </w:rPr>
        <w:t>;</w:t>
      </w:r>
      <w:r w:rsidR="004C1F8C">
        <w:rPr>
          <w:rFonts w:ascii="Arial" w:hAnsi="Arial" w:cs="Arial"/>
        </w:rPr>
        <w:t xml:space="preserve"> </w:t>
      </w:r>
      <w:r w:rsidR="00FD6732">
        <w:rPr>
          <w:rFonts w:ascii="Arial" w:hAnsi="Arial" w:cs="Arial"/>
        </w:rPr>
        <w:t>pip</w:t>
      </w:r>
      <w:r w:rsidR="00095E64">
        <w:rPr>
          <w:rFonts w:ascii="Arial" w:hAnsi="Arial" w:cs="Arial"/>
        </w:rPr>
        <w:t>e</w:t>
      </w:r>
      <w:r w:rsidR="00FD6732">
        <w:rPr>
          <w:rFonts w:ascii="Arial" w:hAnsi="Arial" w:cs="Arial"/>
        </w:rPr>
        <w:t xml:space="preserve"> in embedded data from one survey to the next</w:t>
      </w:r>
      <w:r w:rsidR="00095E64">
        <w:rPr>
          <w:rFonts w:ascii="Arial" w:hAnsi="Arial" w:cs="Arial"/>
        </w:rPr>
        <w:t>; and in case further clarifications are needed</w:t>
      </w:r>
      <w:r w:rsidR="00FD6732">
        <w:rPr>
          <w:rFonts w:ascii="Arial" w:hAnsi="Arial" w:cs="Arial"/>
        </w:rPr>
        <w:t>.</w:t>
      </w:r>
      <w:r w:rsidRPr="0010531E">
        <w:rPr>
          <w:rFonts w:ascii="Arial" w:hAnsi="Arial" w:cs="Arial"/>
        </w:rPr>
        <w:t xml:space="preserve"> </w:t>
      </w:r>
    </w:p>
    <w:p w:rsidR="00D53F30" w:rsidP="00D53F30" w14:paraId="6D88419D" w14:textId="43666808">
      <w:pPr>
        <w:spacing w:line="240" w:lineRule="auto"/>
        <w:jc w:val="both"/>
        <w:rPr>
          <w:rFonts w:ascii="Arial" w:hAnsi="Arial" w:cs="Arial"/>
        </w:rPr>
      </w:pPr>
      <w:r>
        <w:rPr>
          <w:rFonts w:ascii="Arial" w:hAnsi="Arial" w:cs="Arial"/>
        </w:rPr>
        <w:t xml:space="preserve">In addition, </w:t>
      </w:r>
      <w:r w:rsidR="000801DB">
        <w:rPr>
          <w:rFonts w:ascii="Arial" w:hAnsi="Arial" w:cs="Arial"/>
        </w:rPr>
        <w:t xml:space="preserve">respondents </w:t>
      </w:r>
      <w:r w:rsidR="00E16884">
        <w:rPr>
          <w:rFonts w:ascii="Arial" w:hAnsi="Arial" w:cs="Arial"/>
        </w:rPr>
        <w:t xml:space="preserve">in the </w:t>
      </w:r>
      <w:r w:rsidR="00E16884">
        <w:rPr>
          <w:rFonts w:ascii="Arial" w:hAnsi="Arial" w:cs="Arial"/>
          <w:i/>
          <w:iCs/>
        </w:rPr>
        <w:t>individuals survey</w:t>
      </w:r>
      <w:r w:rsidR="00E16884">
        <w:rPr>
          <w:rFonts w:ascii="Arial" w:hAnsi="Arial" w:cs="Arial"/>
        </w:rPr>
        <w:t xml:space="preserve"> </w:t>
      </w:r>
      <w:r w:rsidR="008A1FEE">
        <w:rPr>
          <w:rFonts w:ascii="Arial" w:hAnsi="Arial" w:cs="Arial"/>
        </w:rPr>
        <w:t>are asked</w:t>
      </w:r>
      <w:r w:rsidR="000801DB">
        <w:rPr>
          <w:rFonts w:ascii="Arial" w:hAnsi="Arial" w:cs="Arial"/>
        </w:rPr>
        <w:t xml:space="preserve"> </w:t>
      </w:r>
      <w:r w:rsidR="00EA1E7A">
        <w:rPr>
          <w:rFonts w:ascii="Arial" w:hAnsi="Arial" w:cs="Arial"/>
        </w:rPr>
        <w:t xml:space="preserve">about </w:t>
      </w:r>
      <w:r w:rsidR="00A54D8F">
        <w:rPr>
          <w:rFonts w:ascii="Arial" w:hAnsi="Arial" w:cs="Arial"/>
        </w:rPr>
        <w:t xml:space="preserve">the following </w:t>
      </w:r>
      <w:r w:rsidR="00EA1E7A">
        <w:rPr>
          <w:rFonts w:ascii="Arial" w:hAnsi="Arial" w:cs="Arial"/>
        </w:rPr>
        <w:t>topics</w:t>
      </w:r>
      <w:r w:rsidR="000801DB">
        <w:rPr>
          <w:rFonts w:ascii="Arial" w:hAnsi="Arial" w:cs="Arial"/>
        </w:rPr>
        <w:t>. All questions have a</w:t>
      </w:r>
      <w:r w:rsidR="00263A70">
        <w:rPr>
          <w:rFonts w:ascii="Arial" w:hAnsi="Arial" w:cs="Arial"/>
        </w:rPr>
        <w:t xml:space="preserve">n opt-out response option of </w:t>
      </w:r>
      <w:r w:rsidR="002B07E9">
        <w:rPr>
          <w:rFonts w:ascii="Arial" w:hAnsi="Arial" w:cs="Arial"/>
        </w:rPr>
        <w:t>“I prefer not to answer</w:t>
      </w:r>
      <w:r w:rsidR="00263A70">
        <w:rPr>
          <w:rFonts w:ascii="Arial" w:hAnsi="Arial" w:cs="Arial"/>
        </w:rPr>
        <w:t>.</w:t>
      </w:r>
      <w:r w:rsidR="002B07E9">
        <w:rPr>
          <w:rFonts w:ascii="Arial" w:hAnsi="Arial" w:cs="Arial"/>
        </w:rPr>
        <w:t>”</w:t>
      </w:r>
      <w:r w:rsidR="00E16884">
        <w:rPr>
          <w:rFonts w:ascii="Arial" w:hAnsi="Arial" w:cs="Arial"/>
        </w:rPr>
        <w:t xml:space="preserve"> </w:t>
      </w:r>
      <w:r w:rsidR="00F44E88">
        <w:rPr>
          <w:rFonts w:ascii="Arial" w:hAnsi="Arial" w:cs="Arial"/>
        </w:rPr>
        <w:t xml:space="preserve"> </w:t>
      </w:r>
    </w:p>
    <w:p w:rsidR="002759C2" w:rsidP="003A45E2" w14:paraId="3921B22F" w14:textId="77777777">
      <w:pPr>
        <w:pStyle w:val="ListParagraph"/>
        <w:numPr>
          <w:ilvl w:val="0"/>
          <w:numId w:val="3"/>
        </w:numPr>
        <w:jc w:val="both"/>
        <w:rPr>
          <w:rFonts w:ascii="Arial" w:hAnsi="Arial" w:cs="Arial"/>
        </w:rPr>
        <w:sectPr w:rsidSect="00482D8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00277830" w:rsidRPr="00F32A12" w:rsidP="00F32A12" w14:paraId="71544225" w14:textId="4AB1CFA6">
      <w:pPr>
        <w:pStyle w:val="ListParagraph"/>
        <w:numPr>
          <w:ilvl w:val="0"/>
          <w:numId w:val="3"/>
        </w:numPr>
        <w:ind w:left="360"/>
        <w:jc w:val="both"/>
        <w:rPr>
          <w:rFonts w:ascii="Arial" w:hAnsi="Arial" w:cs="Arial"/>
          <w:sz w:val="22"/>
          <w:szCs w:val="22"/>
        </w:rPr>
      </w:pPr>
      <w:r>
        <w:rPr>
          <w:rFonts w:ascii="Arial" w:hAnsi="Arial" w:cs="Arial"/>
          <w:sz w:val="22"/>
          <w:szCs w:val="22"/>
        </w:rPr>
        <w:t xml:space="preserve">Birth </w:t>
      </w:r>
      <w:r w:rsidR="00A94AB1">
        <w:rPr>
          <w:rFonts w:ascii="Arial" w:hAnsi="Arial" w:cs="Arial"/>
          <w:sz w:val="22"/>
          <w:szCs w:val="22"/>
        </w:rPr>
        <w:t>year</w:t>
      </w:r>
    </w:p>
    <w:p w:rsidR="003A45E2" w:rsidRPr="00F32A12" w:rsidP="00F32A12" w14:paraId="0B1A821F" w14:textId="7F1DE035">
      <w:pPr>
        <w:pStyle w:val="ListParagraph"/>
        <w:numPr>
          <w:ilvl w:val="0"/>
          <w:numId w:val="3"/>
        </w:numPr>
        <w:ind w:left="360"/>
        <w:jc w:val="both"/>
        <w:rPr>
          <w:rFonts w:ascii="Arial" w:hAnsi="Arial" w:cs="Arial"/>
          <w:sz w:val="22"/>
          <w:szCs w:val="22"/>
        </w:rPr>
      </w:pPr>
      <w:r w:rsidRPr="00F32A12">
        <w:rPr>
          <w:rFonts w:ascii="Arial" w:hAnsi="Arial" w:cs="Arial"/>
          <w:sz w:val="22"/>
          <w:szCs w:val="22"/>
        </w:rPr>
        <w:t>Race</w:t>
      </w:r>
    </w:p>
    <w:p w:rsidR="003A45E2" w:rsidRPr="00F32A12" w:rsidP="00F32A12" w14:paraId="7F304EBD" w14:textId="0AACE3FE">
      <w:pPr>
        <w:pStyle w:val="ListParagraph"/>
        <w:numPr>
          <w:ilvl w:val="0"/>
          <w:numId w:val="3"/>
        </w:numPr>
        <w:ind w:left="360"/>
        <w:jc w:val="both"/>
        <w:rPr>
          <w:rFonts w:ascii="Arial" w:hAnsi="Arial" w:cs="Arial"/>
          <w:sz w:val="22"/>
          <w:szCs w:val="22"/>
        </w:rPr>
      </w:pPr>
      <w:r w:rsidRPr="00F32A12">
        <w:rPr>
          <w:rFonts w:ascii="Arial" w:hAnsi="Arial" w:cs="Arial"/>
          <w:sz w:val="22"/>
          <w:szCs w:val="22"/>
        </w:rPr>
        <w:t>Ethnicity</w:t>
      </w:r>
    </w:p>
    <w:p w:rsidR="003A45E2" w:rsidRPr="00F32A12" w:rsidP="00F32A12" w14:paraId="2D7C71AB" w14:textId="4F6563FB">
      <w:pPr>
        <w:pStyle w:val="ListParagraph"/>
        <w:numPr>
          <w:ilvl w:val="0"/>
          <w:numId w:val="3"/>
        </w:numPr>
        <w:ind w:left="360"/>
        <w:jc w:val="both"/>
        <w:rPr>
          <w:rFonts w:ascii="Arial" w:hAnsi="Arial" w:cs="Arial"/>
          <w:sz w:val="22"/>
          <w:szCs w:val="22"/>
        </w:rPr>
      </w:pPr>
      <w:r w:rsidRPr="00F32A12">
        <w:rPr>
          <w:rFonts w:ascii="Arial" w:hAnsi="Arial" w:cs="Arial"/>
          <w:sz w:val="22"/>
          <w:szCs w:val="22"/>
        </w:rPr>
        <w:t>Sex at birth</w:t>
      </w:r>
    </w:p>
    <w:p w:rsidR="003A45E2" w:rsidRPr="00F32A12" w:rsidP="00F32A12" w14:paraId="46A67336" w14:textId="187BB06E">
      <w:pPr>
        <w:pStyle w:val="ListParagraph"/>
        <w:numPr>
          <w:ilvl w:val="0"/>
          <w:numId w:val="3"/>
        </w:numPr>
        <w:ind w:left="360"/>
        <w:jc w:val="both"/>
        <w:rPr>
          <w:rFonts w:ascii="Arial" w:hAnsi="Arial" w:cs="Arial"/>
          <w:sz w:val="22"/>
          <w:szCs w:val="22"/>
        </w:rPr>
      </w:pPr>
      <w:r w:rsidRPr="00F32A12">
        <w:rPr>
          <w:rFonts w:ascii="Arial" w:hAnsi="Arial" w:cs="Arial"/>
          <w:sz w:val="22"/>
          <w:szCs w:val="22"/>
        </w:rPr>
        <w:t>Gender identity</w:t>
      </w:r>
    </w:p>
    <w:p w:rsidR="003A45E2" w:rsidRPr="00F32A12" w:rsidP="00F32A12" w14:paraId="014CF275" w14:textId="0A90B7D9">
      <w:pPr>
        <w:pStyle w:val="ListParagraph"/>
        <w:numPr>
          <w:ilvl w:val="0"/>
          <w:numId w:val="3"/>
        </w:numPr>
        <w:ind w:left="360"/>
        <w:jc w:val="both"/>
        <w:rPr>
          <w:rFonts w:ascii="Arial" w:hAnsi="Arial" w:cs="Arial"/>
          <w:sz w:val="22"/>
          <w:szCs w:val="22"/>
        </w:rPr>
      </w:pPr>
      <w:r w:rsidRPr="00F32A12">
        <w:rPr>
          <w:rFonts w:ascii="Arial" w:hAnsi="Arial" w:cs="Arial"/>
          <w:sz w:val="22"/>
          <w:szCs w:val="22"/>
        </w:rPr>
        <w:t>Sexual orientation</w:t>
      </w:r>
    </w:p>
    <w:p w:rsidR="003A45E2" w:rsidRPr="00F32A12" w:rsidP="00F32A12" w14:paraId="66002A7B" w14:textId="019BC9A2">
      <w:pPr>
        <w:pStyle w:val="ListParagraph"/>
        <w:numPr>
          <w:ilvl w:val="0"/>
          <w:numId w:val="3"/>
        </w:numPr>
        <w:ind w:left="360"/>
        <w:jc w:val="both"/>
        <w:rPr>
          <w:rFonts w:ascii="Arial" w:hAnsi="Arial" w:cs="Arial"/>
          <w:sz w:val="22"/>
          <w:szCs w:val="22"/>
        </w:rPr>
      </w:pPr>
      <w:r>
        <w:rPr>
          <w:rFonts w:ascii="Arial" w:hAnsi="Arial" w:cs="Arial"/>
          <w:sz w:val="22"/>
          <w:szCs w:val="22"/>
        </w:rPr>
        <w:t>C</w:t>
      </w:r>
      <w:r w:rsidRPr="00F32A12">
        <w:rPr>
          <w:rFonts w:ascii="Arial" w:hAnsi="Arial" w:cs="Arial"/>
          <w:sz w:val="22"/>
          <w:szCs w:val="22"/>
        </w:rPr>
        <w:t>ountry</w:t>
      </w:r>
      <w:r>
        <w:rPr>
          <w:rFonts w:ascii="Arial" w:hAnsi="Arial" w:cs="Arial"/>
          <w:sz w:val="22"/>
          <w:szCs w:val="22"/>
        </w:rPr>
        <w:t xml:space="preserve"> of birth</w:t>
      </w:r>
    </w:p>
    <w:p w:rsidR="003A45E2" w:rsidRPr="00F32A12" w:rsidP="00F32A12" w14:paraId="2460E970" w14:textId="37A6018D">
      <w:pPr>
        <w:pStyle w:val="ListParagraph"/>
        <w:numPr>
          <w:ilvl w:val="0"/>
          <w:numId w:val="3"/>
        </w:numPr>
        <w:ind w:left="360"/>
        <w:jc w:val="both"/>
        <w:rPr>
          <w:rFonts w:ascii="Arial" w:hAnsi="Arial" w:cs="Arial"/>
          <w:sz w:val="22"/>
          <w:szCs w:val="22"/>
        </w:rPr>
      </w:pPr>
      <w:r w:rsidRPr="00F32A12">
        <w:rPr>
          <w:rFonts w:ascii="Arial" w:hAnsi="Arial" w:cs="Arial"/>
          <w:sz w:val="22"/>
          <w:szCs w:val="22"/>
        </w:rPr>
        <w:t>Disability status (i.e., difficulty hearing</w:t>
      </w:r>
      <w:r w:rsidRPr="00F32A12" w:rsidR="0070325A">
        <w:rPr>
          <w:rFonts w:ascii="Arial" w:hAnsi="Arial" w:cs="Arial"/>
          <w:sz w:val="22"/>
          <w:szCs w:val="22"/>
        </w:rPr>
        <w:t xml:space="preserve">; </w:t>
      </w:r>
      <w:r w:rsidRPr="00F32A12">
        <w:rPr>
          <w:rFonts w:ascii="Arial" w:hAnsi="Arial" w:cs="Arial"/>
          <w:sz w:val="22"/>
          <w:szCs w:val="22"/>
        </w:rPr>
        <w:t>difficulty seeing</w:t>
      </w:r>
      <w:r w:rsidRPr="00F32A12" w:rsidR="0070325A">
        <w:rPr>
          <w:rFonts w:ascii="Arial" w:hAnsi="Arial" w:cs="Arial"/>
          <w:sz w:val="22"/>
          <w:szCs w:val="22"/>
        </w:rPr>
        <w:t>;</w:t>
      </w:r>
      <w:r w:rsidRPr="00F32A12" w:rsidR="00837656">
        <w:rPr>
          <w:rFonts w:ascii="Arial" w:hAnsi="Arial" w:cs="Arial"/>
          <w:sz w:val="22"/>
          <w:szCs w:val="22"/>
        </w:rPr>
        <w:t xml:space="preserve"> difficulty</w:t>
      </w:r>
      <w:r w:rsidRPr="00F32A12" w:rsidR="00D244F6">
        <w:rPr>
          <w:rFonts w:ascii="Arial" w:hAnsi="Arial" w:cs="Arial"/>
          <w:sz w:val="22"/>
          <w:szCs w:val="22"/>
        </w:rPr>
        <w:t xml:space="preserve"> concentrating, remembering, or making decisions; difficulty walking or climbing stairs; difficulty dressing or bathing; and difficulty doing errands alone)</w:t>
      </w:r>
    </w:p>
    <w:p w:rsidR="00D244F6" w:rsidRPr="00F32A12" w:rsidP="00F32A12" w14:paraId="19D4405E" w14:textId="0B7833C9">
      <w:pPr>
        <w:pStyle w:val="ListParagraph"/>
        <w:numPr>
          <w:ilvl w:val="0"/>
          <w:numId w:val="3"/>
        </w:numPr>
        <w:ind w:left="360"/>
        <w:jc w:val="both"/>
        <w:rPr>
          <w:rFonts w:ascii="Arial" w:hAnsi="Arial" w:cs="Arial"/>
          <w:sz w:val="22"/>
          <w:szCs w:val="22"/>
        </w:rPr>
      </w:pPr>
      <w:r w:rsidRPr="00F32A12">
        <w:rPr>
          <w:rFonts w:ascii="Arial" w:hAnsi="Arial" w:cs="Arial"/>
          <w:sz w:val="22"/>
          <w:szCs w:val="22"/>
        </w:rPr>
        <w:t>Marital status</w:t>
      </w:r>
    </w:p>
    <w:p w:rsidR="00D244F6" w:rsidRPr="00F32A12" w:rsidP="00F32A12" w14:paraId="2146458C" w14:textId="1EBA9BD8">
      <w:pPr>
        <w:pStyle w:val="ListParagraph"/>
        <w:numPr>
          <w:ilvl w:val="0"/>
          <w:numId w:val="3"/>
        </w:numPr>
        <w:ind w:left="360"/>
        <w:jc w:val="both"/>
        <w:rPr>
          <w:rFonts w:ascii="Arial" w:hAnsi="Arial" w:cs="Arial"/>
          <w:sz w:val="22"/>
          <w:szCs w:val="22"/>
        </w:rPr>
      </w:pPr>
      <w:r w:rsidRPr="00F32A12">
        <w:rPr>
          <w:rFonts w:ascii="Arial" w:hAnsi="Arial" w:cs="Arial"/>
          <w:sz w:val="22"/>
          <w:szCs w:val="22"/>
        </w:rPr>
        <w:t>Citizenship status</w:t>
      </w:r>
    </w:p>
    <w:p w:rsidR="00D244F6" w:rsidRPr="00F32A12" w:rsidP="00F32A12" w14:paraId="66F28577" w14:textId="6AAD1257">
      <w:pPr>
        <w:pStyle w:val="ListParagraph"/>
        <w:numPr>
          <w:ilvl w:val="0"/>
          <w:numId w:val="3"/>
        </w:numPr>
        <w:ind w:left="360"/>
        <w:jc w:val="both"/>
        <w:rPr>
          <w:rFonts w:ascii="Arial" w:hAnsi="Arial" w:cs="Arial"/>
          <w:sz w:val="22"/>
          <w:szCs w:val="22"/>
        </w:rPr>
      </w:pPr>
      <w:r w:rsidRPr="00F32A12">
        <w:rPr>
          <w:rFonts w:ascii="Arial" w:hAnsi="Arial" w:cs="Arial"/>
          <w:sz w:val="22"/>
          <w:szCs w:val="22"/>
        </w:rPr>
        <w:t>Country of citizenship</w:t>
      </w:r>
    </w:p>
    <w:p w:rsidR="00D244F6" w:rsidRPr="00F32A12" w:rsidP="00F32A12" w14:paraId="560C5236" w14:textId="66C4CC49">
      <w:pPr>
        <w:pStyle w:val="ListParagraph"/>
        <w:numPr>
          <w:ilvl w:val="0"/>
          <w:numId w:val="3"/>
        </w:numPr>
        <w:ind w:left="360"/>
        <w:jc w:val="both"/>
        <w:rPr>
          <w:rFonts w:ascii="Arial" w:hAnsi="Arial" w:cs="Arial"/>
          <w:sz w:val="22"/>
          <w:szCs w:val="22"/>
        </w:rPr>
      </w:pPr>
      <w:r w:rsidRPr="00F32A12">
        <w:rPr>
          <w:rFonts w:ascii="Arial" w:hAnsi="Arial" w:cs="Arial"/>
          <w:sz w:val="22"/>
          <w:szCs w:val="22"/>
        </w:rPr>
        <w:t>Educational attainment</w:t>
      </w:r>
    </w:p>
    <w:p w:rsidR="00D244F6" w:rsidRPr="00F32A12" w:rsidP="00F32A12" w14:paraId="33AD7B06" w14:textId="7591819F">
      <w:pPr>
        <w:pStyle w:val="ListParagraph"/>
        <w:numPr>
          <w:ilvl w:val="0"/>
          <w:numId w:val="3"/>
        </w:numPr>
        <w:ind w:left="360"/>
        <w:jc w:val="both"/>
        <w:rPr>
          <w:rFonts w:ascii="Arial" w:hAnsi="Arial" w:cs="Arial"/>
          <w:sz w:val="22"/>
          <w:szCs w:val="22"/>
        </w:rPr>
      </w:pPr>
      <w:r w:rsidRPr="00F32A12">
        <w:rPr>
          <w:rFonts w:ascii="Arial" w:hAnsi="Arial" w:cs="Arial"/>
          <w:sz w:val="22"/>
          <w:szCs w:val="22"/>
        </w:rPr>
        <w:t>Employment status</w:t>
      </w:r>
    </w:p>
    <w:p w:rsidR="00D244F6" w:rsidRPr="00F32A12" w:rsidP="00F32A12" w14:paraId="3336F960" w14:textId="13183505">
      <w:pPr>
        <w:pStyle w:val="ListParagraph"/>
        <w:numPr>
          <w:ilvl w:val="0"/>
          <w:numId w:val="3"/>
        </w:numPr>
        <w:ind w:left="360"/>
        <w:jc w:val="both"/>
        <w:rPr>
          <w:rFonts w:ascii="Arial" w:hAnsi="Arial" w:cs="Arial"/>
          <w:sz w:val="22"/>
          <w:szCs w:val="22"/>
        </w:rPr>
      </w:pPr>
      <w:r w:rsidRPr="00F32A12">
        <w:rPr>
          <w:rFonts w:ascii="Arial" w:hAnsi="Arial" w:cs="Arial"/>
          <w:sz w:val="22"/>
          <w:szCs w:val="22"/>
        </w:rPr>
        <w:t>Household income</w:t>
      </w:r>
    </w:p>
    <w:p w:rsidR="00D244F6" w:rsidRPr="00F32A12" w:rsidP="00F32A12" w14:paraId="355524F4" w14:textId="155542AA">
      <w:pPr>
        <w:pStyle w:val="ListParagraph"/>
        <w:numPr>
          <w:ilvl w:val="0"/>
          <w:numId w:val="3"/>
        </w:numPr>
        <w:ind w:left="360"/>
        <w:jc w:val="both"/>
        <w:rPr>
          <w:rFonts w:ascii="Arial" w:hAnsi="Arial" w:cs="Arial"/>
          <w:sz w:val="22"/>
          <w:szCs w:val="22"/>
        </w:rPr>
      </w:pPr>
      <w:r w:rsidRPr="00F32A12">
        <w:rPr>
          <w:rFonts w:ascii="Arial" w:hAnsi="Arial" w:cs="Arial"/>
          <w:sz w:val="22"/>
          <w:szCs w:val="22"/>
        </w:rPr>
        <w:t>Personal income</w:t>
      </w:r>
    </w:p>
    <w:p w:rsidR="00D244F6" w:rsidRPr="00F32A12" w:rsidP="00F32A12" w14:paraId="4E1C8A30" w14:textId="48FCFF91">
      <w:pPr>
        <w:pStyle w:val="ListParagraph"/>
        <w:numPr>
          <w:ilvl w:val="0"/>
          <w:numId w:val="3"/>
        </w:numPr>
        <w:ind w:left="360"/>
        <w:jc w:val="both"/>
        <w:rPr>
          <w:rFonts w:ascii="Arial" w:hAnsi="Arial" w:cs="Arial"/>
          <w:sz w:val="22"/>
          <w:szCs w:val="22"/>
        </w:rPr>
      </w:pPr>
      <w:r w:rsidRPr="00F32A12">
        <w:rPr>
          <w:rFonts w:ascii="Arial" w:hAnsi="Arial" w:cs="Arial"/>
          <w:sz w:val="22"/>
          <w:szCs w:val="22"/>
        </w:rPr>
        <w:t>Children status</w:t>
      </w:r>
    </w:p>
    <w:p w:rsidR="00AF04E6" w:rsidRPr="00F32A12" w:rsidP="00F32A12" w14:paraId="1E82ED5C" w14:textId="7EB9B8D6">
      <w:pPr>
        <w:pStyle w:val="ListParagraph"/>
        <w:numPr>
          <w:ilvl w:val="0"/>
          <w:numId w:val="3"/>
        </w:numPr>
        <w:ind w:left="360"/>
        <w:jc w:val="both"/>
        <w:rPr>
          <w:rFonts w:ascii="Arial" w:hAnsi="Arial" w:cs="Arial"/>
          <w:sz w:val="22"/>
          <w:szCs w:val="22"/>
        </w:rPr>
      </w:pPr>
      <w:r w:rsidRPr="00F32A12">
        <w:rPr>
          <w:rFonts w:ascii="Arial" w:hAnsi="Arial" w:cs="Arial"/>
          <w:sz w:val="22"/>
          <w:szCs w:val="22"/>
        </w:rPr>
        <w:t>Fluency in different languages</w:t>
      </w:r>
    </w:p>
    <w:p w:rsidR="00B3350B" w:rsidRPr="00F32A12" w:rsidP="00F32A12" w14:paraId="11F8E10F" w14:textId="3E0083B3">
      <w:pPr>
        <w:pStyle w:val="ListParagraph"/>
        <w:numPr>
          <w:ilvl w:val="0"/>
          <w:numId w:val="3"/>
        </w:numPr>
        <w:ind w:left="360"/>
        <w:jc w:val="both"/>
        <w:rPr>
          <w:rFonts w:ascii="Arial" w:hAnsi="Arial" w:cs="Arial"/>
          <w:sz w:val="22"/>
          <w:szCs w:val="22"/>
        </w:rPr>
      </w:pPr>
      <w:r>
        <w:rPr>
          <w:rFonts w:ascii="Arial" w:hAnsi="Arial" w:cs="Arial"/>
          <w:sz w:val="22"/>
          <w:szCs w:val="22"/>
        </w:rPr>
        <w:t>Veteran</w:t>
      </w:r>
      <w:r w:rsidRPr="00F32A12">
        <w:rPr>
          <w:rFonts w:ascii="Arial" w:hAnsi="Arial" w:cs="Arial"/>
          <w:sz w:val="22"/>
          <w:szCs w:val="22"/>
        </w:rPr>
        <w:t xml:space="preserve"> status</w:t>
      </w:r>
    </w:p>
    <w:p w:rsidR="00B3350B" w:rsidRPr="00F32A12" w:rsidP="00F32A12" w14:paraId="2821EFF1" w14:textId="6CF0BEF6">
      <w:pPr>
        <w:pStyle w:val="ListParagraph"/>
        <w:numPr>
          <w:ilvl w:val="0"/>
          <w:numId w:val="3"/>
        </w:numPr>
        <w:ind w:left="360"/>
        <w:jc w:val="both"/>
        <w:rPr>
          <w:rFonts w:ascii="Arial" w:hAnsi="Arial" w:cs="Arial"/>
          <w:sz w:val="22"/>
          <w:szCs w:val="22"/>
        </w:rPr>
      </w:pPr>
      <w:r w:rsidRPr="00F32A12">
        <w:rPr>
          <w:rFonts w:ascii="Arial" w:hAnsi="Arial" w:cs="Arial"/>
          <w:sz w:val="22"/>
          <w:szCs w:val="22"/>
        </w:rPr>
        <w:t>Zip code of current address</w:t>
      </w:r>
    </w:p>
    <w:p w:rsidR="002759C2" w:rsidP="00B3350B" w14:paraId="5CBD92F5" w14:textId="77777777">
      <w:pPr>
        <w:pStyle w:val="ListParagraph"/>
        <w:ind w:left="1080"/>
        <w:jc w:val="both"/>
        <w:rPr>
          <w:rFonts w:ascii="Arial" w:hAnsi="Arial" w:cs="Arial"/>
        </w:rPr>
        <w:sectPr w:rsidSect="00482D8B">
          <w:type w:val="continuous"/>
          <w:pgSz w:w="12240" w:h="15840"/>
          <w:pgMar w:top="1440" w:right="1440" w:bottom="1440" w:left="1440" w:header="720" w:footer="720" w:gutter="0"/>
          <w:cols w:num="2" w:space="720"/>
          <w:docGrid w:linePitch="360"/>
        </w:sectPr>
      </w:pPr>
    </w:p>
    <w:p w:rsidR="00B3350B" w:rsidRPr="00F32A12" w:rsidP="00F32A12" w14:paraId="1C96E240" w14:textId="77777777">
      <w:pPr>
        <w:pStyle w:val="ListParagraph"/>
        <w:ind w:left="1080"/>
        <w:jc w:val="both"/>
        <w:rPr>
          <w:rFonts w:ascii="Arial" w:hAnsi="Arial" w:cs="Arial"/>
        </w:rPr>
      </w:pPr>
    </w:p>
    <w:p w:rsidR="00EA1E7A" w:rsidRPr="0060664D" w:rsidP="00D53F30" w14:paraId="385A3541" w14:textId="5610DD82">
      <w:pPr>
        <w:spacing w:line="240" w:lineRule="auto"/>
        <w:jc w:val="both"/>
        <w:rPr>
          <w:rFonts w:ascii="Arial" w:hAnsi="Arial" w:cs="Arial"/>
        </w:rPr>
      </w:pPr>
      <w:r>
        <w:rPr>
          <w:rFonts w:ascii="Arial" w:hAnsi="Arial" w:cs="Arial"/>
        </w:rPr>
        <w:t xml:space="preserve">The demographics of an Engine’s participants is intended to reflect the demographics of an Engine’s region of service. </w:t>
      </w:r>
      <w:r w:rsidR="007C4847">
        <w:rPr>
          <w:rFonts w:ascii="Arial" w:hAnsi="Arial" w:cs="Arial"/>
        </w:rPr>
        <w:t>The</w:t>
      </w:r>
      <w:r w:rsidR="00F934BB">
        <w:rPr>
          <w:rFonts w:ascii="Arial" w:hAnsi="Arial" w:cs="Arial"/>
        </w:rPr>
        <w:t xml:space="preserve"> </w:t>
      </w:r>
      <w:r w:rsidR="003E5872">
        <w:rPr>
          <w:rFonts w:ascii="Arial" w:hAnsi="Arial" w:cs="Arial"/>
        </w:rPr>
        <w:t>information</w:t>
      </w:r>
      <w:r w:rsidR="007C4847">
        <w:rPr>
          <w:rFonts w:ascii="Arial" w:hAnsi="Arial" w:cs="Arial"/>
        </w:rPr>
        <w:t xml:space="preserve"> collected</w:t>
      </w:r>
      <w:r w:rsidR="004E6278">
        <w:rPr>
          <w:rFonts w:ascii="Arial" w:hAnsi="Arial" w:cs="Arial"/>
        </w:rPr>
        <w:t xml:space="preserve"> in the </w:t>
      </w:r>
      <w:r w:rsidR="004E6278">
        <w:rPr>
          <w:rFonts w:ascii="Arial" w:hAnsi="Arial" w:cs="Arial"/>
          <w:i/>
          <w:iCs/>
        </w:rPr>
        <w:t>individuals survey</w:t>
      </w:r>
      <w:r w:rsidR="00F934BB">
        <w:rPr>
          <w:rFonts w:ascii="Arial" w:hAnsi="Arial" w:cs="Arial"/>
        </w:rPr>
        <w:t xml:space="preserve"> will enable </w:t>
      </w:r>
      <w:r w:rsidR="009E1EE3">
        <w:rPr>
          <w:rFonts w:ascii="Arial" w:hAnsi="Arial" w:cs="Arial"/>
        </w:rPr>
        <w:t xml:space="preserve">both the </w:t>
      </w:r>
      <w:r w:rsidR="004E6278">
        <w:rPr>
          <w:rFonts w:ascii="Arial" w:hAnsi="Arial" w:cs="Arial"/>
        </w:rPr>
        <w:t xml:space="preserve">NSF Engines </w:t>
      </w:r>
      <w:r w:rsidR="009E1EE3">
        <w:rPr>
          <w:rFonts w:ascii="Arial" w:hAnsi="Arial" w:cs="Arial"/>
        </w:rPr>
        <w:t xml:space="preserve">program </w:t>
      </w:r>
      <w:r w:rsidR="004E6278">
        <w:rPr>
          <w:rFonts w:ascii="Arial" w:hAnsi="Arial" w:cs="Arial"/>
        </w:rPr>
        <w:t>as well as</w:t>
      </w:r>
      <w:r w:rsidR="009E1EE3">
        <w:rPr>
          <w:rFonts w:ascii="Arial" w:hAnsi="Arial" w:cs="Arial"/>
        </w:rPr>
        <w:t xml:space="preserve"> </w:t>
      </w:r>
      <w:r w:rsidR="00F934BB">
        <w:rPr>
          <w:rFonts w:ascii="Arial" w:hAnsi="Arial" w:cs="Arial"/>
        </w:rPr>
        <w:t>the</w:t>
      </w:r>
      <w:r w:rsidR="00CB6F5D">
        <w:rPr>
          <w:rFonts w:ascii="Arial" w:hAnsi="Arial" w:cs="Arial"/>
        </w:rPr>
        <w:t xml:space="preserve"> </w:t>
      </w:r>
      <w:r w:rsidR="009E1EE3">
        <w:rPr>
          <w:rFonts w:ascii="Arial" w:hAnsi="Arial" w:cs="Arial"/>
        </w:rPr>
        <w:t xml:space="preserve">individual </w:t>
      </w:r>
      <w:r w:rsidR="00CB6F5D">
        <w:rPr>
          <w:rFonts w:ascii="Arial" w:hAnsi="Arial" w:cs="Arial"/>
        </w:rPr>
        <w:t>Engine teams</w:t>
      </w:r>
      <w:r w:rsidR="003E5872">
        <w:rPr>
          <w:rFonts w:ascii="Arial" w:hAnsi="Arial" w:cs="Arial"/>
        </w:rPr>
        <w:t xml:space="preserve"> to </w:t>
      </w:r>
      <w:r w:rsidR="00790816">
        <w:rPr>
          <w:rFonts w:ascii="Arial" w:hAnsi="Arial" w:cs="Arial"/>
        </w:rPr>
        <w:t xml:space="preserve">better understand which groups of individuals are participating within an </w:t>
      </w:r>
      <w:r w:rsidR="00790816">
        <w:rPr>
          <w:rFonts w:ascii="Arial" w:hAnsi="Arial" w:cs="Arial"/>
        </w:rPr>
        <w:t>Engine</w:t>
      </w:r>
      <w:r w:rsidR="00FB5BFF">
        <w:rPr>
          <w:rFonts w:ascii="Arial" w:hAnsi="Arial" w:cs="Arial"/>
        </w:rPr>
        <w:t>, and</w:t>
      </w:r>
      <w:r w:rsidR="00FB5BFF">
        <w:rPr>
          <w:rFonts w:ascii="Arial" w:hAnsi="Arial" w:cs="Arial"/>
        </w:rPr>
        <w:t xml:space="preserve"> assess whether the participants are reflective of the larger region</w:t>
      </w:r>
      <w:r w:rsidR="00BB0988">
        <w:rPr>
          <w:rFonts w:ascii="Arial" w:hAnsi="Arial" w:cs="Arial"/>
        </w:rPr>
        <w:t xml:space="preserve"> of service</w:t>
      </w:r>
      <w:r w:rsidR="00ED458A">
        <w:rPr>
          <w:rFonts w:ascii="Arial" w:hAnsi="Arial" w:cs="Arial"/>
        </w:rPr>
        <w:t xml:space="preserve">. In addition, this information will help </w:t>
      </w:r>
      <w:r w:rsidR="00F01759">
        <w:rPr>
          <w:rFonts w:ascii="Arial" w:hAnsi="Arial" w:cs="Arial"/>
        </w:rPr>
        <w:t xml:space="preserve">both the teams and the program </w:t>
      </w:r>
      <w:r w:rsidR="00CE578D">
        <w:rPr>
          <w:rFonts w:ascii="Arial" w:hAnsi="Arial" w:cs="Arial"/>
        </w:rPr>
        <w:t xml:space="preserve">monitor and assess </w:t>
      </w:r>
      <w:r w:rsidR="00037135">
        <w:rPr>
          <w:rFonts w:ascii="Arial" w:hAnsi="Arial" w:cs="Arial"/>
        </w:rPr>
        <w:t>their progress towards</w:t>
      </w:r>
      <w:r w:rsidR="008D4C00">
        <w:rPr>
          <w:rFonts w:ascii="Arial" w:hAnsi="Arial" w:cs="Arial"/>
        </w:rPr>
        <w:t xml:space="preserve"> </w:t>
      </w:r>
      <w:r w:rsidR="0099094A">
        <w:rPr>
          <w:rFonts w:ascii="Arial" w:hAnsi="Arial" w:cs="Arial"/>
        </w:rPr>
        <w:t>achieving</w:t>
      </w:r>
      <w:r w:rsidR="007472D4">
        <w:rPr>
          <w:rFonts w:ascii="Arial" w:hAnsi="Arial" w:cs="Arial"/>
        </w:rPr>
        <w:t xml:space="preserve"> </w:t>
      </w:r>
      <w:r w:rsidR="008D4C00">
        <w:rPr>
          <w:rFonts w:ascii="Arial" w:hAnsi="Arial" w:cs="Arial"/>
        </w:rPr>
        <w:t>goal 4 of the NSF Engines program (broad</w:t>
      </w:r>
      <w:r w:rsidR="00EF5786">
        <w:rPr>
          <w:rFonts w:ascii="Arial" w:hAnsi="Arial" w:cs="Arial"/>
        </w:rPr>
        <w:t>en</w:t>
      </w:r>
      <w:r w:rsidR="008D4C00">
        <w:rPr>
          <w:rFonts w:ascii="Arial" w:hAnsi="Arial" w:cs="Arial"/>
        </w:rPr>
        <w:t xml:space="preserve"> participation of inclusive innovation ecosystems).</w:t>
      </w:r>
      <w:r w:rsidR="00A636F9">
        <w:rPr>
          <w:rFonts w:ascii="Arial" w:hAnsi="Arial" w:cs="Arial"/>
        </w:rPr>
        <w:t xml:space="preserve"> </w:t>
      </w:r>
      <w:r w:rsidR="00DD582E">
        <w:rPr>
          <w:rFonts w:ascii="Arial" w:hAnsi="Arial" w:cs="Arial"/>
        </w:rPr>
        <w:t xml:space="preserve">Lastly, </w:t>
      </w:r>
      <w:r w:rsidR="00673B8F">
        <w:rPr>
          <w:rFonts w:ascii="Arial" w:hAnsi="Arial" w:cs="Arial"/>
        </w:rPr>
        <w:t xml:space="preserve">this information will enable NSF to assess whether the </w:t>
      </w:r>
      <w:r w:rsidR="004408C0">
        <w:rPr>
          <w:rFonts w:ascii="Arial" w:hAnsi="Arial" w:cs="Arial"/>
        </w:rPr>
        <w:t xml:space="preserve">Engines </w:t>
      </w:r>
      <w:r w:rsidR="00673B8F">
        <w:rPr>
          <w:rFonts w:ascii="Arial" w:hAnsi="Arial" w:cs="Arial"/>
        </w:rPr>
        <w:t>program</w:t>
      </w:r>
      <w:r w:rsidR="00CC0334">
        <w:rPr>
          <w:rFonts w:ascii="Arial" w:hAnsi="Arial" w:cs="Arial"/>
        </w:rPr>
        <w:t xml:space="preserve"> is meeting the legislative language </w:t>
      </w:r>
      <w:r w:rsidR="005A1CD9">
        <w:rPr>
          <w:rFonts w:ascii="Arial" w:hAnsi="Arial" w:cs="Arial"/>
        </w:rPr>
        <w:t xml:space="preserve">regarding broadening participation </w:t>
      </w:r>
      <w:r w:rsidR="005E193F">
        <w:rPr>
          <w:rFonts w:ascii="Arial" w:hAnsi="Arial" w:cs="Arial"/>
        </w:rPr>
        <w:t xml:space="preserve">as specified in </w:t>
      </w:r>
      <w:r w:rsidR="00DD582E">
        <w:rPr>
          <w:rFonts w:ascii="Arial" w:hAnsi="Arial" w:cs="Arial"/>
        </w:rPr>
        <w:t>the CHIPS and Science Act</w:t>
      </w:r>
      <w:r w:rsidR="00A073C2">
        <w:rPr>
          <w:rFonts w:ascii="Arial" w:hAnsi="Arial" w:cs="Arial"/>
        </w:rPr>
        <w:t xml:space="preserve"> of 2022</w:t>
      </w:r>
      <w:r w:rsidR="004408C0">
        <w:rPr>
          <w:rFonts w:ascii="Arial" w:hAnsi="Arial" w:cs="Arial"/>
        </w:rPr>
        <w:t>. Specifically</w:t>
      </w:r>
      <w:r w:rsidR="005E193F">
        <w:rPr>
          <w:rFonts w:ascii="Arial" w:hAnsi="Arial" w:cs="Arial"/>
        </w:rPr>
        <w:t>,</w:t>
      </w:r>
      <w:r w:rsidR="00A073C2">
        <w:rPr>
          <w:rFonts w:ascii="Arial" w:hAnsi="Arial" w:cs="Arial"/>
        </w:rPr>
        <w:t xml:space="preserve"> </w:t>
      </w:r>
      <w:r w:rsidR="00FC14B3">
        <w:rPr>
          <w:rFonts w:ascii="Arial" w:hAnsi="Arial" w:cs="Arial"/>
        </w:rPr>
        <w:t xml:space="preserve">individual Engine teams </w:t>
      </w:r>
      <w:r w:rsidR="00D91D23">
        <w:rPr>
          <w:rFonts w:ascii="Arial" w:hAnsi="Arial" w:cs="Arial"/>
        </w:rPr>
        <w:t>should “engage in outreach and engagement in the region to broaden participation”</w:t>
      </w:r>
      <w:r w:rsidR="000140E6">
        <w:rPr>
          <w:rFonts w:ascii="Arial" w:hAnsi="Arial" w:cs="Arial"/>
        </w:rPr>
        <w:t xml:space="preserve"> </w:t>
      </w:r>
      <w:r w:rsidR="003101C8">
        <w:rPr>
          <w:rFonts w:ascii="Arial" w:hAnsi="Arial" w:cs="Arial"/>
        </w:rPr>
        <w:t>as well as “demonstrate a capacity to broaden participation of populations historically underrepresented in STEM</w:t>
      </w:r>
      <w:r w:rsidR="00F63C0F">
        <w:rPr>
          <w:rFonts w:ascii="Arial" w:hAnsi="Arial" w:cs="Arial"/>
        </w:rPr>
        <w:t>.</w:t>
      </w:r>
      <w:r w:rsidR="003101C8">
        <w:rPr>
          <w:rFonts w:ascii="Arial" w:hAnsi="Arial" w:cs="Arial"/>
        </w:rPr>
        <w:t>”</w:t>
      </w:r>
      <w:r w:rsidR="000140E6">
        <w:rPr>
          <w:rFonts w:ascii="Arial" w:hAnsi="Arial" w:cs="Arial"/>
        </w:rPr>
        <w:t xml:space="preserve"> </w:t>
      </w:r>
    </w:p>
    <w:p w:rsidR="00D53F30" w:rsidRPr="0010531E" w:rsidP="00D53F30" w14:paraId="1F4A0DE9" w14:textId="21403C68">
      <w:pPr>
        <w:spacing w:line="240" w:lineRule="auto"/>
        <w:jc w:val="both"/>
        <w:rPr>
          <w:rFonts w:ascii="Arial" w:hAnsi="Arial" w:cs="Arial"/>
        </w:rPr>
      </w:pPr>
      <w:r w:rsidRPr="0010531E">
        <w:rPr>
          <w:rFonts w:ascii="Arial" w:hAnsi="Arial" w:cs="Arial"/>
        </w:rPr>
        <w:t>Individual-level data that are collected will be provided only to managing Program Directors, NSF senior management, and supporting staff conducting analyses using the data as authorized by NSF.  Any public reporting of data will be in aggregate form, and all personal identifiers will be removed.</w:t>
      </w:r>
    </w:p>
    <w:p w:rsidR="003F6FB7" w:rsidP="000E230B" w14:paraId="7920ED79" w14:textId="5913211B">
      <w:pPr>
        <w:spacing w:after="0" w:line="264" w:lineRule="auto"/>
        <w:rPr>
          <w:rFonts w:ascii="Arial" w:hAnsi="Arial" w:cs="Arial"/>
          <w:b/>
          <w:bCs/>
          <w:color w:val="1F3864" w:themeColor="accent1" w:themeShade="80"/>
          <w:sz w:val="24"/>
          <w:szCs w:val="24"/>
        </w:rPr>
      </w:pPr>
    </w:p>
    <w:p w:rsidR="001276F1" w:rsidP="003F6FB7" w14:paraId="79B6F060" w14:textId="05179451">
      <w:pPr>
        <w:spacing w:line="264" w:lineRule="auto"/>
        <w:rPr>
          <w:rFonts w:ascii="Arial" w:hAnsi="Arial" w:cs="Arial"/>
          <w:b/>
          <w:bCs/>
          <w:color w:val="1F3864" w:themeColor="accent1" w:themeShade="80"/>
          <w:sz w:val="24"/>
          <w:szCs w:val="24"/>
        </w:rPr>
      </w:pPr>
      <w:r w:rsidRPr="005F3B78">
        <w:rPr>
          <w:rFonts w:ascii="Arial" w:hAnsi="Arial" w:cs="Arial"/>
          <w:b/>
          <w:bCs/>
          <w:color w:val="1F3864" w:themeColor="accent1" w:themeShade="80"/>
          <w:sz w:val="24"/>
          <w:szCs w:val="24"/>
        </w:rPr>
        <w:t>A.</w:t>
      </w:r>
      <w:r>
        <w:rPr>
          <w:rFonts w:ascii="Arial" w:hAnsi="Arial" w:cs="Arial"/>
          <w:b/>
          <w:bCs/>
          <w:color w:val="1F3864" w:themeColor="accent1" w:themeShade="80"/>
          <w:sz w:val="24"/>
          <w:szCs w:val="24"/>
        </w:rPr>
        <w:t>12</w:t>
      </w:r>
      <w:r w:rsidRPr="005F3B78">
        <w:rPr>
          <w:rFonts w:ascii="Arial" w:hAnsi="Arial" w:cs="Arial"/>
          <w:b/>
          <w:bCs/>
          <w:color w:val="1F3864" w:themeColor="accent1" w:themeShade="80"/>
          <w:sz w:val="24"/>
          <w:szCs w:val="24"/>
        </w:rPr>
        <w:t xml:space="preserve"> </w:t>
      </w:r>
      <w:r>
        <w:rPr>
          <w:rFonts w:ascii="Arial" w:hAnsi="Arial" w:cs="Arial"/>
          <w:b/>
          <w:bCs/>
          <w:color w:val="1F3864" w:themeColor="accent1" w:themeShade="80"/>
          <w:sz w:val="24"/>
          <w:szCs w:val="24"/>
        </w:rPr>
        <w:t>Estimates of Response Burden</w:t>
      </w:r>
    </w:p>
    <w:p w:rsidR="00886BBC" w:rsidP="00044628" w14:paraId="7DC7D68C" w14:textId="77777777">
      <w:pPr>
        <w:jc w:val="both"/>
        <w:rPr>
          <w:rStyle w:val="normaltextrun"/>
          <w:rFonts w:ascii="Arial" w:hAnsi="Arial" w:cs="Arial"/>
          <w:color w:val="000000"/>
          <w:shd w:val="clear" w:color="auto" w:fill="FFFFFF"/>
        </w:rPr>
      </w:pPr>
      <w:r w:rsidRPr="00044628">
        <w:rPr>
          <w:rStyle w:val="normaltextrun"/>
          <w:rFonts w:ascii="Arial" w:hAnsi="Arial" w:cs="Arial"/>
          <w:color w:val="000000"/>
          <w:shd w:val="clear" w:color="auto" w:fill="FFFFFF"/>
        </w:rPr>
        <w:t xml:space="preserve">A total of 10 NSF Engines </w:t>
      </w:r>
      <w:r>
        <w:rPr>
          <w:rStyle w:val="normaltextrun"/>
          <w:rFonts w:ascii="Arial" w:hAnsi="Arial" w:cs="Arial"/>
          <w:color w:val="000000"/>
          <w:shd w:val="clear" w:color="auto" w:fill="FFFFFF"/>
        </w:rPr>
        <w:t>were</w:t>
      </w:r>
      <w:r w:rsidRPr="00044628">
        <w:rPr>
          <w:rStyle w:val="normaltextrun"/>
          <w:rFonts w:ascii="Arial" w:hAnsi="Arial" w:cs="Arial"/>
          <w:color w:val="000000"/>
          <w:shd w:val="clear" w:color="auto" w:fill="FFFFFF"/>
        </w:rPr>
        <w:t xml:space="preserve"> awarded in spring 2024. </w:t>
      </w:r>
      <w:r w:rsidR="00453218">
        <w:rPr>
          <w:rStyle w:val="normaltextrun"/>
          <w:rFonts w:ascii="Arial" w:hAnsi="Arial" w:cs="Arial"/>
          <w:color w:val="000000"/>
          <w:shd w:val="clear" w:color="auto" w:fill="FFFFFF"/>
        </w:rPr>
        <w:t xml:space="preserve"> </w:t>
      </w:r>
    </w:p>
    <w:p w:rsidR="00886BBC" w:rsidRPr="00886BBC" w:rsidP="00886BBC" w14:paraId="0F44283B" w14:textId="6CC7FF00">
      <w:pPr>
        <w:jc w:val="both"/>
        <w:rPr>
          <w:rFonts w:ascii="Arial" w:hAnsi="Arial" w:cs="Arial"/>
          <w:color w:val="000000"/>
          <w:shd w:val="clear" w:color="auto" w:fill="FFFFFF"/>
        </w:rPr>
      </w:pPr>
      <w:r w:rsidRPr="00886BBC">
        <w:rPr>
          <w:rFonts w:ascii="Arial" w:hAnsi="Arial" w:cs="Arial"/>
          <w:color w:val="000000"/>
          <w:shd w:val="clear" w:color="auto" w:fill="FFFFFF"/>
        </w:rPr>
        <w:t xml:space="preserve">We anticipate the first NSF Engines programmatic data collection to take place months 9-12 from the award start date, and annually thereafter. Programmatic assessments will be based on the data received for each award year. </w:t>
      </w:r>
      <w:r>
        <w:rPr>
          <w:rFonts w:ascii="Arial" w:hAnsi="Arial" w:cs="Arial"/>
          <w:color w:val="000000"/>
          <w:shd w:val="clear" w:color="auto" w:fill="FFFFFF"/>
        </w:rPr>
        <w:t xml:space="preserve"> </w:t>
      </w:r>
      <w:r w:rsidRPr="00886BBC">
        <w:rPr>
          <w:rFonts w:ascii="Arial" w:hAnsi="Arial" w:cs="Arial"/>
          <w:color w:val="000000"/>
          <w:shd w:val="clear" w:color="auto" w:fill="FFFFFF"/>
        </w:rPr>
        <w:t>Intake surveys will be open from months 9-11 and the</w:t>
      </w:r>
      <w:r>
        <w:rPr>
          <w:rFonts w:ascii="Arial" w:hAnsi="Arial" w:cs="Arial"/>
          <w:color w:val="000000"/>
          <w:shd w:val="clear" w:color="auto" w:fill="FFFFFF"/>
        </w:rPr>
        <w:t xml:space="preserve"> two</w:t>
      </w:r>
      <w:r w:rsidRPr="00886BBC">
        <w:rPr>
          <w:rFonts w:ascii="Arial" w:hAnsi="Arial" w:cs="Arial"/>
          <w:color w:val="000000"/>
          <w:shd w:val="clear" w:color="auto" w:fill="FFFFFF"/>
        </w:rPr>
        <w:t xml:space="preserve"> follow-on surveys </w:t>
      </w:r>
      <w:r>
        <w:rPr>
          <w:rFonts w:ascii="Arial" w:hAnsi="Arial" w:cs="Arial"/>
          <w:color w:val="000000"/>
          <w:shd w:val="clear" w:color="auto" w:fill="FFFFFF"/>
        </w:rPr>
        <w:t xml:space="preserve">as well as the survey for partner organizations </w:t>
      </w:r>
      <w:r w:rsidRPr="00886BBC">
        <w:rPr>
          <w:rFonts w:ascii="Arial" w:hAnsi="Arial" w:cs="Arial"/>
          <w:color w:val="000000"/>
          <w:shd w:val="clear" w:color="auto" w:fill="FFFFFF"/>
        </w:rPr>
        <w:t>will be open from months 9-12 to give respondents enough time to complete the surveys.</w:t>
      </w:r>
    </w:p>
    <w:p w:rsidR="00886BBC" w:rsidP="00044628" w14:paraId="75637A02" w14:textId="56A87BDD">
      <w:pPr>
        <w:jc w:val="both"/>
        <w:rPr>
          <w:rStyle w:val="normaltextrun"/>
          <w:rFonts w:ascii="Arial" w:hAnsi="Arial" w:cs="Arial"/>
          <w:color w:val="000000"/>
          <w:shd w:val="clear" w:color="auto" w:fill="FFFFFF"/>
        </w:rPr>
      </w:pPr>
      <w:r w:rsidRPr="00E62F27">
        <w:rPr>
          <w:rFonts w:ascii="Arial" w:hAnsi="Arial" w:cs="Arial"/>
          <w:color w:val="000000"/>
          <w:shd w:val="clear" w:color="auto" w:fill="FFFFFF"/>
        </w:rPr>
        <w:t xml:space="preserve">After the first round of data collection is complete, all survey instruments will remain open to allow for on-going reporting from each Engine on an as-needed basis, but the data collected are for the next reporting period. This will enable data to be captured in near real-time, which can help the NSF Engines program as well as each Engine </w:t>
      </w:r>
      <w:r>
        <w:rPr>
          <w:rFonts w:ascii="Arial" w:hAnsi="Arial" w:cs="Arial"/>
          <w:color w:val="000000"/>
          <w:shd w:val="clear" w:color="auto" w:fill="FFFFFF"/>
        </w:rPr>
        <w:t xml:space="preserve">to </w:t>
      </w:r>
      <w:r w:rsidRPr="00E62F27">
        <w:rPr>
          <w:rFonts w:ascii="Arial" w:hAnsi="Arial" w:cs="Arial"/>
          <w:color w:val="000000"/>
          <w:shd w:val="clear" w:color="auto" w:fill="FFFFFF"/>
        </w:rPr>
        <w:t xml:space="preserve">make more accurate and timely decisions. </w:t>
      </w:r>
    </w:p>
    <w:p w:rsidR="00884628" w:rsidRPr="00884628" w:rsidP="00884628" w14:paraId="57DD8466" w14:textId="1E00BC81">
      <w:pPr>
        <w:jc w:val="both"/>
        <w:rPr>
          <w:rFonts w:ascii="Arial" w:hAnsi="Arial" w:cs="Arial"/>
        </w:rPr>
      </w:pPr>
      <w:r w:rsidRPr="00884628">
        <w:rPr>
          <w:rFonts w:ascii="Arial" w:hAnsi="Arial" w:cs="Arial"/>
        </w:rPr>
        <w:t>To estimate the range of annual burden that will be placed on survey respondents, we assumed a low and high Engine output scenario (</w:t>
      </w:r>
      <w:r w:rsidRPr="00884628">
        <w:rPr>
          <w:rFonts w:ascii="Arial" w:hAnsi="Arial" w:cs="Arial"/>
        </w:rPr>
        <w:fldChar w:fldCharType="begin"/>
      </w:r>
      <w:r w:rsidRPr="00884628">
        <w:rPr>
          <w:rFonts w:ascii="Arial" w:hAnsi="Arial" w:cs="Arial"/>
        </w:rPr>
        <w:instrText xml:space="preserve"> REF _Ref154657908 \h  \* MERGEFORMAT </w:instrText>
      </w:r>
      <w:r w:rsidRPr="00884628">
        <w:rPr>
          <w:rFonts w:ascii="Arial" w:hAnsi="Arial" w:cs="Arial"/>
        </w:rPr>
        <w:fldChar w:fldCharType="separate"/>
      </w:r>
      <w:r w:rsidRPr="00884628">
        <w:rPr>
          <w:rFonts w:ascii="Arial" w:hAnsi="Arial" w:cs="Arial"/>
        </w:rPr>
        <w:t>Table 3</w:t>
      </w:r>
      <w:r w:rsidRPr="00884628">
        <w:rPr>
          <w:rFonts w:ascii="Arial" w:hAnsi="Arial" w:cs="Arial"/>
        </w:rPr>
        <w:fldChar w:fldCharType="end"/>
      </w:r>
      <w:r w:rsidRPr="00884628">
        <w:rPr>
          <w:rFonts w:ascii="Arial" w:hAnsi="Arial" w:cs="Arial"/>
        </w:rPr>
        <w:t xml:space="preserve">). The total estimated annual burden per Engine and for the NSF Engines program assuming low and high Engine output can be found in </w:t>
      </w:r>
      <w:r w:rsidRPr="00884628">
        <w:rPr>
          <w:rFonts w:ascii="Arial" w:hAnsi="Arial" w:cs="Arial"/>
        </w:rPr>
        <w:fldChar w:fldCharType="begin"/>
      </w:r>
      <w:r w:rsidRPr="00884628">
        <w:rPr>
          <w:rFonts w:ascii="Arial" w:hAnsi="Arial" w:cs="Arial"/>
        </w:rPr>
        <w:instrText xml:space="preserve"> REF _Ref154657637 \h  \* MERGEFORMAT </w:instrText>
      </w:r>
      <w:r w:rsidRPr="00884628">
        <w:rPr>
          <w:rFonts w:ascii="Arial" w:hAnsi="Arial" w:cs="Arial"/>
        </w:rPr>
        <w:fldChar w:fldCharType="separate"/>
      </w:r>
      <w:r w:rsidRPr="00884628">
        <w:rPr>
          <w:rFonts w:ascii="Arial" w:hAnsi="Arial" w:cs="Arial"/>
        </w:rPr>
        <w:t>Table 4</w:t>
      </w:r>
      <w:r w:rsidRPr="00884628">
        <w:rPr>
          <w:rFonts w:ascii="Arial" w:hAnsi="Arial" w:cs="Arial"/>
        </w:rPr>
        <w:fldChar w:fldCharType="end"/>
      </w:r>
      <w:r w:rsidRPr="00884628">
        <w:rPr>
          <w:rFonts w:ascii="Arial" w:hAnsi="Arial" w:cs="Arial"/>
        </w:rPr>
        <w:t xml:space="preserve"> </w:t>
      </w:r>
      <w:r w:rsidRPr="00884628">
        <w:rPr>
          <w:rFonts w:ascii="Arial" w:hAnsi="Arial" w:cs="Arial"/>
        </w:rPr>
        <w:t xml:space="preserve">and </w:t>
      </w:r>
      <w:r w:rsidRPr="00884628">
        <w:rPr>
          <w:rFonts w:ascii="Arial" w:hAnsi="Arial" w:cs="Arial"/>
        </w:rPr>
        <w:fldChar w:fldCharType="begin"/>
      </w:r>
      <w:r w:rsidRPr="00884628">
        <w:rPr>
          <w:rFonts w:ascii="Arial" w:hAnsi="Arial" w:cs="Arial"/>
        </w:rPr>
        <w:instrText xml:space="preserve"> REF _Ref154657902 \h  \* MERGEFORMAT </w:instrText>
      </w:r>
      <w:r w:rsidRPr="00884628">
        <w:rPr>
          <w:rFonts w:ascii="Arial" w:hAnsi="Arial" w:cs="Arial"/>
        </w:rPr>
        <w:fldChar w:fldCharType="separate"/>
      </w:r>
      <w:r w:rsidRPr="00884628">
        <w:rPr>
          <w:rFonts w:ascii="Arial" w:hAnsi="Arial" w:cs="Arial"/>
        </w:rPr>
        <w:t>Table 5</w:t>
      </w:r>
      <w:r w:rsidRPr="00884628">
        <w:rPr>
          <w:rFonts w:ascii="Arial" w:hAnsi="Arial" w:cs="Arial"/>
        </w:rPr>
        <w:fldChar w:fldCharType="end"/>
      </w:r>
      <w:r w:rsidRPr="00884628">
        <w:rPr>
          <w:rFonts w:ascii="Arial" w:hAnsi="Arial" w:cs="Arial"/>
        </w:rPr>
        <w:t xml:space="preserve">. </w:t>
      </w:r>
      <w:r w:rsidR="00272350">
        <w:rPr>
          <w:rStyle w:val="normaltextrun"/>
          <w:rFonts w:ascii="Arial" w:hAnsi="Arial" w:cs="Arial"/>
          <w:color w:val="000000"/>
          <w:shd w:val="clear" w:color="auto" w:fill="FFFFFF"/>
        </w:rPr>
        <w:t xml:space="preserve"> Under this estimation,</w:t>
      </w:r>
      <w:r w:rsidRPr="00044628">
        <w:rPr>
          <w:rStyle w:val="normaltextrun"/>
          <w:rFonts w:ascii="Arial" w:hAnsi="Arial" w:cs="Arial"/>
          <w:color w:val="000000"/>
          <w:shd w:val="clear" w:color="auto" w:fill="FFFFFF"/>
        </w:rPr>
        <w:t xml:space="preserve"> the total annual burden of the NSF Engines survey-based data collection </w:t>
      </w:r>
      <w:r w:rsidR="00EB0065">
        <w:rPr>
          <w:rStyle w:val="normaltextrun"/>
          <w:rFonts w:ascii="Arial" w:hAnsi="Arial" w:cs="Arial"/>
          <w:color w:val="000000"/>
          <w:shd w:val="clear" w:color="auto" w:fill="FFFFFF"/>
        </w:rPr>
        <w:t xml:space="preserve">is </w:t>
      </w:r>
      <w:r w:rsidRPr="00044628">
        <w:rPr>
          <w:rStyle w:val="normaltextrun"/>
          <w:rFonts w:ascii="Arial" w:hAnsi="Arial" w:cs="Arial"/>
          <w:color w:val="000000"/>
          <w:shd w:val="clear" w:color="auto" w:fill="FFFFFF"/>
        </w:rPr>
        <w:t xml:space="preserve">between </w:t>
      </w:r>
      <w:r w:rsidR="00EB0065">
        <w:rPr>
          <w:rStyle w:val="normaltextrun"/>
          <w:rFonts w:ascii="Arial" w:hAnsi="Arial" w:cs="Arial"/>
          <w:color w:val="000000"/>
          <w:shd w:val="clear" w:color="auto" w:fill="FFFFFF"/>
        </w:rPr>
        <w:t xml:space="preserve">the range of </w:t>
      </w:r>
      <w:r w:rsidR="00C87173">
        <w:rPr>
          <w:rStyle w:val="normaltextrun"/>
          <w:rFonts w:ascii="Arial" w:hAnsi="Arial" w:cs="Arial"/>
          <w:color w:val="000000"/>
          <w:shd w:val="clear" w:color="auto" w:fill="FFFFFF"/>
        </w:rPr>
        <w:t>18,84</w:t>
      </w:r>
      <w:r w:rsidRPr="00044628">
        <w:rPr>
          <w:rStyle w:val="normaltextrun"/>
          <w:rFonts w:ascii="Arial" w:hAnsi="Arial" w:cs="Arial"/>
          <w:color w:val="000000"/>
          <w:shd w:val="clear" w:color="auto" w:fill="FFFFFF"/>
        </w:rPr>
        <w:t>0 minutes (3</w:t>
      </w:r>
      <w:r w:rsidR="00C87173">
        <w:rPr>
          <w:rStyle w:val="normaltextrun"/>
          <w:rFonts w:ascii="Arial" w:hAnsi="Arial" w:cs="Arial"/>
          <w:color w:val="000000"/>
          <w:shd w:val="clear" w:color="auto" w:fill="FFFFFF"/>
        </w:rPr>
        <w:t>14</w:t>
      </w:r>
      <w:r w:rsidRPr="00044628">
        <w:rPr>
          <w:rStyle w:val="normaltextrun"/>
          <w:rFonts w:ascii="Arial" w:hAnsi="Arial" w:cs="Arial"/>
          <w:color w:val="000000"/>
          <w:shd w:val="clear" w:color="auto" w:fill="FFFFFF"/>
        </w:rPr>
        <w:t xml:space="preserve"> hours) and 5</w:t>
      </w:r>
      <w:r w:rsidR="004117AD">
        <w:rPr>
          <w:rStyle w:val="normaltextrun"/>
          <w:rFonts w:ascii="Arial" w:hAnsi="Arial" w:cs="Arial"/>
          <w:color w:val="000000"/>
          <w:shd w:val="clear" w:color="auto" w:fill="FFFFFF"/>
        </w:rPr>
        <w:t>1</w:t>
      </w:r>
      <w:r w:rsidRPr="00044628">
        <w:rPr>
          <w:rStyle w:val="normaltextrun"/>
          <w:rFonts w:ascii="Arial" w:hAnsi="Arial" w:cs="Arial"/>
          <w:color w:val="000000"/>
          <w:shd w:val="clear" w:color="auto" w:fill="FFFFFF"/>
        </w:rPr>
        <w:t>,550 minutes (</w:t>
      </w:r>
      <w:r w:rsidR="004117AD">
        <w:rPr>
          <w:rStyle w:val="normaltextrun"/>
          <w:rFonts w:ascii="Arial" w:hAnsi="Arial" w:cs="Arial"/>
          <w:color w:val="000000"/>
          <w:shd w:val="clear" w:color="auto" w:fill="FFFFFF"/>
        </w:rPr>
        <w:t>8</w:t>
      </w:r>
      <w:r w:rsidR="00ED45DD">
        <w:rPr>
          <w:rStyle w:val="normaltextrun"/>
          <w:rFonts w:ascii="Arial" w:hAnsi="Arial" w:cs="Arial"/>
          <w:color w:val="000000"/>
          <w:shd w:val="clear" w:color="auto" w:fill="FFFFFF"/>
        </w:rPr>
        <w:t>59</w:t>
      </w:r>
      <w:r w:rsidRPr="00044628">
        <w:rPr>
          <w:rStyle w:val="normaltextrun"/>
          <w:rFonts w:ascii="Arial" w:hAnsi="Arial" w:cs="Arial"/>
          <w:color w:val="000000"/>
          <w:shd w:val="clear" w:color="auto" w:fill="FFFFFF"/>
        </w:rPr>
        <w:t xml:space="preserve"> hours)</w:t>
      </w:r>
      <w:r w:rsidR="00A80349">
        <w:rPr>
          <w:rStyle w:val="normaltextrun"/>
          <w:rFonts w:ascii="Arial" w:hAnsi="Arial" w:cs="Arial"/>
          <w:color w:val="000000"/>
          <w:shd w:val="clear" w:color="auto" w:fill="FFFFFF"/>
        </w:rPr>
        <w:t>.</w:t>
      </w:r>
      <w:r>
        <w:rPr>
          <w:rStyle w:val="FootnoteReference"/>
          <w:rFonts w:ascii="Arial" w:hAnsi="Arial" w:cs="Arial"/>
          <w:color w:val="000000"/>
          <w:shd w:val="clear" w:color="auto" w:fill="FFFFFF"/>
        </w:rPr>
        <w:footnoteReference w:id="4"/>
      </w:r>
      <w:r w:rsidRPr="00044628">
        <w:rPr>
          <w:rFonts w:ascii="Arial" w:hAnsi="Arial" w:cs="Arial"/>
        </w:rPr>
        <w:t xml:space="preserve"> </w:t>
      </w:r>
      <w:r>
        <w:rPr>
          <w:rFonts w:ascii="Arial" w:hAnsi="Arial" w:cs="Arial"/>
        </w:rPr>
        <w:t xml:space="preserve">  </w:t>
      </w:r>
    </w:p>
    <w:p w:rsidR="00044628" w:rsidRPr="00044628" w:rsidP="00044628" w14:paraId="293283C0" w14:textId="682D3277">
      <w:pPr>
        <w:jc w:val="both"/>
        <w:rPr>
          <w:rStyle w:val="apple-converted-space"/>
          <w:rFonts w:ascii="Arial" w:hAnsi="Arial" w:cs="Arial"/>
        </w:rPr>
      </w:pPr>
      <w:r w:rsidRPr="00044628">
        <w:rPr>
          <w:rFonts w:ascii="Arial" w:hAnsi="Arial" w:cs="Arial"/>
        </w:rPr>
        <w:t xml:space="preserve">We anticipate the survey-based data collection annual burden to decrease substantially after year 1 of the NSF Engines award because (1) survey respondents will not be asked to fill out new surveys but rather be asked to review and update the information they provided from the previous reporting year, and (2) the intake survey instruments only need to be submitted for new programmatic activities, individuals, or funding received. </w:t>
      </w:r>
    </w:p>
    <w:p w:rsidR="00453218" w:rsidP="00453218" w14:paraId="411EBE3D" w14:textId="0A18BCEB">
      <w:pPr>
        <w:spacing w:line="264" w:lineRule="auto"/>
        <w:jc w:val="both"/>
        <w:rPr>
          <w:rFonts w:ascii="Arial" w:hAnsi="Arial" w:cs="Arial"/>
        </w:rPr>
      </w:pPr>
      <w:r>
        <w:rPr>
          <w:rFonts w:ascii="Arial" w:hAnsi="Arial" w:cs="Arial"/>
        </w:rPr>
        <w:t>For the focus group session, we anticipate each</w:t>
      </w:r>
      <w:r w:rsidRPr="00E37E9C">
        <w:rPr>
          <w:rFonts w:ascii="Arial" w:hAnsi="Arial" w:cs="Arial"/>
        </w:rPr>
        <w:t xml:space="preserve"> focus group</w:t>
      </w:r>
      <w:r>
        <w:rPr>
          <w:rFonts w:ascii="Arial" w:hAnsi="Arial" w:cs="Arial"/>
        </w:rPr>
        <w:t xml:space="preserve"> interview</w:t>
      </w:r>
      <w:r w:rsidRPr="00E37E9C">
        <w:rPr>
          <w:rFonts w:ascii="Arial" w:hAnsi="Arial" w:cs="Arial"/>
        </w:rPr>
        <w:t xml:space="preserve">, lasting up to two hours, will be held for each Engine. </w:t>
      </w:r>
      <w:r>
        <w:rPr>
          <w:rFonts w:ascii="Arial" w:hAnsi="Arial" w:cs="Arial"/>
        </w:rPr>
        <w:t xml:space="preserve"> </w:t>
      </w:r>
      <w:r w:rsidRPr="00E37E9C">
        <w:rPr>
          <w:rFonts w:ascii="Arial" w:hAnsi="Arial" w:cs="Arial"/>
        </w:rPr>
        <w:t>Each focus group will comprise approximately 10 participants (</w:t>
      </w:r>
      <w:r>
        <w:rPr>
          <w:rFonts w:ascii="Arial" w:hAnsi="Arial" w:cs="Arial"/>
        </w:rPr>
        <w:t xml:space="preserve">Table </w:t>
      </w:r>
      <w:r w:rsidR="00EB0065">
        <w:rPr>
          <w:rFonts w:ascii="Arial" w:hAnsi="Arial" w:cs="Arial"/>
        </w:rPr>
        <w:t>6</w:t>
      </w:r>
      <w:r w:rsidRPr="00E37E9C">
        <w:rPr>
          <w:rFonts w:ascii="Arial" w:hAnsi="Arial" w:cs="Arial"/>
        </w:rPr>
        <w:t>). The estimated annual burden per Engine with regards to focus groups is 120 minutes (20 hours) (</w:t>
      </w:r>
      <w:r>
        <w:rPr>
          <w:rFonts w:ascii="Arial" w:hAnsi="Arial" w:cs="Arial"/>
        </w:rPr>
        <w:t xml:space="preserve">Table </w:t>
      </w:r>
      <w:r w:rsidR="00EB0065">
        <w:rPr>
          <w:rFonts w:ascii="Arial" w:hAnsi="Arial" w:cs="Arial"/>
        </w:rPr>
        <w:t>7</w:t>
      </w:r>
      <w:r w:rsidRPr="00E37E9C">
        <w:rPr>
          <w:rFonts w:ascii="Arial" w:hAnsi="Arial" w:cs="Arial"/>
        </w:rPr>
        <w:t xml:space="preserve">). The total estimated annual burden for the NSF Engines program is 12,000 minutes (200 hours). </w:t>
      </w:r>
    </w:p>
    <w:p w:rsidR="0065266C" w:rsidRPr="00672E82" w:rsidP="0065266C" w14:paraId="76344337" w14:textId="6E7303A7">
      <w:pPr>
        <w:pStyle w:val="Heading4"/>
        <w:spacing w:line="240" w:lineRule="auto"/>
        <w:rPr>
          <w:rFonts w:ascii="Arial" w:hAnsi="Arial" w:cs="Arial"/>
          <w:color w:val="44546A" w:themeColor="text2"/>
        </w:rPr>
      </w:pPr>
      <w:r w:rsidRPr="00672E82">
        <w:rPr>
          <w:rFonts w:ascii="Arial" w:hAnsi="Arial" w:cs="Arial"/>
          <w:color w:val="44546A" w:themeColor="text2"/>
        </w:rPr>
        <w:t>A.12.1. Number of Respondents, Frequency of Response, and Annual Hour Burden</w:t>
      </w:r>
    </w:p>
    <w:p w:rsidR="0065266C" w:rsidRPr="001240AB" w:rsidP="0065266C" w14:paraId="4E03842C" w14:textId="4D63AC67">
      <w:pPr>
        <w:pStyle w:val="Heading3"/>
        <w:rPr>
          <w:rFonts w:ascii="Arial" w:hAnsi="Arial" w:cs="Arial"/>
          <w:color w:val="3B3838" w:themeColor="background2" w:themeShade="40"/>
        </w:rPr>
      </w:pPr>
    </w:p>
    <w:tbl>
      <w:tblPr>
        <w:tblStyle w:val="TableGrid"/>
        <w:tblW w:w="8455" w:type="dxa"/>
        <w:tblLook w:val="04A0"/>
      </w:tblPr>
      <w:tblGrid>
        <w:gridCol w:w="1795"/>
        <w:gridCol w:w="2070"/>
        <w:gridCol w:w="2160"/>
        <w:gridCol w:w="2430"/>
      </w:tblGrid>
      <w:tr w14:paraId="370D1589" w14:textId="77777777" w:rsidTr="009F5987">
        <w:tblPrEx>
          <w:tblW w:w="8455" w:type="dxa"/>
          <w:tblLook w:val="04A0"/>
        </w:tblPrEx>
        <w:trPr>
          <w:trHeight w:val="791"/>
        </w:trPr>
        <w:tc>
          <w:tcPr>
            <w:tcW w:w="1795" w:type="dxa"/>
            <w:hideMark/>
          </w:tcPr>
          <w:p w:rsidR="0065266C" w:rsidRPr="00EA5365" w:rsidP="00135EF2" w14:paraId="77F27B1A" w14:textId="77777777">
            <w:pPr>
              <w:pStyle w:val="NormalWeb"/>
              <w:spacing w:after="0" w:afterAutospacing="0"/>
              <w:rPr>
                <w:rFonts w:ascii="Arial" w:hAnsi="Arial" w:cs="Arial"/>
                <w:color w:val="404040" w:themeColor="text1" w:themeTint="BF"/>
                <w:sz w:val="20"/>
                <w:szCs w:val="20"/>
              </w:rPr>
            </w:pPr>
            <w:r w:rsidRPr="00EA5365">
              <w:rPr>
                <w:rStyle w:val="Strong"/>
                <w:rFonts w:ascii="Arial" w:hAnsi="Arial" w:eastAsiaTheme="minorHAnsi" w:cs="Arial"/>
                <w:color w:val="404040" w:themeColor="text1" w:themeTint="BF"/>
                <w:sz w:val="20"/>
                <w:szCs w:val="20"/>
              </w:rPr>
              <w:t>Collection Component</w:t>
            </w:r>
          </w:p>
        </w:tc>
        <w:tc>
          <w:tcPr>
            <w:tcW w:w="2070" w:type="dxa"/>
            <w:hideMark/>
          </w:tcPr>
          <w:p w:rsidR="0065266C" w:rsidRPr="00EA5365" w:rsidP="00135EF2" w14:paraId="2C697C99" w14:textId="77777777">
            <w:pPr>
              <w:pStyle w:val="NormalWeb"/>
              <w:spacing w:after="0" w:afterAutospacing="0"/>
              <w:rPr>
                <w:rFonts w:ascii="Arial" w:hAnsi="Arial" w:cs="Arial"/>
                <w:color w:val="404040" w:themeColor="text1" w:themeTint="BF"/>
                <w:sz w:val="20"/>
                <w:szCs w:val="20"/>
              </w:rPr>
            </w:pPr>
            <w:r w:rsidRPr="00EA5365">
              <w:rPr>
                <w:rStyle w:val="Strong"/>
                <w:rFonts w:ascii="Arial" w:hAnsi="Arial" w:eastAsiaTheme="minorHAnsi" w:cs="Arial"/>
                <w:color w:val="404040" w:themeColor="text1" w:themeTint="BF"/>
                <w:sz w:val="20"/>
                <w:szCs w:val="20"/>
              </w:rPr>
              <w:t>Number of Respondents</w:t>
            </w:r>
          </w:p>
        </w:tc>
        <w:tc>
          <w:tcPr>
            <w:tcW w:w="2160" w:type="dxa"/>
            <w:hideMark/>
          </w:tcPr>
          <w:p w:rsidR="0065266C" w:rsidRPr="00EA5365" w:rsidP="00135EF2" w14:paraId="65DDBFA3" w14:textId="26CF7362">
            <w:pPr>
              <w:pStyle w:val="NormalWeb"/>
              <w:spacing w:after="0" w:afterAutospacing="0"/>
              <w:rPr>
                <w:rFonts w:ascii="Arial" w:hAnsi="Arial" w:cs="Arial"/>
                <w:color w:val="404040" w:themeColor="text1" w:themeTint="BF"/>
                <w:sz w:val="20"/>
                <w:szCs w:val="20"/>
              </w:rPr>
            </w:pPr>
            <w:r w:rsidRPr="00EA5365">
              <w:rPr>
                <w:rStyle w:val="Strong"/>
                <w:rFonts w:ascii="Arial" w:hAnsi="Arial" w:eastAsiaTheme="minorHAnsi" w:cs="Arial"/>
                <w:color w:val="404040" w:themeColor="text1" w:themeTint="BF"/>
                <w:sz w:val="20"/>
                <w:szCs w:val="20"/>
              </w:rPr>
              <w:t xml:space="preserve">Number of Hours </w:t>
            </w:r>
          </w:p>
        </w:tc>
        <w:tc>
          <w:tcPr>
            <w:tcW w:w="2430" w:type="dxa"/>
            <w:hideMark/>
          </w:tcPr>
          <w:p w:rsidR="0065266C" w:rsidRPr="00EA5365" w:rsidP="00135EF2" w14:paraId="070DCA0D" w14:textId="77777777">
            <w:pPr>
              <w:pStyle w:val="NormalWeb"/>
              <w:spacing w:after="0" w:afterAutospacing="0"/>
              <w:rPr>
                <w:rFonts w:ascii="Arial" w:hAnsi="Arial" w:cs="Arial"/>
                <w:color w:val="404040" w:themeColor="text1" w:themeTint="BF"/>
                <w:sz w:val="20"/>
                <w:szCs w:val="20"/>
              </w:rPr>
            </w:pPr>
            <w:r w:rsidRPr="00EA5365">
              <w:rPr>
                <w:rStyle w:val="Strong"/>
                <w:rFonts w:ascii="Arial" w:hAnsi="Arial" w:eastAsiaTheme="minorHAnsi" w:cs="Arial"/>
                <w:color w:val="404040" w:themeColor="text1" w:themeTint="BF"/>
                <w:sz w:val="20"/>
                <w:szCs w:val="20"/>
              </w:rPr>
              <w:t>Total Burden (Hours)</w:t>
            </w:r>
          </w:p>
        </w:tc>
      </w:tr>
      <w:tr w14:paraId="433C454F" w14:textId="77777777" w:rsidTr="009F5987">
        <w:tblPrEx>
          <w:tblW w:w="8455" w:type="dxa"/>
          <w:tblLook w:val="04A0"/>
        </w:tblPrEx>
        <w:trPr>
          <w:trHeight w:val="566"/>
        </w:trPr>
        <w:tc>
          <w:tcPr>
            <w:tcW w:w="1795" w:type="dxa"/>
            <w:vAlign w:val="center"/>
          </w:tcPr>
          <w:p w:rsidR="0065266C" w:rsidRPr="00EA5365" w:rsidP="00135EF2" w14:paraId="0C00072F" w14:textId="50BEF9A1">
            <w:pPr>
              <w:pStyle w:val="p1-standpara"/>
              <w:spacing w:before="0" w:beforeAutospacing="0" w:after="240" w:afterAutospacing="0"/>
              <w:rPr>
                <w:rFonts w:ascii="Arial" w:hAnsi="Arial" w:cs="Arial"/>
                <w:sz w:val="20"/>
                <w:szCs w:val="20"/>
              </w:rPr>
            </w:pPr>
            <w:r w:rsidRPr="00EA5365">
              <w:rPr>
                <w:rFonts w:ascii="Arial" w:hAnsi="Arial" w:cs="Arial"/>
                <w:i/>
                <w:iCs/>
                <w:sz w:val="20"/>
                <w:szCs w:val="20"/>
              </w:rPr>
              <w:t>6</w:t>
            </w:r>
            <w:r w:rsidRPr="00EA5365">
              <w:rPr>
                <w:rFonts w:ascii="Arial" w:hAnsi="Arial" w:cs="Arial"/>
                <w:i/>
                <w:iCs/>
                <w:sz w:val="20"/>
                <w:szCs w:val="20"/>
              </w:rPr>
              <w:t xml:space="preserve"> </w:t>
            </w:r>
            <w:r w:rsidRPr="00EA5365">
              <w:rPr>
                <w:rFonts w:ascii="Arial" w:hAnsi="Arial" w:cs="Arial"/>
                <w:i/>
                <w:iCs/>
                <w:sz w:val="20"/>
                <w:szCs w:val="20"/>
              </w:rPr>
              <w:t>s</w:t>
            </w:r>
            <w:r w:rsidRPr="00EA5365">
              <w:rPr>
                <w:rFonts w:ascii="Arial" w:hAnsi="Arial" w:cs="Arial"/>
                <w:i/>
                <w:iCs/>
                <w:sz w:val="20"/>
                <w:szCs w:val="20"/>
              </w:rPr>
              <w:t>urvey</w:t>
            </w:r>
            <w:r w:rsidRPr="00EA5365">
              <w:rPr>
                <w:rFonts w:ascii="Arial" w:hAnsi="Arial" w:cs="Arial"/>
                <w:i/>
                <w:iCs/>
                <w:sz w:val="20"/>
                <w:szCs w:val="20"/>
              </w:rPr>
              <w:t>s</w:t>
            </w:r>
          </w:p>
        </w:tc>
        <w:tc>
          <w:tcPr>
            <w:tcW w:w="2070" w:type="dxa"/>
          </w:tcPr>
          <w:p w:rsidR="00E1387D" w:rsidRPr="00EA5365" w:rsidP="006801F4" w14:paraId="78204474" w14:textId="77EB0E03">
            <w:pPr>
              <w:pStyle w:val="NormalWeb"/>
              <w:spacing w:after="0" w:afterAutospacing="0"/>
              <w:rPr>
                <w:rFonts w:ascii="Arial" w:hAnsi="Arial" w:cs="Arial"/>
                <w:sz w:val="20"/>
                <w:szCs w:val="20"/>
              </w:rPr>
            </w:pPr>
            <w:r w:rsidRPr="00EA5365">
              <w:rPr>
                <w:rFonts w:ascii="Arial" w:hAnsi="Arial" w:cs="Arial"/>
                <w:sz w:val="20"/>
                <w:szCs w:val="20"/>
              </w:rPr>
              <w:t xml:space="preserve">40-70 </w:t>
            </w:r>
            <w:r w:rsidR="006801F4">
              <w:rPr>
                <w:rFonts w:ascii="Arial" w:hAnsi="Arial" w:cs="Arial"/>
                <w:sz w:val="20"/>
                <w:szCs w:val="20"/>
              </w:rPr>
              <w:t xml:space="preserve">respondents </w:t>
            </w:r>
            <w:r w:rsidRPr="00EA5365">
              <w:rPr>
                <w:rFonts w:ascii="Arial" w:hAnsi="Arial" w:cs="Arial"/>
                <w:sz w:val="20"/>
                <w:szCs w:val="20"/>
              </w:rPr>
              <w:t>per Engine</w:t>
            </w:r>
          </w:p>
        </w:tc>
        <w:tc>
          <w:tcPr>
            <w:tcW w:w="2160" w:type="dxa"/>
          </w:tcPr>
          <w:p w:rsidR="0065266C" w:rsidRPr="00EA5365" w:rsidP="00135EF2" w14:paraId="08EF00B1" w14:textId="63DF3214">
            <w:pPr>
              <w:pStyle w:val="NormalWeb"/>
              <w:rPr>
                <w:rFonts w:ascii="Arial" w:hAnsi="Arial" w:cs="Arial"/>
                <w:sz w:val="20"/>
                <w:szCs w:val="20"/>
              </w:rPr>
            </w:pPr>
            <w:r>
              <w:rPr>
                <w:rFonts w:ascii="Arial" w:hAnsi="Arial" w:cs="Arial"/>
                <w:sz w:val="20"/>
                <w:szCs w:val="20"/>
              </w:rPr>
              <w:t>10</w:t>
            </w:r>
            <w:r w:rsidRPr="00EA5365" w:rsidR="00FE2EE4">
              <w:rPr>
                <w:rFonts w:ascii="Arial" w:hAnsi="Arial" w:cs="Arial"/>
                <w:sz w:val="20"/>
                <w:szCs w:val="20"/>
              </w:rPr>
              <w:t xml:space="preserve"> - </w:t>
            </w:r>
            <w:r w:rsidR="00573527">
              <w:rPr>
                <w:rFonts w:ascii="Arial" w:hAnsi="Arial" w:cs="Arial"/>
                <w:sz w:val="20"/>
                <w:szCs w:val="20"/>
              </w:rPr>
              <w:t>15</w:t>
            </w:r>
            <w:r w:rsidRPr="00EA5365">
              <w:rPr>
                <w:rFonts w:ascii="Arial" w:hAnsi="Arial" w:cs="Arial"/>
                <w:sz w:val="20"/>
                <w:szCs w:val="20"/>
              </w:rPr>
              <w:t xml:space="preserve"> hours per</w:t>
            </w:r>
            <w:r w:rsidRPr="00EA5365" w:rsidR="00FE2EE4">
              <w:rPr>
                <w:rFonts w:ascii="Arial" w:hAnsi="Arial" w:cs="Arial"/>
                <w:sz w:val="20"/>
                <w:szCs w:val="20"/>
              </w:rPr>
              <w:t xml:space="preserve"> Engine per</w:t>
            </w:r>
            <w:r w:rsidRPr="00EA5365">
              <w:rPr>
                <w:rFonts w:ascii="Arial" w:hAnsi="Arial" w:cs="Arial"/>
                <w:sz w:val="20"/>
                <w:szCs w:val="20"/>
              </w:rPr>
              <w:t xml:space="preserve"> year</w:t>
            </w:r>
          </w:p>
        </w:tc>
        <w:tc>
          <w:tcPr>
            <w:tcW w:w="2430" w:type="dxa"/>
          </w:tcPr>
          <w:p w:rsidR="0065266C" w:rsidRPr="00EA5365" w:rsidP="00135EF2" w14:paraId="53FA452A" w14:textId="2EFCC7D7">
            <w:pPr>
              <w:pStyle w:val="NormalWeb"/>
              <w:rPr>
                <w:rFonts w:ascii="Arial" w:hAnsi="Arial" w:cs="Arial"/>
                <w:sz w:val="20"/>
                <w:szCs w:val="20"/>
              </w:rPr>
            </w:pPr>
            <w:r>
              <w:rPr>
                <w:rFonts w:ascii="Arial" w:hAnsi="Arial" w:cs="Arial"/>
                <w:sz w:val="20"/>
                <w:szCs w:val="20"/>
              </w:rPr>
              <w:t>400</w:t>
            </w:r>
            <w:r w:rsidRPr="00EA5365" w:rsidR="00EA5365">
              <w:rPr>
                <w:rFonts w:ascii="Arial" w:hAnsi="Arial" w:cs="Arial"/>
                <w:sz w:val="20"/>
                <w:szCs w:val="20"/>
              </w:rPr>
              <w:t xml:space="preserve"> -10</w:t>
            </w:r>
            <w:r w:rsidR="00573527">
              <w:rPr>
                <w:rFonts w:ascii="Arial" w:hAnsi="Arial" w:cs="Arial"/>
                <w:sz w:val="20"/>
                <w:szCs w:val="20"/>
              </w:rPr>
              <w:t>5</w:t>
            </w:r>
            <w:r w:rsidRPr="00EA5365" w:rsidR="00EA5365">
              <w:rPr>
                <w:rFonts w:ascii="Arial" w:hAnsi="Arial" w:cs="Arial"/>
                <w:sz w:val="20"/>
                <w:szCs w:val="20"/>
              </w:rPr>
              <w:t>0</w:t>
            </w:r>
            <w:r w:rsidRPr="00EA5365">
              <w:rPr>
                <w:rFonts w:ascii="Arial" w:hAnsi="Arial" w:cs="Arial"/>
                <w:sz w:val="20"/>
                <w:szCs w:val="20"/>
              </w:rPr>
              <w:t xml:space="preserve"> hours</w:t>
            </w:r>
            <w:r w:rsidR="007F2AAE">
              <w:rPr>
                <w:rFonts w:ascii="Arial" w:hAnsi="Arial" w:cs="Arial"/>
                <w:sz w:val="20"/>
                <w:szCs w:val="20"/>
              </w:rPr>
              <w:t xml:space="preserve"> per Engine per year</w:t>
            </w:r>
          </w:p>
        </w:tc>
      </w:tr>
      <w:tr w14:paraId="5AE97428" w14:textId="77777777" w:rsidTr="009F5987">
        <w:tblPrEx>
          <w:tblW w:w="8455" w:type="dxa"/>
          <w:tblLook w:val="04A0"/>
        </w:tblPrEx>
        <w:tc>
          <w:tcPr>
            <w:tcW w:w="1795" w:type="dxa"/>
            <w:vAlign w:val="center"/>
          </w:tcPr>
          <w:p w:rsidR="0065266C" w:rsidRPr="00EA5365" w:rsidP="00135EF2" w14:paraId="7A3BB47F" w14:textId="1EFCFC02">
            <w:pPr>
              <w:pStyle w:val="p1-standpara"/>
              <w:spacing w:before="0" w:beforeAutospacing="0" w:after="240" w:afterAutospacing="0"/>
              <w:rPr>
                <w:rFonts w:ascii="Arial" w:hAnsi="Arial" w:cs="Arial"/>
                <w:i/>
                <w:iCs/>
                <w:sz w:val="20"/>
                <w:szCs w:val="20"/>
              </w:rPr>
            </w:pPr>
            <w:r w:rsidRPr="00EA5365">
              <w:rPr>
                <w:rFonts w:ascii="Arial" w:hAnsi="Arial" w:cs="Arial"/>
                <w:i/>
                <w:iCs/>
                <w:sz w:val="20"/>
                <w:szCs w:val="20"/>
              </w:rPr>
              <w:t>Focus group interviews</w:t>
            </w:r>
          </w:p>
        </w:tc>
        <w:tc>
          <w:tcPr>
            <w:tcW w:w="2070" w:type="dxa"/>
          </w:tcPr>
          <w:p w:rsidR="00087D28" w:rsidRPr="00EA5365" w:rsidP="00087D28" w14:paraId="70AE9D4E" w14:textId="77777777">
            <w:pPr>
              <w:pStyle w:val="NormalWeb"/>
              <w:spacing w:after="0" w:afterAutospacing="0"/>
              <w:rPr>
                <w:rFonts w:ascii="Arial" w:hAnsi="Arial" w:cs="Arial"/>
                <w:sz w:val="20"/>
                <w:szCs w:val="20"/>
              </w:rPr>
            </w:pPr>
            <w:r w:rsidRPr="00EA5365">
              <w:rPr>
                <w:rFonts w:ascii="Arial" w:hAnsi="Arial" w:cs="Arial"/>
                <w:sz w:val="20"/>
                <w:szCs w:val="20"/>
              </w:rPr>
              <w:t>10</w:t>
            </w:r>
            <w:r w:rsidRPr="00EA5365">
              <w:rPr>
                <w:rFonts w:ascii="Arial" w:hAnsi="Arial" w:cs="Arial"/>
                <w:sz w:val="20"/>
                <w:szCs w:val="20"/>
              </w:rPr>
              <w:t xml:space="preserve"> participants/</w:t>
            </w:r>
            <w:r w:rsidRPr="00EA5365">
              <w:rPr>
                <w:rFonts w:ascii="Arial" w:hAnsi="Arial" w:cs="Arial"/>
                <w:sz w:val="20"/>
                <w:szCs w:val="20"/>
              </w:rPr>
              <w:t xml:space="preserve"> </w:t>
            </w:r>
            <w:r w:rsidRPr="00EA5365" w:rsidR="007F7DF0">
              <w:rPr>
                <w:rFonts w:ascii="Arial" w:hAnsi="Arial" w:cs="Arial"/>
                <w:sz w:val="20"/>
                <w:szCs w:val="20"/>
              </w:rPr>
              <w:t>Engine</w:t>
            </w:r>
            <w:r w:rsidRPr="00EA5365">
              <w:rPr>
                <w:rFonts w:ascii="Arial" w:hAnsi="Arial" w:cs="Arial"/>
                <w:sz w:val="20"/>
                <w:szCs w:val="20"/>
              </w:rPr>
              <w:t xml:space="preserve"> </w:t>
            </w:r>
          </w:p>
          <w:p w:rsidR="0065266C" w:rsidRPr="00EA5365" w:rsidP="00087D28" w14:paraId="5F88734E" w14:textId="78264EEC">
            <w:pPr>
              <w:pStyle w:val="NormalWeb"/>
              <w:spacing w:beforeAutospacing="0"/>
              <w:rPr>
                <w:rFonts w:ascii="Arial" w:hAnsi="Arial" w:cs="Arial"/>
                <w:sz w:val="20"/>
                <w:szCs w:val="20"/>
              </w:rPr>
            </w:pPr>
            <w:r w:rsidRPr="00EA5365">
              <w:rPr>
                <w:rFonts w:ascii="Arial" w:hAnsi="Arial" w:cs="Arial"/>
                <w:sz w:val="20"/>
                <w:szCs w:val="20"/>
              </w:rPr>
              <w:t>(10 Engines</w:t>
            </w:r>
            <w:r w:rsidRPr="00EA5365">
              <w:rPr>
                <w:rFonts w:ascii="Arial" w:hAnsi="Arial" w:cs="Arial"/>
                <w:sz w:val="20"/>
                <w:szCs w:val="20"/>
              </w:rPr>
              <w:t>)</w:t>
            </w:r>
          </w:p>
        </w:tc>
        <w:tc>
          <w:tcPr>
            <w:tcW w:w="2160" w:type="dxa"/>
          </w:tcPr>
          <w:p w:rsidR="0065266C" w:rsidRPr="00EA5365" w:rsidP="00135EF2" w14:paraId="10BC6B41" w14:textId="0145097B">
            <w:pPr>
              <w:pStyle w:val="NormalWeb"/>
              <w:rPr>
                <w:rFonts w:ascii="Arial" w:hAnsi="Arial" w:cs="Arial"/>
                <w:sz w:val="20"/>
                <w:szCs w:val="20"/>
              </w:rPr>
            </w:pPr>
            <w:r w:rsidRPr="00EA5365">
              <w:rPr>
                <w:rFonts w:ascii="Arial" w:hAnsi="Arial" w:cs="Arial"/>
                <w:sz w:val="20"/>
                <w:szCs w:val="20"/>
              </w:rPr>
              <w:t>2</w:t>
            </w:r>
            <w:r w:rsidRPr="00EA5365">
              <w:rPr>
                <w:rFonts w:ascii="Arial" w:hAnsi="Arial" w:cs="Arial"/>
                <w:sz w:val="20"/>
                <w:szCs w:val="20"/>
              </w:rPr>
              <w:t xml:space="preserve"> hour</w:t>
            </w:r>
            <w:r w:rsidRPr="00EA5365">
              <w:rPr>
                <w:rFonts w:ascii="Arial" w:hAnsi="Arial" w:cs="Arial"/>
                <w:sz w:val="20"/>
                <w:szCs w:val="20"/>
              </w:rPr>
              <w:t>s</w:t>
            </w:r>
            <w:r w:rsidRPr="00EA5365">
              <w:rPr>
                <w:rFonts w:ascii="Arial" w:hAnsi="Arial" w:cs="Arial"/>
                <w:sz w:val="20"/>
                <w:szCs w:val="20"/>
              </w:rPr>
              <w:t xml:space="preserve"> per </w:t>
            </w:r>
            <w:r w:rsidRPr="00EA5365">
              <w:rPr>
                <w:rFonts w:ascii="Arial" w:hAnsi="Arial" w:cs="Arial"/>
                <w:sz w:val="20"/>
                <w:szCs w:val="20"/>
              </w:rPr>
              <w:t>session</w:t>
            </w:r>
          </w:p>
        </w:tc>
        <w:tc>
          <w:tcPr>
            <w:tcW w:w="2430" w:type="dxa"/>
          </w:tcPr>
          <w:p w:rsidR="0065266C" w:rsidRPr="00EA5365" w:rsidP="00135EF2" w14:paraId="276B5004" w14:textId="273B913D">
            <w:pPr>
              <w:pStyle w:val="NormalWeb"/>
              <w:rPr>
                <w:rFonts w:ascii="Arial" w:hAnsi="Arial" w:cs="Arial"/>
                <w:sz w:val="20"/>
                <w:szCs w:val="20"/>
              </w:rPr>
            </w:pPr>
            <w:r w:rsidRPr="00EA5365">
              <w:rPr>
                <w:rFonts w:ascii="Arial" w:hAnsi="Arial" w:cs="Arial"/>
                <w:sz w:val="20"/>
                <w:szCs w:val="20"/>
              </w:rPr>
              <w:t>20</w:t>
            </w:r>
            <w:r w:rsidRPr="00EA5365">
              <w:rPr>
                <w:rFonts w:ascii="Arial" w:hAnsi="Arial" w:cs="Arial"/>
                <w:sz w:val="20"/>
                <w:szCs w:val="20"/>
              </w:rPr>
              <w:t>0 hours</w:t>
            </w:r>
            <w:r w:rsidR="007F2AAE">
              <w:rPr>
                <w:rFonts w:ascii="Arial" w:hAnsi="Arial" w:cs="Arial"/>
                <w:sz w:val="20"/>
                <w:szCs w:val="20"/>
              </w:rPr>
              <w:t xml:space="preserve"> per Engine per year</w:t>
            </w:r>
          </w:p>
        </w:tc>
      </w:tr>
      <w:tr w14:paraId="2B3ECA57" w14:textId="77777777" w:rsidTr="009F5987">
        <w:tblPrEx>
          <w:tblW w:w="8455" w:type="dxa"/>
          <w:tblLook w:val="04A0"/>
        </w:tblPrEx>
        <w:trPr>
          <w:trHeight w:val="629"/>
        </w:trPr>
        <w:tc>
          <w:tcPr>
            <w:tcW w:w="1795" w:type="dxa"/>
          </w:tcPr>
          <w:p w:rsidR="0065266C" w:rsidRPr="00EA5365" w:rsidP="00135EF2" w14:paraId="491A000B" w14:textId="77777777">
            <w:pPr>
              <w:pStyle w:val="p1-standpara"/>
              <w:spacing w:before="0" w:beforeAutospacing="0" w:after="240" w:afterAutospacing="0"/>
              <w:rPr>
                <w:rFonts w:ascii="Arial" w:hAnsi="Arial" w:cs="Arial"/>
                <w:sz w:val="20"/>
                <w:szCs w:val="20"/>
              </w:rPr>
            </w:pPr>
            <w:r w:rsidRPr="00EA5365">
              <w:rPr>
                <w:rStyle w:val="Strong"/>
                <w:rFonts w:ascii="Arial" w:hAnsi="Arial" w:eastAsiaTheme="minorHAnsi" w:cs="Arial"/>
                <w:sz w:val="20"/>
                <w:szCs w:val="20"/>
              </w:rPr>
              <w:t>Total</w:t>
            </w:r>
          </w:p>
        </w:tc>
        <w:tc>
          <w:tcPr>
            <w:tcW w:w="2070" w:type="dxa"/>
          </w:tcPr>
          <w:p w:rsidR="0065266C" w:rsidRPr="00EA5365" w:rsidP="00135EF2" w14:paraId="058073DA" w14:textId="77777777">
            <w:pPr>
              <w:pStyle w:val="NormalWeb"/>
              <w:spacing w:after="240" w:afterAutospacing="0"/>
              <w:rPr>
                <w:rFonts w:ascii="Arial" w:hAnsi="Arial" w:cs="Arial"/>
                <w:sz w:val="20"/>
                <w:szCs w:val="20"/>
              </w:rPr>
            </w:pPr>
          </w:p>
        </w:tc>
        <w:tc>
          <w:tcPr>
            <w:tcW w:w="2160" w:type="dxa"/>
          </w:tcPr>
          <w:p w:rsidR="0065266C" w:rsidRPr="00EA5365" w:rsidP="00135EF2" w14:paraId="2BE91B1C" w14:textId="77777777">
            <w:pPr>
              <w:pStyle w:val="NormalWeb"/>
              <w:spacing w:after="240" w:afterAutospacing="0"/>
              <w:rPr>
                <w:rFonts w:ascii="Arial" w:hAnsi="Arial" w:cs="Arial"/>
                <w:sz w:val="20"/>
                <w:szCs w:val="20"/>
              </w:rPr>
            </w:pPr>
          </w:p>
        </w:tc>
        <w:tc>
          <w:tcPr>
            <w:tcW w:w="2430" w:type="dxa"/>
          </w:tcPr>
          <w:p w:rsidR="0065266C" w:rsidRPr="00EA5365" w:rsidP="00135EF2" w14:paraId="28C1BB65" w14:textId="38C1D51F">
            <w:pPr>
              <w:pStyle w:val="NormalWeb"/>
              <w:rPr>
                <w:rFonts w:ascii="Arial" w:hAnsi="Arial" w:cs="Arial"/>
                <w:sz w:val="20"/>
                <w:szCs w:val="20"/>
              </w:rPr>
            </w:pPr>
            <w:r>
              <w:rPr>
                <w:rFonts w:ascii="Arial" w:hAnsi="Arial" w:cs="Arial"/>
                <w:sz w:val="20"/>
                <w:szCs w:val="20"/>
              </w:rPr>
              <w:t>60</w:t>
            </w:r>
            <w:r w:rsidRPr="00EA5365" w:rsidR="00EA5365">
              <w:rPr>
                <w:rFonts w:ascii="Arial" w:hAnsi="Arial" w:cs="Arial"/>
                <w:sz w:val="20"/>
                <w:szCs w:val="20"/>
              </w:rPr>
              <w:t>0 - 12</w:t>
            </w:r>
            <w:r>
              <w:rPr>
                <w:rFonts w:ascii="Arial" w:hAnsi="Arial" w:cs="Arial"/>
                <w:sz w:val="20"/>
                <w:szCs w:val="20"/>
              </w:rPr>
              <w:t>5</w:t>
            </w:r>
            <w:r w:rsidRPr="00EA5365" w:rsidR="00EA5365">
              <w:rPr>
                <w:rFonts w:ascii="Arial" w:hAnsi="Arial" w:cs="Arial"/>
                <w:sz w:val="20"/>
                <w:szCs w:val="20"/>
              </w:rPr>
              <w:t>0</w:t>
            </w:r>
            <w:r w:rsidRPr="00EA5365">
              <w:rPr>
                <w:rFonts w:ascii="Arial" w:hAnsi="Arial" w:cs="Arial"/>
                <w:sz w:val="20"/>
                <w:szCs w:val="20"/>
              </w:rPr>
              <w:t xml:space="preserve"> </w:t>
            </w:r>
            <w:r w:rsidRPr="00EA5365" w:rsidR="00EA5365">
              <w:rPr>
                <w:rFonts w:ascii="Arial" w:hAnsi="Arial" w:cs="Arial"/>
                <w:sz w:val="20"/>
                <w:szCs w:val="20"/>
              </w:rPr>
              <w:t>hours</w:t>
            </w:r>
            <w:r w:rsidR="00A435D8">
              <w:rPr>
                <w:rFonts w:ascii="Arial" w:hAnsi="Arial" w:cs="Arial"/>
                <w:sz w:val="20"/>
                <w:szCs w:val="20"/>
              </w:rPr>
              <w:t xml:space="preserve"> per Engine per year</w:t>
            </w:r>
          </w:p>
        </w:tc>
      </w:tr>
    </w:tbl>
    <w:p w:rsidR="0065266C" w:rsidRPr="0010531E" w:rsidP="009F5987" w14:paraId="22E52B5F" w14:textId="32A1404B">
      <w:pPr>
        <w:pStyle w:val="NormalWeb"/>
        <w:spacing w:after="0" w:afterAutospacing="0"/>
        <w:jc w:val="both"/>
        <w:rPr>
          <w:rFonts w:ascii="Arial" w:hAnsi="Arial" w:cs="Arial"/>
          <w:sz w:val="22"/>
          <w:szCs w:val="22"/>
        </w:rPr>
      </w:pPr>
      <w:r w:rsidRPr="0010531E">
        <w:rPr>
          <w:rFonts w:ascii="Arial" w:hAnsi="Arial" w:cs="Arial"/>
          <w:sz w:val="22"/>
          <w:szCs w:val="22"/>
        </w:rPr>
        <w:t xml:space="preserve">As shown above, the annual response burden for the collections under this request is </w:t>
      </w:r>
      <w:r w:rsidR="00672E82">
        <w:rPr>
          <w:rFonts w:ascii="Arial" w:hAnsi="Arial" w:cs="Arial"/>
          <w:sz w:val="22"/>
          <w:szCs w:val="22"/>
        </w:rPr>
        <w:t xml:space="preserve">in the range of </w:t>
      </w:r>
      <w:r w:rsidR="009F5987">
        <w:rPr>
          <w:rFonts w:ascii="Arial" w:hAnsi="Arial" w:cs="Arial"/>
          <w:sz w:val="22"/>
          <w:szCs w:val="22"/>
        </w:rPr>
        <w:t>600 - 1</w:t>
      </w:r>
      <w:r w:rsidR="00C0020B">
        <w:rPr>
          <w:rFonts w:ascii="Arial" w:hAnsi="Arial" w:cs="Arial"/>
          <w:sz w:val="22"/>
          <w:szCs w:val="22"/>
        </w:rPr>
        <w:t>600</w:t>
      </w:r>
      <w:r w:rsidRPr="0010531E">
        <w:rPr>
          <w:rFonts w:ascii="Arial" w:hAnsi="Arial" w:cs="Arial"/>
          <w:sz w:val="22"/>
          <w:szCs w:val="22"/>
        </w:rPr>
        <w:t xml:space="preserve"> hours</w:t>
      </w:r>
      <w:r w:rsidR="00672E82">
        <w:rPr>
          <w:rFonts w:ascii="Arial" w:hAnsi="Arial" w:cs="Arial"/>
          <w:sz w:val="22"/>
          <w:szCs w:val="22"/>
        </w:rPr>
        <w:t xml:space="preserve">. </w:t>
      </w:r>
    </w:p>
    <w:p w:rsidR="0065266C" w:rsidRPr="0010531E" w:rsidP="0065266C" w14:paraId="4CBDA517" w14:textId="77777777">
      <w:pPr>
        <w:pStyle w:val="NormalWeb"/>
        <w:spacing w:before="0" w:beforeAutospacing="0" w:after="0" w:afterAutospacing="0"/>
        <w:rPr>
          <w:rFonts w:ascii="Arial" w:hAnsi="Arial" w:cs="Arial"/>
          <w:sz w:val="22"/>
          <w:szCs w:val="22"/>
        </w:rPr>
      </w:pPr>
    </w:p>
    <w:p w:rsidR="0065266C" w:rsidRPr="0010531E" w:rsidP="0065266C" w14:paraId="3C21A044" w14:textId="77777777">
      <w:pPr>
        <w:pStyle w:val="NormalWeb"/>
        <w:spacing w:before="0" w:beforeAutospacing="0" w:after="0" w:afterAutospacing="0"/>
        <w:rPr>
          <w:rFonts w:ascii="Arial" w:hAnsi="Arial" w:cs="Arial"/>
          <w:color w:val="000000"/>
          <w:sz w:val="22"/>
          <w:szCs w:val="22"/>
        </w:rPr>
      </w:pPr>
    </w:p>
    <w:p w:rsidR="0065266C" w:rsidRPr="00672E82" w:rsidP="0065266C" w14:paraId="710E1A5B" w14:textId="77777777">
      <w:pPr>
        <w:pStyle w:val="Heading4"/>
        <w:spacing w:line="240" w:lineRule="auto"/>
        <w:rPr>
          <w:rFonts w:ascii="Arial" w:hAnsi="Arial" w:cs="Arial"/>
          <w:color w:val="44546A" w:themeColor="text2"/>
        </w:rPr>
      </w:pPr>
      <w:r w:rsidRPr="00672E82">
        <w:rPr>
          <w:rFonts w:ascii="Arial" w:hAnsi="Arial" w:cs="Arial"/>
          <w:color w:val="44546A" w:themeColor="text2"/>
        </w:rPr>
        <w:t>A.12.2. Estimates of Annualized Cost to Respondents for the Hour Burdens</w:t>
      </w:r>
    </w:p>
    <w:p w:rsidR="0065266C" w:rsidP="0065266C" w14:paraId="03BA1369" w14:textId="77E646AA">
      <w:pPr>
        <w:pStyle w:val="Heading3"/>
        <w:rPr>
          <w:rFonts w:ascii="Arial" w:hAnsi="Arial" w:cs="Arial"/>
          <w:color w:val="3B3838" w:themeColor="background2" w:themeShade="40"/>
        </w:rPr>
      </w:pPr>
    </w:p>
    <w:p w:rsidR="00F4794C" w:rsidRPr="00D56674" w:rsidP="00D56674" w14:paraId="30FDEC2B" w14:textId="574BB498">
      <w:r>
        <w:t>To estimate the annualized cost to respondents</w:t>
      </w:r>
      <w:r w:rsidR="005B2117">
        <w:t xml:space="preserve"> for the hour burdens per Engine, we calculated the average </w:t>
      </w:r>
      <w:r w:rsidR="00AA69A0">
        <w:t>hourly rates by taking the median usual weekly earnings</w:t>
      </w:r>
      <w:r w:rsidR="001850D8">
        <w:t xml:space="preserve"> for different educational attainments</w:t>
      </w:r>
      <w:r w:rsidR="00426030">
        <w:t xml:space="preserve"> from 2022 as reported by the U.S. Bureau of Labor Statistics</w:t>
      </w:r>
      <w:r>
        <w:rPr>
          <w:rStyle w:val="FootnoteReference"/>
        </w:rPr>
        <w:footnoteReference w:id="5"/>
      </w:r>
      <w:r w:rsidR="001850D8">
        <w:t xml:space="preserve">. We assumed a 40-hour work week and </w:t>
      </w:r>
      <w:r w:rsidR="00806233">
        <w:t>the following educational attainments for each respondent type:</w:t>
      </w:r>
      <w:r w:rsidR="0015603C">
        <w:t xml:space="preserve"> designated coordinators, R&amp;D and translation participants, and other Engine participants and personnel</w:t>
      </w:r>
      <w:r w:rsidR="00E939F2">
        <w:t xml:space="preserve"> </w:t>
      </w:r>
      <w:r w:rsidR="00354E88">
        <w:t>to have</w:t>
      </w:r>
      <w:r w:rsidR="00E939F2">
        <w:t xml:space="preserve"> bachelor degrees;</w:t>
      </w:r>
      <w:r w:rsidR="0028297B">
        <w:t xml:space="preserve"> programmatic and activity leads, and Engine leadership team, governance board members, and advisory committee members </w:t>
      </w:r>
      <w:r w:rsidR="00354E88">
        <w:t>to have</w:t>
      </w:r>
      <w:r w:rsidR="0028297B">
        <w:t xml:space="preserve"> professional degrees; workforce development participants </w:t>
      </w:r>
      <w:r w:rsidR="00354E88">
        <w:t xml:space="preserve">to </w:t>
      </w:r>
      <w:r w:rsidR="0028297B">
        <w:t>have some college but no degree</w:t>
      </w:r>
      <w:r w:rsidR="00354E88">
        <w:t>; and the point of contacts of partner organizations to have master degrees.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5"/>
        <w:gridCol w:w="2070"/>
        <w:gridCol w:w="1620"/>
        <w:gridCol w:w="1440"/>
        <w:gridCol w:w="1980"/>
      </w:tblGrid>
      <w:tr w14:paraId="60ECE16D" w14:textId="77777777" w:rsidTr="00672E8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705" w:type="dxa"/>
            <w:tcMar>
              <w:top w:w="0" w:type="dxa"/>
              <w:left w:w="108" w:type="dxa"/>
              <w:bottom w:w="0" w:type="dxa"/>
              <w:right w:w="108" w:type="dxa"/>
            </w:tcMar>
            <w:vAlign w:val="center"/>
            <w:hideMark/>
          </w:tcPr>
          <w:p w:rsidR="0065266C" w:rsidRPr="00672E82" w:rsidP="00135EF2" w14:paraId="1487580C" w14:textId="77777777">
            <w:pPr>
              <w:spacing w:before="100" w:beforeAutospacing="1" w:after="100" w:afterAutospacing="1" w:line="240" w:lineRule="auto"/>
              <w:rPr>
                <w:rFonts w:ascii="Arial" w:eastAsia="Times New Roman" w:hAnsi="Arial" w:cs="Arial"/>
                <w:color w:val="404040" w:themeColor="text1" w:themeTint="BF"/>
                <w:sz w:val="20"/>
                <w:szCs w:val="20"/>
              </w:rPr>
            </w:pPr>
            <w:r w:rsidRPr="00672E82">
              <w:rPr>
                <w:rFonts w:ascii="Arial" w:eastAsia="Times New Roman" w:hAnsi="Arial" w:cs="Arial"/>
                <w:b/>
                <w:bCs/>
                <w:color w:val="404040" w:themeColor="text1" w:themeTint="BF"/>
                <w:sz w:val="20"/>
                <w:szCs w:val="20"/>
              </w:rPr>
              <w:t>Respondent Type</w:t>
            </w:r>
          </w:p>
        </w:tc>
        <w:tc>
          <w:tcPr>
            <w:tcW w:w="2070" w:type="dxa"/>
            <w:tcMar>
              <w:top w:w="0" w:type="dxa"/>
              <w:left w:w="108" w:type="dxa"/>
              <w:bottom w:w="0" w:type="dxa"/>
              <w:right w:w="108" w:type="dxa"/>
            </w:tcMar>
            <w:vAlign w:val="center"/>
            <w:hideMark/>
          </w:tcPr>
          <w:p w:rsidR="0065266C" w:rsidRPr="00672E82" w:rsidP="00135EF2" w14:paraId="274980FA" w14:textId="77777777">
            <w:pPr>
              <w:spacing w:before="100" w:beforeAutospacing="1" w:after="100" w:afterAutospacing="1" w:line="240" w:lineRule="auto"/>
              <w:rPr>
                <w:rFonts w:ascii="Arial" w:eastAsia="Times New Roman" w:hAnsi="Arial" w:cs="Arial"/>
                <w:color w:val="404040" w:themeColor="text1" w:themeTint="BF"/>
                <w:sz w:val="20"/>
                <w:szCs w:val="20"/>
              </w:rPr>
            </w:pPr>
            <w:r w:rsidRPr="00672E82">
              <w:rPr>
                <w:rFonts w:ascii="Arial" w:eastAsia="Times New Roman" w:hAnsi="Arial" w:cs="Arial"/>
                <w:b/>
                <w:bCs/>
                <w:color w:val="404040" w:themeColor="text1" w:themeTint="BF"/>
                <w:sz w:val="20"/>
                <w:szCs w:val="20"/>
              </w:rPr>
              <w:t xml:space="preserve">Number of Respondents </w:t>
            </w:r>
          </w:p>
        </w:tc>
        <w:tc>
          <w:tcPr>
            <w:tcW w:w="1620" w:type="dxa"/>
            <w:tcMar>
              <w:top w:w="0" w:type="dxa"/>
              <w:left w:w="108" w:type="dxa"/>
              <w:bottom w:w="0" w:type="dxa"/>
              <w:right w:w="108" w:type="dxa"/>
            </w:tcMar>
            <w:vAlign w:val="center"/>
            <w:hideMark/>
          </w:tcPr>
          <w:p w:rsidR="0065266C" w:rsidRPr="00672E82" w:rsidP="00135EF2" w14:paraId="49E5CEA3" w14:textId="00FC823A">
            <w:pPr>
              <w:spacing w:before="100" w:beforeAutospacing="1" w:after="100" w:afterAutospacing="1" w:line="240" w:lineRule="auto"/>
              <w:rPr>
                <w:rFonts w:ascii="Arial" w:eastAsia="Times New Roman" w:hAnsi="Arial" w:cs="Arial"/>
                <w:color w:val="404040" w:themeColor="text1" w:themeTint="BF"/>
                <w:sz w:val="20"/>
                <w:szCs w:val="20"/>
              </w:rPr>
            </w:pPr>
            <w:r w:rsidRPr="00672E82">
              <w:rPr>
                <w:rFonts w:ascii="Arial" w:eastAsia="Times New Roman" w:hAnsi="Arial" w:cs="Arial"/>
                <w:b/>
                <w:bCs/>
                <w:color w:val="404040" w:themeColor="text1" w:themeTint="BF"/>
                <w:sz w:val="20"/>
                <w:szCs w:val="20"/>
              </w:rPr>
              <w:t>Total Burden</w:t>
            </w:r>
            <w:r w:rsidR="003A1CD7">
              <w:rPr>
                <w:rFonts w:ascii="Arial" w:eastAsia="Times New Roman" w:hAnsi="Arial" w:cs="Arial"/>
                <w:b/>
                <w:bCs/>
                <w:color w:val="404040" w:themeColor="text1" w:themeTint="BF"/>
                <w:sz w:val="20"/>
                <w:szCs w:val="20"/>
              </w:rPr>
              <w:t xml:space="preserve"> per Respondent</w:t>
            </w:r>
            <w:r w:rsidRPr="00672E82">
              <w:rPr>
                <w:rFonts w:ascii="Arial" w:eastAsia="Times New Roman" w:hAnsi="Arial" w:cs="Arial"/>
                <w:b/>
                <w:bCs/>
                <w:color w:val="404040" w:themeColor="text1" w:themeTint="BF"/>
                <w:sz w:val="20"/>
                <w:szCs w:val="20"/>
              </w:rPr>
              <w:t xml:space="preserve"> (Hours)</w:t>
            </w:r>
          </w:p>
        </w:tc>
        <w:tc>
          <w:tcPr>
            <w:tcW w:w="1440" w:type="dxa"/>
            <w:tcMar>
              <w:top w:w="0" w:type="dxa"/>
              <w:left w:w="108" w:type="dxa"/>
              <w:bottom w:w="0" w:type="dxa"/>
              <w:right w:w="108" w:type="dxa"/>
            </w:tcMar>
            <w:vAlign w:val="center"/>
            <w:hideMark/>
          </w:tcPr>
          <w:p w:rsidR="0065266C" w:rsidRPr="00672E82" w:rsidP="00135EF2" w14:paraId="10351890" w14:textId="77777777">
            <w:pPr>
              <w:spacing w:before="100" w:beforeAutospacing="1" w:after="100" w:afterAutospacing="1" w:line="240" w:lineRule="auto"/>
              <w:rPr>
                <w:rFonts w:ascii="Arial" w:eastAsia="Times New Roman" w:hAnsi="Arial" w:cs="Arial"/>
                <w:color w:val="404040" w:themeColor="text1" w:themeTint="BF"/>
                <w:sz w:val="20"/>
                <w:szCs w:val="20"/>
              </w:rPr>
            </w:pPr>
            <w:r w:rsidRPr="00672E82">
              <w:rPr>
                <w:rFonts w:ascii="Arial" w:eastAsia="Times New Roman" w:hAnsi="Arial" w:cs="Arial"/>
                <w:b/>
                <w:bCs/>
                <w:color w:val="404040" w:themeColor="text1" w:themeTint="BF"/>
                <w:sz w:val="20"/>
                <w:szCs w:val="20"/>
              </w:rPr>
              <w:t>Average Hourly Rate</w:t>
            </w:r>
          </w:p>
        </w:tc>
        <w:tc>
          <w:tcPr>
            <w:tcW w:w="1980" w:type="dxa"/>
            <w:tcMar>
              <w:top w:w="0" w:type="dxa"/>
              <w:left w:w="108" w:type="dxa"/>
              <w:bottom w:w="0" w:type="dxa"/>
              <w:right w:w="108" w:type="dxa"/>
            </w:tcMar>
            <w:vAlign w:val="center"/>
            <w:hideMark/>
          </w:tcPr>
          <w:p w:rsidR="0065266C" w:rsidRPr="00672E82" w:rsidP="00135EF2" w14:paraId="5FFBFB84" w14:textId="42CFEE57">
            <w:pPr>
              <w:spacing w:before="100" w:beforeAutospacing="1" w:after="100" w:afterAutospacing="1" w:line="240" w:lineRule="auto"/>
              <w:rPr>
                <w:rFonts w:ascii="Arial" w:eastAsia="Times New Roman" w:hAnsi="Arial" w:cs="Arial"/>
                <w:color w:val="404040" w:themeColor="text1" w:themeTint="BF"/>
                <w:sz w:val="20"/>
                <w:szCs w:val="20"/>
              </w:rPr>
            </w:pPr>
            <w:r w:rsidRPr="00672E82">
              <w:rPr>
                <w:rFonts w:ascii="Arial" w:eastAsia="Times New Roman" w:hAnsi="Arial" w:cs="Arial"/>
                <w:b/>
                <w:bCs/>
                <w:color w:val="404040" w:themeColor="text1" w:themeTint="BF"/>
                <w:sz w:val="20"/>
                <w:szCs w:val="20"/>
              </w:rPr>
              <w:t>Estimated Annual Cost</w:t>
            </w:r>
            <w:r w:rsidR="009C13A2">
              <w:rPr>
                <w:rFonts w:ascii="Arial" w:eastAsia="Times New Roman" w:hAnsi="Arial" w:cs="Arial"/>
                <w:b/>
                <w:bCs/>
                <w:color w:val="404040" w:themeColor="text1" w:themeTint="BF"/>
                <w:sz w:val="20"/>
                <w:szCs w:val="20"/>
              </w:rPr>
              <w:t xml:space="preserve"> for All Respondents</w:t>
            </w:r>
          </w:p>
        </w:tc>
      </w:tr>
      <w:tr w14:paraId="095A4E91" w14:textId="77777777" w:rsidTr="00672E82">
        <w:tblPrEx>
          <w:tblW w:w="0" w:type="auto"/>
          <w:tblCellMar>
            <w:left w:w="0" w:type="dxa"/>
            <w:right w:w="0" w:type="dxa"/>
          </w:tblCellMar>
          <w:tblLook w:val="04A0"/>
        </w:tblPrEx>
        <w:tc>
          <w:tcPr>
            <w:tcW w:w="1705" w:type="dxa"/>
            <w:tcMar>
              <w:top w:w="0" w:type="dxa"/>
              <w:left w:w="108" w:type="dxa"/>
              <w:bottom w:w="0" w:type="dxa"/>
              <w:right w:w="108" w:type="dxa"/>
            </w:tcMar>
            <w:hideMark/>
          </w:tcPr>
          <w:p w:rsidR="0065266C" w:rsidRPr="00672E82" w:rsidP="00135EF2" w14:paraId="7A90F0B4" w14:textId="58DE306B">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Designated coordinator</w:t>
            </w:r>
            <w:r w:rsidR="00EA0CCD">
              <w:rPr>
                <w:rFonts w:ascii="Arial" w:eastAsia="Times New Roman" w:hAnsi="Arial" w:cs="Arial"/>
                <w:sz w:val="20"/>
                <w:szCs w:val="20"/>
              </w:rPr>
              <w:t>s</w:t>
            </w:r>
          </w:p>
        </w:tc>
        <w:tc>
          <w:tcPr>
            <w:tcW w:w="2070" w:type="dxa"/>
            <w:tcMar>
              <w:top w:w="0" w:type="dxa"/>
              <w:left w:w="108" w:type="dxa"/>
              <w:bottom w:w="0" w:type="dxa"/>
              <w:right w:w="108" w:type="dxa"/>
            </w:tcMar>
            <w:vAlign w:val="center"/>
          </w:tcPr>
          <w:p w:rsidR="0065266C" w:rsidRPr="0035581F" w:rsidP="00135EF2" w14:paraId="256F2EFD" w14:textId="246CFBEC">
            <w:pPr>
              <w:spacing w:before="100" w:beforeAutospacing="1" w:after="100" w:afterAutospacing="1" w:line="240" w:lineRule="auto"/>
              <w:rPr>
                <w:rFonts w:ascii="Arial" w:eastAsia="Times New Roman" w:hAnsi="Arial" w:cs="Arial"/>
                <w:sz w:val="20"/>
                <w:szCs w:val="20"/>
              </w:rPr>
            </w:pPr>
            <w:r w:rsidRPr="0035581F">
              <w:rPr>
                <w:rFonts w:ascii="Arial" w:eastAsia="Times New Roman" w:hAnsi="Arial" w:cs="Arial"/>
                <w:sz w:val="20"/>
                <w:szCs w:val="20"/>
              </w:rPr>
              <w:t>2</w:t>
            </w:r>
          </w:p>
        </w:tc>
        <w:tc>
          <w:tcPr>
            <w:tcW w:w="1620" w:type="dxa"/>
            <w:tcMar>
              <w:top w:w="0" w:type="dxa"/>
              <w:left w:w="108" w:type="dxa"/>
              <w:bottom w:w="0" w:type="dxa"/>
              <w:right w:w="108" w:type="dxa"/>
            </w:tcMar>
            <w:vAlign w:val="center"/>
            <w:hideMark/>
          </w:tcPr>
          <w:p w:rsidR="0065266C" w:rsidRPr="0035581F" w:rsidP="00135EF2" w14:paraId="356A74A8" w14:textId="510F0137">
            <w:pPr>
              <w:spacing w:before="100" w:beforeAutospacing="1" w:after="100" w:afterAutospacing="1" w:line="240" w:lineRule="auto"/>
              <w:rPr>
                <w:rFonts w:ascii="Arial" w:eastAsia="Times New Roman" w:hAnsi="Arial" w:cs="Arial"/>
                <w:sz w:val="20"/>
                <w:szCs w:val="20"/>
              </w:rPr>
            </w:pPr>
            <w:r w:rsidRPr="0035581F">
              <w:rPr>
                <w:rFonts w:ascii="Arial" w:eastAsia="Times New Roman" w:hAnsi="Arial" w:cs="Arial"/>
                <w:sz w:val="20"/>
                <w:szCs w:val="20"/>
              </w:rPr>
              <w:t>0.3</w:t>
            </w:r>
          </w:p>
        </w:tc>
        <w:tc>
          <w:tcPr>
            <w:tcW w:w="1440" w:type="dxa"/>
            <w:tcMar>
              <w:top w:w="0" w:type="dxa"/>
              <w:left w:w="108" w:type="dxa"/>
              <w:bottom w:w="0" w:type="dxa"/>
              <w:right w:w="108" w:type="dxa"/>
            </w:tcMar>
            <w:vAlign w:val="center"/>
            <w:hideMark/>
          </w:tcPr>
          <w:p w:rsidR="0065266C" w:rsidRPr="00672E82" w:rsidP="00135EF2" w14:paraId="500A1537" w14:textId="37F2A2B8">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$35.80</w:t>
            </w:r>
          </w:p>
        </w:tc>
        <w:tc>
          <w:tcPr>
            <w:tcW w:w="1980" w:type="dxa"/>
            <w:tcMar>
              <w:top w:w="0" w:type="dxa"/>
              <w:left w:w="108" w:type="dxa"/>
              <w:bottom w:w="0" w:type="dxa"/>
              <w:right w:w="108" w:type="dxa"/>
            </w:tcMar>
            <w:vAlign w:val="center"/>
            <w:hideMark/>
          </w:tcPr>
          <w:p w:rsidR="0065266C" w:rsidRPr="0035581F" w:rsidP="00135EF2" w14:paraId="2DDCC40F" w14:textId="3D5FB371">
            <w:pPr>
              <w:spacing w:before="100" w:beforeAutospacing="1" w:after="100" w:afterAutospacing="1" w:line="240" w:lineRule="auto"/>
              <w:rPr>
                <w:rFonts w:ascii="Arial" w:eastAsia="Times New Roman" w:hAnsi="Arial" w:cs="Arial"/>
                <w:sz w:val="20"/>
                <w:szCs w:val="20"/>
              </w:rPr>
            </w:pPr>
            <w:r w:rsidRPr="0035581F">
              <w:rPr>
                <w:rFonts w:ascii="Arial" w:eastAsia="Times New Roman" w:hAnsi="Arial" w:cs="Arial"/>
                <w:sz w:val="20"/>
                <w:szCs w:val="20"/>
              </w:rPr>
              <w:t>$21.48</w:t>
            </w:r>
          </w:p>
        </w:tc>
      </w:tr>
      <w:tr w14:paraId="06CECEB9" w14:textId="77777777" w:rsidTr="00672E82">
        <w:tblPrEx>
          <w:tblW w:w="0" w:type="auto"/>
          <w:tblCellMar>
            <w:left w:w="0" w:type="dxa"/>
            <w:right w:w="0" w:type="dxa"/>
          </w:tblCellMar>
          <w:tblLook w:val="04A0"/>
        </w:tblPrEx>
        <w:tc>
          <w:tcPr>
            <w:tcW w:w="1705" w:type="dxa"/>
            <w:tcMar>
              <w:top w:w="0" w:type="dxa"/>
              <w:left w:w="108" w:type="dxa"/>
              <w:bottom w:w="0" w:type="dxa"/>
              <w:right w:w="108" w:type="dxa"/>
            </w:tcMar>
          </w:tcPr>
          <w:p w:rsidR="00042D7E" w:rsidP="00135EF2" w14:paraId="362BF6CC" w14:textId="7BEE2EF5">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Programmatic leads</w:t>
            </w:r>
          </w:p>
        </w:tc>
        <w:tc>
          <w:tcPr>
            <w:tcW w:w="2070" w:type="dxa"/>
            <w:tcMar>
              <w:top w:w="0" w:type="dxa"/>
              <w:left w:w="108" w:type="dxa"/>
              <w:bottom w:w="0" w:type="dxa"/>
              <w:right w:w="108" w:type="dxa"/>
            </w:tcMar>
            <w:vAlign w:val="center"/>
          </w:tcPr>
          <w:p w:rsidR="00042D7E" w:rsidRPr="0035581F" w:rsidP="00135EF2" w14:paraId="4FA7C6A7" w14:textId="29980A0C">
            <w:pPr>
              <w:spacing w:before="100" w:beforeAutospacing="1" w:after="100" w:afterAutospacing="1" w:line="240" w:lineRule="auto"/>
              <w:rPr>
                <w:rFonts w:ascii="Arial" w:eastAsia="Times New Roman" w:hAnsi="Arial" w:cs="Arial"/>
                <w:sz w:val="20"/>
                <w:szCs w:val="20"/>
              </w:rPr>
            </w:pPr>
            <w:r w:rsidRPr="0035581F">
              <w:rPr>
                <w:rFonts w:ascii="Arial" w:eastAsia="Times New Roman" w:hAnsi="Arial" w:cs="Arial"/>
                <w:sz w:val="20"/>
                <w:szCs w:val="20"/>
              </w:rPr>
              <w:t>3</w:t>
            </w:r>
          </w:p>
        </w:tc>
        <w:tc>
          <w:tcPr>
            <w:tcW w:w="1620" w:type="dxa"/>
            <w:tcMar>
              <w:top w:w="0" w:type="dxa"/>
              <w:left w:w="108" w:type="dxa"/>
              <w:bottom w:w="0" w:type="dxa"/>
              <w:right w:w="108" w:type="dxa"/>
            </w:tcMar>
            <w:vAlign w:val="center"/>
          </w:tcPr>
          <w:p w:rsidR="00042D7E" w:rsidRPr="0035581F" w:rsidP="00135EF2" w14:paraId="727CC6A3" w14:textId="04ED5973">
            <w:pPr>
              <w:spacing w:before="100" w:beforeAutospacing="1" w:after="100" w:afterAutospacing="1" w:line="240" w:lineRule="auto"/>
              <w:rPr>
                <w:rFonts w:ascii="Arial" w:eastAsia="Times New Roman" w:hAnsi="Arial" w:cs="Arial"/>
                <w:sz w:val="20"/>
                <w:szCs w:val="20"/>
              </w:rPr>
            </w:pPr>
            <w:r w:rsidRPr="0035581F">
              <w:rPr>
                <w:rFonts w:ascii="Arial" w:eastAsia="Times New Roman" w:hAnsi="Arial" w:cs="Arial"/>
                <w:sz w:val="20"/>
                <w:szCs w:val="20"/>
              </w:rPr>
              <w:t>0.5</w:t>
            </w:r>
          </w:p>
        </w:tc>
        <w:tc>
          <w:tcPr>
            <w:tcW w:w="1440" w:type="dxa"/>
            <w:tcMar>
              <w:top w:w="0" w:type="dxa"/>
              <w:left w:w="108" w:type="dxa"/>
              <w:bottom w:w="0" w:type="dxa"/>
              <w:right w:w="108" w:type="dxa"/>
            </w:tcMar>
            <w:vAlign w:val="center"/>
          </w:tcPr>
          <w:p w:rsidR="00042D7E" w:rsidRPr="00672E82" w:rsidP="00135EF2" w14:paraId="37DD507A" w14:textId="4101D01E">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$52.00</w:t>
            </w:r>
          </w:p>
        </w:tc>
        <w:tc>
          <w:tcPr>
            <w:tcW w:w="1980" w:type="dxa"/>
            <w:tcMar>
              <w:top w:w="0" w:type="dxa"/>
              <w:left w:w="108" w:type="dxa"/>
              <w:bottom w:w="0" w:type="dxa"/>
              <w:right w:w="108" w:type="dxa"/>
            </w:tcMar>
            <w:vAlign w:val="center"/>
          </w:tcPr>
          <w:p w:rsidR="00042D7E" w:rsidRPr="00282717" w:rsidP="00135EF2" w14:paraId="40653C80" w14:textId="4BC12FDE">
            <w:pPr>
              <w:spacing w:before="100" w:beforeAutospacing="1" w:after="100" w:afterAutospacing="1" w:line="240" w:lineRule="auto"/>
              <w:rPr>
                <w:rFonts w:ascii="Arial" w:eastAsia="Times New Roman" w:hAnsi="Arial" w:cs="Arial"/>
                <w:sz w:val="20"/>
                <w:szCs w:val="20"/>
              </w:rPr>
            </w:pPr>
            <w:r w:rsidRPr="00282717">
              <w:rPr>
                <w:rFonts w:ascii="Arial" w:eastAsia="Times New Roman" w:hAnsi="Arial" w:cs="Arial"/>
                <w:sz w:val="20"/>
                <w:szCs w:val="20"/>
              </w:rPr>
              <w:t>$85.80</w:t>
            </w:r>
          </w:p>
        </w:tc>
      </w:tr>
      <w:tr w14:paraId="7B076216" w14:textId="77777777" w:rsidTr="00672E82">
        <w:tblPrEx>
          <w:tblW w:w="0" w:type="auto"/>
          <w:tblCellMar>
            <w:left w:w="0" w:type="dxa"/>
            <w:right w:w="0" w:type="dxa"/>
          </w:tblCellMar>
          <w:tblLook w:val="04A0"/>
        </w:tblPrEx>
        <w:tc>
          <w:tcPr>
            <w:tcW w:w="1705" w:type="dxa"/>
            <w:tcMar>
              <w:top w:w="0" w:type="dxa"/>
              <w:left w:w="108" w:type="dxa"/>
              <w:bottom w:w="0" w:type="dxa"/>
              <w:right w:w="108" w:type="dxa"/>
            </w:tcMar>
          </w:tcPr>
          <w:p w:rsidR="00042D7E" w:rsidP="00135EF2" w14:paraId="4EB56054" w14:textId="66070623">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Activity leads</w:t>
            </w:r>
          </w:p>
        </w:tc>
        <w:tc>
          <w:tcPr>
            <w:tcW w:w="2070" w:type="dxa"/>
            <w:tcMar>
              <w:top w:w="0" w:type="dxa"/>
              <w:left w:w="108" w:type="dxa"/>
              <w:bottom w:w="0" w:type="dxa"/>
              <w:right w:w="108" w:type="dxa"/>
            </w:tcMar>
            <w:vAlign w:val="center"/>
          </w:tcPr>
          <w:p w:rsidR="00042D7E" w:rsidRPr="00282717" w:rsidP="00135EF2" w14:paraId="1F3D5D2B" w14:textId="5AA4778A">
            <w:pPr>
              <w:spacing w:before="100" w:beforeAutospacing="1" w:after="100" w:afterAutospacing="1" w:line="240" w:lineRule="auto"/>
              <w:rPr>
                <w:rFonts w:ascii="Arial" w:eastAsia="Times New Roman" w:hAnsi="Arial" w:cs="Arial"/>
                <w:sz w:val="20"/>
                <w:szCs w:val="20"/>
              </w:rPr>
            </w:pPr>
            <w:r w:rsidRPr="00282717">
              <w:rPr>
                <w:rFonts w:ascii="Arial" w:eastAsia="Times New Roman" w:hAnsi="Arial" w:cs="Arial"/>
                <w:sz w:val="20"/>
                <w:szCs w:val="20"/>
              </w:rPr>
              <w:t>18</w:t>
            </w:r>
            <w:r w:rsidRPr="00282717" w:rsidR="00DC4F47">
              <w:rPr>
                <w:rFonts w:ascii="Arial" w:eastAsia="Times New Roman" w:hAnsi="Arial" w:cs="Arial"/>
                <w:sz w:val="20"/>
                <w:szCs w:val="20"/>
              </w:rPr>
              <w:t xml:space="preserve"> to </w:t>
            </w:r>
            <w:r w:rsidRPr="00282717">
              <w:rPr>
                <w:rFonts w:ascii="Arial" w:eastAsia="Times New Roman" w:hAnsi="Arial" w:cs="Arial"/>
                <w:sz w:val="20"/>
                <w:szCs w:val="20"/>
              </w:rPr>
              <w:t>30</w:t>
            </w:r>
          </w:p>
        </w:tc>
        <w:tc>
          <w:tcPr>
            <w:tcW w:w="1620" w:type="dxa"/>
            <w:tcMar>
              <w:top w:w="0" w:type="dxa"/>
              <w:left w:w="108" w:type="dxa"/>
              <w:bottom w:w="0" w:type="dxa"/>
              <w:right w:w="108" w:type="dxa"/>
            </w:tcMar>
            <w:vAlign w:val="center"/>
          </w:tcPr>
          <w:p w:rsidR="00042D7E" w:rsidRPr="00282717" w:rsidP="00135EF2" w14:paraId="102C0E9E" w14:textId="59403555">
            <w:pPr>
              <w:spacing w:before="100" w:beforeAutospacing="1" w:after="100" w:afterAutospacing="1" w:line="240" w:lineRule="auto"/>
              <w:rPr>
                <w:rFonts w:ascii="Arial" w:eastAsia="Times New Roman" w:hAnsi="Arial" w:cs="Arial"/>
                <w:sz w:val="20"/>
                <w:szCs w:val="20"/>
              </w:rPr>
            </w:pPr>
            <w:r w:rsidRPr="00282717">
              <w:rPr>
                <w:rFonts w:ascii="Arial" w:eastAsia="Times New Roman" w:hAnsi="Arial" w:cs="Arial"/>
                <w:sz w:val="20"/>
                <w:szCs w:val="20"/>
              </w:rPr>
              <w:t>0.</w:t>
            </w:r>
            <w:r w:rsidR="00DE3B2F">
              <w:rPr>
                <w:rFonts w:ascii="Arial" w:eastAsia="Times New Roman" w:hAnsi="Arial" w:cs="Arial"/>
                <w:sz w:val="20"/>
                <w:szCs w:val="20"/>
              </w:rPr>
              <w:t>45</w:t>
            </w:r>
            <w:r w:rsidRPr="00282717">
              <w:rPr>
                <w:rFonts w:ascii="Arial" w:eastAsia="Times New Roman" w:hAnsi="Arial" w:cs="Arial"/>
                <w:sz w:val="20"/>
                <w:szCs w:val="20"/>
              </w:rPr>
              <w:t xml:space="preserve"> </w:t>
            </w:r>
          </w:p>
        </w:tc>
        <w:tc>
          <w:tcPr>
            <w:tcW w:w="1440" w:type="dxa"/>
            <w:tcMar>
              <w:top w:w="0" w:type="dxa"/>
              <w:left w:w="108" w:type="dxa"/>
              <w:bottom w:w="0" w:type="dxa"/>
              <w:right w:w="108" w:type="dxa"/>
            </w:tcMar>
            <w:vAlign w:val="center"/>
          </w:tcPr>
          <w:p w:rsidR="00042D7E" w:rsidRPr="00672E82" w:rsidP="00135EF2" w14:paraId="05398EA1" w14:textId="5DD4293C">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$52.00</w:t>
            </w:r>
          </w:p>
        </w:tc>
        <w:tc>
          <w:tcPr>
            <w:tcW w:w="1980" w:type="dxa"/>
            <w:tcMar>
              <w:top w:w="0" w:type="dxa"/>
              <w:left w:w="108" w:type="dxa"/>
              <w:bottom w:w="0" w:type="dxa"/>
              <w:right w:w="108" w:type="dxa"/>
            </w:tcMar>
            <w:vAlign w:val="center"/>
          </w:tcPr>
          <w:p w:rsidR="00042D7E" w:rsidRPr="00282717" w:rsidP="00135EF2" w14:paraId="0C21780E" w14:textId="45110500">
            <w:pPr>
              <w:spacing w:before="100" w:beforeAutospacing="1" w:after="100" w:afterAutospacing="1" w:line="240" w:lineRule="auto"/>
              <w:rPr>
                <w:rFonts w:ascii="Arial" w:eastAsia="Times New Roman" w:hAnsi="Arial" w:cs="Arial"/>
                <w:sz w:val="20"/>
                <w:szCs w:val="20"/>
              </w:rPr>
            </w:pPr>
            <w:r w:rsidRPr="00282717">
              <w:rPr>
                <w:rFonts w:ascii="Arial" w:eastAsia="Times New Roman" w:hAnsi="Arial" w:cs="Arial"/>
                <w:sz w:val="20"/>
                <w:szCs w:val="20"/>
              </w:rPr>
              <w:t>$4</w:t>
            </w:r>
            <w:r w:rsidR="00763762">
              <w:rPr>
                <w:rFonts w:ascii="Arial" w:eastAsia="Times New Roman" w:hAnsi="Arial" w:cs="Arial"/>
                <w:sz w:val="20"/>
                <w:szCs w:val="20"/>
              </w:rPr>
              <w:t>21.20</w:t>
            </w:r>
            <w:r w:rsidRPr="00282717">
              <w:rPr>
                <w:rFonts w:ascii="Arial" w:eastAsia="Times New Roman" w:hAnsi="Arial" w:cs="Arial"/>
                <w:sz w:val="20"/>
                <w:szCs w:val="20"/>
              </w:rPr>
              <w:t xml:space="preserve"> to $</w:t>
            </w:r>
            <w:r w:rsidR="00763762">
              <w:rPr>
                <w:rFonts w:ascii="Arial" w:eastAsia="Times New Roman" w:hAnsi="Arial" w:cs="Arial"/>
                <w:sz w:val="20"/>
                <w:szCs w:val="20"/>
              </w:rPr>
              <w:t>702</w:t>
            </w:r>
          </w:p>
        </w:tc>
      </w:tr>
      <w:tr w14:paraId="58046744" w14:textId="77777777" w:rsidTr="00672E82">
        <w:tblPrEx>
          <w:tblW w:w="0" w:type="auto"/>
          <w:tblCellMar>
            <w:left w:w="0" w:type="dxa"/>
            <w:right w:w="0" w:type="dxa"/>
          </w:tblCellMar>
          <w:tblLook w:val="04A0"/>
        </w:tblPrEx>
        <w:tc>
          <w:tcPr>
            <w:tcW w:w="1705" w:type="dxa"/>
            <w:tcMar>
              <w:top w:w="0" w:type="dxa"/>
              <w:left w:w="108" w:type="dxa"/>
              <w:bottom w:w="0" w:type="dxa"/>
              <w:right w:w="108" w:type="dxa"/>
            </w:tcMar>
          </w:tcPr>
          <w:p w:rsidR="00042D7E" w:rsidP="00135EF2" w14:paraId="6285B071" w14:textId="666668BD">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R&amp;D and translation participants</w:t>
            </w:r>
          </w:p>
        </w:tc>
        <w:tc>
          <w:tcPr>
            <w:tcW w:w="2070" w:type="dxa"/>
            <w:tcMar>
              <w:top w:w="0" w:type="dxa"/>
              <w:left w:w="108" w:type="dxa"/>
              <w:bottom w:w="0" w:type="dxa"/>
              <w:right w:w="108" w:type="dxa"/>
            </w:tcMar>
            <w:vAlign w:val="center"/>
          </w:tcPr>
          <w:p w:rsidR="00042D7E" w:rsidRPr="00282717" w:rsidP="00135EF2" w14:paraId="3DCEC7CD" w14:textId="541109DD">
            <w:pPr>
              <w:spacing w:before="100" w:beforeAutospacing="1" w:after="100" w:afterAutospacing="1" w:line="240" w:lineRule="auto"/>
              <w:rPr>
                <w:rFonts w:ascii="Arial" w:eastAsia="Times New Roman" w:hAnsi="Arial" w:cs="Arial"/>
                <w:sz w:val="20"/>
                <w:szCs w:val="20"/>
              </w:rPr>
            </w:pPr>
            <w:r w:rsidRPr="00282717">
              <w:rPr>
                <w:rFonts w:ascii="Arial" w:eastAsia="Times New Roman" w:hAnsi="Arial" w:cs="Arial"/>
                <w:sz w:val="20"/>
                <w:szCs w:val="20"/>
              </w:rPr>
              <w:t>30 to 80</w:t>
            </w:r>
          </w:p>
        </w:tc>
        <w:tc>
          <w:tcPr>
            <w:tcW w:w="1620" w:type="dxa"/>
            <w:tcMar>
              <w:top w:w="0" w:type="dxa"/>
              <w:left w:w="108" w:type="dxa"/>
              <w:bottom w:w="0" w:type="dxa"/>
              <w:right w:w="108" w:type="dxa"/>
            </w:tcMar>
            <w:vAlign w:val="center"/>
          </w:tcPr>
          <w:p w:rsidR="00042D7E" w:rsidRPr="00282717" w:rsidP="00135EF2" w14:paraId="40D3DAC4" w14:textId="69700103">
            <w:pPr>
              <w:spacing w:before="100" w:beforeAutospacing="1" w:after="100" w:afterAutospacing="1" w:line="240" w:lineRule="auto"/>
              <w:rPr>
                <w:rFonts w:ascii="Arial" w:eastAsia="Times New Roman" w:hAnsi="Arial" w:cs="Arial"/>
                <w:sz w:val="20"/>
                <w:szCs w:val="20"/>
              </w:rPr>
            </w:pPr>
            <w:r w:rsidRPr="00282717">
              <w:rPr>
                <w:rFonts w:ascii="Arial" w:eastAsia="Times New Roman" w:hAnsi="Arial" w:cs="Arial"/>
                <w:sz w:val="20"/>
                <w:szCs w:val="20"/>
              </w:rPr>
              <w:t>0.2</w:t>
            </w:r>
          </w:p>
        </w:tc>
        <w:tc>
          <w:tcPr>
            <w:tcW w:w="1440" w:type="dxa"/>
            <w:tcMar>
              <w:top w:w="0" w:type="dxa"/>
              <w:left w:w="108" w:type="dxa"/>
              <w:bottom w:w="0" w:type="dxa"/>
              <w:right w:w="108" w:type="dxa"/>
            </w:tcMar>
            <w:vAlign w:val="center"/>
          </w:tcPr>
          <w:p w:rsidR="00042D7E" w:rsidRPr="00672E82" w:rsidP="00135EF2" w14:paraId="1A7C5C22" w14:textId="3731FBF2">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$35.80</w:t>
            </w:r>
          </w:p>
        </w:tc>
        <w:tc>
          <w:tcPr>
            <w:tcW w:w="1980" w:type="dxa"/>
            <w:tcMar>
              <w:top w:w="0" w:type="dxa"/>
              <w:left w:w="108" w:type="dxa"/>
              <w:bottom w:w="0" w:type="dxa"/>
              <w:right w:w="108" w:type="dxa"/>
            </w:tcMar>
            <w:vAlign w:val="center"/>
          </w:tcPr>
          <w:p w:rsidR="00042D7E" w:rsidRPr="00282717" w:rsidP="00135EF2" w14:paraId="2FE75068" w14:textId="76114CCF">
            <w:pPr>
              <w:spacing w:before="100" w:beforeAutospacing="1" w:after="100" w:afterAutospacing="1" w:line="240" w:lineRule="auto"/>
              <w:rPr>
                <w:rFonts w:ascii="Arial" w:eastAsia="Times New Roman" w:hAnsi="Arial" w:cs="Arial"/>
                <w:sz w:val="20"/>
                <w:szCs w:val="20"/>
              </w:rPr>
            </w:pPr>
            <w:r w:rsidRPr="00282717">
              <w:rPr>
                <w:rFonts w:ascii="Arial" w:eastAsia="Times New Roman" w:hAnsi="Arial" w:cs="Arial"/>
                <w:sz w:val="20"/>
                <w:szCs w:val="20"/>
              </w:rPr>
              <w:t xml:space="preserve">$214.80 to </w:t>
            </w:r>
            <w:r w:rsidRPr="00282717" w:rsidR="00F13EE6">
              <w:rPr>
                <w:rFonts w:ascii="Arial" w:eastAsia="Times New Roman" w:hAnsi="Arial" w:cs="Arial"/>
                <w:sz w:val="20"/>
                <w:szCs w:val="20"/>
              </w:rPr>
              <w:t>$572.80</w:t>
            </w:r>
          </w:p>
        </w:tc>
      </w:tr>
      <w:tr w14:paraId="2C37BC93" w14:textId="77777777" w:rsidTr="00672E82">
        <w:tblPrEx>
          <w:tblW w:w="0" w:type="auto"/>
          <w:tblCellMar>
            <w:left w:w="0" w:type="dxa"/>
            <w:right w:w="0" w:type="dxa"/>
          </w:tblCellMar>
          <w:tblLook w:val="04A0"/>
        </w:tblPrEx>
        <w:tc>
          <w:tcPr>
            <w:tcW w:w="1705" w:type="dxa"/>
            <w:tcMar>
              <w:top w:w="0" w:type="dxa"/>
              <w:left w:w="108" w:type="dxa"/>
              <w:bottom w:w="0" w:type="dxa"/>
              <w:right w:w="108" w:type="dxa"/>
            </w:tcMar>
          </w:tcPr>
          <w:p w:rsidR="00042D7E" w:rsidP="00135EF2" w14:paraId="3BFA9277" w14:textId="03DA3F0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Workforce development participants</w:t>
            </w:r>
          </w:p>
        </w:tc>
        <w:tc>
          <w:tcPr>
            <w:tcW w:w="2070" w:type="dxa"/>
            <w:tcMar>
              <w:top w:w="0" w:type="dxa"/>
              <w:left w:w="108" w:type="dxa"/>
              <w:bottom w:w="0" w:type="dxa"/>
              <w:right w:w="108" w:type="dxa"/>
            </w:tcMar>
            <w:vAlign w:val="center"/>
          </w:tcPr>
          <w:p w:rsidR="00042D7E" w:rsidRPr="00282717" w:rsidP="00135EF2" w14:paraId="16D1B540" w14:textId="6BC23064">
            <w:pPr>
              <w:spacing w:before="100" w:beforeAutospacing="1" w:after="100" w:afterAutospacing="1" w:line="240" w:lineRule="auto"/>
              <w:rPr>
                <w:rFonts w:ascii="Arial" w:eastAsia="Times New Roman" w:hAnsi="Arial" w:cs="Arial"/>
                <w:sz w:val="20"/>
                <w:szCs w:val="20"/>
              </w:rPr>
            </w:pPr>
            <w:r w:rsidRPr="00282717">
              <w:rPr>
                <w:rFonts w:ascii="Arial" w:eastAsia="Times New Roman" w:hAnsi="Arial" w:cs="Arial"/>
                <w:sz w:val="20"/>
                <w:szCs w:val="20"/>
              </w:rPr>
              <w:t>20 to 100</w:t>
            </w:r>
          </w:p>
        </w:tc>
        <w:tc>
          <w:tcPr>
            <w:tcW w:w="1620" w:type="dxa"/>
            <w:tcMar>
              <w:top w:w="0" w:type="dxa"/>
              <w:left w:w="108" w:type="dxa"/>
              <w:bottom w:w="0" w:type="dxa"/>
              <w:right w:w="108" w:type="dxa"/>
            </w:tcMar>
            <w:vAlign w:val="center"/>
          </w:tcPr>
          <w:p w:rsidR="00042D7E" w:rsidRPr="00282717" w:rsidP="00135EF2" w14:paraId="06231FCF" w14:textId="6B43B255">
            <w:pPr>
              <w:spacing w:before="100" w:beforeAutospacing="1" w:after="100" w:afterAutospacing="1" w:line="240" w:lineRule="auto"/>
              <w:rPr>
                <w:rFonts w:ascii="Arial" w:eastAsia="Times New Roman" w:hAnsi="Arial" w:cs="Arial"/>
                <w:sz w:val="20"/>
                <w:szCs w:val="20"/>
              </w:rPr>
            </w:pPr>
            <w:r w:rsidRPr="00282717">
              <w:rPr>
                <w:rFonts w:ascii="Arial" w:eastAsia="Times New Roman" w:hAnsi="Arial" w:cs="Arial"/>
                <w:sz w:val="20"/>
                <w:szCs w:val="20"/>
              </w:rPr>
              <w:t>0.</w:t>
            </w:r>
            <w:r w:rsidR="00F74EF0">
              <w:rPr>
                <w:rFonts w:ascii="Arial" w:eastAsia="Times New Roman" w:hAnsi="Arial" w:cs="Arial"/>
                <w:sz w:val="20"/>
                <w:szCs w:val="20"/>
              </w:rPr>
              <w:t>25</w:t>
            </w:r>
          </w:p>
        </w:tc>
        <w:tc>
          <w:tcPr>
            <w:tcW w:w="1440" w:type="dxa"/>
            <w:tcMar>
              <w:top w:w="0" w:type="dxa"/>
              <w:left w:w="108" w:type="dxa"/>
              <w:bottom w:w="0" w:type="dxa"/>
              <w:right w:w="108" w:type="dxa"/>
            </w:tcMar>
            <w:vAlign w:val="center"/>
          </w:tcPr>
          <w:p w:rsidR="00042D7E" w:rsidRPr="00672E82" w:rsidP="00135EF2" w14:paraId="0C880D96" w14:textId="39682126">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$23.38</w:t>
            </w:r>
          </w:p>
        </w:tc>
        <w:tc>
          <w:tcPr>
            <w:tcW w:w="1980" w:type="dxa"/>
            <w:tcMar>
              <w:top w:w="0" w:type="dxa"/>
              <w:left w:w="108" w:type="dxa"/>
              <w:bottom w:w="0" w:type="dxa"/>
              <w:right w:w="108" w:type="dxa"/>
            </w:tcMar>
            <w:vAlign w:val="center"/>
          </w:tcPr>
          <w:p w:rsidR="00042D7E" w:rsidRPr="00282717" w:rsidP="00135EF2" w14:paraId="5A7DEE9C" w14:textId="7106A021">
            <w:pPr>
              <w:spacing w:before="100" w:beforeAutospacing="1" w:after="100" w:afterAutospacing="1" w:line="240" w:lineRule="auto"/>
              <w:rPr>
                <w:rFonts w:ascii="Arial" w:eastAsia="Times New Roman" w:hAnsi="Arial" w:cs="Arial"/>
                <w:sz w:val="20"/>
                <w:szCs w:val="20"/>
              </w:rPr>
            </w:pPr>
            <w:r w:rsidRPr="00282717">
              <w:rPr>
                <w:rFonts w:ascii="Arial" w:eastAsia="Times New Roman" w:hAnsi="Arial" w:cs="Arial"/>
                <w:sz w:val="20"/>
                <w:szCs w:val="20"/>
              </w:rPr>
              <w:t>$1</w:t>
            </w:r>
            <w:r w:rsidR="00F848CD">
              <w:rPr>
                <w:rFonts w:ascii="Arial" w:eastAsia="Times New Roman" w:hAnsi="Arial" w:cs="Arial"/>
                <w:sz w:val="20"/>
                <w:szCs w:val="20"/>
              </w:rPr>
              <w:t>16.90</w:t>
            </w:r>
            <w:r w:rsidRPr="00282717">
              <w:rPr>
                <w:rFonts w:ascii="Arial" w:eastAsia="Times New Roman" w:hAnsi="Arial" w:cs="Arial"/>
                <w:sz w:val="20"/>
                <w:szCs w:val="20"/>
              </w:rPr>
              <w:t xml:space="preserve"> to </w:t>
            </w:r>
            <w:r w:rsidRPr="00282717" w:rsidR="00CA3372">
              <w:rPr>
                <w:rFonts w:ascii="Arial" w:eastAsia="Times New Roman" w:hAnsi="Arial" w:cs="Arial"/>
                <w:sz w:val="20"/>
                <w:szCs w:val="20"/>
              </w:rPr>
              <w:t>$</w:t>
            </w:r>
            <w:r w:rsidR="00612135">
              <w:rPr>
                <w:rFonts w:ascii="Arial" w:eastAsia="Times New Roman" w:hAnsi="Arial" w:cs="Arial"/>
                <w:sz w:val="20"/>
                <w:szCs w:val="20"/>
              </w:rPr>
              <w:t>584.50</w:t>
            </w:r>
          </w:p>
        </w:tc>
      </w:tr>
      <w:tr w14:paraId="0C05FEA8" w14:textId="77777777" w:rsidTr="00672E82">
        <w:tblPrEx>
          <w:tblW w:w="0" w:type="auto"/>
          <w:tblCellMar>
            <w:left w:w="0" w:type="dxa"/>
            <w:right w:w="0" w:type="dxa"/>
          </w:tblCellMar>
          <w:tblLook w:val="04A0"/>
        </w:tblPrEx>
        <w:tc>
          <w:tcPr>
            <w:tcW w:w="1705" w:type="dxa"/>
            <w:tcMar>
              <w:top w:w="0" w:type="dxa"/>
              <w:left w:w="108" w:type="dxa"/>
              <w:bottom w:w="0" w:type="dxa"/>
              <w:right w:w="108" w:type="dxa"/>
            </w:tcMar>
          </w:tcPr>
          <w:p w:rsidR="00042D7E" w:rsidP="00135EF2" w14:paraId="30ABAF4C" w14:textId="1EF0BA6A">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Engine leadership team</w:t>
            </w:r>
            <w:r w:rsidR="005824DF">
              <w:rPr>
                <w:rFonts w:ascii="Arial" w:eastAsia="Times New Roman" w:hAnsi="Arial" w:cs="Arial"/>
                <w:sz w:val="20"/>
                <w:szCs w:val="20"/>
              </w:rPr>
              <w:t>, governance board members, and advisory committee members</w:t>
            </w:r>
          </w:p>
        </w:tc>
        <w:tc>
          <w:tcPr>
            <w:tcW w:w="2070" w:type="dxa"/>
            <w:tcMar>
              <w:top w:w="0" w:type="dxa"/>
              <w:left w:w="108" w:type="dxa"/>
              <w:bottom w:w="0" w:type="dxa"/>
              <w:right w:w="108" w:type="dxa"/>
            </w:tcMar>
            <w:vAlign w:val="center"/>
          </w:tcPr>
          <w:p w:rsidR="00042D7E" w:rsidRPr="00282717" w:rsidP="00135EF2" w14:paraId="4570D2B2" w14:textId="754A3ABF">
            <w:pPr>
              <w:spacing w:before="100" w:beforeAutospacing="1" w:after="100" w:afterAutospacing="1" w:line="240" w:lineRule="auto"/>
              <w:rPr>
                <w:rFonts w:ascii="Arial" w:eastAsia="Times New Roman" w:hAnsi="Arial" w:cs="Arial"/>
                <w:sz w:val="20"/>
                <w:szCs w:val="20"/>
              </w:rPr>
            </w:pPr>
            <w:r w:rsidRPr="00282717">
              <w:rPr>
                <w:rFonts w:ascii="Arial" w:eastAsia="Times New Roman" w:hAnsi="Arial" w:cs="Arial"/>
                <w:sz w:val="20"/>
                <w:szCs w:val="20"/>
              </w:rPr>
              <w:t>20 to 40</w:t>
            </w:r>
          </w:p>
        </w:tc>
        <w:tc>
          <w:tcPr>
            <w:tcW w:w="1620" w:type="dxa"/>
            <w:tcMar>
              <w:top w:w="0" w:type="dxa"/>
              <w:left w:w="108" w:type="dxa"/>
              <w:bottom w:w="0" w:type="dxa"/>
              <w:right w:w="108" w:type="dxa"/>
            </w:tcMar>
            <w:vAlign w:val="center"/>
          </w:tcPr>
          <w:p w:rsidR="00042D7E" w:rsidRPr="00282717" w:rsidP="00135EF2" w14:paraId="144FD993" w14:textId="1F1D6031">
            <w:pPr>
              <w:spacing w:before="100" w:beforeAutospacing="1" w:after="100" w:afterAutospacing="1" w:line="240" w:lineRule="auto"/>
              <w:rPr>
                <w:rFonts w:ascii="Arial" w:eastAsia="Times New Roman" w:hAnsi="Arial" w:cs="Arial"/>
                <w:sz w:val="20"/>
                <w:szCs w:val="20"/>
              </w:rPr>
            </w:pPr>
            <w:r w:rsidRPr="00282717">
              <w:rPr>
                <w:rFonts w:ascii="Arial" w:eastAsia="Times New Roman" w:hAnsi="Arial" w:cs="Arial"/>
                <w:sz w:val="20"/>
                <w:szCs w:val="20"/>
              </w:rPr>
              <w:t>0.2</w:t>
            </w:r>
          </w:p>
        </w:tc>
        <w:tc>
          <w:tcPr>
            <w:tcW w:w="1440" w:type="dxa"/>
            <w:tcMar>
              <w:top w:w="0" w:type="dxa"/>
              <w:left w:w="108" w:type="dxa"/>
              <w:bottom w:w="0" w:type="dxa"/>
              <w:right w:w="108" w:type="dxa"/>
            </w:tcMar>
            <w:vAlign w:val="center"/>
          </w:tcPr>
          <w:p w:rsidR="00042D7E" w:rsidRPr="00672E82" w:rsidP="00135EF2" w14:paraId="565A86E3" w14:textId="78CA58A9">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$52.00</w:t>
            </w:r>
          </w:p>
        </w:tc>
        <w:tc>
          <w:tcPr>
            <w:tcW w:w="1980" w:type="dxa"/>
            <w:tcMar>
              <w:top w:w="0" w:type="dxa"/>
              <w:left w:w="108" w:type="dxa"/>
              <w:bottom w:w="0" w:type="dxa"/>
              <w:right w:w="108" w:type="dxa"/>
            </w:tcMar>
            <w:vAlign w:val="center"/>
          </w:tcPr>
          <w:p w:rsidR="00042D7E" w:rsidRPr="00282717" w:rsidP="00135EF2" w14:paraId="69F58BED" w14:textId="54EA5197">
            <w:pPr>
              <w:spacing w:before="100" w:beforeAutospacing="1" w:after="100" w:afterAutospacing="1" w:line="240" w:lineRule="auto"/>
              <w:rPr>
                <w:rFonts w:ascii="Arial" w:eastAsia="Times New Roman" w:hAnsi="Arial" w:cs="Arial"/>
                <w:sz w:val="20"/>
                <w:szCs w:val="20"/>
              </w:rPr>
            </w:pPr>
            <w:r w:rsidRPr="00282717">
              <w:rPr>
                <w:rFonts w:ascii="Arial" w:eastAsia="Times New Roman" w:hAnsi="Arial" w:cs="Arial"/>
                <w:sz w:val="20"/>
                <w:szCs w:val="20"/>
              </w:rPr>
              <w:t>$2</w:t>
            </w:r>
            <w:r w:rsidR="00DE3B2F">
              <w:rPr>
                <w:rFonts w:ascii="Arial" w:eastAsia="Times New Roman" w:hAnsi="Arial" w:cs="Arial"/>
                <w:sz w:val="20"/>
                <w:szCs w:val="20"/>
              </w:rPr>
              <w:t>08</w:t>
            </w:r>
            <w:r w:rsidRPr="00282717">
              <w:rPr>
                <w:rFonts w:ascii="Arial" w:eastAsia="Times New Roman" w:hAnsi="Arial" w:cs="Arial"/>
                <w:sz w:val="20"/>
                <w:szCs w:val="20"/>
              </w:rPr>
              <w:t xml:space="preserve"> to $</w:t>
            </w:r>
            <w:r w:rsidR="00DE3B2F">
              <w:rPr>
                <w:rFonts w:ascii="Arial" w:eastAsia="Times New Roman" w:hAnsi="Arial" w:cs="Arial"/>
                <w:sz w:val="20"/>
                <w:szCs w:val="20"/>
              </w:rPr>
              <w:t>416</w:t>
            </w:r>
          </w:p>
        </w:tc>
      </w:tr>
      <w:tr w14:paraId="095B2E00" w14:textId="77777777" w:rsidTr="00672E82">
        <w:tblPrEx>
          <w:tblW w:w="0" w:type="auto"/>
          <w:tblCellMar>
            <w:left w:w="0" w:type="dxa"/>
            <w:right w:w="0" w:type="dxa"/>
          </w:tblCellMar>
          <w:tblLook w:val="04A0"/>
        </w:tblPrEx>
        <w:tc>
          <w:tcPr>
            <w:tcW w:w="1705" w:type="dxa"/>
            <w:tcMar>
              <w:top w:w="0" w:type="dxa"/>
              <w:left w:w="108" w:type="dxa"/>
              <w:bottom w:w="0" w:type="dxa"/>
              <w:right w:w="108" w:type="dxa"/>
            </w:tcMar>
          </w:tcPr>
          <w:p w:rsidR="00926C24" w:rsidP="00135EF2" w14:paraId="24C71BDE" w14:textId="5F79472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Other Engine participants or personnel</w:t>
            </w:r>
          </w:p>
        </w:tc>
        <w:tc>
          <w:tcPr>
            <w:tcW w:w="2070" w:type="dxa"/>
            <w:tcMar>
              <w:top w:w="0" w:type="dxa"/>
              <w:left w:w="108" w:type="dxa"/>
              <w:bottom w:w="0" w:type="dxa"/>
              <w:right w:w="108" w:type="dxa"/>
            </w:tcMar>
            <w:vAlign w:val="center"/>
          </w:tcPr>
          <w:p w:rsidR="00926C24" w:rsidRPr="00282717" w:rsidP="00135EF2" w14:paraId="0584CFE5" w14:textId="55ED217B">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18 to 28</w:t>
            </w:r>
          </w:p>
        </w:tc>
        <w:tc>
          <w:tcPr>
            <w:tcW w:w="1620" w:type="dxa"/>
            <w:tcMar>
              <w:top w:w="0" w:type="dxa"/>
              <w:left w:w="108" w:type="dxa"/>
              <w:bottom w:w="0" w:type="dxa"/>
              <w:right w:w="108" w:type="dxa"/>
            </w:tcMar>
            <w:vAlign w:val="center"/>
          </w:tcPr>
          <w:p w:rsidR="00926C24" w:rsidRPr="00282717" w:rsidP="00135EF2" w14:paraId="5328392A" w14:textId="57549D2D">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0.17</w:t>
            </w:r>
          </w:p>
        </w:tc>
        <w:tc>
          <w:tcPr>
            <w:tcW w:w="1440" w:type="dxa"/>
            <w:tcMar>
              <w:top w:w="0" w:type="dxa"/>
              <w:left w:w="108" w:type="dxa"/>
              <w:bottom w:w="0" w:type="dxa"/>
              <w:right w:w="108" w:type="dxa"/>
            </w:tcMar>
            <w:vAlign w:val="center"/>
          </w:tcPr>
          <w:p w:rsidR="00926C24" w:rsidRPr="00851DFD" w:rsidP="00135EF2" w14:paraId="4925EA35" w14:textId="286EC323">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$35.80</w:t>
            </w:r>
          </w:p>
        </w:tc>
        <w:tc>
          <w:tcPr>
            <w:tcW w:w="1980" w:type="dxa"/>
            <w:tcMar>
              <w:top w:w="0" w:type="dxa"/>
              <w:left w:w="108" w:type="dxa"/>
              <w:bottom w:w="0" w:type="dxa"/>
              <w:right w:w="108" w:type="dxa"/>
            </w:tcMar>
            <w:vAlign w:val="center"/>
          </w:tcPr>
          <w:p w:rsidR="00926C24" w:rsidRPr="00282717" w:rsidP="00135EF2" w14:paraId="4E96C6F3" w14:textId="08F3EE53">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$109.55 to </w:t>
            </w:r>
            <w:r w:rsidR="007867E8">
              <w:rPr>
                <w:rFonts w:ascii="Arial" w:eastAsia="Times New Roman" w:hAnsi="Arial" w:cs="Arial"/>
                <w:sz w:val="20"/>
                <w:szCs w:val="20"/>
              </w:rPr>
              <w:t>$170.41</w:t>
            </w:r>
          </w:p>
        </w:tc>
      </w:tr>
      <w:tr w14:paraId="7C952E9D" w14:textId="77777777" w:rsidTr="00672E82">
        <w:tblPrEx>
          <w:tblW w:w="0" w:type="auto"/>
          <w:tblCellMar>
            <w:left w:w="0" w:type="dxa"/>
            <w:right w:w="0" w:type="dxa"/>
          </w:tblCellMar>
          <w:tblLook w:val="04A0"/>
        </w:tblPrEx>
        <w:tc>
          <w:tcPr>
            <w:tcW w:w="1705" w:type="dxa"/>
            <w:tcMar>
              <w:top w:w="0" w:type="dxa"/>
              <w:left w:w="108" w:type="dxa"/>
              <w:bottom w:w="0" w:type="dxa"/>
              <w:right w:w="108" w:type="dxa"/>
            </w:tcMar>
          </w:tcPr>
          <w:p w:rsidR="00926C24" w:rsidP="00135EF2" w14:paraId="6B125848" w14:textId="55761A39">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Point of contacts for partner organizations</w:t>
            </w:r>
          </w:p>
        </w:tc>
        <w:tc>
          <w:tcPr>
            <w:tcW w:w="2070" w:type="dxa"/>
            <w:tcMar>
              <w:top w:w="0" w:type="dxa"/>
              <w:left w:w="108" w:type="dxa"/>
              <w:bottom w:w="0" w:type="dxa"/>
              <w:right w:w="108" w:type="dxa"/>
            </w:tcMar>
            <w:vAlign w:val="center"/>
          </w:tcPr>
          <w:p w:rsidR="00926C24" w:rsidRPr="00282717" w:rsidP="00135EF2" w14:paraId="39D1B16D" w14:textId="5FF9F5C7">
            <w:pPr>
              <w:spacing w:before="100" w:beforeAutospacing="1" w:after="100" w:afterAutospacing="1" w:line="240" w:lineRule="auto"/>
              <w:rPr>
                <w:rFonts w:ascii="Arial" w:eastAsia="Times New Roman" w:hAnsi="Arial" w:cs="Arial"/>
                <w:sz w:val="20"/>
                <w:szCs w:val="20"/>
              </w:rPr>
            </w:pPr>
            <w:r w:rsidRPr="00282717">
              <w:rPr>
                <w:rFonts w:ascii="Arial" w:eastAsia="Times New Roman" w:hAnsi="Arial" w:cs="Arial"/>
                <w:sz w:val="20"/>
                <w:szCs w:val="20"/>
              </w:rPr>
              <w:t>18 to 90</w:t>
            </w:r>
          </w:p>
        </w:tc>
        <w:tc>
          <w:tcPr>
            <w:tcW w:w="1620" w:type="dxa"/>
            <w:tcMar>
              <w:top w:w="0" w:type="dxa"/>
              <w:left w:w="108" w:type="dxa"/>
              <w:bottom w:w="0" w:type="dxa"/>
              <w:right w:w="108" w:type="dxa"/>
            </w:tcMar>
            <w:vAlign w:val="center"/>
          </w:tcPr>
          <w:p w:rsidR="00926C24" w:rsidRPr="00282717" w:rsidP="00135EF2" w14:paraId="3C907266" w14:textId="3E71BEA9">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0.1</w:t>
            </w:r>
            <w:r w:rsidR="001A291B">
              <w:rPr>
                <w:rFonts w:ascii="Arial" w:eastAsia="Times New Roman" w:hAnsi="Arial" w:cs="Arial"/>
                <w:sz w:val="20"/>
                <w:szCs w:val="20"/>
              </w:rPr>
              <w:t>0</w:t>
            </w:r>
          </w:p>
        </w:tc>
        <w:tc>
          <w:tcPr>
            <w:tcW w:w="1440" w:type="dxa"/>
            <w:tcMar>
              <w:top w:w="0" w:type="dxa"/>
              <w:left w:w="108" w:type="dxa"/>
              <w:bottom w:w="0" w:type="dxa"/>
              <w:right w:w="108" w:type="dxa"/>
            </w:tcMar>
            <w:vAlign w:val="center"/>
          </w:tcPr>
          <w:p w:rsidR="00926C24" w:rsidRPr="00851DFD" w:rsidP="00135EF2" w14:paraId="0C8177B1" w14:textId="5BF6D312">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$41.53</w:t>
            </w:r>
          </w:p>
        </w:tc>
        <w:tc>
          <w:tcPr>
            <w:tcW w:w="1980" w:type="dxa"/>
            <w:tcMar>
              <w:top w:w="0" w:type="dxa"/>
              <w:left w:w="108" w:type="dxa"/>
              <w:bottom w:w="0" w:type="dxa"/>
              <w:right w:w="108" w:type="dxa"/>
            </w:tcMar>
            <w:vAlign w:val="center"/>
          </w:tcPr>
          <w:p w:rsidR="00926C24" w:rsidRPr="00282717" w:rsidP="00135EF2" w14:paraId="5DD98376" w14:textId="6D9DA0E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w:t>
            </w:r>
            <w:r w:rsidR="001A291B">
              <w:rPr>
                <w:rFonts w:ascii="Arial" w:eastAsia="Times New Roman" w:hAnsi="Arial" w:cs="Arial"/>
                <w:sz w:val="20"/>
                <w:szCs w:val="20"/>
              </w:rPr>
              <w:t>74.75</w:t>
            </w:r>
            <w:r>
              <w:rPr>
                <w:rFonts w:ascii="Arial" w:eastAsia="Times New Roman" w:hAnsi="Arial" w:cs="Arial"/>
                <w:sz w:val="20"/>
                <w:szCs w:val="20"/>
              </w:rPr>
              <w:t xml:space="preserve"> to $</w:t>
            </w:r>
            <w:r w:rsidR="001A291B">
              <w:rPr>
                <w:rFonts w:ascii="Arial" w:eastAsia="Times New Roman" w:hAnsi="Arial" w:cs="Arial"/>
                <w:sz w:val="20"/>
                <w:szCs w:val="20"/>
              </w:rPr>
              <w:t>373</w:t>
            </w:r>
            <w:r>
              <w:rPr>
                <w:rFonts w:ascii="Arial" w:eastAsia="Times New Roman" w:hAnsi="Arial" w:cs="Arial"/>
                <w:sz w:val="20"/>
                <w:szCs w:val="20"/>
              </w:rPr>
              <w:t>.</w:t>
            </w:r>
            <w:r w:rsidR="001A291B">
              <w:rPr>
                <w:rFonts w:ascii="Arial" w:eastAsia="Times New Roman" w:hAnsi="Arial" w:cs="Arial"/>
                <w:sz w:val="20"/>
                <w:szCs w:val="20"/>
              </w:rPr>
              <w:t>77</w:t>
            </w:r>
          </w:p>
        </w:tc>
      </w:tr>
    </w:tbl>
    <w:p w:rsidR="0065266C" w:rsidP="0065266C" w14:paraId="6884BF5B" w14:textId="77777777">
      <w:pPr>
        <w:pStyle w:val="Heading3"/>
        <w:rPr>
          <w:rFonts w:ascii="Arial" w:hAnsi="Arial" w:cs="Arial"/>
        </w:rPr>
      </w:pPr>
    </w:p>
    <w:p w:rsidR="00042D7E" w:rsidRPr="00D56674" w:rsidP="00282717" w14:paraId="702E765C" w14:textId="1B4B76D7">
      <w:r>
        <w:t xml:space="preserve">As shown above, the estimated annualized cost to respondents per Engine </w:t>
      </w:r>
      <w:r w:rsidR="00BA7627">
        <w:t>ranges between</w:t>
      </w:r>
      <w:r w:rsidR="00487029">
        <w:t xml:space="preserve"> $1,</w:t>
      </w:r>
      <w:r w:rsidR="00903DAC">
        <w:t>252</w:t>
      </w:r>
      <w:r w:rsidR="00487029">
        <w:t>.</w:t>
      </w:r>
      <w:r w:rsidR="00903DAC">
        <w:t>48</w:t>
      </w:r>
      <w:r w:rsidR="00243463">
        <w:t xml:space="preserve"> and $</w:t>
      </w:r>
      <w:r w:rsidR="00B033C1">
        <w:t>2,926</w:t>
      </w:r>
      <w:r w:rsidR="00243463">
        <w:t>.</w:t>
      </w:r>
      <w:r w:rsidR="00B033C1">
        <w:t>76</w:t>
      </w:r>
      <w:r w:rsidR="00243463">
        <w:t>.</w:t>
      </w:r>
      <w:r w:rsidR="00075F8B">
        <w:t xml:space="preserve"> For the 10 </w:t>
      </w:r>
      <w:r w:rsidR="00367308">
        <w:t xml:space="preserve">awarded Engines, the total annualized burden for the NSF Engines program is </w:t>
      </w:r>
      <w:r w:rsidR="00AD56DD">
        <w:t xml:space="preserve">up to </w:t>
      </w:r>
      <w:r w:rsidR="00074B65">
        <w:t>$104,000.</w:t>
      </w:r>
    </w:p>
    <w:p w:rsidR="00044628" w:rsidP="000E230B" w14:paraId="3FCA466C" w14:textId="0A1FC390">
      <w:pPr>
        <w:spacing w:after="0"/>
      </w:pPr>
    </w:p>
    <w:p w:rsidR="003F6FB7" w:rsidP="003F6FB7" w14:paraId="76DE267C" w14:textId="7E2144FB">
      <w:pPr>
        <w:spacing w:line="264" w:lineRule="auto"/>
        <w:rPr>
          <w:rFonts w:ascii="Arial" w:hAnsi="Arial" w:cs="Arial"/>
          <w:b/>
          <w:bCs/>
          <w:color w:val="1F3864" w:themeColor="accent1" w:themeShade="80"/>
          <w:sz w:val="24"/>
          <w:szCs w:val="24"/>
        </w:rPr>
      </w:pPr>
      <w:r w:rsidRPr="005F3B78">
        <w:rPr>
          <w:rFonts w:ascii="Arial" w:hAnsi="Arial" w:cs="Arial"/>
          <w:b/>
          <w:bCs/>
          <w:color w:val="1F3864" w:themeColor="accent1" w:themeShade="80"/>
          <w:sz w:val="24"/>
          <w:szCs w:val="24"/>
        </w:rPr>
        <w:t>A.</w:t>
      </w:r>
      <w:r>
        <w:rPr>
          <w:rFonts w:ascii="Arial" w:hAnsi="Arial" w:cs="Arial"/>
          <w:b/>
          <w:bCs/>
          <w:color w:val="1F3864" w:themeColor="accent1" w:themeShade="80"/>
          <w:sz w:val="24"/>
          <w:szCs w:val="24"/>
        </w:rPr>
        <w:t>13</w:t>
      </w:r>
      <w:r w:rsidRPr="005F3B78">
        <w:rPr>
          <w:rFonts w:ascii="Arial" w:hAnsi="Arial" w:cs="Arial"/>
          <w:b/>
          <w:bCs/>
          <w:color w:val="1F3864" w:themeColor="accent1" w:themeShade="80"/>
          <w:sz w:val="24"/>
          <w:szCs w:val="24"/>
        </w:rPr>
        <w:t xml:space="preserve"> </w:t>
      </w:r>
      <w:r>
        <w:rPr>
          <w:rFonts w:ascii="Arial" w:hAnsi="Arial" w:cs="Arial"/>
          <w:b/>
          <w:bCs/>
          <w:color w:val="1F3864" w:themeColor="accent1" w:themeShade="80"/>
          <w:sz w:val="24"/>
          <w:szCs w:val="24"/>
        </w:rPr>
        <w:t>Estimate of Total Capital and Startup Costs/Operation and Maintenance Costs to Respondents or Record Keepers</w:t>
      </w:r>
    </w:p>
    <w:p w:rsidR="00890ED2" w:rsidRPr="005F3B78" w:rsidP="00890ED2" w14:paraId="6694EADD" w14:textId="77777777">
      <w:pPr>
        <w:spacing w:line="264" w:lineRule="auto"/>
        <w:rPr>
          <w:rFonts w:ascii="Arial" w:hAnsi="Arial" w:cs="Arial"/>
          <w:b/>
          <w:bCs/>
          <w:color w:val="1F3864" w:themeColor="accent1" w:themeShade="80"/>
          <w:sz w:val="24"/>
          <w:szCs w:val="24"/>
        </w:rPr>
      </w:pPr>
      <w:r>
        <w:rPr>
          <w:rFonts w:ascii="Arial" w:hAnsi="Arial" w:cs="Arial"/>
        </w:rPr>
        <w:t>Not applicable.</w:t>
      </w:r>
    </w:p>
    <w:p w:rsidR="003F6FB7" w:rsidP="000E230B" w14:paraId="4C626C36" w14:textId="4264E814">
      <w:pPr>
        <w:spacing w:after="0"/>
      </w:pPr>
    </w:p>
    <w:p w:rsidR="003F6FB7" w:rsidP="003F6FB7" w14:paraId="77941995" w14:textId="296CBFCF">
      <w:pPr>
        <w:spacing w:line="264" w:lineRule="auto"/>
        <w:rPr>
          <w:rFonts w:ascii="Arial" w:hAnsi="Arial" w:cs="Arial"/>
          <w:b/>
          <w:bCs/>
          <w:color w:val="1F3864" w:themeColor="accent1" w:themeShade="80"/>
          <w:sz w:val="24"/>
          <w:szCs w:val="24"/>
        </w:rPr>
      </w:pPr>
      <w:r w:rsidRPr="005F3B78">
        <w:rPr>
          <w:rFonts w:ascii="Arial" w:hAnsi="Arial" w:cs="Arial"/>
          <w:b/>
          <w:bCs/>
          <w:color w:val="1F3864" w:themeColor="accent1" w:themeShade="80"/>
          <w:sz w:val="24"/>
          <w:szCs w:val="24"/>
        </w:rPr>
        <w:t>A.</w:t>
      </w:r>
      <w:r>
        <w:rPr>
          <w:rFonts w:ascii="Arial" w:hAnsi="Arial" w:cs="Arial"/>
          <w:b/>
          <w:bCs/>
          <w:color w:val="1F3864" w:themeColor="accent1" w:themeShade="80"/>
          <w:sz w:val="24"/>
          <w:szCs w:val="24"/>
        </w:rPr>
        <w:t>14</w:t>
      </w:r>
      <w:r w:rsidRPr="005F3B78">
        <w:rPr>
          <w:rFonts w:ascii="Arial" w:hAnsi="Arial" w:cs="Arial"/>
          <w:b/>
          <w:bCs/>
          <w:color w:val="1F3864" w:themeColor="accent1" w:themeShade="80"/>
          <w:sz w:val="24"/>
          <w:szCs w:val="24"/>
        </w:rPr>
        <w:t xml:space="preserve"> </w:t>
      </w:r>
      <w:r>
        <w:rPr>
          <w:rFonts w:ascii="Arial" w:hAnsi="Arial" w:cs="Arial"/>
          <w:b/>
          <w:bCs/>
          <w:color w:val="1F3864" w:themeColor="accent1" w:themeShade="80"/>
          <w:sz w:val="24"/>
          <w:szCs w:val="24"/>
        </w:rPr>
        <w:t>Estimates of Costs to the Federal Government</w:t>
      </w:r>
    </w:p>
    <w:p w:rsidR="004B7A33" w:rsidP="00D63C96" w14:paraId="71701632" w14:textId="0C9EDC79">
      <w:pPr>
        <w:spacing w:line="264" w:lineRule="auto"/>
        <w:rPr>
          <w:rFonts w:ascii="Arial" w:hAnsi="Arial" w:cs="Arial"/>
        </w:rPr>
      </w:pPr>
      <w:r>
        <w:rPr>
          <w:rFonts w:ascii="Arial" w:hAnsi="Arial" w:cs="Arial"/>
        </w:rPr>
        <w:t>All</w:t>
      </w:r>
      <w:r w:rsidR="007225D2">
        <w:rPr>
          <w:rFonts w:ascii="Arial" w:hAnsi="Arial" w:cs="Arial"/>
        </w:rPr>
        <w:t xml:space="preserve"> surveys</w:t>
      </w:r>
      <w:r w:rsidR="001A46F0">
        <w:rPr>
          <w:rFonts w:ascii="Arial" w:hAnsi="Arial" w:cs="Arial"/>
        </w:rPr>
        <w:t xml:space="preserve"> will be administered through Qualtrics, a Fed</w:t>
      </w:r>
      <w:r w:rsidR="00106E82">
        <w:rPr>
          <w:rFonts w:ascii="Arial" w:hAnsi="Arial" w:cs="Arial"/>
        </w:rPr>
        <w:t>RAMP</w:t>
      </w:r>
      <w:r w:rsidR="001A46F0">
        <w:rPr>
          <w:rFonts w:ascii="Arial" w:hAnsi="Arial" w:cs="Arial"/>
        </w:rPr>
        <w:t xml:space="preserve"> </w:t>
      </w:r>
      <w:r w:rsidR="00555B7E">
        <w:rPr>
          <w:rFonts w:ascii="Arial" w:hAnsi="Arial" w:cs="Arial"/>
        </w:rPr>
        <w:t>authorized</w:t>
      </w:r>
      <w:r w:rsidR="00EE3444">
        <w:rPr>
          <w:rFonts w:ascii="Arial" w:hAnsi="Arial" w:cs="Arial"/>
        </w:rPr>
        <w:t xml:space="preserve"> experience management software</w:t>
      </w:r>
      <w:r w:rsidR="00F01473">
        <w:rPr>
          <w:rFonts w:ascii="Arial" w:hAnsi="Arial" w:cs="Arial"/>
        </w:rPr>
        <w:t>.</w:t>
      </w:r>
      <w:r w:rsidR="00A577BD">
        <w:rPr>
          <w:rFonts w:ascii="Arial" w:hAnsi="Arial" w:cs="Arial"/>
        </w:rPr>
        <w:t xml:space="preserve"> The annual cost of one Qualtrics license to NSF is $</w:t>
      </w:r>
      <w:r w:rsidR="00366AA5">
        <w:rPr>
          <w:rFonts w:ascii="Arial" w:hAnsi="Arial" w:cs="Arial"/>
        </w:rPr>
        <w:t>2,000</w:t>
      </w:r>
      <w:r w:rsidR="00A577BD">
        <w:rPr>
          <w:rFonts w:ascii="Arial" w:hAnsi="Arial" w:cs="Arial"/>
        </w:rPr>
        <w:t xml:space="preserve">. </w:t>
      </w:r>
    </w:p>
    <w:p w:rsidR="007225D2" w:rsidP="00D63C96" w14:paraId="51349494" w14:textId="4CB6035D">
      <w:pPr>
        <w:spacing w:line="264" w:lineRule="auto"/>
        <w:rPr>
          <w:rFonts w:ascii="Arial" w:hAnsi="Arial" w:cs="Arial"/>
        </w:rPr>
      </w:pPr>
      <w:r>
        <w:rPr>
          <w:rFonts w:ascii="Arial" w:hAnsi="Arial" w:cs="Arial"/>
        </w:rPr>
        <w:t>We anticip</w:t>
      </w:r>
      <w:r w:rsidR="00242E19">
        <w:rPr>
          <w:rFonts w:ascii="Arial" w:hAnsi="Arial" w:cs="Arial"/>
        </w:rPr>
        <w:t xml:space="preserve">ate </w:t>
      </w:r>
      <w:r w:rsidR="00986931">
        <w:rPr>
          <w:rFonts w:ascii="Arial" w:hAnsi="Arial" w:cs="Arial"/>
        </w:rPr>
        <w:t>an</w:t>
      </w:r>
      <w:r w:rsidR="00242E19">
        <w:rPr>
          <w:rFonts w:ascii="Arial" w:hAnsi="Arial" w:cs="Arial"/>
        </w:rPr>
        <w:t xml:space="preserve"> </w:t>
      </w:r>
      <w:r w:rsidR="00986931">
        <w:rPr>
          <w:rFonts w:ascii="Arial" w:hAnsi="Arial" w:cs="Arial"/>
        </w:rPr>
        <w:t xml:space="preserve">NSF </w:t>
      </w:r>
      <w:r w:rsidR="00242E19">
        <w:rPr>
          <w:rFonts w:ascii="Arial" w:hAnsi="Arial" w:cs="Arial"/>
        </w:rPr>
        <w:t>evaluation program director</w:t>
      </w:r>
      <w:r w:rsidR="001A46F0">
        <w:rPr>
          <w:rFonts w:ascii="Arial" w:hAnsi="Arial" w:cs="Arial"/>
        </w:rPr>
        <w:t xml:space="preserve"> </w:t>
      </w:r>
      <w:r w:rsidR="00986931">
        <w:rPr>
          <w:rFonts w:ascii="Arial" w:hAnsi="Arial" w:cs="Arial"/>
        </w:rPr>
        <w:t>to spend 0.5 FTE</w:t>
      </w:r>
      <w:r w:rsidR="00D85A5F">
        <w:rPr>
          <w:rFonts w:ascii="Arial" w:hAnsi="Arial" w:cs="Arial"/>
        </w:rPr>
        <w:t xml:space="preserve"> for survey maintenance, data cleaning,</w:t>
      </w:r>
      <w:r w:rsidR="00D109E7">
        <w:rPr>
          <w:rFonts w:ascii="Arial" w:hAnsi="Arial" w:cs="Arial"/>
        </w:rPr>
        <w:t xml:space="preserve"> and data analysis. The</w:t>
      </w:r>
      <w:r w:rsidR="00C92DFD">
        <w:rPr>
          <w:rFonts w:ascii="Arial" w:hAnsi="Arial" w:cs="Arial"/>
        </w:rPr>
        <w:t xml:space="preserve"> </w:t>
      </w:r>
      <w:r w:rsidR="002545DB">
        <w:rPr>
          <w:rFonts w:ascii="Arial" w:hAnsi="Arial" w:cs="Arial"/>
        </w:rPr>
        <w:t xml:space="preserve">hourly </w:t>
      </w:r>
      <w:r w:rsidR="00E27A00">
        <w:rPr>
          <w:rFonts w:ascii="Arial" w:hAnsi="Arial" w:cs="Arial"/>
        </w:rPr>
        <w:t>rate</w:t>
      </w:r>
      <w:r w:rsidR="002545DB">
        <w:rPr>
          <w:rFonts w:ascii="Arial" w:hAnsi="Arial" w:cs="Arial"/>
        </w:rPr>
        <w:t xml:space="preserve"> of an AD-4 program </w:t>
      </w:r>
      <w:r w:rsidR="00E27A00">
        <w:rPr>
          <w:rFonts w:ascii="Arial" w:hAnsi="Arial" w:cs="Arial"/>
        </w:rPr>
        <w:t xml:space="preserve">director ranges between $82 and </w:t>
      </w:r>
      <w:r w:rsidR="003A16C9">
        <w:rPr>
          <w:rFonts w:ascii="Arial" w:hAnsi="Arial" w:cs="Arial"/>
        </w:rPr>
        <w:t>$100. The</w:t>
      </w:r>
      <w:r w:rsidR="00B54E03">
        <w:rPr>
          <w:rFonts w:ascii="Arial" w:hAnsi="Arial" w:cs="Arial"/>
        </w:rPr>
        <w:t xml:space="preserve"> estimated</w:t>
      </w:r>
      <w:r w:rsidR="003A16C9">
        <w:rPr>
          <w:rFonts w:ascii="Arial" w:hAnsi="Arial" w:cs="Arial"/>
        </w:rPr>
        <w:t xml:space="preserve"> total annual</w:t>
      </w:r>
      <w:r w:rsidR="00C15D16">
        <w:rPr>
          <w:rFonts w:ascii="Arial" w:hAnsi="Arial" w:cs="Arial"/>
        </w:rPr>
        <w:t xml:space="preserve"> labor cost for </w:t>
      </w:r>
      <w:r w:rsidR="00115ED7">
        <w:rPr>
          <w:rFonts w:ascii="Arial" w:hAnsi="Arial" w:cs="Arial"/>
        </w:rPr>
        <w:t>this individual</w:t>
      </w:r>
      <w:r w:rsidR="00B54E03">
        <w:rPr>
          <w:rFonts w:ascii="Arial" w:hAnsi="Arial" w:cs="Arial"/>
        </w:rPr>
        <w:t xml:space="preserve"> </w:t>
      </w:r>
      <w:r w:rsidR="00E35A5F">
        <w:rPr>
          <w:rFonts w:ascii="Arial" w:hAnsi="Arial" w:cs="Arial"/>
        </w:rPr>
        <w:t>ranges between $85,000 and $102,000.</w:t>
      </w:r>
    </w:p>
    <w:p w:rsidR="002125AE" w:rsidP="00D63C96" w14:paraId="14C44D55" w14:textId="32479C7B">
      <w:pPr>
        <w:spacing w:line="264" w:lineRule="auto"/>
        <w:rPr>
          <w:rFonts w:ascii="Arial" w:hAnsi="Arial" w:cs="Arial"/>
        </w:rPr>
      </w:pPr>
      <w:r>
        <w:rPr>
          <w:rFonts w:ascii="Arial" w:hAnsi="Arial" w:cs="Arial"/>
        </w:rPr>
        <w:t>We anticipate building a data collection</w:t>
      </w:r>
      <w:r w:rsidR="00F449A3">
        <w:rPr>
          <w:rFonts w:ascii="Arial" w:hAnsi="Arial" w:cs="Arial"/>
        </w:rPr>
        <w:t xml:space="preserve"> portal for the</w:t>
      </w:r>
      <w:r w:rsidR="00EC2EBD">
        <w:rPr>
          <w:rFonts w:ascii="Arial" w:hAnsi="Arial" w:cs="Arial"/>
        </w:rPr>
        <w:t xml:space="preserve"> Engines awardees </w:t>
      </w:r>
      <w:r w:rsidR="00F31A5A">
        <w:rPr>
          <w:rFonts w:ascii="Arial" w:hAnsi="Arial" w:cs="Arial"/>
        </w:rPr>
        <w:t xml:space="preserve">as part of future enhancements to the programmatic data collection process. The estimated costs </w:t>
      </w:r>
      <w:r w:rsidR="00F835D2">
        <w:rPr>
          <w:rFonts w:ascii="Arial" w:hAnsi="Arial" w:cs="Arial"/>
        </w:rPr>
        <w:t>for</w:t>
      </w:r>
      <w:r w:rsidR="00F31A5A">
        <w:rPr>
          <w:rFonts w:ascii="Arial" w:hAnsi="Arial" w:cs="Arial"/>
        </w:rPr>
        <w:t xml:space="preserve"> </w:t>
      </w:r>
      <w:r w:rsidR="008E2E58">
        <w:rPr>
          <w:rFonts w:ascii="Arial" w:hAnsi="Arial" w:cs="Arial"/>
        </w:rPr>
        <w:t>the development, implementation, and maintenance</w:t>
      </w:r>
      <w:r w:rsidR="00F31A5A">
        <w:rPr>
          <w:rFonts w:ascii="Arial" w:hAnsi="Arial" w:cs="Arial"/>
        </w:rPr>
        <w:t xml:space="preserve"> </w:t>
      </w:r>
      <w:r w:rsidR="00F835D2">
        <w:rPr>
          <w:rFonts w:ascii="Arial" w:hAnsi="Arial" w:cs="Arial"/>
        </w:rPr>
        <w:t xml:space="preserve">of these future enhancements are approximately </w:t>
      </w:r>
      <w:r w:rsidRPr="00E903B5" w:rsidR="00F835D2">
        <w:rPr>
          <w:rFonts w:ascii="Arial" w:hAnsi="Arial" w:cs="Arial"/>
        </w:rPr>
        <w:t>$</w:t>
      </w:r>
      <w:r w:rsidRPr="00E903B5" w:rsidR="008608FD">
        <w:rPr>
          <w:rFonts w:ascii="Arial" w:hAnsi="Arial" w:cs="Arial"/>
        </w:rPr>
        <w:t>2</w:t>
      </w:r>
      <w:r w:rsidR="00D72058">
        <w:rPr>
          <w:rFonts w:ascii="Arial" w:hAnsi="Arial" w:cs="Arial"/>
        </w:rPr>
        <w:t>5</w:t>
      </w:r>
      <w:r w:rsidRPr="00E903B5" w:rsidR="00F835D2">
        <w:rPr>
          <w:rFonts w:ascii="Arial" w:hAnsi="Arial" w:cs="Arial"/>
        </w:rPr>
        <w:t>0,000.</w:t>
      </w:r>
    </w:p>
    <w:p w:rsidR="00A64687" w:rsidP="00D63C96" w14:paraId="59E67FAB" w14:textId="14B99182">
      <w:pPr>
        <w:spacing w:line="264" w:lineRule="auto"/>
        <w:rPr>
          <w:rFonts w:ascii="Arial" w:hAnsi="Arial" w:cs="Arial"/>
        </w:rPr>
      </w:pPr>
      <w:r>
        <w:rPr>
          <w:rFonts w:ascii="Arial" w:hAnsi="Arial" w:cs="Arial"/>
        </w:rPr>
        <w:t xml:space="preserve">Lastly, </w:t>
      </w:r>
      <w:r w:rsidR="00221CB7">
        <w:rPr>
          <w:rFonts w:ascii="Arial" w:hAnsi="Arial" w:cs="Arial"/>
        </w:rPr>
        <w:t>the estimated costs associated with conducting of the focus groups</w:t>
      </w:r>
      <w:r w:rsidR="002125AE">
        <w:rPr>
          <w:rFonts w:ascii="Arial" w:hAnsi="Arial" w:cs="Arial"/>
        </w:rPr>
        <w:t xml:space="preserve">, qualitative </w:t>
      </w:r>
      <w:r w:rsidR="002125AE">
        <w:rPr>
          <w:rFonts w:ascii="Arial" w:hAnsi="Arial" w:cs="Arial"/>
        </w:rPr>
        <w:t>analysis</w:t>
      </w:r>
      <w:r w:rsidR="002125AE">
        <w:rPr>
          <w:rFonts w:ascii="Arial" w:hAnsi="Arial" w:cs="Arial"/>
        </w:rPr>
        <w:t xml:space="preserve"> and synthesis of the interviews, and reporting of the findings is </w:t>
      </w:r>
      <w:r w:rsidRPr="00F9743C" w:rsidR="00F835D2">
        <w:rPr>
          <w:rFonts w:ascii="Arial" w:hAnsi="Arial" w:cs="Arial"/>
        </w:rPr>
        <w:t>$1</w:t>
      </w:r>
      <w:r w:rsidRPr="00F9743C" w:rsidR="00F9743C">
        <w:rPr>
          <w:rFonts w:ascii="Arial" w:hAnsi="Arial" w:cs="Arial"/>
        </w:rPr>
        <w:t>0</w:t>
      </w:r>
      <w:r w:rsidRPr="00F9743C" w:rsidR="00F835D2">
        <w:rPr>
          <w:rFonts w:ascii="Arial" w:hAnsi="Arial" w:cs="Arial"/>
        </w:rPr>
        <w:t>0,000</w:t>
      </w:r>
      <w:r w:rsidRPr="00F9743C" w:rsidR="002125AE">
        <w:rPr>
          <w:rFonts w:ascii="Arial" w:hAnsi="Arial" w:cs="Arial"/>
        </w:rPr>
        <w:t>.</w:t>
      </w:r>
    </w:p>
    <w:p w:rsidR="00672E82" w:rsidRPr="00F6608E" w:rsidP="00F6608E" w14:paraId="59C25D3F" w14:textId="4B6DE4CB">
      <w:pPr>
        <w:spacing w:line="264" w:lineRule="auto"/>
        <w:rPr>
          <w:rFonts w:ascii="Arial" w:hAnsi="Arial" w:cs="Arial"/>
        </w:rPr>
      </w:pPr>
      <w:r>
        <w:rPr>
          <w:rFonts w:ascii="Arial" w:hAnsi="Arial" w:cs="Arial"/>
        </w:rPr>
        <w:t xml:space="preserve">The total estimated </w:t>
      </w:r>
      <w:r w:rsidR="00366AA5">
        <w:rPr>
          <w:rFonts w:ascii="Arial" w:hAnsi="Arial" w:cs="Arial"/>
        </w:rPr>
        <w:t xml:space="preserve">annual cost to the Federal Government is between </w:t>
      </w:r>
      <w:r w:rsidRPr="001A73E2" w:rsidR="00F6608E">
        <w:rPr>
          <w:rFonts w:ascii="Arial" w:hAnsi="Arial" w:cs="Arial"/>
        </w:rPr>
        <w:t>$</w:t>
      </w:r>
      <w:r w:rsidRPr="001A73E2" w:rsidR="00F74359">
        <w:rPr>
          <w:rFonts w:ascii="Arial" w:hAnsi="Arial" w:cs="Arial"/>
        </w:rPr>
        <w:t>437,000</w:t>
      </w:r>
      <w:r w:rsidRPr="001A73E2" w:rsidR="00F6608E">
        <w:rPr>
          <w:rFonts w:ascii="Arial" w:hAnsi="Arial" w:cs="Arial"/>
        </w:rPr>
        <w:t xml:space="preserve"> and $</w:t>
      </w:r>
      <w:r w:rsidRPr="001A73E2" w:rsidR="001A73E2">
        <w:rPr>
          <w:rFonts w:ascii="Arial" w:hAnsi="Arial" w:cs="Arial"/>
        </w:rPr>
        <w:t>454,000</w:t>
      </w:r>
      <w:r w:rsidRPr="001A73E2" w:rsidR="00F6608E">
        <w:rPr>
          <w:rFonts w:ascii="Arial" w:hAnsi="Arial" w:cs="Arial"/>
        </w:rPr>
        <w:t>.</w:t>
      </w:r>
    </w:p>
    <w:p w:rsidR="00672E82" w:rsidP="000E230B" w14:paraId="1E4D838D" w14:textId="77777777">
      <w:pPr>
        <w:spacing w:after="0"/>
      </w:pPr>
    </w:p>
    <w:p w:rsidR="003F6FB7" w:rsidP="003F6FB7" w14:paraId="4DEEEAB9" w14:textId="2DDAF4A8">
      <w:pPr>
        <w:spacing w:line="264" w:lineRule="auto"/>
        <w:rPr>
          <w:rFonts w:ascii="Arial" w:hAnsi="Arial" w:cs="Arial"/>
          <w:b/>
          <w:bCs/>
          <w:color w:val="1F3864" w:themeColor="accent1" w:themeShade="80"/>
          <w:sz w:val="24"/>
          <w:szCs w:val="24"/>
        </w:rPr>
      </w:pPr>
      <w:r w:rsidRPr="005F3B78">
        <w:rPr>
          <w:rFonts w:ascii="Arial" w:hAnsi="Arial" w:cs="Arial"/>
          <w:b/>
          <w:bCs/>
          <w:color w:val="1F3864" w:themeColor="accent1" w:themeShade="80"/>
          <w:sz w:val="24"/>
          <w:szCs w:val="24"/>
        </w:rPr>
        <w:t>A.</w:t>
      </w:r>
      <w:r>
        <w:rPr>
          <w:rFonts w:ascii="Arial" w:hAnsi="Arial" w:cs="Arial"/>
          <w:b/>
          <w:bCs/>
          <w:color w:val="1F3864" w:themeColor="accent1" w:themeShade="80"/>
          <w:sz w:val="24"/>
          <w:szCs w:val="24"/>
        </w:rPr>
        <w:t>15 Changes in Burden</w:t>
      </w:r>
    </w:p>
    <w:p w:rsidR="00D63C96" w:rsidRPr="005F3B78" w:rsidP="00D63C96" w14:paraId="2D59B419" w14:textId="77777777">
      <w:pPr>
        <w:spacing w:line="264" w:lineRule="auto"/>
        <w:rPr>
          <w:rFonts w:ascii="Arial" w:hAnsi="Arial" w:cs="Arial"/>
          <w:b/>
          <w:bCs/>
          <w:color w:val="1F3864" w:themeColor="accent1" w:themeShade="80"/>
          <w:sz w:val="24"/>
          <w:szCs w:val="24"/>
        </w:rPr>
      </w:pPr>
      <w:r>
        <w:rPr>
          <w:rFonts w:ascii="Arial" w:hAnsi="Arial" w:cs="Arial"/>
        </w:rPr>
        <w:t>Not applicable.</w:t>
      </w:r>
    </w:p>
    <w:p w:rsidR="003F6FB7" w:rsidP="00D63C96" w14:paraId="33F15FA4" w14:textId="624EBD7E">
      <w:pPr>
        <w:spacing w:after="0"/>
      </w:pPr>
    </w:p>
    <w:p w:rsidR="00910585" w:rsidP="00910585" w14:paraId="2D4E173D" w14:textId="01C875ED">
      <w:pPr>
        <w:spacing w:line="264" w:lineRule="auto"/>
        <w:rPr>
          <w:rFonts w:ascii="Arial" w:hAnsi="Arial" w:cs="Arial"/>
          <w:b/>
          <w:bCs/>
          <w:color w:val="1F3864" w:themeColor="accent1" w:themeShade="80"/>
          <w:sz w:val="24"/>
          <w:szCs w:val="24"/>
        </w:rPr>
      </w:pPr>
      <w:r w:rsidRPr="005F3B78">
        <w:rPr>
          <w:rFonts w:ascii="Arial" w:hAnsi="Arial" w:cs="Arial"/>
          <w:b/>
          <w:bCs/>
          <w:color w:val="1F3864" w:themeColor="accent1" w:themeShade="80"/>
          <w:sz w:val="24"/>
          <w:szCs w:val="24"/>
        </w:rPr>
        <w:t>A.</w:t>
      </w:r>
      <w:r>
        <w:rPr>
          <w:rFonts w:ascii="Arial" w:hAnsi="Arial" w:cs="Arial"/>
          <w:b/>
          <w:bCs/>
          <w:color w:val="1F3864" w:themeColor="accent1" w:themeShade="80"/>
          <w:sz w:val="24"/>
          <w:szCs w:val="24"/>
        </w:rPr>
        <w:t>16 Plan</w:t>
      </w:r>
      <w:r w:rsidR="00D63C96">
        <w:rPr>
          <w:rFonts w:ascii="Arial" w:hAnsi="Arial" w:cs="Arial"/>
          <w:b/>
          <w:bCs/>
          <w:color w:val="1F3864" w:themeColor="accent1" w:themeShade="80"/>
          <w:sz w:val="24"/>
          <w:szCs w:val="24"/>
        </w:rPr>
        <w:t>s</w:t>
      </w:r>
      <w:r>
        <w:rPr>
          <w:rFonts w:ascii="Arial" w:hAnsi="Arial" w:cs="Arial"/>
          <w:b/>
          <w:bCs/>
          <w:color w:val="1F3864" w:themeColor="accent1" w:themeShade="80"/>
          <w:sz w:val="24"/>
          <w:szCs w:val="24"/>
        </w:rPr>
        <w:t xml:space="preserve"> for Publication, Analysis, and Schedule</w:t>
      </w:r>
    </w:p>
    <w:p w:rsidR="004D6550" w:rsidRPr="00D56674" w:rsidP="00910585" w14:paraId="01356376" w14:textId="664096BF">
      <w:pPr>
        <w:spacing w:line="264" w:lineRule="auto"/>
        <w:rPr>
          <w:rFonts w:ascii="Arial" w:hAnsi="Arial" w:cs="Arial"/>
          <w:b/>
          <w:bCs/>
        </w:rPr>
      </w:pPr>
      <w:r w:rsidRPr="00D56674">
        <w:rPr>
          <w:rFonts w:ascii="Arial" w:hAnsi="Arial" w:cs="Arial"/>
          <w:b/>
          <w:bCs/>
        </w:rPr>
        <w:t>Survey-based Programmatic Data Collection</w:t>
      </w:r>
    </w:p>
    <w:p w:rsidR="004B25B7" w:rsidRPr="004D451C" w:rsidP="00910585" w14:paraId="22B11BAD" w14:textId="5DB09923">
      <w:pPr>
        <w:spacing w:line="264" w:lineRule="auto"/>
        <w:rPr>
          <w:rFonts w:ascii="Arial" w:hAnsi="Arial" w:cs="Arial"/>
        </w:rPr>
      </w:pPr>
      <w:r w:rsidRPr="004D451C">
        <w:rPr>
          <w:rFonts w:ascii="Arial" w:hAnsi="Arial" w:cs="Arial"/>
        </w:rPr>
        <w:t>The</w:t>
      </w:r>
      <w:r w:rsidRPr="004D451C" w:rsidR="005F3835">
        <w:rPr>
          <w:rFonts w:ascii="Arial" w:hAnsi="Arial" w:cs="Arial"/>
        </w:rPr>
        <w:t xml:space="preserve"> six survey instruments </w:t>
      </w:r>
      <w:r w:rsidRPr="004D451C">
        <w:rPr>
          <w:rFonts w:ascii="Arial" w:hAnsi="Arial" w:cs="Arial"/>
        </w:rPr>
        <w:t>will be made public</w:t>
      </w:r>
      <w:r w:rsidRPr="00D56674" w:rsidR="001A4DB1">
        <w:rPr>
          <w:rFonts w:ascii="Arial" w:hAnsi="Arial" w:cs="Arial"/>
        </w:rPr>
        <w:t>ly available after receiving OMB clearance.</w:t>
      </w:r>
    </w:p>
    <w:p w:rsidR="008B4341" w:rsidRPr="004D451C" w:rsidP="00910585" w14:paraId="29805976" w14:textId="042A99A0">
      <w:pPr>
        <w:spacing w:line="264" w:lineRule="auto"/>
        <w:rPr>
          <w:rFonts w:ascii="Arial" w:hAnsi="Arial" w:cs="Arial"/>
        </w:rPr>
      </w:pPr>
      <w:r w:rsidRPr="004D451C">
        <w:rPr>
          <w:rFonts w:ascii="Arial" w:hAnsi="Arial" w:cs="Arial"/>
        </w:rPr>
        <w:t>We plan to make anonymized</w:t>
      </w:r>
      <w:r w:rsidRPr="00D56674" w:rsidR="00AF7A1B">
        <w:rPr>
          <w:rFonts w:ascii="Arial" w:hAnsi="Arial" w:cs="Arial"/>
        </w:rPr>
        <w:t xml:space="preserve"> and de-identified</w:t>
      </w:r>
      <w:r w:rsidRPr="004D451C">
        <w:rPr>
          <w:rFonts w:ascii="Arial" w:hAnsi="Arial" w:cs="Arial"/>
        </w:rPr>
        <w:t xml:space="preserve"> data from the</w:t>
      </w:r>
      <w:r w:rsidRPr="004D451C" w:rsidR="00165F6B">
        <w:rPr>
          <w:rFonts w:ascii="Arial" w:hAnsi="Arial" w:cs="Arial"/>
        </w:rPr>
        <w:t xml:space="preserve"> </w:t>
      </w:r>
      <w:r w:rsidRPr="004D451C" w:rsidR="00F152F5">
        <w:rPr>
          <w:rFonts w:ascii="Arial" w:hAnsi="Arial" w:cs="Arial"/>
        </w:rPr>
        <w:t xml:space="preserve">annual, </w:t>
      </w:r>
      <w:r w:rsidRPr="004D451C" w:rsidR="00165F6B">
        <w:rPr>
          <w:rFonts w:ascii="Arial" w:hAnsi="Arial" w:cs="Arial"/>
        </w:rPr>
        <w:t>survey-based programmatic</w:t>
      </w:r>
      <w:r w:rsidRPr="004D451C" w:rsidR="00F152F5">
        <w:rPr>
          <w:rFonts w:ascii="Arial" w:hAnsi="Arial" w:cs="Arial"/>
        </w:rPr>
        <w:t xml:space="preserve"> data collection available to the academic research community </w:t>
      </w:r>
      <w:r w:rsidRPr="00D56674" w:rsidR="00AF7A1B">
        <w:rPr>
          <w:rFonts w:ascii="Arial" w:hAnsi="Arial" w:cs="Arial"/>
        </w:rPr>
        <w:t>at some future date</w:t>
      </w:r>
      <w:r w:rsidRPr="004D451C" w:rsidR="007E3B74">
        <w:rPr>
          <w:rFonts w:ascii="Arial" w:hAnsi="Arial" w:cs="Arial"/>
        </w:rPr>
        <w:t xml:space="preserve"> </w:t>
      </w:r>
      <w:r w:rsidRPr="004D451C" w:rsidR="00BF2661">
        <w:rPr>
          <w:rFonts w:ascii="Arial" w:hAnsi="Arial" w:cs="Arial"/>
        </w:rPr>
        <w:t xml:space="preserve">through an </w:t>
      </w:r>
      <w:r w:rsidRPr="004D451C" w:rsidR="001974DB">
        <w:rPr>
          <w:rFonts w:ascii="Arial" w:hAnsi="Arial" w:cs="Arial"/>
        </w:rPr>
        <w:t>application-based</w:t>
      </w:r>
      <w:r w:rsidRPr="004D451C" w:rsidR="00096D35">
        <w:rPr>
          <w:rFonts w:ascii="Arial" w:hAnsi="Arial" w:cs="Arial"/>
        </w:rPr>
        <w:t xml:space="preserve"> data use agreement.</w:t>
      </w:r>
      <w:r w:rsidRPr="004D451C" w:rsidR="007E3B74">
        <w:rPr>
          <w:rFonts w:ascii="Arial" w:hAnsi="Arial" w:cs="Arial"/>
        </w:rPr>
        <w:t xml:space="preserve"> </w:t>
      </w:r>
    </w:p>
    <w:p w:rsidR="00BD0E10" w:rsidP="00910585" w14:paraId="38230BDA" w14:textId="088D94CA">
      <w:pPr>
        <w:spacing w:line="264" w:lineRule="auto"/>
        <w:rPr>
          <w:rFonts w:ascii="Arial" w:hAnsi="Arial" w:cs="Arial"/>
        </w:rPr>
      </w:pPr>
      <w:r w:rsidRPr="004D451C">
        <w:rPr>
          <w:rFonts w:ascii="Arial" w:hAnsi="Arial" w:cs="Arial"/>
        </w:rPr>
        <w:t>W</w:t>
      </w:r>
      <w:r w:rsidRPr="004D451C" w:rsidR="00E77436">
        <w:rPr>
          <w:rFonts w:ascii="Arial" w:hAnsi="Arial" w:cs="Arial"/>
        </w:rPr>
        <w:t xml:space="preserve">e </w:t>
      </w:r>
      <w:r w:rsidRPr="004D451C" w:rsidR="008C220C">
        <w:rPr>
          <w:rFonts w:ascii="Arial" w:hAnsi="Arial" w:cs="Arial"/>
        </w:rPr>
        <w:t xml:space="preserve">plan to </w:t>
      </w:r>
      <w:r w:rsidRPr="004D451C" w:rsidR="00D22E98">
        <w:rPr>
          <w:rFonts w:ascii="Arial" w:hAnsi="Arial" w:cs="Arial"/>
        </w:rPr>
        <w:t xml:space="preserve">conduct internal analyses and </w:t>
      </w:r>
      <w:r w:rsidRPr="004D451C" w:rsidR="008C220C">
        <w:rPr>
          <w:rFonts w:ascii="Arial" w:hAnsi="Arial" w:cs="Arial"/>
        </w:rPr>
        <w:t>publish an internal, annual programmatic assessment report within 6 months</w:t>
      </w:r>
      <w:r w:rsidRPr="004D451C">
        <w:rPr>
          <w:rFonts w:ascii="Arial" w:hAnsi="Arial" w:cs="Arial"/>
        </w:rPr>
        <w:t xml:space="preserve"> of completing each round of programmatic data collection </w:t>
      </w:r>
      <w:r w:rsidRPr="004D451C" w:rsidR="00B91F45">
        <w:rPr>
          <w:rFonts w:ascii="Arial" w:hAnsi="Arial" w:cs="Arial"/>
        </w:rPr>
        <w:t>with the first report aimed at month 18 from award start date</w:t>
      </w:r>
      <w:r w:rsidRPr="004D451C">
        <w:rPr>
          <w:rFonts w:ascii="Arial" w:hAnsi="Arial" w:cs="Arial"/>
        </w:rPr>
        <w:t>.</w:t>
      </w:r>
      <w:r w:rsidRPr="004D451C" w:rsidR="00D22E98">
        <w:rPr>
          <w:rFonts w:ascii="Arial" w:hAnsi="Arial" w:cs="Arial"/>
        </w:rPr>
        <w:t xml:space="preserve"> These annual programmatic</w:t>
      </w:r>
      <w:r w:rsidRPr="004D451C" w:rsidR="000207F2">
        <w:rPr>
          <w:rFonts w:ascii="Arial" w:hAnsi="Arial" w:cs="Arial"/>
        </w:rPr>
        <w:t xml:space="preserve"> assessment reports will be made publicly available as soon as possible </w:t>
      </w:r>
      <w:r w:rsidRPr="004D451C" w:rsidR="00EE4A60">
        <w:rPr>
          <w:rFonts w:ascii="Arial" w:hAnsi="Arial" w:cs="Arial"/>
        </w:rPr>
        <w:t>upon completion of the NSF internal approval process.</w:t>
      </w:r>
      <w:r w:rsidRPr="004D451C">
        <w:rPr>
          <w:rFonts w:ascii="Arial" w:hAnsi="Arial" w:cs="Arial"/>
        </w:rPr>
        <w:t xml:space="preserve"> </w:t>
      </w:r>
    </w:p>
    <w:p w:rsidR="00B74A96" w:rsidRPr="00D56674" w:rsidP="00910585" w14:paraId="36E8448A" w14:textId="18D5617E">
      <w:pPr>
        <w:spacing w:line="264" w:lineRule="auto"/>
        <w:rPr>
          <w:rFonts w:ascii="Arial" w:hAnsi="Arial" w:cs="Arial"/>
          <w:b/>
          <w:bCs/>
        </w:rPr>
      </w:pPr>
      <w:r>
        <w:rPr>
          <w:rFonts w:ascii="Arial" w:hAnsi="Arial" w:cs="Arial"/>
          <w:b/>
          <w:bCs/>
        </w:rPr>
        <w:t xml:space="preserve">Focus Group </w:t>
      </w:r>
      <w:r w:rsidRPr="00D56674" w:rsidR="003D5E42">
        <w:rPr>
          <w:rFonts w:ascii="Arial" w:hAnsi="Arial" w:cs="Arial"/>
          <w:b/>
          <w:bCs/>
        </w:rPr>
        <w:t>Interview Data Collection</w:t>
      </w:r>
    </w:p>
    <w:p w:rsidR="003D5E42" w:rsidP="00910585" w14:paraId="50512A20" w14:textId="0FDA5B00">
      <w:pPr>
        <w:spacing w:line="264" w:lineRule="auto"/>
        <w:rPr>
          <w:rFonts w:ascii="Arial" w:hAnsi="Arial" w:cs="Arial"/>
        </w:rPr>
      </w:pPr>
      <w:r>
        <w:rPr>
          <w:rFonts w:ascii="Arial" w:hAnsi="Arial" w:cs="Arial"/>
        </w:rPr>
        <w:t>A</w:t>
      </w:r>
      <w:r w:rsidR="004905E2">
        <w:rPr>
          <w:rFonts w:ascii="Arial" w:hAnsi="Arial" w:cs="Arial"/>
        </w:rPr>
        <w:t xml:space="preserve"> </w:t>
      </w:r>
      <w:r>
        <w:rPr>
          <w:rFonts w:ascii="Arial" w:hAnsi="Arial" w:cs="Arial"/>
        </w:rPr>
        <w:t>report summarizing the findings from the focus group interviews</w:t>
      </w:r>
      <w:r w:rsidR="004905E2">
        <w:rPr>
          <w:rFonts w:ascii="Arial" w:hAnsi="Arial" w:cs="Arial"/>
        </w:rPr>
        <w:t xml:space="preserve"> will be made internally available within 8 months of</w:t>
      </w:r>
      <w:r w:rsidR="00BF0C77">
        <w:rPr>
          <w:rFonts w:ascii="Arial" w:hAnsi="Arial" w:cs="Arial"/>
        </w:rPr>
        <w:t xml:space="preserve"> completing the last r</w:t>
      </w:r>
      <w:r w:rsidR="00214876">
        <w:rPr>
          <w:rFonts w:ascii="Arial" w:hAnsi="Arial" w:cs="Arial"/>
        </w:rPr>
        <w:t>ound of interviews.</w:t>
      </w:r>
      <w:r w:rsidR="00840FF5">
        <w:rPr>
          <w:rFonts w:ascii="Arial" w:hAnsi="Arial" w:cs="Arial"/>
        </w:rPr>
        <w:t xml:space="preserve"> A publicly approved version of the report will be made available upon completion of the NSF internal approval process</w:t>
      </w:r>
      <w:r w:rsidR="002E5FAC">
        <w:rPr>
          <w:rFonts w:ascii="Arial" w:hAnsi="Arial" w:cs="Arial"/>
        </w:rPr>
        <w:t>.</w:t>
      </w:r>
    </w:p>
    <w:p w:rsidR="00910585" w:rsidP="00225E73" w14:paraId="615FA51C" w14:textId="6254BF99">
      <w:pPr>
        <w:spacing w:after="0"/>
      </w:pPr>
    </w:p>
    <w:p w:rsidR="00910585" w:rsidP="00910585" w14:paraId="524DAC06" w14:textId="489DC631">
      <w:pPr>
        <w:spacing w:line="264" w:lineRule="auto"/>
        <w:rPr>
          <w:rFonts w:ascii="Arial" w:hAnsi="Arial" w:cs="Arial"/>
          <w:b/>
          <w:bCs/>
          <w:color w:val="1F3864" w:themeColor="accent1" w:themeShade="80"/>
          <w:sz w:val="24"/>
          <w:szCs w:val="24"/>
        </w:rPr>
      </w:pPr>
      <w:r w:rsidRPr="005F3B78">
        <w:rPr>
          <w:rFonts w:ascii="Arial" w:hAnsi="Arial" w:cs="Arial"/>
          <w:b/>
          <w:bCs/>
          <w:color w:val="1F3864" w:themeColor="accent1" w:themeShade="80"/>
          <w:sz w:val="24"/>
          <w:szCs w:val="24"/>
        </w:rPr>
        <w:t>A.</w:t>
      </w:r>
      <w:r>
        <w:rPr>
          <w:rFonts w:ascii="Arial" w:hAnsi="Arial" w:cs="Arial"/>
          <w:b/>
          <w:bCs/>
          <w:color w:val="1F3864" w:themeColor="accent1" w:themeShade="80"/>
          <w:sz w:val="24"/>
          <w:szCs w:val="24"/>
        </w:rPr>
        <w:t>17 Approval to Not Display Expiration Date</w:t>
      </w:r>
    </w:p>
    <w:p w:rsidR="00910585" w:rsidRPr="005F3B78" w:rsidP="00910585" w14:paraId="08CD34D4" w14:textId="740DFAA6">
      <w:pPr>
        <w:spacing w:line="264" w:lineRule="auto"/>
        <w:rPr>
          <w:rFonts w:ascii="Arial" w:hAnsi="Arial" w:cs="Arial"/>
          <w:b/>
          <w:bCs/>
          <w:color w:val="1F3864" w:themeColor="accent1" w:themeShade="80"/>
          <w:sz w:val="24"/>
          <w:szCs w:val="24"/>
        </w:rPr>
      </w:pPr>
      <w:r>
        <w:rPr>
          <w:rFonts w:ascii="Arial" w:hAnsi="Arial" w:cs="Arial"/>
        </w:rPr>
        <w:t>Not applicable.</w:t>
      </w:r>
    </w:p>
    <w:p w:rsidR="00910585" w:rsidP="00225E73" w14:paraId="17EBF61E" w14:textId="0FAE6376">
      <w:pPr>
        <w:spacing w:after="0"/>
      </w:pPr>
    </w:p>
    <w:p w:rsidR="00910585" w:rsidP="00910585" w14:paraId="0FA3F638" w14:textId="54EF0E50">
      <w:pPr>
        <w:spacing w:line="264" w:lineRule="auto"/>
        <w:rPr>
          <w:rFonts w:ascii="Arial" w:hAnsi="Arial" w:cs="Arial"/>
          <w:b/>
          <w:bCs/>
          <w:color w:val="1F3864" w:themeColor="accent1" w:themeShade="80"/>
          <w:sz w:val="24"/>
          <w:szCs w:val="24"/>
        </w:rPr>
      </w:pPr>
      <w:r w:rsidRPr="005F3B78">
        <w:rPr>
          <w:rFonts w:ascii="Arial" w:hAnsi="Arial" w:cs="Arial"/>
          <w:b/>
          <w:bCs/>
          <w:color w:val="1F3864" w:themeColor="accent1" w:themeShade="80"/>
          <w:sz w:val="24"/>
          <w:szCs w:val="24"/>
        </w:rPr>
        <w:t>A.</w:t>
      </w:r>
      <w:r>
        <w:rPr>
          <w:rFonts w:ascii="Arial" w:hAnsi="Arial" w:cs="Arial"/>
          <w:b/>
          <w:bCs/>
          <w:color w:val="1F3864" w:themeColor="accent1" w:themeShade="80"/>
          <w:sz w:val="24"/>
          <w:szCs w:val="24"/>
        </w:rPr>
        <w:t>18 Exceptions to Item 19 of OMB Form 83-I</w:t>
      </w:r>
    </w:p>
    <w:p w:rsidR="00910585" w:rsidRPr="00F6608E" w:rsidP="00F6608E" w14:paraId="1A11A36A" w14:textId="46038C2C">
      <w:pPr>
        <w:spacing w:line="264" w:lineRule="auto"/>
        <w:rPr>
          <w:rFonts w:ascii="Arial" w:hAnsi="Arial" w:cs="Arial"/>
          <w:b/>
          <w:bCs/>
          <w:color w:val="1F3864" w:themeColor="accent1" w:themeShade="80"/>
          <w:sz w:val="24"/>
          <w:szCs w:val="24"/>
        </w:rPr>
      </w:pPr>
      <w:r>
        <w:rPr>
          <w:rFonts w:ascii="Arial" w:hAnsi="Arial" w:cs="Arial"/>
        </w:rPr>
        <w:t>No exceptions apply.</w:t>
      </w:r>
    </w:p>
    <w:p w:rsidR="00910585" w:rsidP="00910585" w14:paraId="0D7BC227" w14:textId="3ACF559C">
      <w:pPr>
        <w:spacing w:line="264" w:lineRule="auto"/>
        <w:rPr>
          <w:rFonts w:ascii="Arial" w:hAnsi="Arial" w:cs="Arial"/>
          <w:b/>
          <w:bCs/>
          <w:color w:val="1F3864" w:themeColor="accent1" w:themeShade="80"/>
          <w:sz w:val="24"/>
          <w:szCs w:val="24"/>
        </w:rPr>
      </w:pPr>
      <w:r>
        <w:rPr>
          <w:rFonts w:ascii="Arial" w:hAnsi="Arial" w:cs="Arial"/>
          <w:b/>
          <w:bCs/>
          <w:color w:val="1F3864" w:themeColor="accent1" w:themeShade="80"/>
          <w:sz w:val="24"/>
          <w:szCs w:val="24"/>
        </w:rPr>
        <w:t>Part B.</w:t>
      </w:r>
    </w:p>
    <w:p w:rsidR="00137288" w:rsidP="000E230B" w14:paraId="365424CE" w14:textId="77777777">
      <w:pPr>
        <w:spacing w:line="264" w:lineRule="auto"/>
        <w:rPr>
          <w:rFonts w:ascii="Arial" w:hAnsi="Arial" w:cs="Arial"/>
        </w:rPr>
        <w:sectPr w:rsidSect="00482D8B">
          <w:type w:val="continuous"/>
          <w:pgSz w:w="12240" w:h="15840"/>
          <w:pgMar w:top="1440" w:right="1440" w:bottom="1440" w:left="1440" w:header="720" w:footer="720" w:gutter="0"/>
          <w:cols w:space="720"/>
          <w:docGrid w:linePitch="360"/>
        </w:sectPr>
      </w:pPr>
      <w:r>
        <w:rPr>
          <w:rFonts w:ascii="Arial" w:hAnsi="Arial" w:cs="Arial"/>
        </w:rPr>
        <w:t>Not applicable.</w:t>
      </w:r>
    </w:p>
    <w:p w:rsidR="002C17B7" w:rsidP="002C17B7" w14:paraId="092246B7" w14:textId="77777777">
      <w:pPr>
        <w:pStyle w:val="Caption"/>
      </w:pPr>
      <w:bookmarkStart w:id="7" w:name="_Ref156918002"/>
      <w:r>
        <w:t xml:space="preserve">Table </w:t>
      </w:r>
      <w:r>
        <w:fldChar w:fldCharType="begin"/>
      </w:r>
      <w:r>
        <w:instrText xml:space="preserve"> SEQ Table \* ARABIC </w:instrText>
      </w:r>
      <w:r>
        <w:fldChar w:fldCharType="separate"/>
      </w:r>
      <w:r>
        <w:rPr>
          <w:noProof/>
        </w:rPr>
        <w:t>1</w:t>
      </w:r>
      <w:r>
        <w:rPr>
          <w:noProof/>
        </w:rPr>
        <w:fldChar w:fldCharType="end"/>
      </w:r>
      <w:bookmarkEnd w:id="7"/>
      <w:r>
        <w:t>. Summary of the number of survey questions by type for each of the six NSF Engines survey instruments.</w:t>
      </w:r>
    </w:p>
    <w:tbl>
      <w:tblPr>
        <w:tblStyle w:val="TableGrid"/>
        <w:tblW w:w="13140" w:type="dxa"/>
        <w:tblLook w:val="04A0"/>
      </w:tblPr>
      <w:tblGrid>
        <w:gridCol w:w="3136"/>
        <w:gridCol w:w="1769"/>
        <w:gridCol w:w="2925"/>
        <w:gridCol w:w="1260"/>
        <w:gridCol w:w="1080"/>
        <w:gridCol w:w="1260"/>
        <w:gridCol w:w="1710"/>
      </w:tblGrid>
      <w:tr w14:paraId="2AEDFB44" w14:textId="77777777" w:rsidTr="00F27C6E">
        <w:tblPrEx>
          <w:tblW w:w="13140" w:type="dxa"/>
          <w:tblLook w:val="04A0"/>
        </w:tblPrEx>
        <w:tc>
          <w:tcPr>
            <w:tcW w:w="3136" w:type="dxa"/>
            <w:tcBorders>
              <w:top w:val="thinThickSmallGap" w:sz="24" w:space="0" w:color="auto"/>
              <w:left w:val="nil"/>
              <w:bottom w:val="single" w:sz="24" w:space="0" w:color="auto"/>
              <w:right w:val="single" w:sz="4" w:space="0" w:color="auto"/>
            </w:tcBorders>
          </w:tcPr>
          <w:p w:rsidR="00F27C6E" w:rsidRPr="00F64761" w:rsidP="00F27C6E" w14:paraId="02FF9142" w14:textId="77777777">
            <w:pPr>
              <w:spacing w:after="0" w:line="240" w:lineRule="auto"/>
              <w:rPr>
                <w:i/>
                <w:iCs/>
              </w:rPr>
            </w:pPr>
            <w:r w:rsidRPr="00F64761">
              <w:rPr>
                <w:i/>
                <w:iCs/>
              </w:rPr>
              <w:t>Survey</w:t>
            </w:r>
          </w:p>
        </w:tc>
        <w:tc>
          <w:tcPr>
            <w:tcW w:w="1769" w:type="dxa"/>
            <w:tcBorders>
              <w:top w:val="thinThickSmallGap" w:sz="24" w:space="0" w:color="auto"/>
              <w:left w:val="single" w:sz="4" w:space="0" w:color="auto"/>
              <w:bottom w:val="single" w:sz="24" w:space="0" w:color="auto"/>
              <w:right w:val="single" w:sz="4" w:space="0" w:color="auto"/>
            </w:tcBorders>
          </w:tcPr>
          <w:p w:rsidR="00F27C6E" w:rsidRPr="00F64761" w:rsidP="00F27C6E" w14:paraId="21743BFD" w14:textId="77777777">
            <w:pPr>
              <w:spacing w:after="0" w:line="240" w:lineRule="auto"/>
              <w:jc w:val="center"/>
              <w:rPr>
                <w:i/>
                <w:iCs/>
              </w:rPr>
            </w:pPr>
            <w:r w:rsidRPr="00F64761">
              <w:rPr>
                <w:i/>
                <w:iCs/>
              </w:rPr>
              <w:t xml:space="preserve">Multiple choice </w:t>
            </w:r>
          </w:p>
          <w:p w:rsidR="00F27C6E" w:rsidRPr="00F64761" w:rsidP="00F27C6E" w14:paraId="032E166F" w14:textId="77777777">
            <w:pPr>
              <w:spacing w:after="0" w:line="240" w:lineRule="auto"/>
              <w:jc w:val="center"/>
              <w:rPr>
                <w:i/>
                <w:iCs/>
              </w:rPr>
            </w:pPr>
            <w:r w:rsidRPr="00F64761">
              <w:rPr>
                <w:i/>
                <w:iCs/>
              </w:rPr>
              <w:t>(single answer)</w:t>
            </w:r>
          </w:p>
        </w:tc>
        <w:tc>
          <w:tcPr>
            <w:tcW w:w="2925" w:type="dxa"/>
            <w:tcBorders>
              <w:top w:val="thinThickSmallGap" w:sz="24" w:space="0" w:color="auto"/>
              <w:left w:val="single" w:sz="4" w:space="0" w:color="auto"/>
              <w:bottom w:val="single" w:sz="24" w:space="0" w:color="auto"/>
              <w:right w:val="single" w:sz="4" w:space="0" w:color="auto"/>
            </w:tcBorders>
          </w:tcPr>
          <w:p w:rsidR="00F27C6E" w:rsidRPr="00F64761" w:rsidP="00F27C6E" w14:paraId="1A1F4950" w14:textId="77777777">
            <w:pPr>
              <w:spacing w:after="0" w:line="240" w:lineRule="auto"/>
              <w:jc w:val="center"/>
              <w:rPr>
                <w:i/>
                <w:iCs/>
              </w:rPr>
            </w:pPr>
            <w:r w:rsidRPr="00F64761">
              <w:rPr>
                <w:i/>
                <w:iCs/>
              </w:rPr>
              <w:t xml:space="preserve">Multiple choice </w:t>
            </w:r>
          </w:p>
          <w:p w:rsidR="00F27C6E" w:rsidRPr="00F64761" w:rsidP="00F27C6E" w14:paraId="3D4C4341" w14:textId="77777777">
            <w:pPr>
              <w:spacing w:after="0" w:line="240" w:lineRule="auto"/>
              <w:jc w:val="center"/>
              <w:rPr>
                <w:i/>
                <w:iCs/>
              </w:rPr>
            </w:pPr>
            <w:r w:rsidRPr="00F64761">
              <w:rPr>
                <w:i/>
                <w:iCs/>
              </w:rPr>
              <w:t>(select all that apply)</w:t>
            </w:r>
          </w:p>
        </w:tc>
        <w:tc>
          <w:tcPr>
            <w:tcW w:w="1260" w:type="dxa"/>
            <w:tcBorders>
              <w:top w:val="thinThickSmallGap" w:sz="24" w:space="0" w:color="auto"/>
              <w:left w:val="single" w:sz="4" w:space="0" w:color="auto"/>
              <w:bottom w:val="single" w:sz="24" w:space="0" w:color="auto"/>
              <w:right w:val="single" w:sz="4" w:space="0" w:color="auto"/>
            </w:tcBorders>
          </w:tcPr>
          <w:p w:rsidR="00F27C6E" w:rsidP="00F27C6E" w14:paraId="31BCE024" w14:textId="77777777">
            <w:pPr>
              <w:spacing w:after="0" w:line="240" w:lineRule="auto"/>
              <w:jc w:val="center"/>
              <w:rPr>
                <w:i/>
                <w:iCs/>
              </w:rPr>
            </w:pPr>
            <w:r>
              <w:rPr>
                <w:i/>
                <w:iCs/>
              </w:rPr>
              <w:t>Dropdown</w:t>
            </w:r>
          </w:p>
        </w:tc>
        <w:tc>
          <w:tcPr>
            <w:tcW w:w="1080" w:type="dxa"/>
            <w:tcBorders>
              <w:top w:val="thinThickSmallGap" w:sz="24" w:space="0" w:color="auto"/>
              <w:left w:val="single" w:sz="4" w:space="0" w:color="auto"/>
              <w:bottom w:val="single" w:sz="24" w:space="0" w:color="auto"/>
              <w:right w:val="single" w:sz="4" w:space="0" w:color="auto"/>
            </w:tcBorders>
          </w:tcPr>
          <w:p w:rsidR="00F27C6E" w:rsidRPr="00F64761" w:rsidP="00F27C6E" w14:paraId="35EFA284" w14:textId="77777777">
            <w:pPr>
              <w:spacing w:after="0" w:line="240" w:lineRule="auto"/>
              <w:jc w:val="center"/>
              <w:rPr>
                <w:i/>
                <w:iCs/>
              </w:rPr>
            </w:pPr>
            <w:r>
              <w:rPr>
                <w:i/>
                <w:iCs/>
              </w:rPr>
              <w:t>Matrix table</w:t>
            </w:r>
          </w:p>
        </w:tc>
        <w:tc>
          <w:tcPr>
            <w:tcW w:w="1260" w:type="dxa"/>
            <w:tcBorders>
              <w:top w:val="thinThickSmallGap" w:sz="24" w:space="0" w:color="auto"/>
              <w:left w:val="single" w:sz="4" w:space="0" w:color="auto"/>
              <w:bottom w:val="single" w:sz="24" w:space="0" w:color="auto"/>
              <w:right w:val="single" w:sz="4" w:space="0" w:color="auto"/>
            </w:tcBorders>
          </w:tcPr>
          <w:p w:rsidR="00F27C6E" w:rsidRPr="00F64761" w:rsidP="00F27C6E" w14:paraId="6CD4AD23" w14:textId="77777777">
            <w:pPr>
              <w:spacing w:after="0" w:line="240" w:lineRule="auto"/>
              <w:jc w:val="center"/>
              <w:rPr>
                <w:i/>
                <w:iCs/>
              </w:rPr>
            </w:pPr>
            <w:r w:rsidRPr="00F64761">
              <w:rPr>
                <w:i/>
                <w:iCs/>
              </w:rPr>
              <w:t>Free response</w:t>
            </w:r>
          </w:p>
        </w:tc>
        <w:tc>
          <w:tcPr>
            <w:tcW w:w="1710" w:type="dxa"/>
            <w:tcBorders>
              <w:top w:val="thinThickSmallGap" w:sz="24" w:space="0" w:color="auto"/>
              <w:left w:val="single" w:sz="4" w:space="0" w:color="auto"/>
              <w:bottom w:val="single" w:sz="24" w:space="0" w:color="auto"/>
              <w:right w:val="nil"/>
            </w:tcBorders>
          </w:tcPr>
          <w:p w:rsidR="00F27C6E" w:rsidRPr="00E846B5" w:rsidP="00F27C6E" w14:paraId="3602F7EC" w14:textId="77777777">
            <w:pPr>
              <w:spacing w:after="0" w:line="240" w:lineRule="auto"/>
              <w:jc w:val="center"/>
              <w:rPr>
                <w:i/>
                <w:iCs/>
                <w:vertAlign w:val="superscript"/>
              </w:rPr>
            </w:pPr>
            <w:r>
              <w:rPr>
                <w:i/>
                <w:iCs/>
              </w:rPr>
              <w:t>Total number of questions</w:t>
            </w:r>
            <w:r>
              <w:rPr>
                <w:i/>
                <w:iCs/>
                <w:vertAlign w:val="superscript"/>
              </w:rPr>
              <w:t>*</w:t>
            </w:r>
          </w:p>
        </w:tc>
      </w:tr>
      <w:tr w14:paraId="417EB59A" w14:textId="77777777" w:rsidTr="00F27C6E">
        <w:tblPrEx>
          <w:tblW w:w="13140" w:type="dxa"/>
          <w:tblLook w:val="04A0"/>
        </w:tblPrEx>
        <w:tc>
          <w:tcPr>
            <w:tcW w:w="3136" w:type="dxa"/>
            <w:tcBorders>
              <w:top w:val="single" w:sz="24" w:space="0" w:color="auto"/>
              <w:left w:val="nil"/>
              <w:right w:val="single" w:sz="4" w:space="0" w:color="auto"/>
            </w:tcBorders>
          </w:tcPr>
          <w:p w:rsidR="00F27C6E" w:rsidRPr="00C813EA" w:rsidP="00F27C6E" w14:paraId="06CD3414" w14:textId="77777777">
            <w:pPr>
              <w:spacing w:after="0" w:line="240" w:lineRule="auto"/>
              <w:rPr>
                <w:i/>
                <w:iCs/>
              </w:rPr>
            </w:pPr>
            <w:r w:rsidRPr="00C813EA">
              <w:rPr>
                <w:i/>
                <w:iCs/>
              </w:rPr>
              <w:t>Intake: programmatic activities survey</w:t>
            </w:r>
          </w:p>
        </w:tc>
        <w:tc>
          <w:tcPr>
            <w:tcW w:w="1769" w:type="dxa"/>
            <w:tcBorders>
              <w:top w:val="single" w:sz="24" w:space="0" w:color="auto"/>
              <w:left w:val="single" w:sz="4" w:space="0" w:color="auto"/>
              <w:right w:val="single" w:sz="4" w:space="0" w:color="auto"/>
            </w:tcBorders>
          </w:tcPr>
          <w:p w:rsidR="00F27C6E" w:rsidP="00F27C6E" w14:paraId="0953849D" w14:textId="77777777">
            <w:pPr>
              <w:spacing w:after="0" w:line="240" w:lineRule="auto"/>
              <w:jc w:val="center"/>
            </w:pPr>
            <w:r>
              <w:t>2</w:t>
            </w:r>
          </w:p>
        </w:tc>
        <w:tc>
          <w:tcPr>
            <w:tcW w:w="2925" w:type="dxa"/>
            <w:tcBorders>
              <w:top w:val="single" w:sz="24" w:space="0" w:color="auto"/>
              <w:left w:val="single" w:sz="4" w:space="0" w:color="auto"/>
              <w:right w:val="single" w:sz="4" w:space="0" w:color="auto"/>
            </w:tcBorders>
          </w:tcPr>
          <w:p w:rsidR="00F27C6E" w:rsidP="00F27C6E" w14:paraId="641327FE" w14:textId="77777777">
            <w:pPr>
              <w:spacing w:after="0" w:line="240" w:lineRule="auto"/>
              <w:jc w:val="center"/>
            </w:pPr>
            <w:r>
              <w:t>1</w:t>
            </w:r>
          </w:p>
        </w:tc>
        <w:tc>
          <w:tcPr>
            <w:tcW w:w="1260" w:type="dxa"/>
            <w:tcBorders>
              <w:top w:val="single" w:sz="24" w:space="0" w:color="auto"/>
              <w:left w:val="single" w:sz="4" w:space="0" w:color="auto"/>
              <w:right w:val="single" w:sz="4" w:space="0" w:color="auto"/>
            </w:tcBorders>
          </w:tcPr>
          <w:p w:rsidR="00F27C6E" w:rsidP="00F27C6E" w14:paraId="4DF21483" w14:textId="77777777">
            <w:pPr>
              <w:spacing w:after="0" w:line="240" w:lineRule="auto"/>
              <w:jc w:val="center"/>
            </w:pPr>
            <w:r>
              <w:t>0</w:t>
            </w:r>
          </w:p>
        </w:tc>
        <w:tc>
          <w:tcPr>
            <w:tcW w:w="1080" w:type="dxa"/>
            <w:tcBorders>
              <w:top w:val="single" w:sz="24" w:space="0" w:color="auto"/>
              <w:left w:val="single" w:sz="4" w:space="0" w:color="auto"/>
              <w:right w:val="single" w:sz="4" w:space="0" w:color="auto"/>
            </w:tcBorders>
          </w:tcPr>
          <w:p w:rsidR="00F27C6E" w:rsidP="00F27C6E" w14:paraId="5B09CC3E" w14:textId="77777777">
            <w:pPr>
              <w:spacing w:after="0" w:line="240" w:lineRule="auto"/>
              <w:jc w:val="center"/>
            </w:pPr>
            <w:r>
              <w:t>0</w:t>
            </w:r>
          </w:p>
        </w:tc>
        <w:tc>
          <w:tcPr>
            <w:tcW w:w="1260" w:type="dxa"/>
            <w:tcBorders>
              <w:top w:val="single" w:sz="24" w:space="0" w:color="auto"/>
              <w:left w:val="single" w:sz="4" w:space="0" w:color="auto"/>
              <w:right w:val="single" w:sz="4" w:space="0" w:color="auto"/>
            </w:tcBorders>
          </w:tcPr>
          <w:p w:rsidR="00F27C6E" w:rsidP="00F27C6E" w14:paraId="24EACB8C" w14:textId="257944B0">
            <w:pPr>
              <w:spacing w:after="0" w:line="240" w:lineRule="auto"/>
              <w:jc w:val="center"/>
            </w:pPr>
            <w:r>
              <w:t>1</w:t>
            </w:r>
          </w:p>
        </w:tc>
        <w:tc>
          <w:tcPr>
            <w:tcW w:w="1710" w:type="dxa"/>
            <w:tcBorders>
              <w:top w:val="single" w:sz="24" w:space="0" w:color="auto"/>
              <w:left w:val="single" w:sz="4" w:space="0" w:color="auto"/>
              <w:right w:val="nil"/>
            </w:tcBorders>
          </w:tcPr>
          <w:p w:rsidR="00F27C6E" w:rsidP="00F27C6E" w14:paraId="5E8F7B6C" w14:textId="77777777">
            <w:pPr>
              <w:spacing w:after="0" w:line="240" w:lineRule="auto"/>
              <w:jc w:val="center"/>
            </w:pPr>
            <w:r>
              <w:t>4</w:t>
            </w:r>
          </w:p>
        </w:tc>
      </w:tr>
      <w:tr w14:paraId="79080222" w14:textId="77777777" w:rsidTr="00F27C6E">
        <w:tblPrEx>
          <w:tblW w:w="13140" w:type="dxa"/>
          <w:tblLook w:val="04A0"/>
        </w:tblPrEx>
        <w:tc>
          <w:tcPr>
            <w:tcW w:w="3136" w:type="dxa"/>
            <w:tcBorders>
              <w:left w:val="nil"/>
              <w:right w:val="single" w:sz="4" w:space="0" w:color="auto"/>
            </w:tcBorders>
          </w:tcPr>
          <w:p w:rsidR="00F27C6E" w:rsidRPr="00C813EA" w:rsidP="00F27C6E" w14:paraId="3509A6D8" w14:textId="77777777">
            <w:pPr>
              <w:spacing w:after="0" w:line="240" w:lineRule="auto"/>
              <w:rPr>
                <w:i/>
                <w:iCs/>
              </w:rPr>
            </w:pPr>
            <w:r w:rsidRPr="00C813EA">
              <w:rPr>
                <w:i/>
                <w:iCs/>
              </w:rPr>
              <w:t xml:space="preserve">Intake: </w:t>
            </w:r>
            <w:r>
              <w:rPr>
                <w:i/>
                <w:iCs/>
              </w:rPr>
              <w:t>additional funds received</w:t>
            </w:r>
            <w:r w:rsidRPr="00C813EA">
              <w:rPr>
                <w:i/>
                <w:iCs/>
              </w:rPr>
              <w:t xml:space="preserve"> survey</w:t>
            </w:r>
          </w:p>
        </w:tc>
        <w:tc>
          <w:tcPr>
            <w:tcW w:w="1769" w:type="dxa"/>
            <w:tcBorders>
              <w:left w:val="single" w:sz="4" w:space="0" w:color="auto"/>
              <w:right w:val="single" w:sz="4" w:space="0" w:color="auto"/>
            </w:tcBorders>
          </w:tcPr>
          <w:p w:rsidR="00F27C6E" w:rsidP="00F27C6E" w14:paraId="4E527466" w14:textId="77777777">
            <w:pPr>
              <w:spacing w:after="0" w:line="240" w:lineRule="auto"/>
              <w:jc w:val="center"/>
            </w:pPr>
            <w:r>
              <w:t>3</w:t>
            </w:r>
          </w:p>
        </w:tc>
        <w:tc>
          <w:tcPr>
            <w:tcW w:w="2925" w:type="dxa"/>
            <w:tcBorders>
              <w:left w:val="single" w:sz="4" w:space="0" w:color="auto"/>
              <w:right w:val="single" w:sz="4" w:space="0" w:color="auto"/>
            </w:tcBorders>
          </w:tcPr>
          <w:p w:rsidR="00F27C6E" w:rsidP="00F27C6E" w14:paraId="4C485548" w14:textId="77777777">
            <w:pPr>
              <w:spacing w:after="0" w:line="240" w:lineRule="auto"/>
              <w:jc w:val="center"/>
            </w:pPr>
            <w:r>
              <w:t>0</w:t>
            </w:r>
          </w:p>
        </w:tc>
        <w:tc>
          <w:tcPr>
            <w:tcW w:w="1260" w:type="dxa"/>
            <w:tcBorders>
              <w:left w:val="single" w:sz="4" w:space="0" w:color="auto"/>
              <w:right w:val="single" w:sz="4" w:space="0" w:color="auto"/>
            </w:tcBorders>
          </w:tcPr>
          <w:p w:rsidR="00F27C6E" w:rsidP="00F27C6E" w14:paraId="0DFC7809" w14:textId="77777777">
            <w:pPr>
              <w:spacing w:after="0" w:line="240" w:lineRule="auto"/>
              <w:jc w:val="center"/>
            </w:pPr>
            <w:r>
              <w:t>0</w:t>
            </w:r>
          </w:p>
        </w:tc>
        <w:tc>
          <w:tcPr>
            <w:tcW w:w="1080" w:type="dxa"/>
            <w:tcBorders>
              <w:left w:val="single" w:sz="4" w:space="0" w:color="auto"/>
              <w:right w:val="single" w:sz="4" w:space="0" w:color="auto"/>
            </w:tcBorders>
          </w:tcPr>
          <w:p w:rsidR="00F27C6E" w:rsidP="00F27C6E" w14:paraId="2995B2AF" w14:textId="77777777">
            <w:pPr>
              <w:spacing w:after="0" w:line="240" w:lineRule="auto"/>
              <w:jc w:val="center"/>
            </w:pPr>
            <w:r>
              <w:t>0</w:t>
            </w:r>
          </w:p>
        </w:tc>
        <w:tc>
          <w:tcPr>
            <w:tcW w:w="1260" w:type="dxa"/>
            <w:tcBorders>
              <w:left w:val="single" w:sz="4" w:space="0" w:color="auto"/>
              <w:right w:val="single" w:sz="4" w:space="0" w:color="auto"/>
            </w:tcBorders>
          </w:tcPr>
          <w:p w:rsidR="00F27C6E" w:rsidP="00F27C6E" w14:paraId="3B9DD981" w14:textId="77777777">
            <w:pPr>
              <w:spacing w:after="0" w:line="240" w:lineRule="auto"/>
              <w:jc w:val="center"/>
            </w:pPr>
            <w:r>
              <w:t>2</w:t>
            </w:r>
          </w:p>
        </w:tc>
        <w:tc>
          <w:tcPr>
            <w:tcW w:w="1710" w:type="dxa"/>
            <w:tcBorders>
              <w:left w:val="single" w:sz="4" w:space="0" w:color="auto"/>
              <w:right w:val="nil"/>
            </w:tcBorders>
          </w:tcPr>
          <w:p w:rsidR="00F27C6E" w:rsidP="00F27C6E" w14:paraId="31ADF11F" w14:textId="77777777">
            <w:pPr>
              <w:spacing w:after="0" w:line="240" w:lineRule="auto"/>
              <w:jc w:val="center"/>
            </w:pPr>
            <w:r>
              <w:t>5</w:t>
            </w:r>
          </w:p>
        </w:tc>
      </w:tr>
      <w:tr w14:paraId="2158F670" w14:textId="77777777" w:rsidTr="00F27C6E">
        <w:tblPrEx>
          <w:tblW w:w="13140" w:type="dxa"/>
          <w:tblLook w:val="04A0"/>
        </w:tblPrEx>
        <w:tc>
          <w:tcPr>
            <w:tcW w:w="3136" w:type="dxa"/>
            <w:tcBorders>
              <w:left w:val="nil"/>
              <w:right w:val="single" w:sz="4" w:space="0" w:color="auto"/>
            </w:tcBorders>
          </w:tcPr>
          <w:p w:rsidR="00F27C6E" w:rsidRPr="00C813EA" w:rsidP="00F27C6E" w14:paraId="4346C451" w14:textId="77777777">
            <w:pPr>
              <w:spacing w:after="0" w:line="240" w:lineRule="auto"/>
              <w:rPr>
                <w:i/>
                <w:iCs/>
              </w:rPr>
            </w:pPr>
            <w:r w:rsidRPr="00C813EA">
              <w:rPr>
                <w:i/>
                <w:iCs/>
              </w:rPr>
              <w:t>Intake: individuals survey</w:t>
            </w:r>
          </w:p>
        </w:tc>
        <w:tc>
          <w:tcPr>
            <w:tcW w:w="1769" w:type="dxa"/>
            <w:tcBorders>
              <w:left w:val="single" w:sz="4" w:space="0" w:color="auto"/>
              <w:right w:val="single" w:sz="4" w:space="0" w:color="auto"/>
            </w:tcBorders>
          </w:tcPr>
          <w:p w:rsidR="00F27C6E" w:rsidP="00F27C6E" w14:paraId="0CE63BE8" w14:textId="77777777">
            <w:pPr>
              <w:spacing w:after="0" w:line="240" w:lineRule="auto"/>
              <w:jc w:val="center"/>
            </w:pPr>
            <w:r>
              <w:t>1</w:t>
            </w:r>
          </w:p>
        </w:tc>
        <w:tc>
          <w:tcPr>
            <w:tcW w:w="2925" w:type="dxa"/>
            <w:tcBorders>
              <w:left w:val="single" w:sz="4" w:space="0" w:color="auto"/>
              <w:right w:val="single" w:sz="4" w:space="0" w:color="auto"/>
            </w:tcBorders>
          </w:tcPr>
          <w:p w:rsidR="00F27C6E" w:rsidP="00F27C6E" w14:paraId="7794FD02" w14:textId="77777777">
            <w:pPr>
              <w:spacing w:after="0" w:line="240" w:lineRule="auto"/>
              <w:jc w:val="center"/>
            </w:pPr>
            <w:r>
              <w:t>1</w:t>
            </w:r>
          </w:p>
        </w:tc>
        <w:tc>
          <w:tcPr>
            <w:tcW w:w="1260" w:type="dxa"/>
            <w:tcBorders>
              <w:left w:val="single" w:sz="4" w:space="0" w:color="auto"/>
              <w:right w:val="single" w:sz="4" w:space="0" w:color="auto"/>
            </w:tcBorders>
          </w:tcPr>
          <w:p w:rsidR="00F27C6E" w:rsidP="00F27C6E" w14:paraId="29BB2BBE" w14:textId="77777777">
            <w:pPr>
              <w:spacing w:after="0" w:line="240" w:lineRule="auto"/>
              <w:jc w:val="center"/>
            </w:pPr>
            <w:r>
              <w:t>0</w:t>
            </w:r>
          </w:p>
        </w:tc>
        <w:tc>
          <w:tcPr>
            <w:tcW w:w="1080" w:type="dxa"/>
            <w:tcBorders>
              <w:left w:val="single" w:sz="4" w:space="0" w:color="auto"/>
              <w:right w:val="single" w:sz="4" w:space="0" w:color="auto"/>
            </w:tcBorders>
          </w:tcPr>
          <w:p w:rsidR="00F27C6E" w:rsidP="00F27C6E" w14:paraId="0C89CECD" w14:textId="77777777">
            <w:pPr>
              <w:spacing w:after="0" w:line="240" w:lineRule="auto"/>
              <w:jc w:val="center"/>
            </w:pPr>
            <w:r>
              <w:t>0</w:t>
            </w:r>
          </w:p>
        </w:tc>
        <w:tc>
          <w:tcPr>
            <w:tcW w:w="1260" w:type="dxa"/>
            <w:tcBorders>
              <w:left w:val="single" w:sz="4" w:space="0" w:color="auto"/>
              <w:right w:val="single" w:sz="4" w:space="0" w:color="auto"/>
            </w:tcBorders>
          </w:tcPr>
          <w:p w:rsidR="00F27C6E" w:rsidP="00F27C6E" w14:paraId="31DD0790" w14:textId="76540A9D">
            <w:pPr>
              <w:spacing w:after="0" w:line="240" w:lineRule="auto"/>
              <w:jc w:val="center"/>
            </w:pPr>
            <w:r>
              <w:t>2</w:t>
            </w:r>
          </w:p>
        </w:tc>
        <w:tc>
          <w:tcPr>
            <w:tcW w:w="1710" w:type="dxa"/>
            <w:tcBorders>
              <w:left w:val="single" w:sz="4" w:space="0" w:color="auto"/>
              <w:right w:val="nil"/>
            </w:tcBorders>
          </w:tcPr>
          <w:p w:rsidR="00F27C6E" w:rsidP="00F27C6E" w14:paraId="0777FE07" w14:textId="77777777">
            <w:pPr>
              <w:spacing w:after="0" w:line="240" w:lineRule="auto"/>
              <w:jc w:val="center"/>
            </w:pPr>
            <w:r>
              <w:t>4</w:t>
            </w:r>
          </w:p>
        </w:tc>
      </w:tr>
      <w:tr w14:paraId="0D9EDA64" w14:textId="77777777" w:rsidTr="00F27C6E">
        <w:tblPrEx>
          <w:tblW w:w="13140" w:type="dxa"/>
          <w:tblLook w:val="04A0"/>
        </w:tblPrEx>
        <w:tc>
          <w:tcPr>
            <w:tcW w:w="3136" w:type="dxa"/>
            <w:tcBorders>
              <w:left w:val="nil"/>
              <w:right w:val="single" w:sz="4" w:space="0" w:color="auto"/>
            </w:tcBorders>
          </w:tcPr>
          <w:p w:rsidR="00F27C6E" w:rsidRPr="00C813EA" w:rsidP="00F27C6E" w14:paraId="6CF2DA63" w14:textId="77777777">
            <w:pPr>
              <w:spacing w:after="0" w:line="240" w:lineRule="auto"/>
              <w:rPr>
                <w:i/>
                <w:iCs/>
              </w:rPr>
            </w:pPr>
            <w:r w:rsidRPr="00C813EA">
              <w:rPr>
                <w:i/>
                <w:iCs/>
              </w:rPr>
              <w:t>Programmatic activities survey</w:t>
            </w:r>
          </w:p>
        </w:tc>
        <w:tc>
          <w:tcPr>
            <w:tcW w:w="1769" w:type="dxa"/>
            <w:tcBorders>
              <w:left w:val="single" w:sz="4" w:space="0" w:color="auto"/>
              <w:right w:val="single" w:sz="4" w:space="0" w:color="auto"/>
            </w:tcBorders>
          </w:tcPr>
          <w:p w:rsidR="00F27C6E" w:rsidP="00F27C6E" w14:paraId="3BB0EE8B" w14:textId="4CB69946">
            <w:pPr>
              <w:spacing w:after="0" w:line="240" w:lineRule="auto"/>
              <w:jc w:val="center"/>
            </w:pPr>
            <w:r>
              <w:t>49</w:t>
            </w:r>
          </w:p>
        </w:tc>
        <w:tc>
          <w:tcPr>
            <w:tcW w:w="2925" w:type="dxa"/>
            <w:tcBorders>
              <w:left w:val="single" w:sz="4" w:space="0" w:color="auto"/>
              <w:right w:val="single" w:sz="4" w:space="0" w:color="auto"/>
            </w:tcBorders>
          </w:tcPr>
          <w:p w:rsidR="00F27C6E" w:rsidP="00F27C6E" w14:paraId="0DBC179A" w14:textId="1ADA6439">
            <w:pPr>
              <w:spacing w:after="0" w:line="240" w:lineRule="auto"/>
              <w:jc w:val="center"/>
            </w:pPr>
            <w:r>
              <w:t>6</w:t>
            </w:r>
          </w:p>
        </w:tc>
        <w:tc>
          <w:tcPr>
            <w:tcW w:w="1260" w:type="dxa"/>
            <w:tcBorders>
              <w:left w:val="single" w:sz="4" w:space="0" w:color="auto"/>
              <w:right w:val="single" w:sz="4" w:space="0" w:color="auto"/>
            </w:tcBorders>
          </w:tcPr>
          <w:p w:rsidR="00F27C6E" w:rsidP="00F27C6E" w14:paraId="03E21EE7" w14:textId="7594D9E1">
            <w:pPr>
              <w:spacing w:after="0" w:line="240" w:lineRule="auto"/>
              <w:jc w:val="center"/>
            </w:pPr>
            <w:r>
              <w:t>1</w:t>
            </w:r>
          </w:p>
        </w:tc>
        <w:tc>
          <w:tcPr>
            <w:tcW w:w="1080" w:type="dxa"/>
            <w:tcBorders>
              <w:left w:val="single" w:sz="4" w:space="0" w:color="auto"/>
              <w:right w:val="single" w:sz="4" w:space="0" w:color="auto"/>
            </w:tcBorders>
          </w:tcPr>
          <w:p w:rsidR="00F27C6E" w:rsidP="00F27C6E" w14:paraId="14C840FD" w14:textId="6896417C">
            <w:pPr>
              <w:spacing w:after="0" w:line="240" w:lineRule="auto"/>
              <w:jc w:val="center"/>
            </w:pPr>
            <w:r>
              <w:t>7</w:t>
            </w:r>
          </w:p>
        </w:tc>
        <w:tc>
          <w:tcPr>
            <w:tcW w:w="1260" w:type="dxa"/>
            <w:tcBorders>
              <w:left w:val="single" w:sz="4" w:space="0" w:color="auto"/>
              <w:right w:val="single" w:sz="4" w:space="0" w:color="auto"/>
            </w:tcBorders>
          </w:tcPr>
          <w:p w:rsidR="00F27C6E" w:rsidP="00F27C6E" w14:paraId="687D8E2D" w14:textId="098201C3">
            <w:pPr>
              <w:spacing w:after="0" w:line="240" w:lineRule="auto"/>
              <w:jc w:val="center"/>
            </w:pPr>
            <w:r>
              <w:t>5</w:t>
            </w:r>
            <w:r w:rsidR="003D34A2">
              <w:t>8</w:t>
            </w:r>
          </w:p>
        </w:tc>
        <w:tc>
          <w:tcPr>
            <w:tcW w:w="1710" w:type="dxa"/>
            <w:tcBorders>
              <w:left w:val="single" w:sz="4" w:space="0" w:color="auto"/>
              <w:right w:val="nil"/>
            </w:tcBorders>
          </w:tcPr>
          <w:p w:rsidR="00F27C6E" w:rsidP="00F27C6E" w14:paraId="33C45287" w14:textId="77FF47D0">
            <w:pPr>
              <w:spacing w:after="0" w:line="240" w:lineRule="auto"/>
              <w:jc w:val="center"/>
            </w:pPr>
            <w:r>
              <w:t>121</w:t>
            </w:r>
          </w:p>
        </w:tc>
      </w:tr>
      <w:tr w14:paraId="50B96C81" w14:textId="77777777" w:rsidTr="00F27C6E">
        <w:tblPrEx>
          <w:tblW w:w="13140" w:type="dxa"/>
          <w:tblLook w:val="04A0"/>
        </w:tblPrEx>
        <w:tc>
          <w:tcPr>
            <w:tcW w:w="3136" w:type="dxa"/>
            <w:tcBorders>
              <w:left w:val="nil"/>
              <w:bottom w:val="single" w:sz="4" w:space="0" w:color="auto"/>
              <w:right w:val="single" w:sz="4" w:space="0" w:color="auto"/>
            </w:tcBorders>
          </w:tcPr>
          <w:p w:rsidR="00F27C6E" w:rsidRPr="00C813EA" w:rsidP="00F27C6E" w14:paraId="222CDD89" w14:textId="77777777">
            <w:pPr>
              <w:spacing w:after="0" w:line="240" w:lineRule="auto"/>
              <w:rPr>
                <w:i/>
                <w:iCs/>
              </w:rPr>
            </w:pPr>
            <w:r w:rsidRPr="00C813EA">
              <w:rPr>
                <w:i/>
                <w:iCs/>
              </w:rPr>
              <w:t>Individuals survey</w:t>
            </w:r>
          </w:p>
        </w:tc>
        <w:tc>
          <w:tcPr>
            <w:tcW w:w="1769" w:type="dxa"/>
            <w:tcBorders>
              <w:left w:val="single" w:sz="4" w:space="0" w:color="auto"/>
              <w:bottom w:val="single" w:sz="4" w:space="0" w:color="auto"/>
              <w:right w:val="single" w:sz="4" w:space="0" w:color="auto"/>
            </w:tcBorders>
          </w:tcPr>
          <w:p w:rsidR="00F27C6E" w:rsidP="00F27C6E" w14:paraId="2E3B94E1" w14:textId="2ECF1ABD">
            <w:pPr>
              <w:spacing w:after="0" w:line="240" w:lineRule="auto"/>
              <w:jc w:val="center"/>
            </w:pPr>
            <w:r>
              <w:t>2</w:t>
            </w:r>
            <w:r w:rsidR="00033838">
              <w:t>5</w:t>
            </w:r>
          </w:p>
        </w:tc>
        <w:tc>
          <w:tcPr>
            <w:tcW w:w="2925" w:type="dxa"/>
            <w:tcBorders>
              <w:left w:val="single" w:sz="4" w:space="0" w:color="auto"/>
              <w:bottom w:val="single" w:sz="4" w:space="0" w:color="auto"/>
              <w:right w:val="single" w:sz="4" w:space="0" w:color="auto"/>
            </w:tcBorders>
          </w:tcPr>
          <w:p w:rsidR="00F27C6E" w:rsidP="00F27C6E" w14:paraId="3ECB59D9" w14:textId="31C0A6D3">
            <w:pPr>
              <w:spacing w:after="0" w:line="240" w:lineRule="auto"/>
              <w:jc w:val="center"/>
            </w:pPr>
            <w:r>
              <w:t>3</w:t>
            </w:r>
          </w:p>
        </w:tc>
        <w:tc>
          <w:tcPr>
            <w:tcW w:w="1260" w:type="dxa"/>
            <w:tcBorders>
              <w:left w:val="single" w:sz="4" w:space="0" w:color="auto"/>
              <w:bottom w:val="single" w:sz="4" w:space="0" w:color="auto"/>
              <w:right w:val="single" w:sz="4" w:space="0" w:color="auto"/>
            </w:tcBorders>
          </w:tcPr>
          <w:p w:rsidR="00F27C6E" w:rsidP="00F27C6E" w14:paraId="1A42B912" w14:textId="27FE1E6E">
            <w:pPr>
              <w:spacing w:after="0" w:line="240" w:lineRule="auto"/>
              <w:jc w:val="center"/>
            </w:pPr>
            <w:r>
              <w:t>2</w:t>
            </w:r>
          </w:p>
        </w:tc>
        <w:tc>
          <w:tcPr>
            <w:tcW w:w="1080" w:type="dxa"/>
            <w:tcBorders>
              <w:left w:val="single" w:sz="4" w:space="0" w:color="auto"/>
              <w:bottom w:val="single" w:sz="4" w:space="0" w:color="auto"/>
              <w:right w:val="single" w:sz="4" w:space="0" w:color="auto"/>
            </w:tcBorders>
          </w:tcPr>
          <w:p w:rsidR="00F27C6E" w:rsidP="00F27C6E" w14:paraId="0CC295D9" w14:textId="50E7E661">
            <w:pPr>
              <w:spacing w:after="0" w:line="240" w:lineRule="auto"/>
              <w:jc w:val="center"/>
            </w:pPr>
            <w:r>
              <w:t>15</w:t>
            </w:r>
          </w:p>
        </w:tc>
        <w:tc>
          <w:tcPr>
            <w:tcW w:w="1260" w:type="dxa"/>
            <w:tcBorders>
              <w:left w:val="single" w:sz="4" w:space="0" w:color="auto"/>
              <w:bottom w:val="single" w:sz="4" w:space="0" w:color="auto"/>
              <w:right w:val="single" w:sz="4" w:space="0" w:color="auto"/>
            </w:tcBorders>
          </w:tcPr>
          <w:p w:rsidR="00F27C6E" w:rsidP="00F27C6E" w14:paraId="0A13AC90" w14:textId="4C3BC0E9">
            <w:pPr>
              <w:spacing w:after="0" w:line="240" w:lineRule="auto"/>
              <w:jc w:val="center"/>
            </w:pPr>
            <w:r>
              <w:t>8</w:t>
            </w:r>
          </w:p>
        </w:tc>
        <w:tc>
          <w:tcPr>
            <w:tcW w:w="1710" w:type="dxa"/>
            <w:tcBorders>
              <w:left w:val="single" w:sz="4" w:space="0" w:color="auto"/>
              <w:bottom w:val="single" w:sz="4" w:space="0" w:color="auto"/>
              <w:right w:val="nil"/>
            </w:tcBorders>
          </w:tcPr>
          <w:p w:rsidR="00F27C6E" w:rsidP="00F27C6E" w14:paraId="2FCFC4B0" w14:textId="2205CAB3">
            <w:pPr>
              <w:spacing w:after="0" w:line="240" w:lineRule="auto"/>
              <w:jc w:val="center"/>
            </w:pPr>
            <w:r>
              <w:t>5</w:t>
            </w:r>
            <w:r w:rsidR="00033838">
              <w:t>3</w:t>
            </w:r>
          </w:p>
        </w:tc>
      </w:tr>
      <w:tr w14:paraId="2F57D30A" w14:textId="77777777" w:rsidTr="00F27C6E">
        <w:tblPrEx>
          <w:tblW w:w="13140" w:type="dxa"/>
          <w:tblLook w:val="04A0"/>
        </w:tblPrEx>
        <w:tc>
          <w:tcPr>
            <w:tcW w:w="3136" w:type="dxa"/>
            <w:tcBorders>
              <w:left w:val="nil"/>
              <w:bottom w:val="thickThinSmallGap" w:sz="24" w:space="0" w:color="auto"/>
              <w:right w:val="single" w:sz="4" w:space="0" w:color="auto"/>
            </w:tcBorders>
          </w:tcPr>
          <w:p w:rsidR="00F27C6E" w:rsidRPr="00C813EA" w:rsidP="00F27C6E" w14:paraId="74845F29" w14:textId="77777777">
            <w:pPr>
              <w:spacing w:after="0" w:line="240" w:lineRule="auto"/>
              <w:rPr>
                <w:i/>
                <w:iCs/>
              </w:rPr>
            </w:pPr>
            <w:r w:rsidRPr="00C813EA">
              <w:rPr>
                <w:i/>
                <w:iCs/>
              </w:rPr>
              <w:t>Partner organizations survey</w:t>
            </w:r>
          </w:p>
        </w:tc>
        <w:tc>
          <w:tcPr>
            <w:tcW w:w="1769" w:type="dxa"/>
            <w:tcBorders>
              <w:left w:val="single" w:sz="4" w:space="0" w:color="auto"/>
              <w:bottom w:val="thickThinSmallGap" w:sz="24" w:space="0" w:color="auto"/>
              <w:right w:val="single" w:sz="4" w:space="0" w:color="auto"/>
            </w:tcBorders>
          </w:tcPr>
          <w:p w:rsidR="00F27C6E" w:rsidP="00F27C6E" w14:paraId="1543A0FB" w14:textId="77777777">
            <w:pPr>
              <w:spacing w:after="0" w:line="240" w:lineRule="auto"/>
              <w:jc w:val="center"/>
            </w:pPr>
            <w:r>
              <w:t>6</w:t>
            </w:r>
          </w:p>
        </w:tc>
        <w:tc>
          <w:tcPr>
            <w:tcW w:w="2925" w:type="dxa"/>
            <w:tcBorders>
              <w:left w:val="single" w:sz="4" w:space="0" w:color="auto"/>
              <w:bottom w:val="thickThinSmallGap" w:sz="24" w:space="0" w:color="auto"/>
              <w:right w:val="single" w:sz="4" w:space="0" w:color="auto"/>
            </w:tcBorders>
          </w:tcPr>
          <w:p w:rsidR="00F27C6E" w:rsidP="00F27C6E" w14:paraId="5E83850A" w14:textId="77777777">
            <w:pPr>
              <w:spacing w:after="0" w:line="240" w:lineRule="auto"/>
              <w:jc w:val="center"/>
            </w:pPr>
            <w:r>
              <w:t>1</w:t>
            </w:r>
          </w:p>
        </w:tc>
        <w:tc>
          <w:tcPr>
            <w:tcW w:w="1260" w:type="dxa"/>
            <w:tcBorders>
              <w:left w:val="single" w:sz="4" w:space="0" w:color="auto"/>
              <w:bottom w:val="thickThinSmallGap" w:sz="24" w:space="0" w:color="auto"/>
              <w:right w:val="single" w:sz="4" w:space="0" w:color="auto"/>
            </w:tcBorders>
          </w:tcPr>
          <w:p w:rsidR="00F27C6E" w:rsidP="00F27C6E" w14:paraId="7693B1E3" w14:textId="77777777">
            <w:pPr>
              <w:spacing w:after="0" w:line="240" w:lineRule="auto"/>
              <w:jc w:val="center"/>
            </w:pPr>
            <w:r>
              <w:t>1</w:t>
            </w:r>
          </w:p>
        </w:tc>
        <w:tc>
          <w:tcPr>
            <w:tcW w:w="1080" w:type="dxa"/>
            <w:tcBorders>
              <w:left w:val="single" w:sz="4" w:space="0" w:color="auto"/>
              <w:bottom w:val="thickThinSmallGap" w:sz="24" w:space="0" w:color="auto"/>
              <w:right w:val="single" w:sz="4" w:space="0" w:color="auto"/>
            </w:tcBorders>
          </w:tcPr>
          <w:p w:rsidR="00F27C6E" w:rsidP="00F27C6E" w14:paraId="1B1C48D4" w14:textId="52A3F711">
            <w:pPr>
              <w:spacing w:after="0" w:line="240" w:lineRule="auto"/>
              <w:jc w:val="center"/>
            </w:pPr>
            <w:r>
              <w:t>7</w:t>
            </w:r>
          </w:p>
        </w:tc>
        <w:tc>
          <w:tcPr>
            <w:tcW w:w="1260" w:type="dxa"/>
            <w:tcBorders>
              <w:left w:val="single" w:sz="4" w:space="0" w:color="auto"/>
              <w:bottom w:val="thickThinSmallGap" w:sz="24" w:space="0" w:color="auto"/>
              <w:right w:val="single" w:sz="4" w:space="0" w:color="auto"/>
            </w:tcBorders>
          </w:tcPr>
          <w:p w:rsidR="00F27C6E" w:rsidP="00F27C6E" w14:paraId="787EFBE8" w14:textId="0452D28A">
            <w:pPr>
              <w:spacing w:after="0" w:line="240" w:lineRule="auto"/>
              <w:jc w:val="center"/>
            </w:pPr>
            <w:r>
              <w:t>11</w:t>
            </w:r>
          </w:p>
        </w:tc>
        <w:tc>
          <w:tcPr>
            <w:tcW w:w="1710" w:type="dxa"/>
            <w:tcBorders>
              <w:left w:val="single" w:sz="4" w:space="0" w:color="auto"/>
              <w:bottom w:val="thickThinSmallGap" w:sz="24" w:space="0" w:color="auto"/>
              <w:right w:val="nil"/>
            </w:tcBorders>
          </w:tcPr>
          <w:p w:rsidR="00F27C6E" w:rsidP="00F27C6E" w14:paraId="3A92DDE8" w14:textId="0D409FCE">
            <w:pPr>
              <w:spacing w:after="0" w:line="240" w:lineRule="auto"/>
              <w:jc w:val="center"/>
            </w:pPr>
            <w:r>
              <w:t>2</w:t>
            </w:r>
            <w:r w:rsidR="00426ED1">
              <w:t>6</w:t>
            </w:r>
          </w:p>
        </w:tc>
      </w:tr>
    </w:tbl>
    <w:p w:rsidR="00183611" w:rsidP="002C17B7" w14:paraId="57480497" w14:textId="4F2E0FAD">
      <w:pPr>
        <w:pStyle w:val="Caption"/>
      </w:pPr>
      <w:r>
        <w:rPr>
          <w:vertAlign w:val="superscript"/>
        </w:rPr>
        <w:t>*</w:t>
      </w:r>
      <w:r>
        <w:t>Note: the total number of questions identified may be less than the total number of questions displayed in the survey instruments because certain survey questions are text only and respondents do not need to provide a response. Text only questions are not counted towards the total number of questions.</w:t>
      </w:r>
      <w:r w:rsidR="007F0901">
        <w:t xml:space="preserve"> In addition, each statement within a matrix table </w:t>
      </w:r>
      <w:r w:rsidR="003D34A2">
        <w:t xml:space="preserve">and each form field free response </w:t>
      </w:r>
      <w:r w:rsidR="007F0901">
        <w:t>is counted as an individual question.</w:t>
      </w:r>
      <w:r>
        <w:br w:type="page"/>
      </w:r>
    </w:p>
    <w:p w:rsidR="00183611" w:rsidP="00183611" w14:paraId="24CC1845" w14:textId="77777777">
      <w:pPr>
        <w:pStyle w:val="Caption"/>
      </w:pPr>
      <w:bookmarkStart w:id="8" w:name="_Ref155961792"/>
      <w:r>
        <w:t xml:space="preserve">Table </w:t>
      </w:r>
      <w:r>
        <w:fldChar w:fldCharType="begin"/>
      </w:r>
      <w:r>
        <w:instrText xml:space="preserve"> SEQ Table \* ARABIC </w:instrText>
      </w:r>
      <w:r>
        <w:fldChar w:fldCharType="separate"/>
      </w:r>
      <w:r>
        <w:rPr>
          <w:noProof/>
        </w:rPr>
        <w:t>2</w:t>
      </w:r>
      <w:r>
        <w:rPr>
          <w:noProof/>
        </w:rPr>
        <w:fldChar w:fldCharType="end"/>
      </w:r>
      <w:bookmarkEnd w:id="8"/>
      <w:r>
        <w:t>. Summary of estimated burden (minutes per response) by group of survey respondents and instrument.</w:t>
      </w:r>
    </w:p>
    <w:tbl>
      <w:tblPr>
        <w:tblStyle w:val="TableGrid"/>
        <w:tblW w:w="0" w:type="auto"/>
        <w:tblLook w:val="04A0"/>
      </w:tblPr>
      <w:tblGrid>
        <w:gridCol w:w="1652"/>
        <w:gridCol w:w="1453"/>
        <w:gridCol w:w="1619"/>
        <w:gridCol w:w="1089"/>
        <w:gridCol w:w="1380"/>
        <w:gridCol w:w="1486"/>
        <w:gridCol w:w="1359"/>
        <w:gridCol w:w="1381"/>
        <w:gridCol w:w="1541"/>
      </w:tblGrid>
      <w:tr w14:paraId="323183F9" w14:textId="77777777" w:rsidTr="00040B4F">
        <w:tblPrEx>
          <w:tblW w:w="0" w:type="auto"/>
          <w:tblLook w:val="04A0"/>
        </w:tblPrEx>
        <w:tc>
          <w:tcPr>
            <w:tcW w:w="2152" w:type="dxa"/>
            <w:tcBorders>
              <w:top w:val="thinThickSmallGap" w:sz="24" w:space="0" w:color="auto"/>
              <w:left w:val="nil"/>
              <w:bottom w:val="single" w:sz="24" w:space="0" w:color="auto"/>
              <w:right w:val="single" w:sz="4" w:space="0" w:color="auto"/>
            </w:tcBorders>
          </w:tcPr>
          <w:p w:rsidR="00183611" w:rsidRPr="00C813EA" w:rsidP="004F1545" w14:paraId="44CBE10A" w14:textId="77777777">
            <w:pPr>
              <w:spacing w:after="0" w:line="240" w:lineRule="auto"/>
              <w:rPr>
                <w:i/>
                <w:iCs/>
              </w:rPr>
            </w:pPr>
            <w:r w:rsidRPr="00C813EA">
              <w:rPr>
                <w:i/>
                <w:iCs/>
              </w:rPr>
              <w:t>Survey</w:t>
            </w:r>
          </w:p>
        </w:tc>
        <w:tc>
          <w:tcPr>
            <w:tcW w:w="1502" w:type="dxa"/>
            <w:tcBorders>
              <w:top w:val="thinThickSmallGap" w:sz="24" w:space="0" w:color="auto"/>
              <w:left w:val="single" w:sz="4" w:space="0" w:color="auto"/>
              <w:bottom w:val="single" w:sz="24" w:space="0" w:color="auto"/>
              <w:right w:val="single" w:sz="4" w:space="0" w:color="auto"/>
            </w:tcBorders>
          </w:tcPr>
          <w:p w:rsidR="00183611" w:rsidRPr="00C813EA" w:rsidP="004F1545" w14:paraId="5C852289" w14:textId="77777777">
            <w:pPr>
              <w:spacing w:after="0" w:line="240" w:lineRule="auto"/>
              <w:jc w:val="center"/>
              <w:rPr>
                <w:i/>
                <w:iCs/>
              </w:rPr>
            </w:pPr>
            <w:r w:rsidRPr="00C813EA">
              <w:rPr>
                <w:i/>
                <w:iCs/>
              </w:rPr>
              <w:t>Designated coordinators</w:t>
            </w:r>
          </w:p>
        </w:tc>
        <w:tc>
          <w:tcPr>
            <w:tcW w:w="1697" w:type="dxa"/>
            <w:tcBorders>
              <w:top w:val="thinThickSmallGap" w:sz="24" w:space="0" w:color="auto"/>
              <w:left w:val="single" w:sz="4" w:space="0" w:color="auto"/>
              <w:bottom w:val="single" w:sz="24" w:space="0" w:color="auto"/>
              <w:right w:val="single" w:sz="4" w:space="0" w:color="auto"/>
            </w:tcBorders>
          </w:tcPr>
          <w:p w:rsidR="00183611" w:rsidRPr="00C813EA" w:rsidP="004F1545" w14:paraId="7A8ABCCE" w14:textId="77777777">
            <w:pPr>
              <w:spacing w:after="0" w:line="240" w:lineRule="auto"/>
              <w:jc w:val="center"/>
              <w:rPr>
                <w:i/>
                <w:iCs/>
              </w:rPr>
            </w:pPr>
            <w:r w:rsidRPr="00C813EA">
              <w:rPr>
                <w:i/>
                <w:iCs/>
              </w:rPr>
              <w:t>Programmatic leads</w:t>
            </w:r>
          </w:p>
        </w:tc>
        <w:tc>
          <w:tcPr>
            <w:tcW w:w="1056" w:type="dxa"/>
            <w:tcBorders>
              <w:top w:val="thinThickSmallGap" w:sz="24" w:space="0" w:color="auto"/>
              <w:left w:val="single" w:sz="4" w:space="0" w:color="auto"/>
              <w:bottom w:val="single" w:sz="24" w:space="0" w:color="auto"/>
              <w:right w:val="single" w:sz="4" w:space="0" w:color="auto"/>
            </w:tcBorders>
          </w:tcPr>
          <w:p w:rsidR="00183611" w:rsidRPr="00C813EA" w:rsidP="004F1545" w14:paraId="377A1F46" w14:textId="77777777">
            <w:pPr>
              <w:spacing w:after="0" w:line="240" w:lineRule="auto"/>
              <w:jc w:val="center"/>
              <w:rPr>
                <w:i/>
                <w:iCs/>
              </w:rPr>
            </w:pPr>
            <w:r w:rsidRPr="00C813EA">
              <w:rPr>
                <w:i/>
                <w:iCs/>
              </w:rPr>
              <w:t xml:space="preserve">Activity leads </w:t>
            </w:r>
          </w:p>
        </w:tc>
        <w:tc>
          <w:tcPr>
            <w:tcW w:w="1376" w:type="dxa"/>
            <w:tcBorders>
              <w:top w:val="thinThickSmallGap" w:sz="24" w:space="0" w:color="auto"/>
              <w:left w:val="single" w:sz="4" w:space="0" w:color="auto"/>
              <w:bottom w:val="single" w:sz="24" w:space="0" w:color="auto"/>
              <w:right w:val="single" w:sz="4" w:space="0" w:color="auto"/>
            </w:tcBorders>
          </w:tcPr>
          <w:p w:rsidR="00183611" w:rsidRPr="00C813EA" w:rsidP="004F1545" w14:paraId="630EA49B" w14:textId="77777777">
            <w:pPr>
              <w:spacing w:after="0" w:line="240" w:lineRule="auto"/>
              <w:jc w:val="center"/>
              <w:rPr>
                <w:i/>
                <w:iCs/>
              </w:rPr>
            </w:pPr>
            <w:r w:rsidRPr="00C813EA">
              <w:rPr>
                <w:i/>
                <w:iCs/>
              </w:rPr>
              <w:t>R&amp;D and translation participants</w:t>
            </w:r>
          </w:p>
        </w:tc>
        <w:tc>
          <w:tcPr>
            <w:tcW w:w="1482" w:type="dxa"/>
            <w:tcBorders>
              <w:top w:val="thinThickSmallGap" w:sz="24" w:space="0" w:color="auto"/>
              <w:left w:val="single" w:sz="4" w:space="0" w:color="auto"/>
              <w:bottom w:val="single" w:sz="24" w:space="0" w:color="auto"/>
              <w:right w:val="single" w:sz="4" w:space="0" w:color="auto"/>
            </w:tcBorders>
          </w:tcPr>
          <w:p w:rsidR="00183611" w:rsidRPr="00C813EA" w:rsidP="004F1545" w14:paraId="43CDC8E4" w14:textId="77777777">
            <w:pPr>
              <w:spacing w:after="0" w:line="240" w:lineRule="auto"/>
              <w:jc w:val="center"/>
              <w:rPr>
                <w:i/>
                <w:iCs/>
              </w:rPr>
            </w:pPr>
            <w:r w:rsidRPr="00C813EA">
              <w:rPr>
                <w:i/>
                <w:iCs/>
              </w:rPr>
              <w:t>Workforce development participants</w:t>
            </w:r>
          </w:p>
        </w:tc>
        <w:tc>
          <w:tcPr>
            <w:tcW w:w="1445" w:type="dxa"/>
            <w:tcBorders>
              <w:top w:val="thinThickSmallGap" w:sz="24" w:space="0" w:color="auto"/>
              <w:left w:val="single" w:sz="4" w:space="0" w:color="auto"/>
              <w:bottom w:val="single" w:sz="24" w:space="0" w:color="auto"/>
              <w:right w:val="single" w:sz="4" w:space="0" w:color="auto"/>
            </w:tcBorders>
          </w:tcPr>
          <w:p w:rsidR="00183611" w:rsidRPr="00C813EA" w:rsidP="004F1545" w14:paraId="48A0B2F6" w14:textId="77777777">
            <w:pPr>
              <w:spacing w:after="0" w:line="240" w:lineRule="auto"/>
              <w:jc w:val="center"/>
              <w:rPr>
                <w:i/>
                <w:iCs/>
              </w:rPr>
            </w:pPr>
            <w:r w:rsidRPr="00C813EA">
              <w:rPr>
                <w:i/>
                <w:iCs/>
              </w:rPr>
              <w:t>Engine leadership team</w:t>
            </w:r>
            <w:r>
              <w:rPr>
                <w:i/>
                <w:iCs/>
              </w:rPr>
              <w:t>,</w:t>
            </w:r>
            <w:r w:rsidRPr="00C813EA">
              <w:rPr>
                <w:i/>
                <w:iCs/>
              </w:rPr>
              <w:t xml:space="preserve"> governance board</w:t>
            </w:r>
            <w:r>
              <w:rPr>
                <w:i/>
                <w:iCs/>
              </w:rPr>
              <w:t>, and advisory committee</w:t>
            </w:r>
            <w:r w:rsidRPr="00C813EA">
              <w:rPr>
                <w:i/>
                <w:iCs/>
              </w:rPr>
              <w:t xml:space="preserve"> members</w:t>
            </w:r>
          </w:p>
        </w:tc>
        <w:tc>
          <w:tcPr>
            <w:tcW w:w="1399" w:type="dxa"/>
            <w:tcBorders>
              <w:top w:val="thinThickSmallGap" w:sz="24" w:space="0" w:color="auto"/>
              <w:left w:val="single" w:sz="4" w:space="0" w:color="auto"/>
              <w:bottom w:val="single" w:sz="24" w:space="0" w:color="auto"/>
              <w:right w:val="nil"/>
            </w:tcBorders>
          </w:tcPr>
          <w:p w:rsidR="00183611" w:rsidRPr="00C813EA" w:rsidP="004F1545" w14:paraId="57FE62EE" w14:textId="77777777">
            <w:pPr>
              <w:spacing w:after="0" w:line="240" w:lineRule="auto"/>
              <w:jc w:val="center"/>
              <w:rPr>
                <w:i/>
                <w:iCs/>
              </w:rPr>
            </w:pPr>
            <w:r w:rsidRPr="00C813EA">
              <w:rPr>
                <w:i/>
                <w:iCs/>
              </w:rPr>
              <w:t>All other Engine participants and personnel</w:t>
            </w:r>
          </w:p>
        </w:tc>
        <w:tc>
          <w:tcPr>
            <w:tcW w:w="851" w:type="dxa"/>
            <w:tcBorders>
              <w:top w:val="thinThickSmallGap" w:sz="24" w:space="0" w:color="auto"/>
              <w:left w:val="single" w:sz="4" w:space="0" w:color="auto"/>
              <w:bottom w:val="single" w:sz="24" w:space="0" w:color="auto"/>
              <w:right w:val="nil"/>
            </w:tcBorders>
          </w:tcPr>
          <w:p w:rsidR="00183611" w:rsidRPr="00C813EA" w:rsidP="004F1545" w14:paraId="55261CF3" w14:textId="77777777">
            <w:pPr>
              <w:spacing w:after="0" w:line="240" w:lineRule="auto"/>
              <w:jc w:val="center"/>
              <w:rPr>
                <w:i/>
                <w:iCs/>
              </w:rPr>
            </w:pPr>
            <w:r w:rsidRPr="00C813EA">
              <w:rPr>
                <w:i/>
                <w:iCs/>
              </w:rPr>
              <w:t>Partner organizations</w:t>
            </w:r>
          </w:p>
        </w:tc>
      </w:tr>
      <w:tr w14:paraId="784DE3C4" w14:textId="77777777" w:rsidTr="00040B4F">
        <w:tblPrEx>
          <w:tblW w:w="0" w:type="auto"/>
          <w:tblLook w:val="04A0"/>
        </w:tblPrEx>
        <w:tc>
          <w:tcPr>
            <w:tcW w:w="2152" w:type="dxa"/>
            <w:tcBorders>
              <w:top w:val="single" w:sz="24" w:space="0" w:color="auto"/>
              <w:left w:val="nil"/>
              <w:right w:val="single" w:sz="4" w:space="0" w:color="auto"/>
            </w:tcBorders>
          </w:tcPr>
          <w:p w:rsidR="00183611" w:rsidRPr="00B42B47" w:rsidP="004F1545" w14:paraId="30A0BE4D" w14:textId="77777777">
            <w:pPr>
              <w:spacing w:after="0" w:line="240" w:lineRule="auto"/>
              <w:rPr>
                <w:i/>
                <w:iCs/>
              </w:rPr>
            </w:pPr>
            <w:r w:rsidRPr="00B42B47">
              <w:rPr>
                <w:i/>
                <w:iCs/>
              </w:rPr>
              <w:t>Intake: programmatic activities survey</w:t>
            </w:r>
          </w:p>
        </w:tc>
        <w:tc>
          <w:tcPr>
            <w:tcW w:w="1502" w:type="dxa"/>
            <w:tcBorders>
              <w:top w:val="single" w:sz="24" w:space="0" w:color="auto"/>
              <w:left w:val="single" w:sz="4" w:space="0" w:color="auto"/>
              <w:right w:val="single" w:sz="4" w:space="0" w:color="auto"/>
            </w:tcBorders>
          </w:tcPr>
          <w:p w:rsidR="00183611" w:rsidP="004F1545" w14:paraId="21B15775" w14:textId="77777777">
            <w:pPr>
              <w:spacing w:after="0" w:line="240" w:lineRule="auto"/>
              <w:jc w:val="center"/>
            </w:pPr>
          </w:p>
        </w:tc>
        <w:tc>
          <w:tcPr>
            <w:tcW w:w="1697" w:type="dxa"/>
            <w:tcBorders>
              <w:top w:val="single" w:sz="24" w:space="0" w:color="auto"/>
              <w:left w:val="single" w:sz="4" w:space="0" w:color="auto"/>
              <w:right w:val="single" w:sz="4" w:space="0" w:color="auto"/>
            </w:tcBorders>
          </w:tcPr>
          <w:p w:rsidR="00183611" w:rsidP="004F1545" w14:paraId="2B74E1EC" w14:textId="77777777">
            <w:pPr>
              <w:spacing w:after="0" w:line="240" w:lineRule="auto"/>
              <w:jc w:val="center"/>
            </w:pPr>
            <w:r>
              <w:t>3 minutes</w:t>
            </w:r>
          </w:p>
        </w:tc>
        <w:tc>
          <w:tcPr>
            <w:tcW w:w="1056" w:type="dxa"/>
            <w:tcBorders>
              <w:top w:val="single" w:sz="24" w:space="0" w:color="auto"/>
              <w:left w:val="single" w:sz="4" w:space="0" w:color="auto"/>
              <w:right w:val="single" w:sz="4" w:space="0" w:color="auto"/>
            </w:tcBorders>
          </w:tcPr>
          <w:p w:rsidR="00183611" w:rsidP="004F1545" w14:paraId="3E0BD9F9" w14:textId="77777777">
            <w:pPr>
              <w:spacing w:after="0" w:line="240" w:lineRule="auto"/>
              <w:jc w:val="center"/>
            </w:pPr>
          </w:p>
        </w:tc>
        <w:tc>
          <w:tcPr>
            <w:tcW w:w="1376" w:type="dxa"/>
            <w:tcBorders>
              <w:top w:val="single" w:sz="24" w:space="0" w:color="auto"/>
              <w:left w:val="single" w:sz="4" w:space="0" w:color="auto"/>
              <w:right w:val="single" w:sz="4" w:space="0" w:color="auto"/>
            </w:tcBorders>
          </w:tcPr>
          <w:p w:rsidR="00183611" w:rsidP="004F1545" w14:paraId="67B60AFC" w14:textId="77777777">
            <w:pPr>
              <w:spacing w:after="0" w:line="240" w:lineRule="auto"/>
              <w:jc w:val="center"/>
            </w:pPr>
          </w:p>
        </w:tc>
        <w:tc>
          <w:tcPr>
            <w:tcW w:w="1482" w:type="dxa"/>
            <w:tcBorders>
              <w:top w:val="single" w:sz="24" w:space="0" w:color="auto"/>
              <w:left w:val="single" w:sz="4" w:space="0" w:color="auto"/>
              <w:right w:val="single" w:sz="4" w:space="0" w:color="auto"/>
            </w:tcBorders>
          </w:tcPr>
          <w:p w:rsidR="00183611" w:rsidP="004F1545" w14:paraId="4DD0441B" w14:textId="77777777">
            <w:pPr>
              <w:spacing w:after="0" w:line="240" w:lineRule="auto"/>
              <w:jc w:val="center"/>
            </w:pPr>
          </w:p>
        </w:tc>
        <w:tc>
          <w:tcPr>
            <w:tcW w:w="1445" w:type="dxa"/>
            <w:tcBorders>
              <w:top w:val="single" w:sz="24" w:space="0" w:color="auto"/>
              <w:left w:val="single" w:sz="4" w:space="0" w:color="auto"/>
              <w:right w:val="single" w:sz="4" w:space="0" w:color="auto"/>
            </w:tcBorders>
          </w:tcPr>
          <w:p w:rsidR="00183611" w:rsidP="004F1545" w14:paraId="49D1A27D" w14:textId="77777777">
            <w:pPr>
              <w:spacing w:after="0" w:line="240" w:lineRule="auto"/>
              <w:jc w:val="center"/>
            </w:pPr>
          </w:p>
        </w:tc>
        <w:tc>
          <w:tcPr>
            <w:tcW w:w="1399" w:type="dxa"/>
            <w:tcBorders>
              <w:top w:val="single" w:sz="24" w:space="0" w:color="auto"/>
              <w:left w:val="single" w:sz="4" w:space="0" w:color="auto"/>
              <w:right w:val="nil"/>
            </w:tcBorders>
          </w:tcPr>
          <w:p w:rsidR="00183611" w:rsidP="004F1545" w14:paraId="0A5377B8" w14:textId="77777777">
            <w:pPr>
              <w:spacing w:after="0" w:line="240" w:lineRule="auto"/>
              <w:jc w:val="center"/>
            </w:pPr>
          </w:p>
        </w:tc>
        <w:tc>
          <w:tcPr>
            <w:tcW w:w="851" w:type="dxa"/>
            <w:tcBorders>
              <w:top w:val="single" w:sz="24" w:space="0" w:color="auto"/>
              <w:left w:val="single" w:sz="4" w:space="0" w:color="auto"/>
              <w:right w:val="nil"/>
            </w:tcBorders>
          </w:tcPr>
          <w:p w:rsidR="00183611" w:rsidP="004F1545" w14:paraId="3F248D4F" w14:textId="77777777">
            <w:pPr>
              <w:spacing w:after="0" w:line="240" w:lineRule="auto"/>
              <w:jc w:val="center"/>
            </w:pPr>
          </w:p>
        </w:tc>
      </w:tr>
      <w:tr w14:paraId="4A6D82F7" w14:textId="77777777" w:rsidTr="00040B4F">
        <w:tblPrEx>
          <w:tblW w:w="0" w:type="auto"/>
          <w:tblLook w:val="04A0"/>
        </w:tblPrEx>
        <w:tc>
          <w:tcPr>
            <w:tcW w:w="2152" w:type="dxa"/>
            <w:tcBorders>
              <w:left w:val="nil"/>
              <w:right w:val="single" w:sz="4" w:space="0" w:color="auto"/>
            </w:tcBorders>
          </w:tcPr>
          <w:p w:rsidR="00183611" w:rsidRPr="00B42B47" w:rsidP="004F1545" w14:paraId="5F27CEC3" w14:textId="77777777">
            <w:pPr>
              <w:spacing w:after="0" w:line="240" w:lineRule="auto"/>
              <w:rPr>
                <w:i/>
                <w:iCs/>
              </w:rPr>
            </w:pPr>
            <w:r w:rsidRPr="00B42B47">
              <w:rPr>
                <w:i/>
                <w:iCs/>
              </w:rPr>
              <w:t xml:space="preserve">Intake: </w:t>
            </w:r>
            <w:r>
              <w:rPr>
                <w:i/>
                <w:iCs/>
              </w:rPr>
              <w:t>additional</w:t>
            </w:r>
            <w:r w:rsidRPr="00B42B47">
              <w:rPr>
                <w:i/>
                <w:iCs/>
              </w:rPr>
              <w:t xml:space="preserve"> fund</w:t>
            </w:r>
            <w:r>
              <w:rPr>
                <w:i/>
                <w:iCs/>
              </w:rPr>
              <w:t>s received</w:t>
            </w:r>
            <w:r w:rsidRPr="00B42B47">
              <w:rPr>
                <w:i/>
                <w:iCs/>
              </w:rPr>
              <w:t xml:space="preserve"> survey</w:t>
            </w:r>
          </w:p>
        </w:tc>
        <w:tc>
          <w:tcPr>
            <w:tcW w:w="1502" w:type="dxa"/>
            <w:tcBorders>
              <w:left w:val="single" w:sz="4" w:space="0" w:color="auto"/>
              <w:right w:val="single" w:sz="4" w:space="0" w:color="auto"/>
            </w:tcBorders>
          </w:tcPr>
          <w:p w:rsidR="00183611" w:rsidP="004F1545" w14:paraId="1533F2B9" w14:textId="77777777">
            <w:pPr>
              <w:spacing w:after="0" w:line="240" w:lineRule="auto"/>
              <w:jc w:val="center"/>
            </w:pPr>
            <w:r>
              <w:t>5 minutes</w:t>
            </w:r>
          </w:p>
        </w:tc>
        <w:tc>
          <w:tcPr>
            <w:tcW w:w="1697" w:type="dxa"/>
            <w:tcBorders>
              <w:left w:val="single" w:sz="4" w:space="0" w:color="auto"/>
              <w:right w:val="single" w:sz="4" w:space="0" w:color="auto"/>
            </w:tcBorders>
          </w:tcPr>
          <w:p w:rsidR="00183611" w:rsidP="004F1545" w14:paraId="04F35B8F" w14:textId="77777777">
            <w:pPr>
              <w:spacing w:after="0" w:line="240" w:lineRule="auto"/>
              <w:jc w:val="center"/>
            </w:pPr>
          </w:p>
        </w:tc>
        <w:tc>
          <w:tcPr>
            <w:tcW w:w="1056" w:type="dxa"/>
            <w:tcBorders>
              <w:left w:val="single" w:sz="4" w:space="0" w:color="auto"/>
              <w:right w:val="single" w:sz="4" w:space="0" w:color="auto"/>
            </w:tcBorders>
          </w:tcPr>
          <w:p w:rsidR="00183611" w:rsidP="004F1545" w14:paraId="070C20D8" w14:textId="77777777">
            <w:pPr>
              <w:spacing w:after="0" w:line="240" w:lineRule="auto"/>
              <w:jc w:val="center"/>
            </w:pPr>
          </w:p>
        </w:tc>
        <w:tc>
          <w:tcPr>
            <w:tcW w:w="1376" w:type="dxa"/>
            <w:tcBorders>
              <w:left w:val="single" w:sz="4" w:space="0" w:color="auto"/>
              <w:right w:val="single" w:sz="4" w:space="0" w:color="auto"/>
            </w:tcBorders>
          </w:tcPr>
          <w:p w:rsidR="00183611" w:rsidP="004F1545" w14:paraId="7754B22B" w14:textId="77777777">
            <w:pPr>
              <w:spacing w:after="0" w:line="240" w:lineRule="auto"/>
              <w:jc w:val="center"/>
            </w:pPr>
          </w:p>
        </w:tc>
        <w:tc>
          <w:tcPr>
            <w:tcW w:w="1482" w:type="dxa"/>
            <w:tcBorders>
              <w:left w:val="single" w:sz="4" w:space="0" w:color="auto"/>
              <w:right w:val="single" w:sz="4" w:space="0" w:color="auto"/>
            </w:tcBorders>
          </w:tcPr>
          <w:p w:rsidR="00183611" w:rsidP="004F1545" w14:paraId="07440234" w14:textId="77777777">
            <w:pPr>
              <w:spacing w:after="0" w:line="240" w:lineRule="auto"/>
              <w:jc w:val="center"/>
            </w:pPr>
          </w:p>
        </w:tc>
        <w:tc>
          <w:tcPr>
            <w:tcW w:w="1445" w:type="dxa"/>
            <w:tcBorders>
              <w:left w:val="single" w:sz="4" w:space="0" w:color="auto"/>
              <w:right w:val="single" w:sz="4" w:space="0" w:color="auto"/>
            </w:tcBorders>
          </w:tcPr>
          <w:p w:rsidR="00183611" w:rsidP="004F1545" w14:paraId="57152BA1" w14:textId="77777777">
            <w:pPr>
              <w:spacing w:after="0" w:line="240" w:lineRule="auto"/>
              <w:jc w:val="center"/>
            </w:pPr>
          </w:p>
        </w:tc>
        <w:tc>
          <w:tcPr>
            <w:tcW w:w="1399" w:type="dxa"/>
            <w:tcBorders>
              <w:left w:val="single" w:sz="4" w:space="0" w:color="auto"/>
              <w:right w:val="nil"/>
            </w:tcBorders>
          </w:tcPr>
          <w:p w:rsidR="00183611" w:rsidP="004F1545" w14:paraId="623795CE" w14:textId="77777777">
            <w:pPr>
              <w:spacing w:after="0" w:line="240" w:lineRule="auto"/>
              <w:jc w:val="center"/>
            </w:pPr>
          </w:p>
        </w:tc>
        <w:tc>
          <w:tcPr>
            <w:tcW w:w="851" w:type="dxa"/>
            <w:tcBorders>
              <w:left w:val="single" w:sz="4" w:space="0" w:color="auto"/>
              <w:right w:val="nil"/>
            </w:tcBorders>
          </w:tcPr>
          <w:p w:rsidR="00183611" w:rsidP="004F1545" w14:paraId="097AE345" w14:textId="77777777">
            <w:pPr>
              <w:spacing w:after="0" w:line="240" w:lineRule="auto"/>
              <w:jc w:val="center"/>
            </w:pPr>
          </w:p>
        </w:tc>
      </w:tr>
      <w:tr w14:paraId="0C7CD056" w14:textId="77777777" w:rsidTr="00040B4F">
        <w:tblPrEx>
          <w:tblW w:w="0" w:type="auto"/>
          <w:tblLook w:val="04A0"/>
        </w:tblPrEx>
        <w:tc>
          <w:tcPr>
            <w:tcW w:w="2152" w:type="dxa"/>
            <w:tcBorders>
              <w:left w:val="nil"/>
              <w:right w:val="single" w:sz="4" w:space="0" w:color="auto"/>
            </w:tcBorders>
          </w:tcPr>
          <w:p w:rsidR="00183611" w:rsidRPr="00B42B47" w:rsidP="004F1545" w14:paraId="664620B5" w14:textId="77777777">
            <w:pPr>
              <w:spacing w:after="0" w:line="240" w:lineRule="auto"/>
              <w:rPr>
                <w:i/>
                <w:iCs/>
              </w:rPr>
            </w:pPr>
            <w:r w:rsidRPr="00B42B47">
              <w:rPr>
                <w:i/>
                <w:iCs/>
              </w:rPr>
              <w:t>Intake: individuals survey</w:t>
            </w:r>
          </w:p>
        </w:tc>
        <w:tc>
          <w:tcPr>
            <w:tcW w:w="1502" w:type="dxa"/>
            <w:tcBorders>
              <w:left w:val="single" w:sz="4" w:space="0" w:color="auto"/>
              <w:right w:val="single" w:sz="4" w:space="0" w:color="auto"/>
            </w:tcBorders>
          </w:tcPr>
          <w:p w:rsidR="00183611" w:rsidP="004F1545" w14:paraId="2B61BDEF" w14:textId="77777777">
            <w:pPr>
              <w:spacing w:after="0" w:line="240" w:lineRule="auto"/>
              <w:jc w:val="center"/>
            </w:pPr>
          </w:p>
        </w:tc>
        <w:tc>
          <w:tcPr>
            <w:tcW w:w="1697" w:type="dxa"/>
            <w:tcBorders>
              <w:left w:val="single" w:sz="4" w:space="0" w:color="auto"/>
              <w:right w:val="single" w:sz="4" w:space="0" w:color="auto"/>
            </w:tcBorders>
          </w:tcPr>
          <w:p w:rsidR="00183611" w:rsidP="004F1545" w14:paraId="5FC04F2A" w14:textId="77777777">
            <w:pPr>
              <w:spacing w:after="0" w:line="240" w:lineRule="auto"/>
              <w:jc w:val="center"/>
            </w:pPr>
          </w:p>
        </w:tc>
        <w:tc>
          <w:tcPr>
            <w:tcW w:w="1056" w:type="dxa"/>
            <w:tcBorders>
              <w:left w:val="single" w:sz="4" w:space="0" w:color="auto"/>
              <w:right w:val="single" w:sz="4" w:space="0" w:color="auto"/>
            </w:tcBorders>
          </w:tcPr>
          <w:p w:rsidR="00183611" w:rsidP="004F1545" w14:paraId="6FA9FA30" w14:textId="77777777">
            <w:pPr>
              <w:spacing w:after="0" w:line="240" w:lineRule="auto"/>
              <w:jc w:val="center"/>
            </w:pPr>
            <w:r>
              <w:t>3 minutes</w:t>
            </w:r>
          </w:p>
        </w:tc>
        <w:tc>
          <w:tcPr>
            <w:tcW w:w="1376" w:type="dxa"/>
            <w:tcBorders>
              <w:left w:val="single" w:sz="4" w:space="0" w:color="auto"/>
              <w:right w:val="single" w:sz="4" w:space="0" w:color="auto"/>
            </w:tcBorders>
          </w:tcPr>
          <w:p w:rsidR="00183611" w:rsidP="004F1545" w14:paraId="66EFEDE9" w14:textId="77777777">
            <w:pPr>
              <w:spacing w:after="0" w:line="240" w:lineRule="auto"/>
              <w:jc w:val="center"/>
            </w:pPr>
          </w:p>
        </w:tc>
        <w:tc>
          <w:tcPr>
            <w:tcW w:w="1482" w:type="dxa"/>
            <w:tcBorders>
              <w:left w:val="single" w:sz="4" w:space="0" w:color="auto"/>
              <w:right w:val="single" w:sz="4" w:space="0" w:color="auto"/>
            </w:tcBorders>
          </w:tcPr>
          <w:p w:rsidR="00183611" w:rsidP="004F1545" w14:paraId="1D86E1D5" w14:textId="77777777">
            <w:pPr>
              <w:spacing w:after="0" w:line="240" w:lineRule="auto"/>
              <w:jc w:val="center"/>
            </w:pPr>
          </w:p>
        </w:tc>
        <w:tc>
          <w:tcPr>
            <w:tcW w:w="1445" w:type="dxa"/>
            <w:tcBorders>
              <w:left w:val="single" w:sz="4" w:space="0" w:color="auto"/>
              <w:right w:val="single" w:sz="4" w:space="0" w:color="auto"/>
            </w:tcBorders>
          </w:tcPr>
          <w:p w:rsidR="00183611" w:rsidP="004F1545" w14:paraId="5A926837" w14:textId="77777777">
            <w:pPr>
              <w:spacing w:after="0" w:line="240" w:lineRule="auto"/>
              <w:jc w:val="center"/>
            </w:pPr>
          </w:p>
        </w:tc>
        <w:tc>
          <w:tcPr>
            <w:tcW w:w="1399" w:type="dxa"/>
            <w:tcBorders>
              <w:left w:val="single" w:sz="4" w:space="0" w:color="auto"/>
              <w:right w:val="nil"/>
            </w:tcBorders>
          </w:tcPr>
          <w:p w:rsidR="00183611" w:rsidP="004F1545" w14:paraId="3DB4FCE4" w14:textId="77777777">
            <w:pPr>
              <w:spacing w:after="0" w:line="240" w:lineRule="auto"/>
              <w:jc w:val="center"/>
            </w:pPr>
          </w:p>
        </w:tc>
        <w:tc>
          <w:tcPr>
            <w:tcW w:w="851" w:type="dxa"/>
            <w:tcBorders>
              <w:left w:val="single" w:sz="4" w:space="0" w:color="auto"/>
              <w:right w:val="nil"/>
            </w:tcBorders>
          </w:tcPr>
          <w:p w:rsidR="00183611" w:rsidP="004F1545" w14:paraId="63569AC8" w14:textId="77777777">
            <w:pPr>
              <w:spacing w:after="0" w:line="240" w:lineRule="auto"/>
              <w:jc w:val="center"/>
            </w:pPr>
          </w:p>
        </w:tc>
      </w:tr>
      <w:tr w14:paraId="58D3A1CD" w14:textId="77777777" w:rsidTr="00040B4F">
        <w:tblPrEx>
          <w:tblW w:w="0" w:type="auto"/>
          <w:tblLook w:val="04A0"/>
        </w:tblPrEx>
        <w:tc>
          <w:tcPr>
            <w:tcW w:w="2152" w:type="dxa"/>
            <w:tcBorders>
              <w:left w:val="nil"/>
              <w:right w:val="single" w:sz="4" w:space="0" w:color="auto"/>
            </w:tcBorders>
          </w:tcPr>
          <w:p w:rsidR="00183611" w:rsidRPr="00B42B47" w:rsidP="004F1545" w14:paraId="2B513960" w14:textId="77777777">
            <w:pPr>
              <w:spacing w:after="0" w:line="240" w:lineRule="auto"/>
              <w:rPr>
                <w:i/>
                <w:iCs/>
              </w:rPr>
            </w:pPr>
            <w:r w:rsidRPr="00B42B47">
              <w:rPr>
                <w:i/>
                <w:iCs/>
              </w:rPr>
              <w:t>Programmatic activities survey</w:t>
            </w:r>
          </w:p>
        </w:tc>
        <w:tc>
          <w:tcPr>
            <w:tcW w:w="1502" w:type="dxa"/>
            <w:tcBorders>
              <w:left w:val="single" w:sz="4" w:space="0" w:color="auto"/>
              <w:right w:val="single" w:sz="4" w:space="0" w:color="auto"/>
            </w:tcBorders>
          </w:tcPr>
          <w:p w:rsidR="00183611" w:rsidP="004F1545" w14:paraId="6612F250" w14:textId="77777777">
            <w:pPr>
              <w:spacing w:after="0" w:line="240" w:lineRule="auto"/>
              <w:jc w:val="center"/>
            </w:pPr>
          </w:p>
        </w:tc>
        <w:tc>
          <w:tcPr>
            <w:tcW w:w="1697" w:type="dxa"/>
            <w:tcBorders>
              <w:left w:val="single" w:sz="4" w:space="0" w:color="auto"/>
              <w:right w:val="single" w:sz="4" w:space="0" w:color="auto"/>
            </w:tcBorders>
          </w:tcPr>
          <w:p w:rsidR="00183611" w:rsidP="004F1545" w14:paraId="7FE6CA1D" w14:textId="77777777">
            <w:pPr>
              <w:spacing w:after="0" w:line="240" w:lineRule="auto"/>
              <w:jc w:val="center"/>
            </w:pPr>
          </w:p>
        </w:tc>
        <w:tc>
          <w:tcPr>
            <w:tcW w:w="1056" w:type="dxa"/>
            <w:tcBorders>
              <w:left w:val="single" w:sz="4" w:space="0" w:color="auto"/>
              <w:right w:val="single" w:sz="4" w:space="0" w:color="auto"/>
            </w:tcBorders>
          </w:tcPr>
          <w:p w:rsidR="00183611" w:rsidRPr="00654D0F" w:rsidP="004F1545" w14:paraId="53E4BFAF" w14:textId="77777777">
            <w:pPr>
              <w:spacing w:after="0" w:line="240" w:lineRule="auto"/>
              <w:jc w:val="center"/>
              <w:rPr>
                <w:vertAlign w:val="superscript"/>
              </w:rPr>
            </w:pPr>
            <w:r>
              <w:t>15 to 30 minutes</w:t>
            </w:r>
            <w:r>
              <w:rPr>
                <w:rFonts w:ascii="Symbol" w:eastAsia="Symbol" w:hAnsi="Symbol" w:cs="Symbol"/>
                <w:vertAlign w:val="superscript"/>
              </w:rPr>
              <w:t>*</w:t>
            </w:r>
          </w:p>
        </w:tc>
        <w:tc>
          <w:tcPr>
            <w:tcW w:w="1376" w:type="dxa"/>
            <w:tcBorders>
              <w:left w:val="single" w:sz="4" w:space="0" w:color="auto"/>
              <w:right w:val="single" w:sz="4" w:space="0" w:color="auto"/>
            </w:tcBorders>
          </w:tcPr>
          <w:p w:rsidR="00183611" w:rsidP="004F1545" w14:paraId="099A6DE0" w14:textId="77777777">
            <w:pPr>
              <w:spacing w:after="0" w:line="240" w:lineRule="auto"/>
              <w:jc w:val="center"/>
            </w:pPr>
          </w:p>
        </w:tc>
        <w:tc>
          <w:tcPr>
            <w:tcW w:w="1482" w:type="dxa"/>
            <w:tcBorders>
              <w:left w:val="single" w:sz="4" w:space="0" w:color="auto"/>
              <w:right w:val="single" w:sz="4" w:space="0" w:color="auto"/>
            </w:tcBorders>
          </w:tcPr>
          <w:p w:rsidR="00183611" w:rsidP="004F1545" w14:paraId="0475E0ED" w14:textId="77777777">
            <w:pPr>
              <w:spacing w:after="0" w:line="240" w:lineRule="auto"/>
              <w:jc w:val="center"/>
            </w:pPr>
          </w:p>
        </w:tc>
        <w:tc>
          <w:tcPr>
            <w:tcW w:w="1445" w:type="dxa"/>
            <w:tcBorders>
              <w:left w:val="single" w:sz="4" w:space="0" w:color="auto"/>
              <w:right w:val="single" w:sz="4" w:space="0" w:color="auto"/>
            </w:tcBorders>
          </w:tcPr>
          <w:p w:rsidR="00183611" w:rsidP="004F1545" w14:paraId="3942A091" w14:textId="77777777">
            <w:pPr>
              <w:spacing w:after="0" w:line="240" w:lineRule="auto"/>
              <w:jc w:val="center"/>
            </w:pPr>
          </w:p>
        </w:tc>
        <w:tc>
          <w:tcPr>
            <w:tcW w:w="1399" w:type="dxa"/>
            <w:tcBorders>
              <w:left w:val="single" w:sz="4" w:space="0" w:color="auto"/>
              <w:right w:val="nil"/>
            </w:tcBorders>
          </w:tcPr>
          <w:p w:rsidR="00183611" w:rsidP="004F1545" w14:paraId="4C16A48E" w14:textId="77777777">
            <w:pPr>
              <w:spacing w:after="0" w:line="240" w:lineRule="auto"/>
              <w:jc w:val="center"/>
            </w:pPr>
          </w:p>
        </w:tc>
        <w:tc>
          <w:tcPr>
            <w:tcW w:w="851" w:type="dxa"/>
            <w:tcBorders>
              <w:left w:val="single" w:sz="4" w:space="0" w:color="auto"/>
              <w:right w:val="nil"/>
            </w:tcBorders>
          </w:tcPr>
          <w:p w:rsidR="00183611" w:rsidP="004F1545" w14:paraId="1BB3B92D" w14:textId="77777777">
            <w:pPr>
              <w:spacing w:after="0" w:line="240" w:lineRule="auto"/>
              <w:jc w:val="center"/>
            </w:pPr>
          </w:p>
        </w:tc>
      </w:tr>
      <w:tr w14:paraId="52A4CBF6" w14:textId="77777777" w:rsidTr="00040B4F">
        <w:tblPrEx>
          <w:tblW w:w="0" w:type="auto"/>
          <w:tblLook w:val="04A0"/>
        </w:tblPrEx>
        <w:tc>
          <w:tcPr>
            <w:tcW w:w="2152" w:type="dxa"/>
            <w:tcBorders>
              <w:left w:val="nil"/>
              <w:bottom w:val="single" w:sz="4" w:space="0" w:color="auto"/>
              <w:right w:val="single" w:sz="4" w:space="0" w:color="auto"/>
            </w:tcBorders>
          </w:tcPr>
          <w:p w:rsidR="00183611" w:rsidRPr="00B42B47" w:rsidP="004F1545" w14:paraId="49F326FD" w14:textId="77777777">
            <w:pPr>
              <w:spacing w:after="0" w:line="240" w:lineRule="auto"/>
              <w:rPr>
                <w:i/>
                <w:iCs/>
              </w:rPr>
            </w:pPr>
            <w:r w:rsidRPr="00B42B47">
              <w:rPr>
                <w:i/>
                <w:iCs/>
              </w:rPr>
              <w:t>Individuals survey</w:t>
            </w:r>
          </w:p>
        </w:tc>
        <w:tc>
          <w:tcPr>
            <w:tcW w:w="1502" w:type="dxa"/>
            <w:tcBorders>
              <w:left w:val="single" w:sz="4" w:space="0" w:color="auto"/>
              <w:bottom w:val="single" w:sz="4" w:space="0" w:color="auto"/>
              <w:right w:val="single" w:sz="4" w:space="0" w:color="auto"/>
            </w:tcBorders>
          </w:tcPr>
          <w:p w:rsidR="00183611" w:rsidP="004F1545" w14:paraId="102B98DF" w14:textId="77777777">
            <w:pPr>
              <w:spacing w:after="0" w:line="240" w:lineRule="auto"/>
              <w:jc w:val="center"/>
            </w:pPr>
            <w:r>
              <w:t>10 minutes</w:t>
            </w:r>
          </w:p>
        </w:tc>
        <w:tc>
          <w:tcPr>
            <w:tcW w:w="1697" w:type="dxa"/>
            <w:tcBorders>
              <w:left w:val="single" w:sz="4" w:space="0" w:color="auto"/>
              <w:bottom w:val="single" w:sz="4" w:space="0" w:color="auto"/>
              <w:right w:val="single" w:sz="4" w:space="0" w:color="auto"/>
            </w:tcBorders>
          </w:tcPr>
          <w:p w:rsidR="00183611" w:rsidP="004F1545" w14:paraId="73945822" w14:textId="77777777">
            <w:pPr>
              <w:spacing w:after="0" w:line="240" w:lineRule="auto"/>
              <w:jc w:val="center"/>
            </w:pPr>
            <w:r>
              <w:t>15 minutes</w:t>
            </w:r>
          </w:p>
        </w:tc>
        <w:tc>
          <w:tcPr>
            <w:tcW w:w="1056" w:type="dxa"/>
            <w:tcBorders>
              <w:left w:val="single" w:sz="4" w:space="0" w:color="auto"/>
              <w:bottom w:val="single" w:sz="4" w:space="0" w:color="auto"/>
              <w:right w:val="single" w:sz="4" w:space="0" w:color="auto"/>
            </w:tcBorders>
          </w:tcPr>
          <w:p w:rsidR="00183611" w:rsidP="004F1545" w14:paraId="1D06083D" w14:textId="77777777">
            <w:pPr>
              <w:spacing w:after="0" w:line="240" w:lineRule="auto"/>
              <w:jc w:val="center"/>
            </w:pPr>
            <w:r>
              <w:t>10 minutes</w:t>
            </w:r>
          </w:p>
        </w:tc>
        <w:tc>
          <w:tcPr>
            <w:tcW w:w="1376" w:type="dxa"/>
            <w:tcBorders>
              <w:left w:val="single" w:sz="4" w:space="0" w:color="auto"/>
              <w:bottom w:val="single" w:sz="4" w:space="0" w:color="auto"/>
              <w:right w:val="single" w:sz="4" w:space="0" w:color="auto"/>
            </w:tcBorders>
          </w:tcPr>
          <w:p w:rsidR="00183611" w:rsidP="004F1545" w14:paraId="0B76D79E" w14:textId="77777777">
            <w:pPr>
              <w:spacing w:after="0" w:line="240" w:lineRule="auto"/>
              <w:jc w:val="center"/>
            </w:pPr>
            <w:r>
              <w:t>12 minutes</w:t>
            </w:r>
          </w:p>
        </w:tc>
        <w:tc>
          <w:tcPr>
            <w:tcW w:w="1482" w:type="dxa"/>
            <w:tcBorders>
              <w:left w:val="single" w:sz="4" w:space="0" w:color="auto"/>
              <w:bottom w:val="single" w:sz="4" w:space="0" w:color="auto"/>
              <w:right w:val="single" w:sz="4" w:space="0" w:color="auto"/>
            </w:tcBorders>
          </w:tcPr>
          <w:p w:rsidR="00183611" w:rsidP="004F1545" w14:paraId="693A7880" w14:textId="6A688CE6">
            <w:pPr>
              <w:spacing w:after="0" w:line="240" w:lineRule="auto"/>
              <w:jc w:val="center"/>
            </w:pPr>
            <w:r>
              <w:t>15</w:t>
            </w:r>
            <w:r>
              <w:t xml:space="preserve"> minutes</w:t>
            </w:r>
          </w:p>
        </w:tc>
        <w:tc>
          <w:tcPr>
            <w:tcW w:w="1445" w:type="dxa"/>
            <w:tcBorders>
              <w:left w:val="single" w:sz="4" w:space="0" w:color="auto"/>
              <w:bottom w:val="single" w:sz="4" w:space="0" w:color="auto"/>
              <w:right w:val="single" w:sz="4" w:space="0" w:color="auto"/>
            </w:tcBorders>
          </w:tcPr>
          <w:p w:rsidR="00183611" w:rsidP="004F1545" w14:paraId="032DB7DF" w14:textId="1F33B5D0">
            <w:pPr>
              <w:spacing w:after="0" w:line="240" w:lineRule="auto"/>
              <w:jc w:val="center"/>
            </w:pPr>
            <w:r>
              <w:t>1</w:t>
            </w:r>
            <w:r w:rsidR="007A357B">
              <w:t>2</w:t>
            </w:r>
            <w:r>
              <w:t xml:space="preserve"> minutes</w:t>
            </w:r>
          </w:p>
        </w:tc>
        <w:tc>
          <w:tcPr>
            <w:tcW w:w="1399" w:type="dxa"/>
            <w:tcBorders>
              <w:left w:val="single" w:sz="4" w:space="0" w:color="auto"/>
              <w:bottom w:val="single" w:sz="4" w:space="0" w:color="auto"/>
              <w:right w:val="nil"/>
            </w:tcBorders>
          </w:tcPr>
          <w:p w:rsidR="00183611" w:rsidP="004F1545" w14:paraId="0BF392AC" w14:textId="77777777">
            <w:pPr>
              <w:spacing w:after="0" w:line="240" w:lineRule="auto"/>
              <w:jc w:val="center"/>
            </w:pPr>
            <w:r>
              <w:t>10 minutes</w:t>
            </w:r>
          </w:p>
        </w:tc>
        <w:tc>
          <w:tcPr>
            <w:tcW w:w="851" w:type="dxa"/>
            <w:tcBorders>
              <w:left w:val="single" w:sz="4" w:space="0" w:color="auto"/>
              <w:bottom w:val="single" w:sz="4" w:space="0" w:color="auto"/>
              <w:right w:val="nil"/>
            </w:tcBorders>
          </w:tcPr>
          <w:p w:rsidR="00183611" w:rsidP="004F1545" w14:paraId="1A4E8DDB" w14:textId="77777777">
            <w:pPr>
              <w:spacing w:after="0" w:line="240" w:lineRule="auto"/>
              <w:jc w:val="center"/>
            </w:pPr>
          </w:p>
        </w:tc>
      </w:tr>
      <w:tr w14:paraId="44A5AB3E" w14:textId="77777777" w:rsidTr="00040B4F">
        <w:tblPrEx>
          <w:tblW w:w="0" w:type="auto"/>
          <w:tblLook w:val="04A0"/>
        </w:tblPrEx>
        <w:tc>
          <w:tcPr>
            <w:tcW w:w="2152" w:type="dxa"/>
            <w:tcBorders>
              <w:left w:val="nil"/>
              <w:bottom w:val="thickThinSmallGap" w:sz="24" w:space="0" w:color="auto"/>
              <w:right w:val="single" w:sz="4" w:space="0" w:color="auto"/>
            </w:tcBorders>
          </w:tcPr>
          <w:p w:rsidR="00183611" w:rsidRPr="00B42B47" w:rsidP="004F1545" w14:paraId="17317CEA" w14:textId="77777777">
            <w:pPr>
              <w:spacing w:after="0" w:line="240" w:lineRule="auto"/>
              <w:rPr>
                <w:i/>
                <w:iCs/>
              </w:rPr>
            </w:pPr>
            <w:r w:rsidRPr="00B42B47">
              <w:rPr>
                <w:i/>
                <w:iCs/>
              </w:rPr>
              <w:t>Partner organizations survey</w:t>
            </w:r>
          </w:p>
        </w:tc>
        <w:tc>
          <w:tcPr>
            <w:tcW w:w="1502" w:type="dxa"/>
            <w:tcBorders>
              <w:left w:val="single" w:sz="4" w:space="0" w:color="auto"/>
              <w:bottom w:val="thickThinSmallGap" w:sz="24" w:space="0" w:color="auto"/>
              <w:right w:val="single" w:sz="4" w:space="0" w:color="auto"/>
            </w:tcBorders>
          </w:tcPr>
          <w:p w:rsidR="00183611" w:rsidP="004F1545" w14:paraId="6091E563" w14:textId="77777777">
            <w:pPr>
              <w:spacing w:after="0" w:line="240" w:lineRule="auto"/>
              <w:jc w:val="center"/>
            </w:pPr>
          </w:p>
        </w:tc>
        <w:tc>
          <w:tcPr>
            <w:tcW w:w="1697" w:type="dxa"/>
            <w:tcBorders>
              <w:left w:val="single" w:sz="4" w:space="0" w:color="auto"/>
              <w:bottom w:val="thickThinSmallGap" w:sz="24" w:space="0" w:color="auto"/>
              <w:right w:val="single" w:sz="4" w:space="0" w:color="auto"/>
            </w:tcBorders>
          </w:tcPr>
          <w:p w:rsidR="00183611" w:rsidP="004F1545" w14:paraId="5819F2A3" w14:textId="77777777">
            <w:pPr>
              <w:spacing w:after="0" w:line="240" w:lineRule="auto"/>
              <w:jc w:val="center"/>
            </w:pPr>
          </w:p>
        </w:tc>
        <w:tc>
          <w:tcPr>
            <w:tcW w:w="1056" w:type="dxa"/>
            <w:tcBorders>
              <w:left w:val="single" w:sz="4" w:space="0" w:color="auto"/>
              <w:bottom w:val="thickThinSmallGap" w:sz="24" w:space="0" w:color="auto"/>
              <w:right w:val="single" w:sz="4" w:space="0" w:color="auto"/>
            </w:tcBorders>
          </w:tcPr>
          <w:p w:rsidR="00183611" w:rsidP="004F1545" w14:paraId="767E31BA" w14:textId="77777777">
            <w:pPr>
              <w:spacing w:after="0" w:line="240" w:lineRule="auto"/>
              <w:jc w:val="center"/>
            </w:pPr>
          </w:p>
        </w:tc>
        <w:tc>
          <w:tcPr>
            <w:tcW w:w="1376" w:type="dxa"/>
            <w:tcBorders>
              <w:left w:val="single" w:sz="4" w:space="0" w:color="auto"/>
              <w:bottom w:val="thickThinSmallGap" w:sz="24" w:space="0" w:color="auto"/>
              <w:right w:val="single" w:sz="4" w:space="0" w:color="auto"/>
            </w:tcBorders>
          </w:tcPr>
          <w:p w:rsidR="00183611" w:rsidP="004F1545" w14:paraId="62469698" w14:textId="77777777">
            <w:pPr>
              <w:spacing w:after="0" w:line="240" w:lineRule="auto"/>
              <w:jc w:val="center"/>
            </w:pPr>
          </w:p>
        </w:tc>
        <w:tc>
          <w:tcPr>
            <w:tcW w:w="1482" w:type="dxa"/>
            <w:tcBorders>
              <w:left w:val="single" w:sz="4" w:space="0" w:color="auto"/>
              <w:bottom w:val="thickThinSmallGap" w:sz="24" w:space="0" w:color="auto"/>
              <w:right w:val="single" w:sz="4" w:space="0" w:color="auto"/>
            </w:tcBorders>
          </w:tcPr>
          <w:p w:rsidR="00183611" w:rsidP="004F1545" w14:paraId="490C1FF5" w14:textId="77777777">
            <w:pPr>
              <w:spacing w:after="0" w:line="240" w:lineRule="auto"/>
              <w:jc w:val="center"/>
            </w:pPr>
          </w:p>
        </w:tc>
        <w:tc>
          <w:tcPr>
            <w:tcW w:w="1445" w:type="dxa"/>
            <w:tcBorders>
              <w:left w:val="single" w:sz="4" w:space="0" w:color="auto"/>
              <w:bottom w:val="thickThinSmallGap" w:sz="24" w:space="0" w:color="auto"/>
              <w:right w:val="single" w:sz="4" w:space="0" w:color="auto"/>
            </w:tcBorders>
          </w:tcPr>
          <w:p w:rsidR="00183611" w:rsidP="004F1545" w14:paraId="7132D291" w14:textId="77777777">
            <w:pPr>
              <w:spacing w:after="0" w:line="240" w:lineRule="auto"/>
              <w:jc w:val="center"/>
            </w:pPr>
          </w:p>
        </w:tc>
        <w:tc>
          <w:tcPr>
            <w:tcW w:w="1399" w:type="dxa"/>
            <w:tcBorders>
              <w:left w:val="single" w:sz="4" w:space="0" w:color="auto"/>
              <w:bottom w:val="thickThinSmallGap" w:sz="24" w:space="0" w:color="auto"/>
              <w:right w:val="nil"/>
            </w:tcBorders>
          </w:tcPr>
          <w:p w:rsidR="00183611" w:rsidP="004F1545" w14:paraId="45C4F957" w14:textId="77777777">
            <w:pPr>
              <w:spacing w:after="0" w:line="240" w:lineRule="auto"/>
              <w:jc w:val="center"/>
            </w:pPr>
          </w:p>
        </w:tc>
        <w:tc>
          <w:tcPr>
            <w:tcW w:w="851" w:type="dxa"/>
            <w:tcBorders>
              <w:left w:val="single" w:sz="4" w:space="0" w:color="auto"/>
              <w:bottom w:val="thickThinSmallGap" w:sz="24" w:space="0" w:color="auto"/>
              <w:right w:val="nil"/>
            </w:tcBorders>
          </w:tcPr>
          <w:p w:rsidR="00183611" w:rsidP="004F1545" w14:paraId="309E5167" w14:textId="6600BAF6">
            <w:pPr>
              <w:spacing w:after="0" w:line="240" w:lineRule="auto"/>
              <w:jc w:val="center"/>
            </w:pPr>
            <w:r>
              <w:t>5</w:t>
            </w:r>
            <w:r>
              <w:t xml:space="preserve"> minutes</w:t>
            </w:r>
          </w:p>
        </w:tc>
      </w:tr>
    </w:tbl>
    <w:p w:rsidR="00C147CF" w:rsidP="00183611" w14:paraId="4E343B40" w14:textId="77777777">
      <w:pPr>
        <w:pStyle w:val="Caption"/>
        <w:sectPr w:rsidSect="00482D8B">
          <w:pgSz w:w="15840" w:h="12240" w:orient="landscape"/>
          <w:pgMar w:top="1440" w:right="1440" w:bottom="1440" w:left="1440" w:header="720" w:footer="720" w:gutter="0"/>
          <w:cols w:space="720"/>
          <w:docGrid w:linePitch="360"/>
        </w:sectPr>
      </w:pPr>
      <w:r>
        <w:rPr>
          <w:rFonts w:ascii="Symbol" w:eastAsia="Symbol" w:hAnsi="Symbol" w:cs="Symbol"/>
          <w:vertAlign w:val="superscript"/>
        </w:rPr>
        <w:t>*</w:t>
      </w:r>
      <w:r>
        <w:t xml:space="preserve"> The estimated amount of burden for the </w:t>
      </w:r>
      <w:r w:rsidRPr="00B42B47">
        <w:t>programmatic activities survey</w:t>
      </w:r>
      <w:r>
        <w:t xml:space="preserve"> ranges between 15 minutes per response for a workforce development or ecosystem building to 30 minutes per response for an R&amp;D or translation activity.</w:t>
      </w:r>
    </w:p>
    <w:p w:rsidR="00751774" w:rsidRPr="00C147CF" w:rsidP="00751774" w14:paraId="730F2D77" w14:textId="6B417CA0">
      <w:pPr>
        <w:pStyle w:val="Caption"/>
      </w:pPr>
      <w:bookmarkStart w:id="9" w:name="_Ref154657908"/>
      <w:r>
        <w:t xml:space="preserve">Table </w:t>
      </w:r>
      <w:r>
        <w:fldChar w:fldCharType="begin"/>
      </w:r>
      <w:r>
        <w:instrText xml:space="preserve"> SEQ Table \* ARABIC </w:instrText>
      </w:r>
      <w:r>
        <w:fldChar w:fldCharType="separate"/>
      </w:r>
      <w:r>
        <w:rPr>
          <w:noProof/>
        </w:rPr>
        <w:t>3</w:t>
      </w:r>
      <w:r>
        <w:rPr>
          <w:noProof/>
        </w:rPr>
        <w:fldChar w:fldCharType="end"/>
      </w:r>
      <w:bookmarkEnd w:id="9"/>
      <w:r>
        <w:t>. To estimate the potential range of total annual burden placed on survey respondents, we assumed a low and high Engine output. The estimated number of programmatic activities, Engine funding received, partner organizations, and individuals per Engine for the two scenarios are summarized below.</w:t>
      </w:r>
    </w:p>
    <w:tbl>
      <w:tblPr>
        <w:tblStyle w:val="TableGrid"/>
        <w:tblW w:w="0" w:type="auto"/>
        <w:tblInd w:w="180" w:type="dxa"/>
        <w:tblLook w:val="04A0"/>
      </w:tblPr>
      <w:tblGrid>
        <w:gridCol w:w="4320"/>
        <w:gridCol w:w="2520"/>
        <w:gridCol w:w="2340"/>
      </w:tblGrid>
      <w:tr w14:paraId="2E9B2BE6" w14:textId="77777777" w:rsidTr="00040B4F">
        <w:tblPrEx>
          <w:tblW w:w="0" w:type="auto"/>
          <w:tblInd w:w="180" w:type="dxa"/>
          <w:tblLook w:val="04A0"/>
        </w:tblPrEx>
        <w:tc>
          <w:tcPr>
            <w:tcW w:w="4320" w:type="dxa"/>
            <w:tcBorders>
              <w:top w:val="thinThickSmallGap" w:sz="24" w:space="0" w:color="auto"/>
              <w:left w:val="nil"/>
              <w:bottom w:val="single" w:sz="24" w:space="0" w:color="auto"/>
            </w:tcBorders>
          </w:tcPr>
          <w:p w:rsidR="00751774" w:rsidRPr="00F64761" w:rsidP="00751774" w14:paraId="285016D5" w14:textId="77777777">
            <w:pPr>
              <w:spacing w:after="0" w:line="240" w:lineRule="auto"/>
              <w:contextualSpacing/>
              <w:rPr>
                <w:i/>
                <w:iCs/>
              </w:rPr>
            </w:pPr>
            <w:r w:rsidRPr="00F64761">
              <w:rPr>
                <w:i/>
                <w:iCs/>
              </w:rPr>
              <w:t>Category</w:t>
            </w:r>
          </w:p>
        </w:tc>
        <w:tc>
          <w:tcPr>
            <w:tcW w:w="2520" w:type="dxa"/>
            <w:tcBorders>
              <w:top w:val="thinThickSmallGap" w:sz="24" w:space="0" w:color="auto"/>
              <w:bottom w:val="single" w:sz="24" w:space="0" w:color="auto"/>
            </w:tcBorders>
          </w:tcPr>
          <w:p w:rsidR="00751774" w:rsidRPr="00F64761" w:rsidP="00751774" w14:paraId="2388B2BC" w14:textId="77777777">
            <w:pPr>
              <w:spacing w:after="0" w:line="240" w:lineRule="auto"/>
              <w:contextualSpacing/>
              <w:jc w:val="center"/>
              <w:rPr>
                <w:i/>
                <w:iCs/>
              </w:rPr>
            </w:pPr>
            <w:r w:rsidRPr="00F64761">
              <w:rPr>
                <w:i/>
                <w:iCs/>
              </w:rPr>
              <w:t>Low Engine Output</w:t>
            </w:r>
          </w:p>
        </w:tc>
        <w:tc>
          <w:tcPr>
            <w:tcW w:w="2340" w:type="dxa"/>
            <w:tcBorders>
              <w:top w:val="thinThickSmallGap" w:sz="24" w:space="0" w:color="auto"/>
              <w:bottom w:val="single" w:sz="24" w:space="0" w:color="auto"/>
              <w:right w:val="nil"/>
            </w:tcBorders>
          </w:tcPr>
          <w:p w:rsidR="00751774" w:rsidRPr="00F64761" w:rsidP="00751774" w14:paraId="4E3DA977" w14:textId="77777777">
            <w:pPr>
              <w:spacing w:after="0" w:line="240" w:lineRule="auto"/>
              <w:contextualSpacing/>
              <w:jc w:val="center"/>
              <w:rPr>
                <w:i/>
                <w:iCs/>
              </w:rPr>
            </w:pPr>
            <w:r w:rsidRPr="00F64761">
              <w:rPr>
                <w:i/>
                <w:iCs/>
              </w:rPr>
              <w:t>High Engine Output</w:t>
            </w:r>
          </w:p>
        </w:tc>
      </w:tr>
      <w:tr w14:paraId="090E76BD" w14:textId="77777777" w:rsidTr="00040B4F">
        <w:tblPrEx>
          <w:tblW w:w="0" w:type="auto"/>
          <w:tblInd w:w="180" w:type="dxa"/>
          <w:tblLook w:val="04A0"/>
        </w:tblPrEx>
        <w:tc>
          <w:tcPr>
            <w:tcW w:w="4320" w:type="dxa"/>
            <w:tcBorders>
              <w:top w:val="single" w:sz="24" w:space="0" w:color="auto"/>
              <w:left w:val="nil"/>
              <w:bottom w:val="nil"/>
            </w:tcBorders>
          </w:tcPr>
          <w:p w:rsidR="00751774" w:rsidRPr="00780D27" w:rsidP="00751774" w14:paraId="11EFDF17" w14:textId="77777777">
            <w:pPr>
              <w:spacing w:after="0" w:line="240" w:lineRule="auto"/>
              <w:contextualSpacing/>
            </w:pPr>
            <w:r w:rsidRPr="00780D27">
              <w:t>Number of programmatic activities per Engine</w:t>
            </w:r>
          </w:p>
        </w:tc>
        <w:tc>
          <w:tcPr>
            <w:tcW w:w="2520" w:type="dxa"/>
            <w:tcBorders>
              <w:top w:val="single" w:sz="24" w:space="0" w:color="auto"/>
              <w:bottom w:val="nil"/>
            </w:tcBorders>
          </w:tcPr>
          <w:p w:rsidR="00751774" w:rsidP="00751774" w14:paraId="3A4E223D" w14:textId="77777777">
            <w:pPr>
              <w:spacing w:after="0" w:line="240" w:lineRule="auto"/>
              <w:contextualSpacing/>
              <w:jc w:val="center"/>
              <w:rPr>
                <w:b/>
                <w:bCs/>
              </w:rPr>
            </w:pPr>
          </w:p>
        </w:tc>
        <w:tc>
          <w:tcPr>
            <w:tcW w:w="2340" w:type="dxa"/>
            <w:tcBorders>
              <w:top w:val="single" w:sz="24" w:space="0" w:color="auto"/>
              <w:bottom w:val="nil"/>
              <w:right w:val="nil"/>
            </w:tcBorders>
          </w:tcPr>
          <w:p w:rsidR="00751774" w:rsidRPr="00BF0624" w:rsidP="00751774" w14:paraId="6284506E" w14:textId="77777777">
            <w:pPr>
              <w:spacing w:after="0" w:line="240" w:lineRule="auto"/>
              <w:contextualSpacing/>
              <w:jc w:val="center"/>
            </w:pPr>
          </w:p>
        </w:tc>
      </w:tr>
      <w:tr w14:paraId="02290775" w14:textId="77777777" w:rsidTr="00040B4F">
        <w:tblPrEx>
          <w:tblW w:w="0" w:type="auto"/>
          <w:tblInd w:w="180" w:type="dxa"/>
          <w:tblLook w:val="04A0"/>
        </w:tblPrEx>
        <w:tc>
          <w:tcPr>
            <w:tcW w:w="4320" w:type="dxa"/>
            <w:tcBorders>
              <w:top w:val="nil"/>
              <w:left w:val="nil"/>
              <w:bottom w:val="dotted" w:sz="4" w:space="0" w:color="auto"/>
            </w:tcBorders>
          </w:tcPr>
          <w:p w:rsidR="00751774" w:rsidRPr="00780D27" w:rsidP="00751774" w14:paraId="0AEDDDEC" w14:textId="77777777">
            <w:pPr>
              <w:spacing w:after="0" w:line="240" w:lineRule="auto"/>
              <w:ind w:left="720"/>
              <w:contextualSpacing/>
            </w:pPr>
            <w:r w:rsidRPr="00780D27">
              <w:t>R&amp;D and translation</w:t>
            </w:r>
          </w:p>
        </w:tc>
        <w:tc>
          <w:tcPr>
            <w:tcW w:w="2520" w:type="dxa"/>
            <w:tcBorders>
              <w:top w:val="nil"/>
              <w:bottom w:val="dotted" w:sz="4" w:space="0" w:color="auto"/>
            </w:tcBorders>
          </w:tcPr>
          <w:p w:rsidR="00751774" w:rsidRPr="00C31FEC" w:rsidP="00751774" w14:paraId="62674F1E" w14:textId="77777777">
            <w:pPr>
              <w:spacing w:after="0" w:line="240" w:lineRule="auto"/>
              <w:contextualSpacing/>
              <w:jc w:val="center"/>
            </w:pPr>
            <w:r>
              <w:t>6</w:t>
            </w:r>
          </w:p>
        </w:tc>
        <w:tc>
          <w:tcPr>
            <w:tcW w:w="2340" w:type="dxa"/>
            <w:tcBorders>
              <w:top w:val="nil"/>
              <w:bottom w:val="dotted" w:sz="4" w:space="0" w:color="auto"/>
              <w:right w:val="nil"/>
            </w:tcBorders>
          </w:tcPr>
          <w:p w:rsidR="00751774" w:rsidRPr="00BF0624" w:rsidP="00751774" w14:paraId="30532E6E" w14:textId="77777777">
            <w:pPr>
              <w:spacing w:after="0" w:line="240" w:lineRule="auto"/>
              <w:contextualSpacing/>
              <w:jc w:val="center"/>
            </w:pPr>
            <w:r>
              <w:t>10</w:t>
            </w:r>
          </w:p>
        </w:tc>
      </w:tr>
      <w:tr w14:paraId="02B818F6" w14:textId="77777777" w:rsidTr="00040B4F">
        <w:tblPrEx>
          <w:tblW w:w="0" w:type="auto"/>
          <w:tblInd w:w="180" w:type="dxa"/>
          <w:tblLook w:val="04A0"/>
        </w:tblPrEx>
        <w:tc>
          <w:tcPr>
            <w:tcW w:w="4320" w:type="dxa"/>
            <w:tcBorders>
              <w:top w:val="dotted" w:sz="4" w:space="0" w:color="auto"/>
              <w:left w:val="nil"/>
              <w:bottom w:val="dotted" w:sz="4" w:space="0" w:color="auto"/>
            </w:tcBorders>
          </w:tcPr>
          <w:p w:rsidR="00751774" w:rsidRPr="00780D27" w:rsidP="00751774" w14:paraId="7B0FD0A4" w14:textId="77777777">
            <w:pPr>
              <w:spacing w:after="0" w:line="240" w:lineRule="auto"/>
              <w:ind w:left="720"/>
              <w:contextualSpacing/>
            </w:pPr>
            <w:r w:rsidRPr="00780D27">
              <w:t>Workforce development</w:t>
            </w:r>
          </w:p>
        </w:tc>
        <w:tc>
          <w:tcPr>
            <w:tcW w:w="2520" w:type="dxa"/>
            <w:tcBorders>
              <w:top w:val="dotted" w:sz="4" w:space="0" w:color="auto"/>
              <w:bottom w:val="dotted" w:sz="4" w:space="0" w:color="auto"/>
            </w:tcBorders>
          </w:tcPr>
          <w:p w:rsidR="00751774" w:rsidRPr="00C31FEC" w:rsidP="00751774" w14:paraId="28C42C2D" w14:textId="77777777">
            <w:pPr>
              <w:spacing w:after="0" w:line="240" w:lineRule="auto"/>
              <w:contextualSpacing/>
              <w:jc w:val="center"/>
            </w:pPr>
            <w:r>
              <w:t>2</w:t>
            </w:r>
          </w:p>
        </w:tc>
        <w:tc>
          <w:tcPr>
            <w:tcW w:w="2340" w:type="dxa"/>
            <w:tcBorders>
              <w:top w:val="dotted" w:sz="4" w:space="0" w:color="auto"/>
              <w:bottom w:val="dotted" w:sz="4" w:space="0" w:color="auto"/>
              <w:right w:val="nil"/>
            </w:tcBorders>
          </w:tcPr>
          <w:p w:rsidR="00751774" w:rsidRPr="00BF0624" w:rsidP="00751774" w14:paraId="08DF89DA" w14:textId="77777777">
            <w:pPr>
              <w:spacing w:after="0" w:line="240" w:lineRule="auto"/>
              <w:contextualSpacing/>
              <w:jc w:val="center"/>
            </w:pPr>
            <w:r>
              <w:t>5</w:t>
            </w:r>
          </w:p>
        </w:tc>
      </w:tr>
      <w:tr w14:paraId="2A1AECC8" w14:textId="77777777" w:rsidTr="00040B4F">
        <w:tblPrEx>
          <w:tblW w:w="0" w:type="auto"/>
          <w:tblInd w:w="180" w:type="dxa"/>
          <w:tblLook w:val="04A0"/>
        </w:tblPrEx>
        <w:tc>
          <w:tcPr>
            <w:tcW w:w="4320" w:type="dxa"/>
            <w:tcBorders>
              <w:top w:val="dotted" w:sz="4" w:space="0" w:color="auto"/>
              <w:left w:val="nil"/>
            </w:tcBorders>
          </w:tcPr>
          <w:p w:rsidR="00751774" w:rsidRPr="00780D27" w:rsidP="00751774" w14:paraId="6BA241A6" w14:textId="77777777">
            <w:pPr>
              <w:spacing w:after="0" w:line="240" w:lineRule="auto"/>
              <w:ind w:left="720"/>
              <w:contextualSpacing/>
            </w:pPr>
            <w:r w:rsidRPr="00780D27">
              <w:t>Ecosystem building</w:t>
            </w:r>
          </w:p>
        </w:tc>
        <w:tc>
          <w:tcPr>
            <w:tcW w:w="2520" w:type="dxa"/>
            <w:tcBorders>
              <w:top w:val="dotted" w:sz="4" w:space="0" w:color="auto"/>
            </w:tcBorders>
          </w:tcPr>
          <w:p w:rsidR="00751774" w:rsidRPr="00C31FEC" w:rsidP="00751774" w14:paraId="4ABD648F" w14:textId="77777777">
            <w:pPr>
              <w:spacing w:after="0" w:line="240" w:lineRule="auto"/>
              <w:contextualSpacing/>
              <w:jc w:val="center"/>
            </w:pPr>
            <w:r>
              <w:t>10</w:t>
            </w:r>
          </w:p>
        </w:tc>
        <w:tc>
          <w:tcPr>
            <w:tcW w:w="2340" w:type="dxa"/>
            <w:tcBorders>
              <w:top w:val="dotted" w:sz="4" w:space="0" w:color="auto"/>
              <w:right w:val="nil"/>
            </w:tcBorders>
          </w:tcPr>
          <w:p w:rsidR="00751774" w:rsidRPr="00BF0624" w:rsidP="00751774" w14:paraId="5EC797E4" w14:textId="77777777">
            <w:pPr>
              <w:spacing w:after="0" w:line="240" w:lineRule="auto"/>
              <w:contextualSpacing/>
              <w:jc w:val="center"/>
            </w:pPr>
            <w:r>
              <w:t>15</w:t>
            </w:r>
          </w:p>
        </w:tc>
      </w:tr>
      <w:tr w14:paraId="2B15EFE1" w14:textId="77777777" w:rsidTr="00040B4F">
        <w:tblPrEx>
          <w:tblW w:w="0" w:type="auto"/>
          <w:tblInd w:w="180" w:type="dxa"/>
          <w:tblLook w:val="04A0"/>
        </w:tblPrEx>
        <w:tc>
          <w:tcPr>
            <w:tcW w:w="4320" w:type="dxa"/>
            <w:tcBorders>
              <w:left w:val="nil"/>
            </w:tcBorders>
          </w:tcPr>
          <w:p w:rsidR="00751774" w:rsidRPr="00780D27" w:rsidP="00751774" w14:paraId="65FA7E29" w14:textId="77777777">
            <w:pPr>
              <w:spacing w:after="0" w:line="240" w:lineRule="auto"/>
              <w:contextualSpacing/>
            </w:pPr>
            <w:r w:rsidRPr="00780D27">
              <w:t xml:space="preserve">Number </w:t>
            </w:r>
            <w:r>
              <w:t>of additional funds</w:t>
            </w:r>
            <w:r w:rsidRPr="00780D27">
              <w:t xml:space="preserve"> received</w:t>
            </w:r>
          </w:p>
        </w:tc>
        <w:tc>
          <w:tcPr>
            <w:tcW w:w="2520" w:type="dxa"/>
          </w:tcPr>
          <w:p w:rsidR="00751774" w:rsidRPr="00C31FEC" w:rsidP="00751774" w14:paraId="55C6CC00" w14:textId="77777777">
            <w:pPr>
              <w:spacing w:after="0" w:line="240" w:lineRule="auto"/>
              <w:contextualSpacing/>
              <w:jc w:val="center"/>
            </w:pPr>
            <w:r>
              <w:t>2</w:t>
            </w:r>
          </w:p>
        </w:tc>
        <w:tc>
          <w:tcPr>
            <w:tcW w:w="2340" w:type="dxa"/>
            <w:tcBorders>
              <w:right w:val="nil"/>
            </w:tcBorders>
          </w:tcPr>
          <w:p w:rsidR="00751774" w:rsidRPr="00BF0624" w:rsidP="00751774" w14:paraId="468D056D" w14:textId="77777777">
            <w:pPr>
              <w:spacing w:after="0" w:line="240" w:lineRule="auto"/>
              <w:contextualSpacing/>
              <w:jc w:val="center"/>
            </w:pPr>
            <w:r>
              <w:t>5</w:t>
            </w:r>
          </w:p>
        </w:tc>
      </w:tr>
      <w:tr w14:paraId="349DCD97" w14:textId="77777777" w:rsidTr="00040B4F">
        <w:tblPrEx>
          <w:tblW w:w="0" w:type="auto"/>
          <w:tblInd w:w="180" w:type="dxa"/>
          <w:tblLook w:val="04A0"/>
        </w:tblPrEx>
        <w:tc>
          <w:tcPr>
            <w:tcW w:w="4320" w:type="dxa"/>
            <w:tcBorders>
              <w:left w:val="nil"/>
              <w:bottom w:val="single" w:sz="4" w:space="0" w:color="auto"/>
            </w:tcBorders>
          </w:tcPr>
          <w:p w:rsidR="00751774" w:rsidRPr="00780D27" w:rsidP="00751774" w14:paraId="03A056F2" w14:textId="77777777">
            <w:pPr>
              <w:spacing w:after="0" w:line="240" w:lineRule="auto"/>
              <w:contextualSpacing/>
            </w:pPr>
            <w:r w:rsidRPr="00780D27">
              <w:t>Number of partner organizations (per programmatic activity)</w:t>
            </w:r>
          </w:p>
        </w:tc>
        <w:tc>
          <w:tcPr>
            <w:tcW w:w="2520" w:type="dxa"/>
            <w:tcBorders>
              <w:bottom w:val="single" w:sz="4" w:space="0" w:color="auto"/>
            </w:tcBorders>
          </w:tcPr>
          <w:p w:rsidR="00751774" w:rsidRPr="00C31FEC" w:rsidP="00751774" w14:paraId="39342AFA" w14:textId="77777777">
            <w:pPr>
              <w:spacing w:after="0" w:line="240" w:lineRule="auto"/>
              <w:contextualSpacing/>
              <w:jc w:val="center"/>
            </w:pPr>
            <w:r>
              <w:t>1</w:t>
            </w:r>
          </w:p>
        </w:tc>
        <w:tc>
          <w:tcPr>
            <w:tcW w:w="2340" w:type="dxa"/>
            <w:tcBorders>
              <w:bottom w:val="single" w:sz="4" w:space="0" w:color="auto"/>
              <w:right w:val="nil"/>
            </w:tcBorders>
          </w:tcPr>
          <w:p w:rsidR="00751774" w:rsidRPr="00BF0624" w:rsidP="00751774" w14:paraId="216180FA" w14:textId="77777777">
            <w:pPr>
              <w:spacing w:after="0" w:line="240" w:lineRule="auto"/>
              <w:contextualSpacing/>
              <w:jc w:val="center"/>
            </w:pPr>
            <w:r>
              <w:t>3</w:t>
            </w:r>
          </w:p>
        </w:tc>
      </w:tr>
      <w:tr w14:paraId="45FD299E" w14:textId="77777777" w:rsidTr="00040B4F">
        <w:tblPrEx>
          <w:tblW w:w="0" w:type="auto"/>
          <w:tblInd w:w="180" w:type="dxa"/>
          <w:tblLook w:val="04A0"/>
        </w:tblPrEx>
        <w:tc>
          <w:tcPr>
            <w:tcW w:w="4320" w:type="dxa"/>
            <w:tcBorders>
              <w:left w:val="nil"/>
              <w:bottom w:val="nil"/>
            </w:tcBorders>
          </w:tcPr>
          <w:p w:rsidR="00751774" w:rsidRPr="00780D27" w:rsidP="00751774" w14:paraId="24E4DA5F" w14:textId="77777777">
            <w:pPr>
              <w:spacing w:after="0" w:line="240" w:lineRule="auto"/>
              <w:contextualSpacing/>
            </w:pPr>
            <w:r w:rsidRPr="00780D27">
              <w:t>Number of individuals (per programmatic activity)</w:t>
            </w:r>
          </w:p>
        </w:tc>
        <w:tc>
          <w:tcPr>
            <w:tcW w:w="2520" w:type="dxa"/>
            <w:tcBorders>
              <w:bottom w:val="nil"/>
            </w:tcBorders>
          </w:tcPr>
          <w:p w:rsidR="00751774" w:rsidRPr="00C31FEC" w:rsidP="00751774" w14:paraId="7A9A310B" w14:textId="77777777">
            <w:pPr>
              <w:spacing w:after="0" w:line="240" w:lineRule="auto"/>
              <w:contextualSpacing/>
              <w:jc w:val="center"/>
            </w:pPr>
          </w:p>
        </w:tc>
        <w:tc>
          <w:tcPr>
            <w:tcW w:w="2340" w:type="dxa"/>
            <w:tcBorders>
              <w:bottom w:val="nil"/>
              <w:right w:val="nil"/>
            </w:tcBorders>
          </w:tcPr>
          <w:p w:rsidR="00751774" w:rsidRPr="00BF0624" w:rsidP="00751774" w14:paraId="08587E97" w14:textId="77777777">
            <w:pPr>
              <w:spacing w:after="0" w:line="240" w:lineRule="auto"/>
              <w:contextualSpacing/>
              <w:jc w:val="center"/>
            </w:pPr>
          </w:p>
        </w:tc>
      </w:tr>
      <w:tr w14:paraId="4EDAA05E" w14:textId="77777777" w:rsidTr="00040B4F">
        <w:tblPrEx>
          <w:tblW w:w="0" w:type="auto"/>
          <w:tblInd w:w="180" w:type="dxa"/>
          <w:tblLook w:val="04A0"/>
        </w:tblPrEx>
        <w:tc>
          <w:tcPr>
            <w:tcW w:w="4320" w:type="dxa"/>
            <w:tcBorders>
              <w:top w:val="nil"/>
              <w:left w:val="nil"/>
              <w:bottom w:val="dotted" w:sz="4" w:space="0" w:color="auto"/>
            </w:tcBorders>
          </w:tcPr>
          <w:p w:rsidR="00751774" w:rsidRPr="00780D27" w:rsidP="00751774" w14:paraId="1C32662C" w14:textId="77777777">
            <w:pPr>
              <w:spacing w:after="0" w:line="240" w:lineRule="auto"/>
              <w:ind w:left="720"/>
              <w:contextualSpacing/>
            </w:pPr>
            <w:r w:rsidRPr="00780D27">
              <w:t>R&amp;D and translation participants (per programmatic activity)</w:t>
            </w:r>
          </w:p>
        </w:tc>
        <w:tc>
          <w:tcPr>
            <w:tcW w:w="2520" w:type="dxa"/>
            <w:tcBorders>
              <w:top w:val="nil"/>
              <w:bottom w:val="dotted" w:sz="4" w:space="0" w:color="auto"/>
            </w:tcBorders>
          </w:tcPr>
          <w:p w:rsidR="00751774" w:rsidRPr="00C31FEC" w:rsidP="00751774" w14:paraId="54865C4E" w14:textId="77777777">
            <w:pPr>
              <w:spacing w:after="0" w:line="240" w:lineRule="auto"/>
              <w:contextualSpacing/>
              <w:jc w:val="center"/>
            </w:pPr>
            <w:r w:rsidRPr="00C31FEC">
              <w:t>5</w:t>
            </w:r>
          </w:p>
        </w:tc>
        <w:tc>
          <w:tcPr>
            <w:tcW w:w="2340" w:type="dxa"/>
            <w:tcBorders>
              <w:top w:val="nil"/>
              <w:bottom w:val="dotted" w:sz="4" w:space="0" w:color="auto"/>
              <w:right w:val="nil"/>
            </w:tcBorders>
          </w:tcPr>
          <w:p w:rsidR="00751774" w:rsidRPr="00BF0624" w:rsidP="00751774" w14:paraId="419010A0" w14:textId="77777777">
            <w:pPr>
              <w:spacing w:after="0" w:line="240" w:lineRule="auto"/>
              <w:contextualSpacing/>
              <w:jc w:val="center"/>
            </w:pPr>
            <w:r>
              <w:t>8</w:t>
            </w:r>
          </w:p>
        </w:tc>
      </w:tr>
      <w:tr w14:paraId="5D042AA3" w14:textId="77777777" w:rsidTr="00040B4F">
        <w:tblPrEx>
          <w:tblW w:w="0" w:type="auto"/>
          <w:tblInd w:w="180" w:type="dxa"/>
          <w:tblLook w:val="04A0"/>
        </w:tblPrEx>
        <w:tc>
          <w:tcPr>
            <w:tcW w:w="4320" w:type="dxa"/>
            <w:tcBorders>
              <w:top w:val="dotted" w:sz="4" w:space="0" w:color="auto"/>
              <w:left w:val="nil"/>
              <w:bottom w:val="dotted" w:sz="4" w:space="0" w:color="auto"/>
            </w:tcBorders>
          </w:tcPr>
          <w:p w:rsidR="00751774" w:rsidRPr="00780D27" w:rsidP="00751774" w14:paraId="3447129C" w14:textId="77777777">
            <w:pPr>
              <w:spacing w:after="0" w:line="240" w:lineRule="auto"/>
              <w:ind w:left="720"/>
              <w:contextualSpacing/>
            </w:pPr>
            <w:r w:rsidRPr="00780D27">
              <w:t>Workforce development participants (per programmatic activity)</w:t>
            </w:r>
          </w:p>
        </w:tc>
        <w:tc>
          <w:tcPr>
            <w:tcW w:w="2520" w:type="dxa"/>
            <w:tcBorders>
              <w:top w:val="dotted" w:sz="4" w:space="0" w:color="auto"/>
              <w:bottom w:val="dotted" w:sz="4" w:space="0" w:color="auto"/>
            </w:tcBorders>
          </w:tcPr>
          <w:p w:rsidR="00751774" w:rsidRPr="00C31FEC" w:rsidP="00751774" w14:paraId="25A1CA0F" w14:textId="77777777">
            <w:pPr>
              <w:spacing w:after="0" w:line="240" w:lineRule="auto"/>
              <w:contextualSpacing/>
              <w:jc w:val="center"/>
            </w:pPr>
            <w:r w:rsidRPr="00C31FEC">
              <w:t>10</w:t>
            </w:r>
          </w:p>
        </w:tc>
        <w:tc>
          <w:tcPr>
            <w:tcW w:w="2340" w:type="dxa"/>
            <w:tcBorders>
              <w:top w:val="dotted" w:sz="4" w:space="0" w:color="auto"/>
              <w:bottom w:val="dotted" w:sz="4" w:space="0" w:color="auto"/>
              <w:right w:val="nil"/>
            </w:tcBorders>
          </w:tcPr>
          <w:p w:rsidR="00751774" w:rsidRPr="00BF0624" w:rsidP="00751774" w14:paraId="4AD15DB1" w14:textId="77777777">
            <w:pPr>
              <w:spacing w:after="0" w:line="240" w:lineRule="auto"/>
              <w:contextualSpacing/>
              <w:jc w:val="center"/>
            </w:pPr>
            <w:r>
              <w:t>20</w:t>
            </w:r>
          </w:p>
        </w:tc>
      </w:tr>
      <w:tr w14:paraId="58583478" w14:textId="77777777" w:rsidTr="00040B4F">
        <w:tblPrEx>
          <w:tblW w:w="0" w:type="auto"/>
          <w:tblInd w:w="180" w:type="dxa"/>
          <w:tblLook w:val="04A0"/>
        </w:tblPrEx>
        <w:tc>
          <w:tcPr>
            <w:tcW w:w="4320" w:type="dxa"/>
            <w:tcBorders>
              <w:top w:val="dotted" w:sz="4" w:space="0" w:color="auto"/>
              <w:left w:val="nil"/>
              <w:bottom w:val="dotted" w:sz="4" w:space="0" w:color="auto"/>
            </w:tcBorders>
          </w:tcPr>
          <w:p w:rsidR="00751774" w:rsidRPr="00780D27" w:rsidP="00751774" w14:paraId="03E4992B" w14:textId="77777777">
            <w:pPr>
              <w:spacing w:after="0" w:line="240" w:lineRule="auto"/>
              <w:ind w:left="720"/>
              <w:contextualSpacing/>
            </w:pPr>
            <w:r w:rsidRPr="00780D27">
              <w:t xml:space="preserve">Engine leadership team, governance board, </w:t>
            </w:r>
            <w:r>
              <w:t xml:space="preserve">advisory committee, </w:t>
            </w:r>
            <w:r w:rsidRPr="00780D27">
              <w:t>and programmatic leads</w:t>
            </w:r>
          </w:p>
        </w:tc>
        <w:tc>
          <w:tcPr>
            <w:tcW w:w="2520" w:type="dxa"/>
            <w:tcBorders>
              <w:top w:val="dotted" w:sz="4" w:space="0" w:color="auto"/>
              <w:bottom w:val="dotted" w:sz="4" w:space="0" w:color="auto"/>
            </w:tcBorders>
          </w:tcPr>
          <w:p w:rsidR="00751774" w:rsidRPr="00C31FEC" w:rsidP="00751774" w14:paraId="73D4B3F3" w14:textId="77777777">
            <w:pPr>
              <w:spacing w:after="0" w:line="240" w:lineRule="auto"/>
              <w:contextualSpacing/>
              <w:jc w:val="center"/>
            </w:pPr>
            <w:r w:rsidRPr="00C31FEC">
              <w:t>20</w:t>
            </w:r>
          </w:p>
        </w:tc>
        <w:tc>
          <w:tcPr>
            <w:tcW w:w="2340" w:type="dxa"/>
            <w:tcBorders>
              <w:top w:val="dotted" w:sz="4" w:space="0" w:color="auto"/>
              <w:bottom w:val="dotted" w:sz="4" w:space="0" w:color="auto"/>
              <w:right w:val="nil"/>
            </w:tcBorders>
          </w:tcPr>
          <w:p w:rsidR="00751774" w:rsidRPr="00BF0624" w:rsidP="00751774" w14:paraId="42086D5C" w14:textId="77777777">
            <w:pPr>
              <w:spacing w:after="0" w:line="240" w:lineRule="auto"/>
              <w:contextualSpacing/>
              <w:jc w:val="center"/>
            </w:pPr>
            <w:r w:rsidRPr="00BF0624">
              <w:t>40</w:t>
            </w:r>
          </w:p>
        </w:tc>
      </w:tr>
      <w:tr w14:paraId="0124F807" w14:textId="77777777" w:rsidTr="00040B4F">
        <w:tblPrEx>
          <w:tblW w:w="0" w:type="auto"/>
          <w:tblInd w:w="180" w:type="dxa"/>
          <w:tblLook w:val="04A0"/>
        </w:tblPrEx>
        <w:tc>
          <w:tcPr>
            <w:tcW w:w="4320" w:type="dxa"/>
            <w:tcBorders>
              <w:top w:val="dotted" w:sz="4" w:space="0" w:color="auto"/>
              <w:left w:val="nil"/>
              <w:bottom w:val="thickThinSmallGap" w:sz="24" w:space="0" w:color="auto"/>
            </w:tcBorders>
          </w:tcPr>
          <w:p w:rsidR="00751774" w:rsidRPr="00780D27" w:rsidP="00751774" w14:paraId="4AE1B576" w14:textId="77777777">
            <w:pPr>
              <w:spacing w:after="0" w:line="240" w:lineRule="auto"/>
              <w:ind w:left="720"/>
              <w:contextualSpacing/>
            </w:pPr>
            <w:r w:rsidRPr="00780D27">
              <w:t>All other Engine participants and personnel</w:t>
            </w:r>
          </w:p>
        </w:tc>
        <w:tc>
          <w:tcPr>
            <w:tcW w:w="2520" w:type="dxa"/>
            <w:tcBorders>
              <w:top w:val="dotted" w:sz="4" w:space="0" w:color="auto"/>
              <w:bottom w:val="thickThinSmallGap" w:sz="24" w:space="0" w:color="auto"/>
            </w:tcBorders>
          </w:tcPr>
          <w:p w:rsidR="00751774" w:rsidRPr="00C31FEC" w:rsidP="00751774" w14:paraId="4FFB4FDA" w14:textId="77777777">
            <w:pPr>
              <w:spacing w:after="0" w:line="240" w:lineRule="auto"/>
              <w:contextualSpacing/>
              <w:jc w:val="center"/>
            </w:pPr>
            <w:r w:rsidRPr="00C31FEC">
              <w:t>20</w:t>
            </w:r>
          </w:p>
        </w:tc>
        <w:tc>
          <w:tcPr>
            <w:tcW w:w="2340" w:type="dxa"/>
            <w:tcBorders>
              <w:top w:val="dotted" w:sz="4" w:space="0" w:color="auto"/>
              <w:bottom w:val="thickThinSmallGap" w:sz="24" w:space="0" w:color="auto"/>
              <w:right w:val="nil"/>
            </w:tcBorders>
          </w:tcPr>
          <w:p w:rsidR="00751774" w:rsidRPr="00BF0624" w:rsidP="00751774" w14:paraId="77332BD1" w14:textId="77777777">
            <w:pPr>
              <w:spacing w:after="0" w:line="240" w:lineRule="auto"/>
              <w:contextualSpacing/>
              <w:jc w:val="center"/>
            </w:pPr>
            <w:r w:rsidRPr="00BF0624">
              <w:t>30</w:t>
            </w:r>
          </w:p>
        </w:tc>
      </w:tr>
    </w:tbl>
    <w:p w:rsidR="00751774" w:rsidRPr="003B26FF" w:rsidP="00751774" w14:paraId="024BC4D7" w14:textId="77777777">
      <w:pPr>
        <w:ind w:left="720"/>
        <w:rPr>
          <w:b/>
          <w:bCs/>
        </w:rPr>
        <w:sectPr w:rsidSect="00482D8B">
          <w:pgSz w:w="12240" w:h="15840"/>
          <w:pgMar w:top="1440" w:right="1440" w:bottom="1440" w:left="1440" w:header="720" w:footer="720" w:gutter="0"/>
          <w:cols w:space="720"/>
          <w:docGrid w:linePitch="360"/>
        </w:sectPr>
      </w:pPr>
    </w:p>
    <w:p w:rsidR="00783675" w:rsidRPr="00783675" w:rsidP="00783675" w14:paraId="14C18F48" w14:textId="3098E2B2">
      <w:pPr>
        <w:spacing w:line="240" w:lineRule="auto"/>
        <w:rPr>
          <w:i/>
          <w:iCs/>
          <w:color w:val="44546A" w:themeColor="text2"/>
          <w:kern w:val="2"/>
          <w:sz w:val="18"/>
          <w:szCs w:val="18"/>
          <w14:ligatures w14:val="standardContextual"/>
        </w:rPr>
      </w:pPr>
      <w:bookmarkStart w:id="10" w:name="_Ref154657637"/>
      <w:r w:rsidRPr="00783675">
        <w:rPr>
          <w:i/>
          <w:iCs/>
          <w:color w:val="44546A" w:themeColor="text2"/>
          <w:kern w:val="2"/>
          <w:sz w:val="18"/>
          <w:szCs w:val="18"/>
          <w14:ligatures w14:val="standardContextual"/>
        </w:rPr>
        <w:t xml:space="preserve">Table </w:t>
      </w:r>
      <w:r w:rsidRPr="00783675">
        <w:rPr>
          <w:i/>
          <w:iCs/>
          <w:color w:val="44546A" w:themeColor="text2"/>
          <w:kern w:val="2"/>
          <w:sz w:val="18"/>
          <w:szCs w:val="18"/>
          <w14:ligatures w14:val="standardContextual"/>
        </w:rPr>
        <w:fldChar w:fldCharType="begin"/>
      </w:r>
      <w:r w:rsidRPr="00783675">
        <w:rPr>
          <w:i/>
          <w:iCs/>
          <w:color w:val="44546A" w:themeColor="text2"/>
          <w:kern w:val="2"/>
          <w:sz w:val="18"/>
          <w:szCs w:val="18"/>
          <w14:ligatures w14:val="standardContextual"/>
        </w:rPr>
        <w:instrText xml:space="preserve"> SEQ Table \* ARABIC </w:instrText>
      </w:r>
      <w:r w:rsidRPr="00783675">
        <w:rPr>
          <w:i/>
          <w:iCs/>
          <w:color w:val="44546A" w:themeColor="text2"/>
          <w:kern w:val="2"/>
          <w:sz w:val="18"/>
          <w:szCs w:val="18"/>
          <w14:ligatures w14:val="standardContextual"/>
        </w:rPr>
        <w:fldChar w:fldCharType="separate"/>
      </w:r>
      <w:r w:rsidRPr="00783675">
        <w:rPr>
          <w:i/>
          <w:iCs/>
          <w:noProof/>
          <w:color w:val="44546A" w:themeColor="text2"/>
          <w:kern w:val="2"/>
          <w:sz w:val="18"/>
          <w:szCs w:val="18"/>
          <w14:ligatures w14:val="standardContextual"/>
        </w:rPr>
        <w:t>4</w:t>
      </w:r>
      <w:r w:rsidRPr="00783675">
        <w:rPr>
          <w:i/>
          <w:iCs/>
          <w:noProof/>
          <w:color w:val="44546A" w:themeColor="text2"/>
          <w:kern w:val="2"/>
          <w:sz w:val="18"/>
          <w:szCs w:val="18"/>
          <w14:ligatures w14:val="standardContextual"/>
        </w:rPr>
        <w:fldChar w:fldCharType="end"/>
      </w:r>
      <w:bookmarkEnd w:id="10"/>
      <w:r w:rsidRPr="00783675">
        <w:rPr>
          <w:i/>
          <w:iCs/>
          <w:color w:val="44546A" w:themeColor="text2"/>
          <w:kern w:val="2"/>
          <w:sz w:val="18"/>
          <w:szCs w:val="18"/>
          <w14:ligatures w14:val="standardContextual"/>
        </w:rPr>
        <w:t xml:space="preserve">. Summary of total estimated annual burden of NSF Engines data collection by survey instrument and number of activities conducted per Engine awardee. The total estimated annual burden per Engine assuming low output is </w:t>
      </w:r>
      <w:r w:rsidR="003C621E">
        <w:rPr>
          <w:i/>
          <w:iCs/>
          <w:color w:val="44546A" w:themeColor="text2"/>
          <w:kern w:val="2"/>
          <w:sz w:val="18"/>
          <w:szCs w:val="18"/>
          <w14:ligatures w14:val="standardContextual"/>
        </w:rPr>
        <w:t>1,884</w:t>
      </w:r>
      <w:r w:rsidRPr="00783675">
        <w:rPr>
          <w:i/>
          <w:iCs/>
          <w:color w:val="44546A" w:themeColor="text2"/>
          <w:kern w:val="2"/>
          <w:sz w:val="18"/>
          <w:szCs w:val="18"/>
          <w14:ligatures w14:val="standardContextual"/>
        </w:rPr>
        <w:t xml:space="preserve"> minutes (3</w:t>
      </w:r>
      <w:r w:rsidR="00DE6618">
        <w:rPr>
          <w:i/>
          <w:iCs/>
          <w:color w:val="44546A" w:themeColor="text2"/>
          <w:kern w:val="2"/>
          <w:sz w:val="18"/>
          <w:szCs w:val="18"/>
          <w14:ligatures w14:val="standardContextual"/>
        </w:rPr>
        <w:t>1.4</w:t>
      </w:r>
      <w:r w:rsidRPr="00783675">
        <w:rPr>
          <w:i/>
          <w:iCs/>
          <w:color w:val="44546A" w:themeColor="text2"/>
          <w:kern w:val="2"/>
          <w:sz w:val="18"/>
          <w:szCs w:val="18"/>
          <w14:ligatures w14:val="standardContextual"/>
        </w:rPr>
        <w:t xml:space="preserve"> hours). The total estimated annual burden the NSF Engines program is </w:t>
      </w:r>
      <w:r w:rsidR="00DE6618">
        <w:rPr>
          <w:i/>
          <w:iCs/>
          <w:color w:val="44546A" w:themeColor="text2"/>
          <w:kern w:val="2"/>
          <w:sz w:val="18"/>
          <w:szCs w:val="18"/>
          <w14:ligatures w14:val="standardContextual"/>
        </w:rPr>
        <w:t>18,840</w:t>
      </w:r>
      <w:r w:rsidRPr="00783675">
        <w:rPr>
          <w:i/>
          <w:iCs/>
          <w:color w:val="44546A" w:themeColor="text2"/>
          <w:kern w:val="2"/>
          <w:sz w:val="18"/>
          <w:szCs w:val="18"/>
          <w14:ligatures w14:val="standardContextual"/>
        </w:rPr>
        <w:t xml:space="preserve"> minutes (3</w:t>
      </w:r>
      <w:r w:rsidR="00DE6618">
        <w:rPr>
          <w:i/>
          <w:iCs/>
          <w:color w:val="44546A" w:themeColor="text2"/>
          <w:kern w:val="2"/>
          <w:sz w:val="18"/>
          <w:szCs w:val="18"/>
          <w14:ligatures w14:val="standardContextual"/>
        </w:rPr>
        <w:t>14</w:t>
      </w:r>
      <w:r w:rsidRPr="00783675">
        <w:rPr>
          <w:i/>
          <w:iCs/>
          <w:color w:val="44546A" w:themeColor="text2"/>
          <w:kern w:val="2"/>
          <w:sz w:val="18"/>
          <w:szCs w:val="18"/>
          <w14:ligatures w14:val="standardContextual"/>
        </w:rPr>
        <w:t xml:space="preserve"> hours).</w:t>
      </w:r>
    </w:p>
    <w:tbl>
      <w:tblPr>
        <w:tblStyle w:val="TableGrid"/>
        <w:tblW w:w="12955" w:type="dxa"/>
        <w:tblLook w:val="04A0"/>
      </w:tblPr>
      <w:tblGrid>
        <w:gridCol w:w="3865"/>
        <w:gridCol w:w="3510"/>
        <w:gridCol w:w="3060"/>
        <w:gridCol w:w="2520"/>
      </w:tblGrid>
      <w:tr w14:paraId="0B052FA7" w14:textId="77777777" w:rsidTr="00040B4F">
        <w:tblPrEx>
          <w:tblW w:w="12955" w:type="dxa"/>
          <w:tblLook w:val="04A0"/>
        </w:tblPrEx>
        <w:tc>
          <w:tcPr>
            <w:tcW w:w="3865" w:type="dxa"/>
            <w:tcBorders>
              <w:top w:val="thinThickSmallGap" w:sz="24" w:space="0" w:color="auto"/>
              <w:left w:val="nil"/>
              <w:bottom w:val="single" w:sz="24" w:space="0" w:color="auto"/>
              <w:right w:val="nil"/>
            </w:tcBorders>
          </w:tcPr>
          <w:p w:rsidR="00783675" w:rsidRPr="00783675" w:rsidP="00783675" w14:paraId="60A26B16" w14:textId="77777777">
            <w:pPr>
              <w:spacing w:after="0" w:line="240" w:lineRule="auto"/>
              <w:rPr>
                <w:i/>
                <w:iCs/>
                <w:kern w:val="2"/>
                <w14:ligatures w14:val="standardContextual"/>
              </w:rPr>
            </w:pPr>
            <w:r w:rsidRPr="00783675">
              <w:rPr>
                <w:i/>
                <w:iCs/>
                <w:kern w:val="2"/>
                <w14:ligatures w14:val="standardContextual"/>
              </w:rPr>
              <w:t>Survey instrument</w:t>
            </w:r>
          </w:p>
        </w:tc>
        <w:tc>
          <w:tcPr>
            <w:tcW w:w="3510" w:type="dxa"/>
            <w:tcBorders>
              <w:top w:val="thinThickSmallGap" w:sz="24" w:space="0" w:color="auto"/>
              <w:left w:val="nil"/>
              <w:bottom w:val="single" w:sz="24" w:space="0" w:color="auto"/>
              <w:right w:val="nil"/>
            </w:tcBorders>
          </w:tcPr>
          <w:p w:rsidR="00783675" w:rsidRPr="00783675" w:rsidP="00783675" w14:paraId="51F31218" w14:textId="77777777">
            <w:pPr>
              <w:spacing w:after="0" w:line="240" w:lineRule="auto"/>
              <w:jc w:val="center"/>
              <w:rPr>
                <w:i/>
                <w:iCs/>
                <w:kern w:val="2"/>
                <w14:ligatures w14:val="standardContextual"/>
              </w:rPr>
            </w:pPr>
            <w:r w:rsidRPr="00783675">
              <w:rPr>
                <w:i/>
                <w:iCs/>
                <w:kern w:val="2"/>
                <w14:ligatures w14:val="standardContextual"/>
              </w:rPr>
              <w:t>Total number of inputs</w:t>
            </w:r>
          </w:p>
        </w:tc>
        <w:tc>
          <w:tcPr>
            <w:tcW w:w="3060" w:type="dxa"/>
            <w:tcBorders>
              <w:top w:val="thinThickSmallGap" w:sz="24" w:space="0" w:color="auto"/>
              <w:left w:val="nil"/>
              <w:bottom w:val="single" w:sz="24" w:space="0" w:color="auto"/>
              <w:right w:val="nil"/>
            </w:tcBorders>
          </w:tcPr>
          <w:p w:rsidR="00783675" w:rsidRPr="00783675" w:rsidP="00783675" w14:paraId="7509FA28" w14:textId="77777777">
            <w:pPr>
              <w:spacing w:after="0" w:line="240" w:lineRule="auto"/>
              <w:jc w:val="center"/>
              <w:rPr>
                <w:i/>
                <w:iCs/>
                <w:kern w:val="2"/>
                <w14:ligatures w14:val="standardContextual"/>
              </w:rPr>
            </w:pPr>
            <w:r w:rsidRPr="00783675">
              <w:rPr>
                <w:i/>
                <w:iCs/>
                <w:kern w:val="2"/>
                <w14:ligatures w14:val="standardContextual"/>
              </w:rPr>
              <w:t>Estimated burden (min per response)</w:t>
            </w:r>
          </w:p>
        </w:tc>
        <w:tc>
          <w:tcPr>
            <w:tcW w:w="2520" w:type="dxa"/>
            <w:tcBorders>
              <w:top w:val="thinThickSmallGap" w:sz="24" w:space="0" w:color="auto"/>
              <w:left w:val="nil"/>
              <w:bottom w:val="single" w:sz="24" w:space="0" w:color="auto"/>
              <w:right w:val="nil"/>
            </w:tcBorders>
          </w:tcPr>
          <w:p w:rsidR="00783675" w:rsidRPr="00783675" w:rsidP="00783675" w14:paraId="1ACECFC3" w14:textId="77777777">
            <w:pPr>
              <w:spacing w:after="0" w:line="240" w:lineRule="auto"/>
              <w:jc w:val="center"/>
              <w:rPr>
                <w:i/>
                <w:iCs/>
                <w:kern w:val="2"/>
                <w14:ligatures w14:val="standardContextual"/>
              </w:rPr>
            </w:pPr>
            <w:r w:rsidRPr="00783675">
              <w:rPr>
                <w:i/>
                <w:iCs/>
                <w:kern w:val="2"/>
                <w14:ligatures w14:val="standardContextual"/>
              </w:rPr>
              <w:t>Total estimated burden (min)</w:t>
            </w:r>
          </w:p>
        </w:tc>
      </w:tr>
      <w:tr w14:paraId="553C68AC" w14:textId="77777777" w:rsidTr="00040B4F">
        <w:tblPrEx>
          <w:tblW w:w="12955" w:type="dxa"/>
          <w:tblLook w:val="04A0"/>
        </w:tblPrEx>
        <w:tc>
          <w:tcPr>
            <w:tcW w:w="3865" w:type="dxa"/>
            <w:tcBorders>
              <w:top w:val="single" w:sz="24" w:space="0" w:color="auto"/>
              <w:left w:val="nil"/>
              <w:bottom w:val="dotted" w:sz="4" w:space="0" w:color="auto"/>
              <w:right w:val="nil"/>
            </w:tcBorders>
          </w:tcPr>
          <w:p w:rsidR="00783675" w:rsidRPr="00783675" w:rsidP="00783675" w14:paraId="6101DBE7" w14:textId="77777777">
            <w:pPr>
              <w:spacing w:after="0" w:line="240" w:lineRule="auto"/>
              <w:rPr>
                <w:i/>
                <w:iCs/>
                <w:kern w:val="2"/>
                <w14:ligatures w14:val="standardContextual"/>
              </w:rPr>
            </w:pPr>
            <w:r w:rsidRPr="00783675">
              <w:rPr>
                <w:i/>
                <w:iCs/>
                <w:kern w:val="2"/>
                <w14:ligatures w14:val="standardContextual"/>
              </w:rPr>
              <w:t>Intake: programmatic activities survey</w:t>
            </w:r>
          </w:p>
        </w:tc>
        <w:tc>
          <w:tcPr>
            <w:tcW w:w="3510" w:type="dxa"/>
            <w:tcBorders>
              <w:top w:val="single" w:sz="24" w:space="0" w:color="auto"/>
              <w:left w:val="nil"/>
              <w:bottom w:val="dotted" w:sz="4" w:space="0" w:color="auto"/>
              <w:right w:val="nil"/>
            </w:tcBorders>
          </w:tcPr>
          <w:p w:rsidR="00783675" w:rsidRPr="00783675" w:rsidP="00783675" w14:paraId="1F5E1CA3" w14:textId="77777777">
            <w:pPr>
              <w:spacing w:after="0" w:line="240" w:lineRule="auto"/>
              <w:jc w:val="center"/>
              <w:rPr>
                <w:kern w:val="2"/>
                <w14:ligatures w14:val="standardContextual"/>
              </w:rPr>
            </w:pPr>
            <w:r w:rsidRPr="00783675">
              <w:rPr>
                <w:kern w:val="2"/>
                <w14:ligatures w14:val="standardContextual"/>
              </w:rPr>
              <w:t>18</w:t>
            </w:r>
          </w:p>
        </w:tc>
        <w:tc>
          <w:tcPr>
            <w:tcW w:w="3060" w:type="dxa"/>
            <w:tcBorders>
              <w:top w:val="single" w:sz="24" w:space="0" w:color="auto"/>
              <w:left w:val="nil"/>
              <w:bottom w:val="dotted" w:sz="4" w:space="0" w:color="auto"/>
              <w:right w:val="nil"/>
            </w:tcBorders>
          </w:tcPr>
          <w:p w:rsidR="00783675" w:rsidRPr="00783675" w:rsidP="00783675" w14:paraId="787D6C62" w14:textId="77777777">
            <w:pPr>
              <w:spacing w:after="0" w:line="240" w:lineRule="auto"/>
              <w:jc w:val="center"/>
              <w:rPr>
                <w:kern w:val="2"/>
                <w14:ligatures w14:val="standardContextual"/>
              </w:rPr>
            </w:pPr>
            <w:r w:rsidRPr="00783675">
              <w:rPr>
                <w:kern w:val="2"/>
                <w14:ligatures w14:val="standardContextual"/>
              </w:rPr>
              <w:t>3</w:t>
            </w:r>
          </w:p>
        </w:tc>
        <w:tc>
          <w:tcPr>
            <w:tcW w:w="2520" w:type="dxa"/>
            <w:tcBorders>
              <w:top w:val="single" w:sz="24" w:space="0" w:color="auto"/>
              <w:left w:val="nil"/>
              <w:bottom w:val="dotted" w:sz="4" w:space="0" w:color="auto"/>
              <w:right w:val="nil"/>
            </w:tcBorders>
          </w:tcPr>
          <w:p w:rsidR="00783675" w:rsidRPr="00783675" w:rsidP="00783675" w14:paraId="7EB3DD44" w14:textId="77777777">
            <w:pPr>
              <w:spacing w:after="0" w:line="240" w:lineRule="auto"/>
              <w:jc w:val="center"/>
              <w:rPr>
                <w:kern w:val="2"/>
                <w14:ligatures w14:val="standardContextual"/>
              </w:rPr>
            </w:pPr>
            <w:r w:rsidRPr="00783675">
              <w:rPr>
                <w:kern w:val="2"/>
                <w14:ligatures w14:val="standardContextual"/>
              </w:rPr>
              <w:t>54</w:t>
            </w:r>
          </w:p>
        </w:tc>
      </w:tr>
      <w:tr w14:paraId="6E4FEBAC" w14:textId="77777777" w:rsidTr="00040B4F">
        <w:tblPrEx>
          <w:tblW w:w="12955" w:type="dxa"/>
          <w:tblLook w:val="04A0"/>
        </w:tblPrEx>
        <w:tc>
          <w:tcPr>
            <w:tcW w:w="3865" w:type="dxa"/>
            <w:tcBorders>
              <w:top w:val="dotted" w:sz="4" w:space="0" w:color="auto"/>
              <w:left w:val="nil"/>
              <w:bottom w:val="dotted" w:sz="4" w:space="0" w:color="auto"/>
              <w:right w:val="nil"/>
            </w:tcBorders>
          </w:tcPr>
          <w:p w:rsidR="00783675" w:rsidRPr="00783675" w:rsidP="00783675" w14:paraId="098868C7" w14:textId="77777777">
            <w:pPr>
              <w:spacing w:after="0" w:line="240" w:lineRule="auto"/>
              <w:rPr>
                <w:i/>
                <w:iCs/>
                <w:kern w:val="2"/>
                <w14:ligatures w14:val="standardContextual"/>
              </w:rPr>
            </w:pPr>
            <w:r w:rsidRPr="00783675">
              <w:rPr>
                <w:i/>
                <w:iCs/>
                <w:kern w:val="2"/>
                <w14:ligatures w14:val="standardContextual"/>
              </w:rPr>
              <w:t>Intake: additional funds received survey</w:t>
            </w:r>
          </w:p>
        </w:tc>
        <w:tc>
          <w:tcPr>
            <w:tcW w:w="3510" w:type="dxa"/>
            <w:tcBorders>
              <w:top w:val="dotted" w:sz="4" w:space="0" w:color="auto"/>
              <w:left w:val="nil"/>
              <w:bottom w:val="dotted" w:sz="4" w:space="0" w:color="auto"/>
              <w:right w:val="nil"/>
            </w:tcBorders>
          </w:tcPr>
          <w:p w:rsidR="00783675" w:rsidRPr="00783675" w:rsidP="00783675" w14:paraId="5128490C" w14:textId="77777777">
            <w:pPr>
              <w:spacing w:after="0" w:line="240" w:lineRule="auto"/>
              <w:jc w:val="center"/>
              <w:rPr>
                <w:kern w:val="2"/>
                <w14:ligatures w14:val="standardContextual"/>
              </w:rPr>
            </w:pPr>
            <w:r w:rsidRPr="00783675">
              <w:rPr>
                <w:kern w:val="2"/>
                <w14:ligatures w14:val="standardContextual"/>
              </w:rPr>
              <w:t>2</w:t>
            </w:r>
          </w:p>
        </w:tc>
        <w:tc>
          <w:tcPr>
            <w:tcW w:w="3060" w:type="dxa"/>
            <w:tcBorders>
              <w:top w:val="dotted" w:sz="4" w:space="0" w:color="auto"/>
              <w:left w:val="nil"/>
              <w:bottom w:val="dotted" w:sz="4" w:space="0" w:color="auto"/>
              <w:right w:val="nil"/>
            </w:tcBorders>
          </w:tcPr>
          <w:p w:rsidR="00783675" w:rsidRPr="00783675" w:rsidP="00783675" w14:paraId="11873864" w14:textId="77777777">
            <w:pPr>
              <w:spacing w:after="0" w:line="240" w:lineRule="auto"/>
              <w:jc w:val="center"/>
              <w:rPr>
                <w:kern w:val="2"/>
                <w14:ligatures w14:val="standardContextual"/>
              </w:rPr>
            </w:pPr>
            <w:r w:rsidRPr="00783675">
              <w:rPr>
                <w:kern w:val="2"/>
                <w14:ligatures w14:val="standardContextual"/>
              </w:rPr>
              <w:t>5</w:t>
            </w:r>
          </w:p>
        </w:tc>
        <w:tc>
          <w:tcPr>
            <w:tcW w:w="2520" w:type="dxa"/>
            <w:tcBorders>
              <w:top w:val="dotted" w:sz="4" w:space="0" w:color="auto"/>
              <w:left w:val="nil"/>
              <w:bottom w:val="dotted" w:sz="4" w:space="0" w:color="auto"/>
              <w:right w:val="nil"/>
            </w:tcBorders>
          </w:tcPr>
          <w:p w:rsidR="00783675" w:rsidRPr="00783675" w:rsidP="00783675" w14:paraId="0B8AFE71" w14:textId="77777777">
            <w:pPr>
              <w:spacing w:after="0" w:line="240" w:lineRule="auto"/>
              <w:jc w:val="center"/>
              <w:rPr>
                <w:kern w:val="2"/>
                <w14:ligatures w14:val="standardContextual"/>
              </w:rPr>
            </w:pPr>
            <w:r w:rsidRPr="00783675">
              <w:rPr>
                <w:kern w:val="2"/>
                <w14:ligatures w14:val="standardContextual"/>
              </w:rPr>
              <w:t>10</w:t>
            </w:r>
          </w:p>
        </w:tc>
      </w:tr>
      <w:tr w14:paraId="5FA25821" w14:textId="77777777" w:rsidTr="00040B4F">
        <w:tblPrEx>
          <w:tblW w:w="12955" w:type="dxa"/>
          <w:tblLook w:val="04A0"/>
        </w:tblPrEx>
        <w:tc>
          <w:tcPr>
            <w:tcW w:w="3865" w:type="dxa"/>
            <w:tcBorders>
              <w:top w:val="dotted" w:sz="4" w:space="0" w:color="auto"/>
              <w:left w:val="nil"/>
              <w:bottom w:val="dotted" w:sz="4" w:space="0" w:color="auto"/>
              <w:right w:val="nil"/>
            </w:tcBorders>
          </w:tcPr>
          <w:p w:rsidR="00783675" w:rsidRPr="00783675" w:rsidP="00783675" w14:paraId="0B110F49" w14:textId="77777777">
            <w:pPr>
              <w:spacing w:after="0" w:line="240" w:lineRule="auto"/>
              <w:rPr>
                <w:i/>
                <w:iCs/>
                <w:kern w:val="2"/>
                <w14:ligatures w14:val="standardContextual"/>
              </w:rPr>
            </w:pPr>
            <w:r w:rsidRPr="00783675">
              <w:rPr>
                <w:i/>
                <w:iCs/>
                <w:kern w:val="2"/>
                <w14:ligatures w14:val="standardContextual"/>
              </w:rPr>
              <w:t>Intake: individuals survey</w:t>
            </w:r>
          </w:p>
        </w:tc>
        <w:tc>
          <w:tcPr>
            <w:tcW w:w="3510" w:type="dxa"/>
            <w:tcBorders>
              <w:top w:val="dotted" w:sz="4" w:space="0" w:color="auto"/>
              <w:left w:val="nil"/>
              <w:bottom w:val="dotted" w:sz="4" w:space="0" w:color="auto"/>
              <w:right w:val="nil"/>
            </w:tcBorders>
          </w:tcPr>
          <w:p w:rsidR="00783675" w:rsidRPr="00783675" w:rsidP="00783675" w14:paraId="28842948" w14:textId="77777777">
            <w:pPr>
              <w:spacing w:after="0" w:line="240" w:lineRule="auto"/>
              <w:jc w:val="center"/>
              <w:rPr>
                <w:kern w:val="2"/>
                <w14:ligatures w14:val="standardContextual"/>
              </w:rPr>
            </w:pPr>
            <w:r w:rsidRPr="00783675">
              <w:rPr>
                <w:kern w:val="2"/>
                <w14:ligatures w14:val="standardContextual"/>
              </w:rPr>
              <w:t>90</w:t>
            </w:r>
          </w:p>
        </w:tc>
        <w:tc>
          <w:tcPr>
            <w:tcW w:w="3060" w:type="dxa"/>
            <w:tcBorders>
              <w:top w:val="dotted" w:sz="4" w:space="0" w:color="auto"/>
              <w:left w:val="nil"/>
              <w:bottom w:val="dotted" w:sz="4" w:space="0" w:color="auto"/>
              <w:right w:val="nil"/>
            </w:tcBorders>
          </w:tcPr>
          <w:p w:rsidR="00783675" w:rsidRPr="00783675" w:rsidP="00783675" w14:paraId="713066C0" w14:textId="77777777">
            <w:pPr>
              <w:spacing w:after="0" w:line="240" w:lineRule="auto"/>
              <w:jc w:val="center"/>
              <w:rPr>
                <w:kern w:val="2"/>
                <w14:ligatures w14:val="standardContextual"/>
              </w:rPr>
            </w:pPr>
            <w:r w:rsidRPr="00783675">
              <w:rPr>
                <w:kern w:val="2"/>
                <w14:ligatures w14:val="standardContextual"/>
              </w:rPr>
              <w:t>3</w:t>
            </w:r>
          </w:p>
        </w:tc>
        <w:tc>
          <w:tcPr>
            <w:tcW w:w="2520" w:type="dxa"/>
            <w:tcBorders>
              <w:top w:val="dotted" w:sz="4" w:space="0" w:color="auto"/>
              <w:left w:val="nil"/>
              <w:bottom w:val="dotted" w:sz="4" w:space="0" w:color="auto"/>
              <w:right w:val="nil"/>
            </w:tcBorders>
          </w:tcPr>
          <w:p w:rsidR="00783675" w:rsidRPr="00783675" w:rsidP="00783675" w14:paraId="68E2CB69" w14:textId="77777777">
            <w:pPr>
              <w:spacing w:after="0" w:line="240" w:lineRule="auto"/>
              <w:jc w:val="center"/>
              <w:rPr>
                <w:kern w:val="2"/>
                <w14:ligatures w14:val="standardContextual"/>
              </w:rPr>
            </w:pPr>
            <w:r w:rsidRPr="00783675">
              <w:rPr>
                <w:kern w:val="2"/>
                <w14:ligatures w14:val="standardContextual"/>
              </w:rPr>
              <w:t>270</w:t>
            </w:r>
          </w:p>
        </w:tc>
      </w:tr>
      <w:tr w14:paraId="2B631644" w14:textId="77777777" w:rsidTr="00040B4F">
        <w:tblPrEx>
          <w:tblW w:w="12955" w:type="dxa"/>
          <w:tblLook w:val="04A0"/>
        </w:tblPrEx>
        <w:tc>
          <w:tcPr>
            <w:tcW w:w="3865" w:type="dxa"/>
            <w:tcBorders>
              <w:top w:val="dotted" w:sz="4" w:space="0" w:color="auto"/>
              <w:left w:val="nil"/>
              <w:bottom w:val="nil"/>
              <w:right w:val="nil"/>
            </w:tcBorders>
          </w:tcPr>
          <w:p w:rsidR="00783675" w:rsidRPr="00783675" w:rsidP="00783675" w14:paraId="721BD3C9" w14:textId="77777777">
            <w:pPr>
              <w:spacing w:after="0" w:line="240" w:lineRule="auto"/>
              <w:rPr>
                <w:rFonts w:asciiTheme="majorHAnsi" w:eastAsiaTheme="majorEastAsia" w:hAnsiTheme="majorHAnsi" w:cstheme="majorBidi"/>
                <w:i/>
                <w:iCs/>
                <w:kern w:val="2"/>
                <w:sz w:val="26"/>
                <w14:ligatures w14:val="standardContextual"/>
              </w:rPr>
            </w:pPr>
            <w:r w:rsidRPr="00783675">
              <w:rPr>
                <w:i/>
                <w:iCs/>
                <w:kern w:val="2"/>
                <w14:ligatures w14:val="standardContextual"/>
              </w:rPr>
              <w:t>Programmatic activities</w:t>
            </w:r>
          </w:p>
        </w:tc>
        <w:tc>
          <w:tcPr>
            <w:tcW w:w="3510" w:type="dxa"/>
            <w:tcBorders>
              <w:top w:val="dotted" w:sz="4" w:space="0" w:color="auto"/>
              <w:left w:val="nil"/>
              <w:bottom w:val="nil"/>
              <w:right w:val="nil"/>
            </w:tcBorders>
          </w:tcPr>
          <w:p w:rsidR="00783675" w:rsidRPr="00783675" w:rsidP="00783675" w14:paraId="3098B224" w14:textId="77777777">
            <w:pPr>
              <w:spacing w:after="0" w:line="240" w:lineRule="auto"/>
              <w:jc w:val="center"/>
              <w:rPr>
                <w:kern w:val="2"/>
                <w14:ligatures w14:val="standardContextual"/>
              </w:rPr>
            </w:pPr>
          </w:p>
        </w:tc>
        <w:tc>
          <w:tcPr>
            <w:tcW w:w="3060" w:type="dxa"/>
            <w:tcBorders>
              <w:top w:val="dotted" w:sz="4" w:space="0" w:color="auto"/>
              <w:left w:val="nil"/>
              <w:bottom w:val="nil"/>
              <w:right w:val="nil"/>
            </w:tcBorders>
          </w:tcPr>
          <w:p w:rsidR="00783675" w:rsidRPr="00783675" w:rsidP="00783675" w14:paraId="6CF6ED1C" w14:textId="77777777">
            <w:pPr>
              <w:spacing w:after="0" w:line="240" w:lineRule="auto"/>
              <w:jc w:val="center"/>
              <w:rPr>
                <w:kern w:val="2"/>
                <w14:ligatures w14:val="standardContextual"/>
              </w:rPr>
            </w:pPr>
          </w:p>
        </w:tc>
        <w:tc>
          <w:tcPr>
            <w:tcW w:w="2520" w:type="dxa"/>
            <w:tcBorders>
              <w:top w:val="dotted" w:sz="4" w:space="0" w:color="auto"/>
              <w:left w:val="nil"/>
              <w:bottom w:val="nil"/>
              <w:right w:val="nil"/>
            </w:tcBorders>
          </w:tcPr>
          <w:p w:rsidR="00783675" w:rsidRPr="00783675" w:rsidP="00783675" w14:paraId="57F349CD" w14:textId="77777777">
            <w:pPr>
              <w:spacing w:after="0" w:line="240" w:lineRule="auto"/>
              <w:jc w:val="center"/>
              <w:rPr>
                <w:kern w:val="2"/>
                <w14:ligatures w14:val="standardContextual"/>
              </w:rPr>
            </w:pPr>
          </w:p>
        </w:tc>
      </w:tr>
      <w:tr w14:paraId="7FFFA160" w14:textId="77777777" w:rsidTr="00040B4F">
        <w:tblPrEx>
          <w:tblW w:w="12955" w:type="dxa"/>
          <w:tblLook w:val="04A0"/>
        </w:tblPrEx>
        <w:tc>
          <w:tcPr>
            <w:tcW w:w="3865" w:type="dxa"/>
            <w:tcBorders>
              <w:top w:val="nil"/>
              <w:left w:val="nil"/>
              <w:bottom w:val="nil"/>
              <w:right w:val="nil"/>
            </w:tcBorders>
          </w:tcPr>
          <w:p w:rsidR="00783675" w:rsidRPr="00783675" w:rsidP="00783675" w14:paraId="1359EB8C" w14:textId="77777777">
            <w:pPr>
              <w:spacing w:after="0" w:line="240" w:lineRule="auto"/>
              <w:ind w:left="720"/>
              <w:rPr>
                <w:kern w:val="2"/>
                <w14:ligatures w14:val="standardContextual"/>
              </w:rPr>
            </w:pPr>
            <w:r w:rsidRPr="00783675">
              <w:rPr>
                <w:kern w:val="2"/>
                <w14:ligatures w14:val="standardContextual"/>
              </w:rPr>
              <w:t>R&amp;D and translation</w:t>
            </w:r>
          </w:p>
        </w:tc>
        <w:tc>
          <w:tcPr>
            <w:tcW w:w="3510" w:type="dxa"/>
            <w:tcBorders>
              <w:top w:val="nil"/>
              <w:left w:val="nil"/>
              <w:bottom w:val="nil"/>
              <w:right w:val="nil"/>
            </w:tcBorders>
          </w:tcPr>
          <w:p w:rsidR="00783675" w:rsidRPr="00783675" w:rsidP="00783675" w14:paraId="7BAE2037" w14:textId="77777777">
            <w:pPr>
              <w:spacing w:after="0" w:line="240" w:lineRule="auto"/>
              <w:jc w:val="center"/>
              <w:rPr>
                <w:kern w:val="2"/>
                <w14:ligatures w14:val="standardContextual"/>
              </w:rPr>
            </w:pPr>
            <w:r w:rsidRPr="00783675">
              <w:rPr>
                <w:kern w:val="2"/>
                <w14:ligatures w14:val="standardContextual"/>
              </w:rPr>
              <w:t>6</w:t>
            </w:r>
          </w:p>
        </w:tc>
        <w:tc>
          <w:tcPr>
            <w:tcW w:w="3060" w:type="dxa"/>
            <w:tcBorders>
              <w:top w:val="nil"/>
              <w:left w:val="nil"/>
              <w:bottom w:val="nil"/>
              <w:right w:val="nil"/>
            </w:tcBorders>
          </w:tcPr>
          <w:p w:rsidR="00783675" w:rsidRPr="00783675" w:rsidP="00783675" w14:paraId="6216CD52" w14:textId="77777777">
            <w:pPr>
              <w:spacing w:after="0" w:line="240" w:lineRule="auto"/>
              <w:jc w:val="center"/>
              <w:rPr>
                <w:kern w:val="2"/>
                <w14:ligatures w14:val="standardContextual"/>
              </w:rPr>
            </w:pPr>
            <w:r w:rsidRPr="00783675">
              <w:rPr>
                <w:kern w:val="2"/>
                <w14:ligatures w14:val="standardContextual"/>
              </w:rPr>
              <w:t>30</w:t>
            </w:r>
          </w:p>
        </w:tc>
        <w:tc>
          <w:tcPr>
            <w:tcW w:w="2520" w:type="dxa"/>
            <w:tcBorders>
              <w:top w:val="nil"/>
              <w:left w:val="nil"/>
              <w:bottom w:val="nil"/>
              <w:right w:val="nil"/>
            </w:tcBorders>
          </w:tcPr>
          <w:p w:rsidR="00783675" w:rsidRPr="00783675" w:rsidP="00783675" w14:paraId="1FCFBFD9" w14:textId="77777777">
            <w:pPr>
              <w:spacing w:after="0" w:line="240" w:lineRule="auto"/>
              <w:jc w:val="center"/>
              <w:rPr>
                <w:kern w:val="2"/>
                <w14:ligatures w14:val="standardContextual"/>
              </w:rPr>
            </w:pPr>
            <w:r w:rsidRPr="00783675">
              <w:rPr>
                <w:kern w:val="2"/>
                <w14:ligatures w14:val="standardContextual"/>
              </w:rPr>
              <w:t>180</w:t>
            </w:r>
          </w:p>
        </w:tc>
      </w:tr>
      <w:tr w14:paraId="1D663CC5" w14:textId="77777777" w:rsidTr="00040B4F">
        <w:tblPrEx>
          <w:tblW w:w="12955" w:type="dxa"/>
          <w:tblLook w:val="04A0"/>
        </w:tblPrEx>
        <w:trPr>
          <w:trHeight w:val="300"/>
        </w:trPr>
        <w:tc>
          <w:tcPr>
            <w:tcW w:w="3865" w:type="dxa"/>
            <w:tcBorders>
              <w:top w:val="nil"/>
              <w:left w:val="nil"/>
              <w:bottom w:val="nil"/>
              <w:right w:val="nil"/>
            </w:tcBorders>
          </w:tcPr>
          <w:p w:rsidR="00783675" w:rsidRPr="00783675" w:rsidP="00783675" w14:paraId="0CDECCE6" w14:textId="77777777">
            <w:pPr>
              <w:spacing w:after="0" w:line="240" w:lineRule="auto"/>
              <w:ind w:left="720"/>
              <w:rPr>
                <w:kern w:val="2"/>
                <w14:ligatures w14:val="standardContextual"/>
              </w:rPr>
            </w:pPr>
            <w:r w:rsidRPr="00783675">
              <w:rPr>
                <w:kern w:val="2"/>
                <w14:ligatures w14:val="standardContextual"/>
              </w:rPr>
              <w:t>Workforce development</w:t>
            </w:r>
          </w:p>
        </w:tc>
        <w:tc>
          <w:tcPr>
            <w:tcW w:w="3510" w:type="dxa"/>
            <w:tcBorders>
              <w:top w:val="nil"/>
              <w:left w:val="nil"/>
              <w:bottom w:val="nil"/>
              <w:right w:val="nil"/>
            </w:tcBorders>
          </w:tcPr>
          <w:p w:rsidR="00783675" w:rsidRPr="00783675" w:rsidP="00783675" w14:paraId="5A67521E" w14:textId="77777777">
            <w:pPr>
              <w:spacing w:after="0" w:line="240" w:lineRule="auto"/>
              <w:jc w:val="center"/>
              <w:rPr>
                <w:kern w:val="2"/>
                <w14:ligatures w14:val="standardContextual"/>
              </w:rPr>
            </w:pPr>
            <w:r w:rsidRPr="00783675">
              <w:rPr>
                <w:kern w:val="2"/>
                <w14:ligatures w14:val="standardContextual"/>
              </w:rPr>
              <w:t>2</w:t>
            </w:r>
          </w:p>
        </w:tc>
        <w:tc>
          <w:tcPr>
            <w:tcW w:w="3060" w:type="dxa"/>
            <w:tcBorders>
              <w:top w:val="nil"/>
              <w:left w:val="nil"/>
              <w:bottom w:val="nil"/>
              <w:right w:val="nil"/>
            </w:tcBorders>
          </w:tcPr>
          <w:p w:rsidR="00783675" w:rsidRPr="00783675" w:rsidP="00783675" w14:paraId="48C63C70" w14:textId="77777777">
            <w:pPr>
              <w:spacing w:after="0" w:line="240" w:lineRule="auto"/>
              <w:jc w:val="center"/>
              <w:rPr>
                <w:kern w:val="2"/>
                <w14:ligatures w14:val="standardContextual"/>
              </w:rPr>
            </w:pPr>
            <w:r w:rsidRPr="00783675">
              <w:rPr>
                <w:kern w:val="2"/>
                <w14:ligatures w14:val="standardContextual"/>
              </w:rPr>
              <w:t>15</w:t>
            </w:r>
          </w:p>
        </w:tc>
        <w:tc>
          <w:tcPr>
            <w:tcW w:w="2520" w:type="dxa"/>
            <w:tcBorders>
              <w:top w:val="nil"/>
              <w:left w:val="nil"/>
              <w:bottom w:val="nil"/>
              <w:right w:val="nil"/>
            </w:tcBorders>
          </w:tcPr>
          <w:p w:rsidR="00783675" w:rsidRPr="00783675" w:rsidP="00783675" w14:paraId="780971F8" w14:textId="77777777">
            <w:pPr>
              <w:spacing w:after="0" w:line="240" w:lineRule="auto"/>
              <w:jc w:val="center"/>
              <w:rPr>
                <w:kern w:val="2"/>
                <w14:ligatures w14:val="standardContextual"/>
              </w:rPr>
            </w:pPr>
            <w:r w:rsidRPr="00783675">
              <w:rPr>
                <w:kern w:val="2"/>
                <w14:ligatures w14:val="standardContextual"/>
              </w:rPr>
              <w:t>30</w:t>
            </w:r>
          </w:p>
        </w:tc>
      </w:tr>
      <w:tr w14:paraId="2C6A0A89" w14:textId="77777777" w:rsidTr="00040B4F">
        <w:tblPrEx>
          <w:tblW w:w="12955" w:type="dxa"/>
          <w:tblLook w:val="04A0"/>
        </w:tblPrEx>
        <w:tc>
          <w:tcPr>
            <w:tcW w:w="3865" w:type="dxa"/>
            <w:tcBorders>
              <w:top w:val="nil"/>
              <w:left w:val="nil"/>
              <w:bottom w:val="dotted" w:sz="4" w:space="0" w:color="auto"/>
              <w:right w:val="nil"/>
            </w:tcBorders>
          </w:tcPr>
          <w:p w:rsidR="00783675" w:rsidRPr="00783675" w:rsidP="00783675" w14:paraId="763606D6" w14:textId="77777777">
            <w:pPr>
              <w:spacing w:after="0" w:line="240" w:lineRule="auto"/>
              <w:ind w:left="720"/>
              <w:rPr>
                <w:kern w:val="2"/>
                <w14:ligatures w14:val="standardContextual"/>
              </w:rPr>
            </w:pPr>
            <w:r w:rsidRPr="00783675">
              <w:rPr>
                <w:kern w:val="2"/>
                <w14:ligatures w14:val="standardContextual"/>
              </w:rPr>
              <w:t>Ecosystem building</w:t>
            </w:r>
          </w:p>
        </w:tc>
        <w:tc>
          <w:tcPr>
            <w:tcW w:w="3510" w:type="dxa"/>
            <w:tcBorders>
              <w:top w:val="nil"/>
              <w:left w:val="nil"/>
              <w:bottom w:val="dotted" w:sz="4" w:space="0" w:color="auto"/>
              <w:right w:val="nil"/>
            </w:tcBorders>
          </w:tcPr>
          <w:p w:rsidR="00783675" w:rsidRPr="00783675" w:rsidP="00783675" w14:paraId="11B14591" w14:textId="77777777">
            <w:pPr>
              <w:spacing w:after="0" w:line="240" w:lineRule="auto"/>
              <w:jc w:val="center"/>
              <w:rPr>
                <w:kern w:val="2"/>
                <w14:ligatures w14:val="standardContextual"/>
              </w:rPr>
            </w:pPr>
            <w:r w:rsidRPr="00783675">
              <w:rPr>
                <w:kern w:val="2"/>
                <w14:ligatures w14:val="standardContextual"/>
              </w:rPr>
              <w:t>10</w:t>
            </w:r>
          </w:p>
        </w:tc>
        <w:tc>
          <w:tcPr>
            <w:tcW w:w="3060" w:type="dxa"/>
            <w:tcBorders>
              <w:top w:val="nil"/>
              <w:left w:val="nil"/>
              <w:bottom w:val="dotted" w:sz="4" w:space="0" w:color="auto"/>
              <w:right w:val="nil"/>
            </w:tcBorders>
          </w:tcPr>
          <w:p w:rsidR="00783675" w:rsidRPr="00783675" w:rsidP="00783675" w14:paraId="58C68EE3" w14:textId="77777777">
            <w:pPr>
              <w:spacing w:after="0" w:line="240" w:lineRule="auto"/>
              <w:jc w:val="center"/>
              <w:rPr>
                <w:kern w:val="2"/>
                <w14:ligatures w14:val="standardContextual"/>
              </w:rPr>
            </w:pPr>
            <w:r w:rsidRPr="00783675">
              <w:rPr>
                <w:kern w:val="2"/>
                <w14:ligatures w14:val="standardContextual"/>
              </w:rPr>
              <w:t>15</w:t>
            </w:r>
          </w:p>
        </w:tc>
        <w:tc>
          <w:tcPr>
            <w:tcW w:w="2520" w:type="dxa"/>
            <w:tcBorders>
              <w:top w:val="nil"/>
              <w:left w:val="nil"/>
              <w:bottom w:val="dotted" w:sz="4" w:space="0" w:color="auto"/>
              <w:right w:val="nil"/>
            </w:tcBorders>
          </w:tcPr>
          <w:p w:rsidR="00783675" w:rsidRPr="00783675" w:rsidP="00783675" w14:paraId="546471AE" w14:textId="77777777">
            <w:pPr>
              <w:spacing w:after="0" w:line="240" w:lineRule="auto"/>
              <w:jc w:val="center"/>
              <w:rPr>
                <w:kern w:val="2"/>
                <w14:ligatures w14:val="standardContextual"/>
              </w:rPr>
            </w:pPr>
            <w:r w:rsidRPr="00783675">
              <w:rPr>
                <w:kern w:val="2"/>
                <w14:ligatures w14:val="standardContextual"/>
              </w:rPr>
              <w:t>150</w:t>
            </w:r>
          </w:p>
        </w:tc>
      </w:tr>
      <w:tr w14:paraId="3717E859" w14:textId="77777777" w:rsidTr="00040B4F">
        <w:tblPrEx>
          <w:tblW w:w="12955" w:type="dxa"/>
          <w:tblLook w:val="04A0"/>
        </w:tblPrEx>
        <w:tc>
          <w:tcPr>
            <w:tcW w:w="3865" w:type="dxa"/>
            <w:tcBorders>
              <w:top w:val="dotted" w:sz="4" w:space="0" w:color="auto"/>
              <w:left w:val="nil"/>
              <w:bottom w:val="nil"/>
              <w:right w:val="nil"/>
            </w:tcBorders>
          </w:tcPr>
          <w:p w:rsidR="00783675" w:rsidRPr="00783675" w:rsidP="00783675" w14:paraId="7B22F9F1" w14:textId="77777777">
            <w:pPr>
              <w:spacing w:after="0" w:line="240" w:lineRule="auto"/>
              <w:rPr>
                <w:i/>
                <w:iCs/>
                <w:kern w:val="2"/>
                <w14:ligatures w14:val="standardContextual"/>
              </w:rPr>
            </w:pPr>
            <w:r w:rsidRPr="00783675">
              <w:rPr>
                <w:i/>
                <w:iCs/>
                <w:kern w:val="2"/>
                <w14:ligatures w14:val="standardContextual"/>
              </w:rPr>
              <w:t>Individuals survey</w:t>
            </w:r>
          </w:p>
        </w:tc>
        <w:tc>
          <w:tcPr>
            <w:tcW w:w="3510" w:type="dxa"/>
            <w:tcBorders>
              <w:top w:val="dotted" w:sz="4" w:space="0" w:color="auto"/>
              <w:left w:val="nil"/>
              <w:bottom w:val="nil"/>
              <w:right w:val="nil"/>
            </w:tcBorders>
          </w:tcPr>
          <w:p w:rsidR="00783675" w:rsidRPr="00783675" w:rsidP="00783675" w14:paraId="07DB7A08" w14:textId="77777777">
            <w:pPr>
              <w:spacing w:after="0" w:line="240" w:lineRule="auto"/>
              <w:jc w:val="center"/>
              <w:rPr>
                <w:kern w:val="2"/>
                <w14:ligatures w14:val="standardContextual"/>
              </w:rPr>
            </w:pPr>
          </w:p>
        </w:tc>
        <w:tc>
          <w:tcPr>
            <w:tcW w:w="3060" w:type="dxa"/>
            <w:tcBorders>
              <w:top w:val="dotted" w:sz="4" w:space="0" w:color="auto"/>
              <w:left w:val="nil"/>
              <w:bottom w:val="nil"/>
              <w:right w:val="nil"/>
            </w:tcBorders>
          </w:tcPr>
          <w:p w:rsidR="00783675" w:rsidRPr="00783675" w:rsidP="00783675" w14:paraId="09E5328B" w14:textId="77777777">
            <w:pPr>
              <w:spacing w:after="0" w:line="240" w:lineRule="auto"/>
              <w:jc w:val="center"/>
              <w:rPr>
                <w:kern w:val="2"/>
                <w14:ligatures w14:val="standardContextual"/>
              </w:rPr>
            </w:pPr>
          </w:p>
        </w:tc>
        <w:tc>
          <w:tcPr>
            <w:tcW w:w="2520" w:type="dxa"/>
            <w:tcBorders>
              <w:top w:val="dotted" w:sz="4" w:space="0" w:color="auto"/>
              <w:left w:val="nil"/>
              <w:bottom w:val="nil"/>
              <w:right w:val="nil"/>
            </w:tcBorders>
          </w:tcPr>
          <w:p w:rsidR="00783675" w:rsidRPr="00783675" w:rsidP="00783675" w14:paraId="38D0A35D" w14:textId="77777777">
            <w:pPr>
              <w:spacing w:after="0" w:line="240" w:lineRule="auto"/>
              <w:jc w:val="center"/>
              <w:rPr>
                <w:kern w:val="2"/>
                <w14:ligatures w14:val="standardContextual"/>
              </w:rPr>
            </w:pPr>
          </w:p>
        </w:tc>
      </w:tr>
      <w:tr w14:paraId="6A5D5B71" w14:textId="77777777" w:rsidTr="00040B4F">
        <w:tblPrEx>
          <w:tblW w:w="12955" w:type="dxa"/>
          <w:tblLook w:val="04A0"/>
        </w:tblPrEx>
        <w:tc>
          <w:tcPr>
            <w:tcW w:w="3865" w:type="dxa"/>
            <w:tcBorders>
              <w:top w:val="nil"/>
              <w:left w:val="nil"/>
              <w:bottom w:val="nil"/>
              <w:right w:val="nil"/>
            </w:tcBorders>
          </w:tcPr>
          <w:p w:rsidR="00783675" w:rsidRPr="00783675" w:rsidP="00783675" w14:paraId="2B3975B3" w14:textId="77777777">
            <w:pPr>
              <w:spacing w:after="0" w:line="240" w:lineRule="auto"/>
              <w:ind w:left="720"/>
              <w:rPr>
                <w:kern w:val="2"/>
                <w14:ligatures w14:val="standardContextual"/>
              </w:rPr>
            </w:pPr>
            <w:r w:rsidRPr="00783675">
              <w:rPr>
                <w:kern w:val="2"/>
                <w14:ligatures w14:val="standardContextual"/>
              </w:rPr>
              <w:t>R&amp;D and translation participants</w:t>
            </w:r>
          </w:p>
        </w:tc>
        <w:tc>
          <w:tcPr>
            <w:tcW w:w="3510" w:type="dxa"/>
            <w:tcBorders>
              <w:top w:val="nil"/>
              <w:left w:val="nil"/>
              <w:bottom w:val="nil"/>
              <w:right w:val="nil"/>
            </w:tcBorders>
          </w:tcPr>
          <w:p w:rsidR="00783675" w:rsidRPr="00783675" w:rsidP="00783675" w14:paraId="566525EC" w14:textId="77777777">
            <w:pPr>
              <w:spacing w:after="0" w:line="240" w:lineRule="auto"/>
              <w:jc w:val="center"/>
              <w:rPr>
                <w:kern w:val="2"/>
                <w14:ligatures w14:val="standardContextual"/>
              </w:rPr>
            </w:pPr>
            <w:r w:rsidRPr="00783675">
              <w:rPr>
                <w:kern w:val="2"/>
                <w14:ligatures w14:val="standardContextual"/>
              </w:rPr>
              <w:t>30</w:t>
            </w:r>
          </w:p>
        </w:tc>
        <w:tc>
          <w:tcPr>
            <w:tcW w:w="3060" w:type="dxa"/>
            <w:tcBorders>
              <w:top w:val="nil"/>
              <w:left w:val="nil"/>
              <w:bottom w:val="nil"/>
              <w:right w:val="nil"/>
            </w:tcBorders>
          </w:tcPr>
          <w:p w:rsidR="00783675" w:rsidRPr="00783675" w:rsidP="00783675" w14:paraId="016CBD08" w14:textId="77777777">
            <w:pPr>
              <w:spacing w:after="0" w:line="240" w:lineRule="auto"/>
              <w:jc w:val="center"/>
              <w:rPr>
                <w:kern w:val="2"/>
                <w14:ligatures w14:val="standardContextual"/>
              </w:rPr>
            </w:pPr>
            <w:r w:rsidRPr="00783675">
              <w:rPr>
                <w:kern w:val="2"/>
                <w14:ligatures w14:val="standardContextual"/>
              </w:rPr>
              <w:t>12</w:t>
            </w:r>
          </w:p>
        </w:tc>
        <w:tc>
          <w:tcPr>
            <w:tcW w:w="2520" w:type="dxa"/>
            <w:tcBorders>
              <w:top w:val="nil"/>
              <w:left w:val="nil"/>
              <w:bottom w:val="nil"/>
              <w:right w:val="nil"/>
            </w:tcBorders>
          </w:tcPr>
          <w:p w:rsidR="00783675" w:rsidRPr="00783675" w:rsidP="00783675" w14:paraId="439C9DC5" w14:textId="77777777">
            <w:pPr>
              <w:spacing w:after="0" w:line="240" w:lineRule="auto"/>
              <w:jc w:val="center"/>
              <w:rPr>
                <w:kern w:val="2"/>
                <w14:ligatures w14:val="standardContextual"/>
              </w:rPr>
            </w:pPr>
            <w:r w:rsidRPr="00783675">
              <w:rPr>
                <w:kern w:val="2"/>
                <w14:ligatures w14:val="standardContextual"/>
              </w:rPr>
              <w:t>360</w:t>
            </w:r>
          </w:p>
        </w:tc>
      </w:tr>
      <w:tr w14:paraId="56377E00" w14:textId="77777777" w:rsidTr="00040B4F">
        <w:tblPrEx>
          <w:tblW w:w="12955" w:type="dxa"/>
          <w:tblLook w:val="04A0"/>
        </w:tblPrEx>
        <w:tc>
          <w:tcPr>
            <w:tcW w:w="3865" w:type="dxa"/>
            <w:tcBorders>
              <w:top w:val="nil"/>
              <w:left w:val="nil"/>
              <w:bottom w:val="nil"/>
              <w:right w:val="nil"/>
            </w:tcBorders>
          </w:tcPr>
          <w:p w:rsidR="00783675" w:rsidRPr="00783675" w:rsidP="00783675" w14:paraId="1A89F14B" w14:textId="77777777">
            <w:pPr>
              <w:spacing w:after="0" w:line="240" w:lineRule="auto"/>
              <w:ind w:left="720"/>
              <w:rPr>
                <w:kern w:val="2"/>
                <w14:ligatures w14:val="standardContextual"/>
              </w:rPr>
            </w:pPr>
            <w:r w:rsidRPr="00783675">
              <w:rPr>
                <w:kern w:val="2"/>
                <w14:ligatures w14:val="standardContextual"/>
              </w:rPr>
              <w:t>Workforce development participants</w:t>
            </w:r>
          </w:p>
        </w:tc>
        <w:tc>
          <w:tcPr>
            <w:tcW w:w="3510" w:type="dxa"/>
            <w:tcBorders>
              <w:top w:val="nil"/>
              <w:left w:val="nil"/>
              <w:bottom w:val="nil"/>
              <w:right w:val="nil"/>
            </w:tcBorders>
          </w:tcPr>
          <w:p w:rsidR="00783675" w:rsidRPr="00783675" w:rsidP="00783675" w14:paraId="38FA8BA9" w14:textId="77777777">
            <w:pPr>
              <w:spacing w:after="0" w:line="240" w:lineRule="auto"/>
              <w:jc w:val="center"/>
              <w:rPr>
                <w:kern w:val="2"/>
                <w14:ligatures w14:val="standardContextual"/>
              </w:rPr>
            </w:pPr>
            <w:r w:rsidRPr="00783675">
              <w:rPr>
                <w:kern w:val="2"/>
                <w14:ligatures w14:val="standardContextual"/>
              </w:rPr>
              <w:t>20</w:t>
            </w:r>
          </w:p>
        </w:tc>
        <w:tc>
          <w:tcPr>
            <w:tcW w:w="3060" w:type="dxa"/>
            <w:tcBorders>
              <w:top w:val="nil"/>
              <w:left w:val="nil"/>
              <w:bottom w:val="nil"/>
              <w:right w:val="nil"/>
            </w:tcBorders>
          </w:tcPr>
          <w:p w:rsidR="00783675" w:rsidRPr="00783675" w:rsidP="00783675" w14:paraId="7ECC9BD2" w14:textId="4FB03C22">
            <w:pPr>
              <w:spacing w:after="0" w:line="240" w:lineRule="auto"/>
              <w:jc w:val="center"/>
              <w:rPr>
                <w:kern w:val="2"/>
                <w14:ligatures w14:val="standardContextual"/>
              </w:rPr>
            </w:pPr>
            <w:r>
              <w:rPr>
                <w:kern w:val="2"/>
                <w14:ligatures w14:val="standardContextual"/>
              </w:rPr>
              <w:t>15</w:t>
            </w:r>
          </w:p>
        </w:tc>
        <w:tc>
          <w:tcPr>
            <w:tcW w:w="2520" w:type="dxa"/>
            <w:tcBorders>
              <w:top w:val="nil"/>
              <w:left w:val="nil"/>
              <w:bottom w:val="nil"/>
              <w:right w:val="nil"/>
            </w:tcBorders>
          </w:tcPr>
          <w:p w:rsidR="00783675" w:rsidRPr="00783675" w:rsidP="00783675" w14:paraId="0A82C7CB" w14:textId="4BD5F3A8">
            <w:pPr>
              <w:spacing w:after="0" w:line="240" w:lineRule="auto"/>
              <w:jc w:val="center"/>
              <w:rPr>
                <w:kern w:val="2"/>
                <w14:ligatures w14:val="standardContextual"/>
              </w:rPr>
            </w:pPr>
            <w:r>
              <w:rPr>
                <w:kern w:val="2"/>
                <w14:ligatures w14:val="standardContextual"/>
              </w:rPr>
              <w:t>3</w:t>
            </w:r>
            <w:r w:rsidRPr="00783675">
              <w:rPr>
                <w:kern w:val="2"/>
                <w14:ligatures w14:val="standardContextual"/>
              </w:rPr>
              <w:t>00</w:t>
            </w:r>
          </w:p>
        </w:tc>
      </w:tr>
      <w:tr w14:paraId="35DE2727" w14:textId="77777777" w:rsidTr="00040B4F">
        <w:tblPrEx>
          <w:tblW w:w="12955" w:type="dxa"/>
          <w:tblLook w:val="04A0"/>
        </w:tblPrEx>
        <w:tc>
          <w:tcPr>
            <w:tcW w:w="3865" w:type="dxa"/>
            <w:tcBorders>
              <w:top w:val="nil"/>
              <w:left w:val="nil"/>
              <w:bottom w:val="nil"/>
              <w:right w:val="nil"/>
            </w:tcBorders>
          </w:tcPr>
          <w:p w:rsidR="00783675" w:rsidRPr="00783675" w:rsidP="00783675" w14:paraId="29E9BC3D" w14:textId="77777777">
            <w:pPr>
              <w:spacing w:after="0" w:line="240" w:lineRule="auto"/>
              <w:ind w:left="720"/>
              <w:rPr>
                <w:kern w:val="2"/>
                <w14:ligatures w14:val="standardContextual"/>
              </w:rPr>
            </w:pPr>
            <w:r w:rsidRPr="00783675">
              <w:rPr>
                <w:kern w:val="2"/>
                <w14:ligatures w14:val="standardContextual"/>
              </w:rPr>
              <w:t>Engine leadership team, governance board, advisory committee, and programmatic leads</w:t>
            </w:r>
          </w:p>
        </w:tc>
        <w:tc>
          <w:tcPr>
            <w:tcW w:w="3510" w:type="dxa"/>
            <w:tcBorders>
              <w:top w:val="nil"/>
              <w:left w:val="nil"/>
              <w:bottom w:val="nil"/>
              <w:right w:val="nil"/>
            </w:tcBorders>
          </w:tcPr>
          <w:p w:rsidR="00783675" w:rsidRPr="00783675" w:rsidP="00783675" w14:paraId="06E73BC4" w14:textId="77777777">
            <w:pPr>
              <w:spacing w:after="0" w:line="240" w:lineRule="auto"/>
              <w:jc w:val="center"/>
              <w:rPr>
                <w:kern w:val="2"/>
                <w14:ligatures w14:val="standardContextual"/>
              </w:rPr>
            </w:pPr>
            <w:r w:rsidRPr="00783675">
              <w:rPr>
                <w:kern w:val="2"/>
                <w14:ligatures w14:val="standardContextual"/>
              </w:rPr>
              <w:t>20</w:t>
            </w:r>
          </w:p>
        </w:tc>
        <w:tc>
          <w:tcPr>
            <w:tcW w:w="3060" w:type="dxa"/>
            <w:tcBorders>
              <w:top w:val="nil"/>
              <w:left w:val="nil"/>
              <w:bottom w:val="nil"/>
              <w:right w:val="nil"/>
            </w:tcBorders>
          </w:tcPr>
          <w:p w:rsidR="00783675" w:rsidRPr="00783675" w:rsidP="00783675" w14:paraId="6FEC8C3E" w14:textId="3418F3E4">
            <w:pPr>
              <w:spacing w:after="0" w:line="240" w:lineRule="auto"/>
              <w:jc w:val="center"/>
              <w:rPr>
                <w:kern w:val="2"/>
                <w14:ligatures w14:val="standardContextual"/>
              </w:rPr>
            </w:pPr>
            <w:r w:rsidRPr="00783675">
              <w:rPr>
                <w:kern w:val="2"/>
                <w14:ligatures w14:val="standardContextual"/>
              </w:rPr>
              <w:t>1</w:t>
            </w:r>
            <w:r w:rsidR="007A357B">
              <w:rPr>
                <w:kern w:val="2"/>
                <w14:ligatures w14:val="standardContextual"/>
              </w:rPr>
              <w:t>2</w:t>
            </w:r>
          </w:p>
        </w:tc>
        <w:tc>
          <w:tcPr>
            <w:tcW w:w="2520" w:type="dxa"/>
            <w:tcBorders>
              <w:top w:val="nil"/>
              <w:left w:val="nil"/>
              <w:bottom w:val="nil"/>
              <w:right w:val="nil"/>
            </w:tcBorders>
          </w:tcPr>
          <w:p w:rsidR="00783675" w:rsidRPr="00783675" w:rsidP="00783675" w14:paraId="60CD0FA5" w14:textId="77051F0E">
            <w:pPr>
              <w:spacing w:after="0" w:line="240" w:lineRule="auto"/>
              <w:jc w:val="center"/>
              <w:rPr>
                <w:kern w:val="2"/>
                <w14:ligatures w14:val="standardContextual"/>
              </w:rPr>
            </w:pPr>
            <w:r>
              <w:rPr>
                <w:kern w:val="2"/>
                <w14:ligatures w14:val="standardContextual"/>
              </w:rPr>
              <w:t>24</w:t>
            </w:r>
            <w:r w:rsidRPr="00783675">
              <w:rPr>
                <w:kern w:val="2"/>
                <w14:ligatures w14:val="standardContextual"/>
              </w:rPr>
              <w:t>0</w:t>
            </w:r>
          </w:p>
        </w:tc>
      </w:tr>
      <w:tr w14:paraId="596403BE" w14:textId="77777777" w:rsidTr="00040B4F">
        <w:tblPrEx>
          <w:tblW w:w="12955" w:type="dxa"/>
          <w:tblLook w:val="04A0"/>
        </w:tblPrEx>
        <w:tc>
          <w:tcPr>
            <w:tcW w:w="3865" w:type="dxa"/>
            <w:tcBorders>
              <w:top w:val="nil"/>
              <w:left w:val="nil"/>
              <w:bottom w:val="single" w:sz="4" w:space="0" w:color="auto"/>
              <w:right w:val="nil"/>
            </w:tcBorders>
          </w:tcPr>
          <w:p w:rsidR="00783675" w:rsidRPr="00783675" w:rsidP="00783675" w14:paraId="2690C076" w14:textId="77777777">
            <w:pPr>
              <w:spacing w:after="0" w:line="240" w:lineRule="auto"/>
              <w:ind w:left="720"/>
              <w:rPr>
                <w:kern w:val="2"/>
                <w14:ligatures w14:val="standardContextual"/>
              </w:rPr>
            </w:pPr>
            <w:r w:rsidRPr="00783675">
              <w:rPr>
                <w:kern w:val="2"/>
                <w14:ligatures w14:val="standardContextual"/>
              </w:rPr>
              <w:t>All other Engine participants and personnel</w:t>
            </w:r>
          </w:p>
        </w:tc>
        <w:tc>
          <w:tcPr>
            <w:tcW w:w="3510" w:type="dxa"/>
            <w:tcBorders>
              <w:top w:val="nil"/>
              <w:left w:val="nil"/>
              <w:bottom w:val="single" w:sz="4" w:space="0" w:color="auto"/>
              <w:right w:val="nil"/>
            </w:tcBorders>
          </w:tcPr>
          <w:p w:rsidR="00783675" w:rsidRPr="00783675" w:rsidP="00783675" w14:paraId="1A3438AD" w14:textId="77777777">
            <w:pPr>
              <w:spacing w:after="0" w:line="240" w:lineRule="auto"/>
              <w:jc w:val="center"/>
              <w:rPr>
                <w:kern w:val="2"/>
                <w14:ligatures w14:val="standardContextual"/>
              </w:rPr>
            </w:pPr>
            <w:r w:rsidRPr="00783675">
              <w:rPr>
                <w:kern w:val="2"/>
                <w14:ligatures w14:val="standardContextual"/>
              </w:rPr>
              <w:t>20</w:t>
            </w:r>
          </w:p>
        </w:tc>
        <w:tc>
          <w:tcPr>
            <w:tcW w:w="3060" w:type="dxa"/>
            <w:tcBorders>
              <w:top w:val="nil"/>
              <w:left w:val="nil"/>
              <w:bottom w:val="single" w:sz="4" w:space="0" w:color="auto"/>
              <w:right w:val="nil"/>
            </w:tcBorders>
          </w:tcPr>
          <w:p w:rsidR="00783675" w:rsidRPr="00783675" w:rsidP="00783675" w14:paraId="606EF51A" w14:textId="77777777">
            <w:pPr>
              <w:spacing w:after="0" w:line="240" w:lineRule="auto"/>
              <w:jc w:val="center"/>
              <w:rPr>
                <w:kern w:val="2"/>
                <w14:ligatures w14:val="standardContextual"/>
              </w:rPr>
            </w:pPr>
            <w:r w:rsidRPr="00783675">
              <w:rPr>
                <w:kern w:val="2"/>
                <w14:ligatures w14:val="standardContextual"/>
              </w:rPr>
              <w:t>10</w:t>
            </w:r>
          </w:p>
        </w:tc>
        <w:tc>
          <w:tcPr>
            <w:tcW w:w="2520" w:type="dxa"/>
            <w:tcBorders>
              <w:top w:val="nil"/>
              <w:left w:val="nil"/>
              <w:bottom w:val="single" w:sz="4" w:space="0" w:color="auto"/>
              <w:right w:val="nil"/>
            </w:tcBorders>
          </w:tcPr>
          <w:p w:rsidR="00783675" w:rsidRPr="00783675" w:rsidP="00783675" w14:paraId="1BBDBF63" w14:textId="77777777">
            <w:pPr>
              <w:spacing w:after="0" w:line="240" w:lineRule="auto"/>
              <w:jc w:val="center"/>
              <w:rPr>
                <w:kern w:val="2"/>
                <w14:ligatures w14:val="standardContextual"/>
              </w:rPr>
            </w:pPr>
            <w:r w:rsidRPr="00783675">
              <w:rPr>
                <w:kern w:val="2"/>
                <w14:ligatures w14:val="standardContextual"/>
              </w:rPr>
              <w:t>200</w:t>
            </w:r>
          </w:p>
        </w:tc>
      </w:tr>
      <w:tr w14:paraId="5A8A1D85" w14:textId="77777777" w:rsidTr="00040B4F">
        <w:tblPrEx>
          <w:tblW w:w="12955" w:type="dxa"/>
          <w:tblLook w:val="04A0"/>
        </w:tblPrEx>
        <w:tc>
          <w:tcPr>
            <w:tcW w:w="3865" w:type="dxa"/>
            <w:tcBorders>
              <w:left w:val="nil"/>
              <w:bottom w:val="thickThinSmallGap" w:sz="24" w:space="0" w:color="auto"/>
              <w:right w:val="nil"/>
            </w:tcBorders>
          </w:tcPr>
          <w:p w:rsidR="00783675" w:rsidRPr="00783675" w:rsidP="00783675" w14:paraId="6CF07480" w14:textId="77777777">
            <w:pPr>
              <w:spacing w:after="0" w:line="240" w:lineRule="auto"/>
              <w:rPr>
                <w:i/>
                <w:iCs/>
                <w:kern w:val="2"/>
                <w14:ligatures w14:val="standardContextual"/>
              </w:rPr>
            </w:pPr>
            <w:r w:rsidRPr="00783675">
              <w:rPr>
                <w:i/>
                <w:iCs/>
                <w:kern w:val="2"/>
                <w14:ligatures w14:val="standardContextual"/>
              </w:rPr>
              <w:t>Partner organizations</w:t>
            </w:r>
          </w:p>
        </w:tc>
        <w:tc>
          <w:tcPr>
            <w:tcW w:w="3510" w:type="dxa"/>
            <w:tcBorders>
              <w:left w:val="nil"/>
              <w:bottom w:val="thickThinSmallGap" w:sz="24" w:space="0" w:color="auto"/>
              <w:right w:val="nil"/>
            </w:tcBorders>
          </w:tcPr>
          <w:p w:rsidR="00783675" w:rsidRPr="00783675" w:rsidP="00783675" w14:paraId="5FB24297" w14:textId="77777777">
            <w:pPr>
              <w:spacing w:after="0" w:line="240" w:lineRule="auto"/>
              <w:jc w:val="center"/>
              <w:rPr>
                <w:kern w:val="2"/>
                <w14:ligatures w14:val="standardContextual"/>
              </w:rPr>
            </w:pPr>
            <w:r w:rsidRPr="00783675">
              <w:rPr>
                <w:kern w:val="2"/>
                <w14:ligatures w14:val="standardContextual"/>
              </w:rPr>
              <w:t>18</w:t>
            </w:r>
          </w:p>
        </w:tc>
        <w:tc>
          <w:tcPr>
            <w:tcW w:w="3060" w:type="dxa"/>
            <w:tcBorders>
              <w:left w:val="nil"/>
              <w:bottom w:val="thickThinSmallGap" w:sz="24" w:space="0" w:color="auto"/>
              <w:right w:val="nil"/>
            </w:tcBorders>
          </w:tcPr>
          <w:p w:rsidR="00783675" w:rsidRPr="00783675" w:rsidP="00783675" w14:paraId="54B190DE" w14:textId="7D39E586">
            <w:pPr>
              <w:spacing w:after="0" w:line="240" w:lineRule="auto"/>
              <w:jc w:val="center"/>
              <w:rPr>
                <w:kern w:val="2"/>
                <w14:ligatures w14:val="standardContextual"/>
              </w:rPr>
            </w:pPr>
            <w:r>
              <w:rPr>
                <w:kern w:val="2"/>
                <w14:ligatures w14:val="standardContextual"/>
              </w:rPr>
              <w:t>5</w:t>
            </w:r>
          </w:p>
        </w:tc>
        <w:tc>
          <w:tcPr>
            <w:tcW w:w="2520" w:type="dxa"/>
            <w:tcBorders>
              <w:left w:val="nil"/>
              <w:bottom w:val="thickThinSmallGap" w:sz="24" w:space="0" w:color="auto"/>
              <w:right w:val="nil"/>
            </w:tcBorders>
          </w:tcPr>
          <w:p w:rsidR="00783675" w:rsidRPr="00783675" w:rsidP="00783675" w14:paraId="3B0F71B6" w14:textId="7E3C2BF8">
            <w:pPr>
              <w:spacing w:after="0" w:line="240" w:lineRule="auto"/>
              <w:jc w:val="center"/>
              <w:rPr>
                <w:kern w:val="2"/>
                <w14:ligatures w14:val="standardContextual"/>
              </w:rPr>
            </w:pPr>
            <w:r>
              <w:rPr>
                <w:kern w:val="2"/>
                <w14:ligatures w14:val="standardContextual"/>
              </w:rPr>
              <w:t>90</w:t>
            </w:r>
          </w:p>
        </w:tc>
      </w:tr>
    </w:tbl>
    <w:p w:rsidR="00783675" w:rsidRPr="00783675" w:rsidP="00783675" w14:paraId="7F9B5F50" w14:textId="77777777">
      <w:pPr>
        <w:spacing w:after="0" w:line="240" w:lineRule="auto"/>
        <w:rPr>
          <w:kern w:val="2"/>
          <w:sz w:val="24"/>
          <w:szCs w:val="24"/>
          <w14:ligatures w14:val="standardContextual"/>
        </w:rPr>
      </w:pPr>
    </w:p>
    <w:p w:rsidR="00783675" w:rsidP="00183611" w14:paraId="7F9F9943" w14:textId="77777777">
      <w:pPr>
        <w:pStyle w:val="Caption"/>
      </w:pPr>
      <w:r>
        <w:br w:type="page"/>
      </w:r>
    </w:p>
    <w:p w:rsidR="00ED3A86" w:rsidRPr="00ED3A86" w:rsidP="00ED3A86" w14:paraId="7B2196D4" w14:textId="064D7A85">
      <w:pPr>
        <w:spacing w:line="240" w:lineRule="auto"/>
        <w:rPr>
          <w:i/>
          <w:iCs/>
          <w:color w:val="44546A" w:themeColor="text2"/>
          <w:kern w:val="2"/>
          <w:sz w:val="18"/>
          <w:szCs w:val="18"/>
          <w14:ligatures w14:val="standardContextual"/>
        </w:rPr>
      </w:pPr>
      <w:r w:rsidRPr="00ED3A86">
        <w:rPr>
          <w:i/>
          <w:iCs/>
          <w:color w:val="44546A" w:themeColor="text2"/>
          <w:kern w:val="2"/>
          <w:sz w:val="18"/>
          <w:szCs w:val="18"/>
          <w14:ligatures w14:val="standardContextual"/>
        </w:rPr>
        <w:t xml:space="preserve">Table </w:t>
      </w:r>
      <w:r w:rsidRPr="00ED3A86">
        <w:rPr>
          <w:i/>
          <w:iCs/>
          <w:color w:val="44546A" w:themeColor="text2"/>
          <w:kern w:val="2"/>
          <w:sz w:val="18"/>
          <w:szCs w:val="18"/>
          <w14:ligatures w14:val="standardContextual"/>
        </w:rPr>
        <w:fldChar w:fldCharType="begin"/>
      </w:r>
      <w:r w:rsidRPr="00ED3A86">
        <w:rPr>
          <w:i/>
          <w:iCs/>
          <w:color w:val="44546A" w:themeColor="text2"/>
          <w:kern w:val="2"/>
          <w:sz w:val="18"/>
          <w:szCs w:val="18"/>
          <w14:ligatures w14:val="standardContextual"/>
        </w:rPr>
        <w:instrText xml:space="preserve"> SEQ Table \* ARABIC </w:instrText>
      </w:r>
      <w:r w:rsidRPr="00ED3A86">
        <w:rPr>
          <w:i/>
          <w:iCs/>
          <w:color w:val="44546A" w:themeColor="text2"/>
          <w:kern w:val="2"/>
          <w:sz w:val="18"/>
          <w:szCs w:val="18"/>
          <w14:ligatures w14:val="standardContextual"/>
        </w:rPr>
        <w:fldChar w:fldCharType="separate"/>
      </w:r>
      <w:r w:rsidRPr="00ED3A86">
        <w:rPr>
          <w:i/>
          <w:iCs/>
          <w:noProof/>
          <w:color w:val="44546A" w:themeColor="text2"/>
          <w:kern w:val="2"/>
          <w:sz w:val="18"/>
          <w:szCs w:val="18"/>
          <w14:ligatures w14:val="standardContextual"/>
        </w:rPr>
        <w:t>5</w:t>
      </w:r>
      <w:r w:rsidRPr="00ED3A86">
        <w:rPr>
          <w:i/>
          <w:iCs/>
          <w:noProof/>
          <w:color w:val="44546A" w:themeColor="text2"/>
          <w:kern w:val="2"/>
          <w:sz w:val="18"/>
          <w:szCs w:val="18"/>
          <w14:ligatures w14:val="standardContextual"/>
        </w:rPr>
        <w:fldChar w:fldCharType="end"/>
      </w:r>
      <w:r w:rsidRPr="00ED3A86">
        <w:rPr>
          <w:i/>
          <w:iCs/>
          <w:color w:val="44546A" w:themeColor="text2"/>
          <w:kern w:val="2"/>
          <w:sz w:val="18"/>
          <w:szCs w:val="18"/>
          <w14:ligatures w14:val="standardContextual"/>
        </w:rPr>
        <w:t>. Summary of total estimated annual burden of NSF Engines data collection by survey instrument and number of activities conducted per Engine awardee. The total estimated annual burden per NSF Engine based on high Engine output is 5,</w:t>
      </w:r>
      <w:r w:rsidR="0004189F">
        <w:rPr>
          <w:i/>
          <w:iCs/>
          <w:color w:val="44546A" w:themeColor="text2"/>
          <w:kern w:val="2"/>
          <w:sz w:val="18"/>
          <w:szCs w:val="18"/>
          <w14:ligatures w14:val="standardContextual"/>
        </w:rPr>
        <w:t>1</w:t>
      </w:r>
      <w:r w:rsidRPr="00ED3A86">
        <w:rPr>
          <w:i/>
          <w:iCs/>
          <w:color w:val="44546A" w:themeColor="text2"/>
          <w:kern w:val="2"/>
          <w:sz w:val="18"/>
          <w:szCs w:val="18"/>
          <w14:ligatures w14:val="standardContextual"/>
        </w:rPr>
        <w:t>55 minutes (</w:t>
      </w:r>
      <w:r w:rsidR="0004189F">
        <w:rPr>
          <w:i/>
          <w:iCs/>
          <w:color w:val="44546A" w:themeColor="text2"/>
          <w:kern w:val="2"/>
          <w:sz w:val="18"/>
          <w:szCs w:val="18"/>
          <w14:ligatures w14:val="standardContextual"/>
        </w:rPr>
        <w:t>85.9</w:t>
      </w:r>
      <w:r w:rsidRPr="00ED3A86">
        <w:rPr>
          <w:i/>
          <w:iCs/>
          <w:color w:val="44546A" w:themeColor="text2"/>
          <w:kern w:val="2"/>
          <w:sz w:val="18"/>
          <w:szCs w:val="18"/>
          <w14:ligatures w14:val="standardContextual"/>
        </w:rPr>
        <w:t xml:space="preserve"> hours). The total estimated annual burden for the NSF Engines is 5</w:t>
      </w:r>
      <w:r w:rsidR="0004189F">
        <w:rPr>
          <w:i/>
          <w:iCs/>
          <w:color w:val="44546A" w:themeColor="text2"/>
          <w:kern w:val="2"/>
          <w:sz w:val="18"/>
          <w:szCs w:val="18"/>
          <w14:ligatures w14:val="standardContextual"/>
        </w:rPr>
        <w:t>1</w:t>
      </w:r>
      <w:r w:rsidRPr="00ED3A86">
        <w:rPr>
          <w:i/>
          <w:iCs/>
          <w:color w:val="44546A" w:themeColor="text2"/>
          <w:kern w:val="2"/>
          <w:sz w:val="18"/>
          <w:szCs w:val="18"/>
          <w14:ligatures w14:val="standardContextual"/>
        </w:rPr>
        <w:t>,550 minutes (</w:t>
      </w:r>
      <w:r w:rsidR="0004189F">
        <w:rPr>
          <w:i/>
          <w:iCs/>
          <w:color w:val="44546A" w:themeColor="text2"/>
          <w:kern w:val="2"/>
          <w:sz w:val="18"/>
          <w:szCs w:val="18"/>
          <w14:ligatures w14:val="standardContextual"/>
        </w:rPr>
        <w:t>859</w:t>
      </w:r>
      <w:r w:rsidRPr="00ED3A86">
        <w:rPr>
          <w:i/>
          <w:iCs/>
          <w:color w:val="44546A" w:themeColor="text2"/>
          <w:kern w:val="2"/>
          <w:sz w:val="18"/>
          <w:szCs w:val="18"/>
          <w14:ligatures w14:val="standardContextual"/>
        </w:rPr>
        <w:t xml:space="preserve"> hours).</w:t>
      </w:r>
    </w:p>
    <w:tbl>
      <w:tblPr>
        <w:tblStyle w:val="TableGrid"/>
        <w:tblW w:w="12955" w:type="dxa"/>
        <w:tblLook w:val="04A0"/>
      </w:tblPr>
      <w:tblGrid>
        <w:gridCol w:w="3865"/>
        <w:gridCol w:w="3510"/>
        <w:gridCol w:w="3060"/>
        <w:gridCol w:w="2520"/>
      </w:tblGrid>
      <w:tr w14:paraId="26ADD199" w14:textId="77777777" w:rsidTr="00040B4F">
        <w:tblPrEx>
          <w:tblW w:w="12955" w:type="dxa"/>
          <w:tblLook w:val="04A0"/>
        </w:tblPrEx>
        <w:tc>
          <w:tcPr>
            <w:tcW w:w="3865" w:type="dxa"/>
            <w:tcBorders>
              <w:top w:val="thinThickSmallGap" w:sz="24" w:space="0" w:color="auto"/>
              <w:left w:val="nil"/>
              <w:bottom w:val="single" w:sz="24" w:space="0" w:color="auto"/>
              <w:right w:val="nil"/>
            </w:tcBorders>
          </w:tcPr>
          <w:p w:rsidR="00ED3A86" w:rsidRPr="00ED3A86" w:rsidP="00ED3A86" w14:paraId="52A446AA" w14:textId="77777777">
            <w:pPr>
              <w:spacing w:after="0" w:line="240" w:lineRule="auto"/>
              <w:rPr>
                <w:i/>
                <w:iCs/>
                <w:kern w:val="2"/>
                <w14:ligatures w14:val="standardContextual"/>
              </w:rPr>
            </w:pPr>
            <w:r w:rsidRPr="00ED3A86">
              <w:rPr>
                <w:i/>
                <w:iCs/>
                <w:kern w:val="2"/>
                <w14:ligatures w14:val="standardContextual"/>
              </w:rPr>
              <w:t>Survey instrument</w:t>
            </w:r>
          </w:p>
        </w:tc>
        <w:tc>
          <w:tcPr>
            <w:tcW w:w="3510" w:type="dxa"/>
            <w:tcBorders>
              <w:top w:val="thinThickSmallGap" w:sz="24" w:space="0" w:color="auto"/>
              <w:left w:val="nil"/>
              <w:bottom w:val="single" w:sz="24" w:space="0" w:color="auto"/>
              <w:right w:val="nil"/>
            </w:tcBorders>
          </w:tcPr>
          <w:p w:rsidR="00ED3A86" w:rsidRPr="00ED3A86" w:rsidP="00ED3A86" w14:paraId="0337C725" w14:textId="77777777">
            <w:pPr>
              <w:spacing w:after="0" w:line="240" w:lineRule="auto"/>
              <w:jc w:val="center"/>
              <w:rPr>
                <w:i/>
                <w:iCs/>
                <w:kern w:val="2"/>
                <w14:ligatures w14:val="standardContextual"/>
              </w:rPr>
            </w:pPr>
            <w:r w:rsidRPr="00ED3A86">
              <w:rPr>
                <w:i/>
                <w:iCs/>
                <w:kern w:val="2"/>
                <w14:ligatures w14:val="standardContextual"/>
              </w:rPr>
              <w:t>Total number of inputs</w:t>
            </w:r>
          </w:p>
        </w:tc>
        <w:tc>
          <w:tcPr>
            <w:tcW w:w="3060" w:type="dxa"/>
            <w:tcBorders>
              <w:top w:val="thinThickSmallGap" w:sz="24" w:space="0" w:color="auto"/>
              <w:left w:val="nil"/>
              <w:bottom w:val="single" w:sz="24" w:space="0" w:color="auto"/>
              <w:right w:val="nil"/>
            </w:tcBorders>
          </w:tcPr>
          <w:p w:rsidR="00ED3A86" w:rsidRPr="00ED3A86" w:rsidP="00ED3A86" w14:paraId="0DDF92B0" w14:textId="77777777">
            <w:pPr>
              <w:spacing w:after="0" w:line="240" w:lineRule="auto"/>
              <w:jc w:val="center"/>
              <w:rPr>
                <w:i/>
                <w:iCs/>
                <w:kern w:val="2"/>
                <w14:ligatures w14:val="standardContextual"/>
              </w:rPr>
            </w:pPr>
            <w:r w:rsidRPr="00ED3A86">
              <w:rPr>
                <w:i/>
                <w:iCs/>
                <w:kern w:val="2"/>
                <w14:ligatures w14:val="standardContextual"/>
              </w:rPr>
              <w:t>Estimated burden (min per input)</w:t>
            </w:r>
          </w:p>
        </w:tc>
        <w:tc>
          <w:tcPr>
            <w:tcW w:w="2520" w:type="dxa"/>
            <w:tcBorders>
              <w:top w:val="thinThickSmallGap" w:sz="24" w:space="0" w:color="auto"/>
              <w:left w:val="nil"/>
              <w:bottom w:val="single" w:sz="24" w:space="0" w:color="auto"/>
              <w:right w:val="nil"/>
            </w:tcBorders>
          </w:tcPr>
          <w:p w:rsidR="00ED3A86" w:rsidRPr="00ED3A86" w:rsidP="00ED3A86" w14:paraId="550B1EEA" w14:textId="77777777">
            <w:pPr>
              <w:spacing w:after="0" w:line="240" w:lineRule="auto"/>
              <w:jc w:val="center"/>
              <w:rPr>
                <w:i/>
                <w:iCs/>
                <w:kern w:val="2"/>
                <w14:ligatures w14:val="standardContextual"/>
              </w:rPr>
            </w:pPr>
            <w:r w:rsidRPr="00ED3A86">
              <w:rPr>
                <w:i/>
                <w:iCs/>
                <w:kern w:val="2"/>
                <w14:ligatures w14:val="standardContextual"/>
              </w:rPr>
              <w:t>Total estimated burden (min)</w:t>
            </w:r>
          </w:p>
        </w:tc>
      </w:tr>
      <w:tr w14:paraId="2068B0DB" w14:textId="77777777" w:rsidTr="00040B4F">
        <w:tblPrEx>
          <w:tblW w:w="12955" w:type="dxa"/>
          <w:tblLook w:val="04A0"/>
        </w:tblPrEx>
        <w:tc>
          <w:tcPr>
            <w:tcW w:w="3865" w:type="dxa"/>
            <w:tcBorders>
              <w:top w:val="single" w:sz="24" w:space="0" w:color="auto"/>
              <w:left w:val="nil"/>
              <w:bottom w:val="dotted" w:sz="4" w:space="0" w:color="auto"/>
              <w:right w:val="nil"/>
            </w:tcBorders>
          </w:tcPr>
          <w:p w:rsidR="00ED3A86" w:rsidRPr="00ED3A86" w:rsidP="00ED3A86" w14:paraId="754EA535" w14:textId="77777777">
            <w:pPr>
              <w:spacing w:after="0" w:line="240" w:lineRule="auto"/>
              <w:rPr>
                <w:kern w:val="2"/>
                <w14:ligatures w14:val="standardContextual"/>
              </w:rPr>
            </w:pPr>
            <w:r w:rsidRPr="00ED3A86">
              <w:rPr>
                <w:kern w:val="2"/>
                <w14:ligatures w14:val="standardContextual"/>
              </w:rPr>
              <w:t>Intake survey: programmatic activities</w:t>
            </w:r>
          </w:p>
        </w:tc>
        <w:tc>
          <w:tcPr>
            <w:tcW w:w="3510" w:type="dxa"/>
            <w:tcBorders>
              <w:top w:val="single" w:sz="24" w:space="0" w:color="auto"/>
              <w:left w:val="nil"/>
              <w:bottom w:val="dotted" w:sz="4" w:space="0" w:color="auto"/>
              <w:right w:val="nil"/>
            </w:tcBorders>
          </w:tcPr>
          <w:p w:rsidR="00ED3A86" w:rsidRPr="00ED3A86" w:rsidP="00ED3A86" w14:paraId="6524DF28" w14:textId="77777777">
            <w:pPr>
              <w:spacing w:after="0" w:line="240" w:lineRule="auto"/>
              <w:jc w:val="center"/>
              <w:rPr>
                <w:kern w:val="2"/>
                <w14:ligatures w14:val="standardContextual"/>
              </w:rPr>
            </w:pPr>
            <w:r w:rsidRPr="00ED3A86">
              <w:rPr>
                <w:kern w:val="2"/>
                <w14:ligatures w14:val="standardContextual"/>
              </w:rPr>
              <w:t>30</w:t>
            </w:r>
          </w:p>
        </w:tc>
        <w:tc>
          <w:tcPr>
            <w:tcW w:w="3060" w:type="dxa"/>
            <w:tcBorders>
              <w:top w:val="single" w:sz="24" w:space="0" w:color="auto"/>
              <w:left w:val="nil"/>
              <w:bottom w:val="dotted" w:sz="4" w:space="0" w:color="auto"/>
              <w:right w:val="nil"/>
            </w:tcBorders>
          </w:tcPr>
          <w:p w:rsidR="00ED3A86" w:rsidRPr="00ED3A86" w:rsidP="00ED3A86" w14:paraId="5291F9F1" w14:textId="77777777">
            <w:pPr>
              <w:spacing w:after="0" w:line="240" w:lineRule="auto"/>
              <w:jc w:val="center"/>
              <w:rPr>
                <w:kern w:val="2"/>
                <w14:ligatures w14:val="standardContextual"/>
              </w:rPr>
            </w:pPr>
            <w:r w:rsidRPr="00ED3A86">
              <w:rPr>
                <w:kern w:val="2"/>
                <w14:ligatures w14:val="standardContextual"/>
              </w:rPr>
              <w:t>3</w:t>
            </w:r>
          </w:p>
        </w:tc>
        <w:tc>
          <w:tcPr>
            <w:tcW w:w="2520" w:type="dxa"/>
            <w:tcBorders>
              <w:top w:val="single" w:sz="24" w:space="0" w:color="auto"/>
              <w:left w:val="nil"/>
              <w:bottom w:val="dotted" w:sz="4" w:space="0" w:color="auto"/>
              <w:right w:val="nil"/>
            </w:tcBorders>
          </w:tcPr>
          <w:p w:rsidR="00ED3A86" w:rsidRPr="00ED3A86" w:rsidP="00ED3A86" w14:paraId="452E686B" w14:textId="77777777">
            <w:pPr>
              <w:spacing w:after="0" w:line="240" w:lineRule="auto"/>
              <w:jc w:val="center"/>
              <w:rPr>
                <w:kern w:val="2"/>
                <w14:ligatures w14:val="standardContextual"/>
              </w:rPr>
            </w:pPr>
            <w:r w:rsidRPr="00ED3A86">
              <w:rPr>
                <w:kern w:val="2"/>
                <w14:ligatures w14:val="standardContextual"/>
              </w:rPr>
              <w:t>90</w:t>
            </w:r>
          </w:p>
        </w:tc>
      </w:tr>
      <w:tr w14:paraId="185B7FB8" w14:textId="77777777" w:rsidTr="00040B4F">
        <w:tblPrEx>
          <w:tblW w:w="12955" w:type="dxa"/>
          <w:tblLook w:val="04A0"/>
        </w:tblPrEx>
        <w:tc>
          <w:tcPr>
            <w:tcW w:w="3865" w:type="dxa"/>
            <w:tcBorders>
              <w:top w:val="dotted" w:sz="4" w:space="0" w:color="auto"/>
              <w:left w:val="nil"/>
              <w:bottom w:val="dotted" w:sz="4" w:space="0" w:color="auto"/>
              <w:right w:val="nil"/>
            </w:tcBorders>
          </w:tcPr>
          <w:p w:rsidR="00ED3A86" w:rsidRPr="00ED3A86" w:rsidP="00ED3A86" w14:paraId="6B558F2F" w14:textId="77777777">
            <w:pPr>
              <w:spacing w:after="0" w:line="240" w:lineRule="auto"/>
              <w:rPr>
                <w:kern w:val="2"/>
                <w14:ligatures w14:val="standardContextual"/>
              </w:rPr>
            </w:pPr>
            <w:r w:rsidRPr="00ED3A86">
              <w:rPr>
                <w:kern w:val="2"/>
                <w14:ligatures w14:val="standardContextual"/>
              </w:rPr>
              <w:t>Intake survey: Engine funding</w:t>
            </w:r>
          </w:p>
        </w:tc>
        <w:tc>
          <w:tcPr>
            <w:tcW w:w="3510" w:type="dxa"/>
            <w:tcBorders>
              <w:top w:val="dotted" w:sz="4" w:space="0" w:color="auto"/>
              <w:left w:val="nil"/>
              <w:bottom w:val="dotted" w:sz="4" w:space="0" w:color="auto"/>
              <w:right w:val="nil"/>
            </w:tcBorders>
          </w:tcPr>
          <w:p w:rsidR="00ED3A86" w:rsidRPr="00ED3A86" w:rsidP="00ED3A86" w14:paraId="4C62DECE" w14:textId="77777777">
            <w:pPr>
              <w:spacing w:after="0" w:line="240" w:lineRule="auto"/>
              <w:jc w:val="center"/>
              <w:rPr>
                <w:kern w:val="2"/>
                <w14:ligatures w14:val="standardContextual"/>
              </w:rPr>
            </w:pPr>
            <w:r w:rsidRPr="00ED3A86">
              <w:rPr>
                <w:kern w:val="2"/>
                <w14:ligatures w14:val="standardContextual"/>
              </w:rPr>
              <w:t>5</w:t>
            </w:r>
          </w:p>
        </w:tc>
        <w:tc>
          <w:tcPr>
            <w:tcW w:w="3060" w:type="dxa"/>
            <w:tcBorders>
              <w:top w:val="dotted" w:sz="4" w:space="0" w:color="auto"/>
              <w:left w:val="nil"/>
              <w:bottom w:val="dotted" w:sz="4" w:space="0" w:color="auto"/>
              <w:right w:val="nil"/>
            </w:tcBorders>
          </w:tcPr>
          <w:p w:rsidR="00ED3A86" w:rsidRPr="00ED3A86" w:rsidP="00ED3A86" w14:paraId="080A71DC" w14:textId="77777777">
            <w:pPr>
              <w:spacing w:after="0" w:line="240" w:lineRule="auto"/>
              <w:jc w:val="center"/>
              <w:rPr>
                <w:kern w:val="2"/>
                <w14:ligatures w14:val="standardContextual"/>
              </w:rPr>
            </w:pPr>
            <w:r w:rsidRPr="00ED3A86">
              <w:rPr>
                <w:kern w:val="2"/>
                <w14:ligatures w14:val="standardContextual"/>
              </w:rPr>
              <w:t>5</w:t>
            </w:r>
          </w:p>
        </w:tc>
        <w:tc>
          <w:tcPr>
            <w:tcW w:w="2520" w:type="dxa"/>
            <w:tcBorders>
              <w:top w:val="dotted" w:sz="4" w:space="0" w:color="auto"/>
              <w:left w:val="nil"/>
              <w:bottom w:val="dotted" w:sz="4" w:space="0" w:color="auto"/>
              <w:right w:val="nil"/>
            </w:tcBorders>
          </w:tcPr>
          <w:p w:rsidR="00ED3A86" w:rsidRPr="00ED3A86" w:rsidP="00ED3A86" w14:paraId="13BEC36A" w14:textId="77777777">
            <w:pPr>
              <w:spacing w:after="0" w:line="240" w:lineRule="auto"/>
              <w:jc w:val="center"/>
              <w:rPr>
                <w:kern w:val="2"/>
                <w14:ligatures w14:val="standardContextual"/>
              </w:rPr>
            </w:pPr>
            <w:r w:rsidRPr="00ED3A86">
              <w:rPr>
                <w:kern w:val="2"/>
                <w14:ligatures w14:val="standardContextual"/>
              </w:rPr>
              <w:t>25</w:t>
            </w:r>
          </w:p>
        </w:tc>
      </w:tr>
      <w:tr w14:paraId="512E40E9" w14:textId="77777777" w:rsidTr="00040B4F">
        <w:tblPrEx>
          <w:tblW w:w="12955" w:type="dxa"/>
          <w:tblLook w:val="04A0"/>
        </w:tblPrEx>
        <w:tc>
          <w:tcPr>
            <w:tcW w:w="3865" w:type="dxa"/>
            <w:tcBorders>
              <w:top w:val="dotted" w:sz="4" w:space="0" w:color="auto"/>
              <w:left w:val="nil"/>
              <w:bottom w:val="dotted" w:sz="4" w:space="0" w:color="auto"/>
              <w:right w:val="nil"/>
            </w:tcBorders>
          </w:tcPr>
          <w:p w:rsidR="00ED3A86" w:rsidRPr="00ED3A86" w:rsidP="00ED3A86" w14:paraId="093F70E4" w14:textId="77777777">
            <w:pPr>
              <w:spacing w:after="0" w:line="240" w:lineRule="auto"/>
              <w:rPr>
                <w:kern w:val="2"/>
                <w14:ligatures w14:val="standardContextual"/>
              </w:rPr>
            </w:pPr>
            <w:r w:rsidRPr="00ED3A86">
              <w:rPr>
                <w:kern w:val="2"/>
                <w14:ligatures w14:val="standardContextual"/>
              </w:rPr>
              <w:t>Intake survey: individuals</w:t>
            </w:r>
          </w:p>
        </w:tc>
        <w:tc>
          <w:tcPr>
            <w:tcW w:w="3510" w:type="dxa"/>
            <w:tcBorders>
              <w:top w:val="dotted" w:sz="4" w:space="0" w:color="auto"/>
              <w:left w:val="nil"/>
              <w:bottom w:val="dotted" w:sz="4" w:space="0" w:color="auto"/>
              <w:right w:val="nil"/>
            </w:tcBorders>
          </w:tcPr>
          <w:p w:rsidR="00ED3A86" w:rsidRPr="00ED3A86" w:rsidP="00ED3A86" w14:paraId="61DA9366" w14:textId="77777777">
            <w:pPr>
              <w:spacing w:after="0" w:line="240" w:lineRule="auto"/>
              <w:jc w:val="center"/>
              <w:rPr>
                <w:kern w:val="2"/>
                <w14:ligatures w14:val="standardContextual"/>
              </w:rPr>
            </w:pPr>
            <w:r w:rsidRPr="00ED3A86">
              <w:rPr>
                <w:kern w:val="2"/>
                <w14:ligatures w14:val="standardContextual"/>
              </w:rPr>
              <w:t>250</w:t>
            </w:r>
          </w:p>
        </w:tc>
        <w:tc>
          <w:tcPr>
            <w:tcW w:w="3060" w:type="dxa"/>
            <w:tcBorders>
              <w:top w:val="dotted" w:sz="4" w:space="0" w:color="auto"/>
              <w:left w:val="nil"/>
              <w:bottom w:val="dotted" w:sz="4" w:space="0" w:color="auto"/>
              <w:right w:val="nil"/>
            </w:tcBorders>
          </w:tcPr>
          <w:p w:rsidR="00ED3A86" w:rsidRPr="00ED3A86" w:rsidP="00ED3A86" w14:paraId="19558F37" w14:textId="77777777">
            <w:pPr>
              <w:spacing w:after="0" w:line="240" w:lineRule="auto"/>
              <w:jc w:val="center"/>
              <w:rPr>
                <w:kern w:val="2"/>
                <w14:ligatures w14:val="standardContextual"/>
              </w:rPr>
            </w:pPr>
            <w:r w:rsidRPr="00ED3A86">
              <w:rPr>
                <w:kern w:val="2"/>
                <w14:ligatures w14:val="standardContextual"/>
              </w:rPr>
              <w:t>3</w:t>
            </w:r>
          </w:p>
        </w:tc>
        <w:tc>
          <w:tcPr>
            <w:tcW w:w="2520" w:type="dxa"/>
            <w:tcBorders>
              <w:top w:val="dotted" w:sz="4" w:space="0" w:color="auto"/>
              <w:left w:val="nil"/>
              <w:bottom w:val="dotted" w:sz="4" w:space="0" w:color="auto"/>
              <w:right w:val="nil"/>
            </w:tcBorders>
          </w:tcPr>
          <w:p w:rsidR="00ED3A86" w:rsidRPr="00ED3A86" w:rsidP="00ED3A86" w14:paraId="0263FEAF" w14:textId="77777777">
            <w:pPr>
              <w:spacing w:after="0" w:line="240" w:lineRule="auto"/>
              <w:jc w:val="center"/>
              <w:rPr>
                <w:kern w:val="2"/>
                <w14:ligatures w14:val="standardContextual"/>
              </w:rPr>
            </w:pPr>
            <w:r w:rsidRPr="00ED3A86">
              <w:rPr>
                <w:kern w:val="2"/>
                <w14:ligatures w14:val="standardContextual"/>
              </w:rPr>
              <w:t>750</w:t>
            </w:r>
          </w:p>
        </w:tc>
      </w:tr>
      <w:tr w14:paraId="2725B5E0" w14:textId="77777777" w:rsidTr="00040B4F">
        <w:tblPrEx>
          <w:tblW w:w="12955" w:type="dxa"/>
          <w:tblLook w:val="04A0"/>
        </w:tblPrEx>
        <w:tc>
          <w:tcPr>
            <w:tcW w:w="3865" w:type="dxa"/>
            <w:tcBorders>
              <w:top w:val="dotted" w:sz="4" w:space="0" w:color="auto"/>
              <w:left w:val="nil"/>
              <w:bottom w:val="nil"/>
              <w:right w:val="nil"/>
            </w:tcBorders>
          </w:tcPr>
          <w:p w:rsidR="00ED3A86" w:rsidRPr="00ED3A86" w:rsidP="00ED3A86" w14:paraId="767D1378" w14:textId="77777777">
            <w:pPr>
              <w:spacing w:after="0" w:line="240" w:lineRule="auto"/>
              <w:rPr>
                <w:rFonts w:asciiTheme="majorHAnsi" w:eastAsiaTheme="majorEastAsia" w:hAnsiTheme="majorHAnsi" w:cstheme="majorBidi"/>
                <w:i/>
                <w:iCs/>
                <w:kern w:val="2"/>
                <w:sz w:val="26"/>
                <w14:ligatures w14:val="standardContextual"/>
              </w:rPr>
            </w:pPr>
            <w:r w:rsidRPr="00ED3A86">
              <w:rPr>
                <w:kern w:val="2"/>
                <w14:ligatures w14:val="standardContextual"/>
              </w:rPr>
              <w:t>Programmatic activities</w:t>
            </w:r>
          </w:p>
        </w:tc>
        <w:tc>
          <w:tcPr>
            <w:tcW w:w="3510" w:type="dxa"/>
            <w:tcBorders>
              <w:top w:val="dotted" w:sz="4" w:space="0" w:color="auto"/>
              <w:left w:val="nil"/>
              <w:bottom w:val="nil"/>
              <w:right w:val="nil"/>
            </w:tcBorders>
          </w:tcPr>
          <w:p w:rsidR="00ED3A86" w:rsidRPr="00ED3A86" w:rsidP="00ED3A86" w14:paraId="3760D7DB" w14:textId="77777777">
            <w:pPr>
              <w:spacing w:after="0" w:line="240" w:lineRule="auto"/>
              <w:jc w:val="center"/>
              <w:rPr>
                <w:kern w:val="2"/>
                <w14:ligatures w14:val="standardContextual"/>
              </w:rPr>
            </w:pPr>
          </w:p>
        </w:tc>
        <w:tc>
          <w:tcPr>
            <w:tcW w:w="3060" w:type="dxa"/>
            <w:tcBorders>
              <w:top w:val="dotted" w:sz="4" w:space="0" w:color="auto"/>
              <w:left w:val="nil"/>
              <w:bottom w:val="nil"/>
              <w:right w:val="nil"/>
            </w:tcBorders>
          </w:tcPr>
          <w:p w:rsidR="00ED3A86" w:rsidRPr="00ED3A86" w:rsidP="00ED3A86" w14:paraId="1945D0BE" w14:textId="77777777">
            <w:pPr>
              <w:spacing w:after="0" w:line="240" w:lineRule="auto"/>
              <w:jc w:val="center"/>
              <w:rPr>
                <w:kern w:val="2"/>
                <w14:ligatures w14:val="standardContextual"/>
              </w:rPr>
            </w:pPr>
          </w:p>
        </w:tc>
        <w:tc>
          <w:tcPr>
            <w:tcW w:w="2520" w:type="dxa"/>
            <w:tcBorders>
              <w:top w:val="dotted" w:sz="4" w:space="0" w:color="auto"/>
              <w:left w:val="nil"/>
              <w:bottom w:val="nil"/>
              <w:right w:val="nil"/>
            </w:tcBorders>
          </w:tcPr>
          <w:p w:rsidR="00ED3A86" w:rsidRPr="00ED3A86" w:rsidP="00ED3A86" w14:paraId="2665B6E2" w14:textId="77777777">
            <w:pPr>
              <w:spacing w:after="0" w:line="240" w:lineRule="auto"/>
              <w:jc w:val="center"/>
              <w:rPr>
                <w:kern w:val="2"/>
                <w14:ligatures w14:val="standardContextual"/>
              </w:rPr>
            </w:pPr>
          </w:p>
        </w:tc>
      </w:tr>
      <w:tr w14:paraId="629F6EEC" w14:textId="77777777" w:rsidTr="00040B4F">
        <w:tblPrEx>
          <w:tblW w:w="12955" w:type="dxa"/>
          <w:tblLook w:val="04A0"/>
        </w:tblPrEx>
        <w:tc>
          <w:tcPr>
            <w:tcW w:w="3865" w:type="dxa"/>
            <w:tcBorders>
              <w:top w:val="nil"/>
              <w:left w:val="nil"/>
              <w:bottom w:val="nil"/>
              <w:right w:val="nil"/>
            </w:tcBorders>
          </w:tcPr>
          <w:p w:rsidR="00ED3A86" w:rsidRPr="00ED3A86" w:rsidP="00ED3A86" w14:paraId="6CBF0792" w14:textId="77777777">
            <w:pPr>
              <w:spacing w:after="0" w:line="240" w:lineRule="auto"/>
              <w:ind w:left="720"/>
              <w:rPr>
                <w:kern w:val="2"/>
                <w14:ligatures w14:val="standardContextual"/>
              </w:rPr>
            </w:pPr>
            <w:r w:rsidRPr="00ED3A86">
              <w:rPr>
                <w:kern w:val="2"/>
                <w14:ligatures w14:val="standardContextual"/>
              </w:rPr>
              <w:t>R&amp;D and translation</w:t>
            </w:r>
          </w:p>
        </w:tc>
        <w:tc>
          <w:tcPr>
            <w:tcW w:w="3510" w:type="dxa"/>
            <w:tcBorders>
              <w:top w:val="nil"/>
              <w:left w:val="nil"/>
              <w:bottom w:val="nil"/>
              <w:right w:val="nil"/>
            </w:tcBorders>
          </w:tcPr>
          <w:p w:rsidR="00ED3A86" w:rsidRPr="00ED3A86" w:rsidP="00ED3A86" w14:paraId="77926AE4" w14:textId="77777777">
            <w:pPr>
              <w:spacing w:after="0" w:line="240" w:lineRule="auto"/>
              <w:jc w:val="center"/>
              <w:rPr>
                <w:kern w:val="2"/>
                <w14:ligatures w14:val="standardContextual"/>
              </w:rPr>
            </w:pPr>
            <w:r w:rsidRPr="00ED3A86">
              <w:rPr>
                <w:kern w:val="2"/>
                <w14:ligatures w14:val="standardContextual"/>
              </w:rPr>
              <w:t>10</w:t>
            </w:r>
          </w:p>
        </w:tc>
        <w:tc>
          <w:tcPr>
            <w:tcW w:w="3060" w:type="dxa"/>
            <w:tcBorders>
              <w:top w:val="nil"/>
              <w:left w:val="nil"/>
              <w:bottom w:val="nil"/>
              <w:right w:val="nil"/>
            </w:tcBorders>
          </w:tcPr>
          <w:p w:rsidR="00ED3A86" w:rsidRPr="00ED3A86" w:rsidP="00ED3A86" w14:paraId="471B9A99" w14:textId="77777777">
            <w:pPr>
              <w:spacing w:after="0" w:line="240" w:lineRule="auto"/>
              <w:jc w:val="center"/>
              <w:rPr>
                <w:kern w:val="2"/>
                <w14:ligatures w14:val="standardContextual"/>
              </w:rPr>
            </w:pPr>
            <w:r w:rsidRPr="00ED3A86">
              <w:rPr>
                <w:kern w:val="2"/>
                <w14:ligatures w14:val="standardContextual"/>
              </w:rPr>
              <w:t>30</w:t>
            </w:r>
          </w:p>
        </w:tc>
        <w:tc>
          <w:tcPr>
            <w:tcW w:w="2520" w:type="dxa"/>
            <w:tcBorders>
              <w:top w:val="nil"/>
              <w:left w:val="nil"/>
              <w:bottom w:val="nil"/>
              <w:right w:val="nil"/>
            </w:tcBorders>
          </w:tcPr>
          <w:p w:rsidR="00ED3A86" w:rsidRPr="00ED3A86" w:rsidP="00ED3A86" w14:paraId="0906BD79" w14:textId="77777777">
            <w:pPr>
              <w:spacing w:after="0" w:line="240" w:lineRule="auto"/>
              <w:jc w:val="center"/>
              <w:rPr>
                <w:kern w:val="2"/>
                <w14:ligatures w14:val="standardContextual"/>
              </w:rPr>
            </w:pPr>
            <w:r w:rsidRPr="00ED3A86">
              <w:rPr>
                <w:kern w:val="2"/>
                <w14:ligatures w14:val="standardContextual"/>
              </w:rPr>
              <w:t>300</w:t>
            </w:r>
          </w:p>
        </w:tc>
      </w:tr>
      <w:tr w14:paraId="5F9F6C22" w14:textId="77777777" w:rsidTr="00040B4F">
        <w:tblPrEx>
          <w:tblW w:w="12955" w:type="dxa"/>
          <w:tblLook w:val="04A0"/>
        </w:tblPrEx>
        <w:tc>
          <w:tcPr>
            <w:tcW w:w="3865" w:type="dxa"/>
            <w:tcBorders>
              <w:top w:val="nil"/>
              <w:left w:val="nil"/>
              <w:bottom w:val="nil"/>
              <w:right w:val="nil"/>
            </w:tcBorders>
          </w:tcPr>
          <w:p w:rsidR="00ED3A86" w:rsidRPr="00ED3A86" w:rsidP="00ED3A86" w14:paraId="196F34C5" w14:textId="77777777">
            <w:pPr>
              <w:spacing w:after="0" w:line="240" w:lineRule="auto"/>
              <w:ind w:left="720"/>
              <w:rPr>
                <w:kern w:val="2"/>
                <w14:ligatures w14:val="standardContextual"/>
              </w:rPr>
            </w:pPr>
            <w:r w:rsidRPr="00ED3A86">
              <w:rPr>
                <w:kern w:val="2"/>
                <w14:ligatures w14:val="standardContextual"/>
              </w:rPr>
              <w:t>Workforce development</w:t>
            </w:r>
          </w:p>
        </w:tc>
        <w:tc>
          <w:tcPr>
            <w:tcW w:w="3510" w:type="dxa"/>
            <w:tcBorders>
              <w:top w:val="nil"/>
              <w:left w:val="nil"/>
              <w:bottom w:val="nil"/>
              <w:right w:val="nil"/>
            </w:tcBorders>
          </w:tcPr>
          <w:p w:rsidR="00ED3A86" w:rsidRPr="00ED3A86" w:rsidP="00ED3A86" w14:paraId="5A4825A8" w14:textId="77777777">
            <w:pPr>
              <w:spacing w:after="0" w:line="240" w:lineRule="auto"/>
              <w:jc w:val="center"/>
              <w:rPr>
                <w:kern w:val="2"/>
                <w14:ligatures w14:val="standardContextual"/>
              </w:rPr>
            </w:pPr>
            <w:r w:rsidRPr="00ED3A86">
              <w:rPr>
                <w:kern w:val="2"/>
                <w14:ligatures w14:val="standardContextual"/>
              </w:rPr>
              <w:t>5</w:t>
            </w:r>
          </w:p>
        </w:tc>
        <w:tc>
          <w:tcPr>
            <w:tcW w:w="3060" w:type="dxa"/>
            <w:tcBorders>
              <w:top w:val="nil"/>
              <w:left w:val="nil"/>
              <w:bottom w:val="nil"/>
              <w:right w:val="nil"/>
            </w:tcBorders>
          </w:tcPr>
          <w:p w:rsidR="00ED3A86" w:rsidRPr="00ED3A86" w:rsidP="00ED3A86" w14:paraId="1CD991CC" w14:textId="77777777">
            <w:pPr>
              <w:spacing w:after="0" w:line="240" w:lineRule="auto"/>
              <w:jc w:val="center"/>
              <w:rPr>
                <w:kern w:val="2"/>
                <w14:ligatures w14:val="standardContextual"/>
              </w:rPr>
            </w:pPr>
            <w:r w:rsidRPr="00ED3A86">
              <w:rPr>
                <w:kern w:val="2"/>
                <w14:ligatures w14:val="standardContextual"/>
              </w:rPr>
              <w:t>15</w:t>
            </w:r>
          </w:p>
        </w:tc>
        <w:tc>
          <w:tcPr>
            <w:tcW w:w="2520" w:type="dxa"/>
            <w:tcBorders>
              <w:top w:val="nil"/>
              <w:left w:val="nil"/>
              <w:bottom w:val="nil"/>
              <w:right w:val="nil"/>
            </w:tcBorders>
          </w:tcPr>
          <w:p w:rsidR="00ED3A86" w:rsidRPr="00ED3A86" w:rsidP="00ED3A86" w14:paraId="61BB0AEF" w14:textId="77777777">
            <w:pPr>
              <w:spacing w:after="0" w:line="240" w:lineRule="auto"/>
              <w:jc w:val="center"/>
              <w:rPr>
                <w:kern w:val="2"/>
                <w14:ligatures w14:val="standardContextual"/>
              </w:rPr>
            </w:pPr>
            <w:r w:rsidRPr="00ED3A86">
              <w:rPr>
                <w:kern w:val="2"/>
                <w14:ligatures w14:val="standardContextual"/>
              </w:rPr>
              <w:t>75</w:t>
            </w:r>
          </w:p>
        </w:tc>
      </w:tr>
      <w:tr w14:paraId="70E42384" w14:textId="77777777" w:rsidTr="00040B4F">
        <w:tblPrEx>
          <w:tblW w:w="12955" w:type="dxa"/>
          <w:tblLook w:val="04A0"/>
        </w:tblPrEx>
        <w:tc>
          <w:tcPr>
            <w:tcW w:w="3865" w:type="dxa"/>
            <w:tcBorders>
              <w:top w:val="nil"/>
              <w:left w:val="nil"/>
              <w:bottom w:val="dotted" w:sz="4" w:space="0" w:color="auto"/>
              <w:right w:val="nil"/>
            </w:tcBorders>
          </w:tcPr>
          <w:p w:rsidR="00ED3A86" w:rsidRPr="00ED3A86" w:rsidP="00ED3A86" w14:paraId="0204311E" w14:textId="77777777">
            <w:pPr>
              <w:spacing w:after="0" w:line="240" w:lineRule="auto"/>
              <w:ind w:left="720"/>
              <w:rPr>
                <w:kern w:val="2"/>
                <w14:ligatures w14:val="standardContextual"/>
              </w:rPr>
            </w:pPr>
            <w:r w:rsidRPr="00ED3A86">
              <w:rPr>
                <w:kern w:val="2"/>
                <w14:ligatures w14:val="standardContextual"/>
              </w:rPr>
              <w:t>Ecosystem building</w:t>
            </w:r>
          </w:p>
        </w:tc>
        <w:tc>
          <w:tcPr>
            <w:tcW w:w="3510" w:type="dxa"/>
            <w:tcBorders>
              <w:top w:val="nil"/>
              <w:left w:val="nil"/>
              <w:bottom w:val="dotted" w:sz="4" w:space="0" w:color="auto"/>
              <w:right w:val="nil"/>
            </w:tcBorders>
          </w:tcPr>
          <w:p w:rsidR="00ED3A86" w:rsidRPr="00ED3A86" w:rsidP="00ED3A86" w14:paraId="75DCFA6D" w14:textId="77777777">
            <w:pPr>
              <w:spacing w:after="0" w:line="240" w:lineRule="auto"/>
              <w:jc w:val="center"/>
              <w:rPr>
                <w:kern w:val="2"/>
                <w14:ligatures w14:val="standardContextual"/>
              </w:rPr>
            </w:pPr>
            <w:r w:rsidRPr="00ED3A86">
              <w:rPr>
                <w:kern w:val="2"/>
                <w14:ligatures w14:val="standardContextual"/>
              </w:rPr>
              <w:t>15</w:t>
            </w:r>
          </w:p>
        </w:tc>
        <w:tc>
          <w:tcPr>
            <w:tcW w:w="3060" w:type="dxa"/>
            <w:tcBorders>
              <w:top w:val="nil"/>
              <w:left w:val="nil"/>
              <w:bottom w:val="dotted" w:sz="4" w:space="0" w:color="auto"/>
              <w:right w:val="nil"/>
            </w:tcBorders>
          </w:tcPr>
          <w:p w:rsidR="00ED3A86" w:rsidRPr="00ED3A86" w:rsidP="00ED3A86" w14:paraId="39802016" w14:textId="77777777">
            <w:pPr>
              <w:spacing w:after="0" w:line="240" w:lineRule="auto"/>
              <w:jc w:val="center"/>
              <w:rPr>
                <w:kern w:val="2"/>
                <w14:ligatures w14:val="standardContextual"/>
              </w:rPr>
            </w:pPr>
            <w:r w:rsidRPr="00ED3A86">
              <w:rPr>
                <w:kern w:val="2"/>
                <w14:ligatures w14:val="standardContextual"/>
              </w:rPr>
              <w:t>15</w:t>
            </w:r>
          </w:p>
        </w:tc>
        <w:tc>
          <w:tcPr>
            <w:tcW w:w="2520" w:type="dxa"/>
            <w:tcBorders>
              <w:top w:val="nil"/>
              <w:left w:val="nil"/>
              <w:bottom w:val="dotted" w:sz="4" w:space="0" w:color="auto"/>
              <w:right w:val="nil"/>
            </w:tcBorders>
          </w:tcPr>
          <w:p w:rsidR="00ED3A86" w:rsidRPr="00ED3A86" w:rsidP="00ED3A86" w14:paraId="035BB966" w14:textId="77777777">
            <w:pPr>
              <w:spacing w:after="0" w:line="240" w:lineRule="auto"/>
              <w:jc w:val="center"/>
              <w:rPr>
                <w:kern w:val="2"/>
                <w14:ligatures w14:val="standardContextual"/>
              </w:rPr>
            </w:pPr>
            <w:r w:rsidRPr="00ED3A86">
              <w:rPr>
                <w:kern w:val="2"/>
                <w14:ligatures w14:val="standardContextual"/>
              </w:rPr>
              <w:t>225</w:t>
            </w:r>
          </w:p>
        </w:tc>
      </w:tr>
      <w:tr w14:paraId="364D9601" w14:textId="77777777" w:rsidTr="00040B4F">
        <w:tblPrEx>
          <w:tblW w:w="12955" w:type="dxa"/>
          <w:tblLook w:val="04A0"/>
        </w:tblPrEx>
        <w:tc>
          <w:tcPr>
            <w:tcW w:w="3865" w:type="dxa"/>
            <w:tcBorders>
              <w:top w:val="dotted" w:sz="4" w:space="0" w:color="auto"/>
              <w:left w:val="nil"/>
              <w:bottom w:val="nil"/>
              <w:right w:val="nil"/>
            </w:tcBorders>
          </w:tcPr>
          <w:p w:rsidR="00ED3A86" w:rsidRPr="00ED3A86" w:rsidP="00ED3A86" w14:paraId="7B337842" w14:textId="77777777">
            <w:pPr>
              <w:spacing w:after="0" w:line="240" w:lineRule="auto"/>
              <w:rPr>
                <w:kern w:val="2"/>
                <w14:ligatures w14:val="standardContextual"/>
              </w:rPr>
            </w:pPr>
            <w:r w:rsidRPr="00ED3A86">
              <w:rPr>
                <w:kern w:val="2"/>
                <w14:ligatures w14:val="standardContextual"/>
              </w:rPr>
              <w:t>Individual demographics</w:t>
            </w:r>
          </w:p>
        </w:tc>
        <w:tc>
          <w:tcPr>
            <w:tcW w:w="3510" w:type="dxa"/>
            <w:tcBorders>
              <w:top w:val="dotted" w:sz="4" w:space="0" w:color="auto"/>
              <w:left w:val="nil"/>
              <w:bottom w:val="nil"/>
              <w:right w:val="nil"/>
            </w:tcBorders>
          </w:tcPr>
          <w:p w:rsidR="00ED3A86" w:rsidRPr="00ED3A86" w:rsidP="00ED3A86" w14:paraId="00997F2E" w14:textId="77777777">
            <w:pPr>
              <w:spacing w:after="0" w:line="240" w:lineRule="auto"/>
              <w:jc w:val="center"/>
              <w:rPr>
                <w:kern w:val="2"/>
                <w14:ligatures w14:val="standardContextual"/>
              </w:rPr>
            </w:pPr>
          </w:p>
        </w:tc>
        <w:tc>
          <w:tcPr>
            <w:tcW w:w="3060" w:type="dxa"/>
            <w:tcBorders>
              <w:top w:val="dotted" w:sz="4" w:space="0" w:color="auto"/>
              <w:left w:val="nil"/>
              <w:bottom w:val="nil"/>
              <w:right w:val="nil"/>
            </w:tcBorders>
          </w:tcPr>
          <w:p w:rsidR="00ED3A86" w:rsidRPr="00ED3A86" w:rsidP="00ED3A86" w14:paraId="1BB0BD4A" w14:textId="77777777">
            <w:pPr>
              <w:spacing w:after="0" w:line="240" w:lineRule="auto"/>
              <w:jc w:val="center"/>
              <w:rPr>
                <w:kern w:val="2"/>
                <w14:ligatures w14:val="standardContextual"/>
              </w:rPr>
            </w:pPr>
          </w:p>
        </w:tc>
        <w:tc>
          <w:tcPr>
            <w:tcW w:w="2520" w:type="dxa"/>
            <w:tcBorders>
              <w:top w:val="dotted" w:sz="4" w:space="0" w:color="auto"/>
              <w:left w:val="nil"/>
              <w:bottom w:val="nil"/>
              <w:right w:val="nil"/>
            </w:tcBorders>
          </w:tcPr>
          <w:p w:rsidR="00ED3A86" w:rsidRPr="00ED3A86" w:rsidP="00ED3A86" w14:paraId="665A6E7D" w14:textId="77777777">
            <w:pPr>
              <w:spacing w:after="0" w:line="240" w:lineRule="auto"/>
              <w:jc w:val="center"/>
              <w:rPr>
                <w:kern w:val="2"/>
                <w14:ligatures w14:val="standardContextual"/>
              </w:rPr>
            </w:pPr>
          </w:p>
        </w:tc>
      </w:tr>
      <w:tr w14:paraId="138BCC04" w14:textId="77777777" w:rsidTr="00040B4F">
        <w:tblPrEx>
          <w:tblW w:w="12955" w:type="dxa"/>
          <w:tblLook w:val="04A0"/>
        </w:tblPrEx>
        <w:tc>
          <w:tcPr>
            <w:tcW w:w="3865" w:type="dxa"/>
            <w:tcBorders>
              <w:top w:val="nil"/>
              <w:left w:val="nil"/>
              <w:bottom w:val="nil"/>
              <w:right w:val="nil"/>
            </w:tcBorders>
          </w:tcPr>
          <w:p w:rsidR="00ED3A86" w:rsidRPr="00ED3A86" w:rsidP="00ED3A86" w14:paraId="59806566" w14:textId="77777777">
            <w:pPr>
              <w:spacing w:after="0" w:line="240" w:lineRule="auto"/>
              <w:ind w:left="720"/>
              <w:rPr>
                <w:kern w:val="2"/>
                <w14:ligatures w14:val="standardContextual"/>
              </w:rPr>
            </w:pPr>
            <w:r w:rsidRPr="00ED3A86">
              <w:rPr>
                <w:kern w:val="2"/>
                <w14:ligatures w14:val="standardContextual"/>
              </w:rPr>
              <w:t>R&amp;D and translation participants</w:t>
            </w:r>
          </w:p>
        </w:tc>
        <w:tc>
          <w:tcPr>
            <w:tcW w:w="3510" w:type="dxa"/>
            <w:tcBorders>
              <w:top w:val="nil"/>
              <w:left w:val="nil"/>
              <w:bottom w:val="nil"/>
              <w:right w:val="nil"/>
            </w:tcBorders>
          </w:tcPr>
          <w:p w:rsidR="00ED3A86" w:rsidRPr="00ED3A86" w:rsidP="00ED3A86" w14:paraId="2DBEED5F" w14:textId="77777777">
            <w:pPr>
              <w:spacing w:after="0" w:line="240" w:lineRule="auto"/>
              <w:jc w:val="center"/>
              <w:rPr>
                <w:kern w:val="2"/>
                <w14:ligatures w14:val="standardContextual"/>
              </w:rPr>
            </w:pPr>
            <w:r w:rsidRPr="00ED3A86">
              <w:rPr>
                <w:kern w:val="2"/>
                <w14:ligatures w14:val="standardContextual"/>
              </w:rPr>
              <w:t>80</w:t>
            </w:r>
          </w:p>
        </w:tc>
        <w:tc>
          <w:tcPr>
            <w:tcW w:w="3060" w:type="dxa"/>
            <w:tcBorders>
              <w:top w:val="nil"/>
              <w:left w:val="nil"/>
              <w:bottom w:val="nil"/>
              <w:right w:val="nil"/>
            </w:tcBorders>
          </w:tcPr>
          <w:p w:rsidR="00ED3A86" w:rsidRPr="00ED3A86" w:rsidP="00ED3A86" w14:paraId="10A51DE5" w14:textId="77777777">
            <w:pPr>
              <w:spacing w:after="0" w:line="240" w:lineRule="auto"/>
              <w:jc w:val="center"/>
              <w:rPr>
                <w:kern w:val="2"/>
                <w14:ligatures w14:val="standardContextual"/>
              </w:rPr>
            </w:pPr>
            <w:r w:rsidRPr="00ED3A86">
              <w:rPr>
                <w:kern w:val="2"/>
                <w14:ligatures w14:val="standardContextual"/>
              </w:rPr>
              <w:t>12</w:t>
            </w:r>
          </w:p>
        </w:tc>
        <w:tc>
          <w:tcPr>
            <w:tcW w:w="2520" w:type="dxa"/>
            <w:tcBorders>
              <w:top w:val="nil"/>
              <w:left w:val="nil"/>
              <w:bottom w:val="nil"/>
              <w:right w:val="nil"/>
            </w:tcBorders>
          </w:tcPr>
          <w:p w:rsidR="00ED3A86" w:rsidRPr="00ED3A86" w:rsidP="00ED3A86" w14:paraId="29789F80" w14:textId="77777777">
            <w:pPr>
              <w:spacing w:after="0" w:line="240" w:lineRule="auto"/>
              <w:jc w:val="center"/>
              <w:rPr>
                <w:kern w:val="2"/>
                <w14:ligatures w14:val="standardContextual"/>
              </w:rPr>
            </w:pPr>
            <w:r w:rsidRPr="00ED3A86">
              <w:rPr>
                <w:kern w:val="2"/>
                <w14:ligatures w14:val="standardContextual"/>
              </w:rPr>
              <w:t>960</w:t>
            </w:r>
          </w:p>
        </w:tc>
      </w:tr>
      <w:tr w14:paraId="76D572B4" w14:textId="77777777" w:rsidTr="00040B4F">
        <w:tblPrEx>
          <w:tblW w:w="12955" w:type="dxa"/>
          <w:tblLook w:val="04A0"/>
        </w:tblPrEx>
        <w:tc>
          <w:tcPr>
            <w:tcW w:w="3865" w:type="dxa"/>
            <w:tcBorders>
              <w:top w:val="nil"/>
              <w:left w:val="nil"/>
              <w:bottom w:val="nil"/>
              <w:right w:val="nil"/>
            </w:tcBorders>
          </w:tcPr>
          <w:p w:rsidR="00ED3A86" w:rsidRPr="00ED3A86" w:rsidP="00ED3A86" w14:paraId="751E791C" w14:textId="77777777">
            <w:pPr>
              <w:spacing w:after="0" w:line="240" w:lineRule="auto"/>
              <w:ind w:left="720"/>
              <w:rPr>
                <w:kern w:val="2"/>
                <w14:ligatures w14:val="standardContextual"/>
              </w:rPr>
            </w:pPr>
            <w:r w:rsidRPr="00ED3A86">
              <w:rPr>
                <w:kern w:val="2"/>
                <w14:ligatures w14:val="standardContextual"/>
              </w:rPr>
              <w:t>Workforce development participants</w:t>
            </w:r>
          </w:p>
        </w:tc>
        <w:tc>
          <w:tcPr>
            <w:tcW w:w="3510" w:type="dxa"/>
            <w:tcBorders>
              <w:top w:val="nil"/>
              <w:left w:val="nil"/>
              <w:bottom w:val="nil"/>
              <w:right w:val="nil"/>
            </w:tcBorders>
          </w:tcPr>
          <w:p w:rsidR="00ED3A86" w:rsidRPr="00ED3A86" w:rsidP="00ED3A86" w14:paraId="2D192833" w14:textId="77777777">
            <w:pPr>
              <w:spacing w:after="0" w:line="240" w:lineRule="auto"/>
              <w:jc w:val="center"/>
              <w:rPr>
                <w:kern w:val="2"/>
                <w14:ligatures w14:val="standardContextual"/>
              </w:rPr>
            </w:pPr>
            <w:r w:rsidRPr="00ED3A86">
              <w:rPr>
                <w:kern w:val="2"/>
                <w14:ligatures w14:val="standardContextual"/>
              </w:rPr>
              <w:t>100</w:t>
            </w:r>
          </w:p>
        </w:tc>
        <w:tc>
          <w:tcPr>
            <w:tcW w:w="3060" w:type="dxa"/>
            <w:tcBorders>
              <w:top w:val="nil"/>
              <w:left w:val="nil"/>
              <w:bottom w:val="nil"/>
              <w:right w:val="nil"/>
            </w:tcBorders>
          </w:tcPr>
          <w:p w:rsidR="00ED3A86" w:rsidRPr="00ED3A86" w:rsidP="00ED3A86" w14:paraId="3927FE20" w14:textId="19531F1E">
            <w:pPr>
              <w:spacing w:after="0" w:line="240" w:lineRule="auto"/>
              <w:jc w:val="center"/>
              <w:rPr>
                <w:kern w:val="2"/>
                <w14:ligatures w14:val="standardContextual"/>
              </w:rPr>
            </w:pPr>
            <w:r>
              <w:rPr>
                <w:kern w:val="2"/>
                <w14:ligatures w14:val="standardContextual"/>
              </w:rPr>
              <w:t>15</w:t>
            </w:r>
          </w:p>
        </w:tc>
        <w:tc>
          <w:tcPr>
            <w:tcW w:w="2520" w:type="dxa"/>
            <w:tcBorders>
              <w:top w:val="nil"/>
              <w:left w:val="nil"/>
              <w:bottom w:val="nil"/>
              <w:right w:val="nil"/>
            </w:tcBorders>
          </w:tcPr>
          <w:p w:rsidR="00ED3A86" w:rsidRPr="00ED3A86" w:rsidP="00ED3A86" w14:paraId="4E4CE40C" w14:textId="5E2395C3">
            <w:pPr>
              <w:spacing w:after="0" w:line="240" w:lineRule="auto"/>
              <w:jc w:val="center"/>
              <w:rPr>
                <w:kern w:val="2"/>
                <w14:ligatures w14:val="standardContextual"/>
              </w:rPr>
            </w:pPr>
            <w:r>
              <w:rPr>
                <w:kern w:val="2"/>
                <w14:ligatures w14:val="standardContextual"/>
              </w:rPr>
              <w:t>1,5</w:t>
            </w:r>
            <w:r w:rsidRPr="00ED3A86">
              <w:rPr>
                <w:kern w:val="2"/>
                <w14:ligatures w14:val="standardContextual"/>
              </w:rPr>
              <w:t>00</w:t>
            </w:r>
          </w:p>
        </w:tc>
      </w:tr>
      <w:tr w14:paraId="4EB9D177" w14:textId="77777777" w:rsidTr="00040B4F">
        <w:tblPrEx>
          <w:tblW w:w="12955" w:type="dxa"/>
          <w:tblLook w:val="04A0"/>
        </w:tblPrEx>
        <w:tc>
          <w:tcPr>
            <w:tcW w:w="3865" w:type="dxa"/>
            <w:tcBorders>
              <w:top w:val="nil"/>
              <w:left w:val="nil"/>
              <w:bottom w:val="nil"/>
              <w:right w:val="nil"/>
            </w:tcBorders>
          </w:tcPr>
          <w:p w:rsidR="00ED3A86" w:rsidRPr="00ED3A86" w:rsidP="00ED3A86" w14:paraId="759E5521" w14:textId="77777777">
            <w:pPr>
              <w:spacing w:after="0" w:line="240" w:lineRule="auto"/>
              <w:ind w:left="720"/>
              <w:rPr>
                <w:kern w:val="2"/>
                <w14:ligatures w14:val="standardContextual"/>
              </w:rPr>
            </w:pPr>
            <w:r w:rsidRPr="00ED3A86">
              <w:rPr>
                <w:kern w:val="2"/>
                <w14:ligatures w14:val="standardContextual"/>
              </w:rPr>
              <w:t>Engine leadership team, governance board, and programmatic leads</w:t>
            </w:r>
          </w:p>
        </w:tc>
        <w:tc>
          <w:tcPr>
            <w:tcW w:w="3510" w:type="dxa"/>
            <w:tcBorders>
              <w:top w:val="nil"/>
              <w:left w:val="nil"/>
              <w:bottom w:val="nil"/>
              <w:right w:val="nil"/>
            </w:tcBorders>
          </w:tcPr>
          <w:p w:rsidR="00ED3A86" w:rsidRPr="00ED3A86" w:rsidP="00ED3A86" w14:paraId="5634C8D9" w14:textId="77777777">
            <w:pPr>
              <w:spacing w:after="0" w:line="240" w:lineRule="auto"/>
              <w:jc w:val="center"/>
              <w:rPr>
                <w:kern w:val="2"/>
                <w14:ligatures w14:val="standardContextual"/>
              </w:rPr>
            </w:pPr>
            <w:r w:rsidRPr="00ED3A86">
              <w:rPr>
                <w:kern w:val="2"/>
                <w14:ligatures w14:val="standardContextual"/>
              </w:rPr>
              <w:t>40</w:t>
            </w:r>
          </w:p>
        </w:tc>
        <w:tc>
          <w:tcPr>
            <w:tcW w:w="3060" w:type="dxa"/>
            <w:tcBorders>
              <w:top w:val="nil"/>
              <w:left w:val="nil"/>
              <w:bottom w:val="nil"/>
              <w:right w:val="nil"/>
            </w:tcBorders>
          </w:tcPr>
          <w:p w:rsidR="00ED3A86" w:rsidRPr="00ED3A86" w:rsidP="00ED3A86" w14:paraId="420A2265" w14:textId="62482EE0">
            <w:pPr>
              <w:spacing w:after="0" w:line="240" w:lineRule="auto"/>
              <w:jc w:val="center"/>
              <w:rPr>
                <w:kern w:val="2"/>
                <w14:ligatures w14:val="standardContextual"/>
              </w:rPr>
            </w:pPr>
            <w:r w:rsidRPr="00ED3A86">
              <w:rPr>
                <w:kern w:val="2"/>
                <w14:ligatures w14:val="standardContextual"/>
              </w:rPr>
              <w:t>1</w:t>
            </w:r>
            <w:r w:rsidR="00DE6618">
              <w:rPr>
                <w:kern w:val="2"/>
                <w14:ligatures w14:val="standardContextual"/>
              </w:rPr>
              <w:t>2</w:t>
            </w:r>
          </w:p>
        </w:tc>
        <w:tc>
          <w:tcPr>
            <w:tcW w:w="2520" w:type="dxa"/>
            <w:tcBorders>
              <w:top w:val="nil"/>
              <w:left w:val="nil"/>
              <w:bottom w:val="nil"/>
              <w:right w:val="nil"/>
            </w:tcBorders>
          </w:tcPr>
          <w:p w:rsidR="00ED3A86" w:rsidRPr="00ED3A86" w:rsidP="00ED3A86" w14:paraId="19D6564F" w14:textId="5700C8D1">
            <w:pPr>
              <w:spacing w:after="0" w:line="240" w:lineRule="auto"/>
              <w:jc w:val="center"/>
              <w:rPr>
                <w:kern w:val="2"/>
                <w14:ligatures w14:val="standardContextual"/>
              </w:rPr>
            </w:pPr>
            <w:r>
              <w:rPr>
                <w:kern w:val="2"/>
                <w14:ligatures w14:val="standardContextual"/>
              </w:rPr>
              <w:t>48</w:t>
            </w:r>
            <w:r w:rsidRPr="00ED3A86">
              <w:rPr>
                <w:kern w:val="2"/>
                <w14:ligatures w14:val="standardContextual"/>
              </w:rPr>
              <w:t>0</w:t>
            </w:r>
          </w:p>
        </w:tc>
      </w:tr>
      <w:tr w14:paraId="3B79BB10" w14:textId="77777777" w:rsidTr="00040B4F">
        <w:tblPrEx>
          <w:tblW w:w="12955" w:type="dxa"/>
          <w:tblLook w:val="04A0"/>
        </w:tblPrEx>
        <w:tc>
          <w:tcPr>
            <w:tcW w:w="3865" w:type="dxa"/>
            <w:tcBorders>
              <w:top w:val="nil"/>
              <w:left w:val="nil"/>
              <w:bottom w:val="dotted" w:sz="4" w:space="0" w:color="auto"/>
              <w:right w:val="nil"/>
            </w:tcBorders>
          </w:tcPr>
          <w:p w:rsidR="00ED3A86" w:rsidRPr="00ED3A86" w:rsidP="00ED3A86" w14:paraId="49A5A7FC" w14:textId="77777777">
            <w:pPr>
              <w:spacing w:after="0" w:line="240" w:lineRule="auto"/>
              <w:ind w:left="720"/>
              <w:rPr>
                <w:kern w:val="2"/>
                <w14:ligatures w14:val="standardContextual"/>
              </w:rPr>
            </w:pPr>
            <w:r w:rsidRPr="00ED3A86">
              <w:rPr>
                <w:kern w:val="2"/>
                <w14:ligatures w14:val="standardContextual"/>
              </w:rPr>
              <w:t>All other Engine participants and personnel</w:t>
            </w:r>
          </w:p>
        </w:tc>
        <w:tc>
          <w:tcPr>
            <w:tcW w:w="3510" w:type="dxa"/>
            <w:tcBorders>
              <w:top w:val="nil"/>
              <w:left w:val="nil"/>
              <w:bottom w:val="dotted" w:sz="4" w:space="0" w:color="auto"/>
              <w:right w:val="nil"/>
            </w:tcBorders>
          </w:tcPr>
          <w:p w:rsidR="00ED3A86" w:rsidRPr="00ED3A86" w:rsidP="00ED3A86" w14:paraId="732A3BA5" w14:textId="77777777">
            <w:pPr>
              <w:spacing w:after="0" w:line="240" w:lineRule="auto"/>
              <w:jc w:val="center"/>
              <w:rPr>
                <w:kern w:val="2"/>
                <w14:ligatures w14:val="standardContextual"/>
              </w:rPr>
            </w:pPr>
            <w:r w:rsidRPr="00ED3A86">
              <w:rPr>
                <w:kern w:val="2"/>
                <w14:ligatures w14:val="standardContextual"/>
              </w:rPr>
              <w:t>30</w:t>
            </w:r>
          </w:p>
        </w:tc>
        <w:tc>
          <w:tcPr>
            <w:tcW w:w="3060" w:type="dxa"/>
            <w:tcBorders>
              <w:top w:val="nil"/>
              <w:left w:val="nil"/>
              <w:bottom w:val="dotted" w:sz="4" w:space="0" w:color="auto"/>
              <w:right w:val="nil"/>
            </w:tcBorders>
          </w:tcPr>
          <w:p w:rsidR="00ED3A86" w:rsidRPr="00ED3A86" w:rsidP="00ED3A86" w14:paraId="363F259F" w14:textId="77777777">
            <w:pPr>
              <w:spacing w:after="0" w:line="240" w:lineRule="auto"/>
              <w:jc w:val="center"/>
              <w:rPr>
                <w:kern w:val="2"/>
                <w14:ligatures w14:val="standardContextual"/>
              </w:rPr>
            </w:pPr>
            <w:r w:rsidRPr="00ED3A86">
              <w:rPr>
                <w:kern w:val="2"/>
                <w14:ligatures w14:val="standardContextual"/>
              </w:rPr>
              <w:t>10</w:t>
            </w:r>
          </w:p>
        </w:tc>
        <w:tc>
          <w:tcPr>
            <w:tcW w:w="2520" w:type="dxa"/>
            <w:tcBorders>
              <w:top w:val="nil"/>
              <w:left w:val="nil"/>
              <w:bottom w:val="dotted" w:sz="4" w:space="0" w:color="auto"/>
              <w:right w:val="nil"/>
            </w:tcBorders>
          </w:tcPr>
          <w:p w:rsidR="00ED3A86" w:rsidRPr="00ED3A86" w:rsidP="00ED3A86" w14:paraId="2F932831" w14:textId="77777777">
            <w:pPr>
              <w:spacing w:after="0" w:line="240" w:lineRule="auto"/>
              <w:jc w:val="center"/>
              <w:rPr>
                <w:kern w:val="2"/>
                <w14:ligatures w14:val="standardContextual"/>
              </w:rPr>
            </w:pPr>
            <w:r w:rsidRPr="00ED3A86">
              <w:rPr>
                <w:kern w:val="2"/>
                <w14:ligatures w14:val="standardContextual"/>
              </w:rPr>
              <w:t>300</w:t>
            </w:r>
          </w:p>
        </w:tc>
      </w:tr>
      <w:tr w14:paraId="0270390F" w14:textId="77777777" w:rsidTr="00040B4F">
        <w:tblPrEx>
          <w:tblW w:w="12955" w:type="dxa"/>
          <w:tblLook w:val="04A0"/>
        </w:tblPrEx>
        <w:tc>
          <w:tcPr>
            <w:tcW w:w="3865" w:type="dxa"/>
            <w:tcBorders>
              <w:top w:val="dotted" w:sz="4" w:space="0" w:color="auto"/>
              <w:left w:val="nil"/>
              <w:bottom w:val="thickThinSmallGap" w:sz="24" w:space="0" w:color="auto"/>
              <w:right w:val="nil"/>
            </w:tcBorders>
          </w:tcPr>
          <w:p w:rsidR="00ED3A86" w:rsidRPr="00ED3A86" w:rsidP="00ED3A86" w14:paraId="480A37CB" w14:textId="77777777">
            <w:pPr>
              <w:spacing w:after="0" w:line="240" w:lineRule="auto"/>
              <w:rPr>
                <w:kern w:val="2"/>
                <w14:ligatures w14:val="standardContextual"/>
              </w:rPr>
            </w:pPr>
            <w:r w:rsidRPr="00ED3A86">
              <w:rPr>
                <w:kern w:val="2"/>
                <w14:ligatures w14:val="standardContextual"/>
              </w:rPr>
              <w:t>Partner organizations</w:t>
            </w:r>
          </w:p>
        </w:tc>
        <w:tc>
          <w:tcPr>
            <w:tcW w:w="3510" w:type="dxa"/>
            <w:tcBorders>
              <w:top w:val="dotted" w:sz="4" w:space="0" w:color="auto"/>
              <w:left w:val="nil"/>
              <w:bottom w:val="thickThinSmallGap" w:sz="24" w:space="0" w:color="auto"/>
              <w:right w:val="nil"/>
            </w:tcBorders>
          </w:tcPr>
          <w:p w:rsidR="00ED3A86" w:rsidRPr="00ED3A86" w:rsidP="00ED3A86" w14:paraId="4B0B3E90" w14:textId="77777777">
            <w:pPr>
              <w:spacing w:after="0" w:line="240" w:lineRule="auto"/>
              <w:jc w:val="center"/>
              <w:rPr>
                <w:kern w:val="2"/>
                <w14:ligatures w14:val="standardContextual"/>
              </w:rPr>
            </w:pPr>
            <w:r w:rsidRPr="00ED3A86">
              <w:rPr>
                <w:kern w:val="2"/>
                <w14:ligatures w14:val="standardContextual"/>
              </w:rPr>
              <w:t>90</w:t>
            </w:r>
          </w:p>
        </w:tc>
        <w:tc>
          <w:tcPr>
            <w:tcW w:w="3060" w:type="dxa"/>
            <w:tcBorders>
              <w:top w:val="dotted" w:sz="4" w:space="0" w:color="auto"/>
              <w:left w:val="nil"/>
              <w:bottom w:val="thickThinSmallGap" w:sz="24" w:space="0" w:color="auto"/>
              <w:right w:val="nil"/>
            </w:tcBorders>
          </w:tcPr>
          <w:p w:rsidR="00ED3A86" w:rsidRPr="00ED3A86" w:rsidP="00ED3A86" w14:paraId="096BEFA9" w14:textId="2A75331B">
            <w:pPr>
              <w:spacing w:after="0" w:line="240" w:lineRule="auto"/>
              <w:jc w:val="center"/>
              <w:rPr>
                <w:kern w:val="2"/>
                <w14:ligatures w14:val="standardContextual"/>
              </w:rPr>
            </w:pPr>
            <w:r>
              <w:rPr>
                <w:kern w:val="2"/>
                <w14:ligatures w14:val="standardContextual"/>
              </w:rPr>
              <w:t>5</w:t>
            </w:r>
          </w:p>
        </w:tc>
        <w:tc>
          <w:tcPr>
            <w:tcW w:w="2520" w:type="dxa"/>
            <w:tcBorders>
              <w:top w:val="dotted" w:sz="4" w:space="0" w:color="auto"/>
              <w:left w:val="nil"/>
              <w:bottom w:val="thickThinSmallGap" w:sz="24" w:space="0" w:color="auto"/>
              <w:right w:val="nil"/>
            </w:tcBorders>
          </w:tcPr>
          <w:p w:rsidR="00ED3A86" w:rsidRPr="00ED3A86" w:rsidP="00ED3A86" w14:paraId="0CD5D59A" w14:textId="0124AD83">
            <w:pPr>
              <w:spacing w:after="0" w:line="240" w:lineRule="auto"/>
              <w:jc w:val="center"/>
              <w:rPr>
                <w:kern w:val="2"/>
                <w14:ligatures w14:val="standardContextual"/>
              </w:rPr>
            </w:pPr>
            <w:r>
              <w:rPr>
                <w:kern w:val="2"/>
                <w14:ligatures w14:val="standardContextual"/>
              </w:rPr>
              <w:t>45</w:t>
            </w:r>
            <w:r w:rsidRPr="00ED3A86">
              <w:rPr>
                <w:kern w:val="2"/>
                <w14:ligatures w14:val="standardContextual"/>
              </w:rPr>
              <w:t>0</w:t>
            </w:r>
          </w:p>
        </w:tc>
      </w:tr>
    </w:tbl>
    <w:p w:rsidR="00ED3A86" w:rsidRPr="00ED3A86" w:rsidP="00ED3A86" w14:paraId="2649AC33" w14:textId="77777777">
      <w:pPr>
        <w:spacing w:after="0" w:line="240" w:lineRule="auto"/>
        <w:rPr>
          <w:kern w:val="2"/>
          <w:sz w:val="24"/>
          <w:szCs w:val="24"/>
          <w14:ligatures w14:val="standardContextual"/>
        </w:rPr>
        <w:sectPr w:rsidSect="00482D8B">
          <w:pgSz w:w="15840" w:h="12240" w:orient="landscape"/>
          <w:pgMar w:top="1440" w:right="1440" w:bottom="1440" w:left="1440" w:header="720" w:footer="720" w:gutter="0"/>
          <w:cols w:space="720"/>
          <w:docGrid w:linePitch="360"/>
        </w:sectPr>
      </w:pPr>
    </w:p>
    <w:p w:rsidR="00CF39F2" w:rsidRPr="00CF39F2" w:rsidP="00CF39F2" w14:paraId="38E06C8D" w14:textId="77777777">
      <w:pPr>
        <w:spacing w:line="240" w:lineRule="auto"/>
        <w:rPr>
          <w:i/>
          <w:iCs/>
          <w:color w:val="44546A" w:themeColor="text2"/>
          <w:kern w:val="2"/>
          <w:sz w:val="18"/>
          <w:szCs w:val="18"/>
          <w14:ligatures w14:val="standardContextual"/>
        </w:rPr>
      </w:pPr>
      <w:bookmarkStart w:id="11" w:name="_Ref156549856"/>
      <w:r w:rsidRPr="00CF39F2">
        <w:rPr>
          <w:i/>
          <w:iCs/>
          <w:color w:val="44546A" w:themeColor="text2"/>
          <w:kern w:val="2"/>
          <w:sz w:val="18"/>
          <w:szCs w:val="18"/>
          <w14:ligatures w14:val="standardContextual"/>
        </w:rPr>
        <w:t xml:space="preserve">Table </w:t>
      </w:r>
      <w:r w:rsidRPr="00CF39F2">
        <w:rPr>
          <w:i/>
          <w:iCs/>
          <w:color w:val="44546A" w:themeColor="text2"/>
          <w:kern w:val="2"/>
          <w:sz w:val="18"/>
          <w:szCs w:val="18"/>
          <w14:ligatures w14:val="standardContextual"/>
        </w:rPr>
        <w:fldChar w:fldCharType="begin"/>
      </w:r>
      <w:r w:rsidRPr="00CF39F2">
        <w:rPr>
          <w:i/>
          <w:iCs/>
          <w:color w:val="44546A" w:themeColor="text2"/>
          <w:kern w:val="2"/>
          <w:sz w:val="18"/>
          <w:szCs w:val="18"/>
          <w14:ligatures w14:val="standardContextual"/>
        </w:rPr>
        <w:instrText xml:space="preserve"> SEQ Table \* ARABIC </w:instrText>
      </w:r>
      <w:r w:rsidRPr="00CF39F2">
        <w:rPr>
          <w:i/>
          <w:iCs/>
          <w:color w:val="44546A" w:themeColor="text2"/>
          <w:kern w:val="2"/>
          <w:sz w:val="18"/>
          <w:szCs w:val="18"/>
          <w14:ligatures w14:val="standardContextual"/>
        </w:rPr>
        <w:fldChar w:fldCharType="separate"/>
      </w:r>
      <w:r w:rsidRPr="00CF39F2">
        <w:rPr>
          <w:i/>
          <w:iCs/>
          <w:noProof/>
          <w:color w:val="44546A" w:themeColor="text2"/>
          <w:kern w:val="2"/>
          <w:sz w:val="18"/>
          <w:szCs w:val="18"/>
          <w14:ligatures w14:val="standardContextual"/>
        </w:rPr>
        <w:t>6</w:t>
      </w:r>
      <w:r w:rsidRPr="00CF39F2">
        <w:rPr>
          <w:i/>
          <w:iCs/>
          <w:noProof/>
          <w:color w:val="44546A" w:themeColor="text2"/>
          <w:kern w:val="2"/>
          <w:sz w:val="18"/>
          <w:szCs w:val="18"/>
          <w14:ligatures w14:val="standardContextual"/>
        </w:rPr>
        <w:fldChar w:fldCharType="end"/>
      </w:r>
      <w:bookmarkEnd w:id="11"/>
      <w:r w:rsidRPr="00CF39F2">
        <w:rPr>
          <w:i/>
          <w:iCs/>
          <w:color w:val="44546A" w:themeColor="text2"/>
          <w:kern w:val="2"/>
          <w:sz w:val="18"/>
          <w:szCs w:val="18"/>
          <w14:ligatures w14:val="standardContextual"/>
        </w:rPr>
        <w:t>. Estimated composition of individuals per NSF Engine focus group. Total estimated number of individuals participating in focus groups for the NSF Engines program is 100.</w:t>
      </w:r>
    </w:p>
    <w:tbl>
      <w:tblPr>
        <w:tblStyle w:val="TableGrid"/>
        <w:tblW w:w="13050" w:type="dxa"/>
        <w:tblLayout w:type="fixed"/>
        <w:tblLook w:val="04A0"/>
      </w:tblPr>
      <w:tblGrid>
        <w:gridCol w:w="1866"/>
        <w:gridCol w:w="1515"/>
        <w:gridCol w:w="1797"/>
        <w:gridCol w:w="1032"/>
        <w:gridCol w:w="3330"/>
        <w:gridCol w:w="1890"/>
        <w:gridCol w:w="1620"/>
      </w:tblGrid>
      <w:tr w14:paraId="5ECB0119" w14:textId="77777777" w:rsidTr="00C30AFB">
        <w:tblPrEx>
          <w:tblW w:w="13050" w:type="dxa"/>
          <w:tblLayout w:type="fixed"/>
          <w:tblLook w:val="04A0"/>
        </w:tblPrEx>
        <w:trPr>
          <w:trHeight w:val="1017"/>
        </w:trPr>
        <w:tc>
          <w:tcPr>
            <w:tcW w:w="1866" w:type="dxa"/>
            <w:tcBorders>
              <w:top w:val="thinThickSmallGap" w:sz="24" w:space="0" w:color="auto"/>
              <w:left w:val="nil"/>
              <w:bottom w:val="single" w:sz="24" w:space="0" w:color="auto"/>
            </w:tcBorders>
          </w:tcPr>
          <w:p w:rsidR="00CF39F2" w:rsidRPr="00CF39F2" w:rsidP="00CF39F2" w14:paraId="14B12EE6" w14:textId="77777777">
            <w:pPr>
              <w:spacing w:after="0" w:line="240" w:lineRule="auto"/>
              <w:rPr>
                <w:rFonts w:eastAsia="Times New Roman" w:cs="Times New Roman"/>
                <w:i/>
                <w:iCs/>
                <w:kern w:val="2"/>
              </w:rPr>
            </w:pPr>
            <w:r w:rsidRPr="00CF39F2">
              <w:rPr>
                <w:rFonts w:eastAsia="Times New Roman" w:cs="Times New Roman"/>
                <w:i/>
                <w:iCs/>
                <w:kern w:val="2"/>
              </w:rPr>
              <w:t>Focus Group Session</w:t>
            </w:r>
          </w:p>
        </w:tc>
        <w:tc>
          <w:tcPr>
            <w:tcW w:w="1515" w:type="dxa"/>
            <w:tcBorders>
              <w:top w:val="thinThickSmallGap" w:sz="24" w:space="0" w:color="auto"/>
              <w:bottom w:val="single" w:sz="24" w:space="0" w:color="auto"/>
            </w:tcBorders>
          </w:tcPr>
          <w:p w:rsidR="00CF39F2" w:rsidRPr="00CF39F2" w:rsidP="00CF39F2" w14:paraId="6C60E094" w14:textId="77777777">
            <w:pPr>
              <w:spacing w:after="0" w:line="240" w:lineRule="auto"/>
              <w:jc w:val="center"/>
              <w:rPr>
                <w:rFonts w:eastAsia="Times New Roman" w:cs="Times New Roman"/>
                <w:i/>
                <w:iCs/>
                <w:kern w:val="2"/>
              </w:rPr>
            </w:pPr>
            <w:r w:rsidRPr="00CF39F2">
              <w:rPr>
                <w:rFonts w:eastAsia="Times New Roman" w:cs="Times New Roman"/>
                <w:i/>
                <w:iCs/>
                <w:kern w:val="2"/>
              </w:rPr>
              <w:t>Designated coordinators</w:t>
            </w:r>
          </w:p>
        </w:tc>
        <w:tc>
          <w:tcPr>
            <w:tcW w:w="1797" w:type="dxa"/>
            <w:tcBorders>
              <w:top w:val="thinThickSmallGap" w:sz="24" w:space="0" w:color="auto"/>
              <w:bottom w:val="single" w:sz="24" w:space="0" w:color="auto"/>
            </w:tcBorders>
          </w:tcPr>
          <w:p w:rsidR="00CF39F2" w:rsidRPr="00CF39F2" w:rsidP="00CF39F2" w14:paraId="5B94825A" w14:textId="77777777">
            <w:pPr>
              <w:spacing w:after="0" w:line="240" w:lineRule="auto"/>
              <w:jc w:val="center"/>
              <w:rPr>
                <w:rFonts w:eastAsia="Times New Roman" w:cs="Times New Roman"/>
                <w:i/>
                <w:iCs/>
                <w:kern w:val="2"/>
              </w:rPr>
            </w:pPr>
            <w:r w:rsidRPr="00CF39F2">
              <w:rPr>
                <w:rFonts w:eastAsia="Times New Roman" w:cs="Times New Roman"/>
                <w:i/>
                <w:iCs/>
                <w:kern w:val="2"/>
              </w:rPr>
              <w:t>Programmatic leads</w:t>
            </w:r>
          </w:p>
        </w:tc>
        <w:tc>
          <w:tcPr>
            <w:tcW w:w="1032" w:type="dxa"/>
            <w:tcBorders>
              <w:top w:val="thinThickSmallGap" w:sz="24" w:space="0" w:color="auto"/>
              <w:bottom w:val="single" w:sz="24" w:space="0" w:color="auto"/>
            </w:tcBorders>
          </w:tcPr>
          <w:p w:rsidR="00CF39F2" w:rsidRPr="00CF39F2" w:rsidP="00CF39F2" w14:paraId="6B59A8CF" w14:textId="77777777">
            <w:pPr>
              <w:spacing w:after="0" w:line="240" w:lineRule="auto"/>
              <w:jc w:val="center"/>
              <w:rPr>
                <w:rFonts w:eastAsia="Times New Roman" w:cs="Times New Roman"/>
                <w:i/>
                <w:iCs/>
                <w:kern w:val="2"/>
              </w:rPr>
            </w:pPr>
            <w:r w:rsidRPr="00CF39F2">
              <w:rPr>
                <w:rFonts w:eastAsia="Times New Roman" w:cs="Times New Roman"/>
                <w:i/>
                <w:iCs/>
                <w:kern w:val="2"/>
              </w:rPr>
              <w:t xml:space="preserve">Activity leads </w:t>
            </w:r>
          </w:p>
        </w:tc>
        <w:tc>
          <w:tcPr>
            <w:tcW w:w="3330" w:type="dxa"/>
            <w:tcBorders>
              <w:top w:val="thinThickSmallGap" w:sz="24" w:space="0" w:color="auto"/>
              <w:bottom w:val="single" w:sz="24" w:space="0" w:color="auto"/>
            </w:tcBorders>
          </w:tcPr>
          <w:p w:rsidR="00CF39F2" w:rsidRPr="00CF39F2" w:rsidP="00CF39F2" w14:paraId="69ADFF8A" w14:textId="77777777">
            <w:pPr>
              <w:spacing w:after="0" w:line="240" w:lineRule="auto"/>
              <w:jc w:val="center"/>
              <w:rPr>
                <w:rFonts w:eastAsia="Times New Roman" w:cs="Times New Roman"/>
                <w:i/>
                <w:iCs/>
                <w:kern w:val="2"/>
              </w:rPr>
            </w:pPr>
            <w:r w:rsidRPr="00CF39F2">
              <w:rPr>
                <w:rFonts w:eastAsia="Times New Roman" w:cs="Times New Roman"/>
                <w:i/>
                <w:iCs/>
                <w:kern w:val="2"/>
              </w:rPr>
              <w:t>Engine leadership team, governance board, and advisory committee members</w:t>
            </w:r>
          </w:p>
        </w:tc>
        <w:tc>
          <w:tcPr>
            <w:tcW w:w="1890" w:type="dxa"/>
            <w:tcBorders>
              <w:top w:val="thinThickSmallGap" w:sz="24" w:space="0" w:color="auto"/>
              <w:bottom w:val="single" w:sz="24" w:space="0" w:color="auto"/>
              <w:right w:val="nil"/>
            </w:tcBorders>
          </w:tcPr>
          <w:p w:rsidR="00CF39F2" w:rsidRPr="00CF39F2" w:rsidP="00CF39F2" w14:paraId="53313204" w14:textId="77777777">
            <w:pPr>
              <w:spacing w:after="0" w:line="240" w:lineRule="auto"/>
              <w:jc w:val="center"/>
              <w:rPr>
                <w:rFonts w:eastAsia="Times New Roman" w:cs="Times New Roman"/>
                <w:i/>
                <w:iCs/>
                <w:kern w:val="2"/>
              </w:rPr>
            </w:pPr>
            <w:r w:rsidRPr="00CF39F2">
              <w:rPr>
                <w:rFonts w:eastAsia="Times New Roman" w:cs="Times New Roman"/>
                <w:i/>
                <w:iCs/>
                <w:kern w:val="2"/>
              </w:rPr>
              <w:t>All other Engine participants and personnel</w:t>
            </w:r>
          </w:p>
        </w:tc>
        <w:tc>
          <w:tcPr>
            <w:tcW w:w="1620" w:type="dxa"/>
            <w:tcBorders>
              <w:top w:val="thinThickSmallGap" w:sz="24" w:space="0" w:color="auto"/>
              <w:bottom w:val="single" w:sz="24" w:space="0" w:color="auto"/>
            </w:tcBorders>
          </w:tcPr>
          <w:p w:rsidR="00CF39F2" w:rsidRPr="00CF39F2" w:rsidP="00CF39F2" w14:paraId="215897F9" w14:textId="77777777">
            <w:pPr>
              <w:spacing w:after="0" w:line="240" w:lineRule="auto"/>
              <w:jc w:val="center"/>
              <w:rPr>
                <w:rFonts w:eastAsia="Times New Roman" w:cs="Times New Roman"/>
                <w:i/>
                <w:iCs/>
                <w:kern w:val="2"/>
              </w:rPr>
            </w:pPr>
            <w:r w:rsidRPr="00CF39F2">
              <w:rPr>
                <w:rFonts w:eastAsia="Times New Roman" w:cs="Times New Roman"/>
                <w:i/>
                <w:iCs/>
                <w:kern w:val="2"/>
              </w:rPr>
              <w:t>Partner organizations</w:t>
            </w:r>
          </w:p>
        </w:tc>
      </w:tr>
      <w:tr w14:paraId="2E84E2B2" w14:textId="77777777" w:rsidTr="00C30AFB">
        <w:tblPrEx>
          <w:tblW w:w="13050" w:type="dxa"/>
          <w:tblLayout w:type="fixed"/>
          <w:tblLook w:val="04A0"/>
        </w:tblPrEx>
        <w:trPr>
          <w:trHeight w:val="79"/>
        </w:trPr>
        <w:tc>
          <w:tcPr>
            <w:tcW w:w="1866" w:type="dxa"/>
            <w:tcBorders>
              <w:top w:val="single" w:sz="24" w:space="0" w:color="auto"/>
              <w:left w:val="nil"/>
              <w:bottom w:val="thickThinSmallGap" w:sz="24" w:space="0" w:color="auto"/>
            </w:tcBorders>
          </w:tcPr>
          <w:p w:rsidR="00CF39F2" w:rsidRPr="00CF39F2" w:rsidP="00CF39F2" w14:paraId="2CF60D86" w14:textId="77777777">
            <w:pPr>
              <w:spacing w:after="0" w:line="240" w:lineRule="auto"/>
              <w:rPr>
                <w:rFonts w:eastAsia="Times New Roman" w:cs="Times New Roman"/>
                <w:i/>
                <w:iCs/>
                <w:kern w:val="2"/>
              </w:rPr>
            </w:pPr>
            <w:r w:rsidRPr="00CF39F2">
              <w:rPr>
                <w:rFonts w:eastAsia="Times New Roman" w:cs="Times New Roman"/>
                <w:i/>
                <w:iCs/>
                <w:kern w:val="2"/>
              </w:rPr>
              <w:t xml:space="preserve">Estimated number of individuals per NSF Engine </w:t>
            </w:r>
          </w:p>
        </w:tc>
        <w:tc>
          <w:tcPr>
            <w:tcW w:w="1515" w:type="dxa"/>
            <w:tcBorders>
              <w:top w:val="single" w:sz="24" w:space="0" w:color="auto"/>
              <w:bottom w:val="thickThinSmallGap" w:sz="24" w:space="0" w:color="auto"/>
            </w:tcBorders>
          </w:tcPr>
          <w:p w:rsidR="00CF39F2" w:rsidRPr="00CF39F2" w:rsidP="00CF39F2" w14:paraId="7671A7AA" w14:textId="77777777">
            <w:pPr>
              <w:spacing w:after="0" w:line="240" w:lineRule="auto"/>
              <w:jc w:val="center"/>
              <w:rPr>
                <w:rFonts w:eastAsia="Times New Roman" w:cs="Times New Roman"/>
                <w:kern w:val="2"/>
              </w:rPr>
            </w:pPr>
            <w:r w:rsidRPr="00CF39F2">
              <w:rPr>
                <w:rFonts w:eastAsia="Times New Roman" w:cs="Times New Roman"/>
                <w:kern w:val="2"/>
              </w:rPr>
              <w:t>1</w:t>
            </w:r>
          </w:p>
        </w:tc>
        <w:tc>
          <w:tcPr>
            <w:tcW w:w="1797" w:type="dxa"/>
            <w:tcBorders>
              <w:top w:val="single" w:sz="24" w:space="0" w:color="auto"/>
              <w:bottom w:val="thickThinSmallGap" w:sz="24" w:space="0" w:color="auto"/>
            </w:tcBorders>
          </w:tcPr>
          <w:p w:rsidR="00CF39F2" w:rsidRPr="00CF39F2" w:rsidP="00CF39F2" w14:paraId="013A2ABC" w14:textId="77777777">
            <w:pPr>
              <w:spacing w:after="0" w:line="240" w:lineRule="auto"/>
              <w:jc w:val="center"/>
              <w:rPr>
                <w:rFonts w:eastAsia="Times New Roman" w:cs="Times New Roman"/>
                <w:kern w:val="2"/>
              </w:rPr>
            </w:pPr>
            <w:r w:rsidRPr="00CF39F2">
              <w:rPr>
                <w:rFonts w:eastAsia="Times New Roman" w:cs="Times New Roman"/>
                <w:kern w:val="2"/>
              </w:rPr>
              <w:t>1</w:t>
            </w:r>
          </w:p>
        </w:tc>
        <w:tc>
          <w:tcPr>
            <w:tcW w:w="1032" w:type="dxa"/>
            <w:tcBorders>
              <w:top w:val="single" w:sz="24" w:space="0" w:color="auto"/>
              <w:bottom w:val="thickThinSmallGap" w:sz="24" w:space="0" w:color="auto"/>
            </w:tcBorders>
          </w:tcPr>
          <w:p w:rsidR="00CF39F2" w:rsidRPr="00CF39F2" w:rsidP="00CF39F2" w14:paraId="2F861915" w14:textId="77777777">
            <w:pPr>
              <w:spacing w:after="0" w:line="240" w:lineRule="auto"/>
              <w:jc w:val="center"/>
              <w:rPr>
                <w:rFonts w:eastAsia="Times New Roman" w:cs="Times New Roman"/>
                <w:kern w:val="2"/>
              </w:rPr>
            </w:pPr>
            <w:r w:rsidRPr="00CF39F2">
              <w:rPr>
                <w:rFonts w:eastAsia="Times New Roman" w:cs="Times New Roman"/>
                <w:kern w:val="2"/>
              </w:rPr>
              <w:t>1</w:t>
            </w:r>
          </w:p>
        </w:tc>
        <w:tc>
          <w:tcPr>
            <w:tcW w:w="3330" w:type="dxa"/>
            <w:tcBorders>
              <w:top w:val="single" w:sz="24" w:space="0" w:color="auto"/>
              <w:bottom w:val="thickThinSmallGap" w:sz="24" w:space="0" w:color="auto"/>
            </w:tcBorders>
          </w:tcPr>
          <w:p w:rsidR="00CF39F2" w:rsidRPr="00CF39F2" w:rsidP="00CF39F2" w14:paraId="467D099B" w14:textId="77777777">
            <w:pPr>
              <w:spacing w:after="0" w:line="240" w:lineRule="auto"/>
              <w:jc w:val="center"/>
              <w:rPr>
                <w:rFonts w:eastAsia="Times New Roman" w:cs="Times New Roman"/>
                <w:kern w:val="2"/>
              </w:rPr>
            </w:pPr>
            <w:r w:rsidRPr="00CF39F2">
              <w:rPr>
                <w:rFonts w:eastAsia="Times New Roman" w:cs="Times New Roman"/>
                <w:kern w:val="2"/>
              </w:rPr>
              <w:t>2</w:t>
            </w:r>
          </w:p>
        </w:tc>
        <w:tc>
          <w:tcPr>
            <w:tcW w:w="1890" w:type="dxa"/>
            <w:tcBorders>
              <w:top w:val="single" w:sz="24" w:space="0" w:color="auto"/>
              <w:bottom w:val="thickThinSmallGap" w:sz="24" w:space="0" w:color="auto"/>
              <w:right w:val="nil"/>
            </w:tcBorders>
          </w:tcPr>
          <w:p w:rsidR="00CF39F2" w:rsidRPr="00CF39F2" w:rsidP="00CF39F2" w14:paraId="45E64F85" w14:textId="77777777">
            <w:pPr>
              <w:spacing w:after="0" w:line="240" w:lineRule="auto"/>
              <w:jc w:val="center"/>
              <w:rPr>
                <w:rFonts w:eastAsia="Times New Roman" w:cs="Times New Roman"/>
                <w:kern w:val="2"/>
              </w:rPr>
            </w:pPr>
            <w:r w:rsidRPr="00CF39F2">
              <w:rPr>
                <w:rFonts w:eastAsia="Times New Roman" w:cs="Times New Roman"/>
                <w:kern w:val="2"/>
              </w:rPr>
              <w:t>2</w:t>
            </w:r>
          </w:p>
        </w:tc>
        <w:tc>
          <w:tcPr>
            <w:tcW w:w="1620" w:type="dxa"/>
            <w:tcBorders>
              <w:top w:val="single" w:sz="24" w:space="0" w:color="auto"/>
              <w:bottom w:val="thickThinSmallGap" w:sz="24" w:space="0" w:color="auto"/>
            </w:tcBorders>
          </w:tcPr>
          <w:p w:rsidR="00CF39F2" w:rsidRPr="00CF39F2" w:rsidP="00CF39F2" w14:paraId="2F857922" w14:textId="77777777">
            <w:pPr>
              <w:spacing w:after="0" w:line="240" w:lineRule="auto"/>
              <w:jc w:val="center"/>
              <w:rPr>
                <w:rFonts w:eastAsia="Times New Roman" w:cs="Times New Roman"/>
                <w:kern w:val="2"/>
              </w:rPr>
            </w:pPr>
            <w:r w:rsidRPr="00CF39F2">
              <w:rPr>
                <w:rFonts w:eastAsia="Times New Roman" w:cs="Times New Roman"/>
                <w:kern w:val="2"/>
              </w:rPr>
              <w:t>2</w:t>
            </w:r>
          </w:p>
        </w:tc>
      </w:tr>
    </w:tbl>
    <w:p w:rsidR="00CF39F2" w:rsidRPr="00CF39F2" w:rsidP="00CF39F2" w14:paraId="3AF99C3C" w14:textId="77777777">
      <w:pPr>
        <w:spacing w:after="0" w:line="240" w:lineRule="auto"/>
        <w:rPr>
          <w:rFonts w:cstheme="minorHAnsi"/>
          <w:kern w:val="2"/>
          <w:sz w:val="20"/>
          <w:szCs w:val="20"/>
          <w14:ligatures w14:val="standardContextual"/>
        </w:rPr>
      </w:pPr>
    </w:p>
    <w:p w:rsidR="00CF39F2" w:rsidRPr="00CF39F2" w:rsidP="00CF39F2" w14:paraId="14EB6DE9" w14:textId="77777777">
      <w:pPr>
        <w:spacing w:line="240" w:lineRule="auto"/>
        <w:rPr>
          <w:rFonts w:cstheme="minorHAnsi"/>
          <w:i/>
          <w:iCs/>
          <w:color w:val="44546A" w:themeColor="text2"/>
          <w:kern w:val="2"/>
          <w:sz w:val="20"/>
          <w:szCs w:val="20"/>
          <w14:ligatures w14:val="standardContextual"/>
        </w:rPr>
      </w:pPr>
      <w:bookmarkStart w:id="12" w:name="_Ref156550454"/>
      <w:r w:rsidRPr="00CF39F2">
        <w:rPr>
          <w:i/>
          <w:iCs/>
          <w:color w:val="44546A" w:themeColor="text2"/>
          <w:kern w:val="2"/>
          <w:sz w:val="18"/>
          <w:szCs w:val="18"/>
          <w14:ligatures w14:val="standardContextual"/>
        </w:rPr>
        <w:t xml:space="preserve">Table </w:t>
      </w:r>
      <w:r w:rsidRPr="00CF39F2">
        <w:rPr>
          <w:i/>
          <w:iCs/>
          <w:color w:val="44546A" w:themeColor="text2"/>
          <w:kern w:val="2"/>
          <w:sz w:val="18"/>
          <w:szCs w:val="18"/>
          <w14:ligatures w14:val="standardContextual"/>
        </w:rPr>
        <w:fldChar w:fldCharType="begin"/>
      </w:r>
      <w:r w:rsidRPr="00CF39F2">
        <w:rPr>
          <w:i/>
          <w:iCs/>
          <w:color w:val="44546A" w:themeColor="text2"/>
          <w:kern w:val="2"/>
          <w:sz w:val="18"/>
          <w:szCs w:val="18"/>
          <w14:ligatures w14:val="standardContextual"/>
        </w:rPr>
        <w:instrText xml:space="preserve"> SEQ Table \* ARABIC </w:instrText>
      </w:r>
      <w:r w:rsidRPr="00CF39F2">
        <w:rPr>
          <w:i/>
          <w:iCs/>
          <w:color w:val="44546A" w:themeColor="text2"/>
          <w:kern w:val="2"/>
          <w:sz w:val="18"/>
          <w:szCs w:val="18"/>
          <w14:ligatures w14:val="standardContextual"/>
        </w:rPr>
        <w:fldChar w:fldCharType="separate"/>
      </w:r>
      <w:r w:rsidRPr="00CF39F2">
        <w:rPr>
          <w:i/>
          <w:iCs/>
          <w:noProof/>
          <w:color w:val="44546A" w:themeColor="text2"/>
          <w:kern w:val="2"/>
          <w:sz w:val="18"/>
          <w:szCs w:val="18"/>
          <w14:ligatures w14:val="standardContextual"/>
        </w:rPr>
        <w:t>7</w:t>
      </w:r>
      <w:r w:rsidRPr="00CF39F2">
        <w:rPr>
          <w:i/>
          <w:iCs/>
          <w:noProof/>
          <w:color w:val="44546A" w:themeColor="text2"/>
          <w:kern w:val="2"/>
          <w:sz w:val="18"/>
          <w:szCs w:val="18"/>
          <w14:ligatures w14:val="standardContextual"/>
        </w:rPr>
        <w:fldChar w:fldCharType="end"/>
      </w:r>
      <w:bookmarkEnd w:id="12"/>
      <w:r w:rsidRPr="00CF39F2">
        <w:rPr>
          <w:i/>
          <w:iCs/>
          <w:color w:val="44546A" w:themeColor="text2"/>
          <w:kern w:val="2"/>
          <w:sz w:val="18"/>
          <w:szCs w:val="18"/>
          <w14:ligatures w14:val="standardContextual"/>
        </w:rPr>
        <w:t>. Summary of estimated annual burden per NSF Engine focus group is 1,200 minutes (20 hours). Total estimated annual burden for the NSF Engines program is 12,000 minutes (200 hours).</w:t>
      </w:r>
    </w:p>
    <w:tbl>
      <w:tblPr>
        <w:tblStyle w:val="TableGrid3"/>
        <w:tblW w:w="6723" w:type="dxa"/>
        <w:jc w:val="center"/>
        <w:tblLook w:val="04A0"/>
      </w:tblPr>
      <w:tblGrid>
        <w:gridCol w:w="2596"/>
        <w:gridCol w:w="2263"/>
        <w:gridCol w:w="1864"/>
      </w:tblGrid>
      <w:tr w14:paraId="023D62C4" w14:textId="77777777" w:rsidTr="00040B4F">
        <w:tblPrEx>
          <w:tblW w:w="6723" w:type="dxa"/>
          <w:jc w:val="center"/>
          <w:tblLook w:val="04A0"/>
        </w:tblPrEx>
        <w:trPr>
          <w:trHeight w:val="639"/>
          <w:jc w:val="center"/>
        </w:trPr>
        <w:tc>
          <w:tcPr>
            <w:tcW w:w="2596" w:type="dxa"/>
            <w:tcBorders>
              <w:top w:val="thinThickSmallGap" w:sz="24" w:space="0" w:color="auto"/>
              <w:left w:val="nil"/>
              <w:bottom w:val="single" w:sz="24" w:space="0" w:color="auto"/>
              <w:right w:val="nil"/>
            </w:tcBorders>
          </w:tcPr>
          <w:p w:rsidR="00CF39F2" w:rsidRPr="00CF39F2" w:rsidP="00CF39F2" w14:paraId="26E43B65" w14:textId="77777777">
            <w:pPr>
              <w:spacing w:after="0" w:line="240" w:lineRule="auto"/>
              <w:jc w:val="center"/>
              <w:rPr>
                <w:rFonts w:eastAsia="Times New Roman"/>
                <w:i/>
                <w:iCs/>
                <w:kern w:val="2"/>
              </w:rPr>
            </w:pPr>
            <w:r w:rsidRPr="00CF39F2">
              <w:rPr>
                <w:rFonts w:eastAsia="Times New Roman"/>
                <w:i/>
                <w:iCs/>
                <w:kern w:val="2"/>
              </w:rPr>
              <w:t>Total number of focus group participants per NSF Engine</w:t>
            </w:r>
          </w:p>
        </w:tc>
        <w:tc>
          <w:tcPr>
            <w:tcW w:w="2263" w:type="dxa"/>
            <w:tcBorders>
              <w:top w:val="thinThickSmallGap" w:sz="24" w:space="0" w:color="auto"/>
              <w:left w:val="nil"/>
              <w:bottom w:val="single" w:sz="24" w:space="0" w:color="auto"/>
              <w:right w:val="nil"/>
            </w:tcBorders>
          </w:tcPr>
          <w:p w:rsidR="00CF39F2" w:rsidRPr="00CF39F2" w:rsidP="00CF39F2" w14:paraId="1CC74A91" w14:textId="77777777">
            <w:pPr>
              <w:spacing w:after="0" w:line="240" w:lineRule="auto"/>
              <w:jc w:val="center"/>
              <w:rPr>
                <w:rFonts w:eastAsia="Times New Roman"/>
                <w:i/>
                <w:iCs/>
                <w:kern w:val="2"/>
              </w:rPr>
            </w:pPr>
            <w:r w:rsidRPr="00CF39F2">
              <w:rPr>
                <w:rFonts w:eastAsia="Times New Roman"/>
                <w:i/>
                <w:iCs/>
                <w:kern w:val="2"/>
              </w:rPr>
              <w:t>Estimated burden (min per focus group)</w:t>
            </w:r>
          </w:p>
        </w:tc>
        <w:tc>
          <w:tcPr>
            <w:tcW w:w="1864" w:type="dxa"/>
            <w:tcBorders>
              <w:top w:val="thinThickSmallGap" w:sz="24" w:space="0" w:color="auto"/>
              <w:left w:val="nil"/>
              <w:bottom w:val="single" w:sz="24" w:space="0" w:color="auto"/>
              <w:right w:val="nil"/>
            </w:tcBorders>
          </w:tcPr>
          <w:p w:rsidR="00CF39F2" w:rsidRPr="00CF39F2" w:rsidP="00CF39F2" w14:paraId="24844AFC" w14:textId="77777777">
            <w:pPr>
              <w:spacing w:after="0" w:line="240" w:lineRule="auto"/>
              <w:jc w:val="center"/>
              <w:rPr>
                <w:rFonts w:eastAsia="Times New Roman"/>
                <w:i/>
                <w:iCs/>
                <w:kern w:val="2"/>
              </w:rPr>
            </w:pPr>
            <w:r w:rsidRPr="00CF39F2">
              <w:rPr>
                <w:rFonts w:eastAsia="Times New Roman"/>
                <w:i/>
                <w:iCs/>
                <w:kern w:val="2"/>
              </w:rPr>
              <w:t>Total estimated burden (min)</w:t>
            </w:r>
          </w:p>
        </w:tc>
      </w:tr>
      <w:tr w14:paraId="381AE0ED" w14:textId="77777777" w:rsidTr="00040B4F">
        <w:tblPrEx>
          <w:tblW w:w="6723" w:type="dxa"/>
          <w:jc w:val="center"/>
          <w:tblLook w:val="04A0"/>
        </w:tblPrEx>
        <w:trPr>
          <w:trHeight w:val="628"/>
          <w:jc w:val="center"/>
        </w:trPr>
        <w:tc>
          <w:tcPr>
            <w:tcW w:w="2596" w:type="dxa"/>
            <w:tcBorders>
              <w:top w:val="single" w:sz="24" w:space="0" w:color="auto"/>
              <w:left w:val="nil"/>
              <w:bottom w:val="thickThinSmallGap" w:sz="24" w:space="0" w:color="auto"/>
              <w:right w:val="nil"/>
            </w:tcBorders>
          </w:tcPr>
          <w:p w:rsidR="00CF39F2" w:rsidRPr="00CF39F2" w:rsidP="00CF39F2" w14:paraId="0802BC0B" w14:textId="77777777">
            <w:pPr>
              <w:spacing w:after="0" w:line="240" w:lineRule="auto"/>
              <w:jc w:val="center"/>
              <w:rPr>
                <w:rFonts w:eastAsia="Times New Roman"/>
                <w:kern w:val="2"/>
              </w:rPr>
            </w:pPr>
            <w:r w:rsidRPr="00CF39F2">
              <w:rPr>
                <w:rFonts w:eastAsia="Times New Roman"/>
                <w:kern w:val="2"/>
              </w:rPr>
              <w:t>10</w:t>
            </w:r>
          </w:p>
        </w:tc>
        <w:tc>
          <w:tcPr>
            <w:tcW w:w="2263" w:type="dxa"/>
            <w:tcBorders>
              <w:top w:val="single" w:sz="24" w:space="0" w:color="auto"/>
              <w:left w:val="nil"/>
              <w:bottom w:val="thickThinSmallGap" w:sz="24" w:space="0" w:color="auto"/>
              <w:right w:val="nil"/>
            </w:tcBorders>
          </w:tcPr>
          <w:p w:rsidR="00CF39F2" w:rsidRPr="00CF39F2" w:rsidP="00CF39F2" w14:paraId="6BF4A65F" w14:textId="77777777">
            <w:pPr>
              <w:spacing w:after="0" w:line="240" w:lineRule="auto"/>
              <w:jc w:val="center"/>
              <w:rPr>
                <w:rFonts w:eastAsia="Times New Roman"/>
                <w:kern w:val="2"/>
              </w:rPr>
            </w:pPr>
            <w:r w:rsidRPr="00CF39F2">
              <w:rPr>
                <w:rFonts w:eastAsia="Times New Roman"/>
                <w:kern w:val="2"/>
              </w:rPr>
              <w:t>120</w:t>
            </w:r>
          </w:p>
        </w:tc>
        <w:tc>
          <w:tcPr>
            <w:tcW w:w="1864" w:type="dxa"/>
            <w:tcBorders>
              <w:top w:val="single" w:sz="24" w:space="0" w:color="auto"/>
              <w:left w:val="nil"/>
              <w:bottom w:val="thickThinSmallGap" w:sz="24" w:space="0" w:color="auto"/>
              <w:right w:val="nil"/>
            </w:tcBorders>
          </w:tcPr>
          <w:p w:rsidR="00CF39F2" w:rsidRPr="00CF39F2" w:rsidP="00CF39F2" w14:paraId="239F7A13" w14:textId="77777777">
            <w:pPr>
              <w:spacing w:after="0" w:line="240" w:lineRule="auto"/>
              <w:jc w:val="center"/>
              <w:rPr>
                <w:rFonts w:eastAsia="Times New Roman"/>
                <w:kern w:val="2"/>
              </w:rPr>
            </w:pPr>
            <w:r w:rsidRPr="00CF39F2">
              <w:rPr>
                <w:rFonts w:eastAsia="Times New Roman"/>
                <w:kern w:val="2"/>
              </w:rPr>
              <w:t>1,200</w:t>
            </w:r>
          </w:p>
        </w:tc>
      </w:tr>
    </w:tbl>
    <w:p w:rsidR="00CF39F2" w:rsidRPr="00CF39F2" w:rsidP="00CF39F2" w14:paraId="7A33BC83" w14:textId="77777777">
      <w:pPr>
        <w:spacing w:after="0" w:line="240" w:lineRule="auto"/>
        <w:rPr>
          <w:kern w:val="2"/>
          <w:sz w:val="24"/>
          <w:szCs w:val="24"/>
          <w14:ligatures w14:val="standardContextual"/>
        </w:rPr>
        <w:sectPr w:rsidSect="00482D8B">
          <w:pgSz w:w="15840" w:h="12240" w:orient="landscape"/>
          <w:pgMar w:top="1440" w:right="1440" w:bottom="1440" w:left="1440" w:header="720" w:footer="720" w:gutter="0"/>
          <w:cols w:space="720"/>
          <w:docGrid w:linePitch="360"/>
        </w:sectPr>
      </w:pPr>
    </w:p>
    <w:p w:rsidR="00C82B93" w:rsidRPr="00C82B93" w:rsidP="00C82B93" w14:paraId="7FDA544C" w14:textId="5B9B14AD">
      <w:pPr>
        <w:tabs>
          <w:tab w:val="left" w:pos="8629"/>
        </w:tabs>
        <w:sectPr w:rsidSect="00482D8B">
          <w:pgSz w:w="12240" w:h="15840"/>
          <w:pgMar w:top="1440" w:right="1440" w:bottom="1440" w:left="1440" w:header="720" w:footer="720" w:gutter="0"/>
          <w:cols w:space="720"/>
          <w:docGrid w:linePitch="360"/>
        </w:sectPr>
      </w:pPr>
    </w:p>
    <w:p w:rsidR="00910585" w:rsidRPr="000E230B" w:rsidP="002C17B7" w14:paraId="15418443" w14:textId="5A8DB33E">
      <w:pPr>
        <w:spacing w:line="264" w:lineRule="auto"/>
        <w:rPr>
          <w:rFonts w:ascii="Arial" w:hAnsi="Arial" w:cs="Arial"/>
          <w:b/>
          <w:bCs/>
          <w:color w:val="1F3864" w:themeColor="accent1" w:themeShade="80"/>
          <w:sz w:val="24"/>
          <w:szCs w:val="24"/>
        </w:rPr>
      </w:pPr>
    </w:p>
    <w:sectPr w:rsidSect="00482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D7B" w14:paraId="0A0C88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D7B" w:rsidP="00435D7B" w14:paraId="2937A571" w14:textId="1311B9A5">
    <w:pPr>
      <w:pStyle w:val="Footer"/>
    </w:pPr>
    <w:bookmarkStart w:id="6" w:name="TITUS1FooterPrimary"/>
    <w:r w:rsidRPr="00435D7B">
      <w:rPr>
        <w:color w:val="000000"/>
        <w:sz w:val="17"/>
      </w:rPr>
      <w:t>  </w:t>
    </w:r>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D7B" w14:paraId="161F9E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2D8B" w:rsidP="00435D7B" w14:paraId="60BDC784" w14:textId="77777777">
      <w:pPr>
        <w:spacing w:after="0" w:line="240" w:lineRule="auto"/>
      </w:pPr>
      <w:r>
        <w:separator/>
      </w:r>
    </w:p>
  </w:footnote>
  <w:footnote w:type="continuationSeparator" w:id="1">
    <w:p w:rsidR="00482D8B" w:rsidP="00435D7B" w14:paraId="57FD57BC" w14:textId="77777777">
      <w:pPr>
        <w:spacing w:after="0" w:line="240" w:lineRule="auto"/>
      </w:pPr>
      <w:r>
        <w:continuationSeparator/>
      </w:r>
    </w:p>
  </w:footnote>
  <w:footnote w:type="continuationNotice" w:id="2">
    <w:p w:rsidR="00482D8B" w14:paraId="1B6B6613" w14:textId="77777777">
      <w:pPr>
        <w:spacing w:after="0" w:line="240" w:lineRule="auto"/>
      </w:pPr>
    </w:p>
  </w:footnote>
  <w:footnote w:id="3">
    <w:p w:rsidR="0098541E" w:rsidRPr="001E6738" w:rsidP="0098541E" w14:paraId="1F876979" w14:textId="720CF03A">
      <w:pPr>
        <w:pStyle w:val="FootnoteText"/>
        <w:rPr>
          <w:rFonts w:ascii="Arial" w:hAnsi="Arial" w:cs="Arial"/>
          <w:sz w:val="18"/>
          <w:szCs w:val="18"/>
        </w:rPr>
      </w:pPr>
      <w:r w:rsidRPr="001E6738">
        <w:rPr>
          <w:rStyle w:val="FootnoteReference"/>
          <w:rFonts w:ascii="Arial" w:hAnsi="Arial" w:cs="Arial"/>
          <w:sz w:val="18"/>
          <w:szCs w:val="18"/>
        </w:rPr>
        <w:footnoteRef/>
      </w:r>
      <w:r w:rsidRPr="001E6738">
        <w:rPr>
          <w:rFonts w:ascii="Arial" w:hAnsi="Arial" w:cs="Arial"/>
          <w:sz w:val="18"/>
          <w:szCs w:val="18"/>
        </w:rPr>
        <w:t xml:space="preserve"> </w:t>
      </w:r>
      <w:r w:rsidRPr="001E6738" w:rsidR="001E6738">
        <w:rPr>
          <w:rFonts w:ascii="Arial" w:hAnsi="Arial" w:cs="Arial"/>
          <w:sz w:val="18"/>
          <w:szCs w:val="18"/>
        </w:rPr>
        <w:t>Survey item</w:t>
      </w:r>
      <w:r w:rsidRPr="001E6738">
        <w:rPr>
          <w:rFonts w:ascii="Arial" w:hAnsi="Arial" w:cs="Arial"/>
          <w:sz w:val="18"/>
          <w:szCs w:val="18"/>
        </w:rPr>
        <w:t xml:space="preserve"> 41 in the </w:t>
      </w:r>
      <w:r w:rsidRPr="001E6738">
        <w:rPr>
          <w:rFonts w:ascii="Arial" w:hAnsi="Arial" w:cs="Arial"/>
          <w:i/>
          <w:iCs/>
          <w:sz w:val="18"/>
          <w:szCs w:val="18"/>
        </w:rPr>
        <w:t>programmatic activities survey</w:t>
      </w:r>
      <w:r w:rsidRPr="001E6738">
        <w:rPr>
          <w:rFonts w:ascii="Arial" w:hAnsi="Arial" w:cs="Arial"/>
          <w:sz w:val="18"/>
          <w:szCs w:val="18"/>
        </w:rPr>
        <w:t xml:space="preserve"> asks specifically about the status of the activity. </w:t>
      </w:r>
      <w:r w:rsidRPr="001E6738" w:rsidR="001E6738">
        <w:rPr>
          <w:rFonts w:ascii="Arial" w:hAnsi="Arial" w:cs="Arial"/>
          <w:sz w:val="18"/>
          <w:szCs w:val="18"/>
        </w:rPr>
        <w:t xml:space="preserve"> </w:t>
      </w:r>
      <w:r w:rsidRPr="001E6738">
        <w:rPr>
          <w:rFonts w:ascii="Arial" w:hAnsi="Arial" w:cs="Arial"/>
          <w:sz w:val="18"/>
          <w:szCs w:val="18"/>
        </w:rPr>
        <w:t xml:space="preserve">Answer options are </w:t>
      </w:r>
      <w:r w:rsidRPr="001E6738">
        <w:rPr>
          <w:rFonts w:ascii="Arial" w:hAnsi="Arial" w:cs="Arial"/>
          <w:i/>
          <w:iCs/>
          <w:sz w:val="18"/>
          <w:szCs w:val="18"/>
        </w:rPr>
        <w:t xml:space="preserve">active, on hold, cancelled, </w:t>
      </w:r>
      <w:r w:rsidRPr="001E6738">
        <w:rPr>
          <w:rFonts w:ascii="Arial" w:hAnsi="Arial" w:cs="Arial"/>
          <w:sz w:val="18"/>
          <w:szCs w:val="18"/>
        </w:rPr>
        <w:t xml:space="preserve">or </w:t>
      </w:r>
      <w:r w:rsidRPr="001E6738">
        <w:rPr>
          <w:rFonts w:ascii="Arial" w:hAnsi="Arial" w:cs="Arial"/>
          <w:i/>
          <w:iCs/>
          <w:sz w:val="18"/>
          <w:szCs w:val="18"/>
        </w:rPr>
        <w:t>completed</w:t>
      </w:r>
      <w:r w:rsidRPr="001E6738">
        <w:rPr>
          <w:rFonts w:ascii="Arial" w:hAnsi="Arial" w:cs="Arial"/>
          <w:sz w:val="18"/>
          <w:szCs w:val="18"/>
        </w:rPr>
        <w:t>.</w:t>
      </w:r>
    </w:p>
  </w:footnote>
  <w:footnote w:id="4">
    <w:p w:rsidR="00884628" w:rsidP="00B02FBC" w14:paraId="11D6D813" w14:textId="77777777">
      <w:pPr>
        <w:spacing w:after="60" w:line="240" w:lineRule="auto"/>
        <w:ind w:firstLine="720"/>
        <w:rPr>
          <w:rFonts w:ascii="Arial" w:hAnsi="Arial" w:cs="Arial"/>
          <w:sz w:val="16"/>
          <w:szCs w:val="16"/>
        </w:rPr>
      </w:pPr>
      <w:r>
        <w:rPr>
          <w:rStyle w:val="FootnoteReference"/>
        </w:rPr>
        <w:footnoteRef/>
      </w:r>
      <w:r>
        <w:t xml:space="preserve"> </w:t>
      </w:r>
      <w:r w:rsidRPr="0034469D">
        <w:rPr>
          <w:rFonts w:ascii="Arial" w:hAnsi="Arial" w:cs="Arial"/>
          <w:sz w:val="16"/>
          <w:szCs w:val="16"/>
        </w:rPr>
        <w:t xml:space="preserve">Given that the number of activities conducted will differ across Engine awardees, we estimated the total annual burden for (a) a low number and (b) a high number of activities conducted per Engine awardee. </w:t>
      </w:r>
    </w:p>
    <w:p w:rsidR="00884628" w:rsidRPr="002F61C7" w:rsidP="00884628" w14:paraId="7A2C1E26" w14:textId="60DB2C8B">
      <w:pPr>
        <w:spacing w:after="60" w:line="240" w:lineRule="auto"/>
        <w:ind w:firstLine="720"/>
      </w:pPr>
      <w:r w:rsidRPr="0034469D">
        <w:rPr>
          <w:rFonts w:ascii="Arial" w:hAnsi="Arial" w:cs="Arial"/>
          <w:sz w:val="16"/>
          <w:szCs w:val="16"/>
        </w:rPr>
        <w:t xml:space="preserve">To estimate the total annual burden for low Engine output, we assumed each Engine awardee would conduct six research and development (R&amp;D) and translation activities; two workforce development activities; 10 ecosystem building activities; have two additional sources of funding to report each year; and have one partner organization associated with each programmatic activity. For individuals, we assumed that there would be five participants per R&amp;D and translation activity, and 10 participants per workforce development activity. Lastly, we assumed the leadership team, governance board, advisory committee, and programmatic leads of an Engine would consist of 20 individuals; and all other Engine participant and personnel who do not fall into any of the previous categories would consist of 20 individuals. Based on these estimated values, we calculated the total annual burden per Engine to be approximately </w:t>
      </w:r>
      <w:r w:rsidR="00FB084F">
        <w:rPr>
          <w:rFonts w:ascii="Arial" w:hAnsi="Arial" w:cs="Arial"/>
          <w:sz w:val="16"/>
          <w:szCs w:val="16"/>
        </w:rPr>
        <w:t>40</w:t>
      </w:r>
      <w:r w:rsidRPr="0034469D">
        <w:rPr>
          <w:rFonts w:ascii="Arial" w:hAnsi="Arial" w:cs="Arial"/>
          <w:sz w:val="16"/>
          <w:szCs w:val="16"/>
        </w:rPr>
        <w:t xml:space="preserve"> hours. The total annual burden for the NSF Engines program would be approximately </w:t>
      </w:r>
      <w:r w:rsidR="00FB084F">
        <w:rPr>
          <w:rFonts w:ascii="Arial" w:hAnsi="Arial" w:cs="Arial"/>
          <w:sz w:val="16"/>
          <w:szCs w:val="16"/>
        </w:rPr>
        <w:t>40</w:t>
      </w:r>
      <w:r w:rsidR="00573527">
        <w:rPr>
          <w:rFonts w:ascii="Arial" w:hAnsi="Arial" w:cs="Arial"/>
          <w:sz w:val="16"/>
          <w:szCs w:val="16"/>
        </w:rPr>
        <w:t>0</w:t>
      </w:r>
      <w:r w:rsidRPr="0034469D">
        <w:rPr>
          <w:rFonts w:ascii="Arial" w:hAnsi="Arial" w:cs="Arial"/>
          <w:sz w:val="16"/>
          <w:szCs w:val="16"/>
        </w:rPr>
        <w:t xml:space="preserve"> hours.</w:t>
      </w:r>
    </w:p>
    <w:p w:rsidR="00884628" w:rsidP="00884628" w14:paraId="098DA26D" w14:textId="73661C61">
      <w:pPr>
        <w:spacing w:after="60" w:line="240" w:lineRule="auto"/>
        <w:ind w:firstLine="720"/>
      </w:pPr>
      <w:r w:rsidRPr="003E441B">
        <w:rPr>
          <w:rFonts w:ascii="Arial" w:hAnsi="Arial" w:cs="Arial"/>
          <w:sz w:val="16"/>
          <w:szCs w:val="16"/>
        </w:rPr>
        <w:t xml:space="preserve">To estimate the total annual burden for high Engine output, we assumed each Engine awardee would conduct 10 activities each under research and development (R&amp;D); translation; and workforce development; 15 activities under ecosystem building; have eight additional sources of funding to report each year; and have five partner organizations associated with each programmatic activity. For individuals, we assumed that there would be eight participants per R&amp;D and translation activity, and 20 participants per workforce development activity. Lastly, we assumed the leadership team, governance board, advisory committee, and programmatic leads of an Engine would consist of 40 individuals; and all other Engine participant and personnel who do not fall into any of the previous categories would consist of 30 individuals. Based on these estimated values, we calculated the total annual burden per Engine to </w:t>
      </w:r>
      <w:r w:rsidR="00573527">
        <w:rPr>
          <w:rFonts w:ascii="Arial" w:hAnsi="Arial" w:cs="Arial"/>
          <w:sz w:val="16"/>
          <w:szCs w:val="16"/>
        </w:rPr>
        <w:t>100 hours</w:t>
      </w:r>
      <w:r w:rsidRPr="003E441B">
        <w:rPr>
          <w:rFonts w:ascii="Arial" w:hAnsi="Arial" w:cs="Arial"/>
          <w:sz w:val="16"/>
          <w:szCs w:val="16"/>
        </w:rPr>
        <w:t>). The total annual burden for the NSF Engines program would be approximately</w:t>
      </w:r>
      <w:r w:rsidR="00573527">
        <w:rPr>
          <w:rFonts w:ascii="Arial" w:hAnsi="Arial" w:cs="Arial"/>
          <w:sz w:val="16"/>
          <w:szCs w:val="16"/>
        </w:rPr>
        <w:t xml:space="preserve"> 1000</w:t>
      </w:r>
      <w:r w:rsidRPr="003E441B">
        <w:rPr>
          <w:rFonts w:ascii="Arial" w:hAnsi="Arial" w:cs="Arial"/>
          <w:sz w:val="16"/>
          <w:szCs w:val="16"/>
        </w:rPr>
        <w:t xml:space="preserve"> hours.</w:t>
      </w:r>
    </w:p>
    <w:p w:rsidR="00884628" w:rsidP="00884628" w14:paraId="199CE493" w14:textId="77777777">
      <w:pPr>
        <w:pStyle w:val="FootnoteText"/>
      </w:pPr>
    </w:p>
  </w:footnote>
  <w:footnote w:id="5">
    <w:p w:rsidR="00944B3A" w14:paraId="66451586" w14:textId="77777777">
      <w:pPr>
        <w:pStyle w:val="FootnoteText"/>
      </w:pPr>
      <w:r>
        <w:rPr>
          <w:rStyle w:val="FootnoteReference"/>
        </w:rPr>
        <w:footnoteRef/>
      </w:r>
      <w:r>
        <w:t xml:space="preserve"> </w:t>
      </w:r>
      <w:r>
        <w:t xml:space="preserve">U.S. Bureau of Labor Statistics. 2023. “Employment Projections.” Accessed February 12, 2024. Available at: </w:t>
      </w:r>
    </w:p>
    <w:p w:rsidR="00354E88" w14:paraId="0E5BFCD2" w14:textId="2BF4B80A">
      <w:pPr>
        <w:pStyle w:val="FootnoteText"/>
      </w:pPr>
      <w:r w:rsidRPr="00944B3A">
        <w:t>https://www.bls.gov/emp/tables/unemployment-earnings-education.htm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D7B" w14:paraId="07A3D76D" w14:textId="383BF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D7B" w:rsidP="00435D7B" w14:paraId="242269A0" w14:textId="694DA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D7B" w14:paraId="67FC6D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5E2746E"/>
    <w:multiLevelType w:val="hybridMultilevel"/>
    <w:tmpl w:val="07408E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60B06F0"/>
    <w:multiLevelType w:val="hybridMultilevel"/>
    <w:tmpl w:val="97DE9C60"/>
    <w:lvl w:ilvl="0">
      <w:start w:val="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712160AB"/>
    <w:multiLevelType w:val="hybridMultilevel"/>
    <w:tmpl w:val="346EC502"/>
    <w:lvl w:ilvl="0">
      <w:start w:val="8"/>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22697418">
    <w:abstractNumId w:val="1"/>
  </w:num>
  <w:num w:numId="2" w16cid:durableId="1487471517">
    <w:abstractNumId w:val="0"/>
  </w:num>
  <w:num w:numId="3" w16cid:durableId="2093770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7B"/>
    <w:rsid w:val="000128D7"/>
    <w:rsid w:val="000140E6"/>
    <w:rsid w:val="000143BE"/>
    <w:rsid w:val="00020702"/>
    <w:rsid w:val="000207F2"/>
    <w:rsid w:val="000213CF"/>
    <w:rsid w:val="00026676"/>
    <w:rsid w:val="00026956"/>
    <w:rsid w:val="00033838"/>
    <w:rsid w:val="000359FA"/>
    <w:rsid w:val="00037135"/>
    <w:rsid w:val="000377A0"/>
    <w:rsid w:val="00040AF9"/>
    <w:rsid w:val="0004189F"/>
    <w:rsid w:val="0004201F"/>
    <w:rsid w:val="00042271"/>
    <w:rsid w:val="000425EF"/>
    <w:rsid w:val="000429DB"/>
    <w:rsid w:val="00042D7E"/>
    <w:rsid w:val="000435A3"/>
    <w:rsid w:val="00044628"/>
    <w:rsid w:val="0004798B"/>
    <w:rsid w:val="000703EC"/>
    <w:rsid w:val="00070757"/>
    <w:rsid w:val="00073B56"/>
    <w:rsid w:val="00074B65"/>
    <w:rsid w:val="00075F8B"/>
    <w:rsid w:val="000801DB"/>
    <w:rsid w:val="000848AB"/>
    <w:rsid w:val="00087D28"/>
    <w:rsid w:val="00091BF9"/>
    <w:rsid w:val="00095E64"/>
    <w:rsid w:val="00096D35"/>
    <w:rsid w:val="00096E91"/>
    <w:rsid w:val="000A0887"/>
    <w:rsid w:val="000A351A"/>
    <w:rsid w:val="000A3FBD"/>
    <w:rsid w:val="000B3BA7"/>
    <w:rsid w:val="000B41A2"/>
    <w:rsid w:val="000B441C"/>
    <w:rsid w:val="000C1006"/>
    <w:rsid w:val="000C6273"/>
    <w:rsid w:val="000D2940"/>
    <w:rsid w:val="000E0983"/>
    <w:rsid w:val="000E230B"/>
    <w:rsid w:val="000E5693"/>
    <w:rsid w:val="000E70BE"/>
    <w:rsid w:val="000F09E4"/>
    <w:rsid w:val="000F27C2"/>
    <w:rsid w:val="000F35EA"/>
    <w:rsid w:val="000F4A72"/>
    <w:rsid w:val="00100B9A"/>
    <w:rsid w:val="0010531E"/>
    <w:rsid w:val="00106E82"/>
    <w:rsid w:val="00111035"/>
    <w:rsid w:val="001145BF"/>
    <w:rsid w:val="00115ED7"/>
    <w:rsid w:val="001240AB"/>
    <w:rsid w:val="001276F1"/>
    <w:rsid w:val="00134139"/>
    <w:rsid w:val="00135EF2"/>
    <w:rsid w:val="00137288"/>
    <w:rsid w:val="00141D75"/>
    <w:rsid w:val="00144D70"/>
    <w:rsid w:val="001456A2"/>
    <w:rsid w:val="00151480"/>
    <w:rsid w:val="00155B08"/>
    <w:rsid w:val="0015603C"/>
    <w:rsid w:val="00163246"/>
    <w:rsid w:val="001635FE"/>
    <w:rsid w:val="00165F6B"/>
    <w:rsid w:val="00166AE6"/>
    <w:rsid w:val="001740F4"/>
    <w:rsid w:val="00183611"/>
    <w:rsid w:val="001850D8"/>
    <w:rsid w:val="00185D04"/>
    <w:rsid w:val="001925FD"/>
    <w:rsid w:val="00193015"/>
    <w:rsid w:val="0019525D"/>
    <w:rsid w:val="001974DB"/>
    <w:rsid w:val="001A0213"/>
    <w:rsid w:val="001A291B"/>
    <w:rsid w:val="001A46F0"/>
    <w:rsid w:val="001A4DB1"/>
    <w:rsid w:val="001A73E2"/>
    <w:rsid w:val="001B0B6E"/>
    <w:rsid w:val="001B3CD7"/>
    <w:rsid w:val="001B4A06"/>
    <w:rsid w:val="001B5F78"/>
    <w:rsid w:val="001C0CB6"/>
    <w:rsid w:val="001C139A"/>
    <w:rsid w:val="001C3D31"/>
    <w:rsid w:val="001C514B"/>
    <w:rsid w:val="001C6903"/>
    <w:rsid w:val="001E2EA2"/>
    <w:rsid w:val="001E6738"/>
    <w:rsid w:val="001F0EA2"/>
    <w:rsid w:val="001F2188"/>
    <w:rsid w:val="001F459F"/>
    <w:rsid w:val="00201740"/>
    <w:rsid w:val="00207E96"/>
    <w:rsid w:val="002125AE"/>
    <w:rsid w:val="00212758"/>
    <w:rsid w:val="00214876"/>
    <w:rsid w:val="00217E8F"/>
    <w:rsid w:val="00221CB7"/>
    <w:rsid w:val="00225E73"/>
    <w:rsid w:val="00231E4B"/>
    <w:rsid w:val="00232592"/>
    <w:rsid w:val="00233854"/>
    <w:rsid w:val="00235723"/>
    <w:rsid w:val="00236BEC"/>
    <w:rsid w:val="00242E19"/>
    <w:rsid w:val="00243463"/>
    <w:rsid w:val="0024696A"/>
    <w:rsid w:val="002537B8"/>
    <w:rsid w:val="002545DB"/>
    <w:rsid w:val="00256C11"/>
    <w:rsid w:val="002602B3"/>
    <w:rsid w:val="00263A70"/>
    <w:rsid w:val="00266991"/>
    <w:rsid w:val="002670BC"/>
    <w:rsid w:val="002703F6"/>
    <w:rsid w:val="002709D9"/>
    <w:rsid w:val="00272350"/>
    <w:rsid w:val="002759C2"/>
    <w:rsid w:val="00277830"/>
    <w:rsid w:val="00277A25"/>
    <w:rsid w:val="002811A5"/>
    <w:rsid w:val="00282717"/>
    <w:rsid w:val="0028297B"/>
    <w:rsid w:val="002866CC"/>
    <w:rsid w:val="0029243E"/>
    <w:rsid w:val="002A1180"/>
    <w:rsid w:val="002A5A87"/>
    <w:rsid w:val="002B07E9"/>
    <w:rsid w:val="002B563A"/>
    <w:rsid w:val="002B70BE"/>
    <w:rsid w:val="002C0FEF"/>
    <w:rsid w:val="002C17B7"/>
    <w:rsid w:val="002D5EBE"/>
    <w:rsid w:val="002D614E"/>
    <w:rsid w:val="002D6D87"/>
    <w:rsid w:val="002E5FAC"/>
    <w:rsid w:val="002F0C75"/>
    <w:rsid w:val="002F280A"/>
    <w:rsid w:val="002F61C7"/>
    <w:rsid w:val="003053B6"/>
    <w:rsid w:val="00305D22"/>
    <w:rsid w:val="003101C8"/>
    <w:rsid w:val="00311532"/>
    <w:rsid w:val="003145A9"/>
    <w:rsid w:val="00317606"/>
    <w:rsid w:val="0032206F"/>
    <w:rsid w:val="003313D2"/>
    <w:rsid w:val="00332422"/>
    <w:rsid w:val="00332DA5"/>
    <w:rsid w:val="00333399"/>
    <w:rsid w:val="003339EA"/>
    <w:rsid w:val="00342A8F"/>
    <w:rsid w:val="003431CD"/>
    <w:rsid w:val="0034469D"/>
    <w:rsid w:val="00347E84"/>
    <w:rsid w:val="00352322"/>
    <w:rsid w:val="00352A58"/>
    <w:rsid w:val="00354E88"/>
    <w:rsid w:val="0035581F"/>
    <w:rsid w:val="003662BF"/>
    <w:rsid w:val="00366AA5"/>
    <w:rsid w:val="00367308"/>
    <w:rsid w:val="00375F7E"/>
    <w:rsid w:val="00380185"/>
    <w:rsid w:val="00384D0E"/>
    <w:rsid w:val="003912D7"/>
    <w:rsid w:val="003921F0"/>
    <w:rsid w:val="00393D7B"/>
    <w:rsid w:val="003A16C9"/>
    <w:rsid w:val="003A1CD7"/>
    <w:rsid w:val="003A45E2"/>
    <w:rsid w:val="003A5686"/>
    <w:rsid w:val="003A6150"/>
    <w:rsid w:val="003B02FB"/>
    <w:rsid w:val="003B26FF"/>
    <w:rsid w:val="003B291F"/>
    <w:rsid w:val="003B7269"/>
    <w:rsid w:val="003C5DAC"/>
    <w:rsid w:val="003C5DBF"/>
    <w:rsid w:val="003C621E"/>
    <w:rsid w:val="003C6EFF"/>
    <w:rsid w:val="003D34A2"/>
    <w:rsid w:val="003D4754"/>
    <w:rsid w:val="003D5E42"/>
    <w:rsid w:val="003D7AD9"/>
    <w:rsid w:val="003E2420"/>
    <w:rsid w:val="003E2A83"/>
    <w:rsid w:val="003E441B"/>
    <w:rsid w:val="003E5857"/>
    <w:rsid w:val="003E5872"/>
    <w:rsid w:val="003F6FB7"/>
    <w:rsid w:val="003F724E"/>
    <w:rsid w:val="0040055B"/>
    <w:rsid w:val="004010B0"/>
    <w:rsid w:val="00401512"/>
    <w:rsid w:val="00402818"/>
    <w:rsid w:val="004028FA"/>
    <w:rsid w:val="004070E2"/>
    <w:rsid w:val="00407A46"/>
    <w:rsid w:val="004117AD"/>
    <w:rsid w:val="004122A1"/>
    <w:rsid w:val="004135ED"/>
    <w:rsid w:val="004144FB"/>
    <w:rsid w:val="00415790"/>
    <w:rsid w:val="00420778"/>
    <w:rsid w:val="004211B2"/>
    <w:rsid w:val="0042234C"/>
    <w:rsid w:val="00424286"/>
    <w:rsid w:val="00426030"/>
    <w:rsid w:val="00426ED1"/>
    <w:rsid w:val="00435D7B"/>
    <w:rsid w:val="004408C0"/>
    <w:rsid w:val="00447368"/>
    <w:rsid w:val="004528DB"/>
    <w:rsid w:val="00453218"/>
    <w:rsid w:val="00457BF2"/>
    <w:rsid w:val="0047365E"/>
    <w:rsid w:val="00480851"/>
    <w:rsid w:val="00480E46"/>
    <w:rsid w:val="00482D8B"/>
    <w:rsid w:val="00487029"/>
    <w:rsid w:val="004905E2"/>
    <w:rsid w:val="00491B01"/>
    <w:rsid w:val="00494747"/>
    <w:rsid w:val="00496FB6"/>
    <w:rsid w:val="004A794B"/>
    <w:rsid w:val="004B25B7"/>
    <w:rsid w:val="004B41AB"/>
    <w:rsid w:val="004B7A33"/>
    <w:rsid w:val="004B7B4B"/>
    <w:rsid w:val="004C1C0A"/>
    <w:rsid w:val="004C1F8C"/>
    <w:rsid w:val="004C4D05"/>
    <w:rsid w:val="004C54F1"/>
    <w:rsid w:val="004C60BD"/>
    <w:rsid w:val="004D1CFF"/>
    <w:rsid w:val="004D451C"/>
    <w:rsid w:val="004D6550"/>
    <w:rsid w:val="004D6965"/>
    <w:rsid w:val="004D798B"/>
    <w:rsid w:val="004E6278"/>
    <w:rsid w:val="004F1545"/>
    <w:rsid w:val="004F785E"/>
    <w:rsid w:val="00502A61"/>
    <w:rsid w:val="00512CE0"/>
    <w:rsid w:val="00532517"/>
    <w:rsid w:val="005401D4"/>
    <w:rsid w:val="005401E7"/>
    <w:rsid w:val="005412E5"/>
    <w:rsid w:val="005518CF"/>
    <w:rsid w:val="00554CB9"/>
    <w:rsid w:val="00555B7E"/>
    <w:rsid w:val="005627A2"/>
    <w:rsid w:val="00567572"/>
    <w:rsid w:val="0057242B"/>
    <w:rsid w:val="00573527"/>
    <w:rsid w:val="00574754"/>
    <w:rsid w:val="00580593"/>
    <w:rsid w:val="005824DF"/>
    <w:rsid w:val="005846D3"/>
    <w:rsid w:val="00595344"/>
    <w:rsid w:val="005958FA"/>
    <w:rsid w:val="00597FC6"/>
    <w:rsid w:val="005A03D1"/>
    <w:rsid w:val="005A1CD9"/>
    <w:rsid w:val="005A649D"/>
    <w:rsid w:val="005A7C1A"/>
    <w:rsid w:val="005B1733"/>
    <w:rsid w:val="005B2117"/>
    <w:rsid w:val="005B262D"/>
    <w:rsid w:val="005B679C"/>
    <w:rsid w:val="005B71DD"/>
    <w:rsid w:val="005C2211"/>
    <w:rsid w:val="005C52EF"/>
    <w:rsid w:val="005D4E15"/>
    <w:rsid w:val="005D6805"/>
    <w:rsid w:val="005E0FDD"/>
    <w:rsid w:val="005E1066"/>
    <w:rsid w:val="005E193F"/>
    <w:rsid w:val="005E2C45"/>
    <w:rsid w:val="005F3835"/>
    <w:rsid w:val="005F3B78"/>
    <w:rsid w:val="005F53BF"/>
    <w:rsid w:val="005F542E"/>
    <w:rsid w:val="005F7D95"/>
    <w:rsid w:val="00603B54"/>
    <w:rsid w:val="0060664D"/>
    <w:rsid w:val="00607CFF"/>
    <w:rsid w:val="00611D78"/>
    <w:rsid w:val="00612135"/>
    <w:rsid w:val="006250B3"/>
    <w:rsid w:val="006275B4"/>
    <w:rsid w:val="00634DA9"/>
    <w:rsid w:val="006422EB"/>
    <w:rsid w:val="0064356F"/>
    <w:rsid w:val="0064489C"/>
    <w:rsid w:val="0065266C"/>
    <w:rsid w:val="00654C54"/>
    <w:rsid w:val="00654D0F"/>
    <w:rsid w:val="00661203"/>
    <w:rsid w:val="00672E82"/>
    <w:rsid w:val="00673B8F"/>
    <w:rsid w:val="00674F61"/>
    <w:rsid w:val="006801F4"/>
    <w:rsid w:val="00684BFC"/>
    <w:rsid w:val="0068698E"/>
    <w:rsid w:val="00686C19"/>
    <w:rsid w:val="006963E5"/>
    <w:rsid w:val="006A1F50"/>
    <w:rsid w:val="006B4BCF"/>
    <w:rsid w:val="006B7E31"/>
    <w:rsid w:val="006C7B92"/>
    <w:rsid w:val="006D1E67"/>
    <w:rsid w:val="006D3A19"/>
    <w:rsid w:val="006D5094"/>
    <w:rsid w:val="006D70A3"/>
    <w:rsid w:val="006E33A0"/>
    <w:rsid w:val="006F1C64"/>
    <w:rsid w:val="006F3D0A"/>
    <w:rsid w:val="006F4CE3"/>
    <w:rsid w:val="006F61D3"/>
    <w:rsid w:val="0070269C"/>
    <w:rsid w:val="0070325A"/>
    <w:rsid w:val="00712A7E"/>
    <w:rsid w:val="00717E46"/>
    <w:rsid w:val="00720C90"/>
    <w:rsid w:val="007225D2"/>
    <w:rsid w:val="00727E06"/>
    <w:rsid w:val="00727E52"/>
    <w:rsid w:val="00730C75"/>
    <w:rsid w:val="00736B07"/>
    <w:rsid w:val="0074319A"/>
    <w:rsid w:val="007472D4"/>
    <w:rsid w:val="00751774"/>
    <w:rsid w:val="0075179E"/>
    <w:rsid w:val="00760924"/>
    <w:rsid w:val="00762F05"/>
    <w:rsid w:val="00763762"/>
    <w:rsid w:val="00773C85"/>
    <w:rsid w:val="00774F7C"/>
    <w:rsid w:val="00780D27"/>
    <w:rsid w:val="00783675"/>
    <w:rsid w:val="007867E8"/>
    <w:rsid w:val="00787A1C"/>
    <w:rsid w:val="00790180"/>
    <w:rsid w:val="00790816"/>
    <w:rsid w:val="00792A4D"/>
    <w:rsid w:val="00794C8F"/>
    <w:rsid w:val="007A357B"/>
    <w:rsid w:val="007A38DB"/>
    <w:rsid w:val="007A7D6E"/>
    <w:rsid w:val="007B01B0"/>
    <w:rsid w:val="007B232C"/>
    <w:rsid w:val="007B603F"/>
    <w:rsid w:val="007B6E05"/>
    <w:rsid w:val="007C0D9E"/>
    <w:rsid w:val="007C2320"/>
    <w:rsid w:val="007C4847"/>
    <w:rsid w:val="007D4231"/>
    <w:rsid w:val="007D4515"/>
    <w:rsid w:val="007E2719"/>
    <w:rsid w:val="007E28B7"/>
    <w:rsid w:val="007E3B74"/>
    <w:rsid w:val="007E6BA3"/>
    <w:rsid w:val="007F0901"/>
    <w:rsid w:val="007F2AAE"/>
    <w:rsid w:val="007F5C4B"/>
    <w:rsid w:val="007F7B1B"/>
    <w:rsid w:val="007F7DF0"/>
    <w:rsid w:val="00800B06"/>
    <w:rsid w:val="00803252"/>
    <w:rsid w:val="00806233"/>
    <w:rsid w:val="00814C08"/>
    <w:rsid w:val="00815A16"/>
    <w:rsid w:val="008212B0"/>
    <w:rsid w:val="00831B0E"/>
    <w:rsid w:val="00832EB9"/>
    <w:rsid w:val="008343BA"/>
    <w:rsid w:val="00834B76"/>
    <w:rsid w:val="00837656"/>
    <w:rsid w:val="00840FF5"/>
    <w:rsid w:val="008415B9"/>
    <w:rsid w:val="00846D3B"/>
    <w:rsid w:val="008509C1"/>
    <w:rsid w:val="00851DFD"/>
    <w:rsid w:val="008608FD"/>
    <w:rsid w:val="00880BBF"/>
    <w:rsid w:val="00884628"/>
    <w:rsid w:val="00886BBC"/>
    <w:rsid w:val="0089079A"/>
    <w:rsid w:val="00890C3E"/>
    <w:rsid w:val="00890ED2"/>
    <w:rsid w:val="00892CAC"/>
    <w:rsid w:val="008963D9"/>
    <w:rsid w:val="008A0405"/>
    <w:rsid w:val="008A1FEE"/>
    <w:rsid w:val="008A3DD3"/>
    <w:rsid w:val="008A501B"/>
    <w:rsid w:val="008A617B"/>
    <w:rsid w:val="008B4341"/>
    <w:rsid w:val="008B7A66"/>
    <w:rsid w:val="008C220C"/>
    <w:rsid w:val="008C6FAD"/>
    <w:rsid w:val="008C79C1"/>
    <w:rsid w:val="008D48C8"/>
    <w:rsid w:val="008D4C00"/>
    <w:rsid w:val="008D76EF"/>
    <w:rsid w:val="008E2CEE"/>
    <w:rsid w:val="008E2E58"/>
    <w:rsid w:val="008E3AF6"/>
    <w:rsid w:val="008E7772"/>
    <w:rsid w:val="008F1984"/>
    <w:rsid w:val="008F37C4"/>
    <w:rsid w:val="00903DAC"/>
    <w:rsid w:val="0090460E"/>
    <w:rsid w:val="00905BD9"/>
    <w:rsid w:val="00910585"/>
    <w:rsid w:val="00912775"/>
    <w:rsid w:val="00921953"/>
    <w:rsid w:val="00921EAB"/>
    <w:rsid w:val="00921EF3"/>
    <w:rsid w:val="00923EB7"/>
    <w:rsid w:val="00926C24"/>
    <w:rsid w:val="009301EB"/>
    <w:rsid w:val="009429F0"/>
    <w:rsid w:val="00944B3A"/>
    <w:rsid w:val="00954C45"/>
    <w:rsid w:val="009705B3"/>
    <w:rsid w:val="00970A2E"/>
    <w:rsid w:val="00973A0C"/>
    <w:rsid w:val="00974D4E"/>
    <w:rsid w:val="0098541E"/>
    <w:rsid w:val="00986931"/>
    <w:rsid w:val="0099094A"/>
    <w:rsid w:val="009A4115"/>
    <w:rsid w:val="009A6833"/>
    <w:rsid w:val="009B2549"/>
    <w:rsid w:val="009B5142"/>
    <w:rsid w:val="009B6EFA"/>
    <w:rsid w:val="009C13A2"/>
    <w:rsid w:val="009C4580"/>
    <w:rsid w:val="009C498D"/>
    <w:rsid w:val="009C69BB"/>
    <w:rsid w:val="009C735F"/>
    <w:rsid w:val="009C793E"/>
    <w:rsid w:val="009D0643"/>
    <w:rsid w:val="009D36AB"/>
    <w:rsid w:val="009D5371"/>
    <w:rsid w:val="009E02B3"/>
    <w:rsid w:val="009E1C31"/>
    <w:rsid w:val="009E1EE3"/>
    <w:rsid w:val="009E26CB"/>
    <w:rsid w:val="009E37D8"/>
    <w:rsid w:val="009E4B43"/>
    <w:rsid w:val="009E6114"/>
    <w:rsid w:val="009E76BD"/>
    <w:rsid w:val="009F3C05"/>
    <w:rsid w:val="009F5987"/>
    <w:rsid w:val="00A04C7A"/>
    <w:rsid w:val="00A073C2"/>
    <w:rsid w:val="00A10E85"/>
    <w:rsid w:val="00A152FD"/>
    <w:rsid w:val="00A15C5D"/>
    <w:rsid w:val="00A173F8"/>
    <w:rsid w:val="00A221A8"/>
    <w:rsid w:val="00A2233F"/>
    <w:rsid w:val="00A2281E"/>
    <w:rsid w:val="00A233D4"/>
    <w:rsid w:val="00A26191"/>
    <w:rsid w:val="00A332E4"/>
    <w:rsid w:val="00A3358D"/>
    <w:rsid w:val="00A34FE4"/>
    <w:rsid w:val="00A435D8"/>
    <w:rsid w:val="00A459F0"/>
    <w:rsid w:val="00A5242A"/>
    <w:rsid w:val="00A54C2A"/>
    <w:rsid w:val="00A54D8F"/>
    <w:rsid w:val="00A553FB"/>
    <w:rsid w:val="00A55E04"/>
    <w:rsid w:val="00A577BD"/>
    <w:rsid w:val="00A61F2E"/>
    <w:rsid w:val="00A62E57"/>
    <w:rsid w:val="00A6367A"/>
    <w:rsid w:val="00A636F9"/>
    <w:rsid w:val="00A64687"/>
    <w:rsid w:val="00A73A8E"/>
    <w:rsid w:val="00A80349"/>
    <w:rsid w:val="00A85848"/>
    <w:rsid w:val="00A85E21"/>
    <w:rsid w:val="00A8747D"/>
    <w:rsid w:val="00A90DE1"/>
    <w:rsid w:val="00A94AB1"/>
    <w:rsid w:val="00AA01F5"/>
    <w:rsid w:val="00AA1CD5"/>
    <w:rsid w:val="00AA25C4"/>
    <w:rsid w:val="00AA69A0"/>
    <w:rsid w:val="00AB2A7E"/>
    <w:rsid w:val="00AB69EF"/>
    <w:rsid w:val="00AC3136"/>
    <w:rsid w:val="00AC3740"/>
    <w:rsid w:val="00AD2C83"/>
    <w:rsid w:val="00AD2D82"/>
    <w:rsid w:val="00AD56DD"/>
    <w:rsid w:val="00AD6005"/>
    <w:rsid w:val="00AE3068"/>
    <w:rsid w:val="00AE39B7"/>
    <w:rsid w:val="00AE4AE8"/>
    <w:rsid w:val="00AE6159"/>
    <w:rsid w:val="00AF04E6"/>
    <w:rsid w:val="00AF5648"/>
    <w:rsid w:val="00AF70D2"/>
    <w:rsid w:val="00AF7A1B"/>
    <w:rsid w:val="00B014BD"/>
    <w:rsid w:val="00B02188"/>
    <w:rsid w:val="00B02FBC"/>
    <w:rsid w:val="00B033C1"/>
    <w:rsid w:val="00B05017"/>
    <w:rsid w:val="00B0514B"/>
    <w:rsid w:val="00B1609A"/>
    <w:rsid w:val="00B2116E"/>
    <w:rsid w:val="00B22F68"/>
    <w:rsid w:val="00B31E0D"/>
    <w:rsid w:val="00B3201C"/>
    <w:rsid w:val="00B3350B"/>
    <w:rsid w:val="00B40D2E"/>
    <w:rsid w:val="00B42B47"/>
    <w:rsid w:val="00B50A99"/>
    <w:rsid w:val="00B53D30"/>
    <w:rsid w:val="00B54E03"/>
    <w:rsid w:val="00B574EE"/>
    <w:rsid w:val="00B648DD"/>
    <w:rsid w:val="00B6571E"/>
    <w:rsid w:val="00B66F7A"/>
    <w:rsid w:val="00B70E99"/>
    <w:rsid w:val="00B74A96"/>
    <w:rsid w:val="00B822F9"/>
    <w:rsid w:val="00B8325C"/>
    <w:rsid w:val="00B848A8"/>
    <w:rsid w:val="00B875AA"/>
    <w:rsid w:val="00B91F45"/>
    <w:rsid w:val="00BA4FEE"/>
    <w:rsid w:val="00BA7627"/>
    <w:rsid w:val="00BB0325"/>
    <w:rsid w:val="00BB0988"/>
    <w:rsid w:val="00BB1880"/>
    <w:rsid w:val="00BB5DA8"/>
    <w:rsid w:val="00BB7E8D"/>
    <w:rsid w:val="00BC09F5"/>
    <w:rsid w:val="00BC12B5"/>
    <w:rsid w:val="00BC1F9B"/>
    <w:rsid w:val="00BC2D90"/>
    <w:rsid w:val="00BC3148"/>
    <w:rsid w:val="00BD0E10"/>
    <w:rsid w:val="00BD2A73"/>
    <w:rsid w:val="00BD43EF"/>
    <w:rsid w:val="00BD5903"/>
    <w:rsid w:val="00BD79DB"/>
    <w:rsid w:val="00BE164D"/>
    <w:rsid w:val="00BE4D51"/>
    <w:rsid w:val="00BF0624"/>
    <w:rsid w:val="00BF0C77"/>
    <w:rsid w:val="00BF2661"/>
    <w:rsid w:val="00BF49B3"/>
    <w:rsid w:val="00C0020B"/>
    <w:rsid w:val="00C016DE"/>
    <w:rsid w:val="00C02DF3"/>
    <w:rsid w:val="00C04B70"/>
    <w:rsid w:val="00C140E7"/>
    <w:rsid w:val="00C147CF"/>
    <w:rsid w:val="00C15D16"/>
    <w:rsid w:val="00C207FF"/>
    <w:rsid w:val="00C21CE2"/>
    <w:rsid w:val="00C30AFB"/>
    <w:rsid w:val="00C30D3E"/>
    <w:rsid w:val="00C31FEC"/>
    <w:rsid w:val="00C37874"/>
    <w:rsid w:val="00C43A7C"/>
    <w:rsid w:val="00C44C0B"/>
    <w:rsid w:val="00C46523"/>
    <w:rsid w:val="00C47999"/>
    <w:rsid w:val="00C47E08"/>
    <w:rsid w:val="00C51746"/>
    <w:rsid w:val="00C53C87"/>
    <w:rsid w:val="00C54DDE"/>
    <w:rsid w:val="00C573CF"/>
    <w:rsid w:val="00C60123"/>
    <w:rsid w:val="00C618CF"/>
    <w:rsid w:val="00C636DA"/>
    <w:rsid w:val="00C675F2"/>
    <w:rsid w:val="00C813EA"/>
    <w:rsid w:val="00C82B93"/>
    <w:rsid w:val="00C85D5F"/>
    <w:rsid w:val="00C87173"/>
    <w:rsid w:val="00C87C3E"/>
    <w:rsid w:val="00C90E37"/>
    <w:rsid w:val="00C9197C"/>
    <w:rsid w:val="00C92DFD"/>
    <w:rsid w:val="00C95F7C"/>
    <w:rsid w:val="00CA0EAF"/>
    <w:rsid w:val="00CA3372"/>
    <w:rsid w:val="00CA3B08"/>
    <w:rsid w:val="00CA5C4D"/>
    <w:rsid w:val="00CB00ED"/>
    <w:rsid w:val="00CB0A5D"/>
    <w:rsid w:val="00CB0D4D"/>
    <w:rsid w:val="00CB0E40"/>
    <w:rsid w:val="00CB1D8A"/>
    <w:rsid w:val="00CB6F5D"/>
    <w:rsid w:val="00CC0334"/>
    <w:rsid w:val="00CC1BE4"/>
    <w:rsid w:val="00CC2589"/>
    <w:rsid w:val="00CC6795"/>
    <w:rsid w:val="00CC6BEE"/>
    <w:rsid w:val="00CD35E8"/>
    <w:rsid w:val="00CD37C7"/>
    <w:rsid w:val="00CE31A0"/>
    <w:rsid w:val="00CE578D"/>
    <w:rsid w:val="00CE6838"/>
    <w:rsid w:val="00CF0AC1"/>
    <w:rsid w:val="00CF397A"/>
    <w:rsid w:val="00CF39F2"/>
    <w:rsid w:val="00D02254"/>
    <w:rsid w:val="00D075E6"/>
    <w:rsid w:val="00D109E7"/>
    <w:rsid w:val="00D1725E"/>
    <w:rsid w:val="00D20941"/>
    <w:rsid w:val="00D226AA"/>
    <w:rsid w:val="00D22E98"/>
    <w:rsid w:val="00D244F6"/>
    <w:rsid w:val="00D25856"/>
    <w:rsid w:val="00D30D32"/>
    <w:rsid w:val="00D32A5F"/>
    <w:rsid w:val="00D342E0"/>
    <w:rsid w:val="00D34AA0"/>
    <w:rsid w:val="00D451D0"/>
    <w:rsid w:val="00D534C0"/>
    <w:rsid w:val="00D53F30"/>
    <w:rsid w:val="00D56674"/>
    <w:rsid w:val="00D575AD"/>
    <w:rsid w:val="00D600E6"/>
    <w:rsid w:val="00D63C96"/>
    <w:rsid w:val="00D708A1"/>
    <w:rsid w:val="00D72058"/>
    <w:rsid w:val="00D7544B"/>
    <w:rsid w:val="00D76341"/>
    <w:rsid w:val="00D7642E"/>
    <w:rsid w:val="00D85A5F"/>
    <w:rsid w:val="00D91D23"/>
    <w:rsid w:val="00D9481D"/>
    <w:rsid w:val="00DC2C62"/>
    <w:rsid w:val="00DC45B2"/>
    <w:rsid w:val="00DC4F47"/>
    <w:rsid w:val="00DC7B0C"/>
    <w:rsid w:val="00DD582E"/>
    <w:rsid w:val="00DD6C54"/>
    <w:rsid w:val="00DE26D2"/>
    <w:rsid w:val="00DE3B2F"/>
    <w:rsid w:val="00DE6618"/>
    <w:rsid w:val="00E02A2A"/>
    <w:rsid w:val="00E06A62"/>
    <w:rsid w:val="00E10AB3"/>
    <w:rsid w:val="00E1387D"/>
    <w:rsid w:val="00E16884"/>
    <w:rsid w:val="00E274A8"/>
    <w:rsid w:val="00E27A00"/>
    <w:rsid w:val="00E31562"/>
    <w:rsid w:val="00E338B4"/>
    <w:rsid w:val="00E34A80"/>
    <w:rsid w:val="00E35089"/>
    <w:rsid w:val="00E35A5F"/>
    <w:rsid w:val="00E37979"/>
    <w:rsid w:val="00E37E9C"/>
    <w:rsid w:val="00E40110"/>
    <w:rsid w:val="00E40370"/>
    <w:rsid w:val="00E42B88"/>
    <w:rsid w:val="00E43629"/>
    <w:rsid w:val="00E56091"/>
    <w:rsid w:val="00E62F27"/>
    <w:rsid w:val="00E66ABB"/>
    <w:rsid w:val="00E670C7"/>
    <w:rsid w:val="00E77436"/>
    <w:rsid w:val="00E81168"/>
    <w:rsid w:val="00E8170C"/>
    <w:rsid w:val="00E81FDF"/>
    <w:rsid w:val="00E846B5"/>
    <w:rsid w:val="00E86C62"/>
    <w:rsid w:val="00E903B5"/>
    <w:rsid w:val="00E91991"/>
    <w:rsid w:val="00E932AA"/>
    <w:rsid w:val="00E939F2"/>
    <w:rsid w:val="00EA0279"/>
    <w:rsid w:val="00EA0CCD"/>
    <w:rsid w:val="00EA1A4B"/>
    <w:rsid w:val="00EA1E7A"/>
    <w:rsid w:val="00EA5365"/>
    <w:rsid w:val="00EB0065"/>
    <w:rsid w:val="00EC2EBD"/>
    <w:rsid w:val="00EC5845"/>
    <w:rsid w:val="00ED3A86"/>
    <w:rsid w:val="00ED458A"/>
    <w:rsid w:val="00ED45DD"/>
    <w:rsid w:val="00ED56D1"/>
    <w:rsid w:val="00ED61F2"/>
    <w:rsid w:val="00EE3444"/>
    <w:rsid w:val="00EE4A60"/>
    <w:rsid w:val="00EF35ED"/>
    <w:rsid w:val="00EF5786"/>
    <w:rsid w:val="00F01473"/>
    <w:rsid w:val="00F01759"/>
    <w:rsid w:val="00F02199"/>
    <w:rsid w:val="00F02611"/>
    <w:rsid w:val="00F027F1"/>
    <w:rsid w:val="00F05D3E"/>
    <w:rsid w:val="00F13EE6"/>
    <w:rsid w:val="00F152F5"/>
    <w:rsid w:val="00F20507"/>
    <w:rsid w:val="00F27610"/>
    <w:rsid w:val="00F27C6E"/>
    <w:rsid w:val="00F305EF"/>
    <w:rsid w:val="00F31A5A"/>
    <w:rsid w:val="00F32A12"/>
    <w:rsid w:val="00F361B1"/>
    <w:rsid w:val="00F36DA1"/>
    <w:rsid w:val="00F40109"/>
    <w:rsid w:val="00F43B7C"/>
    <w:rsid w:val="00F449A3"/>
    <w:rsid w:val="00F44E88"/>
    <w:rsid w:val="00F4794C"/>
    <w:rsid w:val="00F523F9"/>
    <w:rsid w:val="00F5420B"/>
    <w:rsid w:val="00F565F5"/>
    <w:rsid w:val="00F57803"/>
    <w:rsid w:val="00F57BA5"/>
    <w:rsid w:val="00F63C0F"/>
    <w:rsid w:val="00F64761"/>
    <w:rsid w:val="00F6608E"/>
    <w:rsid w:val="00F70190"/>
    <w:rsid w:val="00F7162D"/>
    <w:rsid w:val="00F7221E"/>
    <w:rsid w:val="00F723B1"/>
    <w:rsid w:val="00F7265E"/>
    <w:rsid w:val="00F74359"/>
    <w:rsid w:val="00F74EF0"/>
    <w:rsid w:val="00F75438"/>
    <w:rsid w:val="00F81E29"/>
    <w:rsid w:val="00F835D2"/>
    <w:rsid w:val="00F848CD"/>
    <w:rsid w:val="00F84C10"/>
    <w:rsid w:val="00F85A6E"/>
    <w:rsid w:val="00F934BB"/>
    <w:rsid w:val="00F958B3"/>
    <w:rsid w:val="00F9743C"/>
    <w:rsid w:val="00FB084F"/>
    <w:rsid w:val="00FB1F17"/>
    <w:rsid w:val="00FB2D7C"/>
    <w:rsid w:val="00FB359E"/>
    <w:rsid w:val="00FB3F6E"/>
    <w:rsid w:val="00FB5BFF"/>
    <w:rsid w:val="00FB7460"/>
    <w:rsid w:val="00FB7928"/>
    <w:rsid w:val="00FC14B3"/>
    <w:rsid w:val="00FC53C5"/>
    <w:rsid w:val="00FC70FB"/>
    <w:rsid w:val="00FD1F4E"/>
    <w:rsid w:val="00FD2F45"/>
    <w:rsid w:val="00FD6732"/>
    <w:rsid w:val="00FE2EE4"/>
    <w:rsid w:val="00FE5AD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62D3BD5D"/>
  <w15:chartTrackingRefBased/>
  <w15:docId w15:val="{EA482F27-4310-4D98-92D9-05946733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FEE"/>
    <w:pPr>
      <w:spacing w:after="200" w:line="276" w:lineRule="auto"/>
    </w:pPr>
    <w:rPr>
      <w:rFonts w:eastAsiaTheme="minorHAnsi"/>
      <w:kern w:val="0"/>
      <w:lang w:eastAsia="en-US"/>
      <w14:ligatures w14:val="none"/>
    </w:rPr>
  </w:style>
  <w:style w:type="paragraph" w:styleId="Heading1">
    <w:name w:val="heading 1"/>
    <w:basedOn w:val="Normal"/>
    <w:next w:val="Normal"/>
    <w:link w:val="Heading1Char"/>
    <w:uiPriority w:val="9"/>
    <w:qFormat/>
    <w:rsid w:val="00435D7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35D7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D6D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5266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D7B"/>
    <w:rPr>
      <w:rFonts w:asciiTheme="majorHAnsi" w:eastAsiaTheme="majorEastAsia" w:hAnsiTheme="majorHAnsi" w:cstheme="majorBidi"/>
      <w:b/>
      <w:bCs/>
      <w:color w:val="2F5496" w:themeColor="accent1" w:themeShade="BF"/>
      <w:kern w:val="0"/>
      <w:sz w:val="28"/>
      <w:szCs w:val="28"/>
      <w:lang w:eastAsia="en-US"/>
      <w14:ligatures w14:val="none"/>
    </w:rPr>
  </w:style>
  <w:style w:type="character" w:customStyle="1" w:styleId="Heading2Char">
    <w:name w:val="Heading 2 Char"/>
    <w:basedOn w:val="DefaultParagraphFont"/>
    <w:link w:val="Heading2"/>
    <w:uiPriority w:val="9"/>
    <w:rsid w:val="00435D7B"/>
    <w:rPr>
      <w:rFonts w:asciiTheme="majorHAnsi" w:eastAsiaTheme="majorEastAsia" w:hAnsiTheme="majorHAnsi" w:cstheme="majorBidi"/>
      <w:b/>
      <w:bCs/>
      <w:color w:val="4472C4" w:themeColor="accent1"/>
      <w:kern w:val="0"/>
      <w:sz w:val="26"/>
      <w:szCs w:val="26"/>
      <w:lang w:eastAsia="en-US"/>
      <w14:ligatures w14:val="none"/>
    </w:rPr>
  </w:style>
  <w:style w:type="paragraph" w:styleId="Header">
    <w:name w:val="header"/>
    <w:basedOn w:val="Normal"/>
    <w:link w:val="HeaderChar"/>
    <w:uiPriority w:val="99"/>
    <w:unhideWhenUsed/>
    <w:rsid w:val="00435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D7B"/>
    <w:rPr>
      <w:rFonts w:eastAsiaTheme="minorHAnsi"/>
      <w:kern w:val="0"/>
      <w:lang w:eastAsia="en-US"/>
      <w14:ligatures w14:val="none"/>
    </w:rPr>
  </w:style>
  <w:style w:type="paragraph" w:styleId="Footer">
    <w:name w:val="footer"/>
    <w:basedOn w:val="Normal"/>
    <w:link w:val="FooterChar"/>
    <w:uiPriority w:val="99"/>
    <w:unhideWhenUsed/>
    <w:rsid w:val="00435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D7B"/>
    <w:rPr>
      <w:rFonts w:eastAsiaTheme="minorHAnsi"/>
      <w:kern w:val="0"/>
      <w:lang w:eastAsia="en-US"/>
      <w14:ligatures w14:val="none"/>
    </w:rPr>
  </w:style>
  <w:style w:type="paragraph" w:styleId="NormalWeb">
    <w:name w:val="Normal (Web)"/>
    <w:basedOn w:val="Normal"/>
    <w:unhideWhenUsed/>
    <w:rsid w:val="000B41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41A2"/>
    <w:rPr>
      <w:color w:val="0563C1" w:themeColor="hyperlink"/>
      <w:u w:val="single"/>
    </w:rPr>
  </w:style>
  <w:style w:type="character" w:styleId="UnresolvedMention">
    <w:name w:val="Unresolved Mention"/>
    <w:basedOn w:val="DefaultParagraphFont"/>
    <w:uiPriority w:val="99"/>
    <w:semiHidden/>
    <w:unhideWhenUsed/>
    <w:rsid w:val="0040055B"/>
    <w:rPr>
      <w:color w:val="605E5C"/>
      <w:shd w:val="clear" w:color="auto" w:fill="E1DFDD"/>
    </w:rPr>
  </w:style>
  <w:style w:type="character" w:styleId="FollowedHyperlink">
    <w:name w:val="FollowedHyperlink"/>
    <w:basedOn w:val="DefaultParagraphFont"/>
    <w:uiPriority w:val="99"/>
    <w:semiHidden/>
    <w:unhideWhenUsed/>
    <w:rsid w:val="004D798B"/>
    <w:rPr>
      <w:color w:val="954F72" w:themeColor="followedHyperlink"/>
      <w:u w:val="single"/>
    </w:rPr>
  </w:style>
  <w:style w:type="character" w:styleId="CommentReference">
    <w:name w:val="annotation reference"/>
    <w:basedOn w:val="DefaultParagraphFont"/>
    <w:uiPriority w:val="99"/>
    <w:semiHidden/>
    <w:unhideWhenUsed/>
    <w:rsid w:val="00970A2E"/>
    <w:rPr>
      <w:sz w:val="16"/>
      <w:szCs w:val="16"/>
    </w:rPr>
  </w:style>
  <w:style w:type="paragraph" w:styleId="CommentText">
    <w:name w:val="annotation text"/>
    <w:basedOn w:val="Normal"/>
    <w:link w:val="CommentTextChar"/>
    <w:uiPriority w:val="99"/>
    <w:unhideWhenUsed/>
    <w:rsid w:val="00970A2E"/>
    <w:pPr>
      <w:spacing w:after="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970A2E"/>
    <w:rPr>
      <w:rFonts w:eastAsiaTheme="minorHAnsi"/>
      <w:sz w:val="20"/>
      <w:szCs w:val="20"/>
      <w:lang w:eastAsia="en-US"/>
    </w:rPr>
  </w:style>
  <w:style w:type="paragraph" w:styleId="ListParagraph">
    <w:name w:val="List Paragraph"/>
    <w:basedOn w:val="Normal"/>
    <w:uiPriority w:val="34"/>
    <w:qFormat/>
    <w:rsid w:val="00E34A80"/>
    <w:pPr>
      <w:spacing w:after="0" w:line="240" w:lineRule="auto"/>
      <w:ind w:left="720"/>
      <w:contextualSpacing/>
    </w:pPr>
    <w:rPr>
      <w:kern w:val="2"/>
      <w:sz w:val="24"/>
      <w:szCs w:val="24"/>
      <w14:ligatures w14:val="standardContextual"/>
    </w:rPr>
  </w:style>
  <w:style w:type="paragraph" w:styleId="CommentSubject">
    <w:name w:val="annotation subject"/>
    <w:basedOn w:val="CommentText"/>
    <w:next w:val="CommentText"/>
    <w:link w:val="CommentSubjectChar"/>
    <w:uiPriority w:val="99"/>
    <w:semiHidden/>
    <w:unhideWhenUsed/>
    <w:rsid w:val="000E70BE"/>
    <w:pPr>
      <w:spacing w:after="200"/>
    </w:pPr>
    <w:rPr>
      <w:b/>
      <w:bCs/>
      <w:kern w:val="0"/>
      <w14:ligatures w14:val="none"/>
    </w:rPr>
  </w:style>
  <w:style w:type="character" w:customStyle="1" w:styleId="CommentSubjectChar">
    <w:name w:val="Comment Subject Char"/>
    <w:basedOn w:val="CommentTextChar"/>
    <w:link w:val="CommentSubject"/>
    <w:uiPriority w:val="99"/>
    <w:semiHidden/>
    <w:rsid w:val="000E70BE"/>
    <w:rPr>
      <w:rFonts w:eastAsiaTheme="minorHAnsi"/>
      <w:b/>
      <w:bCs/>
      <w:kern w:val="0"/>
      <w:sz w:val="20"/>
      <w:szCs w:val="20"/>
      <w:lang w:eastAsia="en-US"/>
      <w14:ligatures w14:val="none"/>
    </w:rPr>
  </w:style>
  <w:style w:type="character" w:customStyle="1" w:styleId="Heading3Char">
    <w:name w:val="Heading 3 Char"/>
    <w:basedOn w:val="DefaultParagraphFont"/>
    <w:link w:val="Heading3"/>
    <w:uiPriority w:val="9"/>
    <w:rsid w:val="002D6D87"/>
    <w:rPr>
      <w:rFonts w:asciiTheme="majorHAnsi" w:eastAsiaTheme="majorEastAsia" w:hAnsiTheme="majorHAnsi" w:cstheme="majorBidi"/>
      <w:color w:val="1F3763" w:themeColor="accent1" w:themeShade="7F"/>
      <w:kern w:val="0"/>
      <w:sz w:val="24"/>
      <w:szCs w:val="24"/>
      <w:lang w:eastAsia="en-US"/>
      <w14:ligatures w14:val="none"/>
    </w:rPr>
  </w:style>
  <w:style w:type="paragraph" w:styleId="FootnoteText">
    <w:name w:val="footnote text"/>
    <w:basedOn w:val="Normal"/>
    <w:link w:val="FootnoteTextChar"/>
    <w:uiPriority w:val="99"/>
    <w:semiHidden/>
    <w:unhideWhenUsed/>
    <w:rsid w:val="0098541E"/>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98541E"/>
    <w:rPr>
      <w:rFonts w:eastAsiaTheme="minorHAnsi"/>
      <w:sz w:val="20"/>
      <w:szCs w:val="20"/>
      <w:lang w:eastAsia="en-US"/>
    </w:rPr>
  </w:style>
  <w:style w:type="character" w:styleId="FootnoteReference">
    <w:name w:val="footnote reference"/>
    <w:basedOn w:val="DefaultParagraphFont"/>
    <w:uiPriority w:val="99"/>
    <w:semiHidden/>
    <w:unhideWhenUsed/>
    <w:rsid w:val="0098541E"/>
    <w:rPr>
      <w:vertAlign w:val="superscript"/>
    </w:rPr>
  </w:style>
  <w:style w:type="character" w:styleId="PageNumber">
    <w:name w:val="page number"/>
    <w:basedOn w:val="DefaultParagraphFont"/>
    <w:uiPriority w:val="99"/>
    <w:semiHidden/>
    <w:unhideWhenUsed/>
    <w:rsid w:val="008F37C4"/>
  </w:style>
  <w:style w:type="paragraph" w:customStyle="1" w:styleId="p1-standpara">
    <w:name w:val="p1-standpara"/>
    <w:basedOn w:val="Normal"/>
    <w:rsid w:val="00407A4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5F542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F542E"/>
    <w:rPr>
      <w:rFonts w:ascii="Times New Roman" w:eastAsia="Times New Roman" w:hAnsi="Times New Roman" w:cs="Times New Roman"/>
      <w:kern w:val="0"/>
      <w:szCs w:val="20"/>
      <w:lang w:eastAsia="en-US"/>
      <w14:ligatures w14:val="none"/>
    </w:rPr>
  </w:style>
  <w:style w:type="table" w:styleId="TableGrid">
    <w:name w:val="Table Grid"/>
    <w:basedOn w:val="TableNormal"/>
    <w:uiPriority w:val="39"/>
    <w:rsid w:val="00AD2D82"/>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6571E"/>
    <w:pPr>
      <w:spacing w:line="240" w:lineRule="auto"/>
    </w:pPr>
    <w:rPr>
      <w:i/>
      <w:iCs/>
      <w:color w:val="44546A" w:themeColor="text2"/>
      <w:kern w:val="2"/>
      <w:sz w:val="18"/>
      <w:szCs w:val="18"/>
      <w14:ligatures w14:val="standardContextual"/>
    </w:rPr>
  </w:style>
  <w:style w:type="table" w:customStyle="1" w:styleId="TableGrid3">
    <w:name w:val="Table Grid3"/>
    <w:basedOn w:val="TableNormal"/>
    <w:next w:val="TableGrid"/>
    <w:uiPriority w:val="39"/>
    <w:rsid w:val="00B6571E"/>
    <w:pPr>
      <w:spacing w:after="0" w:line="240" w:lineRule="auto"/>
    </w:pPr>
    <w:rPr>
      <w:rFonts w:eastAsia="Times New Roman" w:cs="Times New Roman"/>
      <w:sz w:val="24"/>
      <w:szCs w:val="24"/>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44628"/>
  </w:style>
  <w:style w:type="character" w:customStyle="1" w:styleId="apple-converted-space">
    <w:name w:val="apple-converted-space"/>
    <w:basedOn w:val="DefaultParagraphFont"/>
    <w:rsid w:val="00044628"/>
  </w:style>
  <w:style w:type="character" w:customStyle="1" w:styleId="Heading4Char">
    <w:name w:val="Heading 4 Char"/>
    <w:basedOn w:val="DefaultParagraphFont"/>
    <w:link w:val="Heading4"/>
    <w:uiPriority w:val="9"/>
    <w:semiHidden/>
    <w:rsid w:val="0065266C"/>
    <w:rPr>
      <w:rFonts w:asciiTheme="majorHAnsi" w:eastAsiaTheme="majorEastAsia" w:hAnsiTheme="majorHAnsi" w:cstheme="majorBidi"/>
      <w:i/>
      <w:iCs/>
      <w:color w:val="2F5496" w:themeColor="accent1" w:themeShade="BF"/>
      <w:kern w:val="0"/>
      <w:lang w:eastAsia="en-US"/>
      <w14:ligatures w14:val="none"/>
    </w:rPr>
  </w:style>
  <w:style w:type="character" w:styleId="Strong">
    <w:name w:val="Strong"/>
    <w:uiPriority w:val="22"/>
    <w:qFormat/>
    <w:rsid w:val="0065266C"/>
    <w:rPr>
      <w:b/>
      <w:bCs/>
    </w:rPr>
  </w:style>
  <w:style w:type="paragraph" w:styleId="Revision">
    <w:name w:val="Revision"/>
    <w:hidden/>
    <w:uiPriority w:val="99"/>
    <w:semiHidden/>
    <w:rsid w:val="00F36DA1"/>
    <w:pPr>
      <w:spacing w:after="0" w:line="240" w:lineRule="auto"/>
    </w:pPr>
    <w:rPr>
      <w:rFonts w:eastAsiaTheme="minorHAnsi"/>
      <w:kern w:val="0"/>
      <w:lang w:eastAsia="en-US"/>
      <w14:ligatures w14:val="none"/>
    </w:rPr>
  </w:style>
  <w:style w:type="character" w:styleId="Mention">
    <w:name w:val="Mention"/>
    <w:basedOn w:val="DefaultParagraphFont"/>
    <w:uiPriority w:val="99"/>
    <w:unhideWhenUsed/>
    <w:rsid w:val="00C517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ew.nsf.gov/funding/initiatives/regional-innovation-engines/portfolio"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new.nsf.gov/funding/initiatives/regional-innovation-engi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7e2dde-57ff-4aa7-8f90-a911a82bf543">
      <Terms xmlns="http://schemas.microsoft.com/office/infopath/2007/PartnerControls"/>
    </lcf76f155ced4ddcb4097134ff3c332f>
    <TaxCatchAll xmlns="c1bac0d2-5e8b-48d8-a6f2-dde292d3cfeb" xsi:nil="true"/>
    <SharedWithUsers xmlns="c1bac0d2-5e8b-48d8-a6f2-dde292d3cfeb">
      <UserInfo>
        <DisplayName>Shearman, Rebecca</DisplayName>
        <AccountId>24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4D5798CFCD9C45B56FC8558CEEEF0E" ma:contentTypeVersion="16" ma:contentTypeDescription="Create a new document." ma:contentTypeScope="" ma:versionID="469acad3874f34c8c2ca334c2ee7f08a">
  <xsd:schema xmlns:xsd="http://www.w3.org/2001/XMLSchema" xmlns:xs="http://www.w3.org/2001/XMLSchema" xmlns:p="http://schemas.microsoft.com/office/2006/metadata/properties" xmlns:ns2="447e2dde-57ff-4aa7-8f90-a911a82bf543" xmlns:ns3="c1bac0d2-5e8b-48d8-a6f2-dde292d3cfeb" targetNamespace="http://schemas.microsoft.com/office/2006/metadata/properties" ma:root="true" ma:fieldsID="7bce56bf6816417bc590f3605c73712e" ns2:_="" ns3:_="">
    <xsd:import namespace="447e2dde-57ff-4aa7-8f90-a911a82bf543"/>
    <xsd:import namespace="c1bac0d2-5e8b-48d8-a6f2-dde292d3cf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e2dde-57ff-4aa7-8f90-a911a82bf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ac0d2-5e8b-48d8-a6f2-dde292d3cf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53ba5-387a-4547-9300-d1bf2bd8928f}" ma:internalName="TaxCatchAll" ma:showField="CatchAllData" ma:web="c1bac0d2-5e8b-48d8-a6f2-dde292d3c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1BEB1-0FE6-4A40-A541-4AE8FACA116C}">
  <ds:schemaRefs>
    <ds:schemaRef ds:uri="http://schemas.microsoft.com/sharepoint/v3/contenttype/forms"/>
  </ds:schemaRefs>
</ds:datastoreItem>
</file>

<file path=customXml/itemProps2.xml><?xml version="1.0" encoding="utf-8"?>
<ds:datastoreItem xmlns:ds="http://schemas.openxmlformats.org/officeDocument/2006/customXml" ds:itemID="{7B4CC0D4-75B7-4AB8-B023-850A284C6CF2}">
  <ds:schemaRefs>
    <ds:schemaRef ds:uri="http://schemas.microsoft.com/office/2006/metadata/properties"/>
    <ds:schemaRef ds:uri="http://schemas.microsoft.com/office/infopath/2007/PartnerControls"/>
    <ds:schemaRef ds:uri="447e2dde-57ff-4aa7-8f90-a911a82bf543"/>
    <ds:schemaRef ds:uri="c1bac0d2-5e8b-48d8-a6f2-dde292d3cfeb"/>
  </ds:schemaRefs>
</ds:datastoreItem>
</file>

<file path=customXml/itemProps3.xml><?xml version="1.0" encoding="utf-8"?>
<ds:datastoreItem xmlns:ds="http://schemas.openxmlformats.org/officeDocument/2006/customXml" ds:itemID="{4C0B5C91-C204-4D17-9D28-55D814D2BB4F}">
  <ds:schemaRefs>
    <ds:schemaRef ds:uri="http://schemas.openxmlformats.org/officeDocument/2006/bibliography"/>
  </ds:schemaRefs>
</ds:datastoreItem>
</file>

<file path=customXml/itemProps4.xml><?xml version="1.0" encoding="utf-8"?>
<ds:datastoreItem xmlns:ds="http://schemas.openxmlformats.org/officeDocument/2006/customXml" ds:itemID="{60415D96-8FF4-4CF3-B715-F472C103E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e2dde-57ff-4aa7-8f90-a911a82bf543"/>
    <ds:schemaRef ds:uri="c1bac0d2-5e8b-48d8-a6f2-dde292d3c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21</Pages>
  <Words>5838</Words>
  <Characters>33277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Yuen</dc:creator>
  <cp:lastModifiedBy>Plimpton, Suzanne H.</cp:lastModifiedBy>
  <cp:revision>10</cp:revision>
  <dcterms:created xsi:type="dcterms:W3CDTF">2024-04-03T20:20:00Z</dcterms:created>
  <dcterms:modified xsi:type="dcterms:W3CDTF">2024-04-17T02:00:00Z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0x010100604D5798CFCD9C45B56FC8558CEEEF0E</vt:lpwstr>
  </property>
  <property fmtid="{D5CDD505-2E9C-101B-9397-08002B2CF9AE}" pid="4" name="MediaServiceImageTags">
    <vt:lpwstr/>
  </property>
  <property fmtid="{D5CDD505-2E9C-101B-9397-08002B2CF9AE}" pid="5" name="TitusGUID">
    <vt:lpwstr>1959d894-a2a0-4d5b-9d66-991d3e9f6883</vt:lpwstr>
  </property>
</Properties>
</file>