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59F" w:rsidRPr="002A64F1" w:rsidP="00716164" w14:paraId="03511EBC" w14:textId="1BCB0DAB">
      <w:pPr>
        <w:widowControl w:val="0"/>
        <w:tabs>
          <w:tab w:val="center" w:pos="4680"/>
        </w:tabs>
        <w:spacing w:line="240" w:lineRule="auto"/>
        <w:jc w:val="center"/>
      </w:pPr>
      <w:r w:rsidRPr="002A64F1">
        <w:fldChar w:fldCharType="begin"/>
      </w:r>
      <w:r w:rsidRPr="002A64F1">
        <w:instrText xml:space="preserve"> SEQ CHAPTER \h \r 1</w:instrText>
      </w:r>
      <w:r w:rsidRPr="002A64F1">
        <w:fldChar w:fldCharType="separate"/>
      </w:r>
      <w:r w:rsidRPr="002A64F1">
        <w:fldChar w:fldCharType="end"/>
      </w:r>
      <w:r w:rsidR="00CD09D8">
        <w:t>FINAL</w:t>
      </w:r>
      <w:r w:rsidR="00A22609">
        <w:t xml:space="preserve"> SUPPORT</w:t>
      </w:r>
      <w:r w:rsidRPr="002A64F1">
        <w:t>ING STATEMENT</w:t>
      </w:r>
    </w:p>
    <w:p w:rsidR="0058759F" w:rsidP="00716164" w14:paraId="5A14BD28" w14:textId="77777777">
      <w:pPr>
        <w:widowControl w:val="0"/>
        <w:tabs>
          <w:tab w:val="center" w:pos="4680"/>
        </w:tabs>
        <w:spacing w:line="240" w:lineRule="auto"/>
        <w:jc w:val="center"/>
      </w:pPr>
      <w:r w:rsidRPr="002A64F1">
        <w:t>FOR</w:t>
      </w:r>
    </w:p>
    <w:p w:rsidR="0058759F" w:rsidRPr="00DC6C20" w:rsidP="00DC6C20" w14:paraId="25743973" w14:textId="11CE0D11">
      <w:pPr>
        <w:widowControl w:val="0"/>
        <w:jc w:val="center"/>
        <w:rPr>
          <w:bCs/>
        </w:rPr>
      </w:pPr>
      <w:r w:rsidRPr="00570F23">
        <w:rPr>
          <w:bCs/>
        </w:rPr>
        <w:t>PRE</w:t>
      </w:r>
      <w:r>
        <w:rPr>
          <w:bCs/>
        </w:rPr>
        <w:t>-</w:t>
      </w:r>
      <w:r w:rsidRPr="00570F23">
        <w:rPr>
          <w:bCs/>
        </w:rPr>
        <w:t>APPLICATION COMMUNICATION AND SCHEDULING FOR LICENSING ACTIONS RELATED TO DIGITAL INSTRUMENTATION AND CONTROLS</w:t>
      </w:r>
      <w:r>
        <w:rPr>
          <w:bCs/>
        </w:rPr>
        <w:t xml:space="preserve"> </w:t>
      </w:r>
    </w:p>
    <w:p w:rsidR="0058759F" w:rsidP="00716164" w14:paraId="76CCAC58" w14:textId="77777777">
      <w:pPr>
        <w:widowControl w:val="0"/>
        <w:tabs>
          <w:tab w:val="center" w:pos="4680"/>
        </w:tabs>
        <w:spacing w:line="240" w:lineRule="auto"/>
        <w:jc w:val="center"/>
      </w:pPr>
      <w:r w:rsidRPr="002A64F1">
        <w:t>(3150-XXXX)</w:t>
      </w:r>
    </w:p>
    <w:p w:rsidR="0058759F" w:rsidRPr="002A64F1" w:rsidP="00716164" w14:paraId="24FC9552" w14:textId="77777777">
      <w:pPr>
        <w:widowControl w:val="0"/>
        <w:tabs>
          <w:tab w:val="center" w:pos="4680"/>
        </w:tabs>
        <w:spacing w:line="240" w:lineRule="auto"/>
        <w:jc w:val="center"/>
      </w:pPr>
    </w:p>
    <w:p w:rsidR="0058759F" w:rsidRPr="002A64F1" w:rsidP="00716164" w14:paraId="08F92D41" w14:textId="77777777">
      <w:pPr>
        <w:widowControl w:val="0"/>
        <w:tabs>
          <w:tab w:val="center" w:pos="4680"/>
        </w:tabs>
        <w:spacing w:line="240" w:lineRule="auto"/>
        <w:jc w:val="center"/>
      </w:pPr>
      <w:r>
        <w:t>NEW</w:t>
      </w:r>
    </w:p>
    <w:p w:rsidR="0058759F" w:rsidRPr="002A64F1" w:rsidP="00716164" w14:paraId="5A49CE82" w14:textId="77777777">
      <w:pPr>
        <w:widowControl w:val="0"/>
        <w:spacing w:line="240" w:lineRule="auto"/>
      </w:pPr>
    </w:p>
    <w:p w:rsidR="0058759F" w:rsidP="00716164" w14:paraId="5C843E65" w14:textId="7C27E24A">
      <w:pPr>
        <w:widowControl w:val="0"/>
        <w:spacing w:line="240" w:lineRule="auto"/>
      </w:pPr>
      <w:r>
        <w:rPr>
          <w:u w:val="single"/>
        </w:rPr>
        <w:t>Description of the Information Collection</w:t>
      </w:r>
    </w:p>
    <w:p w:rsidR="0058759F" w:rsidP="00716164" w14:paraId="585A9B7B" w14:textId="77777777">
      <w:pPr>
        <w:widowControl w:val="0"/>
        <w:spacing w:line="240" w:lineRule="auto"/>
      </w:pPr>
    </w:p>
    <w:p w:rsidR="00000444" w:rsidP="00FD288A" w14:paraId="4B909D3A" w14:textId="386CA0A5">
      <w:pPr>
        <w:spacing w:line="240" w:lineRule="auto"/>
      </w:pPr>
      <w:r w:rsidRPr="008A24FA">
        <w:t>The Instrumentation and Controls (I&amp;C) systems of a nuclear power plant (NPP) function as the "nervous system" of the plant. They provide operators with critical safety information on plant operation, allow operators to control various plant safety systems during routine operations, and automatically protect the reactor core during potential accidents. In current operating nuclear facilities, I&amp;C equipment obsolescence is creating a challenging environment for licensees. Consequently, operating nuclear facilities are starting to replace analog I&amp;C safety systems with digital technology. The implementation of digital technology in safety and security systems can be useful for resolving obsolescence issues</w:t>
      </w:r>
      <w:r w:rsidR="000213D1">
        <w:t xml:space="preserve">, reducing uncertainties in the maintenance of plant safety, </w:t>
      </w:r>
      <w:r w:rsidRPr="008A24FA">
        <w:t>reducing opportunities for human error, reducing maintenance costs, and potentially improving safety. Many industry stakeholders (i.e., licensees, applicants, and vendors) desire to take advantage of these potential safety and reliability benefits introduced by digital I&amp;C.</w:t>
      </w:r>
    </w:p>
    <w:p w:rsidR="00D13994" w:rsidP="00FD288A" w14:paraId="643E69F2" w14:textId="77777777">
      <w:pPr>
        <w:spacing w:line="240" w:lineRule="auto"/>
      </w:pPr>
    </w:p>
    <w:p w:rsidR="008A24FA" w:rsidP="008A24FA" w14:paraId="45E7BDBD" w14:textId="77777777">
      <w:pPr>
        <w:spacing w:line="240" w:lineRule="auto"/>
      </w:pPr>
      <w:r>
        <w:t>As licensees continue to submit licensing amendment requests for analog to digital or digital-to-digital I&amp;C upgrades, the U.S. Nuclear Regulatory Commission (NRC) staff seeks opportunities to innovate, to be risk-informed, and to increase the efficiency and effectiveness of reviewing digital I&amp;C licensing amendments. In order to support the timely processing of future reviews related to analog to digital or digital-to-digital I&amp;C upgrades and better inform the NRC’s budget and resource planning, the NRC seeks scheduling information for preapplication activities, and the submittal of applications related to digital I&amp;C from all holders of Part 50 operating licenses or Part 52 combined licenses for nuclear power reactors.</w:t>
      </w:r>
    </w:p>
    <w:p w:rsidR="008A24FA" w:rsidP="008A24FA" w14:paraId="6666E1C9" w14:textId="77777777">
      <w:pPr>
        <w:spacing w:line="240" w:lineRule="auto"/>
      </w:pPr>
    </w:p>
    <w:p w:rsidR="0058759F" w:rsidP="008A24FA" w14:paraId="04532F40" w14:textId="13F0CBF7">
      <w:pPr>
        <w:spacing w:line="240" w:lineRule="auto"/>
      </w:pPr>
      <w:r>
        <w:t>This information will enable the NRC to effectively allocate its resources to support digital I&amp;C technology licensing activities while also increasing the ability to meet the industry’s desired timelines. The NRC is asking for voluntary responses from holders of Part 50 operating licenses or Part 52 combined licenses for nuclear power reactors and voluntary updates to the initial responses as significant scheduling changes occur.</w:t>
      </w:r>
    </w:p>
    <w:p w:rsidR="008A24FA" w:rsidP="008A24FA" w14:paraId="425EC85B" w14:textId="77777777">
      <w:pPr>
        <w:spacing w:line="240" w:lineRule="auto"/>
      </w:pPr>
    </w:p>
    <w:p w:rsidR="0058759F" w:rsidP="00716164" w14:paraId="06485BC8" w14:textId="77777777">
      <w:pPr>
        <w:widowControl w:val="0"/>
        <w:numPr>
          <w:ilvl w:val="0"/>
          <w:numId w:val="1"/>
        </w:numPr>
        <w:spacing w:line="240" w:lineRule="auto"/>
      </w:pPr>
      <w:r w:rsidRPr="00D871AC">
        <w:t>JUSTIFICATION</w:t>
      </w:r>
    </w:p>
    <w:p w:rsidR="0058759F" w:rsidP="00716164" w14:paraId="20F5BD9B" w14:textId="77777777">
      <w:pPr>
        <w:widowControl w:val="0"/>
        <w:spacing w:line="240" w:lineRule="auto"/>
        <w:ind w:left="360"/>
      </w:pPr>
    </w:p>
    <w:p w:rsidR="0058759F" w:rsidP="00716164" w14:paraId="0E77B4C2" w14:textId="77777777">
      <w:pPr>
        <w:widowControl w:val="0"/>
        <w:numPr>
          <w:ilvl w:val="0"/>
          <w:numId w:val="2"/>
        </w:numPr>
        <w:spacing w:line="240" w:lineRule="auto"/>
        <w:rPr>
          <w:u w:val="single"/>
        </w:rPr>
      </w:pPr>
      <w:r w:rsidRPr="008F1F28">
        <w:rPr>
          <w:u w:val="single"/>
        </w:rPr>
        <w:t xml:space="preserve">Need </w:t>
      </w:r>
      <w:r>
        <w:rPr>
          <w:u w:val="single"/>
        </w:rPr>
        <w:t>f</w:t>
      </w:r>
      <w:r w:rsidRPr="008F1F28">
        <w:rPr>
          <w:u w:val="single"/>
        </w:rPr>
        <w:t>or the Collection of Information</w:t>
      </w:r>
    </w:p>
    <w:p w:rsidR="0058759F" w:rsidRPr="008F1F28" w:rsidP="00716164" w14:paraId="215E3AF7" w14:textId="77777777">
      <w:pPr>
        <w:widowControl w:val="0"/>
        <w:spacing w:line="240" w:lineRule="auto"/>
      </w:pPr>
    </w:p>
    <w:p w:rsidR="003D30FC" w:rsidP="008A24FA" w14:paraId="33A2B6CC" w14:textId="77777777">
      <w:pPr>
        <w:widowControl w:val="0"/>
        <w:spacing w:line="240" w:lineRule="auto"/>
        <w:ind w:left="1080"/>
      </w:pPr>
      <w:r>
        <w:t xml:space="preserve">A significant portion of the level-of-effort for a digital I&amp;C review will require specialized digital I&amp;C and human factors engineering skills. Given the industry stakeholders desire to take advantage of the potential safety and reliability benefits introduced by the use of digital I&amp;C, analog to digital or digital-to-digital I&amp;C upgrades are expected to be widely seeing throughout NPPs in the United States. Providing the NRC with advance notice of planned scheduling information for preapplication activities and application submittals related to digital I&amp;C activities will allow the </w:t>
      </w:r>
      <w:r>
        <w:br w:type="page"/>
      </w:r>
    </w:p>
    <w:p w:rsidR="008A24FA" w:rsidP="008A24FA" w14:paraId="5BFAB527" w14:textId="4BAC7F76">
      <w:pPr>
        <w:widowControl w:val="0"/>
        <w:spacing w:line="240" w:lineRule="auto"/>
        <w:ind w:left="1080"/>
      </w:pPr>
      <w:r>
        <w:t>agency to better align its resources (including, availability of sufficient digital I&amp;C and human factors engineering skills) consistent with the anticipated future amendment</w:t>
      </w:r>
      <w:r w:rsidR="009476DF">
        <w:t> r</w:t>
      </w:r>
      <w:r>
        <w:t>equests.</w:t>
      </w:r>
    </w:p>
    <w:p w:rsidR="008A24FA" w:rsidP="008A24FA" w14:paraId="3C0476D4" w14:textId="77777777">
      <w:pPr>
        <w:widowControl w:val="0"/>
        <w:spacing w:line="240" w:lineRule="auto"/>
      </w:pPr>
    </w:p>
    <w:p w:rsidR="008A24FA" w:rsidP="008A24FA" w14:paraId="124F7ECE" w14:textId="77777777">
      <w:pPr>
        <w:widowControl w:val="0"/>
        <w:spacing w:line="240" w:lineRule="auto"/>
        <w:ind w:left="1080"/>
      </w:pPr>
      <w:r>
        <w:t>Given the expected volume of amendment requests and the potential complexity associated with reviewing the requests, the NRC needs additional information on industry plans for deploying these technologies to facilitate the allocation of resources to support the industry’s efforts.</w:t>
      </w:r>
    </w:p>
    <w:p w:rsidR="008A24FA" w:rsidP="008A24FA" w14:paraId="0EC06BDF" w14:textId="77777777">
      <w:pPr>
        <w:widowControl w:val="0"/>
        <w:spacing w:line="240" w:lineRule="auto"/>
        <w:ind w:left="1080" w:hanging="360"/>
      </w:pPr>
    </w:p>
    <w:p w:rsidR="001B1FB5" w:rsidP="008A24FA" w14:paraId="3A34B3AA" w14:textId="06F704FC">
      <w:pPr>
        <w:widowControl w:val="0"/>
        <w:spacing w:line="240" w:lineRule="auto"/>
        <w:ind w:left="1080"/>
      </w:pPr>
      <w:r>
        <w:t>NRC has the authority to request this information under Section 161c of the Atomic Energy Act of 1954, which states, “In the performance of its functions the Commission is authorized to…make such studies and investigations, obtain such information, and hold such meetings or hearings as the Commission may deem necessary or proper to assist it in exercising any authority provided in this Act, or in the administration or enforcement of this Act, or any regulations or orders issued thereunder.”</w:t>
      </w:r>
    </w:p>
    <w:p w:rsidR="008A24FA" w:rsidP="008A24FA" w14:paraId="4BAB3A16" w14:textId="77777777">
      <w:pPr>
        <w:widowControl w:val="0"/>
        <w:spacing w:line="240" w:lineRule="auto"/>
        <w:rPr>
          <w:u w:val="single"/>
        </w:rPr>
      </w:pPr>
    </w:p>
    <w:p w:rsidR="0058759F" w:rsidRPr="006C71FE" w:rsidP="00716164" w14:paraId="12DD4FCF" w14:textId="77777777">
      <w:pPr>
        <w:widowControl w:val="0"/>
        <w:numPr>
          <w:ilvl w:val="0"/>
          <w:numId w:val="2"/>
        </w:numPr>
        <w:spacing w:line="240" w:lineRule="auto"/>
        <w:rPr>
          <w:u w:val="single"/>
        </w:rPr>
      </w:pPr>
      <w:r w:rsidRPr="006C71FE">
        <w:rPr>
          <w:u w:val="single"/>
        </w:rPr>
        <w:t>Agency Use and Practical Utility of Information</w:t>
      </w:r>
    </w:p>
    <w:p w:rsidR="0058759F" w:rsidP="00716164" w14:paraId="4F4B83E0" w14:textId="77777777">
      <w:pPr>
        <w:widowControl w:val="0"/>
        <w:spacing w:line="240" w:lineRule="auto"/>
        <w:rPr>
          <w:i/>
        </w:rPr>
      </w:pPr>
    </w:p>
    <w:p w:rsidR="008A24FA" w:rsidP="008A24FA" w14:paraId="07157EC7" w14:textId="77777777">
      <w:pPr>
        <w:widowControl w:val="0"/>
        <w:spacing w:line="240" w:lineRule="auto"/>
        <w:ind w:left="1080"/>
      </w:pPr>
      <w:r>
        <w:t>The information gathered by this request</w:t>
      </w:r>
      <w:r w:rsidRPr="009B4244">
        <w:t xml:space="preserve"> will allow the NRC to </w:t>
      </w:r>
      <w:r>
        <w:t xml:space="preserve">effectively </w:t>
      </w:r>
      <w:r w:rsidRPr="009B4244">
        <w:t xml:space="preserve">allocate its resources to support the activities leading up to and including the review of </w:t>
      </w:r>
      <w:r>
        <w:t xml:space="preserve">digital I&amp;C license amendment requests. </w:t>
      </w:r>
      <w:r w:rsidRPr="009B4244">
        <w:t xml:space="preserve">Additionally, this </w:t>
      </w:r>
      <w:r>
        <w:t>information collection</w:t>
      </w:r>
      <w:r w:rsidRPr="009B4244">
        <w:t xml:space="preserve"> seeks to promote early and frequent communication between the NRC and </w:t>
      </w:r>
      <w:r>
        <w:t xml:space="preserve">stakeholders on topics such as </w:t>
      </w:r>
      <w:r w:rsidRPr="00C4677C">
        <w:t>analog to digital or digital-to-digital I&amp;C upgrades</w:t>
      </w:r>
      <w:r w:rsidRPr="00874C1B">
        <w:t>, and industry schedules</w:t>
      </w:r>
      <w:r>
        <w:t>. C</w:t>
      </w:r>
      <w:r w:rsidRPr="009B4244">
        <w:t xml:space="preserve">ommunication between </w:t>
      </w:r>
      <w:r>
        <w:t>both parties</w:t>
      </w:r>
      <w:r w:rsidRPr="009B4244">
        <w:t xml:space="preserve"> promotes the submission of high quality and complete </w:t>
      </w:r>
      <w:r>
        <w:t>applications. Incomplete or insufficient applications increase the risk of schedule delays and unnecessary resource expenditure.</w:t>
      </w:r>
    </w:p>
    <w:p w:rsidR="0058759F" w:rsidP="00716164" w14:paraId="20756B64" w14:textId="77777777">
      <w:pPr>
        <w:widowControl w:val="0"/>
        <w:spacing w:line="240" w:lineRule="auto"/>
        <w:rPr>
          <w:u w:val="single"/>
        </w:rPr>
      </w:pPr>
    </w:p>
    <w:p w:rsidR="0058759F" w:rsidP="00716164" w14:paraId="53A5AF79" w14:textId="77777777">
      <w:pPr>
        <w:widowControl w:val="0"/>
        <w:numPr>
          <w:ilvl w:val="0"/>
          <w:numId w:val="2"/>
        </w:numPr>
        <w:spacing w:line="240" w:lineRule="auto"/>
      </w:pPr>
      <w:r>
        <w:rPr>
          <w:u w:val="single"/>
        </w:rPr>
        <w:t>Reduction of Burden Through Information Technology</w:t>
      </w:r>
      <w:r>
        <w:t xml:space="preserve">  </w:t>
      </w:r>
    </w:p>
    <w:p w:rsidR="0058759F" w:rsidP="00716164" w14:paraId="16498E20" w14:textId="77777777">
      <w:pPr>
        <w:widowControl w:val="0"/>
        <w:spacing w:line="240" w:lineRule="auto"/>
      </w:pPr>
    </w:p>
    <w:p w:rsidR="0058759F" w:rsidP="00716164" w14:paraId="1EDE1AF3" w14:textId="2C15B417">
      <w:pPr>
        <w:widowControl w:val="0"/>
        <w:spacing w:line="240" w:lineRule="auto"/>
        <w:ind w:left="1080"/>
      </w:pPr>
      <w:r>
        <w:t>There are no legal obstacles to reducing the burden associated with this information collection</w:t>
      </w:r>
      <w:r w:rsidR="00CD6F3F">
        <w:t xml:space="preserve">. </w:t>
      </w:r>
      <w:r>
        <w:t>The NRC encourages respondents to use information technology when it would be beneficial to them</w:t>
      </w:r>
      <w:r w:rsidR="00CD6F3F">
        <w:t xml:space="preserve">. </w:t>
      </w:r>
    </w:p>
    <w:p w:rsidR="0058759F" w:rsidP="00716164" w14:paraId="49BC8E08" w14:textId="77777777">
      <w:pPr>
        <w:widowControl w:val="0"/>
        <w:spacing w:line="240" w:lineRule="auto"/>
        <w:ind w:left="1080"/>
      </w:pPr>
    </w:p>
    <w:p w:rsidR="0058759F" w:rsidP="00716164" w14:paraId="61A193C2" w14:textId="17E5DF5D">
      <w:pPr>
        <w:widowControl w:val="0"/>
        <w:spacing w:line="240" w:lineRule="auto"/>
        <w:ind w:left="1080"/>
      </w:pPr>
      <w:r>
        <w:t xml:space="preserve">The NRC has issued </w:t>
      </w:r>
      <w:hyperlink r:id="rId5" w:history="1">
        <w:r w:rsidRPr="00106315">
          <w:rPr>
            <w:rStyle w:val="Hyperlink"/>
            <w:i/>
          </w:rPr>
          <w:t>Guidance for Electronic Submissions to the NRC</w:t>
        </w:r>
      </w:hyperlink>
      <w:r>
        <w:t xml:space="preserve"> which provides direction for the electronic transmission and submittal of documents to the NRC</w:t>
      </w:r>
      <w:r w:rsidR="00CD6F3F">
        <w:t xml:space="preserve">. </w:t>
      </w:r>
      <w:r w:rsidRPr="006F1623">
        <w:t>Electronic transmission and submittal of documents can be accomplished via the following avenues: the Electronic Information Exchange (EIE) process, which is available from the NRC's “Electronic Submittals” Web page, by Optical Storage Media (OSM) (e.g. CD-ROM, DVD), or by e-mail</w:t>
      </w:r>
      <w:r w:rsidR="00CD6F3F">
        <w:t xml:space="preserve">. </w:t>
      </w:r>
      <w:r>
        <w:t xml:space="preserve">It is estimated that approximately </w:t>
      </w:r>
      <w:r w:rsidRPr="00590FCC">
        <w:t>100%</w:t>
      </w:r>
      <w:r>
        <w:rPr>
          <w:b/>
        </w:rPr>
        <w:t xml:space="preserve"> </w:t>
      </w:r>
      <w:r>
        <w:t>of the potential responses are filed electronically.</w:t>
      </w:r>
    </w:p>
    <w:p w:rsidR="0058759F" w:rsidP="00716164" w14:paraId="0EAE64ED" w14:textId="77777777">
      <w:pPr>
        <w:widowControl w:val="0"/>
        <w:spacing w:line="240" w:lineRule="auto"/>
      </w:pPr>
    </w:p>
    <w:p w:rsidR="0058759F" w:rsidRPr="00DD43D2" w:rsidP="00716164" w14:paraId="53629DB5" w14:textId="77777777">
      <w:pPr>
        <w:widowControl w:val="0"/>
        <w:numPr>
          <w:ilvl w:val="0"/>
          <w:numId w:val="2"/>
        </w:numPr>
        <w:spacing w:line="240" w:lineRule="auto"/>
        <w:rPr>
          <w:u w:val="single"/>
        </w:rPr>
      </w:pPr>
      <w:r w:rsidRPr="00DD43D2">
        <w:rPr>
          <w:u w:val="single"/>
        </w:rPr>
        <w:t>Effort to Identify Duplication and Use Similar Information</w:t>
      </w:r>
    </w:p>
    <w:p w:rsidR="0058759F" w:rsidP="00716164" w14:paraId="0948F8C8" w14:textId="77777777">
      <w:pPr>
        <w:spacing w:line="240" w:lineRule="auto"/>
      </w:pPr>
    </w:p>
    <w:p w:rsidR="0058759F" w:rsidP="00716164" w14:paraId="4F7CC3D5" w14:textId="42AD8328">
      <w:pPr>
        <w:widowControl w:val="0"/>
        <w:spacing w:line="240" w:lineRule="auto"/>
        <w:ind w:left="1080"/>
      </w:pPr>
      <w:r w:rsidRPr="000C23C7">
        <w:t>No sources of similar information are available</w:t>
      </w:r>
      <w:r w:rsidR="00CD6F3F">
        <w:t xml:space="preserve">. </w:t>
      </w:r>
      <w:r w:rsidRPr="000C23C7">
        <w:t>There is no duplication of requirements.</w:t>
      </w:r>
    </w:p>
    <w:p w:rsidR="00B00226" w:rsidP="00716164" w14:paraId="6F2C65F5" w14:textId="47983823">
      <w:pPr>
        <w:widowControl w:val="0"/>
        <w:spacing w:line="240" w:lineRule="auto"/>
        <w:rPr>
          <w:u w:val="single"/>
        </w:rPr>
      </w:pPr>
    </w:p>
    <w:p w:rsidR="0058759F" w:rsidRPr="001C5483" w:rsidP="00716164" w14:paraId="21DBFE02" w14:textId="77777777">
      <w:pPr>
        <w:widowControl w:val="0"/>
        <w:numPr>
          <w:ilvl w:val="0"/>
          <w:numId w:val="2"/>
        </w:numPr>
        <w:spacing w:line="240" w:lineRule="auto"/>
      </w:pPr>
      <w:r w:rsidRPr="001C5483">
        <w:rPr>
          <w:u w:val="single"/>
        </w:rPr>
        <w:t>Effort to Reduce Small Business Burden</w:t>
      </w:r>
    </w:p>
    <w:p w:rsidR="0058759F" w:rsidP="00716164" w14:paraId="0FAC5F75" w14:textId="77777777">
      <w:pPr>
        <w:widowControl w:val="0"/>
        <w:spacing w:line="240" w:lineRule="auto"/>
        <w:rPr>
          <w:u w:val="single"/>
        </w:rPr>
      </w:pPr>
    </w:p>
    <w:p w:rsidR="0058759F" w:rsidP="00716164" w14:paraId="62D6CA7B" w14:textId="77777777">
      <w:pPr>
        <w:widowControl w:val="0"/>
        <w:spacing w:line="240" w:lineRule="auto"/>
        <w:ind w:left="1080"/>
      </w:pPr>
      <w:r>
        <w:t>None of the potential applicants responding to this collection are small businesses.</w:t>
      </w:r>
    </w:p>
    <w:p w:rsidR="00B00226" w:rsidP="00716164" w14:paraId="6522B101" w14:textId="0148DBF1">
      <w:pPr>
        <w:widowControl w:val="0"/>
        <w:spacing w:line="240" w:lineRule="auto"/>
      </w:pPr>
      <w:r>
        <w:br w:type="page"/>
      </w:r>
    </w:p>
    <w:p w:rsidR="0058759F" w:rsidP="00716164" w14:paraId="7EED4D20" w14:textId="77777777">
      <w:pPr>
        <w:widowControl w:val="0"/>
        <w:numPr>
          <w:ilvl w:val="0"/>
          <w:numId w:val="2"/>
        </w:numPr>
        <w:spacing w:line="240" w:lineRule="auto"/>
      </w:pPr>
      <w:r w:rsidRPr="00C059AF">
        <w:rPr>
          <w:u w:val="single"/>
        </w:rPr>
        <w:t>Consequences to Federal Program or Policy Activities if the Collection Is Not Conducted or Is Conducted Less Frequently</w:t>
      </w:r>
    </w:p>
    <w:p w:rsidR="0058759F" w:rsidRPr="00C059AF" w:rsidP="00716164" w14:paraId="70B4B5B0" w14:textId="77777777">
      <w:pPr>
        <w:widowControl w:val="0"/>
        <w:spacing w:line="240" w:lineRule="auto"/>
        <w:ind w:left="1080"/>
      </w:pPr>
    </w:p>
    <w:p w:rsidR="008A24FA" w:rsidRPr="00C059AF" w:rsidP="008A24FA" w14:paraId="33E5ED67" w14:textId="77777777">
      <w:pPr>
        <w:widowControl w:val="0"/>
        <w:spacing w:line="240" w:lineRule="auto"/>
        <w:ind w:left="1080"/>
      </w:pPr>
      <w:r w:rsidRPr="00C059AF">
        <w:t xml:space="preserve">If the information is not collected, the NRC will be unable to inform its budget and resource planning for the review of </w:t>
      </w:r>
      <w:r>
        <w:t>digital I&amp;C license amendment request</w:t>
      </w:r>
      <w:r w:rsidRPr="00C059AF">
        <w:t xml:space="preserve"> applications</w:t>
      </w:r>
      <w:r>
        <w:t>. This could</w:t>
      </w:r>
      <w:r w:rsidRPr="004575B7">
        <w:t xml:space="preserve"> </w:t>
      </w:r>
      <w:r>
        <w:t xml:space="preserve">cause the NRC to have a mismatch between the resources needed to complete the reviews in a timely manner and the resources available and may result in the reviews not being completed by the requested date of the licensees.  </w:t>
      </w:r>
      <w:r w:rsidRPr="00C059AF">
        <w:t>This schedule is the minimum frequency necessary for the NRC to update its budget and resource planning as submittal schedules change.</w:t>
      </w:r>
    </w:p>
    <w:p w:rsidR="0058759F" w:rsidP="00716164" w14:paraId="43B2ED5C" w14:textId="77777777">
      <w:pPr>
        <w:widowControl w:val="0"/>
        <w:spacing w:line="240" w:lineRule="auto"/>
      </w:pPr>
    </w:p>
    <w:p w:rsidR="0058759F" w:rsidP="00716164" w14:paraId="4248B48B" w14:textId="77777777">
      <w:pPr>
        <w:widowControl w:val="0"/>
        <w:numPr>
          <w:ilvl w:val="0"/>
          <w:numId w:val="2"/>
        </w:numPr>
        <w:spacing w:line="240" w:lineRule="auto"/>
        <w:rPr>
          <w:u w:val="single"/>
        </w:rPr>
      </w:pPr>
      <w:r>
        <w:rPr>
          <w:u w:val="single"/>
        </w:rPr>
        <w:t>Circumstances Which Justify Variation from OMB Guidelines</w:t>
      </w:r>
    </w:p>
    <w:p w:rsidR="0058759F" w:rsidP="00716164" w14:paraId="7A431554" w14:textId="77777777">
      <w:pPr>
        <w:widowControl w:val="0"/>
        <w:spacing w:line="240" w:lineRule="auto"/>
        <w:rPr>
          <w:u w:val="single"/>
        </w:rPr>
      </w:pPr>
    </w:p>
    <w:p w:rsidR="0058759F" w:rsidRPr="00333B30" w:rsidP="00716164" w14:paraId="7A9639BD" w14:textId="77777777">
      <w:pPr>
        <w:widowControl w:val="0"/>
        <w:spacing w:line="240" w:lineRule="auto"/>
        <w:ind w:left="1080"/>
      </w:pPr>
      <w:r>
        <w:t>Not applicable.</w:t>
      </w:r>
    </w:p>
    <w:p w:rsidR="001B1FB5" w:rsidP="00716164" w14:paraId="7031FC2C" w14:textId="2194A0F0">
      <w:pPr>
        <w:widowControl w:val="0"/>
        <w:spacing w:line="240" w:lineRule="auto"/>
        <w:rPr>
          <w:u w:val="single"/>
        </w:rPr>
      </w:pPr>
    </w:p>
    <w:p w:rsidR="0058759F" w:rsidRPr="002A64F1" w:rsidP="00716164" w14:paraId="48A40F35" w14:textId="77777777">
      <w:pPr>
        <w:numPr>
          <w:ilvl w:val="0"/>
          <w:numId w:val="2"/>
        </w:numPr>
        <w:spacing w:line="240" w:lineRule="auto"/>
      </w:pPr>
      <w:r>
        <w:rPr>
          <w:u w:val="single"/>
        </w:rPr>
        <w:t>Consultations Outside the NRC</w:t>
      </w:r>
    </w:p>
    <w:p w:rsidR="0058759F" w:rsidP="0012529B" w14:paraId="58E83B65" w14:textId="77777777">
      <w:pPr>
        <w:spacing w:line="240" w:lineRule="auto"/>
        <w:ind w:left="1080"/>
        <w:rPr>
          <w:u w:val="single"/>
        </w:rPr>
      </w:pPr>
    </w:p>
    <w:p w:rsidR="002221A5" w:rsidP="002221A5" w14:paraId="6812879B" w14:textId="0653243F">
      <w:pPr>
        <w:ind w:left="1080"/>
      </w:pPr>
      <w:r>
        <w:t xml:space="preserve">Opportunity for public comment on the information collection requirements for this clearance package was published in the Federal Register on December 5, 2023 (88 FR 84365). </w:t>
      </w:r>
      <w:r w:rsidRPr="00846E84">
        <w:t xml:space="preserve">Additionally, NRC staff contacted </w:t>
      </w:r>
      <w:r>
        <w:t>nine</w:t>
      </w:r>
      <w:r w:rsidRPr="00846E84">
        <w:t xml:space="preserve"> stakeholders via</w:t>
      </w:r>
      <w:r>
        <w:t xml:space="preserve"> </w:t>
      </w:r>
      <w:r w:rsidRPr="00846E84">
        <w:t>email. The stakehold</w:t>
      </w:r>
      <w:r>
        <w:t>e</w:t>
      </w:r>
      <w:r w:rsidRPr="00846E84">
        <w:t>rs were operating reactor owner/operator licensee’s and industry representatives fro</w:t>
      </w:r>
      <w:r>
        <w:t xml:space="preserve">m </w:t>
      </w:r>
      <w:r w:rsidRPr="00B00226">
        <w:t>Constellation Energy</w:t>
      </w:r>
      <w:r>
        <w:t xml:space="preserve">, Department of Energy, </w:t>
      </w:r>
      <w:r w:rsidRPr="00B00226">
        <w:t>Dominion</w:t>
      </w:r>
      <w:r>
        <w:t xml:space="preserve"> Energy, </w:t>
      </w:r>
      <w:r w:rsidRPr="00B00226">
        <w:t>Florida Power &amp; Light Co</w:t>
      </w:r>
      <w:r>
        <w:t xml:space="preserve">, Framatome, Inc., </w:t>
      </w:r>
      <w:r w:rsidRPr="00B00226">
        <w:t>Sargent &amp; Lundy</w:t>
      </w:r>
      <w:r>
        <w:t xml:space="preserve">, </w:t>
      </w:r>
      <w:r w:rsidRPr="00B00226">
        <w:t>Southern Nuclear Operating Co.</w:t>
      </w:r>
      <w:r>
        <w:t>, Westinghouse Electric Co., LLC, and Xcel Energy.</w:t>
      </w:r>
    </w:p>
    <w:p w:rsidR="002221A5" w:rsidP="002221A5" w14:paraId="29E92345" w14:textId="77777777">
      <w:pPr>
        <w:ind w:left="1080"/>
      </w:pPr>
    </w:p>
    <w:p w:rsidR="002221A5" w:rsidP="002221A5" w14:paraId="6FFADF5C" w14:textId="77777777">
      <w:pPr>
        <w:ind w:left="1080"/>
      </w:pPr>
      <w:r w:rsidRPr="00CA651E">
        <w:t>Staff received the following comments from Constellation Energy, no additional responses</w:t>
      </w:r>
      <w:r>
        <w:t xml:space="preserve"> </w:t>
      </w:r>
      <w:r w:rsidRPr="00CA651E">
        <w:t>were received because of the FRN or the staff’s direct solicitation for comments:</w:t>
      </w:r>
    </w:p>
    <w:p w:rsidR="002221A5" w:rsidP="002221A5" w14:paraId="0657CFB3" w14:textId="77777777">
      <w:pPr>
        <w:ind w:left="1080"/>
      </w:pPr>
    </w:p>
    <w:p w:rsidR="002221A5" w:rsidP="002221A5" w14:paraId="71C7C27E" w14:textId="77777777">
      <w:pPr>
        <w:ind w:left="1080"/>
      </w:pPr>
      <w:r w:rsidRPr="00CA651E">
        <w:rPr>
          <w:i/>
          <w:iCs/>
        </w:rPr>
        <w:t>Comment</w:t>
      </w:r>
      <w:r>
        <w:t>:</w:t>
      </w:r>
    </w:p>
    <w:p w:rsidR="002221A5" w:rsidP="002221A5" w14:paraId="177D4C05" w14:textId="77777777">
      <w:pPr>
        <w:ind w:left="1080"/>
      </w:pPr>
      <w:r w:rsidRPr="00CA651E">
        <w:t>The proposed collection of information is not necessary, but it will help with planning future NRC resources to support industry efforts for digital modifications.</w:t>
      </w:r>
    </w:p>
    <w:p w:rsidR="002221A5" w:rsidP="002221A5" w14:paraId="3CDA1330" w14:textId="77777777">
      <w:pPr>
        <w:ind w:left="1080"/>
      </w:pPr>
    </w:p>
    <w:p w:rsidR="002221A5" w:rsidP="002221A5" w14:paraId="151EFB32" w14:textId="77777777">
      <w:pPr>
        <w:ind w:left="1080"/>
      </w:pPr>
      <w:r w:rsidRPr="00CA651E">
        <w:rPr>
          <w:i/>
          <w:iCs/>
        </w:rPr>
        <w:t>NRC staff response</w:t>
      </w:r>
      <w:r>
        <w:t>:</w:t>
      </w:r>
    </w:p>
    <w:p w:rsidR="008A24FA" w:rsidP="008A24FA" w14:paraId="6DE95585" w14:textId="77777777">
      <w:pPr>
        <w:ind w:left="1080"/>
      </w:pPr>
      <w:r>
        <w:t>T</w:t>
      </w:r>
      <w:r w:rsidRPr="00640A03">
        <w:t xml:space="preserve">he proposed collection of information will inform NRC’s budget and resource planning for the review of digital I&amp;C license amendment request applications. This will result in more effective scheduling of resources for reviewing these requests and </w:t>
      </w:r>
      <w:r>
        <w:t xml:space="preserve">result in the timely </w:t>
      </w:r>
      <w:r w:rsidRPr="00640A03">
        <w:t>completion of the reviews.</w:t>
      </w:r>
    </w:p>
    <w:p w:rsidR="002221A5" w:rsidP="002221A5" w14:paraId="2CB36A9C" w14:textId="77777777">
      <w:pPr>
        <w:ind w:left="1080"/>
      </w:pPr>
    </w:p>
    <w:p w:rsidR="002221A5" w:rsidP="002221A5" w14:paraId="7A0DB71D" w14:textId="77777777">
      <w:pPr>
        <w:ind w:left="1080"/>
      </w:pPr>
      <w:r w:rsidRPr="00CA651E">
        <w:rPr>
          <w:i/>
          <w:iCs/>
        </w:rPr>
        <w:t>Comment</w:t>
      </w:r>
      <w:r>
        <w:t>:</w:t>
      </w:r>
    </w:p>
    <w:p w:rsidR="002221A5" w:rsidRPr="00CA651E" w:rsidP="002221A5" w14:paraId="7B36C892" w14:textId="77777777">
      <w:pPr>
        <w:ind w:left="1080"/>
      </w:pPr>
      <w:r w:rsidRPr="00CA651E">
        <w:t>200hr range for a corporation the size of Constellation is more appropriate.</w:t>
      </w:r>
    </w:p>
    <w:p w:rsidR="002221A5" w:rsidRPr="00CA651E" w:rsidP="002221A5" w14:paraId="7FB97EBF" w14:textId="77777777">
      <w:pPr>
        <w:ind w:left="1080"/>
      </w:pPr>
    </w:p>
    <w:p w:rsidR="002221A5" w:rsidP="002221A5" w14:paraId="0A407361" w14:textId="77777777">
      <w:pPr>
        <w:ind w:left="1080"/>
      </w:pPr>
      <w:r w:rsidRPr="00CA651E">
        <w:rPr>
          <w:i/>
          <w:iCs/>
        </w:rPr>
        <w:t>NRC staff response</w:t>
      </w:r>
      <w:r w:rsidRPr="00CA651E">
        <w:t>:</w:t>
      </w:r>
    </w:p>
    <w:p w:rsidR="002221A5" w:rsidP="002221A5" w14:paraId="65970BCE" w14:textId="2CE1D5DF">
      <w:pPr>
        <w:ind w:left="1080"/>
      </w:pPr>
      <w:r>
        <w:t>T</w:t>
      </w:r>
      <w:r>
        <w:t xml:space="preserve">he estimate should reflect the level of effort of various constituents including the licensees that operate large fleet of reactors. </w:t>
      </w:r>
      <w:r w:rsidR="001660EB">
        <w:t xml:space="preserve">The </w:t>
      </w:r>
      <w:r w:rsidR="00F53C03">
        <w:t xml:space="preserve">original estimate only </w:t>
      </w:r>
      <w:r w:rsidR="00132498">
        <w:t>reflected</w:t>
      </w:r>
      <w:r w:rsidR="00F53C03">
        <w:t xml:space="preserve"> the level of efforts to prepare </w:t>
      </w:r>
      <w:r w:rsidR="00F5343F">
        <w:t xml:space="preserve">a </w:t>
      </w:r>
      <w:r w:rsidR="00540015">
        <w:t>response but</w:t>
      </w:r>
      <w:r w:rsidR="00F5343F">
        <w:t xml:space="preserve"> did not reflect the total effort needed to </w:t>
      </w:r>
      <w:r w:rsidR="00F5343F">
        <w:t xml:space="preserve">prepare a response and submit it to the NRC. </w:t>
      </w:r>
      <w:r>
        <w:t>The estimate in the supporting statement have been updated</w:t>
      </w:r>
      <w:r w:rsidR="00F5343F">
        <w:t xml:space="preserve"> to reflect the total effort provided by the commenter.</w:t>
      </w:r>
      <w:r>
        <w:t xml:space="preserve"> </w:t>
      </w:r>
    </w:p>
    <w:p w:rsidR="002221A5" w:rsidP="002221A5" w14:paraId="6EACC72F" w14:textId="77777777">
      <w:pPr>
        <w:ind w:left="1080"/>
      </w:pPr>
    </w:p>
    <w:p w:rsidR="002221A5" w:rsidRPr="00CA651E" w:rsidP="002221A5" w14:paraId="75623EBF" w14:textId="77777777">
      <w:pPr>
        <w:ind w:left="1080"/>
      </w:pPr>
      <w:r w:rsidRPr="00CA651E">
        <w:rPr>
          <w:i/>
          <w:iCs/>
        </w:rPr>
        <w:t>Comment</w:t>
      </w:r>
      <w:r>
        <w:t>:</w:t>
      </w:r>
    </w:p>
    <w:p w:rsidR="002221A5" w:rsidRPr="00CA651E" w:rsidP="002221A5" w14:paraId="550E1C26" w14:textId="77777777">
      <w:pPr>
        <w:ind w:left="1080"/>
      </w:pPr>
      <w:r w:rsidRPr="00CA651E">
        <w:t>The NRC can provide clarity on how far in future they are requesting this information for (ex: 3yrs out, 5yrs)</w:t>
      </w:r>
    </w:p>
    <w:p w:rsidR="002221A5" w:rsidP="002221A5" w14:paraId="195AB3E6" w14:textId="77777777">
      <w:pPr>
        <w:ind w:left="1080"/>
      </w:pPr>
    </w:p>
    <w:p w:rsidR="002221A5" w:rsidP="002221A5" w14:paraId="47B44D14" w14:textId="77777777">
      <w:pPr>
        <w:ind w:left="1080"/>
      </w:pPr>
      <w:r w:rsidRPr="00CA651E">
        <w:rPr>
          <w:i/>
          <w:iCs/>
        </w:rPr>
        <w:t>NRC staff response</w:t>
      </w:r>
      <w:r>
        <w:t>:</w:t>
      </w:r>
    </w:p>
    <w:p w:rsidR="002221A5" w:rsidRPr="00640A03" w:rsidP="002221A5" w14:paraId="6AFDDFE4" w14:textId="77777777">
      <w:pPr>
        <w:ind w:left="1080"/>
      </w:pPr>
      <w:r w:rsidRPr="00640A03">
        <w:t xml:space="preserve">The NRC staff is interested in any future licensing actions that are currently being considered by the licensee whether they plan to submit in 1, 3, 5, or more years. </w:t>
      </w:r>
    </w:p>
    <w:p w:rsidR="002221A5" w:rsidP="002221A5" w14:paraId="28830FB0" w14:textId="77777777">
      <w:pPr>
        <w:ind w:left="1080"/>
      </w:pPr>
    </w:p>
    <w:p w:rsidR="002221A5" w:rsidP="002221A5" w14:paraId="46FD8F1B" w14:textId="77777777">
      <w:pPr>
        <w:ind w:left="1080"/>
      </w:pPr>
      <w:r>
        <w:rPr>
          <w:i/>
          <w:iCs/>
        </w:rPr>
        <w:t>Comment</w:t>
      </w:r>
      <w:r>
        <w:t>:</w:t>
      </w:r>
    </w:p>
    <w:p w:rsidR="002221A5" w:rsidP="002221A5" w14:paraId="0867D32E" w14:textId="77777777">
      <w:pPr>
        <w:ind w:left="1080"/>
      </w:pPr>
      <w:r w:rsidRPr="00CA651E">
        <w:t>We don’t see the need for any forms OR automated collection techniques at this time.</w:t>
      </w:r>
    </w:p>
    <w:p w:rsidR="002221A5" w:rsidP="002221A5" w14:paraId="121D536C" w14:textId="77777777">
      <w:pPr>
        <w:ind w:left="1080"/>
      </w:pPr>
    </w:p>
    <w:p w:rsidR="002221A5" w:rsidP="002221A5" w14:paraId="0A160332" w14:textId="77777777">
      <w:pPr>
        <w:ind w:left="1080"/>
      </w:pPr>
      <w:r w:rsidRPr="00CA651E">
        <w:rPr>
          <w:i/>
          <w:iCs/>
        </w:rPr>
        <w:t>NRC staff response</w:t>
      </w:r>
      <w:r>
        <w:t>:</w:t>
      </w:r>
    </w:p>
    <w:p w:rsidR="00CA651E" w:rsidRPr="00CA651E" w:rsidP="002221A5" w14:paraId="06EF9B11" w14:textId="47B2624D">
      <w:pPr>
        <w:ind w:left="1080"/>
      </w:pPr>
      <w:r>
        <w:t>Agree.</w:t>
      </w:r>
    </w:p>
    <w:p w:rsidR="0058759F" w:rsidP="00716164" w14:paraId="640621A7" w14:textId="77777777">
      <w:pPr>
        <w:spacing w:line="240" w:lineRule="auto"/>
      </w:pPr>
    </w:p>
    <w:p w:rsidR="0058759F" w:rsidP="00716164" w14:paraId="5A45EAC5" w14:textId="77777777">
      <w:pPr>
        <w:numPr>
          <w:ilvl w:val="0"/>
          <w:numId w:val="2"/>
        </w:numPr>
        <w:spacing w:line="240" w:lineRule="auto"/>
      </w:pPr>
      <w:r>
        <w:rPr>
          <w:u w:val="single"/>
        </w:rPr>
        <w:t>Payment or Gift to Respondents</w:t>
      </w:r>
    </w:p>
    <w:p w:rsidR="0058759F" w:rsidP="00716164" w14:paraId="474C5F02" w14:textId="77777777">
      <w:pPr>
        <w:spacing w:line="240" w:lineRule="auto"/>
      </w:pPr>
    </w:p>
    <w:p w:rsidR="0058759F" w:rsidRPr="00333B30" w:rsidP="00716164" w14:paraId="57E5A897" w14:textId="77777777">
      <w:pPr>
        <w:widowControl w:val="0"/>
        <w:spacing w:line="240" w:lineRule="auto"/>
        <w:ind w:left="1080"/>
      </w:pPr>
      <w:r>
        <w:t>Not applicable.</w:t>
      </w:r>
    </w:p>
    <w:p w:rsidR="0058759F" w:rsidP="00716164" w14:paraId="20819308" w14:textId="77777777">
      <w:pPr>
        <w:spacing w:line="240" w:lineRule="auto"/>
      </w:pPr>
    </w:p>
    <w:p w:rsidR="0058759F" w:rsidRPr="002A64F1" w:rsidP="00716164" w14:paraId="25F25C25" w14:textId="77777777">
      <w:pPr>
        <w:numPr>
          <w:ilvl w:val="0"/>
          <w:numId w:val="2"/>
        </w:numPr>
        <w:spacing w:line="240" w:lineRule="auto"/>
      </w:pPr>
      <w:r>
        <w:rPr>
          <w:u w:val="single"/>
        </w:rPr>
        <w:t>Confidentiality of Information</w:t>
      </w:r>
    </w:p>
    <w:p w:rsidR="0058759F" w:rsidP="00716164" w14:paraId="5DC5C0CB" w14:textId="77777777">
      <w:pPr>
        <w:spacing w:line="240" w:lineRule="auto"/>
        <w:rPr>
          <w:u w:val="single"/>
        </w:rPr>
      </w:pPr>
    </w:p>
    <w:p w:rsidR="0058759F" w:rsidRPr="00333B30" w:rsidP="00716164" w14:paraId="06822549" w14:textId="77777777">
      <w:pPr>
        <w:widowControl w:val="0"/>
        <w:spacing w:line="240" w:lineRule="auto"/>
        <w:ind w:left="1080"/>
      </w:pPr>
      <w:r>
        <w:t>Confidential and proprietary information is protected in accordance with NRC regulations at 10 CFR 9.17(a) and 10 CFR 2.390(b).</w:t>
      </w:r>
    </w:p>
    <w:p w:rsidR="0058759F" w:rsidP="00716164" w14:paraId="49DD0675" w14:textId="77777777">
      <w:pPr>
        <w:spacing w:line="240" w:lineRule="auto"/>
      </w:pPr>
    </w:p>
    <w:p w:rsidR="0058759F" w:rsidRPr="002A64F1" w:rsidP="00716164" w14:paraId="3F4DA566" w14:textId="77777777">
      <w:pPr>
        <w:numPr>
          <w:ilvl w:val="0"/>
          <w:numId w:val="2"/>
        </w:numPr>
        <w:spacing w:line="240" w:lineRule="auto"/>
      </w:pPr>
      <w:r>
        <w:rPr>
          <w:u w:val="single"/>
        </w:rPr>
        <w:t>Justification for Sensitive Questions</w:t>
      </w:r>
    </w:p>
    <w:p w:rsidR="0058759F" w:rsidP="00716164" w14:paraId="20CF0D4D" w14:textId="77777777">
      <w:pPr>
        <w:spacing w:line="240" w:lineRule="auto"/>
        <w:rPr>
          <w:u w:val="single"/>
        </w:rPr>
      </w:pPr>
    </w:p>
    <w:p w:rsidR="0058759F" w:rsidRPr="00333B30" w:rsidP="00716164" w14:paraId="423E153E" w14:textId="2923711C">
      <w:pPr>
        <w:widowControl w:val="0"/>
        <w:spacing w:line="240" w:lineRule="auto"/>
        <w:ind w:left="1080"/>
      </w:pPr>
      <w:r>
        <w:t>No</w:t>
      </w:r>
      <w:r w:rsidR="001169B5">
        <w:t xml:space="preserve"> sensitive information is required</w:t>
      </w:r>
      <w:r>
        <w:t>.</w:t>
      </w:r>
    </w:p>
    <w:p w:rsidR="0058759F" w:rsidP="00716164" w14:paraId="62C1D64B" w14:textId="77777777">
      <w:pPr>
        <w:spacing w:line="240" w:lineRule="auto"/>
      </w:pPr>
    </w:p>
    <w:p w:rsidR="0058759F" w:rsidRPr="00EF1435" w:rsidP="0011526E" w14:paraId="5A3AA72F" w14:textId="01D6DA0C">
      <w:pPr>
        <w:pStyle w:val="ListParagraph"/>
        <w:numPr>
          <w:ilvl w:val="0"/>
          <w:numId w:val="2"/>
        </w:numPr>
        <w:spacing w:line="240" w:lineRule="auto"/>
        <w:rPr>
          <w:u w:val="single"/>
        </w:rPr>
      </w:pPr>
      <w:bookmarkStart w:id="0" w:name="_Hlk105503126"/>
      <w:r w:rsidRPr="00EF1435">
        <w:rPr>
          <w:u w:val="single"/>
        </w:rPr>
        <w:t>Estimated Burden and Burden Hour Cost</w:t>
      </w:r>
    </w:p>
    <w:p w:rsidR="0011526E" w:rsidP="0011526E" w14:paraId="0EC347D7" w14:textId="77777777">
      <w:pPr>
        <w:pStyle w:val="ListParagraph"/>
        <w:spacing w:line="240" w:lineRule="auto"/>
        <w:ind w:left="1080"/>
      </w:pPr>
    </w:p>
    <w:p w:rsidR="001A202D" w:rsidP="008A24FA" w14:paraId="5FC499EE" w14:textId="77777777">
      <w:pPr>
        <w:pStyle w:val="BodyText"/>
        <w:spacing w:before="93"/>
        <w:ind w:left="1080" w:right="120"/>
      </w:pPr>
      <w:r>
        <w:t xml:space="preserve">The RIS will be sent to holders of Part 50 operating licenses or Part 52 combined licenses for nuclear power reactors, except those that have permanently ceased operations and have certified that fuel has been permanently removed from the reactor vessel or combined license holders that have not receive authorization to load nuclear fuel and begin operation. There are </w:t>
      </w:r>
      <w:r w:rsidRPr="00266712">
        <w:t>9</w:t>
      </w:r>
      <w:r>
        <w:t xml:space="preserve">4 operating reactor units at 54 sites that are expected to potentially respond to the survey. The reactor licensees that will respond to the survey are expected to provide one response for all units at sites with multiple units with an indication of whether the requested information is applicable to all units or select units, and if so, which ones. Based on interactions with industry, the NRC anticipates a modest response from reactor licensees. </w:t>
      </w:r>
      <w:r w:rsidRPr="00F027D9">
        <w:t>The burden to the public for this voluntary information collection to respond to the survey is estimated to average 20</w:t>
      </w:r>
      <w:r>
        <w:t>0</w:t>
      </w:r>
      <w:r w:rsidRPr="00F027D9">
        <w:t xml:space="preserve"> hours per response. Because the NRC is also asking industry for voluntary updates the NRC estimates that it will receive responses in </w:t>
      </w:r>
      <w:r>
        <w:br w:type="page"/>
      </w:r>
    </w:p>
    <w:p w:rsidR="002221A5" w:rsidRPr="00F027D9" w:rsidP="008A24FA" w14:paraId="547FAFAF" w14:textId="35D8F891">
      <w:pPr>
        <w:pStyle w:val="BodyText"/>
        <w:spacing w:before="93"/>
        <w:ind w:left="1080" w:right="120"/>
      </w:pPr>
      <w:r w:rsidRPr="00F027D9">
        <w:t>the second and third years of the clearance period</w:t>
      </w:r>
      <w:r>
        <w:t>, (4.33 respondents, 13 responses total)</w:t>
      </w:r>
      <w:r w:rsidRPr="00F027D9">
        <w:t xml:space="preserve">. The staff anticipates on average </w:t>
      </w:r>
      <w:r>
        <w:t>4.33</w:t>
      </w:r>
      <w:r w:rsidRPr="00F027D9">
        <w:t xml:space="preserve"> responses per year (5 in year 1 + 4 in year 2 + 4 in year 3). The total annualized burden for the collection is 8</w:t>
      </w:r>
      <w:r>
        <w:t>67</w:t>
      </w:r>
      <w:r w:rsidRPr="00F027D9">
        <w:t xml:space="preserve"> hours and </w:t>
      </w:r>
      <w:r>
        <w:t>4.33</w:t>
      </w:r>
      <w:r w:rsidRPr="00F027D9">
        <w:t xml:space="preserve"> responses, (see burden spreadsheet) at a cost of $</w:t>
      </w:r>
      <w:r>
        <w:t xml:space="preserve">260,100 </w:t>
      </w:r>
      <w:r w:rsidRPr="00F027D9">
        <w:t>(8</w:t>
      </w:r>
      <w:r>
        <w:t>67 </w:t>
      </w:r>
      <w:r w:rsidRPr="00F027D9">
        <w:t>hours x $</w:t>
      </w:r>
      <w:r>
        <w:t>300</w:t>
      </w:r>
      <w:r w:rsidRPr="00F027D9">
        <w:t>/hr.)</w:t>
      </w:r>
    </w:p>
    <w:p w:rsidR="002221A5" w:rsidP="008A24FA" w14:paraId="41AE1AF9" w14:textId="77777777">
      <w:pPr>
        <w:pStyle w:val="BodyText"/>
        <w:spacing w:before="93"/>
        <w:ind w:left="1080" w:right="120"/>
        <w:rPr>
          <w:rFonts w:eastAsia="Times New Roman"/>
          <w:shd w:val="clear" w:color="auto" w:fill="FFFFFF"/>
        </w:rPr>
      </w:pPr>
      <w:r w:rsidRPr="00D22BD4">
        <w:t>Burden estimates for each year in the clearance cycle are included in the</w:t>
      </w:r>
      <w:r>
        <w:t xml:space="preserve"> </w:t>
      </w:r>
      <w:r w:rsidRPr="00D22BD4">
        <w:t>supplemental burden spreadsheet.</w:t>
      </w:r>
    </w:p>
    <w:p w:rsidR="002221A5" w:rsidP="002221A5" w14:paraId="4F4D958D" w14:textId="77777777">
      <w:pPr>
        <w:pStyle w:val="BodyText"/>
        <w:ind w:left="961" w:right="120"/>
        <w:rPr>
          <w:rFonts w:eastAsia="Times New Roman"/>
          <w:shd w:val="clear" w:color="auto" w:fill="FFFFFF"/>
        </w:rPr>
      </w:pPr>
    </w:p>
    <w:tbl>
      <w:tblPr>
        <w:tblW w:w="5161" w:type="dxa"/>
        <w:jc w:val="center"/>
        <w:tblLook w:val="04A0"/>
      </w:tblPr>
      <w:tblGrid>
        <w:gridCol w:w="1965"/>
        <w:gridCol w:w="1440"/>
        <w:gridCol w:w="1756"/>
      </w:tblGrid>
      <w:tr w14:paraId="3A1B2663" w14:textId="77777777" w:rsidTr="001C1F7C">
        <w:tblPrEx>
          <w:tblW w:w="5161" w:type="dxa"/>
          <w:jc w:val="center"/>
          <w:tblLook w:val="04A0"/>
        </w:tblPrEx>
        <w:trPr>
          <w:trHeight w:val="510"/>
          <w:jc w:val="center"/>
        </w:trPr>
        <w:tc>
          <w:tcPr>
            <w:tcW w:w="5161" w:type="dxa"/>
            <w:gridSpan w:val="3"/>
            <w:tcBorders>
              <w:top w:val="double" w:sz="4" w:space="0" w:color="auto"/>
              <w:left w:val="double" w:sz="4" w:space="0" w:color="auto"/>
              <w:bottom w:val="single" w:sz="4" w:space="0" w:color="auto"/>
              <w:right w:val="double" w:sz="4" w:space="0" w:color="auto"/>
            </w:tcBorders>
            <w:shd w:val="clear" w:color="auto" w:fill="auto"/>
            <w:vAlign w:val="bottom"/>
            <w:hideMark/>
          </w:tcPr>
          <w:p w:rsidR="002221A5" w:rsidRPr="00F2678A" w:rsidP="001C1F7C" w14:paraId="6E6F2CEB" w14:textId="77777777">
            <w:pPr>
              <w:spacing w:line="240" w:lineRule="auto"/>
              <w:jc w:val="center"/>
              <w:rPr>
                <w:rFonts w:eastAsia="Times New Roman"/>
                <w:color w:val="000000"/>
              </w:rPr>
            </w:pPr>
            <w:r w:rsidRPr="00F2678A">
              <w:rPr>
                <w:rFonts w:eastAsia="Times New Roman"/>
                <w:color w:val="000000"/>
              </w:rPr>
              <w:t>Table 1. Total Annualized Burden and Responses</w:t>
            </w:r>
          </w:p>
        </w:tc>
      </w:tr>
      <w:tr w14:paraId="7AE1CDF7" w14:textId="77777777" w:rsidTr="001C1F7C">
        <w:tblPrEx>
          <w:tblW w:w="5161" w:type="dxa"/>
          <w:jc w:val="center"/>
          <w:tblLook w:val="04A0"/>
        </w:tblPrEx>
        <w:trPr>
          <w:trHeight w:val="272"/>
          <w:jc w:val="center"/>
        </w:trPr>
        <w:tc>
          <w:tcPr>
            <w:tcW w:w="1965" w:type="dxa"/>
            <w:tcBorders>
              <w:top w:val="nil"/>
              <w:left w:val="double" w:sz="4" w:space="0" w:color="auto"/>
              <w:bottom w:val="single" w:sz="4" w:space="0" w:color="auto"/>
              <w:right w:val="single" w:sz="4" w:space="0" w:color="auto"/>
            </w:tcBorders>
            <w:shd w:val="clear" w:color="auto" w:fill="auto"/>
            <w:noWrap/>
            <w:vAlign w:val="bottom"/>
            <w:hideMark/>
          </w:tcPr>
          <w:p w:rsidR="002221A5" w:rsidRPr="00F2678A" w:rsidP="001C1F7C" w14:paraId="3E9C76E9" w14:textId="77777777">
            <w:pPr>
              <w:spacing w:line="240" w:lineRule="auto"/>
              <w:rPr>
                <w:rFonts w:eastAsia="Times New Roman"/>
                <w:color w:val="000000"/>
              </w:rPr>
            </w:pPr>
            <w:r w:rsidRPr="00F2678A">
              <w:rPr>
                <w:rFonts w:eastAsia="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2221A5" w:rsidRPr="00F2678A" w:rsidP="001C1F7C" w14:paraId="138AA569" w14:textId="77777777">
            <w:pPr>
              <w:spacing w:line="240" w:lineRule="auto"/>
              <w:rPr>
                <w:rFonts w:eastAsia="Times New Roman"/>
                <w:color w:val="000000"/>
              </w:rPr>
            </w:pPr>
            <w:r w:rsidRPr="00F2678A">
              <w:rPr>
                <w:rFonts w:eastAsia="Times New Roman"/>
                <w:color w:val="000000"/>
              </w:rPr>
              <w:t>Hours</w:t>
            </w:r>
          </w:p>
        </w:tc>
        <w:tc>
          <w:tcPr>
            <w:tcW w:w="1756" w:type="dxa"/>
            <w:tcBorders>
              <w:top w:val="nil"/>
              <w:left w:val="nil"/>
              <w:bottom w:val="single" w:sz="4" w:space="0" w:color="auto"/>
              <w:right w:val="double" w:sz="4" w:space="0" w:color="auto"/>
            </w:tcBorders>
            <w:shd w:val="clear" w:color="auto" w:fill="auto"/>
            <w:noWrap/>
            <w:vAlign w:val="bottom"/>
            <w:hideMark/>
          </w:tcPr>
          <w:p w:rsidR="002221A5" w:rsidRPr="00F2678A" w:rsidP="001C1F7C" w14:paraId="48F85BAD" w14:textId="77777777">
            <w:pPr>
              <w:spacing w:line="240" w:lineRule="auto"/>
              <w:rPr>
                <w:rFonts w:eastAsia="Times New Roman"/>
                <w:color w:val="000000"/>
              </w:rPr>
            </w:pPr>
            <w:r w:rsidRPr="00F2678A">
              <w:rPr>
                <w:rFonts w:eastAsia="Times New Roman"/>
                <w:color w:val="000000"/>
              </w:rPr>
              <w:t>Responses</w:t>
            </w:r>
          </w:p>
        </w:tc>
      </w:tr>
      <w:tr w14:paraId="213D5646" w14:textId="77777777" w:rsidTr="001C1F7C">
        <w:tblPrEx>
          <w:tblW w:w="5161" w:type="dxa"/>
          <w:jc w:val="center"/>
          <w:tblLook w:val="04A0"/>
        </w:tblPrEx>
        <w:trPr>
          <w:trHeight w:val="272"/>
          <w:jc w:val="center"/>
        </w:trPr>
        <w:tc>
          <w:tcPr>
            <w:tcW w:w="1965" w:type="dxa"/>
            <w:tcBorders>
              <w:top w:val="nil"/>
              <w:left w:val="double" w:sz="4" w:space="0" w:color="auto"/>
              <w:bottom w:val="single" w:sz="4" w:space="0" w:color="auto"/>
              <w:right w:val="single" w:sz="4" w:space="0" w:color="auto"/>
            </w:tcBorders>
            <w:shd w:val="clear" w:color="auto" w:fill="auto"/>
            <w:noWrap/>
            <w:vAlign w:val="bottom"/>
            <w:hideMark/>
          </w:tcPr>
          <w:p w:rsidR="002221A5" w:rsidRPr="00F2678A" w:rsidP="001C1F7C" w14:paraId="43A77FEE" w14:textId="77777777">
            <w:pPr>
              <w:spacing w:line="240" w:lineRule="auto"/>
              <w:rPr>
                <w:rFonts w:eastAsia="Times New Roman"/>
                <w:color w:val="000000"/>
              </w:rPr>
            </w:pPr>
            <w:r w:rsidRPr="00F2678A">
              <w:rPr>
                <w:rFonts w:eastAsia="Times New Roman"/>
                <w:color w:val="000000"/>
              </w:rPr>
              <w:t>Year 1</w:t>
            </w:r>
          </w:p>
        </w:tc>
        <w:tc>
          <w:tcPr>
            <w:tcW w:w="1440" w:type="dxa"/>
            <w:tcBorders>
              <w:top w:val="nil"/>
              <w:left w:val="nil"/>
              <w:bottom w:val="single" w:sz="4" w:space="0" w:color="auto"/>
              <w:right w:val="single" w:sz="4" w:space="0" w:color="auto"/>
            </w:tcBorders>
            <w:shd w:val="clear" w:color="auto" w:fill="auto"/>
            <w:noWrap/>
            <w:vAlign w:val="bottom"/>
            <w:hideMark/>
          </w:tcPr>
          <w:p w:rsidR="002221A5" w:rsidRPr="00F2678A" w:rsidP="001C1F7C" w14:paraId="0BE3A967" w14:textId="77777777">
            <w:pPr>
              <w:spacing w:line="240" w:lineRule="auto"/>
              <w:jc w:val="center"/>
              <w:rPr>
                <w:rFonts w:eastAsia="Times New Roman"/>
                <w:color w:val="000000"/>
              </w:rPr>
            </w:pPr>
            <w:r>
              <w:rPr>
                <w:rFonts w:eastAsia="Times New Roman"/>
                <w:color w:val="000000"/>
              </w:rPr>
              <w:t>1000</w:t>
            </w:r>
          </w:p>
        </w:tc>
        <w:tc>
          <w:tcPr>
            <w:tcW w:w="1756" w:type="dxa"/>
            <w:tcBorders>
              <w:top w:val="nil"/>
              <w:left w:val="nil"/>
              <w:bottom w:val="single" w:sz="4" w:space="0" w:color="auto"/>
              <w:right w:val="double" w:sz="4" w:space="0" w:color="auto"/>
            </w:tcBorders>
            <w:shd w:val="clear" w:color="auto" w:fill="auto"/>
            <w:noWrap/>
            <w:vAlign w:val="bottom"/>
            <w:hideMark/>
          </w:tcPr>
          <w:p w:rsidR="002221A5" w:rsidRPr="00F2678A" w:rsidP="001C1F7C" w14:paraId="37E68306" w14:textId="77777777">
            <w:pPr>
              <w:spacing w:line="240" w:lineRule="auto"/>
              <w:jc w:val="center"/>
              <w:rPr>
                <w:rFonts w:eastAsia="Times New Roman"/>
                <w:color w:val="000000"/>
              </w:rPr>
            </w:pPr>
            <w:r>
              <w:rPr>
                <w:rFonts w:eastAsia="Times New Roman"/>
                <w:color w:val="000000"/>
              </w:rPr>
              <w:t>5</w:t>
            </w:r>
          </w:p>
        </w:tc>
      </w:tr>
      <w:tr w14:paraId="0A42F33E" w14:textId="77777777" w:rsidTr="001C1F7C">
        <w:tblPrEx>
          <w:tblW w:w="5161" w:type="dxa"/>
          <w:jc w:val="center"/>
          <w:tblLook w:val="04A0"/>
        </w:tblPrEx>
        <w:trPr>
          <w:trHeight w:val="272"/>
          <w:jc w:val="center"/>
        </w:trPr>
        <w:tc>
          <w:tcPr>
            <w:tcW w:w="1965" w:type="dxa"/>
            <w:tcBorders>
              <w:top w:val="nil"/>
              <w:left w:val="double" w:sz="4" w:space="0" w:color="auto"/>
              <w:bottom w:val="single" w:sz="4" w:space="0" w:color="auto"/>
              <w:right w:val="single" w:sz="4" w:space="0" w:color="auto"/>
            </w:tcBorders>
            <w:shd w:val="clear" w:color="auto" w:fill="auto"/>
            <w:noWrap/>
            <w:vAlign w:val="bottom"/>
            <w:hideMark/>
          </w:tcPr>
          <w:p w:rsidR="002221A5" w:rsidRPr="00F2678A" w:rsidP="001C1F7C" w14:paraId="49236DC8" w14:textId="77777777">
            <w:pPr>
              <w:spacing w:line="240" w:lineRule="auto"/>
              <w:rPr>
                <w:rFonts w:eastAsia="Times New Roman"/>
                <w:color w:val="000000"/>
              </w:rPr>
            </w:pPr>
            <w:r w:rsidRPr="00F2678A">
              <w:rPr>
                <w:rFonts w:eastAsia="Times New Roman"/>
                <w:color w:val="000000"/>
              </w:rPr>
              <w:t>Year 2</w:t>
            </w:r>
          </w:p>
        </w:tc>
        <w:tc>
          <w:tcPr>
            <w:tcW w:w="1440" w:type="dxa"/>
            <w:tcBorders>
              <w:top w:val="nil"/>
              <w:left w:val="nil"/>
              <w:bottom w:val="single" w:sz="4" w:space="0" w:color="auto"/>
              <w:right w:val="single" w:sz="4" w:space="0" w:color="auto"/>
            </w:tcBorders>
            <w:shd w:val="clear" w:color="auto" w:fill="auto"/>
            <w:noWrap/>
            <w:vAlign w:val="bottom"/>
            <w:hideMark/>
          </w:tcPr>
          <w:p w:rsidR="002221A5" w:rsidRPr="00F2678A" w:rsidP="001C1F7C" w14:paraId="6F376DE4" w14:textId="77777777">
            <w:pPr>
              <w:spacing w:line="240" w:lineRule="auto"/>
              <w:jc w:val="center"/>
              <w:rPr>
                <w:rFonts w:eastAsia="Times New Roman"/>
                <w:color w:val="000000"/>
              </w:rPr>
            </w:pPr>
            <w:r>
              <w:rPr>
                <w:rFonts w:eastAsia="Times New Roman"/>
                <w:color w:val="000000"/>
              </w:rPr>
              <w:t>800</w:t>
            </w:r>
          </w:p>
        </w:tc>
        <w:tc>
          <w:tcPr>
            <w:tcW w:w="1756" w:type="dxa"/>
            <w:tcBorders>
              <w:top w:val="nil"/>
              <w:left w:val="nil"/>
              <w:bottom w:val="single" w:sz="4" w:space="0" w:color="auto"/>
              <w:right w:val="double" w:sz="4" w:space="0" w:color="auto"/>
            </w:tcBorders>
            <w:shd w:val="clear" w:color="auto" w:fill="auto"/>
            <w:noWrap/>
            <w:vAlign w:val="bottom"/>
            <w:hideMark/>
          </w:tcPr>
          <w:p w:rsidR="002221A5" w:rsidRPr="00F2678A" w:rsidP="001C1F7C" w14:paraId="3C7FB4AC" w14:textId="77777777">
            <w:pPr>
              <w:spacing w:line="240" w:lineRule="auto"/>
              <w:jc w:val="center"/>
              <w:rPr>
                <w:rFonts w:eastAsia="Times New Roman"/>
                <w:color w:val="000000"/>
              </w:rPr>
            </w:pPr>
            <w:r>
              <w:rPr>
                <w:rFonts w:eastAsia="Times New Roman"/>
                <w:color w:val="000000"/>
              </w:rPr>
              <w:t>4</w:t>
            </w:r>
          </w:p>
        </w:tc>
      </w:tr>
      <w:tr w14:paraId="0C686B55" w14:textId="77777777" w:rsidTr="001C1F7C">
        <w:tblPrEx>
          <w:tblW w:w="5161" w:type="dxa"/>
          <w:jc w:val="center"/>
          <w:tblLook w:val="04A0"/>
        </w:tblPrEx>
        <w:trPr>
          <w:trHeight w:val="272"/>
          <w:jc w:val="center"/>
        </w:trPr>
        <w:tc>
          <w:tcPr>
            <w:tcW w:w="1965" w:type="dxa"/>
            <w:tcBorders>
              <w:top w:val="nil"/>
              <w:left w:val="double" w:sz="4" w:space="0" w:color="auto"/>
              <w:bottom w:val="single" w:sz="4" w:space="0" w:color="auto"/>
              <w:right w:val="single" w:sz="4" w:space="0" w:color="auto"/>
            </w:tcBorders>
            <w:shd w:val="clear" w:color="auto" w:fill="auto"/>
            <w:noWrap/>
            <w:vAlign w:val="bottom"/>
            <w:hideMark/>
          </w:tcPr>
          <w:p w:rsidR="002221A5" w:rsidRPr="00F2678A" w:rsidP="001C1F7C" w14:paraId="457A534F" w14:textId="77777777">
            <w:pPr>
              <w:spacing w:line="240" w:lineRule="auto"/>
              <w:rPr>
                <w:rFonts w:eastAsia="Times New Roman"/>
                <w:color w:val="000000"/>
              </w:rPr>
            </w:pPr>
            <w:r w:rsidRPr="00F2678A">
              <w:rPr>
                <w:rFonts w:eastAsia="Times New Roman"/>
                <w:color w:val="000000"/>
              </w:rPr>
              <w:t>Year 3</w:t>
            </w:r>
          </w:p>
        </w:tc>
        <w:tc>
          <w:tcPr>
            <w:tcW w:w="1440" w:type="dxa"/>
            <w:tcBorders>
              <w:top w:val="nil"/>
              <w:left w:val="nil"/>
              <w:bottom w:val="single" w:sz="4" w:space="0" w:color="auto"/>
              <w:right w:val="single" w:sz="4" w:space="0" w:color="auto"/>
            </w:tcBorders>
            <w:shd w:val="clear" w:color="auto" w:fill="auto"/>
            <w:noWrap/>
            <w:vAlign w:val="bottom"/>
            <w:hideMark/>
          </w:tcPr>
          <w:p w:rsidR="002221A5" w:rsidRPr="00F2678A" w:rsidP="001C1F7C" w14:paraId="00DAE9FA" w14:textId="77777777">
            <w:pPr>
              <w:spacing w:line="240" w:lineRule="auto"/>
              <w:jc w:val="center"/>
              <w:rPr>
                <w:rFonts w:eastAsia="Times New Roman"/>
                <w:color w:val="000000"/>
              </w:rPr>
            </w:pPr>
            <w:r>
              <w:rPr>
                <w:rFonts w:eastAsia="Times New Roman"/>
                <w:color w:val="000000"/>
              </w:rPr>
              <w:t>800</w:t>
            </w:r>
          </w:p>
        </w:tc>
        <w:tc>
          <w:tcPr>
            <w:tcW w:w="1756" w:type="dxa"/>
            <w:tcBorders>
              <w:top w:val="nil"/>
              <w:left w:val="nil"/>
              <w:bottom w:val="single" w:sz="4" w:space="0" w:color="auto"/>
              <w:right w:val="double" w:sz="4" w:space="0" w:color="auto"/>
            </w:tcBorders>
            <w:shd w:val="clear" w:color="auto" w:fill="auto"/>
            <w:noWrap/>
            <w:vAlign w:val="bottom"/>
            <w:hideMark/>
          </w:tcPr>
          <w:p w:rsidR="002221A5" w:rsidRPr="00F2678A" w:rsidP="001C1F7C" w14:paraId="694EBAFD" w14:textId="77777777">
            <w:pPr>
              <w:spacing w:line="240" w:lineRule="auto"/>
              <w:jc w:val="center"/>
              <w:rPr>
                <w:rFonts w:eastAsia="Times New Roman"/>
                <w:color w:val="000000"/>
              </w:rPr>
            </w:pPr>
            <w:r>
              <w:rPr>
                <w:rFonts w:eastAsia="Times New Roman"/>
                <w:color w:val="000000"/>
              </w:rPr>
              <w:t>4</w:t>
            </w:r>
          </w:p>
        </w:tc>
      </w:tr>
      <w:tr w14:paraId="4190C9BE" w14:textId="77777777" w:rsidTr="001C1F7C">
        <w:tblPrEx>
          <w:tblW w:w="5161" w:type="dxa"/>
          <w:jc w:val="center"/>
          <w:tblLook w:val="04A0"/>
        </w:tblPrEx>
        <w:trPr>
          <w:trHeight w:val="272"/>
          <w:jc w:val="center"/>
        </w:trPr>
        <w:tc>
          <w:tcPr>
            <w:tcW w:w="1965"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rsidR="002221A5" w:rsidRPr="00F2678A" w:rsidP="001C1F7C" w14:paraId="1CEA5EA4" w14:textId="77777777">
            <w:pPr>
              <w:spacing w:line="240" w:lineRule="auto"/>
              <w:rPr>
                <w:rFonts w:eastAsia="Times New Roman"/>
                <w:color w:val="000000"/>
              </w:rPr>
            </w:pPr>
            <w:r w:rsidRPr="00F2678A">
              <w:rPr>
                <w:rFonts w:eastAsia="Times New Roman"/>
                <w:color w:val="000000"/>
              </w:rPr>
              <w:t>Annual Average</w:t>
            </w:r>
          </w:p>
        </w:tc>
        <w:tc>
          <w:tcPr>
            <w:tcW w:w="1440" w:type="dxa"/>
            <w:tcBorders>
              <w:top w:val="single" w:sz="4" w:space="0" w:color="auto"/>
              <w:left w:val="nil"/>
              <w:bottom w:val="double" w:sz="4" w:space="0" w:color="auto"/>
              <w:right w:val="single" w:sz="4" w:space="0" w:color="auto"/>
            </w:tcBorders>
            <w:shd w:val="clear" w:color="auto" w:fill="auto"/>
            <w:noWrap/>
            <w:vAlign w:val="bottom"/>
            <w:hideMark/>
          </w:tcPr>
          <w:p w:rsidR="002221A5" w:rsidRPr="00F2678A" w:rsidP="001C1F7C" w14:paraId="663D8D59" w14:textId="77777777">
            <w:pPr>
              <w:spacing w:line="240" w:lineRule="auto"/>
              <w:jc w:val="center"/>
              <w:rPr>
                <w:rFonts w:eastAsia="Times New Roman"/>
                <w:color w:val="000000"/>
              </w:rPr>
            </w:pPr>
            <w:r>
              <w:rPr>
                <w:rFonts w:eastAsia="Times New Roman"/>
                <w:color w:val="000000"/>
              </w:rPr>
              <w:t>867</w:t>
            </w:r>
          </w:p>
        </w:tc>
        <w:tc>
          <w:tcPr>
            <w:tcW w:w="1756" w:type="dxa"/>
            <w:tcBorders>
              <w:top w:val="single" w:sz="4" w:space="0" w:color="auto"/>
              <w:left w:val="nil"/>
              <w:bottom w:val="double" w:sz="4" w:space="0" w:color="auto"/>
              <w:right w:val="double" w:sz="4" w:space="0" w:color="auto"/>
            </w:tcBorders>
            <w:shd w:val="clear" w:color="auto" w:fill="auto"/>
            <w:noWrap/>
            <w:vAlign w:val="bottom"/>
            <w:hideMark/>
          </w:tcPr>
          <w:p w:rsidR="002221A5" w:rsidRPr="00F2678A" w:rsidP="001C1F7C" w14:paraId="62646C04" w14:textId="77777777">
            <w:pPr>
              <w:spacing w:line="240" w:lineRule="auto"/>
              <w:jc w:val="center"/>
              <w:rPr>
                <w:rFonts w:eastAsia="Times New Roman"/>
                <w:color w:val="000000"/>
              </w:rPr>
            </w:pPr>
            <w:r>
              <w:rPr>
                <w:rFonts w:eastAsia="Times New Roman"/>
                <w:color w:val="000000"/>
              </w:rPr>
              <w:t>4.33</w:t>
            </w:r>
          </w:p>
        </w:tc>
      </w:tr>
    </w:tbl>
    <w:p w:rsidR="00F2678A" w:rsidRPr="00556CFF" w:rsidP="00556CFF" w14:paraId="51C87950" w14:textId="77777777">
      <w:pPr>
        <w:pStyle w:val="BodyText"/>
        <w:ind w:left="961" w:right="120"/>
      </w:pPr>
    </w:p>
    <w:p w:rsidR="00F2678A" w:rsidP="008A24FA" w14:paraId="3A0FFB2B" w14:textId="6775452F">
      <w:pPr>
        <w:pStyle w:val="BodyText"/>
        <w:ind w:left="990" w:right="120" w:hanging="29"/>
        <w:rPr>
          <w:rFonts w:eastAsia="Times New Roman"/>
          <w:shd w:val="clear" w:color="auto" w:fill="FFFFFF"/>
        </w:rPr>
      </w:pPr>
      <w:r w:rsidRPr="00556CFF">
        <w:t>The $300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2023 (</w:t>
      </w:r>
      <w:r w:rsidRPr="00556CFF">
        <w:rPr>
          <w:rFonts w:eastAsia="Times New Roman"/>
          <w:shd w:val="clear" w:color="auto" w:fill="FFFFFF"/>
        </w:rPr>
        <w:t>88 FR 39120, June 15, 2023).</w:t>
      </w:r>
    </w:p>
    <w:p w:rsidR="00F2678A" w:rsidP="00F2678A" w14:paraId="77DE3E5C" w14:textId="77777777">
      <w:pPr>
        <w:pStyle w:val="BodyText"/>
        <w:ind w:left="961" w:right="120"/>
        <w:rPr>
          <w:rFonts w:eastAsia="Times New Roman"/>
          <w:shd w:val="clear" w:color="auto" w:fill="FFFFFF"/>
        </w:rPr>
      </w:pPr>
    </w:p>
    <w:p w:rsidR="00F2678A" w:rsidP="008A24FA" w14:paraId="74EE2B8A" w14:textId="2D3E2479">
      <w:pPr>
        <w:pStyle w:val="BodyText"/>
        <w:ind w:left="961" w:right="120" w:firstLine="119"/>
        <w:rPr>
          <w:rFonts w:eastAsia="Times New Roman"/>
          <w:shd w:val="clear" w:color="auto" w:fill="FFFFFF"/>
        </w:rPr>
      </w:pPr>
      <w:r w:rsidRPr="00F2678A">
        <w:rPr>
          <w:rFonts w:eastAsia="Times New Roman"/>
          <w:shd w:val="clear" w:color="auto" w:fill="FFFFFF"/>
        </w:rPr>
        <w:t>Additionally, there are no recordkeeping requirements imposed in this clearance.</w:t>
      </w:r>
    </w:p>
    <w:bookmarkEnd w:id="0"/>
    <w:p w:rsidR="00556CFF" w:rsidP="00716164" w14:paraId="3EE29577" w14:textId="77777777">
      <w:pPr>
        <w:spacing w:line="240" w:lineRule="auto"/>
        <w:ind w:left="1080"/>
      </w:pPr>
    </w:p>
    <w:p w:rsidR="0058759F" w:rsidP="00716164" w14:paraId="62A16683"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58759F" w:rsidP="00716164" w14:paraId="64E68D9F" w14:textId="77777777">
      <w:pPr>
        <w:pStyle w:val="Level1"/>
        <w:widowControl/>
        <w:rPr>
          <w:rFonts w:ascii="Arial" w:hAnsi="Arial"/>
          <w:sz w:val="22"/>
        </w:rPr>
      </w:pPr>
    </w:p>
    <w:p w:rsidR="00D67E75" w:rsidRPr="00594502" w:rsidP="00D67E75" w14:paraId="607CA5DB" w14:textId="77777777">
      <w:pPr>
        <w:pStyle w:val="Level1"/>
        <w:widowControl/>
        <w:ind w:left="1080"/>
        <w:rPr>
          <w:rFonts w:ascii="Arial" w:hAnsi="Arial"/>
          <w:sz w:val="22"/>
          <w:u w:val="single"/>
        </w:rPr>
      </w:pPr>
      <w:r>
        <w:rPr>
          <w:rFonts w:ascii="Arial" w:hAnsi="Arial"/>
          <w:sz w:val="22"/>
        </w:rPr>
        <w:t>No other additional costs are anticipated.</w:t>
      </w:r>
    </w:p>
    <w:p w:rsidR="0058759F" w:rsidP="00716164" w14:paraId="10C5D41F" w14:textId="77777777">
      <w:pPr>
        <w:pStyle w:val="Level1"/>
        <w:widowControl/>
        <w:rPr>
          <w:rFonts w:ascii="Arial" w:hAnsi="Arial"/>
          <w:sz w:val="22"/>
        </w:rPr>
      </w:pPr>
    </w:p>
    <w:p w:rsidR="0058759F" w:rsidRPr="00AB590B" w:rsidP="00716164" w14:paraId="1067662F" w14:textId="0E4A0A65">
      <w:pPr>
        <w:pStyle w:val="Level1"/>
        <w:widowControl/>
        <w:numPr>
          <w:ilvl w:val="0"/>
          <w:numId w:val="2"/>
        </w:numPr>
        <w:rPr>
          <w:rFonts w:ascii="Arial" w:hAnsi="Arial"/>
          <w:sz w:val="22"/>
        </w:rPr>
      </w:pPr>
      <w:r w:rsidRPr="00AB590B">
        <w:rPr>
          <w:rFonts w:ascii="Arial" w:hAnsi="Arial"/>
          <w:sz w:val="22"/>
          <w:u w:val="single"/>
        </w:rPr>
        <w:t>Estimated Annualized Cost to the Federal Government</w:t>
      </w:r>
      <w:r w:rsidR="00D67E75">
        <w:rPr>
          <w:rFonts w:ascii="Arial" w:hAnsi="Arial"/>
          <w:sz w:val="22"/>
          <w:u w:val="single"/>
        </w:rPr>
        <w:t xml:space="preserve"> </w:t>
      </w:r>
    </w:p>
    <w:p w:rsidR="0058759F" w:rsidP="00716164" w14:paraId="69C7C009" w14:textId="77777777">
      <w:pPr>
        <w:pStyle w:val="Level1"/>
        <w:widowControl/>
        <w:rPr>
          <w:rFonts w:ascii="Arial" w:hAnsi="Arial"/>
          <w:sz w:val="22"/>
          <w:u w:val="single"/>
        </w:rPr>
      </w:pPr>
    </w:p>
    <w:p w:rsidR="0071272F" w:rsidP="0071272F" w14:paraId="207A24C2" w14:textId="2460A81A">
      <w:pPr>
        <w:pStyle w:val="Level1"/>
        <w:widowControl/>
        <w:ind w:left="1080"/>
        <w:rPr>
          <w:rFonts w:ascii="Arial" w:hAnsi="Arial" w:cs="Arial"/>
          <w:sz w:val="22"/>
          <w:szCs w:val="22"/>
        </w:rPr>
      </w:pPr>
      <w:bookmarkStart w:id="1" w:name="_Hlk33601274"/>
      <w:bookmarkStart w:id="2" w:name="_Hlk33628013"/>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bookmarkEnd w:id="1"/>
    </w:p>
    <w:p w:rsidR="005A39E6" w:rsidP="0071272F" w14:paraId="24BEF5A8" w14:textId="77777777">
      <w:pPr>
        <w:pStyle w:val="Level1"/>
        <w:widowControl/>
        <w:ind w:left="1080"/>
        <w:rPr>
          <w:rFonts w:ascii="Arial" w:hAnsi="Arial" w:cs="Arial"/>
          <w:sz w:val="22"/>
          <w:szCs w:val="22"/>
        </w:rPr>
      </w:pPr>
    </w:p>
    <w:p w:rsidR="005A39E6" w:rsidP="0071272F" w14:paraId="0863B2A3" w14:textId="4BB61DE7">
      <w:pPr>
        <w:pStyle w:val="Level1"/>
        <w:widowControl/>
        <w:ind w:left="1080"/>
        <w:rPr>
          <w:rFonts w:ascii="Arial" w:hAnsi="Arial"/>
          <w:sz w:val="22"/>
          <w:szCs w:val="22"/>
        </w:rPr>
      </w:pPr>
      <w:r>
        <w:rPr>
          <w:rFonts w:ascii="Arial" w:hAnsi="Arial"/>
          <w:sz w:val="22"/>
          <w:szCs w:val="22"/>
        </w:rPr>
        <w:t xml:space="preserve">The </w:t>
      </w:r>
      <w:r w:rsidR="004B3E6A">
        <w:rPr>
          <w:rFonts w:ascii="Arial" w:hAnsi="Arial"/>
          <w:sz w:val="22"/>
          <w:szCs w:val="22"/>
        </w:rPr>
        <w:t>annua</w:t>
      </w:r>
      <w:r w:rsidR="00240767">
        <w:rPr>
          <w:rFonts w:ascii="Arial" w:hAnsi="Arial"/>
          <w:sz w:val="22"/>
          <w:szCs w:val="22"/>
        </w:rPr>
        <w:t xml:space="preserve">lized cost to the government is estimated to be </w:t>
      </w:r>
      <w:r w:rsidR="002E185F">
        <w:rPr>
          <w:rFonts w:ascii="Arial" w:hAnsi="Arial"/>
          <w:sz w:val="22"/>
          <w:szCs w:val="22"/>
        </w:rPr>
        <w:t>$</w:t>
      </w:r>
      <w:r w:rsidR="005D3BDC">
        <w:rPr>
          <w:rFonts w:ascii="Arial" w:hAnsi="Arial"/>
          <w:sz w:val="22"/>
          <w:szCs w:val="22"/>
        </w:rPr>
        <w:t>15</w:t>
      </w:r>
      <w:r w:rsidR="002E185F">
        <w:rPr>
          <w:rFonts w:ascii="Arial" w:hAnsi="Arial"/>
          <w:sz w:val="22"/>
          <w:szCs w:val="22"/>
        </w:rPr>
        <w:t>,000</w:t>
      </w:r>
      <w:r w:rsidR="006274D8">
        <w:rPr>
          <w:rFonts w:ascii="Arial" w:hAnsi="Arial"/>
          <w:sz w:val="22"/>
          <w:szCs w:val="22"/>
        </w:rPr>
        <w:t xml:space="preserve"> (</w:t>
      </w:r>
      <w:r w:rsidR="005D3BDC">
        <w:rPr>
          <w:rFonts w:ascii="Arial" w:hAnsi="Arial"/>
          <w:sz w:val="22"/>
          <w:szCs w:val="22"/>
        </w:rPr>
        <w:t>50</w:t>
      </w:r>
      <w:r w:rsidR="004132EA">
        <w:rPr>
          <w:rFonts w:ascii="Arial" w:hAnsi="Arial"/>
          <w:sz w:val="22"/>
          <w:szCs w:val="22"/>
        </w:rPr>
        <w:t xml:space="preserve"> staff hours x $300</w:t>
      </w:r>
      <w:r w:rsidR="00216D67">
        <w:rPr>
          <w:rFonts w:ascii="Arial" w:hAnsi="Arial"/>
          <w:sz w:val="22"/>
          <w:szCs w:val="22"/>
        </w:rPr>
        <w:t>/hr)</w:t>
      </w:r>
      <w:r w:rsidR="00CD71BB">
        <w:rPr>
          <w:rFonts w:ascii="Arial" w:hAnsi="Arial"/>
          <w:sz w:val="22"/>
          <w:szCs w:val="22"/>
        </w:rPr>
        <w:t>.</w:t>
      </w:r>
    </w:p>
    <w:p w:rsidR="0065193F" w:rsidP="0071272F" w14:paraId="6AA22FD5" w14:textId="77777777">
      <w:pPr>
        <w:pStyle w:val="Level1"/>
        <w:widowControl/>
        <w:ind w:left="1080"/>
        <w:rPr>
          <w:rFonts w:ascii="Arial" w:hAnsi="Arial"/>
          <w:sz w:val="22"/>
          <w:szCs w:val="22"/>
        </w:rPr>
      </w:pPr>
    </w:p>
    <w:bookmarkEnd w:id="2"/>
    <w:p w:rsidR="0058759F" w:rsidRPr="00743713" w:rsidP="00716164" w14:paraId="0C51107F" w14:textId="77777777">
      <w:pPr>
        <w:widowControl w:val="0"/>
        <w:numPr>
          <w:ilvl w:val="0"/>
          <w:numId w:val="2"/>
        </w:numPr>
        <w:spacing w:line="240" w:lineRule="auto"/>
        <w:rPr>
          <w:u w:val="single"/>
        </w:rPr>
      </w:pPr>
      <w:r w:rsidRPr="00743713">
        <w:rPr>
          <w:u w:val="single"/>
        </w:rPr>
        <w:t>Reasons for Change in Burden or Cost</w:t>
      </w:r>
    </w:p>
    <w:p w:rsidR="0058759F" w:rsidP="00716164" w14:paraId="1CF28A31" w14:textId="77777777">
      <w:pPr>
        <w:widowControl w:val="0"/>
        <w:spacing w:line="240" w:lineRule="auto"/>
        <w:rPr>
          <w:u w:val="single"/>
        </w:rPr>
      </w:pPr>
    </w:p>
    <w:p w:rsidR="00E3625C" w:rsidP="00E3625C" w14:paraId="277E0F8C" w14:textId="18C78334">
      <w:pPr>
        <w:widowControl w:val="0"/>
        <w:ind w:left="1080"/>
      </w:pPr>
      <w:r>
        <w:t xml:space="preserve">The request </w:t>
      </w:r>
      <w:r w:rsidRPr="001E40DA">
        <w:t>is a new OMB Clearance.</w:t>
      </w:r>
    </w:p>
    <w:p w:rsidR="0058759F" w:rsidP="00716164" w14:paraId="2D403839" w14:textId="77777777">
      <w:pPr>
        <w:widowControl w:val="0"/>
        <w:spacing w:line="240" w:lineRule="auto"/>
        <w:rPr>
          <w:u w:val="single"/>
        </w:rPr>
      </w:pPr>
    </w:p>
    <w:p w:rsidR="0058759F" w:rsidP="00716164" w14:paraId="13B9A9D1" w14:textId="77777777">
      <w:pPr>
        <w:pStyle w:val="Level1"/>
        <w:numPr>
          <w:ilvl w:val="0"/>
          <w:numId w:val="2"/>
        </w:numPr>
        <w:rPr>
          <w:rFonts w:ascii="Arial" w:hAnsi="Arial"/>
          <w:sz w:val="22"/>
        </w:rPr>
      </w:pPr>
      <w:r>
        <w:rPr>
          <w:rFonts w:ascii="Arial" w:hAnsi="Arial"/>
          <w:sz w:val="22"/>
          <w:u w:val="single"/>
        </w:rPr>
        <w:t>Publication for Statistical Use</w:t>
      </w:r>
    </w:p>
    <w:p w:rsidR="0058759F" w:rsidP="00716164" w14:paraId="54B478DD" w14:textId="77777777">
      <w:pPr>
        <w:pStyle w:val="Level1"/>
        <w:rPr>
          <w:rFonts w:ascii="Arial" w:hAnsi="Arial"/>
          <w:sz w:val="22"/>
        </w:rPr>
      </w:pPr>
    </w:p>
    <w:p w:rsidR="0058759F" w:rsidRPr="00333B30" w:rsidP="00716164" w14:paraId="2A8D8A22" w14:textId="6B5227FB">
      <w:pPr>
        <w:widowControl w:val="0"/>
        <w:spacing w:line="240" w:lineRule="auto"/>
        <w:ind w:left="1080"/>
      </w:pPr>
      <w:r>
        <w:t>Not applicable</w:t>
      </w:r>
    </w:p>
    <w:p w:rsidR="001A202D" w:rsidP="00716164" w14:paraId="12F8F7A5" w14:textId="30E2DFA2">
      <w:pPr>
        <w:pStyle w:val="Level1"/>
        <w:rPr>
          <w:rFonts w:ascii="Arial" w:hAnsi="Arial"/>
          <w:sz w:val="22"/>
        </w:rPr>
      </w:pPr>
      <w:r>
        <w:rPr>
          <w:rFonts w:ascii="Arial" w:hAnsi="Arial"/>
          <w:sz w:val="22"/>
        </w:rPr>
        <w:br w:type="page"/>
      </w:r>
    </w:p>
    <w:p w:rsidR="0058759F" w:rsidP="00716164" w14:paraId="74413EBE" w14:textId="77777777">
      <w:pPr>
        <w:pStyle w:val="Level1"/>
        <w:numPr>
          <w:ilvl w:val="0"/>
          <w:numId w:val="2"/>
        </w:numPr>
        <w:rPr>
          <w:rFonts w:ascii="Arial" w:hAnsi="Arial"/>
          <w:sz w:val="22"/>
        </w:rPr>
      </w:pPr>
      <w:r>
        <w:rPr>
          <w:rFonts w:ascii="Arial" w:hAnsi="Arial"/>
          <w:sz w:val="22"/>
          <w:u w:val="single"/>
        </w:rPr>
        <w:t>Reason for Not Displaying the Expiration Date</w:t>
      </w:r>
    </w:p>
    <w:p w:rsidR="0058759F" w:rsidP="00716164" w14:paraId="0610FC02" w14:textId="77777777">
      <w:pPr>
        <w:pStyle w:val="Level1"/>
        <w:rPr>
          <w:rFonts w:ascii="Arial" w:hAnsi="Arial"/>
          <w:sz w:val="22"/>
        </w:rPr>
      </w:pPr>
    </w:p>
    <w:p w:rsidR="0058759F" w:rsidRPr="00594502" w:rsidP="00716164" w14:paraId="54A08B4D" w14:textId="2ADF2BFC">
      <w:pPr>
        <w:widowControl w:val="0"/>
        <w:spacing w:line="240" w:lineRule="auto"/>
        <w:ind w:left="1080"/>
      </w:pPr>
      <w:r>
        <w:t xml:space="preserve">The expiration </w:t>
      </w:r>
      <w:r w:rsidR="00E563E7">
        <w:t>date will be displayed</w:t>
      </w:r>
      <w:r w:rsidR="00D11A09">
        <w:t>.</w:t>
      </w:r>
    </w:p>
    <w:p w:rsidR="0058759F" w:rsidP="00716164" w14:paraId="2E0CFA1E" w14:textId="77777777">
      <w:pPr>
        <w:pStyle w:val="Level1"/>
        <w:rPr>
          <w:rFonts w:ascii="Arial" w:hAnsi="Arial"/>
          <w:sz w:val="22"/>
        </w:rPr>
      </w:pPr>
    </w:p>
    <w:p w:rsidR="0058759F" w:rsidRPr="002A64F1" w:rsidP="00716164" w14:paraId="42E40F04" w14:textId="77777777">
      <w:pPr>
        <w:pStyle w:val="Level1"/>
        <w:numPr>
          <w:ilvl w:val="0"/>
          <w:numId w:val="2"/>
        </w:numPr>
        <w:rPr>
          <w:rFonts w:ascii="Arial" w:hAnsi="Arial"/>
          <w:sz w:val="22"/>
        </w:rPr>
      </w:pPr>
      <w:r>
        <w:rPr>
          <w:rFonts w:ascii="Arial" w:hAnsi="Arial"/>
          <w:sz w:val="22"/>
          <w:u w:val="single"/>
        </w:rPr>
        <w:t>Exceptions to the Certification Statement</w:t>
      </w:r>
    </w:p>
    <w:p w:rsidR="0058759F" w:rsidP="00716164" w14:paraId="4220D62F" w14:textId="77777777">
      <w:pPr>
        <w:pStyle w:val="Level1"/>
        <w:rPr>
          <w:rFonts w:ascii="Arial" w:hAnsi="Arial"/>
          <w:sz w:val="22"/>
          <w:u w:val="single"/>
        </w:rPr>
      </w:pPr>
    </w:p>
    <w:p w:rsidR="00D11A09" w:rsidP="00D11A09" w14:paraId="010A4119" w14:textId="77777777">
      <w:pPr>
        <w:pStyle w:val="Level1"/>
        <w:spacing w:after="200"/>
        <w:ind w:left="1080"/>
        <w:rPr>
          <w:rFonts w:ascii="Arial" w:hAnsi="Arial" w:cs="Arial"/>
          <w:sz w:val="22"/>
          <w:szCs w:val="22"/>
        </w:rPr>
      </w:pPr>
      <w:r w:rsidRPr="003114C0">
        <w:rPr>
          <w:rFonts w:ascii="Arial" w:hAnsi="Arial" w:cs="Arial"/>
          <w:sz w:val="22"/>
          <w:szCs w:val="22"/>
        </w:rPr>
        <w:t>The collection of information does not employ statistical methods.</w:t>
      </w:r>
    </w:p>
    <w:p w:rsidR="007E4D38" w:rsidP="00D11A09" w14:paraId="338CD80D" w14:textId="199C63AE">
      <w:pPr>
        <w:pStyle w:val="Level1"/>
        <w:spacing w:after="200"/>
        <w:ind w:left="1080"/>
        <w:rPr>
          <w:rFonts w:ascii="Arial" w:hAnsi="Arial" w:cs="Arial"/>
          <w:sz w:val="22"/>
          <w:szCs w:val="22"/>
        </w:rPr>
      </w:pPr>
      <w:r>
        <w:rPr>
          <w:rFonts w:ascii="Arial" w:hAnsi="Arial" w:cs="Arial"/>
          <w:sz w:val="22"/>
          <w:szCs w:val="22"/>
        </w:rPr>
        <w:br w:type="page"/>
      </w:r>
    </w:p>
    <w:p w:rsidR="00EA6CC5" w:rsidP="00EA6CC5" w14:paraId="586CA7F5" w14:textId="77777777">
      <w:pPr>
        <w:pStyle w:val="BodyText"/>
        <w:kinsoku w:val="0"/>
        <w:overflowPunct w:val="0"/>
        <w:spacing w:line="245" w:lineRule="exact"/>
        <w:ind w:left="39"/>
        <w:jc w:val="center"/>
      </w:pPr>
      <w:r>
        <w:t>GUIDANCE DOCUMENTS FOR INFORMATION COLLECTION REQUIREMENTS</w:t>
      </w:r>
    </w:p>
    <w:p w:rsidR="00EA6CC5" w:rsidP="00EA6CC5" w14:paraId="5B744C7A" w14:textId="7E94F606">
      <w:pPr>
        <w:pStyle w:val="BodyText"/>
        <w:kinsoku w:val="0"/>
        <w:overflowPunct w:val="0"/>
        <w:ind w:right="56"/>
        <w:jc w:val="center"/>
      </w:pPr>
      <w:r>
        <w:t>RELATED TO</w:t>
      </w:r>
    </w:p>
    <w:p w:rsidR="00EA6CC5" w:rsidP="00EA6CC5" w14:paraId="17A6C26F" w14:textId="77777777">
      <w:pPr>
        <w:pStyle w:val="BodyText"/>
        <w:kinsoku w:val="0"/>
        <w:overflowPunct w:val="0"/>
        <w:jc w:val="center"/>
        <w:rPr>
          <w:spacing w:val="-2"/>
        </w:rPr>
      </w:pPr>
      <w:r w:rsidRPr="002846D4">
        <w:rPr>
          <w:spacing w:val="-2"/>
        </w:rPr>
        <w:t>DIGITAL INSTRUMENTATION AND CONTROLS</w:t>
      </w:r>
    </w:p>
    <w:p w:rsidR="00EA6CC5" w:rsidP="00EA6CC5" w14:paraId="737DD531" w14:textId="77777777">
      <w:pPr>
        <w:pStyle w:val="BodyText"/>
        <w:kinsoku w:val="0"/>
        <w:overflowPunct w:val="0"/>
        <w:jc w:val="center"/>
        <w:rPr>
          <w:spacing w:val="-2"/>
        </w:rPr>
      </w:pPr>
      <w:r>
        <w:rPr>
          <w:spacing w:val="-2"/>
        </w:rPr>
        <w:t>(3150-XXXX)</w:t>
      </w:r>
    </w:p>
    <w:p w:rsidR="00EA6CC5" w:rsidP="00EA6CC5" w14:paraId="3D68B3D5" w14:textId="77777777">
      <w:pPr>
        <w:pStyle w:val="BodyText"/>
        <w:kinsoku w:val="0"/>
        <w:overflowPunct w:val="0"/>
        <w:jc w:val="center"/>
        <w:rPr>
          <w:spacing w:val="-2"/>
        </w:rPr>
      </w:pPr>
      <w:r>
        <w:rPr>
          <w:spacing w:val="-2"/>
        </w:rPr>
        <w:t>NEW</w:t>
      </w:r>
    </w:p>
    <w:p w:rsidR="00EA6CC5" w:rsidP="00EA6CC5" w14:paraId="74C7D61B" w14:textId="77777777">
      <w:pPr>
        <w:pStyle w:val="BodyText"/>
        <w:kinsoku w:val="0"/>
        <w:overflowPunct w:val="0"/>
        <w:jc w:val="center"/>
        <w:rPr>
          <w:spacing w:val="-2"/>
        </w:rPr>
      </w:pPr>
    </w:p>
    <w:tbl>
      <w:tblPr>
        <w:tblStyle w:val="TableGrid"/>
        <w:tblW w:w="0" w:type="auto"/>
        <w:tblLook w:val="04A0"/>
      </w:tblPr>
      <w:tblGrid>
        <w:gridCol w:w="4675"/>
        <w:gridCol w:w="4675"/>
      </w:tblGrid>
      <w:tr w14:paraId="5B271333" w14:textId="77777777" w:rsidTr="00396130">
        <w:tblPrEx>
          <w:tblW w:w="0" w:type="auto"/>
          <w:tblLook w:val="04A0"/>
        </w:tblPrEx>
        <w:tc>
          <w:tcPr>
            <w:tcW w:w="4675" w:type="dxa"/>
          </w:tcPr>
          <w:p w:rsidR="00EA6CC5" w:rsidP="00396130" w14:paraId="316DC0F2" w14:textId="77777777">
            <w:pPr>
              <w:pStyle w:val="BodyText"/>
              <w:kinsoku w:val="0"/>
              <w:overflowPunct w:val="0"/>
              <w:jc w:val="center"/>
              <w:rPr>
                <w:spacing w:val="-2"/>
              </w:rPr>
            </w:pPr>
            <w:r>
              <w:rPr>
                <w:spacing w:val="-2"/>
              </w:rPr>
              <w:t>Title</w:t>
            </w:r>
          </w:p>
        </w:tc>
        <w:tc>
          <w:tcPr>
            <w:tcW w:w="4675" w:type="dxa"/>
          </w:tcPr>
          <w:p w:rsidR="00EA6CC5" w:rsidP="00396130" w14:paraId="5A8FD68F" w14:textId="77777777">
            <w:pPr>
              <w:pStyle w:val="BodyText"/>
              <w:kinsoku w:val="0"/>
              <w:overflowPunct w:val="0"/>
              <w:jc w:val="center"/>
              <w:rPr>
                <w:spacing w:val="-2"/>
              </w:rPr>
            </w:pPr>
            <w:r>
              <w:rPr>
                <w:spacing w:val="-2"/>
              </w:rPr>
              <w:t>Accession No.</w:t>
            </w:r>
          </w:p>
        </w:tc>
      </w:tr>
      <w:tr w14:paraId="6F3AE5A9" w14:textId="77777777" w:rsidTr="00396130">
        <w:tblPrEx>
          <w:tblW w:w="0" w:type="auto"/>
          <w:tblLook w:val="04A0"/>
        </w:tblPrEx>
        <w:tc>
          <w:tcPr>
            <w:tcW w:w="4675" w:type="dxa"/>
          </w:tcPr>
          <w:p w:rsidR="00EA6CC5" w:rsidRPr="00556CFF" w:rsidP="00396130" w14:paraId="051870E9" w14:textId="77777777">
            <w:pPr>
              <w:pStyle w:val="BodyText"/>
              <w:kinsoku w:val="0"/>
              <w:overflowPunct w:val="0"/>
              <w:rPr>
                <w:spacing w:val="-2"/>
              </w:rPr>
            </w:pPr>
            <w:r w:rsidRPr="00556CFF">
              <w:rPr>
                <w:spacing w:val="-2"/>
              </w:rPr>
              <w:t>DI&amp;C-ISG-06 Licensing Process Interim Staff Guidance, Revision 2</w:t>
            </w:r>
          </w:p>
        </w:tc>
        <w:tc>
          <w:tcPr>
            <w:tcW w:w="4675" w:type="dxa"/>
          </w:tcPr>
          <w:p w:rsidR="00EA6CC5" w:rsidRPr="00556CFF" w:rsidP="00396130" w14:paraId="15B044E8" w14:textId="77777777">
            <w:r w:rsidRPr="00556CFF">
              <w:t>ML18269A259</w:t>
            </w:r>
          </w:p>
          <w:p w:rsidR="00EA6CC5" w:rsidRPr="00556CFF" w:rsidP="00396130" w14:paraId="26503CD8" w14:textId="77777777">
            <w:pPr>
              <w:pStyle w:val="BodyText"/>
              <w:kinsoku w:val="0"/>
              <w:overflowPunct w:val="0"/>
              <w:rPr>
                <w:spacing w:val="-2"/>
              </w:rPr>
            </w:pPr>
          </w:p>
        </w:tc>
      </w:tr>
    </w:tbl>
    <w:p w:rsidR="00EA6CC5" w:rsidP="00EA6CC5" w14:paraId="41897144" w14:textId="77777777">
      <w:pPr>
        <w:pStyle w:val="BodyText"/>
        <w:kinsoku w:val="0"/>
        <w:overflowPunct w:val="0"/>
        <w:jc w:val="center"/>
        <w:rPr>
          <w:spacing w:val="-2"/>
        </w:rPr>
      </w:pPr>
    </w:p>
    <w:p w:rsidR="00EA6CC5" w:rsidP="00EA6CC5" w14:paraId="50CB14B2" w14:textId="77777777"/>
    <w:p w:rsidR="00EA6CC5" w:rsidP="00D11A09" w14:paraId="20C584BD" w14:textId="77777777">
      <w:pPr>
        <w:pStyle w:val="Level1"/>
        <w:spacing w:after="200"/>
        <w:ind w:left="1080"/>
        <w:rPr>
          <w:rFonts w:ascii="Arial" w:hAnsi="Arial" w:cs="Arial"/>
          <w:sz w:val="22"/>
          <w:szCs w:val="22"/>
        </w:rPr>
      </w:pPr>
    </w:p>
    <w:p w:rsidR="00EA6CC5" w:rsidP="00D11A09" w14:paraId="1E736831" w14:textId="77777777">
      <w:pPr>
        <w:pStyle w:val="Level1"/>
        <w:spacing w:after="200"/>
        <w:ind w:left="1080"/>
        <w:rPr>
          <w:rFonts w:ascii="Arial" w:hAnsi="Arial" w:cs="Arial"/>
          <w:sz w:val="22"/>
          <w:szCs w:val="22"/>
        </w:rPr>
      </w:pPr>
    </w:p>
    <w:p w:rsidR="00EA6CC5" w:rsidP="00D11A09" w14:paraId="23207188" w14:textId="77777777">
      <w:pPr>
        <w:pStyle w:val="Level1"/>
        <w:spacing w:after="200"/>
        <w:ind w:left="1080"/>
        <w:rPr>
          <w:rFonts w:ascii="Arial" w:hAnsi="Arial" w:cs="Arial"/>
          <w:sz w:val="22"/>
          <w:szCs w:val="22"/>
        </w:rPr>
      </w:pPr>
    </w:p>
    <w:p w:rsidR="00EA6CC5" w:rsidP="00D11A09" w14:paraId="37EDD74E" w14:textId="77777777">
      <w:pPr>
        <w:pStyle w:val="Level1"/>
        <w:spacing w:after="200"/>
        <w:ind w:left="1080"/>
        <w:rPr>
          <w:rFonts w:ascii="Arial" w:hAnsi="Arial" w:cs="Arial"/>
          <w:sz w:val="22"/>
          <w:szCs w:val="22"/>
        </w:rPr>
      </w:pPr>
    </w:p>
    <w:p w:rsidR="00EA6CC5" w:rsidP="00D11A09" w14:paraId="02D876AD" w14:textId="77777777">
      <w:pPr>
        <w:pStyle w:val="Level1"/>
        <w:spacing w:after="200"/>
        <w:ind w:left="1080"/>
        <w:rPr>
          <w:rFonts w:ascii="Arial" w:hAnsi="Arial" w:cs="Arial"/>
          <w:sz w:val="22"/>
          <w:szCs w:val="22"/>
        </w:rPr>
      </w:pPr>
    </w:p>
    <w:p w:rsidR="00EA6CC5" w:rsidRPr="003114C0" w:rsidP="00D11A09" w14:paraId="67274258" w14:textId="343755CB">
      <w:pPr>
        <w:pStyle w:val="Level1"/>
        <w:spacing w:after="200"/>
        <w:ind w:left="1080"/>
        <w:rPr>
          <w:rFonts w:ascii="Arial" w:hAnsi="Arial" w:cs="Arial"/>
          <w:sz w:val="22"/>
          <w:szCs w:val="22"/>
        </w:rPr>
      </w:pPr>
    </w:p>
    <w:p w:rsidR="005F7153" w:rsidP="00716164" w14:paraId="18DB4035" w14:textId="77777777">
      <w:pPr>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5B68A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2396246">
    <w:abstractNumId w:val="2"/>
  </w:num>
  <w:num w:numId="2" w16cid:durableId="559904902">
    <w:abstractNumId w:val="1"/>
  </w:num>
  <w:num w:numId="3" w16cid:durableId="89196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F"/>
    <w:rsid w:val="00000444"/>
    <w:rsid w:val="000038D9"/>
    <w:rsid w:val="00005910"/>
    <w:rsid w:val="00011AFF"/>
    <w:rsid w:val="00012E9E"/>
    <w:rsid w:val="0001373F"/>
    <w:rsid w:val="00015DE8"/>
    <w:rsid w:val="00017C49"/>
    <w:rsid w:val="000213D1"/>
    <w:rsid w:val="00022410"/>
    <w:rsid w:val="0002614D"/>
    <w:rsid w:val="00030F94"/>
    <w:rsid w:val="00034F5C"/>
    <w:rsid w:val="00043F0E"/>
    <w:rsid w:val="000467C2"/>
    <w:rsid w:val="00060D0F"/>
    <w:rsid w:val="0006236C"/>
    <w:rsid w:val="00074EFF"/>
    <w:rsid w:val="000943E8"/>
    <w:rsid w:val="000951C5"/>
    <w:rsid w:val="000A09A2"/>
    <w:rsid w:val="000A5416"/>
    <w:rsid w:val="000B3203"/>
    <w:rsid w:val="000B51B6"/>
    <w:rsid w:val="000C23C7"/>
    <w:rsid w:val="000D3C24"/>
    <w:rsid w:val="000D579B"/>
    <w:rsid w:val="000E10B8"/>
    <w:rsid w:val="000F3B41"/>
    <w:rsid w:val="000F6DF8"/>
    <w:rsid w:val="000F70D3"/>
    <w:rsid w:val="00103241"/>
    <w:rsid w:val="001047E2"/>
    <w:rsid w:val="00106315"/>
    <w:rsid w:val="0011242A"/>
    <w:rsid w:val="0011526E"/>
    <w:rsid w:val="00116602"/>
    <w:rsid w:val="001169B5"/>
    <w:rsid w:val="00117339"/>
    <w:rsid w:val="00125259"/>
    <w:rsid w:val="0012529B"/>
    <w:rsid w:val="0013099D"/>
    <w:rsid w:val="00131D1B"/>
    <w:rsid w:val="00132498"/>
    <w:rsid w:val="00137A86"/>
    <w:rsid w:val="001417DC"/>
    <w:rsid w:val="00151080"/>
    <w:rsid w:val="00151F49"/>
    <w:rsid w:val="00152AD1"/>
    <w:rsid w:val="001546C5"/>
    <w:rsid w:val="00156BB0"/>
    <w:rsid w:val="00160ECF"/>
    <w:rsid w:val="00162FB1"/>
    <w:rsid w:val="001660EB"/>
    <w:rsid w:val="0016625B"/>
    <w:rsid w:val="0016774D"/>
    <w:rsid w:val="00180F3C"/>
    <w:rsid w:val="00181619"/>
    <w:rsid w:val="00190D4D"/>
    <w:rsid w:val="00197CD3"/>
    <w:rsid w:val="001A202D"/>
    <w:rsid w:val="001A337B"/>
    <w:rsid w:val="001B1FB5"/>
    <w:rsid w:val="001C1F7C"/>
    <w:rsid w:val="001C3305"/>
    <w:rsid w:val="001C41E0"/>
    <w:rsid w:val="001C5483"/>
    <w:rsid w:val="001C6BE0"/>
    <w:rsid w:val="001D1925"/>
    <w:rsid w:val="001D6607"/>
    <w:rsid w:val="001D75EB"/>
    <w:rsid w:val="001E0130"/>
    <w:rsid w:val="001E23F9"/>
    <w:rsid w:val="001E40DA"/>
    <w:rsid w:val="001F29A2"/>
    <w:rsid w:val="0020570A"/>
    <w:rsid w:val="00206402"/>
    <w:rsid w:val="002167AF"/>
    <w:rsid w:val="00216D67"/>
    <w:rsid w:val="00217B6A"/>
    <w:rsid w:val="0022174D"/>
    <w:rsid w:val="002221A5"/>
    <w:rsid w:val="00224BA4"/>
    <w:rsid w:val="00225024"/>
    <w:rsid w:val="00225567"/>
    <w:rsid w:val="00226E92"/>
    <w:rsid w:val="0023402E"/>
    <w:rsid w:val="00240767"/>
    <w:rsid w:val="002451A6"/>
    <w:rsid w:val="00264F28"/>
    <w:rsid w:val="00266712"/>
    <w:rsid w:val="00267960"/>
    <w:rsid w:val="0027604E"/>
    <w:rsid w:val="00281995"/>
    <w:rsid w:val="00282279"/>
    <w:rsid w:val="002841C0"/>
    <w:rsid w:val="002846D4"/>
    <w:rsid w:val="002859B4"/>
    <w:rsid w:val="002A64F1"/>
    <w:rsid w:val="002A67C9"/>
    <w:rsid w:val="002A7462"/>
    <w:rsid w:val="002B0DFD"/>
    <w:rsid w:val="002B2087"/>
    <w:rsid w:val="002B24AB"/>
    <w:rsid w:val="002B7C68"/>
    <w:rsid w:val="002C327C"/>
    <w:rsid w:val="002C69D1"/>
    <w:rsid w:val="002D1FE8"/>
    <w:rsid w:val="002E163B"/>
    <w:rsid w:val="002E185F"/>
    <w:rsid w:val="002E487C"/>
    <w:rsid w:val="002E48F3"/>
    <w:rsid w:val="002E76D0"/>
    <w:rsid w:val="002E7B0D"/>
    <w:rsid w:val="002E7F7B"/>
    <w:rsid w:val="002F4606"/>
    <w:rsid w:val="00304D53"/>
    <w:rsid w:val="003114C0"/>
    <w:rsid w:val="00311B9A"/>
    <w:rsid w:val="003138D0"/>
    <w:rsid w:val="00313DEB"/>
    <w:rsid w:val="00320167"/>
    <w:rsid w:val="00331B6B"/>
    <w:rsid w:val="00333B30"/>
    <w:rsid w:val="00333C06"/>
    <w:rsid w:val="00334177"/>
    <w:rsid w:val="00340856"/>
    <w:rsid w:val="00343B9E"/>
    <w:rsid w:val="00371CA7"/>
    <w:rsid w:val="003801BD"/>
    <w:rsid w:val="00391A98"/>
    <w:rsid w:val="00396130"/>
    <w:rsid w:val="003A4C16"/>
    <w:rsid w:val="003A75DE"/>
    <w:rsid w:val="003C6B51"/>
    <w:rsid w:val="003D30FC"/>
    <w:rsid w:val="003E4692"/>
    <w:rsid w:val="003F6110"/>
    <w:rsid w:val="00404714"/>
    <w:rsid w:val="00407883"/>
    <w:rsid w:val="00412A24"/>
    <w:rsid w:val="004132EA"/>
    <w:rsid w:val="0041449D"/>
    <w:rsid w:val="00414680"/>
    <w:rsid w:val="004167AF"/>
    <w:rsid w:val="004240BD"/>
    <w:rsid w:val="00424348"/>
    <w:rsid w:val="00434AEF"/>
    <w:rsid w:val="00440874"/>
    <w:rsid w:val="0044243C"/>
    <w:rsid w:val="00445F6F"/>
    <w:rsid w:val="00455792"/>
    <w:rsid w:val="004575B7"/>
    <w:rsid w:val="004616C5"/>
    <w:rsid w:val="004642BB"/>
    <w:rsid w:val="004679E4"/>
    <w:rsid w:val="00476B46"/>
    <w:rsid w:val="004807CC"/>
    <w:rsid w:val="00480D4E"/>
    <w:rsid w:val="004B0483"/>
    <w:rsid w:val="004B10F8"/>
    <w:rsid w:val="004B3E6A"/>
    <w:rsid w:val="004B58CE"/>
    <w:rsid w:val="004C2284"/>
    <w:rsid w:val="004C6A56"/>
    <w:rsid w:val="004C6BDF"/>
    <w:rsid w:val="004C6C58"/>
    <w:rsid w:val="004C734A"/>
    <w:rsid w:val="004C77E9"/>
    <w:rsid w:val="004D1F61"/>
    <w:rsid w:val="004D2C45"/>
    <w:rsid w:val="004E3FE7"/>
    <w:rsid w:val="004F177E"/>
    <w:rsid w:val="004F33E0"/>
    <w:rsid w:val="00515FA5"/>
    <w:rsid w:val="0051613E"/>
    <w:rsid w:val="00516E6F"/>
    <w:rsid w:val="00527DCB"/>
    <w:rsid w:val="0053585D"/>
    <w:rsid w:val="00540015"/>
    <w:rsid w:val="005424D4"/>
    <w:rsid w:val="0054770E"/>
    <w:rsid w:val="00547B26"/>
    <w:rsid w:val="00550DF8"/>
    <w:rsid w:val="00551537"/>
    <w:rsid w:val="00556CFF"/>
    <w:rsid w:val="00570F23"/>
    <w:rsid w:val="00572FD6"/>
    <w:rsid w:val="00584C20"/>
    <w:rsid w:val="005850DA"/>
    <w:rsid w:val="00585D0E"/>
    <w:rsid w:val="0058759F"/>
    <w:rsid w:val="00590FCC"/>
    <w:rsid w:val="005928C2"/>
    <w:rsid w:val="00594502"/>
    <w:rsid w:val="005963A8"/>
    <w:rsid w:val="005A019A"/>
    <w:rsid w:val="005A39E6"/>
    <w:rsid w:val="005B39FF"/>
    <w:rsid w:val="005B5022"/>
    <w:rsid w:val="005C0917"/>
    <w:rsid w:val="005D3BDC"/>
    <w:rsid w:val="005D7797"/>
    <w:rsid w:val="005E029A"/>
    <w:rsid w:val="005E154C"/>
    <w:rsid w:val="005F1125"/>
    <w:rsid w:val="005F7153"/>
    <w:rsid w:val="006016A3"/>
    <w:rsid w:val="0060447D"/>
    <w:rsid w:val="0060501A"/>
    <w:rsid w:val="006078AF"/>
    <w:rsid w:val="00615035"/>
    <w:rsid w:val="006172AD"/>
    <w:rsid w:val="006220F0"/>
    <w:rsid w:val="00623644"/>
    <w:rsid w:val="00626D30"/>
    <w:rsid w:val="006274D8"/>
    <w:rsid w:val="006279C3"/>
    <w:rsid w:val="00640A03"/>
    <w:rsid w:val="0065193F"/>
    <w:rsid w:val="006523AE"/>
    <w:rsid w:val="006526DE"/>
    <w:rsid w:val="00664C85"/>
    <w:rsid w:val="00665002"/>
    <w:rsid w:val="00672D43"/>
    <w:rsid w:val="0068047A"/>
    <w:rsid w:val="00695D80"/>
    <w:rsid w:val="0069689A"/>
    <w:rsid w:val="006A5ED3"/>
    <w:rsid w:val="006B160F"/>
    <w:rsid w:val="006B470A"/>
    <w:rsid w:val="006B6131"/>
    <w:rsid w:val="006C1ABC"/>
    <w:rsid w:val="006C2169"/>
    <w:rsid w:val="006C71FE"/>
    <w:rsid w:val="006F1623"/>
    <w:rsid w:val="0071272F"/>
    <w:rsid w:val="0071581B"/>
    <w:rsid w:val="00716164"/>
    <w:rsid w:val="00716A93"/>
    <w:rsid w:val="00722FAD"/>
    <w:rsid w:val="007277B8"/>
    <w:rsid w:val="007309D1"/>
    <w:rsid w:val="00740FD2"/>
    <w:rsid w:val="00743713"/>
    <w:rsid w:val="00754AA1"/>
    <w:rsid w:val="00754C29"/>
    <w:rsid w:val="00757C7A"/>
    <w:rsid w:val="00767F9A"/>
    <w:rsid w:val="00775E6D"/>
    <w:rsid w:val="00777EA8"/>
    <w:rsid w:val="00781B12"/>
    <w:rsid w:val="00787649"/>
    <w:rsid w:val="00793231"/>
    <w:rsid w:val="0079366F"/>
    <w:rsid w:val="00793701"/>
    <w:rsid w:val="00793EC2"/>
    <w:rsid w:val="00797545"/>
    <w:rsid w:val="007A11AF"/>
    <w:rsid w:val="007A1DE3"/>
    <w:rsid w:val="007A5391"/>
    <w:rsid w:val="007B4788"/>
    <w:rsid w:val="007B4D3E"/>
    <w:rsid w:val="007B5BEB"/>
    <w:rsid w:val="007C1E4E"/>
    <w:rsid w:val="007C2355"/>
    <w:rsid w:val="007C7973"/>
    <w:rsid w:val="007E27BD"/>
    <w:rsid w:val="007E2E9A"/>
    <w:rsid w:val="007E4D38"/>
    <w:rsid w:val="007E68F0"/>
    <w:rsid w:val="007F23A5"/>
    <w:rsid w:val="007F260B"/>
    <w:rsid w:val="007F434E"/>
    <w:rsid w:val="007F456B"/>
    <w:rsid w:val="0080331D"/>
    <w:rsid w:val="0081006B"/>
    <w:rsid w:val="00813A94"/>
    <w:rsid w:val="00813B31"/>
    <w:rsid w:val="00817D34"/>
    <w:rsid w:val="00820420"/>
    <w:rsid w:val="008224EE"/>
    <w:rsid w:val="00822880"/>
    <w:rsid w:val="00823F96"/>
    <w:rsid w:val="00826E2F"/>
    <w:rsid w:val="00831526"/>
    <w:rsid w:val="0083378E"/>
    <w:rsid w:val="00835A8E"/>
    <w:rsid w:val="00840D96"/>
    <w:rsid w:val="0084689D"/>
    <w:rsid w:val="00846E84"/>
    <w:rsid w:val="0085488A"/>
    <w:rsid w:val="00855E60"/>
    <w:rsid w:val="00856D1B"/>
    <w:rsid w:val="00860D49"/>
    <w:rsid w:val="008614EC"/>
    <w:rsid w:val="00864823"/>
    <w:rsid w:val="00865651"/>
    <w:rsid w:val="00870FED"/>
    <w:rsid w:val="00874C1B"/>
    <w:rsid w:val="008752CB"/>
    <w:rsid w:val="00882BA4"/>
    <w:rsid w:val="00887CAA"/>
    <w:rsid w:val="008A208D"/>
    <w:rsid w:val="008A24FA"/>
    <w:rsid w:val="008A3CB3"/>
    <w:rsid w:val="008A49C5"/>
    <w:rsid w:val="008D1D40"/>
    <w:rsid w:val="008D5CA5"/>
    <w:rsid w:val="008E7ADB"/>
    <w:rsid w:val="008F1F28"/>
    <w:rsid w:val="008F60F8"/>
    <w:rsid w:val="0090685C"/>
    <w:rsid w:val="00906C01"/>
    <w:rsid w:val="00906D99"/>
    <w:rsid w:val="00911A7A"/>
    <w:rsid w:val="00923816"/>
    <w:rsid w:val="00927480"/>
    <w:rsid w:val="009326D4"/>
    <w:rsid w:val="00942063"/>
    <w:rsid w:val="00944EE0"/>
    <w:rsid w:val="00946BB4"/>
    <w:rsid w:val="00947507"/>
    <w:rsid w:val="009476DF"/>
    <w:rsid w:val="0095086D"/>
    <w:rsid w:val="0095213D"/>
    <w:rsid w:val="009558C0"/>
    <w:rsid w:val="00965FA0"/>
    <w:rsid w:val="00970B8E"/>
    <w:rsid w:val="00976754"/>
    <w:rsid w:val="00997E54"/>
    <w:rsid w:val="009A019B"/>
    <w:rsid w:val="009A2544"/>
    <w:rsid w:val="009B4244"/>
    <w:rsid w:val="009D1727"/>
    <w:rsid w:val="009D7CFD"/>
    <w:rsid w:val="009E0846"/>
    <w:rsid w:val="009E2362"/>
    <w:rsid w:val="009E2441"/>
    <w:rsid w:val="009E2985"/>
    <w:rsid w:val="009E328D"/>
    <w:rsid w:val="009F0C31"/>
    <w:rsid w:val="009F481B"/>
    <w:rsid w:val="00A0528D"/>
    <w:rsid w:val="00A22609"/>
    <w:rsid w:val="00A26356"/>
    <w:rsid w:val="00A30958"/>
    <w:rsid w:val="00A312B4"/>
    <w:rsid w:val="00A34F4B"/>
    <w:rsid w:val="00A352A8"/>
    <w:rsid w:val="00A36954"/>
    <w:rsid w:val="00A43530"/>
    <w:rsid w:val="00A51CB8"/>
    <w:rsid w:val="00A614BF"/>
    <w:rsid w:val="00A66DD9"/>
    <w:rsid w:val="00A67EB5"/>
    <w:rsid w:val="00A94590"/>
    <w:rsid w:val="00A96643"/>
    <w:rsid w:val="00AA6879"/>
    <w:rsid w:val="00AB4832"/>
    <w:rsid w:val="00AB491E"/>
    <w:rsid w:val="00AB590B"/>
    <w:rsid w:val="00AB7C9D"/>
    <w:rsid w:val="00AE348E"/>
    <w:rsid w:val="00AE4C4E"/>
    <w:rsid w:val="00AE66A9"/>
    <w:rsid w:val="00AF4C49"/>
    <w:rsid w:val="00B00226"/>
    <w:rsid w:val="00B02BC3"/>
    <w:rsid w:val="00B057C6"/>
    <w:rsid w:val="00B0635A"/>
    <w:rsid w:val="00B17E90"/>
    <w:rsid w:val="00B276A7"/>
    <w:rsid w:val="00B43C15"/>
    <w:rsid w:val="00B46263"/>
    <w:rsid w:val="00B46A5A"/>
    <w:rsid w:val="00B52DA6"/>
    <w:rsid w:val="00B633E2"/>
    <w:rsid w:val="00B7338F"/>
    <w:rsid w:val="00B82C11"/>
    <w:rsid w:val="00B873B3"/>
    <w:rsid w:val="00B924BB"/>
    <w:rsid w:val="00B9296A"/>
    <w:rsid w:val="00BA3CD9"/>
    <w:rsid w:val="00BC026B"/>
    <w:rsid w:val="00BC4021"/>
    <w:rsid w:val="00BC42E2"/>
    <w:rsid w:val="00BC7A20"/>
    <w:rsid w:val="00BC7C93"/>
    <w:rsid w:val="00BD1B08"/>
    <w:rsid w:val="00BD566F"/>
    <w:rsid w:val="00BD5BB5"/>
    <w:rsid w:val="00BD5F94"/>
    <w:rsid w:val="00BE24CA"/>
    <w:rsid w:val="00BE43CE"/>
    <w:rsid w:val="00BF3EF1"/>
    <w:rsid w:val="00BF3FD8"/>
    <w:rsid w:val="00C02227"/>
    <w:rsid w:val="00C02FA3"/>
    <w:rsid w:val="00C059AF"/>
    <w:rsid w:val="00C15986"/>
    <w:rsid w:val="00C16F1D"/>
    <w:rsid w:val="00C408AF"/>
    <w:rsid w:val="00C42218"/>
    <w:rsid w:val="00C43FBE"/>
    <w:rsid w:val="00C442DE"/>
    <w:rsid w:val="00C45514"/>
    <w:rsid w:val="00C45C92"/>
    <w:rsid w:val="00C4677C"/>
    <w:rsid w:val="00C56BEF"/>
    <w:rsid w:val="00C570FF"/>
    <w:rsid w:val="00C62B4B"/>
    <w:rsid w:val="00C752B7"/>
    <w:rsid w:val="00C7663A"/>
    <w:rsid w:val="00C847FB"/>
    <w:rsid w:val="00C86C9F"/>
    <w:rsid w:val="00C9782A"/>
    <w:rsid w:val="00CA04C7"/>
    <w:rsid w:val="00CA087C"/>
    <w:rsid w:val="00CA32C2"/>
    <w:rsid w:val="00CA645E"/>
    <w:rsid w:val="00CA651E"/>
    <w:rsid w:val="00CB0685"/>
    <w:rsid w:val="00CC3CE7"/>
    <w:rsid w:val="00CD09D8"/>
    <w:rsid w:val="00CD6F3F"/>
    <w:rsid w:val="00CD71BB"/>
    <w:rsid w:val="00CE108E"/>
    <w:rsid w:val="00CE36B8"/>
    <w:rsid w:val="00CE42A2"/>
    <w:rsid w:val="00CF4FFE"/>
    <w:rsid w:val="00D002CD"/>
    <w:rsid w:val="00D022FD"/>
    <w:rsid w:val="00D02B50"/>
    <w:rsid w:val="00D06D44"/>
    <w:rsid w:val="00D11A09"/>
    <w:rsid w:val="00D13994"/>
    <w:rsid w:val="00D208B9"/>
    <w:rsid w:val="00D22496"/>
    <w:rsid w:val="00D22BD4"/>
    <w:rsid w:val="00D26430"/>
    <w:rsid w:val="00D316C1"/>
    <w:rsid w:val="00D349E0"/>
    <w:rsid w:val="00D52CD2"/>
    <w:rsid w:val="00D56E16"/>
    <w:rsid w:val="00D57EEC"/>
    <w:rsid w:val="00D6133D"/>
    <w:rsid w:val="00D62002"/>
    <w:rsid w:val="00D62C13"/>
    <w:rsid w:val="00D6459C"/>
    <w:rsid w:val="00D652DB"/>
    <w:rsid w:val="00D67E75"/>
    <w:rsid w:val="00D73E8C"/>
    <w:rsid w:val="00D82721"/>
    <w:rsid w:val="00D871AC"/>
    <w:rsid w:val="00D877BD"/>
    <w:rsid w:val="00D90FE9"/>
    <w:rsid w:val="00D93072"/>
    <w:rsid w:val="00D97A13"/>
    <w:rsid w:val="00DA1CD3"/>
    <w:rsid w:val="00DA33A5"/>
    <w:rsid w:val="00DA5299"/>
    <w:rsid w:val="00DB190E"/>
    <w:rsid w:val="00DB25DA"/>
    <w:rsid w:val="00DB58DA"/>
    <w:rsid w:val="00DB7B42"/>
    <w:rsid w:val="00DC2ADF"/>
    <w:rsid w:val="00DC622D"/>
    <w:rsid w:val="00DC6C20"/>
    <w:rsid w:val="00DD405E"/>
    <w:rsid w:val="00DD43D2"/>
    <w:rsid w:val="00DD462A"/>
    <w:rsid w:val="00DD75DE"/>
    <w:rsid w:val="00DE1625"/>
    <w:rsid w:val="00DE40F1"/>
    <w:rsid w:val="00DE4F2C"/>
    <w:rsid w:val="00DE7096"/>
    <w:rsid w:val="00DF054B"/>
    <w:rsid w:val="00DF0773"/>
    <w:rsid w:val="00DF0BDD"/>
    <w:rsid w:val="00DF64AC"/>
    <w:rsid w:val="00E00E14"/>
    <w:rsid w:val="00E041A4"/>
    <w:rsid w:val="00E14F3C"/>
    <w:rsid w:val="00E178FE"/>
    <w:rsid w:val="00E249F1"/>
    <w:rsid w:val="00E316CF"/>
    <w:rsid w:val="00E31851"/>
    <w:rsid w:val="00E3625C"/>
    <w:rsid w:val="00E403C4"/>
    <w:rsid w:val="00E5343A"/>
    <w:rsid w:val="00E54C76"/>
    <w:rsid w:val="00E563E7"/>
    <w:rsid w:val="00E60C45"/>
    <w:rsid w:val="00E759E5"/>
    <w:rsid w:val="00E76DEB"/>
    <w:rsid w:val="00E805D9"/>
    <w:rsid w:val="00E8078C"/>
    <w:rsid w:val="00E80CC6"/>
    <w:rsid w:val="00E83151"/>
    <w:rsid w:val="00E8587D"/>
    <w:rsid w:val="00EA2448"/>
    <w:rsid w:val="00EA642B"/>
    <w:rsid w:val="00EA6CC5"/>
    <w:rsid w:val="00EC2FB4"/>
    <w:rsid w:val="00EC4AD5"/>
    <w:rsid w:val="00EC54BF"/>
    <w:rsid w:val="00ED423A"/>
    <w:rsid w:val="00EE330A"/>
    <w:rsid w:val="00EE6D3C"/>
    <w:rsid w:val="00EF1435"/>
    <w:rsid w:val="00EF4C7A"/>
    <w:rsid w:val="00F006CE"/>
    <w:rsid w:val="00F008C1"/>
    <w:rsid w:val="00F01117"/>
    <w:rsid w:val="00F027D9"/>
    <w:rsid w:val="00F07DB1"/>
    <w:rsid w:val="00F10996"/>
    <w:rsid w:val="00F1272F"/>
    <w:rsid w:val="00F226F1"/>
    <w:rsid w:val="00F24DA3"/>
    <w:rsid w:val="00F2678A"/>
    <w:rsid w:val="00F35EE8"/>
    <w:rsid w:val="00F36E28"/>
    <w:rsid w:val="00F452AB"/>
    <w:rsid w:val="00F5343F"/>
    <w:rsid w:val="00F53C03"/>
    <w:rsid w:val="00F54153"/>
    <w:rsid w:val="00F579A3"/>
    <w:rsid w:val="00F6305B"/>
    <w:rsid w:val="00F73600"/>
    <w:rsid w:val="00F81157"/>
    <w:rsid w:val="00F90F23"/>
    <w:rsid w:val="00F94437"/>
    <w:rsid w:val="00F9461E"/>
    <w:rsid w:val="00FA5CA2"/>
    <w:rsid w:val="00FC6E4A"/>
    <w:rsid w:val="00FD0B1B"/>
    <w:rsid w:val="00FD2309"/>
    <w:rsid w:val="00FD288A"/>
    <w:rsid w:val="00FD7662"/>
    <w:rsid w:val="00FD7844"/>
    <w:rsid w:val="00FF1E90"/>
    <w:rsid w:val="07B0B7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8DE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8F3"/>
    <w:pPr>
      <w:ind w:left="720"/>
      <w:contextualSpacing/>
    </w:pPr>
  </w:style>
  <w:style w:type="paragraph" w:customStyle="1" w:styleId="Level1">
    <w:name w:val="Level 1"/>
    <w:basedOn w:val="Normal"/>
    <w:rsid w:val="0058759F"/>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759F"/>
    <w:rPr>
      <w:color w:val="0563C1" w:themeColor="hyperlink"/>
      <w:u w:val="single"/>
    </w:rPr>
  </w:style>
  <w:style w:type="character" w:styleId="CommentReference">
    <w:name w:val="annotation reference"/>
    <w:basedOn w:val="DefaultParagraphFont"/>
    <w:uiPriority w:val="99"/>
    <w:semiHidden/>
    <w:unhideWhenUsed/>
    <w:rsid w:val="0058759F"/>
    <w:rPr>
      <w:sz w:val="16"/>
      <w:szCs w:val="16"/>
    </w:rPr>
  </w:style>
  <w:style w:type="paragraph" w:styleId="CommentText">
    <w:name w:val="annotation text"/>
    <w:basedOn w:val="Normal"/>
    <w:link w:val="CommentTextChar"/>
    <w:uiPriority w:val="99"/>
    <w:unhideWhenUsed/>
    <w:rsid w:val="0058759F"/>
    <w:pPr>
      <w:spacing w:line="240" w:lineRule="auto"/>
    </w:pPr>
    <w:rPr>
      <w:sz w:val="20"/>
      <w:szCs w:val="20"/>
    </w:rPr>
  </w:style>
  <w:style w:type="character" w:customStyle="1" w:styleId="CommentTextChar">
    <w:name w:val="Comment Text Char"/>
    <w:basedOn w:val="DefaultParagraphFont"/>
    <w:link w:val="CommentText"/>
    <w:uiPriority w:val="99"/>
    <w:rsid w:val="0058759F"/>
    <w:rPr>
      <w:sz w:val="20"/>
      <w:szCs w:val="20"/>
    </w:rPr>
  </w:style>
  <w:style w:type="table" w:styleId="TableGrid">
    <w:name w:val="Table Grid"/>
    <w:basedOn w:val="TableNormal"/>
    <w:uiPriority w:val="59"/>
    <w:rsid w:val="0095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C2"/>
    <w:pPr>
      <w:tabs>
        <w:tab w:val="center" w:pos="4680"/>
        <w:tab w:val="right" w:pos="9360"/>
      </w:tabs>
      <w:spacing w:line="240" w:lineRule="auto"/>
    </w:pPr>
  </w:style>
  <w:style w:type="character" w:customStyle="1" w:styleId="HeaderChar">
    <w:name w:val="Header Char"/>
    <w:basedOn w:val="DefaultParagraphFont"/>
    <w:link w:val="Header"/>
    <w:uiPriority w:val="99"/>
    <w:rsid w:val="00793EC2"/>
  </w:style>
  <w:style w:type="paragraph" w:styleId="Footer">
    <w:name w:val="footer"/>
    <w:basedOn w:val="Normal"/>
    <w:link w:val="FooterChar"/>
    <w:uiPriority w:val="99"/>
    <w:unhideWhenUsed/>
    <w:rsid w:val="00793EC2"/>
    <w:pPr>
      <w:tabs>
        <w:tab w:val="center" w:pos="4680"/>
        <w:tab w:val="right" w:pos="9360"/>
      </w:tabs>
      <w:spacing w:line="240" w:lineRule="auto"/>
    </w:pPr>
  </w:style>
  <w:style w:type="character" w:customStyle="1" w:styleId="FooterChar">
    <w:name w:val="Footer Char"/>
    <w:basedOn w:val="DefaultParagraphFont"/>
    <w:link w:val="Footer"/>
    <w:uiPriority w:val="99"/>
    <w:rsid w:val="00793EC2"/>
  </w:style>
  <w:style w:type="paragraph" w:styleId="CommentSubject">
    <w:name w:val="annotation subject"/>
    <w:basedOn w:val="CommentText"/>
    <w:next w:val="CommentText"/>
    <w:link w:val="CommentSubjectChar"/>
    <w:uiPriority w:val="99"/>
    <w:semiHidden/>
    <w:unhideWhenUsed/>
    <w:rsid w:val="007F23A5"/>
    <w:rPr>
      <w:b/>
      <w:bCs/>
    </w:rPr>
  </w:style>
  <w:style w:type="character" w:customStyle="1" w:styleId="CommentSubjectChar">
    <w:name w:val="Comment Subject Char"/>
    <w:basedOn w:val="CommentTextChar"/>
    <w:link w:val="CommentSubject"/>
    <w:uiPriority w:val="99"/>
    <w:semiHidden/>
    <w:rsid w:val="007F23A5"/>
    <w:rPr>
      <w:b/>
      <w:bCs/>
      <w:sz w:val="20"/>
      <w:szCs w:val="20"/>
    </w:rPr>
  </w:style>
  <w:style w:type="paragraph" w:styleId="Revision">
    <w:name w:val="Revision"/>
    <w:hidden/>
    <w:uiPriority w:val="99"/>
    <w:semiHidden/>
    <w:rsid w:val="00855E60"/>
  </w:style>
  <w:style w:type="paragraph" w:styleId="ListBullet">
    <w:name w:val="List Bullet"/>
    <w:basedOn w:val="Normal"/>
    <w:uiPriority w:val="99"/>
    <w:unhideWhenUsed/>
    <w:rsid w:val="00BF3FD8"/>
    <w:pPr>
      <w:numPr>
        <w:numId w:val="3"/>
      </w:numPr>
      <w:contextualSpacing/>
    </w:pPr>
  </w:style>
  <w:style w:type="character" w:customStyle="1" w:styleId="normaltextrun">
    <w:name w:val="normaltextrun"/>
    <w:basedOn w:val="DefaultParagraphFont"/>
    <w:rsid w:val="00D26430"/>
  </w:style>
  <w:style w:type="paragraph" w:styleId="BodyText">
    <w:name w:val="Body Text"/>
    <w:basedOn w:val="Normal"/>
    <w:link w:val="BodyTextChar"/>
    <w:uiPriority w:val="1"/>
    <w:qFormat/>
    <w:rsid w:val="007E2E9A"/>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7E2E9A"/>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rc.gov/site-help/electronic-sub-ref-mat.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F6A96-C602-45C0-813B-D3070CA59544}">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2024-03-08T17:11:00Z</dcterms:created>
  <dcterms:modified xsi:type="dcterms:W3CDTF">2024-03-08T17:11:00Z</dcterms:modified>
</cp:coreProperties>
</file>