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2F72" w:rsidP="00532F98" w14:paraId="20A5AC01" w14:textId="77777777">
      <w:pPr>
        <w:pStyle w:val="Heading"/>
        <w:spacing w:before="480"/>
        <w:rPr>
          <w:rFonts w:cs="Arial"/>
          <w:b/>
          <w:szCs w:val="20"/>
        </w:rPr>
      </w:pPr>
    </w:p>
    <w:p w:rsidR="00532F98" w:rsidRPr="008B3735" w:rsidP="00532F98" w14:paraId="31736ADB" w14:textId="002182DB">
      <w:pPr>
        <w:pStyle w:val="Heading"/>
        <w:spacing w:before="480"/>
        <w:rPr>
          <w:rFonts w:ascii="Times New Roman" w:hAnsi="Times New Roman"/>
          <w:sz w:val="24"/>
        </w:rPr>
      </w:pPr>
      <w:r w:rsidRPr="0079649A">
        <w:rPr>
          <w:rFonts w:cs="Arial"/>
          <w:b/>
          <w:szCs w:val="20"/>
        </w:rPr>
        <w:t>To:</w:t>
      </w:r>
      <w:r w:rsidRPr="00400225">
        <w:rPr>
          <w:rFonts w:ascii="Times New Roman" w:hAnsi="Times New Roman"/>
          <w:b/>
          <w:sz w:val="24"/>
        </w:rPr>
        <w:tab/>
      </w:r>
      <w:r w:rsidRPr="008B3735" w:rsidR="00DE54CE">
        <w:rPr>
          <w:rFonts w:ascii="Times New Roman" w:hAnsi="Times New Roman"/>
          <w:bCs/>
          <w:sz w:val="24"/>
        </w:rPr>
        <w:t>Anthony Nerino</w:t>
      </w:r>
      <w:r w:rsidRPr="008B3735">
        <w:rPr>
          <w:rFonts w:ascii="Times New Roman" w:hAnsi="Times New Roman"/>
          <w:bCs/>
          <w:sz w:val="24"/>
        </w:rPr>
        <w:t>,</w:t>
      </w:r>
      <w:r w:rsidRPr="008B3735">
        <w:rPr>
          <w:rFonts w:ascii="Times New Roman" w:hAnsi="Times New Roman"/>
          <w:sz w:val="24"/>
        </w:rPr>
        <w:t xml:space="preserve"> Desk Officer, Office of Management and Budget</w:t>
      </w:r>
    </w:p>
    <w:p w:rsidR="00E41595" w:rsidRPr="008B3735" w:rsidP="00532F98" w14:paraId="6430673F" w14:textId="7B985B2C">
      <w:pPr>
        <w:pStyle w:val="Heading"/>
        <w:spacing w:before="480"/>
        <w:rPr>
          <w:rFonts w:ascii="Times New Roman" w:hAnsi="Times New Roman"/>
          <w:sz w:val="24"/>
        </w:rPr>
      </w:pPr>
      <w:r w:rsidRPr="00E10871">
        <w:rPr>
          <w:rFonts w:cs="Arial"/>
          <w:b/>
          <w:szCs w:val="20"/>
        </w:rPr>
        <w:t>From</w:t>
      </w:r>
      <w:r w:rsidRPr="000F77D9">
        <w:rPr>
          <w:rFonts w:ascii="Times New Roman" w:hAnsi="Times New Roman"/>
          <w:b/>
          <w:sz w:val="24"/>
        </w:rPr>
        <w:t>:</w:t>
      </w:r>
      <w:r w:rsidRPr="008B3735">
        <w:rPr>
          <w:rFonts w:ascii="Times New Roman" w:hAnsi="Times New Roman"/>
          <w:b/>
          <w:sz w:val="24"/>
        </w:rPr>
        <w:tab/>
      </w:r>
      <w:r w:rsidRPr="008B3735" w:rsidR="00532F98">
        <w:rPr>
          <w:rFonts w:ascii="Times New Roman" w:hAnsi="Times New Roman"/>
          <w:sz w:val="24"/>
        </w:rPr>
        <w:t>Linda Kantor, U.S. Department of Agriculture, Economic Research Service</w:t>
      </w:r>
    </w:p>
    <w:p w:rsidR="00532F98" w:rsidRPr="008B3735" w:rsidP="00532F98" w14:paraId="1EEEAEE8" w14:textId="771F7AA7">
      <w:pPr>
        <w:pStyle w:val="Heading"/>
        <w:spacing w:before="480"/>
        <w:rPr>
          <w:rFonts w:ascii="Times New Roman" w:hAnsi="Times New Roman"/>
          <w:b/>
          <w:sz w:val="24"/>
        </w:rPr>
      </w:pPr>
      <w:r w:rsidRPr="00E10871">
        <w:rPr>
          <w:rFonts w:cs="Arial"/>
          <w:b/>
          <w:szCs w:val="20"/>
        </w:rPr>
        <w:t>Via</w:t>
      </w:r>
      <w:r w:rsidRPr="008B3735">
        <w:rPr>
          <w:rFonts w:ascii="Times New Roman" w:hAnsi="Times New Roman"/>
          <w:b/>
          <w:sz w:val="24"/>
        </w:rPr>
        <w:t xml:space="preserve">: </w:t>
      </w:r>
      <w:r w:rsidRPr="008B3735">
        <w:rPr>
          <w:rFonts w:ascii="Times New Roman" w:hAnsi="Times New Roman"/>
          <w:b/>
          <w:sz w:val="24"/>
        </w:rPr>
        <w:tab/>
      </w:r>
      <w:r w:rsidR="00B01D0B">
        <w:rPr>
          <w:rFonts w:ascii="Times New Roman" w:hAnsi="Times New Roman"/>
          <w:bCs/>
          <w:sz w:val="24"/>
        </w:rPr>
        <w:t>Julie Parker</w:t>
      </w:r>
      <w:r w:rsidRPr="008B3735">
        <w:rPr>
          <w:rFonts w:ascii="Times New Roman" w:hAnsi="Times New Roman"/>
          <w:sz w:val="24"/>
        </w:rPr>
        <w:t>, Clearance Officer, U.S. Department of Agriculture, Economic Research Service</w:t>
      </w:r>
    </w:p>
    <w:p w:rsidR="00E41595" w:rsidRPr="009D7080" w:rsidP="00E41595" w14:paraId="2FF5BD4B" w14:textId="5AF5F7A4">
      <w:pPr>
        <w:pStyle w:val="Heading"/>
        <w:rPr>
          <w:rFonts w:ascii="Times New Roman" w:hAnsi="Times New Roman"/>
          <w:bCs/>
          <w:sz w:val="24"/>
        </w:rPr>
      </w:pPr>
      <w:r w:rsidRPr="00E10871">
        <w:rPr>
          <w:rFonts w:cs="Arial"/>
          <w:b/>
          <w:szCs w:val="20"/>
        </w:rPr>
        <w:t>Date</w:t>
      </w:r>
      <w:r w:rsidRPr="008B3735">
        <w:rPr>
          <w:rFonts w:ascii="Times New Roman" w:hAnsi="Times New Roman"/>
          <w:b/>
          <w:sz w:val="24"/>
        </w:rPr>
        <w:t>:</w:t>
      </w:r>
      <w:r w:rsidRPr="008B3735">
        <w:rPr>
          <w:rFonts w:ascii="Times New Roman" w:hAnsi="Times New Roman"/>
          <w:b/>
          <w:sz w:val="24"/>
        </w:rPr>
        <w:tab/>
      </w:r>
      <w:r w:rsidRPr="00DD5050" w:rsidR="00FF5EE7">
        <w:rPr>
          <w:rFonts w:ascii="Times New Roman" w:hAnsi="Times New Roman"/>
          <w:bCs/>
          <w:sz w:val="24"/>
        </w:rPr>
        <w:t>Ju</w:t>
      </w:r>
      <w:r w:rsidRPr="00DD5050" w:rsidR="008D20A5">
        <w:rPr>
          <w:rFonts w:ascii="Times New Roman" w:hAnsi="Times New Roman"/>
          <w:bCs/>
          <w:sz w:val="24"/>
        </w:rPr>
        <w:t>ly</w:t>
      </w:r>
      <w:r w:rsidRPr="00DD5050" w:rsidR="00FF5EE7">
        <w:rPr>
          <w:rFonts w:ascii="Times New Roman" w:hAnsi="Times New Roman"/>
          <w:bCs/>
          <w:sz w:val="24"/>
        </w:rPr>
        <w:t xml:space="preserve"> </w:t>
      </w:r>
      <w:r w:rsidR="00976740">
        <w:rPr>
          <w:rFonts w:ascii="Times New Roman" w:hAnsi="Times New Roman"/>
          <w:bCs/>
          <w:sz w:val="24"/>
        </w:rPr>
        <w:t>2</w:t>
      </w:r>
      <w:r w:rsidR="00487875">
        <w:rPr>
          <w:rFonts w:ascii="Times New Roman" w:hAnsi="Times New Roman"/>
          <w:bCs/>
          <w:sz w:val="24"/>
        </w:rPr>
        <w:t>1</w:t>
      </w:r>
      <w:r w:rsidRPr="00DD5050" w:rsidR="00950DB1">
        <w:rPr>
          <w:rFonts w:ascii="Times New Roman" w:hAnsi="Times New Roman"/>
          <w:bCs/>
          <w:sz w:val="24"/>
        </w:rPr>
        <w:t>, 2023</w:t>
      </w:r>
      <w:r w:rsidRPr="009D7080" w:rsidR="007735FD">
        <w:rPr>
          <w:rFonts w:ascii="Times New Roman" w:hAnsi="Times New Roman"/>
          <w:bCs/>
          <w:sz w:val="24"/>
        </w:rPr>
        <w:t xml:space="preserve"> </w:t>
      </w:r>
    </w:p>
    <w:p w:rsidR="00E41595" w:rsidRPr="008B3735" w:rsidP="00E41595" w14:paraId="016BC52F" w14:textId="623BFA2B">
      <w:pPr>
        <w:pStyle w:val="Heading"/>
        <w:rPr>
          <w:rFonts w:ascii="Times New Roman" w:hAnsi="Times New Roman"/>
          <w:b/>
          <w:bCs/>
          <w:sz w:val="24"/>
        </w:rPr>
      </w:pPr>
      <w:r w:rsidRPr="00E10871">
        <w:rPr>
          <w:rFonts w:cs="Arial"/>
          <w:b/>
          <w:szCs w:val="20"/>
        </w:rPr>
        <w:t>Subject</w:t>
      </w:r>
      <w:r w:rsidRPr="008B3735">
        <w:rPr>
          <w:rFonts w:ascii="Times New Roman" w:hAnsi="Times New Roman"/>
          <w:b/>
          <w:sz w:val="24"/>
        </w:rPr>
        <w:t>:</w:t>
      </w:r>
      <w:r w:rsidRPr="008B3735">
        <w:rPr>
          <w:rFonts w:ascii="Times New Roman" w:hAnsi="Times New Roman"/>
          <w:b/>
          <w:sz w:val="24"/>
        </w:rPr>
        <w:tab/>
      </w:r>
      <w:r w:rsidRPr="008B3735" w:rsidR="00532F98">
        <w:rPr>
          <w:rFonts w:ascii="Times New Roman" w:hAnsi="Times New Roman"/>
          <w:sz w:val="24"/>
        </w:rPr>
        <w:t xml:space="preserve">Request to </w:t>
      </w:r>
      <w:r w:rsidRPr="008B3735" w:rsidR="0082341C">
        <w:rPr>
          <w:rFonts w:ascii="Times New Roman" w:hAnsi="Times New Roman"/>
          <w:sz w:val="24"/>
        </w:rPr>
        <w:t xml:space="preserve">Conduct </w:t>
      </w:r>
      <w:r w:rsidR="00F97AA8">
        <w:rPr>
          <w:rFonts w:ascii="Times New Roman" w:hAnsi="Times New Roman"/>
          <w:sz w:val="24"/>
        </w:rPr>
        <w:t xml:space="preserve">Exploratory </w:t>
      </w:r>
      <w:r w:rsidRPr="008B3735" w:rsidR="0082341C">
        <w:rPr>
          <w:rFonts w:ascii="Times New Roman" w:hAnsi="Times New Roman"/>
          <w:sz w:val="24"/>
        </w:rPr>
        <w:t>Semi</w:t>
      </w:r>
      <w:r w:rsidRPr="008B3735" w:rsidR="00532F98">
        <w:rPr>
          <w:rFonts w:ascii="Times New Roman" w:hAnsi="Times New Roman"/>
          <w:sz w:val="24"/>
        </w:rPr>
        <w:t>-</w:t>
      </w:r>
      <w:r w:rsidR="00EF381A">
        <w:rPr>
          <w:rFonts w:ascii="Times New Roman" w:hAnsi="Times New Roman"/>
          <w:sz w:val="24"/>
        </w:rPr>
        <w:t>s</w:t>
      </w:r>
      <w:r w:rsidRPr="008B3735" w:rsidR="00EF381A">
        <w:rPr>
          <w:rFonts w:ascii="Times New Roman" w:hAnsi="Times New Roman"/>
          <w:sz w:val="24"/>
        </w:rPr>
        <w:t xml:space="preserve">tructured </w:t>
      </w:r>
      <w:r w:rsidRPr="008B3735" w:rsidR="0082341C">
        <w:rPr>
          <w:rFonts w:ascii="Times New Roman" w:hAnsi="Times New Roman"/>
          <w:sz w:val="24"/>
        </w:rPr>
        <w:t xml:space="preserve">Interviews </w:t>
      </w:r>
      <w:r w:rsidR="00F97AA8">
        <w:rPr>
          <w:rFonts w:ascii="Times New Roman" w:hAnsi="Times New Roman"/>
          <w:sz w:val="24"/>
        </w:rPr>
        <w:t xml:space="preserve">on Retail Food Loss </w:t>
      </w:r>
      <w:r w:rsidRPr="008B3735" w:rsidR="00532F98">
        <w:rPr>
          <w:rFonts w:ascii="Times New Roman" w:hAnsi="Times New Roman"/>
          <w:sz w:val="24"/>
        </w:rPr>
        <w:t xml:space="preserve">under </w:t>
      </w:r>
      <w:r w:rsidRPr="008B3735" w:rsidR="0082341C">
        <w:rPr>
          <w:rFonts w:ascii="Times New Roman" w:hAnsi="Times New Roman"/>
          <w:sz w:val="24"/>
        </w:rPr>
        <w:t xml:space="preserve">Generic Clearance </w:t>
      </w:r>
      <w:r w:rsidRPr="008B3735" w:rsidR="00532F98">
        <w:rPr>
          <w:rFonts w:ascii="Times New Roman" w:hAnsi="Times New Roman"/>
          <w:sz w:val="24"/>
        </w:rPr>
        <w:t xml:space="preserve">for </w:t>
      </w:r>
      <w:r w:rsidRPr="008B3735" w:rsidR="0082341C">
        <w:rPr>
          <w:rFonts w:ascii="Times New Roman" w:hAnsi="Times New Roman"/>
          <w:sz w:val="24"/>
        </w:rPr>
        <w:t>Survey Research Studies</w:t>
      </w:r>
      <w:r w:rsidR="00EF381A">
        <w:rPr>
          <w:rFonts w:ascii="Times New Roman" w:hAnsi="Times New Roman"/>
          <w:sz w:val="24"/>
        </w:rPr>
        <w:t>—</w:t>
      </w:r>
      <w:r w:rsidR="00FF5EE7">
        <w:rPr>
          <w:rFonts w:ascii="Times New Roman" w:hAnsi="Times New Roman"/>
          <w:sz w:val="24"/>
        </w:rPr>
        <w:t xml:space="preserve">Wave 2 </w:t>
      </w:r>
      <w:r w:rsidRPr="008B3735" w:rsidR="00532F98">
        <w:rPr>
          <w:rFonts w:ascii="Times New Roman" w:hAnsi="Times New Roman"/>
          <w:sz w:val="24"/>
        </w:rPr>
        <w:t>(</w:t>
      </w:r>
      <w:bookmarkStart w:id="0" w:name="_Hlk97555391"/>
      <w:r w:rsidRPr="008B3735" w:rsidR="00532F98">
        <w:rPr>
          <w:rFonts w:ascii="Times New Roman" w:hAnsi="Times New Roman"/>
          <w:sz w:val="24"/>
        </w:rPr>
        <w:t>OMB Control #0536-0073</w:t>
      </w:r>
      <w:bookmarkEnd w:id="0"/>
      <w:r w:rsidRPr="008B3735" w:rsidR="00532F98">
        <w:rPr>
          <w:rFonts w:ascii="Times New Roman" w:hAnsi="Times New Roman"/>
          <w:sz w:val="24"/>
        </w:rPr>
        <w:t>)</w:t>
      </w:r>
    </w:p>
    <w:p w:rsidR="00CB4C80" w:rsidP="00EF381A" w14:paraId="50B0030A" w14:textId="0A9FD95A">
      <w:pPr>
        <w:pStyle w:val="BodyText"/>
      </w:pPr>
      <w:bookmarkStart w:id="1" w:name="_Hlk536538183"/>
      <w:r w:rsidRPr="00EF381A">
        <w:t xml:space="preserve">The purpose of this memorandum is to obtain Office of Management and Budget (OMB) clearance for </w:t>
      </w:r>
      <w:r w:rsidRPr="00EF381A" w:rsidR="008452FE">
        <w:t xml:space="preserve">the </w:t>
      </w:r>
      <w:r w:rsidRPr="00EF381A" w:rsidR="00FF5EE7">
        <w:t xml:space="preserve">second </w:t>
      </w:r>
      <w:r w:rsidRPr="00EF381A" w:rsidR="008452FE">
        <w:t xml:space="preserve">of two waves of </w:t>
      </w:r>
      <w:r w:rsidRPr="00EF381A">
        <w:t>semi-structured</w:t>
      </w:r>
      <w:r w:rsidRPr="00EF381A" w:rsidR="008452FE">
        <w:t>, exploratory</w:t>
      </w:r>
      <w:r w:rsidRPr="00EF381A">
        <w:t xml:space="preserve"> interviews with </w:t>
      </w:r>
      <w:r w:rsidRPr="00EF381A" w:rsidR="00095D12">
        <w:t xml:space="preserve">food retailers </w:t>
      </w:r>
      <w:r w:rsidRPr="00EF381A">
        <w:t xml:space="preserve">to inform the design </w:t>
      </w:r>
      <w:r w:rsidRPr="00EF381A" w:rsidR="00FB0972">
        <w:t xml:space="preserve">of </w:t>
      </w:r>
      <w:r w:rsidRPr="00EF381A">
        <w:t xml:space="preserve">a </w:t>
      </w:r>
      <w:r w:rsidRPr="00EF381A" w:rsidR="00FF5EE7">
        <w:t xml:space="preserve">potential </w:t>
      </w:r>
      <w:r w:rsidRPr="00EF381A">
        <w:t>national</w:t>
      </w:r>
      <w:r w:rsidRPr="00EF381A" w:rsidR="00616123">
        <w:t>ly</w:t>
      </w:r>
      <w:r w:rsidRPr="00EF381A" w:rsidR="004A0AD3">
        <w:t xml:space="preserve"> </w:t>
      </w:r>
      <w:r w:rsidRPr="00EF381A" w:rsidR="00616123">
        <w:t>representative</w:t>
      </w:r>
      <w:r w:rsidRPr="00EF381A">
        <w:t xml:space="preserve"> study on retail-level food loss. </w:t>
      </w:r>
      <w:r>
        <w:t xml:space="preserve">This memorandum presents the approach and findings from the Wave 1 interviews. Additionally, some of the information presented in this memo was gathered from informal </w:t>
      </w:r>
      <w:r w:rsidR="0018696A">
        <w:t>contacts established at professional meetings and conferences</w:t>
      </w:r>
      <w:r w:rsidR="00A24550">
        <w:t>.</w:t>
      </w:r>
    </w:p>
    <w:p w:rsidR="00532F98" w:rsidRPr="00EF381A" w:rsidP="00EF381A" w14:paraId="09A6E1C5" w14:textId="3485DC73">
      <w:pPr>
        <w:pStyle w:val="BodyText"/>
      </w:pPr>
      <w:r>
        <w:t xml:space="preserve">The memorandum begins by providing </w:t>
      </w:r>
      <w:r w:rsidR="4D9CA441">
        <w:t>a summary of the findings from the Wave 1 interviews</w:t>
      </w:r>
      <w:r w:rsidR="1FD230F9">
        <w:t>,</w:t>
      </w:r>
      <w:r w:rsidR="4D9CA441">
        <w:t xml:space="preserve"> including the revisions that were made to the interview guide, recruiting materials, and research plan based on what was learned in the Wave 1 interviews</w:t>
      </w:r>
      <w:r w:rsidR="24B74A1F">
        <w:t xml:space="preserve">. </w:t>
      </w:r>
      <w:r w:rsidR="72D1E2BA">
        <w:t xml:space="preserve">Next, we provide a </w:t>
      </w:r>
      <w:r>
        <w:t xml:space="preserve">description of the research plan for the </w:t>
      </w:r>
      <w:r w:rsidR="4A88144A">
        <w:t xml:space="preserve">proposed </w:t>
      </w:r>
      <w:r w:rsidR="4D9CA441">
        <w:t xml:space="preserve">Wave 2 interviews. </w:t>
      </w:r>
      <w:r w:rsidR="72D1E2BA">
        <w:t xml:space="preserve">The memorandum concludes with the </w:t>
      </w:r>
      <w:r w:rsidR="7B98D131">
        <w:t>burden estimate.</w:t>
      </w:r>
      <w:r w:rsidR="24B74A1F">
        <w:t xml:space="preserve"> Appendix A provides </w:t>
      </w:r>
      <w:r w:rsidR="4A88144A">
        <w:t>a re</w:t>
      </w:r>
      <w:r w:rsidR="00344E56">
        <w:t>d</w:t>
      </w:r>
      <w:r w:rsidR="4A88144A">
        <w:t xml:space="preserve">acted version (with no identifying information) of </w:t>
      </w:r>
      <w:r w:rsidR="24B74A1F">
        <w:t>the memorandum that RTI International prepared on the Wave 1 interviews, including the data collection procedures, a summary of the information collected, and recommendations for revising the instruments and procedures for Wave 2, and preliminary conclusions</w:t>
      </w:r>
      <w:r w:rsidR="322C03D5">
        <w:t xml:space="preserve"> based on the interview findings</w:t>
      </w:r>
      <w:r w:rsidR="24B74A1F">
        <w:t xml:space="preserve"> for the design of a potential national study</w:t>
      </w:r>
      <w:r w:rsidR="322C03D5">
        <w:t>.</w:t>
      </w:r>
      <w:r w:rsidR="24B74A1F">
        <w:t xml:space="preserve"> </w:t>
      </w:r>
    </w:p>
    <w:p w:rsidR="00532F98" w:rsidRPr="00E10871" w:rsidP="00E10871" w14:paraId="622FF18B" w14:textId="77777777">
      <w:pPr>
        <w:pStyle w:val="Heading1"/>
      </w:pPr>
      <w:r w:rsidRPr="00E10871">
        <w:t>Background and Purpose</w:t>
      </w:r>
    </w:p>
    <w:p w:rsidR="00FF5EE7" w:rsidP="00EF381A" w14:paraId="74ED6A9C" w14:textId="19C4139A">
      <w:pPr>
        <w:pStyle w:val="BodyText"/>
      </w:pPr>
      <w:r w:rsidRPr="000F77D9">
        <w:t xml:space="preserve">To learn more about the nature of data that might be available to estimate food loss </w:t>
      </w:r>
      <w:r>
        <w:t>factors b</w:t>
      </w:r>
      <w:r w:rsidRPr="000F77D9">
        <w:t xml:space="preserve">y </w:t>
      </w:r>
      <w:r w:rsidR="006C00E0">
        <w:t>Loss-Adjusted Food Availability (</w:t>
      </w:r>
      <w:r w:rsidRPr="000F77D9">
        <w:t>LAFA</w:t>
      </w:r>
      <w:r w:rsidR="006C00E0">
        <w:t>)</w:t>
      </w:r>
      <w:r w:rsidRPr="000F77D9">
        <w:t xml:space="preserve"> commodity, </w:t>
      </w:r>
      <w:r>
        <w:t xml:space="preserve">RTI </w:t>
      </w:r>
      <w:r w:rsidR="0018696A">
        <w:t xml:space="preserve">is </w:t>
      </w:r>
      <w:r w:rsidRPr="000F77D9">
        <w:t>conduct</w:t>
      </w:r>
      <w:r w:rsidR="0018696A">
        <w:t>ing</w:t>
      </w:r>
      <w:r w:rsidRPr="000F77D9">
        <w:t xml:space="preserve"> </w:t>
      </w:r>
      <w:r w:rsidR="00A35F58">
        <w:t xml:space="preserve">two waves of </w:t>
      </w:r>
      <w:r w:rsidRPr="000F77D9">
        <w:t xml:space="preserve">semi-structured interviews with food retailers’ corporate staff. The findings from these interviews will help </w:t>
      </w:r>
      <w:r w:rsidR="00675C7A">
        <w:t xml:space="preserve">the </w:t>
      </w:r>
      <w:r w:rsidRPr="008B3735" w:rsidR="00675C7A">
        <w:t>Economic Research Service</w:t>
      </w:r>
      <w:r w:rsidR="00675C7A">
        <w:t xml:space="preserve"> (</w:t>
      </w:r>
      <w:r>
        <w:t>ERS</w:t>
      </w:r>
      <w:r w:rsidR="00675C7A">
        <w:t>)</w:t>
      </w:r>
      <w:r>
        <w:t xml:space="preserve"> </w:t>
      </w:r>
      <w:r w:rsidRPr="000F77D9">
        <w:t xml:space="preserve">assess the feasibility of </w:t>
      </w:r>
      <w:r>
        <w:t>the</w:t>
      </w:r>
      <w:r w:rsidRPr="000F77D9">
        <w:t xml:space="preserve"> </w:t>
      </w:r>
      <w:r>
        <w:t xml:space="preserve">original </w:t>
      </w:r>
      <w:r w:rsidRPr="000F77D9">
        <w:t>methodology for a nationally representative retail food loss study</w:t>
      </w:r>
      <w:r>
        <w:t>, including retailer recruitment, data collection, and analysis</w:t>
      </w:r>
      <w:r w:rsidRPr="000F77D9">
        <w:t xml:space="preserve">. </w:t>
      </w:r>
    </w:p>
    <w:p w:rsidR="00FF5EE7" w:rsidP="00EF381A" w14:paraId="6413ADC3" w14:textId="1F656337">
      <w:pPr>
        <w:pStyle w:val="BodyText"/>
      </w:pPr>
      <w:r>
        <w:t>OMB approval for Wave 1 was obtained</w:t>
      </w:r>
      <w:r w:rsidR="00FC7ECC">
        <w:t xml:space="preserve"> in January 2023</w:t>
      </w:r>
      <w:r>
        <w:t xml:space="preserve">. </w:t>
      </w:r>
      <w:r w:rsidRPr="005F0C3F" w:rsidR="00D85312">
        <w:t xml:space="preserve">RTI </w:t>
      </w:r>
      <w:r w:rsidR="00D85312">
        <w:t xml:space="preserve">began recruiting companies in </w:t>
      </w:r>
      <w:r w:rsidR="005B7A1A">
        <w:t xml:space="preserve">February </w:t>
      </w:r>
      <w:r w:rsidR="000B0001">
        <w:t xml:space="preserve">2023 </w:t>
      </w:r>
      <w:r w:rsidR="00D85312">
        <w:t xml:space="preserve">and conducted the Wave 1 interviews in March through May 2023. RTI contacted </w:t>
      </w:r>
      <w:r w:rsidR="00750735">
        <w:t>62</w:t>
      </w:r>
      <w:r w:rsidR="00D85312">
        <w:t xml:space="preserve"> </w:t>
      </w:r>
      <w:r w:rsidR="00750735">
        <w:t xml:space="preserve">companies (50 companies from the original sample and 12 additional companies identified through networking) </w:t>
      </w:r>
      <w:r w:rsidR="00D85312">
        <w:t>and co</w:t>
      </w:r>
      <w:r w:rsidR="005B7A1A">
        <w:t>mpleted</w:t>
      </w:r>
      <w:r w:rsidR="00D85312">
        <w:t xml:space="preserve"> five interviews</w:t>
      </w:r>
      <w:r w:rsidR="00750735">
        <w:t xml:space="preserve"> (see Table 1)</w:t>
      </w:r>
      <w:r w:rsidR="00D85312">
        <w:t xml:space="preserve">. </w:t>
      </w:r>
    </w:p>
    <w:p w:rsidR="00750735" w:rsidRPr="00C62310" w:rsidP="00750735" w14:paraId="244F4E31" w14:textId="3276E4CB">
      <w:pPr>
        <w:pStyle w:val="TableCaption"/>
      </w:pPr>
      <w:r w:rsidRPr="00C62310">
        <w:t xml:space="preserve">Table </w:t>
      </w:r>
      <w:r>
        <w:t>1</w:t>
      </w:r>
      <w:r w:rsidRPr="00C62310">
        <w:t>.</w:t>
      </w:r>
      <w:r w:rsidRPr="00C62310">
        <w:tab/>
      </w:r>
      <w:r w:rsidRPr="00C62310">
        <w:t xml:space="preserve">Status of Companies Contacted </w:t>
      </w:r>
      <w:r>
        <w:t>by Interview Outcome</w:t>
      </w:r>
    </w:p>
    <w:tbl>
      <w:tblPr>
        <w:tblW w:w="9360" w:type="dxa"/>
        <w:tblBorders>
          <w:top w:val="single" w:sz="12" w:space="0" w:color="auto"/>
          <w:bottom w:val="single" w:sz="12" w:space="0" w:color="auto"/>
        </w:tblBorders>
        <w:tblLook w:val="04A0"/>
      </w:tblPr>
      <w:tblGrid>
        <w:gridCol w:w="6570"/>
        <w:gridCol w:w="2790"/>
      </w:tblGrid>
      <w:tr w14:paraId="7ACF27B7" w14:textId="77777777" w:rsidTr="00155049">
        <w:tblPrEx>
          <w:tblW w:w="9360" w:type="dxa"/>
          <w:tblBorders>
            <w:top w:val="single" w:sz="12" w:space="0" w:color="auto"/>
            <w:bottom w:val="single" w:sz="12" w:space="0" w:color="auto"/>
          </w:tblBorders>
          <w:tblLook w:val="04A0"/>
        </w:tblPrEx>
        <w:trPr>
          <w:cantSplit/>
        </w:trPr>
        <w:tc>
          <w:tcPr>
            <w:tcW w:w="6570" w:type="dxa"/>
          </w:tcPr>
          <w:p w:rsidR="00750735" w:rsidRPr="00EA7A2F" w:rsidP="00155049" w14:paraId="11776A1F" w14:textId="77777777">
            <w:pPr>
              <w:pStyle w:val="Tabletext"/>
            </w:pPr>
            <w:r>
              <w:t>Interview c</w:t>
            </w:r>
            <w:r w:rsidRPr="00EA7A2F">
              <w:t>omplete</w:t>
            </w:r>
            <w:r>
              <w:t>d</w:t>
            </w:r>
          </w:p>
        </w:tc>
        <w:tc>
          <w:tcPr>
            <w:tcW w:w="2790" w:type="dxa"/>
          </w:tcPr>
          <w:p w:rsidR="00750735" w:rsidRPr="00EA7A2F" w:rsidP="00155049" w14:paraId="2D2EE335" w14:textId="77777777">
            <w:pPr>
              <w:pStyle w:val="Tabletext"/>
              <w:tabs>
                <w:tab w:val="decimal" w:pos="887"/>
              </w:tabs>
            </w:pPr>
            <w:r>
              <w:t>5</w:t>
            </w:r>
          </w:p>
        </w:tc>
      </w:tr>
      <w:tr w14:paraId="38BBBE83" w14:textId="77777777" w:rsidTr="00155049">
        <w:tblPrEx>
          <w:tblW w:w="9360" w:type="dxa"/>
          <w:tblLook w:val="04A0"/>
        </w:tblPrEx>
        <w:trPr>
          <w:cantSplit/>
        </w:trPr>
        <w:tc>
          <w:tcPr>
            <w:tcW w:w="6570" w:type="dxa"/>
          </w:tcPr>
          <w:p w:rsidR="00750735" w:rsidRPr="00EA7A2F" w:rsidP="00155049" w14:paraId="783391E9" w14:textId="77777777">
            <w:pPr>
              <w:pStyle w:val="Tabletext"/>
            </w:pPr>
            <w:r>
              <w:t>Interview not completed</w:t>
            </w:r>
          </w:p>
        </w:tc>
        <w:tc>
          <w:tcPr>
            <w:tcW w:w="2790" w:type="dxa"/>
          </w:tcPr>
          <w:p w:rsidR="00750735" w:rsidRPr="00EA7A2F" w:rsidP="00155049" w14:paraId="6D71905A" w14:textId="77777777">
            <w:pPr>
              <w:pStyle w:val="Tabletext"/>
              <w:tabs>
                <w:tab w:val="decimal" w:pos="887"/>
              </w:tabs>
            </w:pPr>
            <w:r>
              <w:t>57</w:t>
            </w:r>
          </w:p>
        </w:tc>
      </w:tr>
      <w:tr w14:paraId="48882F0D" w14:textId="77777777" w:rsidTr="00155049">
        <w:tblPrEx>
          <w:tblW w:w="9360" w:type="dxa"/>
          <w:tblLook w:val="04A0"/>
        </w:tblPrEx>
        <w:trPr>
          <w:cantSplit/>
        </w:trPr>
        <w:tc>
          <w:tcPr>
            <w:tcW w:w="6570" w:type="dxa"/>
            <w:tcBorders>
              <w:bottom w:val="nil"/>
            </w:tcBorders>
          </w:tcPr>
          <w:p w:rsidR="00750735" w:rsidRPr="00EA7A2F" w:rsidP="00155049" w14:paraId="15887E23" w14:textId="77777777">
            <w:pPr>
              <w:pStyle w:val="Tabletext"/>
              <w:ind w:left="705"/>
            </w:pPr>
            <w:bookmarkStart w:id="2" w:name="_Hlk136620402"/>
            <w:r w:rsidRPr="00EA7A2F">
              <w:t xml:space="preserve">Amenable to participating but did not </w:t>
            </w:r>
            <w:r>
              <w:t>participate</w:t>
            </w:r>
            <w:r w:rsidRPr="00CF20EB">
              <w:rPr>
                <w:vertAlign w:val="superscript"/>
              </w:rPr>
              <w:t>a</w:t>
            </w:r>
            <w:bookmarkEnd w:id="2"/>
          </w:p>
        </w:tc>
        <w:tc>
          <w:tcPr>
            <w:tcW w:w="2790" w:type="dxa"/>
            <w:tcBorders>
              <w:bottom w:val="nil"/>
            </w:tcBorders>
          </w:tcPr>
          <w:p w:rsidR="00750735" w:rsidP="00155049" w14:paraId="305BB053" w14:textId="77777777">
            <w:pPr>
              <w:pStyle w:val="Tabletext"/>
              <w:tabs>
                <w:tab w:val="decimal" w:pos="887"/>
              </w:tabs>
              <w:ind w:left="1335"/>
            </w:pPr>
            <w:r>
              <w:t>3</w:t>
            </w:r>
          </w:p>
        </w:tc>
      </w:tr>
      <w:tr w14:paraId="00F90FF6" w14:textId="77777777" w:rsidTr="00155049">
        <w:tblPrEx>
          <w:tblW w:w="9360" w:type="dxa"/>
          <w:tblLook w:val="04A0"/>
        </w:tblPrEx>
        <w:trPr>
          <w:cantSplit/>
        </w:trPr>
        <w:tc>
          <w:tcPr>
            <w:tcW w:w="6570" w:type="dxa"/>
          </w:tcPr>
          <w:p w:rsidR="00750735" w:rsidRPr="00EA7A2F" w:rsidP="00155049" w14:paraId="2B81E9D4" w14:textId="77777777">
            <w:pPr>
              <w:pStyle w:val="Tabletext"/>
              <w:ind w:left="705"/>
            </w:pPr>
            <w:r>
              <w:t>Explicit refusal</w:t>
            </w:r>
          </w:p>
        </w:tc>
        <w:tc>
          <w:tcPr>
            <w:tcW w:w="2790" w:type="dxa"/>
          </w:tcPr>
          <w:p w:rsidR="00750735" w:rsidP="00155049" w14:paraId="31F43745" w14:textId="77777777">
            <w:pPr>
              <w:pStyle w:val="Tabletext"/>
              <w:tabs>
                <w:tab w:val="decimal" w:pos="887"/>
              </w:tabs>
              <w:ind w:left="1335"/>
            </w:pPr>
            <w:r>
              <w:t>5</w:t>
            </w:r>
          </w:p>
        </w:tc>
      </w:tr>
      <w:tr w14:paraId="475F870A" w14:textId="77777777" w:rsidTr="00155049">
        <w:tblPrEx>
          <w:tblW w:w="9360" w:type="dxa"/>
          <w:tblLook w:val="04A0"/>
        </w:tblPrEx>
        <w:trPr>
          <w:cantSplit/>
        </w:trPr>
        <w:tc>
          <w:tcPr>
            <w:tcW w:w="6570" w:type="dxa"/>
          </w:tcPr>
          <w:p w:rsidR="00750735" w:rsidRPr="00EA7A2F" w:rsidP="00155049" w14:paraId="6DE60530" w14:textId="77777777">
            <w:pPr>
              <w:pStyle w:val="Tabletext"/>
              <w:ind w:left="705"/>
            </w:pPr>
            <w:r>
              <w:t>Passive refusal (d</w:t>
            </w:r>
            <w:r w:rsidRPr="00EA7A2F">
              <w:t>id not respond to contact attempts</w:t>
            </w:r>
            <w:r>
              <w:t>)</w:t>
            </w:r>
          </w:p>
        </w:tc>
        <w:tc>
          <w:tcPr>
            <w:tcW w:w="2790" w:type="dxa"/>
          </w:tcPr>
          <w:p w:rsidR="00750735" w:rsidRPr="00EA7A2F" w:rsidP="00155049" w14:paraId="2C6204D1" w14:textId="77777777">
            <w:pPr>
              <w:pStyle w:val="Tabletext"/>
              <w:tabs>
                <w:tab w:val="decimal" w:pos="887"/>
              </w:tabs>
              <w:ind w:left="1335"/>
            </w:pPr>
            <w:r>
              <w:t>44</w:t>
            </w:r>
          </w:p>
        </w:tc>
      </w:tr>
      <w:tr w14:paraId="0E091785" w14:textId="77777777" w:rsidTr="00155049">
        <w:tblPrEx>
          <w:tblW w:w="9360" w:type="dxa"/>
          <w:tblLook w:val="04A0"/>
        </w:tblPrEx>
        <w:trPr>
          <w:cantSplit/>
        </w:trPr>
        <w:tc>
          <w:tcPr>
            <w:tcW w:w="6570" w:type="dxa"/>
            <w:tcBorders>
              <w:top w:val="nil"/>
              <w:bottom w:val="nil"/>
            </w:tcBorders>
          </w:tcPr>
          <w:p w:rsidR="00750735" w:rsidRPr="00EA7A2F" w:rsidP="00155049" w14:paraId="36CC5E8E" w14:textId="77777777">
            <w:pPr>
              <w:pStyle w:val="Tabletext"/>
              <w:ind w:left="705"/>
            </w:pPr>
            <w:r>
              <w:t>Unable to contact (e.g., email bounced back, no phone number) so replaced in sample</w:t>
            </w:r>
          </w:p>
        </w:tc>
        <w:tc>
          <w:tcPr>
            <w:tcW w:w="2790" w:type="dxa"/>
            <w:tcBorders>
              <w:top w:val="nil"/>
              <w:bottom w:val="nil"/>
            </w:tcBorders>
          </w:tcPr>
          <w:p w:rsidR="00750735" w:rsidRPr="00EA7A2F" w:rsidP="00155049" w14:paraId="595431D8" w14:textId="77777777">
            <w:pPr>
              <w:pStyle w:val="Tabletext"/>
              <w:tabs>
                <w:tab w:val="decimal" w:pos="887"/>
              </w:tabs>
              <w:ind w:left="1335"/>
            </w:pPr>
            <w:r>
              <w:t>5</w:t>
            </w:r>
          </w:p>
        </w:tc>
      </w:tr>
      <w:tr w14:paraId="5E0D2F6A" w14:textId="77777777" w:rsidTr="00155049">
        <w:tblPrEx>
          <w:tblW w:w="9360" w:type="dxa"/>
          <w:tblLook w:val="04A0"/>
        </w:tblPrEx>
        <w:trPr>
          <w:cantSplit/>
        </w:trPr>
        <w:tc>
          <w:tcPr>
            <w:tcW w:w="6570" w:type="dxa"/>
            <w:tcBorders>
              <w:top w:val="single" w:sz="4" w:space="0" w:color="auto"/>
              <w:bottom w:val="single" w:sz="12" w:space="0" w:color="auto"/>
            </w:tcBorders>
          </w:tcPr>
          <w:p w:rsidR="00750735" w:rsidRPr="00EA7A2F" w:rsidP="00155049" w14:paraId="0DD7F9F3" w14:textId="77777777">
            <w:pPr>
              <w:pStyle w:val="Tabletext"/>
            </w:pPr>
            <w:r w:rsidRPr="00EA7A2F">
              <w:t>Total</w:t>
            </w:r>
          </w:p>
        </w:tc>
        <w:tc>
          <w:tcPr>
            <w:tcW w:w="2790" w:type="dxa"/>
            <w:tcBorders>
              <w:top w:val="single" w:sz="4" w:space="0" w:color="auto"/>
              <w:bottom w:val="single" w:sz="12" w:space="0" w:color="auto"/>
            </w:tcBorders>
          </w:tcPr>
          <w:p w:rsidR="00750735" w:rsidRPr="00EA7A2F" w:rsidP="00155049" w14:paraId="319C8E55" w14:textId="77777777">
            <w:pPr>
              <w:pStyle w:val="Tabletext"/>
              <w:tabs>
                <w:tab w:val="decimal" w:pos="887"/>
              </w:tabs>
            </w:pPr>
            <w:r w:rsidRPr="001654CF">
              <w:t>62</w:t>
            </w:r>
          </w:p>
        </w:tc>
      </w:tr>
    </w:tbl>
    <w:p w:rsidR="000D0C3E" w:rsidRPr="00487875" w:rsidP="00487875" w14:paraId="17540642" w14:textId="672D6B0C">
      <w:pPr>
        <w:ind w:left="360"/>
        <w:rPr>
          <w:rFonts w:cs="Times New Roman"/>
          <w:color w:val="FF0000"/>
          <w:sz w:val="20"/>
          <w:szCs w:val="20"/>
        </w:rPr>
      </w:pPr>
      <w:r w:rsidRPr="00487875">
        <w:rPr>
          <w:rFonts w:cs="Times New Roman"/>
          <w:vertAlign w:val="superscript"/>
        </w:rPr>
        <w:t>a</w:t>
      </w:r>
      <w:r w:rsidRPr="00AA5F36">
        <w:t xml:space="preserve"> </w:t>
      </w:r>
      <w:r w:rsidRPr="00487875">
        <w:rPr>
          <w:rFonts w:cs="Times New Roman"/>
          <w:sz w:val="20"/>
          <w:szCs w:val="20"/>
        </w:rPr>
        <w:t xml:space="preserve">The reasons we were unable to complete interviews with these three companies are as follows: (1) RTI’s contact at the company received clearance to participate but was not the best person to participate in the interview. The contact was subsequently unresponsive when trying to identify a more appropriate contact for an interview. (2) The company was initially willing to participate, but upon seeing the interview questions noted that because the company was transitioning their food tracking systems, it would be best to contact them later in the summer to schedule an interview. (3) A company agreed to provide written responses to the interview questions but was unable to provide their responses by the cut-off date for Wave 1 responses. </w:t>
      </w:r>
      <w:r w:rsidRPr="00487875" w:rsidR="00CC42AE">
        <w:rPr>
          <w:rFonts w:cs="Times New Roman"/>
          <w:sz w:val="20"/>
          <w:szCs w:val="20"/>
        </w:rPr>
        <w:t>RTI will attempt to recontact these three companies for Wave 2.</w:t>
      </w:r>
    </w:p>
    <w:p w:rsidR="00750735" w:rsidP="00750735" w14:paraId="3AE0DBDC" w14:textId="4BC9C3CA">
      <w:pPr>
        <w:pStyle w:val="Source6-20"/>
        <w:spacing w:after="0"/>
      </w:pPr>
      <w:r>
        <w:t xml:space="preserve"> </w:t>
      </w:r>
    </w:p>
    <w:p w:rsidR="00620B7C" w:rsidP="00EF381A" w14:paraId="4F48A8F2" w14:textId="0325EB03">
      <w:pPr>
        <w:pStyle w:val="BodyText"/>
        <w:rPr>
          <w:rFonts w:eastAsia="Calibri"/>
        </w:rPr>
      </w:pPr>
      <w:r>
        <w:rPr>
          <w:rFonts w:eastAsia="Calibri"/>
        </w:rPr>
        <w:t xml:space="preserve">RTI followed the data collection protocol </w:t>
      </w:r>
      <w:r w:rsidR="005B7A1A">
        <w:rPr>
          <w:rFonts w:eastAsia="Calibri"/>
        </w:rPr>
        <w:t xml:space="preserve">approved by OMB </w:t>
      </w:r>
      <w:r>
        <w:rPr>
          <w:rFonts w:eastAsia="Calibri"/>
        </w:rPr>
        <w:t>and used the OMB-approved recruiting materials</w:t>
      </w:r>
      <w:r w:rsidR="005B7A1A">
        <w:rPr>
          <w:rFonts w:eastAsia="Calibri"/>
        </w:rPr>
        <w:t xml:space="preserve"> (emails and phone scripts)</w:t>
      </w:r>
      <w:r>
        <w:rPr>
          <w:rFonts w:eastAsia="Calibri"/>
        </w:rPr>
        <w:t xml:space="preserve">. </w:t>
      </w:r>
      <w:r>
        <w:t>RTI made</w:t>
      </w:r>
      <w:r w:rsidRPr="001849BE">
        <w:t xml:space="preserve"> up to four contact attempts </w:t>
      </w:r>
      <w:r>
        <w:t xml:space="preserve">to a company </w:t>
      </w:r>
      <w:r w:rsidRPr="001849BE">
        <w:t>over a 2- to 3-week period</w:t>
      </w:r>
      <w:r w:rsidR="005B7A1A">
        <w:t xml:space="preserve">. </w:t>
      </w:r>
      <w:r w:rsidR="005B7A1A">
        <w:rPr>
          <w:rFonts w:eastAsia="Calibri"/>
        </w:rPr>
        <w:t>F</w:t>
      </w:r>
      <w:r w:rsidRPr="005B69E4">
        <w:rPr>
          <w:rFonts w:eastAsia="Calibri"/>
        </w:rPr>
        <w:t>ive companies refused to participate</w:t>
      </w:r>
      <w:r w:rsidR="005B7A1A">
        <w:rPr>
          <w:rFonts w:eastAsia="Calibri"/>
        </w:rPr>
        <w:t xml:space="preserve"> with no specific reason provided. Most of the companies contacted by </w:t>
      </w:r>
      <w:r w:rsidRPr="00DB2EA0" w:rsidR="005B7A1A">
        <w:rPr>
          <w:rFonts w:eastAsia="Calibri"/>
        </w:rPr>
        <w:t>RTI (</w:t>
      </w:r>
      <w:r w:rsidRPr="005B69E4" w:rsidR="005B7A1A">
        <w:rPr>
          <w:rFonts w:eastAsia="Calibri"/>
          <w:i/>
        </w:rPr>
        <w:t>n</w:t>
      </w:r>
      <w:r w:rsidRPr="00DB2EA0" w:rsidR="005B7A1A">
        <w:rPr>
          <w:rFonts w:eastAsia="Calibri"/>
        </w:rPr>
        <w:t xml:space="preserve"> = </w:t>
      </w:r>
      <w:r w:rsidR="00750735">
        <w:rPr>
          <w:rFonts w:eastAsia="Calibri"/>
        </w:rPr>
        <w:t>44</w:t>
      </w:r>
      <w:r w:rsidRPr="00DB2EA0" w:rsidR="005B7A1A">
        <w:rPr>
          <w:rFonts w:eastAsia="Calibri"/>
        </w:rPr>
        <w:t>) were</w:t>
      </w:r>
      <w:r w:rsidR="005B7A1A">
        <w:rPr>
          <w:rFonts w:eastAsia="Calibri"/>
        </w:rPr>
        <w:t xml:space="preserve"> considered </w:t>
      </w:r>
      <w:r w:rsidRPr="005B69E4">
        <w:rPr>
          <w:rFonts w:eastAsia="Calibri"/>
        </w:rPr>
        <w:t xml:space="preserve">passive refusals in that </w:t>
      </w:r>
      <w:r w:rsidR="005B7A1A">
        <w:rPr>
          <w:rFonts w:eastAsia="Calibri"/>
        </w:rPr>
        <w:t xml:space="preserve">they </w:t>
      </w:r>
      <w:r w:rsidRPr="005B69E4">
        <w:rPr>
          <w:rFonts w:eastAsia="Calibri"/>
        </w:rPr>
        <w:t>did</w:t>
      </w:r>
      <w:r w:rsidR="005B7A1A">
        <w:rPr>
          <w:rFonts w:eastAsia="Calibri"/>
        </w:rPr>
        <w:t xml:space="preserve"> not</w:t>
      </w:r>
      <w:r w:rsidRPr="005B69E4">
        <w:rPr>
          <w:rFonts w:eastAsia="Calibri"/>
        </w:rPr>
        <w:t xml:space="preserve"> respond to </w:t>
      </w:r>
      <w:r w:rsidR="005B7A1A">
        <w:rPr>
          <w:rFonts w:eastAsia="Calibri"/>
        </w:rPr>
        <w:t xml:space="preserve">any of the recruiting </w:t>
      </w:r>
      <w:r w:rsidRPr="005B69E4">
        <w:rPr>
          <w:rFonts w:eastAsia="Calibri"/>
        </w:rPr>
        <w:t>phone call</w:t>
      </w:r>
      <w:r w:rsidR="00525C60">
        <w:rPr>
          <w:rFonts w:eastAsia="Calibri"/>
        </w:rPr>
        <w:t>s</w:t>
      </w:r>
      <w:r w:rsidRPr="005B69E4">
        <w:rPr>
          <w:rFonts w:eastAsia="Calibri"/>
        </w:rPr>
        <w:t xml:space="preserve"> or email</w:t>
      </w:r>
      <w:r w:rsidR="005B7A1A">
        <w:rPr>
          <w:rFonts w:eastAsia="Calibri"/>
        </w:rPr>
        <w:t>s</w:t>
      </w:r>
      <w:r w:rsidRPr="005B69E4">
        <w:rPr>
          <w:rFonts w:eastAsia="Calibri"/>
        </w:rPr>
        <w:t xml:space="preserve">. </w:t>
      </w:r>
    </w:p>
    <w:p w:rsidR="005B7A1A" w:rsidRPr="000016EA" w:rsidP="00EF381A" w14:paraId="04FE8B4E" w14:textId="7F5CA2A8">
      <w:pPr>
        <w:pStyle w:val="BodyText"/>
        <w:rPr>
          <w:rFonts w:eastAsia="Calibri"/>
        </w:rPr>
      </w:pPr>
      <w:r>
        <w:rPr>
          <w:rFonts w:eastAsia="Calibri"/>
        </w:rPr>
        <w:t xml:space="preserve">Among the five companies that were interviewed, </w:t>
      </w:r>
      <w:r>
        <w:t>the contact was</w:t>
      </w:r>
      <w:r w:rsidRPr="00F30155">
        <w:t xml:space="preserve"> either introduced or referred to </w:t>
      </w:r>
      <w:r w:rsidRPr="00750735">
        <w:t xml:space="preserve">us directly or otherwise </w:t>
      </w:r>
      <w:r w:rsidRPr="00750735" w:rsidR="007F066D">
        <w:t>w</w:t>
      </w:r>
      <w:r w:rsidR="007F066D">
        <w:t>as</w:t>
      </w:r>
      <w:r w:rsidRPr="00750735" w:rsidR="007F066D">
        <w:t xml:space="preserve"> </w:t>
      </w:r>
      <w:r w:rsidRPr="00750735">
        <w:t xml:space="preserve">a suggested contact </w:t>
      </w:r>
      <w:r w:rsidR="00750735">
        <w:t xml:space="preserve">or referral </w:t>
      </w:r>
      <w:r w:rsidRPr="00750735">
        <w:t>provided by someone with knowledge of the grocery industry, rather than by cold</w:t>
      </w:r>
      <w:r w:rsidR="00CB4C80">
        <w:t xml:space="preserve"> </w:t>
      </w:r>
      <w:r w:rsidRPr="00750735">
        <w:t xml:space="preserve">calling/emailing. </w:t>
      </w:r>
      <w:r w:rsidRPr="00750735" w:rsidR="00FC7ECC">
        <w:t xml:space="preserve">The overall cooperation/response rate was </w:t>
      </w:r>
      <w:r w:rsidRPr="005B69E4" w:rsidR="00750735">
        <w:t>8</w:t>
      </w:r>
      <w:r w:rsidRPr="00750735" w:rsidR="00FC7ECC">
        <w:t>% (5/</w:t>
      </w:r>
      <w:r w:rsidRPr="005B69E4" w:rsidR="00750735">
        <w:t>62</w:t>
      </w:r>
      <w:r w:rsidRPr="00750735" w:rsidR="00FC7ECC">
        <w:t>)</w:t>
      </w:r>
      <w:r w:rsidRPr="00750735" w:rsidR="00750735">
        <w:t xml:space="preserve">, thus </w:t>
      </w:r>
      <w:r w:rsidRPr="00750735">
        <w:t xml:space="preserve">we recommend a sample size of 125 for completing up to 10 </w:t>
      </w:r>
      <w:r w:rsidRPr="000016EA">
        <w:t>interviews</w:t>
      </w:r>
      <w:r w:rsidRPr="000016EA" w:rsidR="00750735">
        <w:t xml:space="preserve"> for Wave 2</w:t>
      </w:r>
      <w:r>
        <w:rPr>
          <w:rStyle w:val="FootnoteReference"/>
        </w:rPr>
        <w:footnoteReference w:id="3"/>
      </w:r>
      <w:r w:rsidRPr="000016EA">
        <w:t xml:space="preserve"> </w:t>
      </w:r>
      <w:r w:rsidRPr="000016EA" w:rsidR="00A35F58">
        <w:t>Because cold calling alone was ineffective, it will be useful to leverage networks (such as the four contacts made at a recent conference by members of the ERS and RTI project teams) to facilitate identifying the appropriate contact person and recruiting them for an interview</w:t>
      </w:r>
      <w:r w:rsidRPr="00E82E99">
        <w:rPr>
          <w:rFonts w:eastAsia="Calibri"/>
        </w:rPr>
        <w:t xml:space="preserve">. </w:t>
      </w:r>
      <w:r w:rsidR="00A35F58">
        <w:rPr>
          <w:rFonts w:eastAsia="Calibri"/>
        </w:rPr>
        <w:t>Other approaches</w:t>
      </w:r>
      <w:r w:rsidR="00103F54">
        <w:rPr>
          <w:rFonts w:eastAsia="Calibri"/>
        </w:rPr>
        <w:t>,</w:t>
      </w:r>
      <w:r w:rsidR="00A35F58">
        <w:rPr>
          <w:rFonts w:eastAsia="Calibri"/>
        </w:rPr>
        <w:t xml:space="preserve"> such as establishing a connection with a </w:t>
      </w:r>
      <w:r w:rsidRPr="000016EA" w:rsidR="00A35F58">
        <w:rPr>
          <w:rFonts w:eastAsia="Calibri"/>
        </w:rPr>
        <w:t>compan</w:t>
      </w:r>
      <w:r w:rsidRPr="000016EA" w:rsidR="00103F54">
        <w:rPr>
          <w:rFonts w:eastAsia="Calibri"/>
        </w:rPr>
        <w:t>y</w:t>
      </w:r>
      <w:r w:rsidRPr="000016EA" w:rsidR="00A35F58">
        <w:rPr>
          <w:rFonts w:eastAsia="Calibri"/>
        </w:rPr>
        <w:t>’</w:t>
      </w:r>
      <w:r w:rsidRPr="000016EA" w:rsidR="00103F54">
        <w:rPr>
          <w:rFonts w:eastAsia="Calibri"/>
        </w:rPr>
        <w:t>s</w:t>
      </w:r>
      <w:r w:rsidRPr="000016EA" w:rsidR="00A35F58">
        <w:rPr>
          <w:rFonts w:eastAsia="Calibri"/>
        </w:rPr>
        <w:t xml:space="preserve"> </w:t>
      </w:r>
      <w:r w:rsidRPr="000016EA" w:rsidR="00A24550">
        <w:rPr>
          <w:rFonts w:eastAsia="Calibri"/>
        </w:rPr>
        <w:t>corporate communications/public affairs</w:t>
      </w:r>
      <w:r w:rsidRPr="000016EA" w:rsidR="00A35F58">
        <w:rPr>
          <w:rFonts w:eastAsia="Calibri"/>
        </w:rPr>
        <w:t xml:space="preserve">/government relations department to identify the target respondent within a company or </w:t>
      </w:r>
      <w:r w:rsidRPr="000016EA" w:rsidR="00103F54">
        <w:rPr>
          <w:rFonts w:eastAsia="Calibri"/>
        </w:rPr>
        <w:t xml:space="preserve">identifying contacts using </w:t>
      </w:r>
      <w:r w:rsidRPr="000016EA" w:rsidR="00FF6357">
        <w:rPr>
          <w:rFonts w:eastAsia="Calibri"/>
        </w:rPr>
        <w:t>a</w:t>
      </w:r>
      <w:r w:rsidRPr="000016EA" w:rsidR="00103F54">
        <w:rPr>
          <w:rFonts w:eastAsia="Calibri"/>
        </w:rPr>
        <w:t xml:space="preserve"> </w:t>
      </w:r>
      <w:r w:rsidRPr="000016EA" w:rsidR="00A35F58">
        <w:rPr>
          <w:rFonts w:eastAsia="Calibri"/>
        </w:rPr>
        <w:t>regist</w:t>
      </w:r>
      <w:r w:rsidRPr="000016EA" w:rsidR="00103F54">
        <w:rPr>
          <w:rFonts w:eastAsia="Calibri"/>
        </w:rPr>
        <w:t xml:space="preserve">ration list for </w:t>
      </w:r>
      <w:r w:rsidRPr="000016EA" w:rsidR="003A0514">
        <w:rPr>
          <w:rFonts w:eastAsia="Calibri"/>
        </w:rPr>
        <w:t xml:space="preserve">a grocery industry </w:t>
      </w:r>
      <w:r w:rsidRPr="000016EA" w:rsidR="00A35F58">
        <w:rPr>
          <w:rFonts w:eastAsia="Calibri"/>
        </w:rPr>
        <w:t>conference</w:t>
      </w:r>
      <w:r w:rsidRPr="000016EA" w:rsidR="00103F54">
        <w:rPr>
          <w:rFonts w:eastAsia="Calibri"/>
        </w:rPr>
        <w:t>,</w:t>
      </w:r>
      <w:r w:rsidRPr="000016EA" w:rsidR="00A35F58">
        <w:rPr>
          <w:rFonts w:eastAsia="Calibri"/>
        </w:rPr>
        <w:t xml:space="preserve"> will be used as described in more detail </w:t>
      </w:r>
      <w:r w:rsidRPr="000016EA" w:rsidR="00103F54">
        <w:rPr>
          <w:rFonts w:eastAsia="Calibri"/>
        </w:rPr>
        <w:t>below in the “</w:t>
      </w:r>
      <w:r w:rsidRPr="000016EA" w:rsidR="00103F54">
        <w:t>Selection and Recruitment Procedures” section.</w:t>
      </w:r>
    </w:p>
    <w:p w:rsidR="008521AE" w:rsidP="00EF381A" w14:paraId="0B18905B" w14:textId="72F9A9ED">
      <w:pPr>
        <w:pStyle w:val="BodyText"/>
        <w:rPr>
          <w:rFonts w:eastAsia="Calibri"/>
        </w:rPr>
      </w:pPr>
      <w:r w:rsidRPr="000016EA">
        <w:rPr>
          <w:rFonts w:eastAsia="Calibri"/>
        </w:rPr>
        <w:t xml:space="preserve">For Wave 1, </w:t>
      </w:r>
      <w:r w:rsidRPr="000016EA" w:rsidR="000B0001">
        <w:rPr>
          <w:rFonts w:eastAsia="Calibri"/>
        </w:rPr>
        <w:t xml:space="preserve">RTI </w:t>
      </w:r>
      <w:r w:rsidRPr="000016EA">
        <w:rPr>
          <w:rFonts w:eastAsia="Calibri"/>
        </w:rPr>
        <w:t xml:space="preserve">conducted </w:t>
      </w:r>
      <w:r w:rsidRPr="000016EA" w:rsidR="000B0001">
        <w:rPr>
          <w:rFonts w:eastAsia="Calibri"/>
        </w:rPr>
        <w:t xml:space="preserve">interviews </w:t>
      </w:r>
      <w:r w:rsidRPr="000016EA">
        <w:rPr>
          <w:rFonts w:eastAsia="Calibri"/>
        </w:rPr>
        <w:t xml:space="preserve">with </w:t>
      </w:r>
      <w:r w:rsidRPr="000016EA" w:rsidR="008C4A06">
        <w:rPr>
          <w:rFonts w:eastAsia="Calibri"/>
        </w:rPr>
        <w:t xml:space="preserve">one independent, </w:t>
      </w:r>
      <w:r w:rsidRPr="000016EA" w:rsidR="00CB4C80">
        <w:rPr>
          <w:rFonts w:eastAsia="Calibri"/>
        </w:rPr>
        <w:t xml:space="preserve">single location </w:t>
      </w:r>
      <w:r w:rsidRPr="000016EA">
        <w:rPr>
          <w:rFonts w:eastAsia="Calibri"/>
        </w:rPr>
        <w:t>grocer, a regional</w:t>
      </w:r>
      <w:r w:rsidRPr="005B69E4">
        <w:rPr>
          <w:rFonts w:eastAsia="Calibri"/>
        </w:rPr>
        <w:t xml:space="preserve"> food cooperative, two regional chains, and one national chain. </w:t>
      </w:r>
      <w:r w:rsidR="00CC42AE">
        <w:rPr>
          <w:rFonts w:eastAsia="Calibri"/>
        </w:rPr>
        <w:t xml:space="preserve">Two of the interviews were with two company representatives, and the remaining interviews were with a single individual. </w:t>
      </w:r>
      <w:r w:rsidRPr="005B69E4" w:rsidR="00D85312">
        <w:rPr>
          <w:rFonts w:eastAsia="Calibri"/>
        </w:rPr>
        <w:t xml:space="preserve">Because most of the companies that were interviewed have an active interest in food loss or waste or ongoing initiatives related to tracking or reducing food loss, the study sample suffers from self-selection bias. Self-selection bias refers to the bias that can occur when individuals are allowed to choose whether they want to participate in a research study. Because the companies </w:t>
      </w:r>
      <w:r w:rsidR="00B41BCF">
        <w:rPr>
          <w:rFonts w:eastAsia="Calibri"/>
        </w:rPr>
        <w:t>that</w:t>
      </w:r>
      <w:r w:rsidRPr="005B69E4" w:rsidR="00D85312">
        <w:rPr>
          <w:rFonts w:eastAsia="Calibri"/>
        </w:rPr>
        <w:t xml:space="preserve"> participated may differ from nonparticipating companies, self-selection can lead to a biased sample and affect the </w:t>
      </w:r>
      <w:hyperlink r:id="rId9" w:history="1">
        <w:r w:rsidRPr="005B69E4" w:rsidR="00D85312">
          <w:rPr>
            <w:rFonts w:eastAsia="Calibri"/>
          </w:rPr>
          <w:t>generalizability</w:t>
        </w:r>
      </w:hyperlink>
      <w:r w:rsidRPr="005B69E4" w:rsidR="00D85312">
        <w:rPr>
          <w:rFonts w:eastAsia="Calibri"/>
        </w:rPr>
        <w:t xml:space="preserve"> of the results. </w:t>
      </w:r>
      <w:r w:rsidRPr="005B69E4">
        <w:rPr>
          <w:rFonts w:eastAsia="Calibri"/>
        </w:rPr>
        <w:t xml:space="preserve">Thus, it will be important to interview several retailers in Wave 2 </w:t>
      </w:r>
      <w:r w:rsidR="00B41BCF">
        <w:rPr>
          <w:rFonts w:eastAsia="Calibri"/>
        </w:rPr>
        <w:t>that</w:t>
      </w:r>
      <w:r w:rsidRPr="005B69E4">
        <w:rPr>
          <w:rFonts w:eastAsia="Calibri"/>
        </w:rPr>
        <w:t xml:space="preserve"> do not have a strong interest in food loss to obtain the</w:t>
      </w:r>
      <w:r w:rsidR="004D2692">
        <w:rPr>
          <w:rFonts w:eastAsia="Calibri"/>
        </w:rPr>
        <w:t>ir</w:t>
      </w:r>
      <w:r w:rsidRPr="005B69E4">
        <w:rPr>
          <w:rFonts w:eastAsia="Calibri"/>
        </w:rPr>
        <w:t xml:space="preserve"> perspectives</w:t>
      </w:r>
      <w:r w:rsidR="004D2692">
        <w:rPr>
          <w:rFonts w:eastAsia="Calibri"/>
        </w:rPr>
        <w:t>.</w:t>
      </w:r>
      <w:r w:rsidRPr="005B69E4">
        <w:rPr>
          <w:rFonts w:eastAsia="Calibri"/>
        </w:rPr>
        <w:t xml:space="preserve"> </w:t>
      </w:r>
    </w:p>
    <w:p w:rsidR="00103F54" w:rsidRPr="00E82E99" w:rsidP="00103F54" w14:paraId="1D0B321D" w14:textId="65A8C77A">
      <w:pPr>
        <w:pStyle w:val="BodyText"/>
        <w:rPr>
          <w:rFonts w:eastAsia="Calibri"/>
        </w:rPr>
      </w:pPr>
      <w:r w:rsidRPr="005B69E4">
        <w:rPr>
          <w:rFonts w:eastAsia="Calibri"/>
        </w:rPr>
        <w:t xml:space="preserve">Additionally, </w:t>
      </w:r>
      <w:r>
        <w:rPr>
          <w:rFonts w:eastAsia="Calibri"/>
        </w:rPr>
        <w:t>b</w:t>
      </w:r>
      <w:r w:rsidRPr="005B69E4">
        <w:rPr>
          <w:rFonts w:eastAsia="Calibri"/>
        </w:rPr>
        <w:t xml:space="preserve">ecause only one </w:t>
      </w:r>
      <w:r w:rsidRPr="001B32F3">
        <w:rPr>
          <w:rFonts w:eastAsia="Calibri"/>
        </w:rPr>
        <w:t xml:space="preserve">independent retailer </w:t>
      </w:r>
      <w:r w:rsidRPr="001B32F3">
        <w:rPr>
          <w:rFonts w:eastAsia="Calibri"/>
        </w:rPr>
        <w:t>(who was the owner</w:t>
      </w:r>
      <w:r w:rsidRPr="000016EA" w:rsidR="001B32F3">
        <w:rPr>
          <w:rFonts w:eastAsia="Calibri"/>
        </w:rPr>
        <w:t xml:space="preserve"> of the company</w:t>
      </w:r>
      <w:r w:rsidRPr="001B32F3">
        <w:rPr>
          <w:rFonts w:eastAsia="Calibri"/>
        </w:rPr>
        <w:t xml:space="preserve">) </w:t>
      </w:r>
      <w:r w:rsidRPr="001B32F3">
        <w:rPr>
          <w:rFonts w:eastAsia="Calibri"/>
        </w:rPr>
        <w:t>was</w:t>
      </w:r>
      <w:r>
        <w:rPr>
          <w:rFonts w:eastAsia="Calibri"/>
        </w:rPr>
        <w:t xml:space="preserve"> interviewed</w:t>
      </w:r>
      <w:r w:rsidR="004D2692">
        <w:rPr>
          <w:rFonts w:eastAsia="Calibri"/>
        </w:rPr>
        <w:t xml:space="preserve"> in Wave 1</w:t>
      </w:r>
      <w:r>
        <w:rPr>
          <w:rFonts w:eastAsia="Calibri"/>
        </w:rPr>
        <w:t xml:space="preserve">, </w:t>
      </w:r>
      <w:r w:rsidRPr="005B69E4">
        <w:rPr>
          <w:rFonts w:eastAsia="Calibri"/>
        </w:rPr>
        <w:t xml:space="preserve">we have insufficient data to </w:t>
      </w:r>
      <w:r w:rsidR="004D2692">
        <w:rPr>
          <w:rFonts w:eastAsia="Calibri"/>
        </w:rPr>
        <w:t xml:space="preserve">determine </w:t>
      </w:r>
      <w:r w:rsidRPr="005B69E4">
        <w:rPr>
          <w:rFonts w:eastAsia="Calibri"/>
        </w:rPr>
        <w:t xml:space="preserve">the </w:t>
      </w:r>
      <w:r w:rsidRPr="000F77D9">
        <w:t xml:space="preserve">feasibility of </w:t>
      </w:r>
      <w:r>
        <w:t>the</w:t>
      </w:r>
      <w:r w:rsidRPr="000F77D9">
        <w:t xml:space="preserve"> </w:t>
      </w:r>
      <w:r>
        <w:t xml:space="preserve">original </w:t>
      </w:r>
      <w:r w:rsidRPr="000F77D9">
        <w:t>methodology for a nationally representative retail</w:t>
      </w:r>
      <w:r w:rsidR="00DB2EA0">
        <w:t xml:space="preserve">-level </w:t>
      </w:r>
      <w:r w:rsidRPr="000F77D9">
        <w:t>food</w:t>
      </w:r>
      <w:r w:rsidR="00DB2EA0">
        <w:t xml:space="preserve"> </w:t>
      </w:r>
      <w:r w:rsidRPr="000F77D9">
        <w:t>loss study</w:t>
      </w:r>
      <w:r w:rsidRPr="003D630B">
        <w:t xml:space="preserve"> </w:t>
      </w:r>
      <w:r w:rsidRPr="003D630B" w:rsidR="005B7A1A">
        <w:t>among</w:t>
      </w:r>
      <w:r w:rsidRPr="003D630B">
        <w:t xml:space="preserve"> </w:t>
      </w:r>
      <w:r w:rsidRPr="003D630B" w:rsidR="00CB4C80">
        <w:t xml:space="preserve">independent </w:t>
      </w:r>
      <w:r w:rsidRPr="003D630B">
        <w:t xml:space="preserve">retailers. Thus, it will be important to interview several </w:t>
      </w:r>
      <w:r w:rsidRPr="003D630B" w:rsidR="00CC42AE">
        <w:t>independent retailers</w:t>
      </w:r>
      <w:r w:rsidRPr="003D630B">
        <w:t xml:space="preserve"> </w:t>
      </w:r>
      <w:r w:rsidRPr="003D630B" w:rsidR="00041271">
        <w:t>(i.e., companies that own 10 or fewer stores)</w:t>
      </w:r>
      <w:r w:rsidRPr="003D630B" w:rsidR="00041271">
        <w:t xml:space="preserve"> </w:t>
      </w:r>
      <w:r w:rsidRPr="003D630B">
        <w:t xml:space="preserve">in Wave 2 to better understand how </w:t>
      </w:r>
      <w:r w:rsidRPr="003D630B" w:rsidR="00CB4C80">
        <w:t xml:space="preserve">these </w:t>
      </w:r>
      <w:r w:rsidRPr="003D630B">
        <w:t>retailers track and maintain food loss data.</w:t>
      </w:r>
      <w:r>
        <w:t xml:space="preserve"> Approaches we will use to recruit independent operators are described in more detail </w:t>
      </w:r>
      <w:r>
        <w:rPr>
          <w:rFonts w:eastAsia="Calibri"/>
        </w:rPr>
        <w:t xml:space="preserve">below </w:t>
      </w:r>
      <w:r w:rsidRPr="001B32F3">
        <w:rPr>
          <w:rFonts w:eastAsia="Calibri"/>
        </w:rPr>
        <w:t>in the “</w:t>
      </w:r>
      <w:r w:rsidRPr="001B32F3">
        <w:t>Selection and Recruitment Procedures” section.</w:t>
      </w:r>
    </w:p>
    <w:p w:rsidR="003816B4" w:rsidP="00EF381A" w14:paraId="427917F0" w14:textId="5AB07222">
      <w:pPr>
        <w:pStyle w:val="BodyText"/>
        <w:rPr>
          <w:rFonts w:eastAsia="Calibri"/>
        </w:rPr>
      </w:pPr>
      <w:r>
        <w:rPr>
          <w:rFonts w:eastAsia="Calibri"/>
        </w:rPr>
        <w:t xml:space="preserve">Based on the </w:t>
      </w:r>
      <w:r w:rsidR="00DD2F72">
        <w:rPr>
          <w:rFonts w:eastAsia="Calibri"/>
        </w:rPr>
        <w:t xml:space="preserve">results of the </w:t>
      </w:r>
      <w:r>
        <w:rPr>
          <w:rFonts w:eastAsia="Calibri"/>
        </w:rPr>
        <w:t xml:space="preserve">Wave 1 interviews, </w:t>
      </w:r>
      <w:r>
        <w:rPr>
          <w:rFonts w:eastAsia="Calibri"/>
        </w:rPr>
        <w:t xml:space="preserve">RTI </w:t>
      </w:r>
      <w:r w:rsidR="00916B56">
        <w:rPr>
          <w:rFonts w:eastAsia="Calibri"/>
        </w:rPr>
        <w:t xml:space="preserve">made the </w:t>
      </w:r>
      <w:r>
        <w:rPr>
          <w:rFonts w:eastAsia="Calibri"/>
        </w:rPr>
        <w:t xml:space="preserve">following </w:t>
      </w:r>
      <w:r>
        <w:rPr>
          <w:rFonts w:eastAsia="Calibri"/>
        </w:rPr>
        <w:t>changes to the</w:t>
      </w:r>
      <w:r>
        <w:rPr>
          <w:rFonts w:eastAsia="Calibri"/>
        </w:rPr>
        <w:t xml:space="preserve"> </w:t>
      </w:r>
      <w:r w:rsidR="001561D4">
        <w:rPr>
          <w:rFonts w:eastAsia="Calibri"/>
        </w:rPr>
        <w:t xml:space="preserve">data collection protocol </w:t>
      </w:r>
      <w:r>
        <w:rPr>
          <w:rFonts w:eastAsia="Calibri"/>
        </w:rPr>
        <w:t>for Wave 2:</w:t>
      </w:r>
    </w:p>
    <w:p w:rsidR="00DD2F72" w14:paraId="64CC120F" w14:textId="5169951C">
      <w:pPr>
        <w:pStyle w:val="BodyText"/>
        <w:numPr>
          <w:ilvl w:val="0"/>
          <w:numId w:val="40"/>
        </w:numPr>
        <w:rPr>
          <w:rFonts w:eastAsia="Calibri"/>
        </w:rPr>
      </w:pPr>
      <w:r>
        <w:rPr>
          <w:rFonts w:eastAsia="Calibri"/>
        </w:rPr>
        <w:t xml:space="preserve">Revised the </w:t>
      </w:r>
      <w:r w:rsidR="000B0001">
        <w:rPr>
          <w:rFonts w:eastAsia="Calibri"/>
        </w:rPr>
        <w:t>interview guide</w:t>
      </w:r>
      <w:r w:rsidR="0018696A">
        <w:rPr>
          <w:rFonts w:eastAsia="Calibri"/>
        </w:rPr>
        <w:t xml:space="preserve"> to add </w:t>
      </w:r>
      <w:r w:rsidR="00103F54">
        <w:t>probes for two questions</w:t>
      </w:r>
      <w:r w:rsidR="00916B56">
        <w:t xml:space="preserve">: (1) </w:t>
      </w:r>
      <w:r w:rsidR="00103F54">
        <w:t>if the participant uses the word “shrink</w:t>
      </w:r>
      <w:r w:rsidR="00916B56">
        <w:t xml:space="preserve">,” </w:t>
      </w:r>
      <w:r w:rsidR="00103F54">
        <w:t>p</w:t>
      </w:r>
      <w:r w:rsidR="00916B56">
        <w:t xml:space="preserve">robe to see how their </w:t>
      </w:r>
      <w:r w:rsidR="00103F54">
        <w:t>definition of shrink align</w:t>
      </w:r>
      <w:r w:rsidR="00916B56">
        <w:t>s</w:t>
      </w:r>
      <w:r w:rsidR="00103F54">
        <w:t xml:space="preserve"> with ERS’s definition of food loss</w:t>
      </w:r>
      <w:r w:rsidR="00916B56">
        <w:t xml:space="preserve"> and (2) when discussing nonmonetary incentives, probe to see whether some type of recognition from USDA would be useful for motivating participation. </w:t>
      </w:r>
    </w:p>
    <w:p w:rsidR="00DD2F72" w14:paraId="5646231A" w14:textId="143FB785">
      <w:pPr>
        <w:pStyle w:val="BodyText"/>
        <w:numPr>
          <w:ilvl w:val="0"/>
          <w:numId w:val="40"/>
        </w:numPr>
        <w:rPr>
          <w:rFonts w:eastAsia="Calibri"/>
        </w:rPr>
      </w:pPr>
      <w:r>
        <w:rPr>
          <w:rFonts w:eastAsia="Calibri"/>
        </w:rPr>
        <w:t>Reduced interview burden from 60 minutes to 30 minutes based on the actual average interview time in Wave 1.</w:t>
      </w:r>
      <w:r w:rsidRPr="005B69E4" w:rsidR="005B7A1A">
        <w:rPr>
          <w:rFonts w:eastAsia="Calibri"/>
        </w:rPr>
        <w:t xml:space="preserve"> </w:t>
      </w:r>
    </w:p>
    <w:p w:rsidR="00DD2F72" w14:paraId="43B1628D" w14:textId="1DBEC9AA">
      <w:pPr>
        <w:pStyle w:val="BodyText"/>
        <w:numPr>
          <w:ilvl w:val="0"/>
          <w:numId w:val="40"/>
        </w:numPr>
        <w:rPr>
          <w:rFonts w:eastAsia="Calibri"/>
        </w:rPr>
      </w:pPr>
      <w:r>
        <w:rPr>
          <w:rFonts w:eastAsia="Calibri"/>
        </w:rPr>
        <w:t>S</w:t>
      </w:r>
      <w:r w:rsidR="00103496">
        <w:rPr>
          <w:rFonts w:eastAsia="Calibri"/>
        </w:rPr>
        <w:t>implified</w:t>
      </w:r>
      <w:r w:rsidRPr="00103496" w:rsidR="00103496">
        <w:rPr>
          <w:rFonts w:eastAsia="Calibri"/>
        </w:rPr>
        <w:t xml:space="preserve"> </w:t>
      </w:r>
      <w:r w:rsidRPr="005B69E4" w:rsidR="005B7A1A">
        <w:rPr>
          <w:rFonts w:eastAsia="Calibri"/>
        </w:rPr>
        <w:t>the text in the</w:t>
      </w:r>
      <w:r w:rsidR="007F066D">
        <w:rPr>
          <w:rFonts w:eastAsia="Calibri"/>
        </w:rPr>
        <w:t xml:space="preserve"> recruitment </w:t>
      </w:r>
      <w:r w:rsidR="00A9398F">
        <w:rPr>
          <w:rFonts w:eastAsia="Calibri"/>
        </w:rPr>
        <w:t xml:space="preserve">telephone </w:t>
      </w:r>
      <w:r w:rsidR="007F066D">
        <w:rPr>
          <w:rFonts w:eastAsia="Calibri"/>
        </w:rPr>
        <w:t>scripts and emails</w:t>
      </w:r>
      <w:r w:rsidRPr="005B69E4" w:rsidR="005B7A1A">
        <w:rPr>
          <w:rFonts w:eastAsia="Calibri"/>
        </w:rPr>
        <w:t>, so it is shorter and more conversational</w:t>
      </w:r>
      <w:r w:rsidR="000B0001">
        <w:rPr>
          <w:rFonts w:eastAsia="Calibri"/>
        </w:rPr>
        <w:t xml:space="preserve">. </w:t>
      </w:r>
    </w:p>
    <w:p w:rsidR="00D85312" w:rsidRPr="005B69E4" w:rsidP="000016EA" w14:paraId="53908C83" w14:textId="53B56136">
      <w:pPr>
        <w:pStyle w:val="BodyText"/>
        <w:numPr>
          <w:ilvl w:val="0"/>
          <w:numId w:val="40"/>
        </w:numPr>
        <w:rPr>
          <w:rFonts w:eastAsia="Calibri"/>
        </w:rPr>
      </w:pPr>
      <w:r>
        <w:rPr>
          <w:rFonts w:eastAsia="Calibri"/>
        </w:rPr>
        <w:t>Removed t</w:t>
      </w:r>
      <w:r w:rsidRPr="005B69E4" w:rsidR="005B7A1A">
        <w:rPr>
          <w:rFonts w:eastAsia="Calibri"/>
        </w:rPr>
        <w:t xml:space="preserve">he table from the list of interview questions sent to participants </w:t>
      </w:r>
      <w:r w:rsidR="00B41BCF">
        <w:rPr>
          <w:rFonts w:eastAsia="Calibri"/>
        </w:rPr>
        <w:t>before</w:t>
      </w:r>
      <w:r w:rsidRPr="005B69E4" w:rsidR="005B7A1A">
        <w:rPr>
          <w:rFonts w:eastAsia="Calibri"/>
        </w:rPr>
        <w:t xml:space="preserve"> the interview</w:t>
      </w:r>
      <w:r w:rsidR="000B0001">
        <w:rPr>
          <w:rFonts w:eastAsia="Calibri"/>
        </w:rPr>
        <w:t xml:space="preserve"> because it led so</w:t>
      </w:r>
      <w:r w:rsidRPr="005B69E4" w:rsidR="005B7A1A">
        <w:rPr>
          <w:rFonts w:eastAsia="Calibri"/>
        </w:rPr>
        <w:t>me people to believe that we were collecting actual data</w:t>
      </w:r>
      <w:r w:rsidR="000B0001">
        <w:rPr>
          <w:rFonts w:eastAsia="Calibri"/>
        </w:rPr>
        <w:t xml:space="preserve"> on sales and shipment</w:t>
      </w:r>
      <w:r w:rsidR="00B41BCF">
        <w:rPr>
          <w:rFonts w:eastAsia="Calibri"/>
        </w:rPr>
        <w:t>s</w:t>
      </w:r>
      <w:r w:rsidR="000B0001">
        <w:rPr>
          <w:rFonts w:eastAsia="Calibri"/>
        </w:rPr>
        <w:t xml:space="preserve"> as part of the interview</w:t>
      </w:r>
      <w:r w:rsidRPr="005B69E4" w:rsidR="005B7A1A">
        <w:rPr>
          <w:rFonts w:eastAsia="Calibri"/>
        </w:rPr>
        <w:t>.</w:t>
      </w:r>
      <w:r w:rsidR="000B0001">
        <w:rPr>
          <w:rFonts w:eastAsia="Calibri"/>
        </w:rPr>
        <w:t xml:space="preserve"> </w:t>
      </w:r>
    </w:p>
    <w:p w:rsidR="00307579" w:rsidRPr="00E16A04" w:rsidP="00E10871" w14:paraId="25AA4065" w14:textId="22851B68">
      <w:pPr>
        <w:pStyle w:val="Heading1"/>
      </w:pPr>
      <w:r w:rsidRPr="00E16A04">
        <w:t xml:space="preserve">Research </w:t>
      </w:r>
      <w:r w:rsidR="001857E9">
        <w:t xml:space="preserve">and Analysis </w:t>
      </w:r>
      <w:r w:rsidRPr="00E16A04">
        <w:t xml:space="preserve">Plan for the </w:t>
      </w:r>
      <w:r w:rsidR="00D85312">
        <w:t xml:space="preserve">Wave 2 </w:t>
      </w:r>
      <w:r w:rsidRPr="00E16A04">
        <w:t>Semi-</w:t>
      </w:r>
      <w:r w:rsidRPr="00E16A04" w:rsidR="00C21CD2">
        <w:t>s</w:t>
      </w:r>
      <w:r w:rsidRPr="00E16A04">
        <w:t>tructured Interviews</w:t>
      </w:r>
    </w:p>
    <w:p w:rsidR="00617D2F" w:rsidRPr="000F77D9" w:rsidP="00F0534B" w14:paraId="25A6F202" w14:textId="110317D9">
      <w:pPr>
        <w:pStyle w:val="Heading2"/>
      </w:pPr>
      <w:r w:rsidRPr="000F77D9">
        <w:t>Selecti</w:t>
      </w:r>
      <w:r w:rsidRPr="000F77D9" w:rsidR="00651011">
        <w:t>o</w:t>
      </w:r>
      <w:r w:rsidRPr="000F77D9">
        <w:t xml:space="preserve">n </w:t>
      </w:r>
      <w:r w:rsidR="006C3150">
        <w:t xml:space="preserve">and Recruitment </w:t>
      </w:r>
      <w:r w:rsidR="007904BA">
        <w:t>Procedures</w:t>
      </w:r>
      <w:r w:rsidRPr="000F77D9">
        <w:t xml:space="preserve"> </w:t>
      </w:r>
    </w:p>
    <w:p w:rsidR="006C3150" w:rsidRPr="00AE34D4" w:rsidP="00F0534B" w14:paraId="330F2980" w14:textId="55927346">
      <w:pPr>
        <w:pStyle w:val="Heading3"/>
        <w:rPr>
          <w:rFonts w:ascii="Times New Roman" w:hAnsi="Times New Roman" w:cs="Times New Roman"/>
          <w:sz w:val="24"/>
          <w:szCs w:val="24"/>
        </w:rPr>
      </w:pPr>
      <w:bookmarkStart w:id="4" w:name="_Hlk75780375"/>
      <w:r w:rsidRPr="00AE34D4">
        <w:rPr>
          <w:rFonts w:ascii="Times New Roman" w:hAnsi="Times New Roman" w:cs="Times New Roman"/>
          <w:sz w:val="24"/>
          <w:szCs w:val="24"/>
        </w:rPr>
        <w:t xml:space="preserve">Soft Quota Ranges </w:t>
      </w:r>
      <w:r w:rsidRPr="00AE34D4" w:rsidR="00503651">
        <w:rPr>
          <w:rFonts w:ascii="Times New Roman" w:hAnsi="Times New Roman" w:cs="Times New Roman"/>
          <w:sz w:val="24"/>
          <w:szCs w:val="24"/>
        </w:rPr>
        <w:t>for Recruitment</w:t>
      </w:r>
    </w:p>
    <w:p w:rsidR="00393DDA" w:rsidP="00EF381A" w14:paraId="0127997D" w14:textId="2A143DA1">
      <w:pPr>
        <w:pStyle w:val="BodyText"/>
      </w:pPr>
      <w:r>
        <w:t>Consistent with the approach used for Wave 1, t</w:t>
      </w:r>
      <w:r w:rsidRPr="00641232" w:rsidR="00175F9E">
        <w:t xml:space="preserve">he unit </w:t>
      </w:r>
      <w:r w:rsidRPr="00641232" w:rsidR="00041D7F">
        <w:t xml:space="preserve">for the </w:t>
      </w:r>
      <w:r>
        <w:t xml:space="preserve">Wave 2 </w:t>
      </w:r>
      <w:r w:rsidRPr="00641232" w:rsidR="00041D7F">
        <w:t xml:space="preserve">semi-structured interviews </w:t>
      </w:r>
      <w:r w:rsidRPr="00641232" w:rsidR="00175F9E">
        <w:t xml:space="preserve">is the corporate </w:t>
      </w:r>
      <w:r w:rsidRPr="00641232" w:rsidR="007705C5">
        <w:t xml:space="preserve">headquarters </w:t>
      </w:r>
      <w:r w:rsidRPr="00641232" w:rsidR="00175F9E">
        <w:t>of a food retail</w:t>
      </w:r>
      <w:r w:rsidRPr="00641232" w:rsidR="00A7556C">
        <w:t xml:space="preserve"> company</w:t>
      </w:r>
      <w:r w:rsidRPr="00641232" w:rsidR="00175F9E">
        <w:t xml:space="preserve"> </w:t>
      </w:r>
      <w:r w:rsidRPr="00641232" w:rsidR="00926D61">
        <w:t>(referred to as “compan</w:t>
      </w:r>
      <w:r w:rsidRPr="00641232" w:rsidR="005D3D67">
        <w:t>y” or “companies” for brevity</w:t>
      </w:r>
      <w:r w:rsidRPr="00641232" w:rsidR="00926D61">
        <w:t>)</w:t>
      </w:r>
      <w:r w:rsidR="001B6764">
        <w:t xml:space="preserve"> </w:t>
      </w:r>
      <w:r w:rsidRPr="00641232" w:rsidR="00175F9E">
        <w:t xml:space="preserve">that </w:t>
      </w:r>
      <w:r w:rsidRPr="00641232" w:rsidR="007705C5">
        <w:t xml:space="preserve">owns </w:t>
      </w:r>
      <w:r w:rsidRPr="00641232" w:rsidR="00175F9E">
        <w:t>supermarket</w:t>
      </w:r>
      <w:r w:rsidRPr="00641232" w:rsidR="007705C5">
        <w:t>s</w:t>
      </w:r>
      <w:r w:rsidRPr="00641232" w:rsidR="00175F9E">
        <w:t>, supercenter</w:t>
      </w:r>
      <w:r w:rsidRPr="00641232" w:rsidR="007705C5">
        <w:t>s</w:t>
      </w:r>
      <w:r w:rsidRPr="00641232" w:rsidR="00041D7F">
        <w:t>,</w:t>
      </w:r>
      <w:r w:rsidRPr="00641232" w:rsidR="00175F9E">
        <w:t xml:space="preserve"> </w:t>
      </w:r>
      <w:r w:rsidRPr="00641232" w:rsidR="00E24871">
        <w:t xml:space="preserve">or </w:t>
      </w:r>
      <w:r w:rsidRPr="00641232" w:rsidR="00175F9E">
        <w:t>club store</w:t>
      </w:r>
      <w:r w:rsidRPr="00641232" w:rsidR="007705C5">
        <w:t>s</w:t>
      </w:r>
      <w:r w:rsidRPr="00641232" w:rsidR="00A7556C">
        <w:t>.</w:t>
      </w:r>
      <w:r>
        <w:rPr>
          <w:rStyle w:val="FootnoteReference"/>
        </w:rPr>
        <w:footnoteReference w:id="4"/>
      </w:r>
      <w:r w:rsidR="00F97AA8">
        <w:t xml:space="preserve"> In this context</w:t>
      </w:r>
      <w:r>
        <w:t>, companies own individual retail stores or chains of retail stores</w:t>
      </w:r>
      <w:r w:rsidR="0018696A">
        <w:t xml:space="preserve"> (with the exception of independent operators that own 10 or fewer stores)</w:t>
      </w:r>
      <w:r>
        <w:t>.</w:t>
      </w:r>
      <w:r>
        <w:t xml:space="preserve"> As in Wave 1</w:t>
      </w:r>
      <w:r>
        <w:t>,</w:t>
      </w:r>
      <w:r w:rsidR="00B41BCF">
        <w:t xml:space="preserve"> </w:t>
      </w:r>
      <w:r w:rsidR="00050CAC">
        <w:t xml:space="preserve">RTI </w:t>
      </w:r>
      <w:r w:rsidR="00B41BCF">
        <w:t>will interview</w:t>
      </w:r>
      <w:r>
        <w:t xml:space="preserve"> </w:t>
      </w:r>
      <w:r w:rsidR="009A4634">
        <w:t xml:space="preserve">staff at the company, rather than </w:t>
      </w:r>
      <w:r w:rsidR="000016EA">
        <w:t>s</w:t>
      </w:r>
      <w:r>
        <w:t>tore</w:t>
      </w:r>
      <w:r w:rsidR="009A4634">
        <w:t>-level</w:t>
      </w:r>
      <w:r w:rsidR="00E452F3">
        <w:t>,</w:t>
      </w:r>
      <w:r>
        <w:t xml:space="preserve"> to learn about </w:t>
      </w:r>
      <w:r w:rsidR="00B41BCF">
        <w:t xml:space="preserve">the </w:t>
      </w:r>
      <w:r>
        <w:t xml:space="preserve">data </w:t>
      </w:r>
      <w:r w:rsidR="00B41BCF">
        <w:t xml:space="preserve">they </w:t>
      </w:r>
      <w:r>
        <w:t>maintain for estimating food loss and</w:t>
      </w:r>
      <w:r w:rsidR="0025468A">
        <w:t xml:space="preserve"> </w:t>
      </w:r>
      <w:r w:rsidR="00B41BCF">
        <w:t>the</w:t>
      </w:r>
      <w:r>
        <w:t xml:space="preserve"> level of the organization </w:t>
      </w:r>
      <w:r w:rsidR="00B41BCF">
        <w:t xml:space="preserve">at which </w:t>
      </w:r>
      <w:r>
        <w:t>the</w:t>
      </w:r>
      <w:r w:rsidR="00B41BCF">
        <w:t>y</w:t>
      </w:r>
      <w:r>
        <w:t xml:space="preserve"> maintain</w:t>
      </w:r>
      <w:r w:rsidR="00B41BCF">
        <w:t xml:space="preserve"> the</w:t>
      </w:r>
      <w:r w:rsidRPr="00B41BCF" w:rsidR="00B41BCF">
        <w:t xml:space="preserve"> </w:t>
      </w:r>
      <w:r w:rsidR="00B41BCF">
        <w:t>data</w:t>
      </w:r>
      <w:r>
        <w:t>.</w:t>
      </w:r>
    </w:p>
    <w:p w:rsidR="00503651" w:rsidP="00EF381A" w14:paraId="33932F11" w14:textId="603563F5">
      <w:pPr>
        <w:pStyle w:val="BodyText"/>
        <w:rPr>
          <w:b/>
          <w:bCs/>
        </w:rPr>
      </w:pPr>
      <w:r>
        <w:t xml:space="preserve">The study </w:t>
      </w:r>
      <w:r w:rsidR="00E650BC">
        <w:t xml:space="preserve">will continue to be </w:t>
      </w:r>
      <w:r>
        <w:t xml:space="preserve">limited to </w:t>
      </w:r>
      <w:r w:rsidRPr="00641232" w:rsidR="00393DDA">
        <w:t xml:space="preserve">supermarkets, supercenters, </w:t>
      </w:r>
      <w:r w:rsidR="00B41BCF">
        <w:t>and</w:t>
      </w:r>
      <w:r w:rsidRPr="00641232" w:rsidR="00B41BCF">
        <w:t xml:space="preserve"> </w:t>
      </w:r>
      <w:r w:rsidRPr="00641232" w:rsidR="00393DDA">
        <w:t>club stores</w:t>
      </w:r>
      <w:r w:rsidRPr="00641232" w:rsidR="00393DDA">
        <w:t xml:space="preserve"> </w:t>
      </w:r>
      <w:r w:rsidRPr="00641232" w:rsidR="00617D2F">
        <w:t xml:space="preserve">because they </w:t>
      </w:r>
      <w:r w:rsidRPr="00641232" w:rsidR="002B10A0">
        <w:t xml:space="preserve">account for </w:t>
      </w:r>
      <w:r w:rsidRPr="00641232" w:rsidR="00621B59">
        <w:t>85% of food and beverage</w:t>
      </w:r>
      <w:r w:rsidR="00E452F3">
        <w:t xml:space="preserve"> </w:t>
      </w:r>
      <w:r w:rsidRPr="00C514FD" w:rsidR="00621B59">
        <w:t xml:space="preserve">retail sales </w:t>
      </w:r>
      <w:r w:rsidRPr="00C514FD" w:rsidR="00617D2F">
        <w:t>in the United States</w:t>
      </w:r>
      <w:r w:rsidRPr="00C514FD" w:rsidR="00F77DFB">
        <w:t>.</w:t>
      </w:r>
      <w:r>
        <w:rPr>
          <w:rStyle w:val="FootnoteReference"/>
        </w:rPr>
        <w:footnoteReference w:id="5"/>
      </w:r>
      <w:r w:rsidRPr="00621B59" w:rsidR="00617D2F">
        <w:t xml:space="preserve"> </w:t>
      </w:r>
      <w:r w:rsidR="00050CAC">
        <w:t>RTI</w:t>
      </w:r>
      <w:r w:rsidR="00B41BCF">
        <w:t xml:space="preserve"> </w:t>
      </w:r>
      <w:r w:rsidR="00964B0B">
        <w:t xml:space="preserve">plans to </w:t>
      </w:r>
      <w:r w:rsidR="00B41BCF">
        <w:t>interview r</w:t>
      </w:r>
      <w:r w:rsidR="00987D59">
        <w:t>etail c</w:t>
      </w:r>
      <w:r w:rsidR="00AE7F70">
        <w:t xml:space="preserve">ompanies with </w:t>
      </w:r>
      <w:r w:rsidRPr="005459AA" w:rsidR="000B0E39">
        <w:t>different organizational structures (</w:t>
      </w:r>
      <w:r w:rsidR="003F0CAD">
        <w:t>i.e</w:t>
      </w:r>
      <w:r w:rsidRPr="005459AA" w:rsidR="000B0E39">
        <w:t>.</w:t>
      </w:r>
      <w:r w:rsidR="00E452F3">
        <w:t>,</w:t>
      </w:r>
      <w:r w:rsidRPr="005459AA" w:rsidR="000B0E39">
        <w:t xml:space="preserve"> independently owned, regional chain, </w:t>
      </w:r>
      <w:r w:rsidR="00AF6AA8">
        <w:t xml:space="preserve">and </w:t>
      </w:r>
      <w:r w:rsidRPr="005459AA" w:rsidR="000B0E39">
        <w:t>national chain)</w:t>
      </w:r>
      <w:r w:rsidR="00193F39">
        <w:t xml:space="preserve">. </w:t>
      </w:r>
      <w:r w:rsidR="00050CAC">
        <w:t xml:space="preserve">Additionally, </w:t>
      </w:r>
      <w:r w:rsidR="00964B0B">
        <w:t xml:space="preserve">if </w:t>
      </w:r>
      <w:r w:rsidRPr="001B32F3" w:rsidR="00964B0B">
        <w:t xml:space="preserve">possible, </w:t>
      </w:r>
      <w:r w:rsidRPr="001B32F3" w:rsidR="00D00ACB">
        <w:t xml:space="preserve">RTI will interview </w:t>
      </w:r>
      <w:r w:rsidRPr="001B32F3" w:rsidR="00050CAC">
        <w:t>c</w:t>
      </w:r>
      <w:r w:rsidRPr="001B32F3" w:rsidR="00193F39">
        <w:t>ompanies</w:t>
      </w:r>
      <w:r w:rsidR="00193F39">
        <w:t xml:space="preserve"> </w:t>
      </w:r>
      <w:r w:rsidRPr="005459AA" w:rsidR="00193F39">
        <w:t xml:space="preserve">from </w:t>
      </w:r>
      <w:r w:rsidR="00193F39">
        <w:t xml:space="preserve">different </w:t>
      </w:r>
      <w:r w:rsidRPr="005459AA" w:rsidR="00193F39">
        <w:t>geographic locations</w:t>
      </w:r>
      <w:r w:rsidR="00193F39">
        <w:t xml:space="preserve"> to provide coverage across the four </w:t>
      </w:r>
      <w:r w:rsidRPr="00E16A04" w:rsidR="00193F39">
        <w:t>Census regions of the United States (the Northeast, Midwest, South, and West)</w:t>
      </w:r>
      <w:r w:rsidR="00193F39">
        <w:t>.</w:t>
      </w:r>
    </w:p>
    <w:p w:rsidR="008D5FA7" w:rsidP="00EF381A" w14:paraId="2A996C22" w14:textId="0F6DB10E">
      <w:pPr>
        <w:pStyle w:val="BodyText"/>
        <w:rPr>
          <w:rFonts w:eastAsia="SimSun"/>
        </w:rPr>
      </w:pPr>
      <w:r>
        <w:rPr>
          <w:rFonts w:eastAsia="SimSun"/>
        </w:rPr>
        <w:t xml:space="preserve">Similar to Wave 1, </w:t>
      </w:r>
      <w:r w:rsidR="009A4634">
        <w:rPr>
          <w:rFonts w:eastAsia="SimSun"/>
        </w:rPr>
        <w:t xml:space="preserve">RTI </w:t>
      </w:r>
      <w:r w:rsidR="00103496">
        <w:rPr>
          <w:rFonts w:eastAsia="SimSun"/>
        </w:rPr>
        <w:t xml:space="preserve">will </w:t>
      </w:r>
      <w:r w:rsidR="007F066D">
        <w:rPr>
          <w:rFonts w:eastAsia="SimSun"/>
        </w:rPr>
        <w:t xml:space="preserve">attempt to </w:t>
      </w:r>
      <w:r w:rsidR="00103496">
        <w:rPr>
          <w:rFonts w:eastAsia="SimSun"/>
        </w:rPr>
        <w:t>use s</w:t>
      </w:r>
      <w:r w:rsidRPr="005459AA" w:rsidR="000B0E39">
        <w:rPr>
          <w:rFonts w:eastAsia="SimSun"/>
        </w:rPr>
        <w:t>oft quota</w:t>
      </w:r>
      <w:r w:rsidR="00E452F3">
        <w:rPr>
          <w:rFonts w:eastAsia="SimSun"/>
        </w:rPr>
        <w:t>s</w:t>
      </w:r>
      <w:r w:rsidRPr="005459AA" w:rsidR="000B0E39">
        <w:rPr>
          <w:rFonts w:eastAsia="SimSun"/>
        </w:rPr>
        <w:t xml:space="preserve"> </w:t>
      </w:r>
      <w:r>
        <w:rPr>
          <w:rFonts w:eastAsia="SimSun"/>
        </w:rPr>
        <w:t xml:space="preserve">with </w:t>
      </w:r>
      <w:r w:rsidRPr="005459AA" w:rsidR="000B0E39">
        <w:rPr>
          <w:rFonts w:eastAsia="SimSun"/>
        </w:rPr>
        <w:t xml:space="preserve">ranges </w:t>
      </w:r>
      <w:r w:rsidR="00193F39">
        <w:rPr>
          <w:rFonts w:eastAsia="SimSun"/>
        </w:rPr>
        <w:t xml:space="preserve">for </w:t>
      </w:r>
      <w:r w:rsidR="00103496">
        <w:rPr>
          <w:rFonts w:eastAsia="SimSun"/>
        </w:rPr>
        <w:t xml:space="preserve">store </w:t>
      </w:r>
      <w:r w:rsidR="00193F39">
        <w:rPr>
          <w:rFonts w:eastAsia="SimSun"/>
        </w:rPr>
        <w:t>type</w:t>
      </w:r>
      <w:r w:rsidR="000B0001">
        <w:rPr>
          <w:rFonts w:eastAsia="SimSun"/>
        </w:rPr>
        <w:t xml:space="preserve"> and </w:t>
      </w:r>
      <w:r w:rsidR="00193F39">
        <w:rPr>
          <w:rFonts w:eastAsia="SimSun"/>
        </w:rPr>
        <w:t>organizational structure</w:t>
      </w:r>
      <w:r w:rsidR="000B0001">
        <w:rPr>
          <w:rFonts w:eastAsia="SimSun"/>
        </w:rPr>
        <w:t xml:space="preserve"> </w:t>
      </w:r>
      <w:r w:rsidRPr="005459AA" w:rsidR="000B0E39">
        <w:rPr>
          <w:rFonts w:eastAsia="SimSun"/>
        </w:rPr>
        <w:t xml:space="preserve">to ensure </w:t>
      </w:r>
      <w:r w:rsidR="00E25960">
        <w:rPr>
          <w:rFonts w:eastAsia="SimSun"/>
        </w:rPr>
        <w:t xml:space="preserve">that </w:t>
      </w:r>
      <w:r w:rsidR="00103496">
        <w:rPr>
          <w:rFonts w:eastAsia="SimSun"/>
        </w:rPr>
        <w:t xml:space="preserve">we interview </w:t>
      </w:r>
      <w:r w:rsidR="00E25960">
        <w:rPr>
          <w:rFonts w:eastAsia="SimSun"/>
        </w:rPr>
        <w:t xml:space="preserve">a </w:t>
      </w:r>
      <w:r w:rsidRPr="005459AA" w:rsidR="000B0E39">
        <w:rPr>
          <w:rFonts w:eastAsia="SimSun"/>
        </w:rPr>
        <w:t>diverse mix of companies (</w:t>
      </w:r>
      <w:r w:rsidR="00DB58C2">
        <w:rPr>
          <w:rFonts w:eastAsia="SimSun"/>
        </w:rPr>
        <w:t xml:space="preserve">Table </w:t>
      </w:r>
      <w:r w:rsidR="000B0001">
        <w:rPr>
          <w:rFonts w:eastAsia="SimSun"/>
        </w:rPr>
        <w:t>2</w:t>
      </w:r>
      <w:r w:rsidRPr="005459AA" w:rsidR="000B0E39">
        <w:rPr>
          <w:rFonts w:eastAsia="SimSun"/>
        </w:rPr>
        <w:t xml:space="preserve">) </w:t>
      </w:r>
      <w:r w:rsidR="00193F39">
        <w:rPr>
          <w:rFonts w:eastAsia="SimSun"/>
        </w:rPr>
        <w:t>(</w:t>
      </w:r>
      <w:r w:rsidR="00987D59">
        <w:rPr>
          <w:rFonts w:eastAsia="SimSun"/>
        </w:rPr>
        <w:t xml:space="preserve">there are </w:t>
      </w:r>
      <w:r w:rsidR="00193F39">
        <w:rPr>
          <w:rFonts w:eastAsia="SimSun"/>
        </w:rPr>
        <w:t>no quotas for region</w:t>
      </w:r>
      <w:r w:rsidR="00103496">
        <w:rPr>
          <w:rFonts w:eastAsia="SimSun"/>
        </w:rPr>
        <w:t xml:space="preserve">—we will purposively select </w:t>
      </w:r>
      <w:r w:rsidR="00B3212B">
        <w:rPr>
          <w:rFonts w:eastAsia="SimSun"/>
        </w:rPr>
        <w:t>a mix of regions</w:t>
      </w:r>
      <w:r w:rsidR="00193F39">
        <w:rPr>
          <w:rFonts w:eastAsia="SimSun"/>
        </w:rPr>
        <w:t>)</w:t>
      </w:r>
      <w:r w:rsidR="00E25960">
        <w:rPr>
          <w:rFonts w:eastAsia="SimSun"/>
        </w:rPr>
        <w:t>.</w:t>
      </w:r>
      <w:r w:rsidR="00987D59">
        <w:rPr>
          <w:rFonts w:eastAsia="SimSun"/>
        </w:rPr>
        <w:t xml:space="preserve"> </w:t>
      </w:r>
      <w:r w:rsidR="004134C9">
        <w:rPr>
          <w:rFonts w:eastAsia="SimSun"/>
        </w:rPr>
        <w:t>Be</w:t>
      </w:r>
      <w:r w:rsidRPr="005459AA" w:rsidR="000B0E39">
        <w:rPr>
          <w:rFonts w:eastAsia="SimSun"/>
        </w:rPr>
        <w:t xml:space="preserve">cause a small number of companies own supercenters or club stores, </w:t>
      </w:r>
      <w:r w:rsidR="00F97AA8">
        <w:rPr>
          <w:rFonts w:eastAsia="SimSun"/>
        </w:rPr>
        <w:t xml:space="preserve">only </w:t>
      </w:r>
      <w:r w:rsidRPr="005459AA" w:rsidR="000B0E39">
        <w:rPr>
          <w:rFonts w:eastAsia="SimSun"/>
        </w:rPr>
        <w:t>one or two of these company types</w:t>
      </w:r>
      <w:r w:rsidR="00F97AA8">
        <w:rPr>
          <w:rFonts w:eastAsia="SimSun"/>
        </w:rPr>
        <w:t xml:space="preserve"> will be interviewed</w:t>
      </w:r>
      <w:r w:rsidRPr="005459AA" w:rsidR="000B0E39">
        <w:rPr>
          <w:rFonts w:eastAsia="SimSun"/>
        </w:rPr>
        <w:t xml:space="preserve">. </w:t>
      </w:r>
      <w:r w:rsidR="001E3236">
        <w:rPr>
          <w:rFonts w:eastAsia="SimSun"/>
        </w:rPr>
        <w:t xml:space="preserve">In addition, </w:t>
      </w:r>
      <w:r w:rsidR="00103496">
        <w:rPr>
          <w:rFonts w:eastAsia="SimSun"/>
        </w:rPr>
        <w:t>because we are conducting</w:t>
      </w:r>
      <w:r w:rsidR="000C59DA">
        <w:rPr>
          <w:rFonts w:eastAsia="SimSun"/>
        </w:rPr>
        <w:t xml:space="preserve"> only</w:t>
      </w:r>
      <w:r w:rsidR="00C36C08">
        <w:rPr>
          <w:rFonts w:eastAsia="SimSun"/>
        </w:rPr>
        <w:t xml:space="preserve"> 10 interviews</w:t>
      </w:r>
      <w:r w:rsidR="001E3236">
        <w:rPr>
          <w:rFonts w:eastAsia="SimSun"/>
        </w:rPr>
        <w:t>,</w:t>
      </w:r>
      <w:r w:rsidR="00C36C08">
        <w:rPr>
          <w:rFonts w:eastAsia="SimSun"/>
        </w:rPr>
        <w:t xml:space="preserve"> </w:t>
      </w:r>
      <w:r w:rsidR="00103496">
        <w:rPr>
          <w:rFonts w:eastAsia="SimSun"/>
        </w:rPr>
        <w:t xml:space="preserve">we </w:t>
      </w:r>
      <w:r w:rsidRPr="005459AA" w:rsidR="00103496">
        <w:rPr>
          <w:rFonts w:eastAsia="SimSun"/>
        </w:rPr>
        <w:t xml:space="preserve">will </w:t>
      </w:r>
      <w:r w:rsidR="00103496">
        <w:rPr>
          <w:rFonts w:eastAsia="SimSun"/>
        </w:rPr>
        <w:t>not</w:t>
      </w:r>
      <w:r w:rsidRPr="005459AA" w:rsidR="00103496">
        <w:rPr>
          <w:rFonts w:eastAsia="SimSun"/>
        </w:rPr>
        <w:t xml:space="preserve"> include </w:t>
      </w:r>
      <w:r w:rsidRPr="005459AA" w:rsidR="00D80016">
        <w:rPr>
          <w:rFonts w:eastAsia="SimSun"/>
        </w:rPr>
        <w:t xml:space="preserve">all combinations of </w:t>
      </w:r>
      <w:r w:rsidR="00103496">
        <w:rPr>
          <w:rFonts w:eastAsia="SimSun"/>
        </w:rPr>
        <w:t xml:space="preserve">store </w:t>
      </w:r>
      <w:r w:rsidR="00C36C08">
        <w:rPr>
          <w:rFonts w:eastAsia="SimSun"/>
        </w:rPr>
        <w:t>type</w:t>
      </w:r>
      <w:r w:rsidR="00103496">
        <w:rPr>
          <w:rFonts w:eastAsia="SimSun"/>
        </w:rPr>
        <w:t>s</w:t>
      </w:r>
      <w:r w:rsidR="00C36C08">
        <w:rPr>
          <w:rFonts w:eastAsia="SimSun"/>
        </w:rPr>
        <w:t xml:space="preserve"> and organizational </w:t>
      </w:r>
      <w:r w:rsidR="00103496">
        <w:rPr>
          <w:rFonts w:eastAsia="SimSun"/>
        </w:rPr>
        <w:t xml:space="preserve">structures </w:t>
      </w:r>
      <w:r w:rsidRPr="005459AA" w:rsidR="00D80016">
        <w:rPr>
          <w:rFonts w:eastAsia="SimSun"/>
        </w:rPr>
        <w:t>in the final</w:t>
      </w:r>
      <w:r w:rsidR="00C36C08">
        <w:rPr>
          <w:rFonts w:eastAsia="SimSun"/>
        </w:rPr>
        <w:t xml:space="preserve"> set of interviews</w:t>
      </w:r>
      <w:r w:rsidRPr="005459AA" w:rsidR="00D80016">
        <w:rPr>
          <w:rFonts w:eastAsia="SimSun"/>
        </w:rPr>
        <w:t xml:space="preserve">. </w:t>
      </w:r>
      <w:r>
        <w:rPr>
          <w:rFonts w:eastAsia="SimSun"/>
        </w:rPr>
        <w:t xml:space="preserve">The final number of companies within the soft quota ranges that </w:t>
      </w:r>
      <w:r w:rsidR="00C5372F">
        <w:rPr>
          <w:rFonts w:eastAsia="SimSun"/>
        </w:rPr>
        <w:t xml:space="preserve">is </w:t>
      </w:r>
      <w:r>
        <w:rPr>
          <w:rFonts w:eastAsia="SimSun"/>
        </w:rPr>
        <w:t xml:space="preserve">represented in each type and organizational structure category will likely be determined by </w:t>
      </w:r>
      <w:r>
        <w:t xml:space="preserve">company responsiveness. </w:t>
      </w:r>
      <w:r w:rsidR="005476BB">
        <w:t xml:space="preserve">As previously noted, </w:t>
      </w:r>
      <w:r w:rsidR="00050CAC">
        <w:t xml:space="preserve">RTI </w:t>
      </w:r>
      <w:r w:rsidR="00103496">
        <w:t xml:space="preserve">will </w:t>
      </w:r>
      <w:r w:rsidR="005476BB">
        <w:t xml:space="preserve">attempt to recruit companies that have not expressed a strong interest in food loss and sustainability. </w:t>
      </w:r>
      <w:r>
        <w:t>The total number of companies interviewed will not exceed 10.</w:t>
      </w:r>
      <w:r w:rsidR="003252EA">
        <w:rPr>
          <w:rFonts w:eastAsia="SimSun"/>
        </w:rPr>
        <w:t xml:space="preserve"> </w:t>
      </w:r>
    </w:p>
    <w:p w:rsidR="00DB58C2" w:rsidRPr="004134C9" w:rsidP="005B69E4" w14:paraId="6DDD257C" w14:textId="769B5289">
      <w:pPr>
        <w:pStyle w:val="TableCaption"/>
        <w:rPr>
          <w:rFonts w:eastAsia="SimSun"/>
          <w:vertAlign w:val="superscript"/>
        </w:rPr>
      </w:pPr>
      <w:r w:rsidRPr="004134C9">
        <w:rPr>
          <w:rFonts w:eastAsia="SimSun"/>
        </w:rPr>
        <w:t xml:space="preserve">Table </w:t>
      </w:r>
      <w:r w:rsidR="0008445D">
        <w:rPr>
          <w:rFonts w:eastAsia="SimSun"/>
        </w:rPr>
        <w:t>2</w:t>
      </w:r>
      <w:r w:rsidRPr="004134C9">
        <w:rPr>
          <w:rFonts w:eastAsia="SimSun"/>
        </w:rPr>
        <w:t xml:space="preserve">. Soft Quota Ranges for </w:t>
      </w:r>
      <w:r w:rsidRPr="004134C9" w:rsidR="00503651">
        <w:rPr>
          <w:rFonts w:eastAsia="SimSun"/>
        </w:rPr>
        <w:t xml:space="preserve">Recruitment for </w:t>
      </w:r>
      <w:r w:rsidRPr="004134C9">
        <w:rPr>
          <w:rFonts w:eastAsia="SimSun"/>
        </w:rPr>
        <w:t>the Semi-Structured Interviews</w:t>
      </w:r>
      <w:r w:rsidRPr="004134C9" w:rsidR="008D5FA7">
        <w:rPr>
          <w:rFonts w:eastAsia="SimSun"/>
        </w:rPr>
        <w:t xml:space="preserve"> by Retailer Type</w:t>
      </w:r>
      <w:r w:rsidR="005476BB">
        <w:rPr>
          <w:rFonts w:eastAsia="SimSun"/>
        </w:rPr>
        <w:t xml:space="preserve"> and </w:t>
      </w:r>
      <w:r w:rsidRPr="004134C9" w:rsidR="008D5FA7">
        <w:rPr>
          <w:rFonts w:eastAsia="SimSun"/>
        </w:rPr>
        <w:t xml:space="preserve">Organizational </w:t>
      </w:r>
      <w:r w:rsidRPr="004134C9" w:rsidR="008D5FA7">
        <w:rPr>
          <w:rFonts w:eastAsia="SimSun"/>
        </w:rPr>
        <w:t>Structure</w:t>
      </w:r>
      <w:r w:rsidRPr="004134C9" w:rsidR="008D5FA7">
        <w:rPr>
          <w:rFonts w:eastAsia="SimSun"/>
          <w:vertAlign w:val="superscript"/>
        </w:rPr>
        <w:t>a</w:t>
      </w:r>
      <w:r w:rsidRPr="004134C9" w:rsidR="006C3150">
        <w:rPr>
          <w:rFonts w:eastAsia="SimSun"/>
          <w:vertAlign w:val="superscript"/>
        </w:rPr>
        <w:t>,b</w:t>
      </w:r>
    </w:p>
    <w:tbl>
      <w:tblPr>
        <w:tblStyle w:val="TableGrid"/>
        <w:tblW w:w="0" w:type="auto"/>
        <w:tblInd w:w="-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9355"/>
      </w:tblGrid>
      <w:tr w14:paraId="5C858ACE" w14:textId="77777777" w:rsidTr="00E10871">
        <w:tblPrEx>
          <w:tblW w:w="0" w:type="auto"/>
          <w:tblInd w:w="-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Ex>
        <w:tc>
          <w:tcPr>
            <w:tcW w:w="9355" w:type="dxa"/>
          </w:tcPr>
          <w:p w:rsidR="00E10871" w:rsidRPr="00722286" w:rsidP="00E10871" w14:paraId="03D6A506" w14:textId="13723DA2">
            <w:pPr>
              <w:pStyle w:val="NoSpacing"/>
              <w:spacing w:before="40" w:after="40"/>
              <w:rPr>
                <w:rFonts w:ascii="Times New Roman" w:hAnsi="Times New Roman" w:cs="Times New Roman"/>
                <w:b/>
                <w:bCs/>
                <w:sz w:val="20"/>
                <w:szCs w:val="20"/>
              </w:rPr>
            </w:pPr>
            <w:r w:rsidRPr="00722286">
              <w:rPr>
                <w:rFonts w:ascii="Times New Roman" w:hAnsi="Times New Roman" w:cs="Times New Roman"/>
                <w:b/>
                <w:bCs/>
                <w:sz w:val="20"/>
                <w:szCs w:val="20"/>
              </w:rPr>
              <w:t xml:space="preserve">Type </w:t>
            </w:r>
          </w:p>
        </w:tc>
      </w:tr>
      <w:tr w14:paraId="29F14690" w14:textId="77777777" w:rsidTr="00E10871">
        <w:tblPrEx>
          <w:tblW w:w="0" w:type="auto"/>
          <w:tblInd w:w="-5" w:type="dxa"/>
          <w:tblLook w:val="04A0"/>
        </w:tblPrEx>
        <w:tc>
          <w:tcPr>
            <w:tcW w:w="9355" w:type="dxa"/>
          </w:tcPr>
          <w:p w:rsidR="00E10871" w:rsidRPr="00722286" w:rsidP="00E10871" w14:paraId="0A2AE073" w14:textId="4B8C8C5B">
            <w:pPr>
              <w:pStyle w:val="TableBullets"/>
              <w:spacing w:before="40" w:after="40"/>
              <w:rPr>
                <w:sz w:val="20"/>
                <w:szCs w:val="20"/>
              </w:rPr>
            </w:pPr>
            <w:r w:rsidRPr="00722286">
              <w:rPr>
                <w:sz w:val="20"/>
                <w:szCs w:val="20"/>
              </w:rPr>
              <w:t>Seven or eight companies that own supermarkets</w:t>
            </w:r>
          </w:p>
        </w:tc>
      </w:tr>
      <w:tr w14:paraId="5A65C897" w14:textId="77777777" w:rsidTr="00E10871">
        <w:tblPrEx>
          <w:tblW w:w="0" w:type="auto"/>
          <w:tblInd w:w="-5" w:type="dxa"/>
          <w:tblLook w:val="04A0"/>
        </w:tblPrEx>
        <w:tc>
          <w:tcPr>
            <w:tcW w:w="9355" w:type="dxa"/>
          </w:tcPr>
          <w:p w:rsidR="00E10871" w:rsidRPr="00722286" w:rsidP="00E10871" w14:paraId="282CD14A" w14:textId="69F161BD">
            <w:pPr>
              <w:pStyle w:val="TableBullets"/>
              <w:spacing w:before="40" w:after="40"/>
              <w:rPr>
                <w:sz w:val="20"/>
                <w:szCs w:val="20"/>
              </w:rPr>
            </w:pPr>
            <w:r w:rsidRPr="00722286">
              <w:rPr>
                <w:sz w:val="20"/>
                <w:szCs w:val="20"/>
              </w:rPr>
              <w:t>One or two companies that own supercenters</w:t>
            </w:r>
          </w:p>
        </w:tc>
      </w:tr>
      <w:tr w14:paraId="14F792F7" w14:textId="77777777" w:rsidTr="00E10871">
        <w:tblPrEx>
          <w:tblW w:w="0" w:type="auto"/>
          <w:tblInd w:w="-5" w:type="dxa"/>
          <w:tblLook w:val="04A0"/>
        </w:tblPrEx>
        <w:tc>
          <w:tcPr>
            <w:tcW w:w="9355" w:type="dxa"/>
          </w:tcPr>
          <w:p w:rsidR="00E10871" w:rsidRPr="00722286" w:rsidP="00E10871" w14:paraId="0DCD385A" w14:textId="5EF516A0">
            <w:pPr>
              <w:pStyle w:val="TableBullets"/>
              <w:spacing w:before="40" w:after="40"/>
              <w:rPr>
                <w:sz w:val="20"/>
                <w:szCs w:val="20"/>
              </w:rPr>
            </w:pPr>
            <w:r w:rsidRPr="00722286">
              <w:rPr>
                <w:sz w:val="20"/>
                <w:szCs w:val="20"/>
              </w:rPr>
              <w:t>One company that owns club stores</w:t>
            </w:r>
            <w:r w:rsidR="00041271">
              <w:rPr>
                <w:sz w:val="20"/>
                <w:szCs w:val="20"/>
              </w:rPr>
              <w:t xml:space="preserve"> (if possible)</w:t>
            </w:r>
            <w:r w:rsidRPr="00722286">
              <w:rPr>
                <w:sz w:val="20"/>
                <w:szCs w:val="20"/>
              </w:rPr>
              <w:t xml:space="preserve"> </w:t>
            </w:r>
          </w:p>
        </w:tc>
      </w:tr>
      <w:tr w14:paraId="082683AE" w14:textId="77777777" w:rsidTr="00E10871">
        <w:tblPrEx>
          <w:tblW w:w="0" w:type="auto"/>
          <w:tblInd w:w="-5" w:type="dxa"/>
          <w:tblLook w:val="04A0"/>
        </w:tblPrEx>
        <w:tc>
          <w:tcPr>
            <w:tcW w:w="9355" w:type="dxa"/>
          </w:tcPr>
          <w:p w:rsidR="00E10871" w:rsidRPr="00722286" w:rsidP="00E10871" w14:paraId="78CDBF08" w14:textId="60440317">
            <w:pPr>
              <w:pStyle w:val="NoSpacing"/>
              <w:spacing w:before="40" w:after="40"/>
              <w:rPr>
                <w:rFonts w:ascii="Times New Roman" w:hAnsi="Times New Roman" w:cs="Times New Roman"/>
                <w:b/>
                <w:bCs/>
                <w:sz w:val="20"/>
                <w:szCs w:val="20"/>
              </w:rPr>
            </w:pPr>
            <w:r w:rsidRPr="00722286">
              <w:rPr>
                <w:rFonts w:ascii="Times New Roman" w:hAnsi="Times New Roman" w:cs="Times New Roman"/>
                <w:b/>
                <w:bCs/>
                <w:sz w:val="20"/>
                <w:szCs w:val="20"/>
              </w:rPr>
              <w:t>Organizational structure</w:t>
            </w:r>
          </w:p>
        </w:tc>
      </w:tr>
      <w:tr w14:paraId="4C3033A0" w14:textId="77777777" w:rsidTr="00E10871">
        <w:tblPrEx>
          <w:tblW w:w="0" w:type="auto"/>
          <w:tblInd w:w="-5" w:type="dxa"/>
          <w:tblLook w:val="04A0"/>
        </w:tblPrEx>
        <w:tc>
          <w:tcPr>
            <w:tcW w:w="9355" w:type="dxa"/>
          </w:tcPr>
          <w:p w:rsidR="00E10871" w:rsidRPr="00722286" w:rsidP="00E10871" w14:paraId="489661BC" w14:textId="04556CF2">
            <w:pPr>
              <w:pStyle w:val="TableBullets"/>
              <w:spacing w:before="40" w:after="40"/>
              <w:rPr>
                <w:sz w:val="20"/>
                <w:szCs w:val="20"/>
              </w:rPr>
            </w:pPr>
            <w:r w:rsidRPr="00722286">
              <w:rPr>
                <w:sz w:val="20"/>
                <w:szCs w:val="20"/>
              </w:rPr>
              <w:t>Three or four independent operators (companies that own 10 or fewer stores)</w:t>
            </w:r>
          </w:p>
        </w:tc>
      </w:tr>
      <w:tr w14:paraId="64777AFC" w14:textId="77777777" w:rsidTr="00E10871">
        <w:tblPrEx>
          <w:tblW w:w="0" w:type="auto"/>
          <w:tblInd w:w="-5" w:type="dxa"/>
          <w:tblLook w:val="04A0"/>
        </w:tblPrEx>
        <w:tc>
          <w:tcPr>
            <w:tcW w:w="9355" w:type="dxa"/>
          </w:tcPr>
          <w:p w:rsidR="00E10871" w:rsidRPr="00722286" w:rsidP="00E10871" w14:paraId="70396228" w14:textId="5C414406">
            <w:pPr>
              <w:pStyle w:val="TableBullets"/>
              <w:spacing w:before="40" w:after="40"/>
              <w:rPr>
                <w:sz w:val="20"/>
                <w:szCs w:val="20"/>
              </w:rPr>
            </w:pPr>
            <w:r w:rsidRPr="00722286">
              <w:rPr>
                <w:sz w:val="20"/>
                <w:szCs w:val="20"/>
              </w:rPr>
              <w:t>Three or four regional chains</w:t>
            </w:r>
          </w:p>
        </w:tc>
      </w:tr>
      <w:tr w14:paraId="01BAFCBA" w14:textId="77777777" w:rsidTr="00E10871">
        <w:tblPrEx>
          <w:tblW w:w="0" w:type="auto"/>
          <w:tblInd w:w="-5" w:type="dxa"/>
          <w:tblLook w:val="04A0"/>
        </w:tblPrEx>
        <w:tc>
          <w:tcPr>
            <w:tcW w:w="9355" w:type="dxa"/>
          </w:tcPr>
          <w:p w:rsidR="00E10871" w:rsidRPr="00722286" w:rsidP="00E10871" w14:paraId="2BD411C8" w14:textId="54A28E1E">
            <w:pPr>
              <w:pStyle w:val="TableBullets"/>
              <w:spacing w:before="40" w:after="40"/>
              <w:rPr>
                <w:sz w:val="20"/>
                <w:szCs w:val="20"/>
              </w:rPr>
            </w:pPr>
            <w:r w:rsidRPr="00722286">
              <w:rPr>
                <w:sz w:val="20"/>
                <w:szCs w:val="20"/>
              </w:rPr>
              <w:t>Three or four national chains</w:t>
            </w:r>
          </w:p>
        </w:tc>
      </w:tr>
    </w:tbl>
    <w:p w:rsidR="00C2718C" w:rsidP="00F0534B" w14:paraId="480062C7" w14:textId="66BFD39E">
      <w:pPr>
        <w:pStyle w:val="Source"/>
        <w:spacing w:after="0"/>
        <w:rPr>
          <w:rFonts w:eastAsia="SimSun"/>
        </w:rPr>
      </w:pPr>
      <w:r w:rsidRPr="00E16A04">
        <w:rPr>
          <w:rFonts w:eastAsia="SimSun"/>
          <w:vertAlign w:val="superscript"/>
        </w:rPr>
        <w:t>a</w:t>
      </w:r>
      <w:r w:rsidR="007904BA">
        <w:rPr>
          <w:rFonts w:eastAsia="SimSun"/>
          <w:vertAlign w:val="superscript"/>
        </w:rPr>
        <w:t xml:space="preserve"> </w:t>
      </w:r>
      <w:r w:rsidR="00F97AA8">
        <w:rPr>
          <w:rFonts w:eastAsia="SimSun"/>
        </w:rPr>
        <w:t>RTI</w:t>
      </w:r>
      <w:r>
        <w:rPr>
          <w:rFonts w:eastAsia="SimSun"/>
        </w:rPr>
        <w:t xml:space="preserve"> will </w:t>
      </w:r>
      <w:r w:rsidR="007904BA">
        <w:rPr>
          <w:rFonts w:eastAsia="SimSun"/>
        </w:rPr>
        <w:t xml:space="preserve">interview companies </w:t>
      </w:r>
      <w:r w:rsidR="00AE7F70">
        <w:rPr>
          <w:rFonts w:eastAsia="SimSun"/>
        </w:rPr>
        <w:t xml:space="preserve">that have </w:t>
      </w:r>
      <w:r w:rsidR="007904BA">
        <w:rPr>
          <w:rFonts w:eastAsia="SimSun"/>
        </w:rPr>
        <w:t>headquarters in different regions of the United States</w:t>
      </w:r>
      <w:r w:rsidR="00AE7F70">
        <w:rPr>
          <w:rFonts w:eastAsia="SimSun"/>
        </w:rPr>
        <w:t xml:space="preserve"> to provide </w:t>
      </w:r>
      <w:r w:rsidR="00AE7F70">
        <w:t xml:space="preserve">coverage across the four </w:t>
      </w:r>
      <w:r w:rsidR="00C5372F">
        <w:t xml:space="preserve">U.S. </w:t>
      </w:r>
      <w:r w:rsidRPr="00EB7836" w:rsidR="00AE7F70">
        <w:t>Census regions (the Northeast, Midwest, South, and West)</w:t>
      </w:r>
      <w:r w:rsidR="00F97AA8">
        <w:rPr>
          <w:rFonts w:eastAsia="SimSun"/>
        </w:rPr>
        <w:t xml:space="preserve">; there are no </w:t>
      </w:r>
      <w:r w:rsidR="007904BA">
        <w:rPr>
          <w:rFonts w:eastAsia="SimSun"/>
        </w:rPr>
        <w:t xml:space="preserve">soft quotas for </w:t>
      </w:r>
      <w:r w:rsidR="00AE7F70">
        <w:rPr>
          <w:rFonts w:eastAsia="SimSun"/>
        </w:rPr>
        <w:t>region</w:t>
      </w:r>
      <w:r w:rsidR="00B3212B">
        <w:rPr>
          <w:rFonts w:eastAsia="SimSun"/>
        </w:rPr>
        <w:t xml:space="preserve">; </w:t>
      </w:r>
      <w:r w:rsidR="00103496">
        <w:rPr>
          <w:rFonts w:eastAsia="SimSun"/>
        </w:rPr>
        <w:t xml:space="preserve">we will purposively select </w:t>
      </w:r>
      <w:r w:rsidR="00B3212B">
        <w:rPr>
          <w:rFonts w:eastAsia="SimSun"/>
        </w:rPr>
        <w:t xml:space="preserve">a mix of </w:t>
      </w:r>
      <w:r w:rsidR="00103496">
        <w:rPr>
          <w:rFonts w:eastAsia="SimSun"/>
        </w:rPr>
        <w:t>regions</w:t>
      </w:r>
      <w:r w:rsidR="00AE7F70">
        <w:rPr>
          <w:rFonts w:eastAsia="SimSun"/>
        </w:rPr>
        <w:t>.</w:t>
      </w:r>
    </w:p>
    <w:p w:rsidR="006C3150" w:rsidRPr="005459AA" w:rsidP="00F0534B" w14:paraId="1C649F0F" w14:textId="67593E56">
      <w:pPr>
        <w:pStyle w:val="Source"/>
      </w:pPr>
      <w:r>
        <w:rPr>
          <w:rFonts w:eastAsia="SimSun"/>
          <w:vertAlign w:val="superscript"/>
        </w:rPr>
        <w:t xml:space="preserve">b </w:t>
      </w:r>
      <w:r w:rsidRPr="005459AA">
        <w:t xml:space="preserve">Some companies may own multiple </w:t>
      </w:r>
      <w:r w:rsidRPr="00E16A04">
        <w:rPr>
          <w:rFonts w:eastAsia="SimSun"/>
        </w:rPr>
        <w:t>banners</w:t>
      </w:r>
      <w:r w:rsidR="00C5372F">
        <w:rPr>
          <w:rFonts w:eastAsia="SimSun"/>
        </w:rPr>
        <w:t>,</w:t>
      </w:r>
      <w:r w:rsidRPr="00E16A04">
        <w:rPr>
          <w:rFonts w:eastAsia="SimSun"/>
        </w:rPr>
        <w:t xml:space="preserve"> which is</w:t>
      </w:r>
      <w:r w:rsidR="00B37E9D">
        <w:rPr>
          <w:rFonts w:eastAsia="SimSun"/>
        </w:rPr>
        <w:t xml:space="preserve"> a</w:t>
      </w:r>
      <w:r w:rsidRPr="00E16A04">
        <w:rPr>
          <w:rFonts w:eastAsia="SimSun"/>
        </w:rPr>
        <w:t xml:space="preserve"> set of stores defined by a common name and unified advertising programs. For these</w:t>
      </w:r>
      <w:r w:rsidRPr="005459AA">
        <w:t xml:space="preserve"> companies, </w:t>
      </w:r>
      <w:r w:rsidR="00F97AA8">
        <w:t xml:space="preserve">RTI </w:t>
      </w:r>
      <w:r w:rsidRPr="005459AA">
        <w:t xml:space="preserve">will purposively choose one banner that </w:t>
      </w:r>
      <w:r w:rsidRPr="00FE3EB1">
        <w:t xml:space="preserve">aligns with </w:t>
      </w:r>
      <w:r w:rsidR="00F97AA8">
        <w:t xml:space="preserve">the </w:t>
      </w:r>
      <w:r>
        <w:t xml:space="preserve">soft quota ranges </w:t>
      </w:r>
      <w:r w:rsidRPr="005459AA">
        <w:t xml:space="preserve">because procedures for maintaining data for estimating food loss may vary by banner. </w:t>
      </w:r>
    </w:p>
    <w:p w:rsidR="00503651" w:rsidRPr="00AE34D4" w:rsidP="00F0534B" w14:paraId="5135D914" w14:textId="77777777">
      <w:pPr>
        <w:pStyle w:val="Heading3"/>
        <w:rPr>
          <w:rFonts w:ascii="Times New Roman" w:hAnsi="Times New Roman" w:cs="Times New Roman"/>
          <w:sz w:val="24"/>
          <w:szCs w:val="24"/>
        </w:rPr>
      </w:pPr>
      <w:r w:rsidRPr="00AE34D4">
        <w:rPr>
          <w:rFonts w:ascii="Times New Roman" w:hAnsi="Times New Roman" w:cs="Times New Roman"/>
          <w:sz w:val="24"/>
          <w:szCs w:val="24"/>
        </w:rPr>
        <w:t>Sample Size and Expected Response Rates</w:t>
      </w:r>
    </w:p>
    <w:p w:rsidR="00503651" w:rsidRPr="0003540C" w:rsidP="00EF381A" w14:paraId="19D5C57C" w14:textId="05E2A4E7">
      <w:pPr>
        <w:pStyle w:val="BodyText"/>
      </w:pPr>
      <w:r w:rsidRPr="0003540C">
        <w:t xml:space="preserve">We </w:t>
      </w:r>
      <w:r w:rsidR="005B7A15">
        <w:t xml:space="preserve">estimate </w:t>
      </w:r>
      <w:r w:rsidRPr="0003540C">
        <w:t xml:space="preserve">that </w:t>
      </w:r>
      <w:r w:rsidR="00103496">
        <w:t xml:space="preserve">we </w:t>
      </w:r>
      <w:r w:rsidRPr="0003540C" w:rsidR="00050CAC">
        <w:t>w</w:t>
      </w:r>
      <w:r w:rsidR="005B7A15">
        <w:t xml:space="preserve">ill </w:t>
      </w:r>
      <w:r w:rsidRPr="0003540C" w:rsidR="00103496">
        <w:t xml:space="preserve">need to contact </w:t>
      </w:r>
      <w:r w:rsidRPr="0003540C">
        <w:t xml:space="preserve">up to </w:t>
      </w:r>
      <w:r w:rsidR="005476BB">
        <w:t xml:space="preserve">125 </w:t>
      </w:r>
      <w:r w:rsidRPr="0003540C">
        <w:t xml:space="preserve">companies to recruit 10 </w:t>
      </w:r>
      <w:r>
        <w:t xml:space="preserve">companies </w:t>
      </w:r>
      <w:r w:rsidRPr="0003540C">
        <w:t xml:space="preserve">for the Wave </w:t>
      </w:r>
      <w:r w:rsidR="00964B0B">
        <w:t>2</w:t>
      </w:r>
      <w:r w:rsidRPr="0003540C">
        <w:t xml:space="preserve"> interviews. This estimate is</w:t>
      </w:r>
      <w:r w:rsidR="005476BB">
        <w:t xml:space="preserve"> </w:t>
      </w:r>
      <w:r w:rsidR="006405EE">
        <w:t xml:space="preserve">based </w:t>
      </w:r>
      <w:r w:rsidR="005476BB">
        <w:t xml:space="preserve">on </w:t>
      </w:r>
      <w:r w:rsidR="00081A32">
        <w:t xml:space="preserve">RTI’s </w:t>
      </w:r>
      <w:r w:rsidR="006405EE">
        <w:t xml:space="preserve">recruiting experience </w:t>
      </w:r>
      <w:r w:rsidR="00964B0B">
        <w:t xml:space="preserve">in </w:t>
      </w:r>
      <w:r w:rsidR="005476BB">
        <w:t>Wave 1</w:t>
      </w:r>
      <w:r w:rsidR="00964B0B">
        <w:t>.</w:t>
      </w:r>
      <w:r w:rsidR="005476BB">
        <w:t xml:space="preserve"> </w:t>
      </w:r>
      <w:r>
        <w:t xml:space="preserve">Additionally, based on </w:t>
      </w:r>
      <w:r w:rsidR="00B92A69">
        <w:t xml:space="preserve">RTI’s </w:t>
      </w:r>
      <w:r>
        <w:t>experience with the earlier informal discussions</w:t>
      </w:r>
      <w:r>
        <w:rPr>
          <w:rStyle w:val="FootnoteReference"/>
        </w:rPr>
        <w:footnoteReference w:id="6"/>
      </w:r>
      <w:r w:rsidR="005476BB">
        <w:t xml:space="preserve"> and the Wave 1 </w:t>
      </w:r>
      <w:r w:rsidR="009D045B">
        <w:t>interviews</w:t>
      </w:r>
      <w:r>
        <w:t xml:space="preserve">, we estimate that </w:t>
      </w:r>
      <w:r w:rsidR="009A4634">
        <w:t xml:space="preserve">we will need </w:t>
      </w:r>
      <w:r w:rsidR="00B92A69">
        <w:t xml:space="preserve">up to </w:t>
      </w:r>
      <w:r w:rsidR="007F066D">
        <w:t xml:space="preserve">an average of </w:t>
      </w:r>
      <w:r w:rsidR="00B92A69">
        <w:t xml:space="preserve">four contacts (with potentially different people) </w:t>
      </w:r>
      <w:r>
        <w:t xml:space="preserve">to identify the correct person </w:t>
      </w:r>
      <w:r w:rsidR="009A4634">
        <w:t xml:space="preserve">for </w:t>
      </w:r>
      <w:r>
        <w:t>the interview</w:t>
      </w:r>
      <w:r w:rsidR="005B7A15">
        <w:t xml:space="preserve"> within each company</w:t>
      </w:r>
      <w:r>
        <w:t xml:space="preserve">. </w:t>
      </w:r>
    </w:p>
    <w:p w:rsidR="0097133B" w:rsidRPr="00DC6BA2" w:rsidP="00F0534B" w14:paraId="773DF17E" w14:textId="1C011177">
      <w:pPr>
        <w:pStyle w:val="Heading3"/>
        <w:rPr>
          <w:rFonts w:ascii="Times New Roman" w:hAnsi="Times New Roman" w:cs="Times New Roman"/>
        </w:rPr>
      </w:pPr>
      <w:r w:rsidRPr="00DC6BA2">
        <w:rPr>
          <w:rFonts w:ascii="Times New Roman" w:hAnsi="Times New Roman" w:cs="Times New Roman"/>
        </w:rPr>
        <w:t xml:space="preserve">Target </w:t>
      </w:r>
      <w:r w:rsidRPr="00DC6BA2" w:rsidR="007904BA">
        <w:rPr>
          <w:rFonts w:ascii="Times New Roman" w:hAnsi="Times New Roman" w:cs="Times New Roman"/>
        </w:rPr>
        <w:t xml:space="preserve">Individual </w:t>
      </w:r>
      <w:r w:rsidRPr="00DC6BA2">
        <w:rPr>
          <w:rFonts w:ascii="Times New Roman" w:hAnsi="Times New Roman" w:cs="Times New Roman"/>
        </w:rPr>
        <w:t xml:space="preserve">to Interview </w:t>
      </w:r>
      <w:r w:rsidRPr="00DC6BA2" w:rsidR="00A64E4C">
        <w:rPr>
          <w:rFonts w:ascii="Times New Roman" w:hAnsi="Times New Roman" w:cs="Times New Roman"/>
        </w:rPr>
        <w:t xml:space="preserve">Within </w:t>
      </w:r>
      <w:r w:rsidRPr="00DC6BA2">
        <w:rPr>
          <w:rFonts w:ascii="Times New Roman" w:hAnsi="Times New Roman" w:cs="Times New Roman"/>
        </w:rPr>
        <w:t>a Company</w:t>
      </w:r>
    </w:p>
    <w:p w:rsidR="0097133B" w:rsidRPr="00FE3EB1" w:rsidP="00EF381A" w14:paraId="1E66538E" w14:textId="1EBA86E5">
      <w:pPr>
        <w:pStyle w:val="BodyText"/>
      </w:pPr>
      <w:r w:rsidRPr="00776DC4">
        <w:t xml:space="preserve">Target </w:t>
      </w:r>
      <w:r w:rsidR="008D654D">
        <w:t xml:space="preserve">individuals </w:t>
      </w:r>
      <w:r w:rsidRPr="00776DC4">
        <w:t>for the interviews are corporate staff who are knowledgeable about how product data are maintained across their company’s individual stores (e.g., someone in operations</w:t>
      </w:r>
      <w:r w:rsidR="0018696A">
        <w:t>;</w:t>
      </w:r>
      <w:r w:rsidR="00041271">
        <w:t xml:space="preserve"> </w:t>
      </w:r>
      <w:r w:rsidRPr="00776DC4">
        <w:t xml:space="preserve">supply chain management, procurement </w:t>
      </w:r>
      <w:r w:rsidR="0018696A">
        <w:t xml:space="preserve">or </w:t>
      </w:r>
      <w:r w:rsidRPr="00776DC4">
        <w:t>a retail/supermarket buyer</w:t>
      </w:r>
      <w:r w:rsidR="00041271">
        <w:t>,</w:t>
      </w:r>
      <w:r w:rsidR="007D131E">
        <w:t xml:space="preserve"> finance</w:t>
      </w:r>
      <w:r w:rsidR="00CC42AE">
        <w:t xml:space="preserve"> </w:t>
      </w:r>
      <w:r w:rsidR="00041271">
        <w:t>or data</w:t>
      </w:r>
      <w:r w:rsidR="005B7A15">
        <w:t>/IT,</w:t>
      </w:r>
      <w:r w:rsidR="00041271">
        <w:t xml:space="preserve"> </w:t>
      </w:r>
      <w:r w:rsidR="00CC42AE">
        <w:t>depending on the company</w:t>
      </w:r>
      <w:r w:rsidRPr="00776DC4">
        <w:t xml:space="preserve">. </w:t>
      </w:r>
      <w:r w:rsidR="008D654D">
        <w:t>As describe</w:t>
      </w:r>
      <w:r w:rsidR="00887754">
        <w:t>d</w:t>
      </w:r>
      <w:r w:rsidR="008D654D">
        <w:t xml:space="preserve"> in more detail below, </w:t>
      </w:r>
      <w:r w:rsidR="006D115B">
        <w:t xml:space="preserve">RTI research staff </w:t>
      </w:r>
      <w:r w:rsidR="008D654D">
        <w:t>will use script</w:t>
      </w:r>
      <w:r w:rsidR="005B7A15">
        <w:t>ed phone call and/or emai</w:t>
      </w:r>
      <w:r w:rsidR="0018696A">
        <w:t xml:space="preserve">ls </w:t>
      </w:r>
      <w:r w:rsidR="008D654D">
        <w:t xml:space="preserve">to identify the target individual </w:t>
      </w:r>
      <w:r w:rsidR="005B7A15">
        <w:t xml:space="preserve">for the </w:t>
      </w:r>
      <w:r w:rsidR="008D654D">
        <w:t>interview</w:t>
      </w:r>
      <w:r w:rsidR="005B69E4">
        <w:t>, similar to the approach used for Wave 1</w:t>
      </w:r>
      <w:r w:rsidR="00A24550">
        <w:t xml:space="preserve">. </w:t>
      </w:r>
    </w:p>
    <w:p w:rsidR="003252EA" w:rsidRPr="00DC6BA2" w:rsidP="00F0534B" w14:paraId="01CCD883" w14:textId="71881318">
      <w:pPr>
        <w:pStyle w:val="Heading3"/>
        <w:rPr>
          <w:rFonts w:ascii="Times New Roman" w:hAnsi="Times New Roman" w:cs="Times New Roman"/>
        </w:rPr>
      </w:pPr>
      <w:r w:rsidRPr="00DC6BA2">
        <w:rPr>
          <w:rFonts w:ascii="Times New Roman" w:hAnsi="Times New Roman" w:cs="Times New Roman"/>
        </w:rPr>
        <w:t>Selection of Companies for the Interviews</w:t>
      </w:r>
      <w:r w:rsidRPr="00DC6BA2" w:rsidR="00503651">
        <w:rPr>
          <w:rFonts w:ascii="Times New Roman" w:hAnsi="Times New Roman" w:cs="Times New Roman"/>
        </w:rPr>
        <w:t xml:space="preserve"> and Recruitment Procedures</w:t>
      </w:r>
    </w:p>
    <w:p w:rsidR="000B0E39" w:rsidP="00EF381A" w14:paraId="48C23088" w14:textId="55805F22">
      <w:pPr>
        <w:pStyle w:val="BodyText"/>
      </w:pPr>
      <w:r>
        <w:t xml:space="preserve">Consistent with the approach </w:t>
      </w:r>
      <w:r w:rsidR="005B7A15">
        <w:t xml:space="preserve">in </w:t>
      </w:r>
      <w:r>
        <w:t xml:space="preserve">Wave 1, </w:t>
      </w:r>
      <w:r w:rsidR="00B92A69">
        <w:t xml:space="preserve">RTI </w:t>
      </w:r>
      <w:r w:rsidRPr="00BB18E1" w:rsidR="00975C40">
        <w:t xml:space="preserve">will use Nielsen’s </w:t>
      </w:r>
      <w:r w:rsidRPr="00BB18E1" w:rsidR="00975C40">
        <w:t>TDLinx</w:t>
      </w:r>
      <w:r w:rsidRPr="00BB18E1" w:rsidR="00975C40">
        <w:t xml:space="preserve"> database to</w:t>
      </w:r>
      <w:r w:rsidR="00CF2177">
        <w:t xml:space="preserve"> select </w:t>
      </w:r>
      <w:r w:rsidR="00E02079">
        <w:t xml:space="preserve">the sample </w:t>
      </w:r>
      <w:r w:rsidR="00CF2177">
        <w:t>for the interviews</w:t>
      </w:r>
      <w:r w:rsidR="00B92A69">
        <w:t xml:space="preserve">. </w:t>
      </w:r>
      <w:r w:rsidRPr="00BB18E1" w:rsidR="00975C40">
        <w:t>TDLinx</w:t>
      </w:r>
      <w:r w:rsidRPr="00BB18E1" w:rsidR="00975C40">
        <w:t xml:space="preserve"> is a proprietary commercial database, which includes the name, address, and corporate owner of individual food stores with at least $1 million in sales</w:t>
      </w:r>
      <w:r w:rsidR="009D045B">
        <w:t xml:space="preserve"> and </w:t>
      </w:r>
      <w:r w:rsidRPr="00BB18E1" w:rsidR="009D045B">
        <w:t>information on store characteristics and type</w:t>
      </w:r>
      <w:r w:rsidR="009C6CA9">
        <w:t>.</w:t>
      </w:r>
      <w:r>
        <w:rPr>
          <w:rStyle w:val="FootnoteReference"/>
        </w:rPr>
        <w:footnoteReference w:id="7"/>
      </w:r>
      <w:r w:rsidRPr="00BB18E1" w:rsidR="00975C40">
        <w:t xml:space="preserve"> </w:t>
      </w:r>
      <w:r w:rsidR="009D045B">
        <w:t xml:space="preserve">This list will be </w:t>
      </w:r>
      <w:r w:rsidR="001166F6">
        <w:t xml:space="preserve">supplemented </w:t>
      </w:r>
      <w:r w:rsidR="00E02079">
        <w:t>with</w:t>
      </w:r>
      <w:r w:rsidR="009D045B">
        <w:t xml:space="preserve"> </w:t>
      </w:r>
      <w:r w:rsidR="00CC42AE">
        <w:t xml:space="preserve">three </w:t>
      </w:r>
      <w:r w:rsidR="009D045B">
        <w:t>2030 Champion</w:t>
      </w:r>
      <w:r w:rsidR="00E02079">
        <w:t>s</w:t>
      </w:r>
      <w:r>
        <w:rPr>
          <w:rStyle w:val="FootnoteReference"/>
        </w:rPr>
        <w:footnoteReference w:id="8"/>
      </w:r>
      <w:r w:rsidR="009D045B">
        <w:t xml:space="preserve"> that were not contacted during Wave 1</w:t>
      </w:r>
      <w:r w:rsidR="001166F6">
        <w:t xml:space="preserve">, four </w:t>
      </w:r>
      <w:r w:rsidR="00E02079">
        <w:t xml:space="preserve">people </w:t>
      </w:r>
      <w:r w:rsidR="009D045B">
        <w:t>identified through contacts made by ERS and RTI at</w:t>
      </w:r>
      <w:r w:rsidR="00A24550">
        <w:t xml:space="preserve"> a recent conference</w:t>
      </w:r>
      <w:r w:rsidR="00103496">
        <w:t>,</w:t>
      </w:r>
      <w:r w:rsidR="009D045B">
        <w:t xml:space="preserve"> </w:t>
      </w:r>
      <w:r w:rsidR="001166F6">
        <w:t xml:space="preserve">and the three </w:t>
      </w:r>
      <w:r w:rsidR="009D045B">
        <w:t xml:space="preserve">companies that expressed interest in </w:t>
      </w:r>
      <w:r w:rsidRPr="000016EA" w:rsidR="009D045B">
        <w:t>being interviewed for Wave 1 but did not complete an interview</w:t>
      </w:r>
      <w:r w:rsidRPr="000016EA" w:rsidR="001166F6">
        <w:t xml:space="preserve">. Another source that will be used to supplement this list is the attendee list for </w:t>
      </w:r>
      <w:r w:rsidRPr="000016EA" w:rsidR="00035B83">
        <w:t xml:space="preserve">a </w:t>
      </w:r>
      <w:r w:rsidRPr="000016EA" w:rsidR="001166F6">
        <w:t xml:space="preserve">trade </w:t>
      </w:r>
      <w:r w:rsidRPr="000016EA" w:rsidR="00035B83">
        <w:t xml:space="preserve">association’s trade </w:t>
      </w:r>
      <w:r w:rsidRPr="000016EA" w:rsidR="001166F6">
        <w:t>show held in February 2023.</w:t>
      </w:r>
      <w:r>
        <w:rPr>
          <w:rStyle w:val="FootnoteReference"/>
        </w:rPr>
        <w:footnoteReference w:id="9"/>
      </w:r>
      <w:r w:rsidRPr="000016EA" w:rsidR="001166F6">
        <w:t xml:space="preserve"> </w:t>
      </w:r>
      <w:r w:rsidRPr="000016EA" w:rsidR="00103496">
        <w:t>RTI staff will contact s</w:t>
      </w:r>
      <w:r w:rsidRPr="000016EA" w:rsidR="009D045B">
        <w:t xml:space="preserve">ampled companies </w:t>
      </w:r>
      <w:r w:rsidRPr="000016EA" w:rsidR="00BD1691">
        <w:t xml:space="preserve">using the </w:t>
      </w:r>
      <w:r w:rsidRPr="000016EA" w:rsidR="00307E2E">
        <w:t xml:space="preserve">same general </w:t>
      </w:r>
      <w:r w:rsidRPr="000016EA" w:rsidR="00BD1691">
        <w:t xml:space="preserve">procedures </w:t>
      </w:r>
      <w:r w:rsidRPr="000016EA" w:rsidR="00E02079">
        <w:t xml:space="preserve">used in Wave 1 </w:t>
      </w:r>
      <w:r w:rsidRPr="000016EA" w:rsidR="00B5168A">
        <w:t>(summarized</w:t>
      </w:r>
      <w:r w:rsidRPr="000016EA" w:rsidR="00081A32">
        <w:t xml:space="preserve"> in Table </w:t>
      </w:r>
      <w:r w:rsidRPr="000016EA" w:rsidR="00B5168A">
        <w:t>3) and employing</w:t>
      </w:r>
      <w:r w:rsidR="00B5168A">
        <w:t xml:space="preserve"> </w:t>
      </w:r>
      <w:r w:rsidR="00753249">
        <w:t xml:space="preserve">other </w:t>
      </w:r>
      <w:r w:rsidR="00B5168A">
        <w:t>approaches based on lessons learned in Wave 1.</w:t>
      </w:r>
    </w:p>
    <w:p w:rsidR="00A24550" w:rsidP="00EF381A" w14:paraId="792A2861" w14:textId="26F51548">
      <w:pPr>
        <w:pStyle w:val="BodyText"/>
      </w:pPr>
      <w:r w:rsidRPr="0094744F">
        <w:t xml:space="preserve">For any regional and national chains, </w:t>
      </w:r>
      <w:r w:rsidR="00B92A69">
        <w:t xml:space="preserve">RTI will initially </w:t>
      </w:r>
      <w:r w:rsidRPr="0094744F">
        <w:t xml:space="preserve">identify and contact someone within the company’s sustainability </w:t>
      </w:r>
      <w:r w:rsidR="006909DD">
        <w:t xml:space="preserve">or waste reduction </w:t>
      </w:r>
      <w:r w:rsidRPr="0094744F">
        <w:t>group (e.g., chief of sustainability, director of sustainability</w:t>
      </w:r>
      <w:r w:rsidR="006909DD">
        <w:t>, waste reduction officer</w:t>
      </w:r>
      <w:r w:rsidRPr="0094744F">
        <w:t xml:space="preserve">) to get their support for the interviews and </w:t>
      </w:r>
      <w:r w:rsidR="00B92A69">
        <w:t xml:space="preserve">then </w:t>
      </w:r>
      <w:r w:rsidRPr="0094744F">
        <w:t xml:space="preserve">work with them to identify the </w:t>
      </w:r>
      <w:r w:rsidR="00E02079">
        <w:t xml:space="preserve">correct </w:t>
      </w:r>
      <w:r w:rsidRPr="0094744F">
        <w:t>individual(s)</w:t>
      </w:r>
      <w:r w:rsidR="00E02079">
        <w:t xml:space="preserve"> for </w:t>
      </w:r>
      <w:r w:rsidR="00B92A69">
        <w:t>the interview</w:t>
      </w:r>
      <w:r w:rsidRPr="0094744F">
        <w:t xml:space="preserve">. </w:t>
      </w:r>
      <w:r w:rsidR="009D045B">
        <w:t xml:space="preserve">Because </w:t>
      </w:r>
      <w:r w:rsidRPr="0094744F">
        <w:t>independent operators might not have a sustainability</w:t>
      </w:r>
      <w:r w:rsidR="00282A9B">
        <w:t xml:space="preserve"> or waste reduction</w:t>
      </w:r>
      <w:r w:rsidRPr="0094744F">
        <w:t xml:space="preserve"> staff/office</w:t>
      </w:r>
      <w:r w:rsidR="001E6E55">
        <w:t>,</w:t>
      </w:r>
      <w:r w:rsidRPr="0094744F" w:rsidR="001E6E55">
        <w:t xml:space="preserve"> </w:t>
      </w:r>
      <w:r w:rsidR="00B92A69">
        <w:t xml:space="preserve">RTI </w:t>
      </w:r>
      <w:r w:rsidRPr="0094744F">
        <w:t xml:space="preserve">will identify and contact the corporate director of operations (or similar title) as a starting point and work with them to identify the appropriate person to interview. </w:t>
      </w:r>
      <w:r w:rsidR="00B92A69">
        <w:t xml:space="preserve">RTI </w:t>
      </w:r>
      <w:r w:rsidRPr="0094744F">
        <w:t xml:space="preserve">will search online for publicly available information </w:t>
      </w:r>
      <w:r w:rsidR="00E02079">
        <w:t xml:space="preserve">(e.g., email and phone number) </w:t>
      </w:r>
      <w:r w:rsidRPr="0094744F">
        <w:t xml:space="preserve">to identify the initial </w:t>
      </w:r>
      <w:r w:rsidR="005A6DCC">
        <w:t>contact</w:t>
      </w:r>
      <w:r w:rsidR="00E02079">
        <w:t xml:space="preserve">. </w:t>
      </w:r>
    </w:p>
    <w:p w:rsidR="00282A9B" w:rsidRPr="000016EA" w:rsidP="00EF381A" w14:paraId="66256096" w14:textId="6103BFE4">
      <w:pPr>
        <w:pStyle w:val="BodyText"/>
      </w:pPr>
      <w:r>
        <w:t>A</w:t>
      </w:r>
      <w:r>
        <w:rPr>
          <w:rFonts w:eastAsia="Calibri"/>
          <w:iCs/>
        </w:rPr>
        <w:t>nother strategy RTI will try</w:t>
      </w:r>
      <w:r>
        <w:rPr>
          <w:rFonts w:eastAsia="Calibri"/>
          <w:iCs/>
        </w:rPr>
        <w:t xml:space="preserve"> </w:t>
      </w:r>
      <w:r>
        <w:rPr>
          <w:rFonts w:eastAsia="Calibri"/>
          <w:iCs/>
        </w:rPr>
        <w:t xml:space="preserve">is </w:t>
      </w:r>
      <w:r w:rsidR="004E401D">
        <w:rPr>
          <w:rFonts w:eastAsia="Calibri"/>
          <w:iCs/>
        </w:rPr>
        <w:t xml:space="preserve">to </w:t>
      </w:r>
      <w:r>
        <w:rPr>
          <w:rFonts w:eastAsia="Calibri"/>
          <w:iCs/>
        </w:rPr>
        <w:t>contact</w:t>
      </w:r>
      <w:r w:rsidR="00A50EA1">
        <w:rPr>
          <w:rFonts w:eastAsia="Calibri"/>
          <w:iCs/>
        </w:rPr>
        <w:t xml:space="preserve"> </w:t>
      </w:r>
      <w:r>
        <w:rPr>
          <w:rFonts w:eastAsia="Calibri"/>
          <w:iCs/>
        </w:rPr>
        <w:t>compan</w:t>
      </w:r>
      <w:r w:rsidR="004E401D">
        <w:rPr>
          <w:rFonts w:eastAsia="Calibri"/>
          <w:iCs/>
        </w:rPr>
        <w:t>ies’</w:t>
      </w:r>
      <w:r>
        <w:rPr>
          <w:rFonts w:eastAsia="Calibri"/>
          <w:iCs/>
        </w:rPr>
        <w:t xml:space="preserve"> corporate communications</w:t>
      </w:r>
      <w:r w:rsidR="00B5168A">
        <w:rPr>
          <w:rFonts w:eastAsia="Calibri"/>
          <w:iCs/>
        </w:rPr>
        <w:t>/public affairs/government relations</w:t>
      </w:r>
      <w:r w:rsidR="00A50EA1">
        <w:rPr>
          <w:rFonts w:eastAsia="Calibri"/>
          <w:iCs/>
        </w:rPr>
        <w:t xml:space="preserve"> </w:t>
      </w:r>
      <w:r w:rsidR="004E401D">
        <w:rPr>
          <w:rFonts w:eastAsia="Calibri"/>
          <w:iCs/>
        </w:rPr>
        <w:t>department, either by phone or email (e.g., some large companies have an email portal for submitting interview requests)</w:t>
      </w:r>
      <w:r w:rsidR="00B5168A">
        <w:rPr>
          <w:rFonts w:eastAsia="Calibri"/>
          <w:iCs/>
        </w:rPr>
        <w:t>,</w:t>
      </w:r>
      <w:r w:rsidR="004E401D">
        <w:rPr>
          <w:rFonts w:eastAsia="Calibri"/>
          <w:iCs/>
        </w:rPr>
        <w:t xml:space="preserve"> to </w:t>
      </w:r>
      <w:r w:rsidR="00B5168A">
        <w:t>see if they could assist in identifying the target individual for the interview</w:t>
      </w:r>
      <w:r w:rsidR="00B5168A">
        <w:rPr>
          <w:rFonts w:eastAsia="Calibri"/>
          <w:iCs/>
        </w:rPr>
        <w:t xml:space="preserve">. </w:t>
      </w:r>
      <w:r w:rsidR="004E401D">
        <w:rPr>
          <w:rFonts w:eastAsia="Calibri"/>
          <w:iCs/>
        </w:rPr>
        <w:t xml:space="preserve">Informal discussions with retailers </w:t>
      </w:r>
      <w:r w:rsidR="00A50EA1">
        <w:rPr>
          <w:rFonts w:eastAsia="Calibri"/>
          <w:iCs/>
        </w:rPr>
        <w:t xml:space="preserve">at a recent </w:t>
      </w:r>
      <w:r w:rsidR="004E401D">
        <w:rPr>
          <w:rFonts w:eastAsia="Calibri"/>
          <w:iCs/>
        </w:rPr>
        <w:t xml:space="preserve">conference revealed that some companies prohibit staff from accepting interviews without prior approval from corporate communications and/or </w:t>
      </w:r>
      <w:r w:rsidR="00B5168A">
        <w:rPr>
          <w:rFonts w:eastAsia="Calibri"/>
          <w:iCs/>
        </w:rPr>
        <w:t xml:space="preserve">the </w:t>
      </w:r>
      <w:r w:rsidR="004E401D">
        <w:rPr>
          <w:rFonts w:eastAsia="Calibri"/>
          <w:iCs/>
        </w:rPr>
        <w:t xml:space="preserve">legal department. Such a rule may have led to some of the outright or passive refusals RTI received during the Wave 1 interviews. </w:t>
      </w:r>
    </w:p>
    <w:p w:rsidR="00307E2E" w:rsidRPr="000016EA" w:rsidP="000016EA" w14:paraId="3959F6F8" w14:textId="1173E819">
      <w:pPr>
        <w:pStyle w:val="BodyText"/>
      </w:pPr>
      <w:bookmarkStart w:id="5" w:name="_Hlk137029857"/>
      <w:r w:rsidRPr="000016EA">
        <w:t xml:space="preserve">RTI will </w:t>
      </w:r>
      <w:r w:rsidRPr="000016EA" w:rsidR="006329D7">
        <w:t xml:space="preserve">work with a subset of the Wave 2 sample (e.g., initially release 50 companies and exhaust the subset before releasing another subset of sample) and </w:t>
      </w:r>
      <w:r w:rsidRPr="000016EA">
        <w:t>try multiple recruiting approaches</w:t>
      </w:r>
      <w:r w:rsidRPr="000016EA" w:rsidR="006329D7">
        <w:t xml:space="preserve"> </w:t>
      </w:r>
      <w:r w:rsidR="00753249">
        <w:t xml:space="preserve">concurrently </w:t>
      </w:r>
      <w:r w:rsidRPr="000016EA" w:rsidR="006329D7">
        <w:t>(i.e., attempting to directly identify the potential respondent vs. going through the company’s corporate communications department)</w:t>
      </w:r>
      <w:r w:rsidRPr="000016EA" w:rsidR="002E0589">
        <w:t>,</w:t>
      </w:r>
      <w:r w:rsidR="00753249">
        <w:t xml:space="preserve"> </w:t>
      </w:r>
      <w:r w:rsidRPr="000016EA" w:rsidR="006329D7">
        <w:t xml:space="preserve">with </w:t>
      </w:r>
      <w:r w:rsidRPr="000016EA" w:rsidR="00656453">
        <w:t xml:space="preserve">RTI </w:t>
      </w:r>
      <w:r w:rsidRPr="000016EA" w:rsidR="006329D7">
        <w:t xml:space="preserve">staff </w:t>
      </w:r>
      <w:r w:rsidRPr="000016EA">
        <w:t>tailor</w:t>
      </w:r>
      <w:r w:rsidRPr="000016EA" w:rsidR="00656453">
        <w:t>ing</w:t>
      </w:r>
      <w:r w:rsidRPr="000016EA">
        <w:t xml:space="preserve"> the recruiting approach for the remaining sample</w:t>
      </w:r>
      <w:r w:rsidRPr="000016EA" w:rsidR="006329D7">
        <w:t xml:space="preserve">. </w:t>
      </w:r>
      <w:bookmarkEnd w:id="5"/>
      <w:r w:rsidRPr="000016EA">
        <w:t xml:space="preserve">Additionally, </w:t>
      </w:r>
      <w:r w:rsidRPr="001B32F3" w:rsidR="00753249">
        <w:t xml:space="preserve">RTI </w:t>
      </w:r>
      <w:r w:rsidRPr="000016EA">
        <w:t xml:space="preserve">will ask the retailers </w:t>
      </w:r>
      <w:r w:rsidRPr="001B32F3" w:rsidR="00604B90">
        <w:t xml:space="preserve">that </w:t>
      </w:r>
      <w:r w:rsidRPr="001B32F3" w:rsidR="001B32F3">
        <w:t>are</w:t>
      </w:r>
      <w:r w:rsidRPr="001B32F3" w:rsidR="00604B90">
        <w:t xml:space="preserve"> </w:t>
      </w:r>
      <w:r w:rsidRPr="000016EA">
        <w:t>interview</w:t>
      </w:r>
      <w:r w:rsidRPr="000016EA" w:rsidR="001B32F3">
        <w:t>ed</w:t>
      </w:r>
      <w:r w:rsidRPr="000016EA">
        <w:t xml:space="preserve"> </w:t>
      </w:r>
      <w:r w:rsidRPr="000016EA" w:rsidR="00604B90">
        <w:t xml:space="preserve">in Wave 2 </w:t>
      </w:r>
      <w:r w:rsidRPr="000016EA">
        <w:t>if they could provide referrals or assist with making connections to other retailers (referred to as snowball sampling).</w:t>
      </w:r>
    </w:p>
    <w:p w:rsidR="0041288A" w:rsidRPr="005B69E4" w:rsidP="00EF381A" w14:paraId="572644AA" w14:textId="4B646647">
      <w:pPr>
        <w:pStyle w:val="BodyText"/>
        <w:rPr>
          <w:rFonts w:eastAsia="Calibri"/>
          <w:iCs/>
        </w:rPr>
      </w:pPr>
      <w:r>
        <w:t xml:space="preserve">Table </w:t>
      </w:r>
      <w:r w:rsidR="009D045B">
        <w:t xml:space="preserve">3 </w:t>
      </w:r>
      <w:r>
        <w:t>details the contact</w:t>
      </w:r>
      <w:r w:rsidR="00E85836">
        <w:t>/recruitment</w:t>
      </w:r>
      <w:r>
        <w:t xml:space="preserve"> procedures.</w:t>
      </w:r>
      <w:r w:rsidR="00282A9B">
        <w:t xml:space="preserve"> </w:t>
      </w:r>
    </w:p>
    <w:p w:rsidR="00FC0EE7" w:rsidP="00F0534B" w14:paraId="74272D8B" w14:textId="01D4987C">
      <w:pPr>
        <w:pStyle w:val="TableCaption"/>
      </w:pPr>
      <w:r w:rsidRPr="00E16A04">
        <w:t xml:space="preserve">Table </w:t>
      </w:r>
      <w:r w:rsidR="009D045B">
        <w:t>3</w:t>
      </w:r>
      <w:r w:rsidRPr="00E16A04">
        <w:t>.</w:t>
      </w:r>
      <w:r>
        <w:t xml:space="preserve"> </w:t>
      </w:r>
      <w:r w:rsidRPr="00E16A04" w:rsidR="00E85836">
        <w:t>Contact/</w:t>
      </w:r>
      <w:r w:rsidRPr="000E336A">
        <w:t>Recruitment</w:t>
      </w:r>
      <w:r>
        <w:t xml:space="preserve"> </w:t>
      </w:r>
      <w:r w:rsidRPr="00E16A04">
        <w:t>Procedures</w:t>
      </w:r>
      <w:r w:rsidRPr="000016EA" w:rsidR="00205B4E">
        <w:rPr>
          <w:vertAlign w:val="superscript"/>
        </w:rPr>
        <w:t>a</w:t>
      </w:r>
      <w:r w:rsidRPr="000016EA">
        <w:rPr>
          <w:vertAlign w:val="superscript"/>
        </w:rPr>
        <w:t xml:space="preserve"> </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2070"/>
        <w:gridCol w:w="7290"/>
      </w:tblGrid>
      <w:tr w14:paraId="0343E22D" w14:textId="77777777" w:rsidTr="005B69E4">
        <w:tblPrEx>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Ex>
        <w:tc>
          <w:tcPr>
            <w:tcW w:w="2070" w:type="dxa"/>
            <w:tcBorders>
              <w:top w:val="single" w:sz="12" w:space="0" w:color="auto"/>
              <w:bottom w:val="single" w:sz="2" w:space="0" w:color="auto"/>
            </w:tcBorders>
          </w:tcPr>
          <w:p w:rsidR="00FC0EE7" w:rsidRPr="00E835B2" w:rsidP="00AA70B0" w14:paraId="433FDE73" w14:textId="7773FFB3">
            <w:pPr>
              <w:pStyle w:val="Tabletext"/>
              <w:spacing w:before="96" w:beforeLines="40" w:after="96" w:afterLines="40"/>
              <w:rPr>
                <w:sz w:val="20"/>
                <w:szCs w:val="20"/>
              </w:rPr>
            </w:pPr>
            <w:r w:rsidRPr="00E835B2">
              <w:rPr>
                <w:sz w:val="20"/>
                <w:szCs w:val="20"/>
              </w:rPr>
              <w:t xml:space="preserve">Email </w:t>
            </w:r>
            <w:r w:rsidRPr="00E835B2" w:rsidR="00A70379">
              <w:rPr>
                <w:sz w:val="20"/>
                <w:szCs w:val="20"/>
              </w:rPr>
              <w:t>address is not available</w:t>
            </w:r>
          </w:p>
        </w:tc>
        <w:tc>
          <w:tcPr>
            <w:tcW w:w="7290" w:type="dxa"/>
            <w:tcBorders>
              <w:top w:val="single" w:sz="12" w:space="0" w:color="auto"/>
              <w:bottom w:val="single" w:sz="2" w:space="0" w:color="auto"/>
            </w:tcBorders>
          </w:tcPr>
          <w:p w:rsidR="00FC0EE7" w:rsidRPr="00E835B2" w:rsidP="00AA70B0" w14:paraId="5AFDAE27" w14:textId="3B64A76A">
            <w:pPr>
              <w:pStyle w:val="TableBullets"/>
              <w:spacing w:before="96" w:beforeLines="40" w:after="96" w:afterLines="40"/>
              <w:rPr>
                <w:sz w:val="20"/>
                <w:szCs w:val="20"/>
              </w:rPr>
            </w:pPr>
            <w:r>
              <w:rPr>
                <w:sz w:val="20"/>
                <w:szCs w:val="20"/>
              </w:rPr>
              <w:t xml:space="preserve">RTI </w:t>
            </w:r>
            <w:r w:rsidRPr="00E835B2">
              <w:rPr>
                <w:sz w:val="20"/>
                <w:szCs w:val="20"/>
              </w:rPr>
              <w:t xml:space="preserve">will contact the </w:t>
            </w:r>
            <w:r w:rsidR="00645BB2">
              <w:rPr>
                <w:sz w:val="20"/>
                <w:szCs w:val="20"/>
              </w:rPr>
              <w:t xml:space="preserve">company </w:t>
            </w:r>
            <w:r w:rsidRPr="00E835B2">
              <w:rPr>
                <w:sz w:val="20"/>
                <w:szCs w:val="20"/>
              </w:rPr>
              <w:t xml:space="preserve">by </w:t>
            </w:r>
            <w:r w:rsidR="00645BB2">
              <w:rPr>
                <w:sz w:val="20"/>
                <w:szCs w:val="20"/>
              </w:rPr>
              <w:t>tele</w:t>
            </w:r>
            <w:r w:rsidRPr="00E835B2">
              <w:rPr>
                <w:sz w:val="20"/>
                <w:szCs w:val="20"/>
              </w:rPr>
              <w:t xml:space="preserve">phone. Appendix </w:t>
            </w:r>
            <w:r w:rsidR="00D672D5">
              <w:rPr>
                <w:sz w:val="20"/>
                <w:szCs w:val="20"/>
              </w:rPr>
              <w:t>B</w:t>
            </w:r>
            <w:r w:rsidRPr="00E835B2">
              <w:rPr>
                <w:sz w:val="20"/>
                <w:szCs w:val="20"/>
              </w:rPr>
              <w:t xml:space="preserve">-1 provides the script for making the initial contact, with separate scripts for independent operators and regional/national chains. </w:t>
            </w:r>
          </w:p>
          <w:p w:rsidR="00FC0EE7" w:rsidRPr="00E835B2" w:rsidP="00AA70B0" w14:paraId="0445C284" w14:textId="223B8E3C">
            <w:pPr>
              <w:pStyle w:val="TableBullets"/>
              <w:spacing w:before="96" w:beforeLines="40" w:after="96" w:afterLines="40"/>
              <w:rPr>
                <w:sz w:val="20"/>
                <w:szCs w:val="20"/>
              </w:rPr>
            </w:pPr>
            <w:r w:rsidRPr="00E835B2">
              <w:rPr>
                <w:sz w:val="20"/>
                <w:szCs w:val="20"/>
              </w:rPr>
              <w:t>After the appropriate contact</w:t>
            </w:r>
            <w:r w:rsidR="00B92A69">
              <w:rPr>
                <w:sz w:val="20"/>
                <w:szCs w:val="20"/>
              </w:rPr>
              <w:t xml:space="preserve"> has been identified</w:t>
            </w:r>
            <w:r w:rsidRPr="00E835B2">
              <w:rPr>
                <w:sz w:val="20"/>
                <w:szCs w:val="20"/>
              </w:rPr>
              <w:t xml:space="preserve">, </w:t>
            </w:r>
            <w:r w:rsidR="00B92A69">
              <w:rPr>
                <w:sz w:val="20"/>
                <w:szCs w:val="20"/>
              </w:rPr>
              <w:t>RTI</w:t>
            </w:r>
            <w:r w:rsidRPr="00E835B2">
              <w:rPr>
                <w:sz w:val="20"/>
                <w:szCs w:val="20"/>
              </w:rPr>
              <w:t xml:space="preserve"> will call this person using the script provided in Appendix </w:t>
            </w:r>
            <w:r w:rsidR="00D672D5">
              <w:rPr>
                <w:sz w:val="20"/>
                <w:szCs w:val="20"/>
              </w:rPr>
              <w:t>B</w:t>
            </w:r>
            <w:r w:rsidRPr="00E835B2">
              <w:rPr>
                <w:sz w:val="20"/>
                <w:szCs w:val="20"/>
              </w:rPr>
              <w:t>-2 and, if the person agrees to participate, schedule a mutually agreeable date/time for an interview during the call or by sending a scheduling email (Appendix</w:t>
            </w:r>
            <w:r w:rsidR="00D672D5">
              <w:rPr>
                <w:sz w:val="20"/>
                <w:szCs w:val="20"/>
              </w:rPr>
              <w:t xml:space="preserve"> C-2</w:t>
            </w:r>
            <w:r w:rsidRPr="00E835B2">
              <w:rPr>
                <w:sz w:val="20"/>
                <w:szCs w:val="20"/>
              </w:rPr>
              <w:t>).</w:t>
            </w:r>
            <w:r w:rsidR="005D484F">
              <w:rPr>
                <w:sz w:val="20"/>
                <w:szCs w:val="20"/>
              </w:rPr>
              <w:t xml:space="preserve"> </w:t>
            </w:r>
            <w:r w:rsidRPr="005D484F" w:rsidR="005D484F">
              <w:rPr>
                <w:sz w:val="20"/>
                <w:szCs w:val="20"/>
              </w:rPr>
              <w:t xml:space="preserve">Appendix </w:t>
            </w:r>
            <w:r w:rsidR="00D672D5">
              <w:rPr>
                <w:sz w:val="20"/>
                <w:szCs w:val="20"/>
              </w:rPr>
              <w:t>C-2</w:t>
            </w:r>
            <w:r w:rsidRPr="005D484F" w:rsidR="005D484F">
              <w:rPr>
                <w:sz w:val="20"/>
                <w:szCs w:val="20"/>
              </w:rPr>
              <w:t xml:space="preserve"> will include </w:t>
            </w:r>
            <w:r w:rsidR="00DF15A5">
              <w:rPr>
                <w:sz w:val="20"/>
                <w:szCs w:val="20"/>
              </w:rPr>
              <w:t xml:space="preserve">two </w:t>
            </w:r>
            <w:r w:rsidRPr="005D484F" w:rsidR="005D484F">
              <w:rPr>
                <w:sz w:val="20"/>
                <w:szCs w:val="20"/>
              </w:rPr>
              <w:t>attachments with additional information on the study</w:t>
            </w:r>
            <w:r w:rsidR="001E6E55">
              <w:rPr>
                <w:sz w:val="20"/>
                <w:szCs w:val="20"/>
              </w:rPr>
              <w:t>:</w:t>
            </w:r>
            <w:r w:rsidRPr="005D484F" w:rsidR="001E6E55">
              <w:rPr>
                <w:sz w:val="20"/>
                <w:szCs w:val="20"/>
              </w:rPr>
              <w:t xml:space="preserve"> </w:t>
            </w:r>
            <w:r w:rsidRPr="005D484F" w:rsidR="005D484F">
              <w:rPr>
                <w:sz w:val="20"/>
                <w:szCs w:val="20"/>
              </w:rPr>
              <w:t xml:space="preserve">the informed consent form (Appendix </w:t>
            </w:r>
            <w:r w:rsidR="00D672D5">
              <w:rPr>
                <w:sz w:val="20"/>
                <w:szCs w:val="20"/>
              </w:rPr>
              <w:t>D</w:t>
            </w:r>
            <w:r w:rsidRPr="005D484F" w:rsidR="005D484F">
              <w:rPr>
                <w:sz w:val="20"/>
                <w:szCs w:val="20"/>
              </w:rPr>
              <w:t>)</w:t>
            </w:r>
            <w:r w:rsidR="001E6E55">
              <w:rPr>
                <w:sz w:val="20"/>
                <w:szCs w:val="20"/>
              </w:rPr>
              <w:t xml:space="preserve"> </w:t>
            </w:r>
            <w:r w:rsidRPr="005D484F" w:rsidR="005D484F">
              <w:rPr>
                <w:sz w:val="20"/>
                <w:szCs w:val="20"/>
              </w:rPr>
              <w:t xml:space="preserve">and the </w:t>
            </w:r>
            <w:r w:rsidR="00D672D5">
              <w:rPr>
                <w:sz w:val="20"/>
                <w:szCs w:val="20"/>
              </w:rPr>
              <w:t xml:space="preserve">informational list of interview questions </w:t>
            </w:r>
            <w:r w:rsidRPr="005D484F" w:rsidR="005D484F">
              <w:rPr>
                <w:sz w:val="20"/>
                <w:szCs w:val="20"/>
              </w:rPr>
              <w:t xml:space="preserve">(Appendix </w:t>
            </w:r>
            <w:r w:rsidR="00D672D5">
              <w:rPr>
                <w:sz w:val="20"/>
                <w:szCs w:val="20"/>
              </w:rPr>
              <w:t>E</w:t>
            </w:r>
            <w:r w:rsidRPr="005D484F" w:rsidR="005D484F">
              <w:rPr>
                <w:sz w:val="20"/>
                <w:szCs w:val="20"/>
              </w:rPr>
              <w:t>).</w:t>
            </w:r>
          </w:p>
        </w:tc>
      </w:tr>
      <w:tr w14:paraId="11BB98EC" w14:textId="77777777" w:rsidTr="00155049">
        <w:tblPrEx>
          <w:tblW w:w="0" w:type="auto"/>
          <w:tblLook w:val="04A0"/>
        </w:tblPrEx>
        <w:tc>
          <w:tcPr>
            <w:tcW w:w="2070" w:type="dxa"/>
            <w:tcBorders>
              <w:top w:val="single" w:sz="2" w:space="0" w:color="auto"/>
            </w:tcBorders>
          </w:tcPr>
          <w:p w:rsidR="00753249" w:rsidRPr="00E835B2" w:rsidP="00155049" w14:paraId="5CFF741D" w14:textId="77777777">
            <w:pPr>
              <w:pStyle w:val="Tabletext"/>
              <w:spacing w:before="96" w:beforeLines="40" w:after="96" w:afterLines="40"/>
              <w:rPr>
                <w:sz w:val="20"/>
                <w:szCs w:val="20"/>
              </w:rPr>
            </w:pPr>
            <w:r w:rsidRPr="00E835B2">
              <w:rPr>
                <w:sz w:val="20"/>
                <w:szCs w:val="20"/>
              </w:rPr>
              <w:t xml:space="preserve">Email address is available </w:t>
            </w:r>
          </w:p>
        </w:tc>
        <w:tc>
          <w:tcPr>
            <w:tcW w:w="7290" w:type="dxa"/>
            <w:tcBorders>
              <w:top w:val="single" w:sz="2" w:space="0" w:color="auto"/>
            </w:tcBorders>
          </w:tcPr>
          <w:p w:rsidR="00753249" w:rsidRPr="00E835B2" w:rsidP="00155049" w14:paraId="4F1672B2" w14:textId="77777777">
            <w:pPr>
              <w:pStyle w:val="TableBullets"/>
              <w:spacing w:before="96" w:beforeLines="40" w:after="96" w:afterLines="40"/>
              <w:rPr>
                <w:sz w:val="20"/>
                <w:szCs w:val="20"/>
              </w:rPr>
            </w:pPr>
            <w:r>
              <w:rPr>
                <w:sz w:val="20"/>
                <w:szCs w:val="20"/>
              </w:rPr>
              <w:t xml:space="preserve">RTI </w:t>
            </w:r>
            <w:r w:rsidRPr="00E835B2">
              <w:rPr>
                <w:sz w:val="20"/>
                <w:szCs w:val="20"/>
              </w:rPr>
              <w:t xml:space="preserve">will send an email initially (Appendix </w:t>
            </w:r>
            <w:r>
              <w:rPr>
                <w:sz w:val="20"/>
                <w:szCs w:val="20"/>
              </w:rPr>
              <w:t>C</w:t>
            </w:r>
            <w:r w:rsidRPr="00E835B2">
              <w:rPr>
                <w:sz w:val="20"/>
                <w:szCs w:val="20"/>
              </w:rPr>
              <w:t>-1). If a response to the email</w:t>
            </w:r>
            <w:r>
              <w:rPr>
                <w:sz w:val="20"/>
                <w:szCs w:val="20"/>
              </w:rPr>
              <w:t xml:space="preserve"> is received</w:t>
            </w:r>
            <w:r w:rsidRPr="00E835B2">
              <w:rPr>
                <w:sz w:val="20"/>
                <w:szCs w:val="20"/>
              </w:rPr>
              <w:t xml:space="preserve">, </w:t>
            </w:r>
            <w:r>
              <w:rPr>
                <w:sz w:val="20"/>
                <w:szCs w:val="20"/>
              </w:rPr>
              <w:t xml:space="preserve">RTI </w:t>
            </w:r>
            <w:r w:rsidRPr="00E835B2">
              <w:rPr>
                <w:sz w:val="20"/>
                <w:szCs w:val="20"/>
              </w:rPr>
              <w:t>will follow</w:t>
            </w:r>
            <w:r>
              <w:rPr>
                <w:sz w:val="20"/>
                <w:szCs w:val="20"/>
              </w:rPr>
              <w:t xml:space="preserve"> </w:t>
            </w:r>
            <w:r w:rsidRPr="00E835B2">
              <w:rPr>
                <w:sz w:val="20"/>
                <w:szCs w:val="20"/>
              </w:rPr>
              <w:t xml:space="preserve">up by sending a recruitment/scheduling email (Appendix </w:t>
            </w:r>
            <w:r>
              <w:rPr>
                <w:sz w:val="20"/>
                <w:szCs w:val="20"/>
              </w:rPr>
              <w:t>C</w:t>
            </w:r>
            <w:r w:rsidRPr="00E835B2">
              <w:rPr>
                <w:sz w:val="20"/>
                <w:szCs w:val="20"/>
              </w:rPr>
              <w:t>-2)</w:t>
            </w:r>
            <w:r>
              <w:rPr>
                <w:sz w:val="20"/>
                <w:szCs w:val="20"/>
              </w:rPr>
              <w:t xml:space="preserve"> with the attachments</w:t>
            </w:r>
            <w:r w:rsidRPr="00E835B2">
              <w:rPr>
                <w:sz w:val="20"/>
                <w:szCs w:val="20"/>
              </w:rPr>
              <w:t xml:space="preserve">, or if the email response suggests a phone contact would be preferred, then </w:t>
            </w:r>
            <w:r>
              <w:rPr>
                <w:sz w:val="20"/>
                <w:szCs w:val="20"/>
              </w:rPr>
              <w:t xml:space="preserve">RTI </w:t>
            </w:r>
            <w:r w:rsidRPr="00E835B2">
              <w:rPr>
                <w:sz w:val="20"/>
                <w:szCs w:val="20"/>
              </w:rPr>
              <w:t xml:space="preserve">will contact </w:t>
            </w:r>
            <w:r>
              <w:rPr>
                <w:sz w:val="20"/>
                <w:szCs w:val="20"/>
              </w:rPr>
              <w:t xml:space="preserve">them </w:t>
            </w:r>
            <w:r w:rsidRPr="00E835B2">
              <w:rPr>
                <w:sz w:val="20"/>
                <w:szCs w:val="20"/>
              </w:rPr>
              <w:t xml:space="preserve">by </w:t>
            </w:r>
            <w:r>
              <w:rPr>
                <w:sz w:val="20"/>
                <w:szCs w:val="20"/>
              </w:rPr>
              <w:t>tele</w:t>
            </w:r>
            <w:r w:rsidRPr="00E835B2">
              <w:rPr>
                <w:sz w:val="20"/>
                <w:szCs w:val="20"/>
              </w:rPr>
              <w:t xml:space="preserve">phone using the script provided in Appendix </w:t>
            </w:r>
            <w:r>
              <w:rPr>
                <w:sz w:val="20"/>
                <w:szCs w:val="20"/>
              </w:rPr>
              <w:t>B</w:t>
            </w:r>
            <w:r w:rsidRPr="00E835B2">
              <w:rPr>
                <w:sz w:val="20"/>
                <w:szCs w:val="20"/>
              </w:rPr>
              <w:t>-2</w:t>
            </w:r>
            <w:r>
              <w:rPr>
                <w:sz w:val="20"/>
                <w:szCs w:val="20"/>
              </w:rPr>
              <w:t xml:space="preserve"> and then send the scheduling email (Appendix C-2) with the two attachments noted above.</w:t>
            </w:r>
          </w:p>
          <w:p w:rsidR="00753249" w:rsidRPr="005D484F" w:rsidP="00155049" w14:paraId="2B3B01AA" w14:textId="77777777">
            <w:pPr>
              <w:pStyle w:val="TableBullets"/>
              <w:spacing w:before="96" w:beforeLines="40" w:after="96" w:afterLines="40"/>
              <w:rPr>
                <w:sz w:val="20"/>
                <w:szCs w:val="20"/>
              </w:rPr>
            </w:pPr>
            <w:r w:rsidRPr="00E835B2">
              <w:rPr>
                <w:sz w:val="20"/>
                <w:szCs w:val="20"/>
              </w:rPr>
              <w:t xml:space="preserve">If </w:t>
            </w:r>
            <w:r>
              <w:rPr>
                <w:sz w:val="20"/>
                <w:szCs w:val="20"/>
              </w:rPr>
              <w:t xml:space="preserve">there is not a </w:t>
            </w:r>
            <w:r w:rsidRPr="00E835B2">
              <w:rPr>
                <w:sz w:val="20"/>
                <w:szCs w:val="20"/>
              </w:rPr>
              <w:t xml:space="preserve">response to the email and a phone number is available, </w:t>
            </w:r>
            <w:r>
              <w:rPr>
                <w:sz w:val="20"/>
                <w:szCs w:val="20"/>
              </w:rPr>
              <w:t xml:space="preserve">RTI </w:t>
            </w:r>
            <w:r w:rsidRPr="00E835B2">
              <w:rPr>
                <w:sz w:val="20"/>
                <w:szCs w:val="20"/>
              </w:rPr>
              <w:t xml:space="preserve">will call this person using the script provided in Appendix </w:t>
            </w:r>
            <w:r>
              <w:rPr>
                <w:sz w:val="20"/>
                <w:szCs w:val="20"/>
              </w:rPr>
              <w:t>B</w:t>
            </w:r>
            <w:r w:rsidRPr="00E835B2">
              <w:rPr>
                <w:sz w:val="20"/>
                <w:szCs w:val="20"/>
              </w:rPr>
              <w:t xml:space="preserve">-2 and, if the person agrees to participate, schedule a mutually agreeable date/time for an interview during the call </w:t>
            </w:r>
            <w:r>
              <w:rPr>
                <w:sz w:val="20"/>
                <w:szCs w:val="20"/>
              </w:rPr>
              <w:t xml:space="preserve">and then send the scheduling email (Appendix C-2) with the two attachments noted above. If the person prefers to schedule by email, then RTI will </w:t>
            </w:r>
            <w:r w:rsidRPr="005D484F">
              <w:rPr>
                <w:sz w:val="20"/>
                <w:szCs w:val="20"/>
              </w:rPr>
              <w:t xml:space="preserve">send a scheduling email (Appendix </w:t>
            </w:r>
            <w:r>
              <w:rPr>
                <w:sz w:val="20"/>
                <w:szCs w:val="20"/>
              </w:rPr>
              <w:t>C</w:t>
            </w:r>
            <w:r w:rsidRPr="005D484F">
              <w:rPr>
                <w:sz w:val="20"/>
                <w:szCs w:val="20"/>
              </w:rPr>
              <w:t>-2)</w:t>
            </w:r>
            <w:r>
              <w:rPr>
                <w:sz w:val="20"/>
                <w:szCs w:val="20"/>
              </w:rPr>
              <w:t xml:space="preserve"> with the two attachments noted above.</w:t>
            </w:r>
          </w:p>
        </w:tc>
      </w:tr>
    </w:tbl>
    <w:p w:rsidR="00205B4E" w:rsidP="00205B4E" w14:paraId="3F6030A8" w14:textId="1E5F51A8">
      <w:pPr>
        <w:pStyle w:val="FootnoteText"/>
      </w:pPr>
      <w:r w:rsidRPr="00E16A04">
        <w:t xml:space="preserve"> </w:t>
      </w:r>
      <w:r w:rsidRPr="000016EA">
        <w:rPr>
          <w:vertAlign w:val="superscript"/>
        </w:rPr>
        <w:t>a</w:t>
      </w:r>
      <w:r>
        <w:t>Concurrent</w:t>
      </w:r>
      <w:r>
        <w:t xml:space="preserve"> with these procedures, </w:t>
      </w:r>
      <w:r>
        <w:rPr>
          <w:rFonts w:eastAsia="Calibri"/>
          <w:iCs/>
        </w:rPr>
        <w:t xml:space="preserve">RTI will contact companies’ corporate communications/public affairs/government relations department, either by phone or email (e.g., some large companies have an email portal for submitting interview requests), to </w:t>
      </w:r>
      <w:r>
        <w:t>see if they could assist in identifying the target individual for the interview</w:t>
      </w:r>
      <w:r>
        <w:rPr>
          <w:rFonts w:eastAsia="Calibri"/>
          <w:iCs/>
        </w:rPr>
        <w:t>.</w:t>
      </w:r>
    </w:p>
    <w:p w:rsidR="001849BE" w:rsidRPr="003D6E93" w:rsidP="00F0534B" w14:paraId="64BADBEA" w14:textId="6F651700">
      <w:pPr>
        <w:pStyle w:val="Heading3"/>
        <w:rPr>
          <w:rFonts w:ascii="Times New Roman" w:hAnsi="Times New Roman" w:cs="Times New Roman"/>
          <w:b/>
          <w:iCs/>
          <w:sz w:val="24"/>
          <w:szCs w:val="24"/>
        </w:rPr>
      </w:pPr>
      <w:r w:rsidRPr="003D6E93">
        <w:rPr>
          <w:rFonts w:ascii="Times New Roman" w:hAnsi="Times New Roman" w:cs="Times New Roman"/>
          <w:sz w:val="24"/>
          <w:szCs w:val="24"/>
        </w:rPr>
        <w:t>Follow-</w:t>
      </w:r>
      <w:r w:rsidRPr="003D6E93" w:rsidR="00F0534B">
        <w:rPr>
          <w:rFonts w:ascii="Times New Roman" w:hAnsi="Times New Roman" w:cs="Times New Roman"/>
          <w:sz w:val="24"/>
          <w:szCs w:val="24"/>
        </w:rPr>
        <w:t xml:space="preserve">Up </w:t>
      </w:r>
      <w:r w:rsidRPr="003D6E93">
        <w:rPr>
          <w:rFonts w:ascii="Times New Roman" w:hAnsi="Times New Roman" w:cs="Times New Roman"/>
          <w:sz w:val="24"/>
          <w:szCs w:val="24"/>
        </w:rPr>
        <w:t>Attempts and Reminders</w:t>
      </w:r>
    </w:p>
    <w:bookmarkEnd w:id="4"/>
    <w:p w:rsidR="00A532EC" w:rsidRPr="00FC0EE7" w:rsidP="00EF381A" w14:paraId="71E4E9A4" w14:textId="7FBAE0CB">
      <w:pPr>
        <w:pStyle w:val="BodyText"/>
      </w:pPr>
      <w:r>
        <w:t>I</w:t>
      </w:r>
      <w:r w:rsidRPr="00FC0EE7" w:rsidR="00532F98">
        <w:t xml:space="preserve">f </w:t>
      </w:r>
      <w:r w:rsidR="00645BB2">
        <w:t xml:space="preserve">a response is not </w:t>
      </w:r>
      <w:r w:rsidRPr="00FC0EE7" w:rsidR="00532F98">
        <w:t>receive</w:t>
      </w:r>
      <w:r w:rsidR="00645BB2">
        <w:t xml:space="preserve">d </w:t>
      </w:r>
      <w:r w:rsidRPr="00FC0EE7" w:rsidR="00532F98">
        <w:t xml:space="preserve">from the initial call or email within 3 </w:t>
      </w:r>
      <w:r w:rsidRPr="00FC0EE7" w:rsidR="0038126C">
        <w:t>business</w:t>
      </w:r>
      <w:r w:rsidRPr="00FC0EE7" w:rsidR="00532F98">
        <w:t xml:space="preserve"> days, </w:t>
      </w:r>
      <w:r w:rsidR="00645BB2">
        <w:t>RTI</w:t>
      </w:r>
      <w:r w:rsidRPr="00FC0EE7" w:rsidR="00645BB2">
        <w:t xml:space="preserve"> </w:t>
      </w:r>
      <w:r w:rsidRPr="00FC0EE7" w:rsidR="00532F98">
        <w:t xml:space="preserve">will call again or send a follow-up email. </w:t>
      </w:r>
      <w:r w:rsidR="00050CAC">
        <w:t>U</w:t>
      </w:r>
      <w:r w:rsidRPr="001849BE" w:rsidR="00532F98">
        <w:t xml:space="preserve">p to four </w:t>
      </w:r>
      <w:r w:rsidRPr="001849BE" w:rsidR="0080779D">
        <w:t xml:space="preserve">contact </w:t>
      </w:r>
      <w:r w:rsidRPr="001849BE" w:rsidR="00532F98">
        <w:t xml:space="preserve">attempts </w:t>
      </w:r>
      <w:r w:rsidR="000275C2">
        <w:t xml:space="preserve">to a company </w:t>
      </w:r>
      <w:r w:rsidR="00050CAC">
        <w:t xml:space="preserve">will be made </w:t>
      </w:r>
      <w:r w:rsidRPr="001849BE" w:rsidR="00532F98">
        <w:t>over a 2- to 3-week period</w:t>
      </w:r>
      <w:r w:rsidR="004F7A82">
        <w:t xml:space="preserve">. If both an email address and phone number are available, </w:t>
      </w:r>
      <w:r w:rsidR="00B92A69">
        <w:t xml:space="preserve">RTI </w:t>
      </w:r>
      <w:r w:rsidR="004F7A82">
        <w:t xml:space="preserve">will make two email attempts and two phone call attempts. </w:t>
      </w:r>
      <w:r w:rsidRPr="00FC0EE7" w:rsidR="0080779D">
        <w:t>I</w:t>
      </w:r>
      <w:r w:rsidRPr="00FC0EE7" w:rsidR="00532F98">
        <w:t xml:space="preserve">f </w:t>
      </w:r>
      <w:r w:rsidR="002646C9">
        <w:t xml:space="preserve">a </w:t>
      </w:r>
      <w:r w:rsidRPr="00FC0EE7" w:rsidR="00532F98">
        <w:t>response</w:t>
      </w:r>
      <w:r w:rsidR="000275C2">
        <w:t xml:space="preserve"> </w:t>
      </w:r>
      <w:r w:rsidR="002646C9">
        <w:t xml:space="preserve">is not received </w:t>
      </w:r>
      <w:r w:rsidR="000275C2">
        <w:t>after four attempts</w:t>
      </w:r>
      <w:r w:rsidRPr="00FC0EE7" w:rsidR="00532F98">
        <w:t xml:space="preserve">, </w:t>
      </w:r>
      <w:r w:rsidR="002646C9">
        <w:t xml:space="preserve">the company will be </w:t>
      </w:r>
      <w:r w:rsidRPr="00FC0EE7" w:rsidR="00532F98">
        <w:t>code</w:t>
      </w:r>
      <w:r w:rsidR="002646C9">
        <w:t>d</w:t>
      </w:r>
      <w:r w:rsidRPr="00FC0EE7" w:rsidR="00532F98">
        <w:t xml:space="preserve"> as a nonresponse</w:t>
      </w:r>
      <w:r w:rsidR="00707CB3">
        <w:t xml:space="preserve"> (Appendices </w:t>
      </w:r>
      <w:r w:rsidR="00D672D5">
        <w:t>F</w:t>
      </w:r>
      <w:r w:rsidR="00707CB3">
        <w:t xml:space="preserve">-1, </w:t>
      </w:r>
      <w:r w:rsidR="00D672D5">
        <w:t>F</w:t>
      </w:r>
      <w:r w:rsidR="00707CB3">
        <w:t xml:space="preserve">-2, and </w:t>
      </w:r>
      <w:r w:rsidR="00D672D5">
        <w:t>F</w:t>
      </w:r>
      <w:r w:rsidR="00707CB3">
        <w:t xml:space="preserve">-3 </w:t>
      </w:r>
      <w:r w:rsidR="000C076D">
        <w:t xml:space="preserve">are </w:t>
      </w:r>
      <w:r w:rsidR="00707CB3">
        <w:t>scripts and emails for the follow-up attempts)</w:t>
      </w:r>
      <w:r w:rsidR="001E6E55">
        <w:t>.</w:t>
      </w:r>
    </w:p>
    <w:p w:rsidR="00E922E4" w:rsidP="00EF381A" w14:paraId="7F22E5F2" w14:textId="77777777">
      <w:pPr>
        <w:pStyle w:val="BodyText"/>
      </w:pPr>
      <w:bookmarkStart w:id="6" w:name="_Hlk535397743"/>
      <w:r>
        <w:t xml:space="preserve">Companies that agree to an interview will get a reminder from RTI a few days before the </w:t>
      </w:r>
      <w:r w:rsidR="009D045B">
        <w:t>scheduled interview</w:t>
      </w:r>
      <w:r w:rsidRPr="00405C41" w:rsidR="002E1126">
        <w:rPr>
          <w:rFonts w:eastAsia="Calibri"/>
          <w:iCs/>
        </w:rPr>
        <w:t xml:space="preserve"> </w:t>
      </w:r>
      <w:r w:rsidRPr="00405C41" w:rsidR="002D04C8">
        <w:rPr>
          <w:rFonts w:eastAsia="Calibri"/>
          <w:iCs/>
        </w:rPr>
        <w:t xml:space="preserve">(Appendix </w:t>
      </w:r>
      <w:r w:rsidR="00D672D5">
        <w:rPr>
          <w:rFonts w:eastAsia="Calibri"/>
          <w:iCs/>
        </w:rPr>
        <w:t>G</w:t>
      </w:r>
      <w:r w:rsidRPr="00405C41" w:rsidR="002D04C8">
        <w:rPr>
          <w:rFonts w:eastAsia="Calibri"/>
          <w:iCs/>
        </w:rPr>
        <w:t>)</w:t>
      </w:r>
      <w:r w:rsidRPr="00405C41" w:rsidR="002E1126">
        <w:rPr>
          <w:rFonts w:eastAsia="Calibri"/>
          <w:iCs/>
        </w:rPr>
        <w:t xml:space="preserve">. </w:t>
      </w:r>
      <w:r w:rsidRPr="00405C41" w:rsidR="005D3D67">
        <w:t>The reminder email will</w:t>
      </w:r>
      <w:r w:rsidRPr="00405C41" w:rsidR="00CE06C4">
        <w:t xml:space="preserve"> include </w:t>
      </w:r>
      <w:r w:rsidR="002F0EFA">
        <w:t>the following attac</w:t>
      </w:r>
      <w:r w:rsidR="00645BB2">
        <w:t>h</w:t>
      </w:r>
      <w:r w:rsidR="002F0EFA">
        <w:t>ments:</w:t>
      </w:r>
      <w:r w:rsidRPr="00726561" w:rsidR="002F0EFA">
        <w:t xml:space="preserve"> </w:t>
      </w:r>
      <w:r w:rsidR="005D484F">
        <w:t>the</w:t>
      </w:r>
      <w:r w:rsidRPr="00726561" w:rsidR="002F0EFA">
        <w:t xml:space="preserve"> informed consent form (Appendix </w:t>
      </w:r>
      <w:r w:rsidR="00D672D5">
        <w:t>D</w:t>
      </w:r>
      <w:r w:rsidRPr="00726561" w:rsidR="002F0EFA">
        <w:t xml:space="preserve">) and </w:t>
      </w:r>
      <w:r w:rsidR="005D484F">
        <w:t>the</w:t>
      </w:r>
      <w:r w:rsidRPr="00726561" w:rsidR="002F0EFA">
        <w:t xml:space="preserve"> </w:t>
      </w:r>
      <w:r w:rsidR="00D672D5">
        <w:t xml:space="preserve">informational list of interview questions </w:t>
      </w:r>
      <w:r w:rsidRPr="00726561" w:rsidR="002F0EFA">
        <w:t xml:space="preserve">(Appendix </w:t>
      </w:r>
      <w:r w:rsidR="00D672D5">
        <w:t>E</w:t>
      </w:r>
      <w:r w:rsidRPr="00726561" w:rsidR="002F0EFA">
        <w:t xml:space="preserve">). </w:t>
      </w:r>
      <w:r>
        <w:t xml:space="preserve"> </w:t>
      </w:r>
    </w:p>
    <w:p w:rsidR="00532F98" w:rsidRPr="00405C41" w:rsidP="00EF381A" w14:paraId="04640BC0" w14:textId="70A7C866">
      <w:pPr>
        <w:pStyle w:val="BodyText"/>
        <w:rPr>
          <w:rFonts w:eastAsia="Calibri"/>
          <w:iCs/>
        </w:rPr>
      </w:pPr>
      <w:r>
        <w:t xml:space="preserve">On a case-by-case basis, RTI’s recruiters may offer the option of providing written responses if the company seems amenable to participating but is too busy to participate in an interview. </w:t>
      </w:r>
      <w:r w:rsidR="00E922E4">
        <w:t xml:space="preserve">, </w:t>
      </w:r>
      <w:r>
        <w:t xml:space="preserve">In such a case, </w:t>
      </w:r>
      <w:r w:rsidR="00E922E4">
        <w:t>RTI will send the</w:t>
      </w:r>
      <w:r>
        <w:t xml:space="preserve"> contact </w:t>
      </w:r>
      <w:r w:rsidR="00E922E4">
        <w:t>the informed consent and the list of interview questions for them to complete and return</w:t>
      </w:r>
      <w:r>
        <w:t>.</w:t>
      </w:r>
      <w:r w:rsidR="00E922E4">
        <w:t xml:space="preserve">. </w:t>
      </w:r>
    </w:p>
    <w:bookmarkEnd w:id="6"/>
    <w:p w:rsidR="00532F98" w:rsidRPr="00C046E8" w:rsidP="00F0534B" w14:paraId="26E7624D" w14:textId="1C98F52A">
      <w:pPr>
        <w:pStyle w:val="Heading2"/>
      </w:pPr>
      <w:r w:rsidRPr="00E16A04">
        <w:t xml:space="preserve">Interview </w:t>
      </w:r>
      <w:r w:rsidRPr="00E16A04">
        <w:t>Procedures</w:t>
      </w:r>
      <w:r w:rsidRPr="00E16A04">
        <w:t xml:space="preserve"> </w:t>
      </w:r>
    </w:p>
    <w:p w:rsidR="006C5B1C" w:rsidRPr="001D0520" w:rsidP="00EF381A" w14:paraId="17F69499" w14:textId="72315181">
      <w:pPr>
        <w:pStyle w:val="BodyText"/>
      </w:pPr>
      <w:bookmarkStart w:id="7" w:name="_Hlk535486515"/>
      <w:r>
        <w:t xml:space="preserve">As in Wave 1, </w:t>
      </w:r>
      <w:r w:rsidR="00645BB2">
        <w:t xml:space="preserve">RTI </w:t>
      </w:r>
      <w:r>
        <w:t xml:space="preserve">staff </w:t>
      </w:r>
      <w:r w:rsidRPr="001D0520">
        <w:t xml:space="preserve">will use an interview guide </w:t>
      </w:r>
      <w:r w:rsidR="0009097A">
        <w:t>(</w:t>
      </w:r>
      <w:r w:rsidRPr="001D0520">
        <w:t xml:space="preserve">Appendix </w:t>
      </w:r>
      <w:r w:rsidR="00D672D5">
        <w:t>H</w:t>
      </w:r>
      <w:r w:rsidRPr="001D0520">
        <w:t xml:space="preserve">) to provide structure to the discussion. The guide contains structured probes so that all participants will initially be asked the same set of questions, but interviewers will probe spontaneously when further clarification is needed. </w:t>
      </w:r>
    </w:p>
    <w:p w:rsidR="003A6A6C" w:rsidP="00EF381A" w14:paraId="310EDE11" w14:textId="37172471">
      <w:pPr>
        <w:pStyle w:val="BodyText"/>
      </w:pPr>
      <w:r w:rsidRPr="00776DC4">
        <w:t>The interviews will be conducted via secure Zoom video conference by two RTI staff members</w:t>
      </w:r>
      <w:r w:rsidR="007F145D">
        <w:t>, both CIPSEA agents</w:t>
      </w:r>
      <w:r w:rsidR="003737C8">
        <w:t xml:space="preserve">; </w:t>
      </w:r>
      <w:r w:rsidRPr="00776DC4">
        <w:t xml:space="preserve">one person to lead the discussion and one person to take notes. </w:t>
      </w:r>
      <w:r w:rsidR="002646C9">
        <w:t xml:space="preserve">The RTI interviewer </w:t>
      </w:r>
      <w:r w:rsidRPr="001D0520" w:rsidR="004B48AD">
        <w:t xml:space="preserve">will </w:t>
      </w:r>
      <w:r w:rsidR="00B8222F">
        <w:t xml:space="preserve">begin the interview </w:t>
      </w:r>
      <w:r w:rsidRPr="001D0520" w:rsidR="004B48AD">
        <w:t xml:space="preserve">by </w:t>
      </w:r>
      <w:r w:rsidRPr="001D0520" w:rsidR="003F7580">
        <w:t xml:space="preserve">asking companies about their current </w:t>
      </w:r>
      <w:r w:rsidRPr="001D0520" w:rsidR="007B493F">
        <w:t xml:space="preserve">procedures </w:t>
      </w:r>
      <w:r w:rsidRPr="001D0520" w:rsidR="003F7580">
        <w:t xml:space="preserve">for tracking food loss. </w:t>
      </w:r>
      <w:r w:rsidR="002646C9">
        <w:t>The interview</w:t>
      </w:r>
      <w:r w:rsidR="00386E7E">
        <w:t>er</w:t>
      </w:r>
      <w:r w:rsidR="002646C9">
        <w:t xml:space="preserve"> </w:t>
      </w:r>
      <w:r w:rsidRPr="001D0520" w:rsidR="003F7580">
        <w:t xml:space="preserve">will then </w:t>
      </w:r>
      <w:r w:rsidRPr="001D0520" w:rsidR="009C5116">
        <w:t xml:space="preserve">solicit feedback on </w:t>
      </w:r>
      <w:r w:rsidR="00FC09A5">
        <w:t xml:space="preserve">RTI’s proposed methodology </w:t>
      </w:r>
      <w:r w:rsidRPr="001D0520" w:rsidR="003042EF">
        <w:t xml:space="preserve">(i.e., using </w:t>
      </w:r>
      <w:r w:rsidRPr="001D0520" w:rsidR="009C5116">
        <w:t>data on product shipments and sales weights</w:t>
      </w:r>
      <w:r w:rsidRPr="001D0520" w:rsidR="005D2DB0">
        <w:t xml:space="preserve">, adjusted for </w:t>
      </w:r>
      <w:r w:rsidRPr="001D0520" w:rsidR="005D2DB0">
        <w:rPr>
          <w:bCs/>
        </w:rPr>
        <w:t>intra</w:t>
      </w:r>
      <w:r w:rsidR="00AC1F5B">
        <w:rPr>
          <w:bCs/>
        </w:rPr>
        <w:t>-</w:t>
      </w:r>
      <w:r w:rsidRPr="001D0520" w:rsidR="005D2DB0">
        <w:rPr>
          <w:bCs/>
        </w:rPr>
        <w:t>store product transfers, and food donations</w:t>
      </w:r>
      <w:r w:rsidR="00D956C2">
        <w:rPr>
          <w:bCs/>
        </w:rPr>
        <w:t>)</w:t>
      </w:r>
      <w:r w:rsidRPr="001D0520" w:rsidR="009C5116">
        <w:t xml:space="preserve"> to calculate food loss </w:t>
      </w:r>
      <w:r w:rsidR="00FC09A5">
        <w:t>coefficients</w:t>
      </w:r>
      <w:r w:rsidR="00511DFD">
        <w:t xml:space="preserve"> </w:t>
      </w:r>
      <w:r w:rsidRPr="001D0520" w:rsidR="009C5116">
        <w:t>for individual LAFA commodities or commodity groups</w:t>
      </w:r>
      <w:r w:rsidRPr="001D0520" w:rsidR="005D2DB0">
        <w:t>.</w:t>
      </w:r>
      <w:r w:rsidRPr="001D0520" w:rsidR="00036C28">
        <w:t xml:space="preserve"> </w:t>
      </w:r>
      <w:r w:rsidR="002646C9">
        <w:t xml:space="preserve">The interviewer </w:t>
      </w:r>
      <w:r w:rsidRPr="001D0520" w:rsidR="009C5116">
        <w:rPr>
          <w:bCs/>
        </w:rPr>
        <w:t xml:space="preserve">will follow up with additional questions about how such </w:t>
      </w:r>
      <w:r w:rsidRPr="001D0520" w:rsidR="00FF2E70">
        <w:rPr>
          <w:bCs/>
        </w:rPr>
        <w:t>data</w:t>
      </w:r>
      <w:r w:rsidRPr="001D0520" w:rsidR="003042EF">
        <w:rPr>
          <w:bCs/>
        </w:rPr>
        <w:t>, if available,</w:t>
      </w:r>
      <w:r w:rsidRPr="001D0520" w:rsidR="00FF2E70">
        <w:rPr>
          <w:bCs/>
        </w:rPr>
        <w:t xml:space="preserve"> are maintained (e.g., </w:t>
      </w:r>
      <w:r w:rsidRPr="001D0520" w:rsidR="00CA4ECF">
        <w:rPr>
          <w:bCs/>
        </w:rPr>
        <w:t xml:space="preserve">by </w:t>
      </w:r>
      <w:r w:rsidR="001E6E55">
        <w:t>Universal Product Code</w:t>
      </w:r>
      <w:r w:rsidRPr="001D0520" w:rsidR="001E6E55">
        <w:t xml:space="preserve"> </w:t>
      </w:r>
      <w:r w:rsidRPr="001D0520" w:rsidR="00CA4ECF">
        <w:t xml:space="preserve">or </w:t>
      </w:r>
      <w:r w:rsidRPr="001D0520" w:rsidR="00FF2E70">
        <w:t>store department</w:t>
      </w:r>
      <w:r w:rsidRPr="001D0520" w:rsidR="00CA4ECF">
        <w:t>;</w:t>
      </w:r>
      <w:r w:rsidRPr="001D0520" w:rsidR="00FF2E70">
        <w:t xml:space="preserve"> daily, monthly, </w:t>
      </w:r>
      <w:r w:rsidRPr="001D0520" w:rsidR="00CA4ECF">
        <w:t xml:space="preserve">or </w:t>
      </w:r>
      <w:r w:rsidRPr="001D0520" w:rsidR="00FF2E70">
        <w:t>annual</w:t>
      </w:r>
      <w:r w:rsidRPr="001D0520" w:rsidR="00CA4ECF">
        <w:t>ly</w:t>
      </w:r>
      <w:r w:rsidRPr="001D0520" w:rsidR="00FF2E70">
        <w:t>)</w:t>
      </w:r>
      <w:r w:rsidRPr="001D0520" w:rsidR="009C5116">
        <w:t xml:space="preserve"> and about </w:t>
      </w:r>
      <w:r w:rsidRPr="001D0520" w:rsidR="002D04C8">
        <w:rPr>
          <w:bCs/>
        </w:rPr>
        <w:t>companies</w:t>
      </w:r>
      <w:r w:rsidRPr="001D0520" w:rsidR="00FF2E70">
        <w:rPr>
          <w:bCs/>
        </w:rPr>
        <w:t>’ prefer</w:t>
      </w:r>
      <w:r w:rsidRPr="001D0520" w:rsidR="009C5116">
        <w:rPr>
          <w:bCs/>
        </w:rPr>
        <w:t>red method</w:t>
      </w:r>
      <w:r w:rsidR="001E6E55">
        <w:rPr>
          <w:bCs/>
        </w:rPr>
        <w:t>s</w:t>
      </w:r>
      <w:r w:rsidRPr="001D0520" w:rsidR="009C5116">
        <w:rPr>
          <w:bCs/>
        </w:rPr>
        <w:t xml:space="preserve"> </w:t>
      </w:r>
      <w:r w:rsidRPr="001D0520" w:rsidR="00FF2E70">
        <w:rPr>
          <w:bCs/>
        </w:rPr>
        <w:t xml:space="preserve">for providing </w:t>
      </w:r>
      <w:r w:rsidRPr="001D0520" w:rsidR="005D2DB0">
        <w:rPr>
          <w:bCs/>
        </w:rPr>
        <w:t xml:space="preserve">available </w:t>
      </w:r>
      <w:r w:rsidRPr="001D0520" w:rsidR="00FF2E70">
        <w:rPr>
          <w:bCs/>
        </w:rPr>
        <w:t>data (e.g., by responding to survey questions, filling out a formatted spreadsheet</w:t>
      </w:r>
      <w:r w:rsidRPr="001D0520" w:rsidR="0082657B">
        <w:rPr>
          <w:bCs/>
        </w:rPr>
        <w:t>,</w:t>
      </w:r>
      <w:r w:rsidRPr="001D0520" w:rsidR="00FF2E70">
        <w:rPr>
          <w:bCs/>
        </w:rPr>
        <w:t xml:space="preserve"> or uploading data)</w:t>
      </w:r>
      <w:r w:rsidRPr="001D0520" w:rsidR="005D2DB0">
        <w:rPr>
          <w:bCs/>
        </w:rPr>
        <w:t xml:space="preserve">. </w:t>
      </w:r>
      <w:r w:rsidR="002646C9">
        <w:rPr>
          <w:bCs/>
        </w:rPr>
        <w:t>The interviewer</w:t>
      </w:r>
      <w:r w:rsidRPr="001D0520" w:rsidR="005D2DB0">
        <w:rPr>
          <w:bCs/>
        </w:rPr>
        <w:t xml:space="preserve"> will ask about </w:t>
      </w:r>
      <w:r w:rsidRPr="001D0520" w:rsidR="00FF2E70">
        <w:rPr>
          <w:bCs/>
        </w:rPr>
        <w:t xml:space="preserve">the anticipated burden for providing the </w:t>
      </w:r>
      <w:r w:rsidRPr="001D0520" w:rsidR="003B17E3">
        <w:rPr>
          <w:bCs/>
        </w:rPr>
        <w:t>data</w:t>
      </w:r>
      <w:r w:rsidRPr="001D0520" w:rsidR="003B17E3">
        <w:t xml:space="preserve">. </w:t>
      </w:r>
      <w:r w:rsidR="002646C9">
        <w:t xml:space="preserve">The interviewer </w:t>
      </w:r>
      <w:r w:rsidRPr="001D0520" w:rsidR="003B17E3">
        <w:t xml:space="preserve">will also </w:t>
      </w:r>
      <w:r w:rsidR="001E6E55">
        <w:t xml:space="preserve">request </w:t>
      </w:r>
      <w:r w:rsidR="007C2215">
        <w:t>companies</w:t>
      </w:r>
      <w:r w:rsidR="001E6E55">
        <w:t>’</w:t>
      </w:r>
      <w:r w:rsidR="007C2215">
        <w:t xml:space="preserve"> thoughts about giving </w:t>
      </w:r>
      <w:r w:rsidR="00AC1F5B">
        <w:t>participants in a full nationally</w:t>
      </w:r>
      <w:r w:rsidR="001E6E55">
        <w:t xml:space="preserve"> </w:t>
      </w:r>
      <w:r w:rsidR="00AC1F5B">
        <w:t xml:space="preserve">representative study </w:t>
      </w:r>
      <w:r w:rsidRPr="001D0520" w:rsidR="002D04C8">
        <w:t xml:space="preserve">a benchmarking report </w:t>
      </w:r>
      <w:r w:rsidRPr="001D0520" w:rsidR="00306568">
        <w:t xml:space="preserve">that would compare their company’s food loss performance with an aggregated </w:t>
      </w:r>
      <w:r w:rsidR="00B87834">
        <w:t xml:space="preserve">industry </w:t>
      </w:r>
      <w:r w:rsidRPr="001D0520" w:rsidR="00306568">
        <w:t xml:space="preserve">average. </w:t>
      </w:r>
      <w:bookmarkEnd w:id="7"/>
    </w:p>
    <w:p w:rsidR="001857E9" w:rsidRPr="00CA7931" w:rsidP="003C6228" w14:paraId="7FB389E8" w14:textId="77777777">
      <w:pPr>
        <w:pStyle w:val="Heading2"/>
      </w:pPr>
      <w:r w:rsidRPr="00CA7931">
        <w:t>Interviewer Training</w:t>
      </w:r>
    </w:p>
    <w:p w:rsidR="001857E9" w:rsidRPr="00DA56CE" w:rsidP="00EF381A" w14:paraId="25BE8BBC" w14:textId="77777777">
      <w:pPr>
        <w:pStyle w:val="BodyText"/>
      </w:pPr>
      <w:r w:rsidRPr="00DA56CE">
        <w:t>RTI project staff responsible for developing the interview guide and procedures will conduct the interviews. Interviewers and note takers will train for the interviews by doing practice runs using the interview guide</w:t>
      </w:r>
      <w:r>
        <w:t>.</w:t>
      </w:r>
    </w:p>
    <w:p w:rsidR="001857E9" w:rsidRPr="00CA7931" w:rsidP="003C6228" w14:paraId="1A0367EB" w14:textId="77777777">
      <w:pPr>
        <w:pStyle w:val="Heading2"/>
      </w:pPr>
      <w:r w:rsidRPr="00CA7931">
        <w:t>Incentive Payments</w:t>
      </w:r>
    </w:p>
    <w:p w:rsidR="001857E9" w:rsidRPr="00840651" w:rsidP="00EF381A" w14:paraId="0FB653D4" w14:textId="77777777">
      <w:pPr>
        <w:pStyle w:val="BodyText"/>
      </w:pPr>
      <w:r w:rsidRPr="00840651">
        <w:t>No incentive payments will be offered.</w:t>
      </w:r>
    </w:p>
    <w:p w:rsidR="006C5B1C" w:rsidRPr="003C6228" w:rsidP="003C6228" w14:paraId="6AE20DE3" w14:textId="3773CFF7">
      <w:pPr>
        <w:pStyle w:val="Heading2"/>
      </w:pPr>
      <w:r w:rsidRPr="003C6228">
        <w:t xml:space="preserve">Informed </w:t>
      </w:r>
      <w:r w:rsidRPr="003C6228" w:rsidR="007B493F">
        <w:t>Consent</w:t>
      </w:r>
    </w:p>
    <w:p w:rsidR="00A667A1" w:rsidP="00EF381A" w14:paraId="467C8BB2" w14:textId="11DD004F">
      <w:pPr>
        <w:pStyle w:val="BodyText"/>
      </w:pPr>
      <w:r>
        <w:t>Before</w:t>
      </w:r>
      <w:r w:rsidR="0047314C">
        <w:t xml:space="preserve"> participating in the interviews, </w:t>
      </w:r>
      <w:r w:rsidR="002646C9">
        <w:t xml:space="preserve">RTI </w:t>
      </w:r>
      <w:r w:rsidR="00B8222F">
        <w:t xml:space="preserve">will </w:t>
      </w:r>
      <w:r w:rsidR="00A946B0">
        <w:t xml:space="preserve">ask </w:t>
      </w:r>
      <w:r w:rsidR="00B8222F">
        <w:t xml:space="preserve">the </w:t>
      </w:r>
      <w:r w:rsidR="002646C9">
        <w:t>person</w:t>
      </w:r>
      <w:r w:rsidR="005D484F">
        <w:t>(s)</w:t>
      </w:r>
      <w:r w:rsidR="002646C9">
        <w:t xml:space="preserve"> to be interviewed </w:t>
      </w:r>
      <w:r w:rsidR="0047314C">
        <w:t xml:space="preserve">to </w:t>
      </w:r>
      <w:r w:rsidR="00142E71">
        <w:t xml:space="preserve">electronically </w:t>
      </w:r>
      <w:r w:rsidR="0047314C">
        <w:t xml:space="preserve">sign an </w:t>
      </w:r>
      <w:r>
        <w:t xml:space="preserve">informed consent </w:t>
      </w:r>
      <w:r w:rsidR="00D268A9">
        <w:t xml:space="preserve">using a </w:t>
      </w:r>
      <w:r w:rsidR="00253217">
        <w:t xml:space="preserve">FedRAMP-certified </w:t>
      </w:r>
      <w:r w:rsidR="00D268A9">
        <w:t xml:space="preserve">Qualtrics survey link </w:t>
      </w:r>
      <w:r w:rsidR="0047314C">
        <w:t>(</w:t>
      </w:r>
      <w:r w:rsidR="00142E71">
        <w:t xml:space="preserve">Appendix </w:t>
      </w:r>
      <w:r w:rsidR="00D672D5">
        <w:t>D</w:t>
      </w:r>
      <w:r w:rsidR="0047314C">
        <w:t xml:space="preserve">). </w:t>
      </w:r>
      <w:r w:rsidR="001E6E55">
        <w:t xml:space="preserve">We will include the </w:t>
      </w:r>
      <w:r>
        <w:t xml:space="preserve">informed consent </w:t>
      </w:r>
      <w:r w:rsidR="00726561">
        <w:t xml:space="preserve">in the </w:t>
      </w:r>
      <w:r>
        <w:t xml:space="preserve">scheduling email </w:t>
      </w:r>
      <w:r w:rsidR="00726561">
        <w:t xml:space="preserve">(Appendix </w:t>
      </w:r>
      <w:r w:rsidR="00D672D5">
        <w:t>C</w:t>
      </w:r>
      <w:r w:rsidR="00726561">
        <w:t xml:space="preserve">-2) </w:t>
      </w:r>
      <w:r w:rsidR="00726561">
        <w:t xml:space="preserve">that </w:t>
      </w:r>
      <w:r w:rsidR="001E6E55">
        <w:t xml:space="preserve">we </w:t>
      </w:r>
      <w:r w:rsidR="00726561">
        <w:t>will sen</w:t>
      </w:r>
      <w:r w:rsidR="001E6E55">
        <w:t>d</w:t>
      </w:r>
      <w:r w:rsidR="00726561">
        <w:t xml:space="preserve"> to </w:t>
      </w:r>
      <w:r w:rsidR="000C7CD5">
        <w:t>everyone who will participat</w:t>
      </w:r>
      <w:r w:rsidR="001E6E55">
        <w:t>e</w:t>
      </w:r>
      <w:r w:rsidR="000C7CD5">
        <w:t xml:space="preserve"> in the interview</w:t>
      </w:r>
      <w:r w:rsidR="002646C9">
        <w:t xml:space="preserve">. Additional information about the procedures for obtaining informed consent </w:t>
      </w:r>
      <w:r w:rsidR="00B269A2">
        <w:t>is</w:t>
      </w:r>
      <w:r w:rsidR="002646C9">
        <w:t xml:space="preserve"> provided in the section below on </w:t>
      </w:r>
      <w:r w:rsidR="00F524B9">
        <w:t>confidentiality procedures</w:t>
      </w:r>
      <w:r w:rsidR="002646C9">
        <w:t>.</w:t>
      </w:r>
    </w:p>
    <w:p w:rsidR="00532F98" w:rsidRPr="005B69E4" w:rsidP="003C6228" w14:paraId="31859AC8" w14:textId="32DC67BA">
      <w:pPr>
        <w:pStyle w:val="Heading2"/>
      </w:pPr>
      <w:r w:rsidRPr="005B69E4">
        <w:t>Confidentiality</w:t>
      </w:r>
      <w:r w:rsidRPr="005B69E4" w:rsidR="00DC1BB2">
        <w:t xml:space="preserve"> Procedures</w:t>
      </w:r>
    </w:p>
    <w:p w:rsidR="00532F98" w:rsidRPr="001D4370" w:rsidP="00EF381A" w14:paraId="6D8FB86E" w14:textId="66619018">
      <w:pPr>
        <w:pStyle w:val="BodyText"/>
      </w:pPr>
      <w:r w:rsidRPr="001D4370">
        <w:t xml:space="preserve">RTI’s </w:t>
      </w:r>
      <w:r w:rsidRPr="001D4370" w:rsidR="00A30ED4">
        <w:t>Institutional Review Board (</w:t>
      </w:r>
      <w:r w:rsidRPr="001D4370">
        <w:t>IRB</w:t>
      </w:r>
      <w:r w:rsidRPr="001D4370" w:rsidR="00A30ED4">
        <w:t>)</w:t>
      </w:r>
      <w:r w:rsidRPr="001D4370">
        <w:t xml:space="preserve"> reviewed </w:t>
      </w:r>
      <w:r w:rsidR="002646C9">
        <w:t>the</w:t>
      </w:r>
      <w:r w:rsidRPr="001D4370">
        <w:t xml:space="preserve"> </w:t>
      </w:r>
      <w:r w:rsidRPr="001D4370" w:rsidR="000A02BD">
        <w:t xml:space="preserve">Not Human Research Determination request </w:t>
      </w:r>
      <w:r w:rsidRPr="001D4370" w:rsidR="006C5BEB">
        <w:t xml:space="preserve">for the </w:t>
      </w:r>
      <w:r w:rsidRPr="001D4370" w:rsidR="007B12F5">
        <w:t xml:space="preserve">study </w:t>
      </w:r>
      <w:r w:rsidRPr="001D4370">
        <w:t xml:space="preserve">and determined that the proposed activity is not research involving human subjects as defined by </w:t>
      </w:r>
      <w:r w:rsidRPr="001D4370" w:rsidR="00A30ED4">
        <w:t xml:space="preserve">Department of Health and Human Services </w:t>
      </w:r>
      <w:r w:rsidRPr="001D4370">
        <w:t>regulations</w:t>
      </w:r>
      <w:r w:rsidRPr="001D4370" w:rsidR="003042EF">
        <w:t xml:space="preserve"> (</w:t>
      </w:r>
      <w:r w:rsidRPr="001D4370" w:rsidR="00866542">
        <w:t xml:space="preserve">Appendix </w:t>
      </w:r>
      <w:r w:rsidR="00056579">
        <w:t>I</w:t>
      </w:r>
      <w:r w:rsidRPr="001D4370" w:rsidR="00866542">
        <w:t>)</w:t>
      </w:r>
      <w:r w:rsidRPr="001D4370" w:rsidR="00C76375">
        <w:t xml:space="preserve">. Thus, </w:t>
      </w:r>
      <w:r w:rsidRPr="001D4370">
        <w:t>RTI IRB oversight of this activity is not required.</w:t>
      </w:r>
    </w:p>
    <w:p w:rsidR="00532F98" w:rsidRPr="001D4370" w:rsidP="00EF381A" w14:paraId="3DA342A1" w14:textId="5490F9CC">
      <w:pPr>
        <w:pStyle w:val="BodyText"/>
        <w:rPr>
          <w:color w:val="000000"/>
        </w:rPr>
      </w:pPr>
      <w:r>
        <w:t xml:space="preserve">Wave 2 will follow the same confidentiality and data security procedures that were used for Wave 1. </w:t>
      </w:r>
      <w:r w:rsidRPr="001D4370">
        <w:t xml:space="preserve">RTI has assessed and secured </w:t>
      </w:r>
      <w:r w:rsidRPr="001D4370" w:rsidR="007B12F5">
        <w:t>its</w:t>
      </w:r>
      <w:r w:rsidRPr="001D4370">
        <w:t xml:space="preserve"> information systems in accord</w:t>
      </w:r>
      <w:r w:rsidRPr="001D4370" w:rsidR="00F22409">
        <w:t>ance</w:t>
      </w:r>
      <w:r w:rsidRPr="001D4370">
        <w:t xml:space="preserve"> with the Federal Information Security Management Act</w:t>
      </w:r>
      <w:r w:rsidRPr="001D4370" w:rsidR="00A30ED4">
        <w:t xml:space="preserve">, </w:t>
      </w:r>
      <w:r w:rsidRPr="001D4370">
        <w:t>which appears as Title III of the E-Government Act of 2002 and the National Institute of Standards and Technology</w:t>
      </w:r>
      <w:r w:rsidRPr="001D4370" w:rsidR="00034F32">
        <w:t xml:space="preserve"> (NIST)</w:t>
      </w:r>
      <w:r w:rsidRPr="001D4370">
        <w:t>. For information systems containing data protected under the Confidential Information Protection and Statistical Efficiency Act</w:t>
      </w:r>
      <w:r w:rsidRPr="001D4370" w:rsidR="00866542">
        <w:t xml:space="preserve"> (CIPSEA)</w:t>
      </w:r>
      <w:r w:rsidRPr="001D4370">
        <w:t>, the security characterization reflect</w:t>
      </w:r>
      <w:r w:rsidRPr="001D4370" w:rsidR="00A30ED4">
        <w:t>s</w:t>
      </w:r>
      <w:r w:rsidRPr="001D4370">
        <w:t xml:space="preserve"> a moderate potential impact and requires </w:t>
      </w:r>
      <w:r w:rsidRPr="001D4370" w:rsidR="00866542">
        <w:t xml:space="preserve">that RTI store and work with any data in its </w:t>
      </w:r>
      <w:r w:rsidRPr="001D4370">
        <w:t>Federal Information Processing Standards</w:t>
      </w:r>
      <w:r w:rsidR="007D41F9">
        <w:t xml:space="preserve"> </w:t>
      </w:r>
      <w:r w:rsidRPr="001D4370">
        <w:t xml:space="preserve">Moderate </w:t>
      </w:r>
      <w:bookmarkStart w:id="8" w:name="_Hlk67559015"/>
      <w:r w:rsidRPr="001D4370">
        <w:t>Enhanced Security Network.</w:t>
      </w:r>
      <w:bookmarkEnd w:id="8"/>
      <w:r w:rsidRPr="001D4370">
        <w:t xml:space="preserve"> </w:t>
      </w:r>
    </w:p>
    <w:p w:rsidR="00532F98" w:rsidRPr="00840651" w:rsidP="005B69E4" w14:paraId="6541CADD" w14:textId="577B798E">
      <w:pPr>
        <w:pStyle w:val="BodyText"/>
      </w:pPr>
      <w:r>
        <w:t xml:space="preserve">Consistent with Wave 1, the </w:t>
      </w:r>
      <w:r w:rsidRPr="00F64579" w:rsidR="00866542">
        <w:t>informed con</w:t>
      </w:r>
      <w:r w:rsidRPr="00F64579" w:rsidR="00CE06C4">
        <w:t>s</w:t>
      </w:r>
      <w:r w:rsidRPr="00F64579" w:rsidR="00866542">
        <w:t xml:space="preserve">ent </w:t>
      </w:r>
      <w:r w:rsidRPr="00F64579" w:rsidR="00CE06C4">
        <w:t xml:space="preserve">form </w:t>
      </w:r>
      <w:r w:rsidRPr="00F64579" w:rsidR="00866542">
        <w:t xml:space="preserve">(Appendix </w:t>
      </w:r>
      <w:r w:rsidR="00D672D5">
        <w:t>D</w:t>
      </w:r>
      <w:r w:rsidRPr="00F64579" w:rsidR="00866542">
        <w:t>)</w:t>
      </w:r>
      <w:r w:rsidRPr="00F64579" w:rsidR="007B12F5">
        <w:t xml:space="preserve"> will provide assurances</w:t>
      </w:r>
      <w:r w:rsidRPr="00F64579" w:rsidR="00490A32">
        <w:t xml:space="preserve"> regarding data confidentiality and security as described below</w:t>
      </w:r>
      <w:r w:rsidRPr="00F64579" w:rsidR="0075010A">
        <w:t xml:space="preserve">. If multiple people </w:t>
      </w:r>
      <w:r w:rsidRPr="00F64579" w:rsidR="00490A32">
        <w:t xml:space="preserve">within a company </w:t>
      </w:r>
      <w:r w:rsidRPr="00F64579" w:rsidR="0075010A">
        <w:t xml:space="preserve">participate in the interview, each one will be </w:t>
      </w:r>
      <w:r w:rsidRPr="00F64579" w:rsidR="006D115B">
        <w:t xml:space="preserve">emailed </w:t>
      </w:r>
      <w:r w:rsidRPr="00F64579" w:rsidR="0075010A">
        <w:t>a copy of the informed consent form</w:t>
      </w:r>
      <w:r w:rsidRPr="00F64579" w:rsidR="00490A32">
        <w:t xml:space="preserve"> </w:t>
      </w:r>
      <w:r w:rsidR="00CF08D1">
        <w:t>before</w:t>
      </w:r>
      <w:r w:rsidRPr="00F64579" w:rsidR="00490A32">
        <w:t xml:space="preserve"> the interview</w:t>
      </w:r>
      <w:r w:rsidRPr="00F64579" w:rsidR="0075010A">
        <w:t>.</w:t>
      </w:r>
      <w:r w:rsidRPr="00F64579" w:rsidR="00D118F0">
        <w:t xml:space="preserve"> If a person </w:t>
      </w:r>
      <w:r w:rsidRPr="00F64579" w:rsidR="007D41F9">
        <w:t xml:space="preserve">who </w:t>
      </w:r>
      <w:r w:rsidRPr="00F64579" w:rsidR="00D118F0">
        <w:t xml:space="preserve">has not previously provided informed consent </w:t>
      </w:r>
      <w:r w:rsidRPr="00F64579" w:rsidR="0031513F">
        <w:t>will be participating</w:t>
      </w:r>
      <w:r w:rsidRPr="00F64579" w:rsidR="007D41F9">
        <w:t xml:space="preserve"> in the interview, </w:t>
      </w:r>
      <w:r w:rsidRPr="00F64579" w:rsidR="002646C9">
        <w:t xml:space="preserve">RTI will </w:t>
      </w:r>
      <w:r w:rsidRPr="00F64579" w:rsidR="00D118F0">
        <w:t>email them the form and have them sign electronically before starting the interview</w:t>
      </w:r>
      <w:r w:rsidRPr="00F64579" w:rsidR="002A1793">
        <w:t xml:space="preserve"> (i.e., in real time)</w:t>
      </w:r>
      <w:r w:rsidRPr="00F64579" w:rsidR="00D118F0">
        <w:t>.</w:t>
      </w:r>
      <w:r w:rsidRPr="00F64579" w:rsidR="00490A32">
        <w:t xml:space="preserve"> </w:t>
      </w:r>
      <w:r w:rsidRPr="00F64579" w:rsidR="007B12F5">
        <w:t>S</w:t>
      </w:r>
      <w:r w:rsidRPr="00F64579" w:rsidR="009269E1">
        <w:t>tatement</w:t>
      </w:r>
      <w:r w:rsidRPr="00F64579" w:rsidR="007B12F5">
        <w:t xml:space="preserve"> on CIPSEA protections</w:t>
      </w:r>
      <w:r w:rsidRPr="00F64579" w:rsidR="00F22409">
        <w:t xml:space="preserve">: </w:t>
      </w:r>
      <w:r w:rsidRPr="00F64579" w:rsidR="009269E1">
        <w:t>“</w:t>
      </w:r>
      <w:r w:rsidRPr="005B69E4" w:rsidR="00F64579">
        <w:t xml:space="preserve">The information you provide will be used for statistical purposes only. Your response will be kept confidential and any person who willfully discloses ANY identifiable information about you or your company is subject to a jail term, a fine, or both. This study is conducted in accordance with the Confidential Information Protection and Statistical Efficiency Act of 2018, Title III of Pub. L. No. 115-435, codified in 44 U.S.C. Ch. 35 and other applicable Federal laws.” </w:t>
      </w:r>
    </w:p>
    <w:p w:rsidR="000646AA" w:rsidRPr="00840651" w:rsidP="003A70CA" w14:paraId="36FE1ABE" w14:textId="77777777">
      <w:pPr>
        <w:pStyle w:val="ListBullet"/>
      </w:pPr>
      <w:bookmarkStart w:id="9" w:name="_Hlk67558940"/>
      <w:r w:rsidRPr="00840651">
        <w:t xml:space="preserve">RTI’s </w:t>
      </w:r>
      <w:r w:rsidRPr="003A70CA">
        <w:t>Zoom</w:t>
      </w:r>
      <w:r w:rsidRPr="00840651">
        <w:t xml:space="preserve"> platform is configured to meet NIST-moderate requirements. </w:t>
      </w:r>
    </w:p>
    <w:p w:rsidR="00B9474A" w:rsidRPr="00840651" w:rsidP="003A70CA" w14:paraId="000D92F0" w14:textId="04D81B92">
      <w:pPr>
        <w:pStyle w:val="ListBullet"/>
      </w:pPr>
      <w:r w:rsidRPr="00840651">
        <w:t>The i</w:t>
      </w:r>
      <w:r w:rsidRPr="00840651">
        <w:t xml:space="preserve">nterview notes </w:t>
      </w:r>
      <w:r w:rsidRPr="00840651">
        <w:t>(</w:t>
      </w:r>
      <w:r w:rsidRPr="00840651">
        <w:t xml:space="preserve">typed and saved in </w:t>
      </w:r>
      <w:r w:rsidRPr="00840651" w:rsidR="00314327">
        <w:t xml:space="preserve">individual </w:t>
      </w:r>
      <w:r w:rsidRPr="00840651">
        <w:t>Word document</w:t>
      </w:r>
      <w:r w:rsidRPr="00840651" w:rsidR="00314327">
        <w:t>s</w:t>
      </w:r>
      <w:r w:rsidRPr="00840651">
        <w:t>) will be saved</w:t>
      </w:r>
      <w:r w:rsidRPr="00840651">
        <w:t xml:space="preserve"> on </w:t>
      </w:r>
      <w:r w:rsidRPr="00840651" w:rsidR="003A6A6C">
        <w:t xml:space="preserve">RTI’s </w:t>
      </w:r>
      <w:r w:rsidRPr="001D4370" w:rsidR="00F97AA8">
        <w:t>Enhanced Security Network</w:t>
      </w:r>
      <w:r w:rsidRPr="00840651">
        <w:t xml:space="preserve">. Additionally, </w:t>
      </w:r>
      <w:r w:rsidRPr="00840651" w:rsidR="007B12F5">
        <w:t>RTI</w:t>
      </w:r>
      <w:r w:rsidRPr="00840651">
        <w:t xml:space="preserve"> will prepare an Excel file that summarizes responses to the interviews using a matrix format for organizing and summarizing the interview data to prepare a written report. The </w:t>
      </w:r>
      <w:r w:rsidRPr="00840651" w:rsidR="00314327">
        <w:t xml:space="preserve">summary </w:t>
      </w:r>
      <w:r w:rsidRPr="00840651">
        <w:t xml:space="preserve">Excel file will be saved on </w:t>
      </w:r>
      <w:r w:rsidR="00D83408">
        <w:t>RTI’s</w:t>
      </w:r>
      <w:r w:rsidRPr="00840651">
        <w:t xml:space="preserve"> </w:t>
      </w:r>
      <w:r w:rsidRPr="001D4370" w:rsidR="00B269A2">
        <w:t>Enhanced Security Network</w:t>
      </w:r>
      <w:r w:rsidRPr="00840651">
        <w:t xml:space="preserve">. Any handwritten notes taken during the interviews will be </w:t>
      </w:r>
      <w:r w:rsidR="00D83408">
        <w:t xml:space="preserve">shredded </w:t>
      </w:r>
      <w:r w:rsidRPr="00840651">
        <w:t xml:space="preserve">after the notes have been transcribed into the Word and Excel files. </w:t>
      </w:r>
    </w:p>
    <w:p w:rsidR="00314327" w:rsidRPr="00840651" w:rsidP="003A70CA" w14:paraId="25991D8D" w14:textId="2DB62DAD">
      <w:pPr>
        <w:pStyle w:val="ListBullet"/>
      </w:pPr>
      <w:r w:rsidRPr="00840651">
        <w:t xml:space="preserve">RTI will use the </w:t>
      </w:r>
      <w:r w:rsidRPr="00840651" w:rsidR="0012033C">
        <w:t xml:space="preserve">interview </w:t>
      </w:r>
      <w:r w:rsidRPr="00840651">
        <w:t xml:space="preserve">responses to prepare a summary report for ERS. </w:t>
      </w:r>
    </w:p>
    <w:p w:rsidR="00532F98" w:rsidRPr="00F04A97" w:rsidP="003A70CA" w14:paraId="29995BE3" w14:textId="1450AE97">
      <w:pPr>
        <w:pStyle w:val="ListBullet"/>
      </w:pPr>
      <w:bookmarkStart w:id="10" w:name="_Hlk67559554"/>
      <w:bookmarkStart w:id="11" w:name="_Hlk67559190"/>
      <w:bookmarkEnd w:id="9"/>
      <w:r w:rsidRPr="00F04A97">
        <w:t xml:space="preserve">At the end of the </w:t>
      </w:r>
      <w:r w:rsidRPr="00F04A97" w:rsidR="004B15A5">
        <w:t>study</w:t>
      </w:r>
      <w:r w:rsidRPr="00F04A97">
        <w:t xml:space="preserve">, </w:t>
      </w:r>
      <w:r w:rsidRPr="00F04A97" w:rsidR="006433DB">
        <w:t xml:space="preserve">the </w:t>
      </w:r>
      <w:r w:rsidRPr="00F04A97" w:rsidR="00B9474A">
        <w:t xml:space="preserve">interview responses in Word/Excel files </w:t>
      </w:r>
      <w:r w:rsidRPr="00F04A97" w:rsidR="00163BC0">
        <w:t xml:space="preserve">and the Excel file used to organize and summarize the interview data </w:t>
      </w:r>
      <w:r w:rsidRPr="00F04A97">
        <w:t xml:space="preserve">will be </w:t>
      </w:r>
      <w:r w:rsidRPr="00F04A97" w:rsidR="00E07ED5">
        <w:t>transferred to ER</w:t>
      </w:r>
      <w:r w:rsidRPr="00F04A97" w:rsidR="00CF0ED0">
        <w:t xml:space="preserve">S’s secure </w:t>
      </w:r>
      <w:r w:rsidRPr="005B69E4" w:rsidR="00EE5E18">
        <w:t>Federal Information Security Management Act</w:t>
      </w:r>
      <w:r w:rsidRPr="00F04A97" w:rsidR="00EE5E18">
        <w:t xml:space="preserve"> </w:t>
      </w:r>
      <w:r w:rsidR="00EE5E18">
        <w:t>(</w:t>
      </w:r>
      <w:r w:rsidRPr="00F04A97" w:rsidR="00CF0ED0">
        <w:t>FISMA</w:t>
      </w:r>
      <w:r w:rsidR="00EE5E18">
        <w:t>)</w:t>
      </w:r>
      <w:r w:rsidRPr="00F04A97" w:rsidR="00CF0ED0">
        <w:t xml:space="preserve">-moderate cloud-based network using </w:t>
      </w:r>
      <w:r w:rsidR="00082626">
        <w:t xml:space="preserve">the </w:t>
      </w:r>
      <w:r w:rsidRPr="00F04A97" w:rsidR="00CF0ED0">
        <w:t xml:space="preserve">FISMA-moderate </w:t>
      </w:r>
      <w:r w:rsidRPr="00082626" w:rsidR="00CF0ED0">
        <w:rPr>
          <w:i/>
          <w:iCs/>
        </w:rPr>
        <w:t>Kiteworks</w:t>
      </w:r>
      <w:r w:rsidRPr="00082626" w:rsidR="00CF0ED0">
        <w:rPr>
          <w:i/>
          <w:iCs/>
        </w:rPr>
        <w:t xml:space="preserve"> </w:t>
      </w:r>
      <w:r w:rsidRPr="00F04A97" w:rsidR="00CF0ED0">
        <w:t>file</w:t>
      </w:r>
      <w:r w:rsidR="00EE5E18">
        <w:t>-</w:t>
      </w:r>
      <w:r w:rsidRPr="00F04A97" w:rsidR="00CF0ED0">
        <w:t xml:space="preserve">sharing network. RTI will destroy the files on their </w:t>
      </w:r>
      <w:r w:rsidRPr="00082626" w:rsidR="00D51F35">
        <w:t xml:space="preserve">Enhanced Security Network </w:t>
      </w:r>
      <w:r w:rsidRPr="00F04A97" w:rsidR="00CF0ED0">
        <w:t>and provide documentation of the destruction to ERS.</w:t>
      </w:r>
      <w:r w:rsidR="00EF381A">
        <w:t xml:space="preserve"> </w:t>
      </w:r>
    </w:p>
    <w:bookmarkEnd w:id="10"/>
    <w:bookmarkEnd w:id="11"/>
    <w:p w:rsidR="00532F98" w:rsidRPr="00E16A04" w:rsidP="00E10871" w14:paraId="7B66DED7" w14:textId="68A01E5D">
      <w:pPr>
        <w:pStyle w:val="Heading1"/>
      </w:pPr>
      <w:r w:rsidRPr="00E16A04">
        <w:t xml:space="preserve">Burden </w:t>
      </w:r>
      <w:r w:rsidRPr="00E16A04" w:rsidR="00B10C37">
        <w:t>Estimate</w:t>
      </w:r>
    </w:p>
    <w:p w:rsidR="00A50E13" w:rsidRPr="00D45382" w:rsidP="003A70CA" w14:paraId="53FAF919" w14:textId="3D4C9E35">
      <w:pPr>
        <w:pStyle w:val="ListBullet"/>
      </w:pPr>
      <w:bookmarkStart w:id="12" w:name="_Hlk124509709"/>
      <w:r w:rsidRPr="00D45382">
        <w:t xml:space="preserve">The total response burden for Wave </w:t>
      </w:r>
      <w:r w:rsidR="0008445D">
        <w:t>2</w:t>
      </w:r>
      <w:r w:rsidRPr="00D45382" w:rsidR="0008445D">
        <w:t xml:space="preserve"> </w:t>
      </w:r>
      <w:r w:rsidRPr="00D45382">
        <w:t xml:space="preserve">is estimated to be </w:t>
      </w:r>
      <w:r w:rsidR="00642075">
        <w:rPr>
          <w:b/>
          <w:bCs/>
        </w:rPr>
        <w:t>49.56</w:t>
      </w:r>
      <w:r w:rsidR="0008445D">
        <w:t xml:space="preserve"> </w:t>
      </w:r>
      <w:r w:rsidRPr="00D45382">
        <w:rPr>
          <w:b/>
          <w:bCs/>
        </w:rPr>
        <w:t>hours</w:t>
      </w:r>
      <w:r w:rsidRPr="00CC541B" w:rsidR="0009097A">
        <w:t>.</w:t>
      </w:r>
      <w:r w:rsidRPr="00D45382" w:rsidR="00A721C7">
        <w:t xml:space="preserve"> </w:t>
      </w:r>
    </w:p>
    <w:p w:rsidR="002A2EB1" w:rsidRPr="00D45382" w:rsidP="003A70CA" w14:paraId="4687A937" w14:textId="66B4C00C">
      <w:pPr>
        <w:pStyle w:val="ListBullet"/>
      </w:pPr>
      <w:r w:rsidRPr="000016EA">
        <w:t>The estimated total response burden for the participants group is</w:t>
      </w:r>
      <w:r w:rsidRPr="000016EA" w:rsidR="008E604B">
        <w:t xml:space="preserve"> </w:t>
      </w:r>
      <w:r w:rsidRPr="000016EA" w:rsidR="00642075">
        <w:t>11</w:t>
      </w:r>
      <w:r w:rsidRPr="000016EA" w:rsidR="0008445D">
        <w:t>.</w:t>
      </w:r>
      <w:r w:rsidRPr="000016EA" w:rsidR="00642075">
        <w:t>24</w:t>
      </w:r>
      <w:r w:rsidRPr="000016EA" w:rsidR="009A5F8E">
        <w:t xml:space="preserve"> </w:t>
      </w:r>
      <w:r w:rsidRPr="000016EA">
        <w:t xml:space="preserve">hours, or about </w:t>
      </w:r>
      <w:r w:rsidRPr="000016EA" w:rsidR="00642075">
        <w:t>6</w:t>
      </w:r>
      <w:r w:rsidRPr="000016EA" w:rsidR="006405EE">
        <w:t>7</w:t>
      </w:r>
      <w:r w:rsidRPr="000016EA" w:rsidR="009A5F8E">
        <w:t xml:space="preserve"> </w:t>
      </w:r>
      <w:r w:rsidRPr="000016EA">
        <w:t>minutes per company.</w:t>
      </w:r>
      <w:r w:rsidRPr="000016EA" w:rsidR="00F0534B">
        <w:t xml:space="preserve"> </w:t>
      </w:r>
      <w:r w:rsidRPr="000016EA">
        <w:t xml:space="preserve">The estimated total response burden for companies </w:t>
      </w:r>
      <w:r w:rsidRPr="000016EA" w:rsidR="00EE5E18">
        <w:t xml:space="preserve">that </w:t>
      </w:r>
      <w:r w:rsidRPr="000016EA">
        <w:t>go through</w:t>
      </w:r>
      <w:r w:rsidRPr="004068F3">
        <w:t xml:space="preserve"> the recruitment process but do not participate is </w:t>
      </w:r>
      <w:r w:rsidRPr="004068F3" w:rsidR="00642075">
        <w:t>38.32</w:t>
      </w:r>
      <w:r w:rsidRPr="004068F3" w:rsidR="0008445D">
        <w:t xml:space="preserve"> </w:t>
      </w:r>
      <w:r w:rsidRPr="004068F3">
        <w:t xml:space="preserve">hours, or about </w:t>
      </w:r>
      <w:bookmarkEnd w:id="12"/>
      <w:r w:rsidRPr="004068F3" w:rsidR="008E604B">
        <w:t>20</w:t>
      </w:r>
      <w:r w:rsidRPr="004068F3">
        <w:t xml:space="preserve"> minutes per company. Table </w:t>
      </w:r>
      <w:r w:rsidR="003C6228">
        <w:t>4</w:t>
      </w:r>
      <w:r w:rsidRPr="004068F3" w:rsidR="003C6228">
        <w:t xml:space="preserve"> </w:t>
      </w:r>
      <w:r w:rsidRPr="004068F3">
        <w:t>provides a detailed breakdown of the response burden for</w:t>
      </w:r>
      <w:r w:rsidRPr="00D45382">
        <w:t xml:space="preserve"> the recruitment and interview process</w:t>
      </w:r>
      <w:r w:rsidR="00EE5E18">
        <w:t>es</w:t>
      </w:r>
      <w:r w:rsidR="00615D2B">
        <w:t>.</w:t>
      </w:r>
    </w:p>
    <w:p w:rsidR="00593DD0" w:rsidP="003A70CA" w14:paraId="411CB236" w14:textId="6D548804">
      <w:pPr>
        <w:pStyle w:val="ListBullet"/>
      </w:pPr>
      <w:r w:rsidRPr="00D45382">
        <w:t xml:space="preserve">RTI’s previous experience </w:t>
      </w:r>
      <w:r w:rsidR="0008445D">
        <w:t xml:space="preserve">with Wave 1 and similar studies </w:t>
      </w:r>
      <w:r w:rsidRPr="00D45382">
        <w:t xml:space="preserve">suggests that participating in </w:t>
      </w:r>
      <w:r w:rsidR="000275C2">
        <w:t>a</w:t>
      </w:r>
      <w:r w:rsidRPr="00D45382">
        <w:t xml:space="preserve"> recruitment call (Appendi</w:t>
      </w:r>
      <w:r w:rsidRPr="00D45382" w:rsidR="00866542">
        <w:t>ces</w:t>
      </w:r>
      <w:r w:rsidRPr="00D45382">
        <w:t xml:space="preserve"> </w:t>
      </w:r>
      <w:r w:rsidR="00D672D5">
        <w:t>B</w:t>
      </w:r>
      <w:r w:rsidRPr="00D45382" w:rsidR="00866542">
        <w:t xml:space="preserve">-1 and/or </w:t>
      </w:r>
      <w:r w:rsidR="00D672D5">
        <w:t>B</w:t>
      </w:r>
      <w:r w:rsidRPr="00D45382" w:rsidR="00866542">
        <w:t>-2</w:t>
      </w:r>
      <w:r w:rsidRPr="00D45382">
        <w:t>) or reading the recruitment email (Appendi</w:t>
      </w:r>
      <w:r w:rsidRPr="00D45382" w:rsidR="00866542">
        <w:t>ces</w:t>
      </w:r>
      <w:r w:rsidRPr="00D45382">
        <w:t xml:space="preserve"> </w:t>
      </w:r>
      <w:r w:rsidR="00D672D5">
        <w:t>C</w:t>
      </w:r>
      <w:r w:rsidR="002D2154">
        <w:t>-1</w:t>
      </w:r>
      <w:r w:rsidR="00EE5E18">
        <w:t xml:space="preserve"> </w:t>
      </w:r>
      <w:r w:rsidRPr="00D45382" w:rsidR="00866542">
        <w:t xml:space="preserve">and/or </w:t>
      </w:r>
      <w:r w:rsidR="00D672D5">
        <w:t>C</w:t>
      </w:r>
      <w:r w:rsidRPr="00D45382" w:rsidR="00866542">
        <w:t>-2</w:t>
      </w:r>
      <w:r w:rsidRPr="00D45382">
        <w:t>)</w:t>
      </w:r>
      <w:r w:rsidRPr="00D45382" w:rsidR="00790807">
        <w:t xml:space="preserve"> will take an average of 5 minutes, and </w:t>
      </w:r>
      <w:r w:rsidR="00F97AA8">
        <w:t xml:space="preserve">it may be necessary </w:t>
      </w:r>
      <w:r w:rsidR="000275C2">
        <w:t>to talk to multiple</w:t>
      </w:r>
      <w:r w:rsidR="00162E42">
        <w:t xml:space="preserve"> people within the company (e.g., transferred to a different person during the call or asked to call/email a different person, which would count as an additional contact). We assumed that RTI will make a maximum of four attempts </w:t>
      </w:r>
      <w:r w:rsidRPr="00D45382" w:rsidR="00162E42">
        <w:t>to identify the correct person(s) to interview</w:t>
      </w:r>
      <w:r w:rsidR="00162E42">
        <w:t xml:space="preserve"> within a selected company</w:t>
      </w:r>
      <w:r w:rsidRPr="00D45382" w:rsidR="00162E42">
        <w:t xml:space="preserve">. </w:t>
      </w:r>
      <w:r w:rsidR="00162E42">
        <w:t>For estimating burden, we assumed that all companies will require four contacts to reflect the potential maximum burden</w:t>
      </w:r>
      <w:r w:rsidR="005D484F">
        <w:t xml:space="preserve"> (Appendices </w:t>
      </w:r>
      <w:r w:rsidR="00056579">
        <w:t>F</w:t>
      </w:r>
      <w:r w:rsidR="005D484F">
        <w:t xml:space="preserve">-1, </w:t>
      </w:r>
      <w:r w:rsidR="00056579">
        <w:t>F</w:t>
      </w:r>
      <w:r w:rsidR="005D484F">
        <w:t xml:space="preserve">-2, and </w:t>
      </w:r>
      <w:r w:rsidR="00056579">
        <w:t>F</w:t>
      </w:r>
      <w:r w:rsidR="005D484F">
        <w:t>-3 provide the follow-up recruitment scripts and email)</w:t>
      </w:r>
      <w:r w:rsidR="00162E42">
        <w:t xml:space="preserve">. </w:t>
      </w:r>
    </w:p>
    <w:p w:rsidR="00162E42" w:rsidP="003A70CA" w14:paraId="43C51A93" w14:textId="5BD26602">
      <w:pPr>
        <w:pStyle w:val="ListBullet"/>
      </w:pPr>
      <w:r w:rsidRPr="0009097A">
        <w:t xml:space="preserve">For companies </w:t>
      </w:r>
      <w:r>
        <w:t xml:space="preserve">that </w:t>
      </w:r>
      <w:r w:rsidRPr="0009097A">
        <w:t>agree to take part in the interview, we assume</w:t>
      </w:r>
      <w:r>
        <w:t>d</w:t>
      </w:r>
      <w:r w:rsidRPr="0009097A">
        <w:t xml:space="preserve"> that reading and completing the informed consent form (Appendix </w:t>
      </w:r>
      <w:r w:rsidR="00056579">
        <w:t>D</w:t>
      </w:r>
      <w:r w:rsidRPr="0009097A">
        <w:t xml:space="preserve">) and reviewing the </w:t>
      </w:r>
      <w:r w:rsidR="00056579">
        <w:t xml:space="preserve">informational list of interview questions </w:t>
      </w:r>
      <w:r w:rsidRPr="0009097A">
        <w:t xml:space="preserve">(Appendix </w:t>
      </w:r>
      <w:r w:rsidR="00056579">
        <w:t>E</w:t>
      </w:r>
      <w:r w:rsidRPr="0009097A">
        <w:t xml:space="preserve">) will take an average of </w:t>
      </w:r>
      <w:r w:rsidRPr="0009097A" w:rsidR="009A5F8E">
        <w:t>1</w:t>
      </w:r>
      <w:r w:rsidR="009A5F8E">
        <w:t>5</w:t>
      </w:r>
      <w:r w:rsidRPr="0009097A" w:rsidR="009A5F8E">
        <w:t xml:space="preserve"> </w:t>
      </w:r>
      <w:r w:rsidRPr="0009097A">
        <w:t xml:space="preserve">minutes. </w:t>
      </w:r>
    </w:p>
    <w:p w:rsidR="00162E42" w:rsidRPr="0009097A" w:rsidP="003A70CA" w14:paraId="7B995C61" w14:textId="102AAEFA">
      <w:pPr>
        <w:pStyle w:val="ListBullet"/>
      </w:pPr>
      <w:r>
        <w:t>We assumed that one company will go through the process of preparing for the interview, including submitting the consent form and gathering materials, but will drop out before reading the reminder email and participating in the interview itself</w:t>
      </w:r>
      <w:r w:rsidR="00E922E4">
        <w:t>.</w:t>
      </w:r>
    </w:p>
    <w:p w:rsidR="00162E42" w:rsidRPr="0084233D" w:rsidP="003A70CA" w14:paraId="445A4877" w14:textId="68AE6D94">
      <w:pPr>
        <w:pStyle w:val="ListBullet"/>
      </w:pPr>
      <w:r w:rsidRPr="0084233D">
        <w:t>For companies that agree to take part in the interview,</w:t>
      </w:r>
      <w:r w:rsidR="00DD3A96">
        <w:t xml:space="preserve"> </w:t>
      </w:r>
      <w:r w:rsidRPr="0084233D">
        <w:t>we assume</w:t>
      </w:r>
      <w:r>
        <w:t>d</w:t>
      </w:r>
      <w:r w:rsidRPr="0084233D">
        <w:t xml:space="preserve"> that reading the reminder email (Appendix </w:t>
      </w:r>
      <w:r w:rsidR="00056579">
        <w:t>G</w:t>
      </w:r>
      <w:r w:rsidRPr="0084233D">
        <w:t>) will take 1 minute.</w:t>
      </w:r>
    </w:p>
    <w:p w:rsidR="00162E42" w:rsidP="003A70CA" w14:paraId="29522588" w14:textId="47ADCFA7">
      <w:pPr>
        <w:pStyle w:val="ListBullet"/>
      </w:pPr>
      <w:r w:rsidRPr="0009097A">
        <w:t xml:space="preserve">The interviews will take an average of </w:t>
      </w:r>
      <w:r w:rsidR="0008445D">
        <w:t>30</w:t>
      </w:r>
      <w:r w:rsidRPr="0009097A" w:rsidR="0008445D">
        <w:t xml:space="preserve"> </w:t>
      </w:r>
      <w:r w:rsidRPr="0009097A">
        <w:t xml:space="preserve">minutes following the semi-structured interview guide (Appendix </w:t>
      </w:r>
      <w:r w:rsidR="00056579">
        <w:t>H</w:t>
      </w:r>
      <w:r w:rsidRPr="0009097A">
        <w:t xml:space="preserve">). </w:t>
      </w:r>
    </w:p>
    <w:p w:rsidR="00162E42" w:rsidP="00593DD0" w14:paraId="002FA100" w14:textId="77777777">
      <w:pPr>
        <w:pStyle w:val="TableCaption"/>
      </w:pPr>
    </w:p>
    <w:p w:rsidR="00162E42" w:rsidP="00593DD0" w14:paraId="5331172C" w14:textId="73FE5C80">
      <w:pPr>
        <w:pStyle w:val="TableCaption"/>
        <w:sectPr w:rsidSect="00C9115B">
          <w:headerReference w:type="default" r:id="rId10"/>
          <w:headerReference w:type="first" r:id="rId11"/>
          <w:pgSz w:w="12240" w:h="15840"/>
          <w:pgMar w:top="1440" w:right="1440" w:bottom="1440" w:left="1440" w:header="720" w:footer="720" w:gutter="0"/>
          <w:cols w:space="720"/>
          <w:titlePg/>
          <w:docGrid w:linePitch="360"/>
        </w:sectPr>
      </w:pPr>
    </w:p>
    <w:p w:rsidR="00593DD0" w:rsidRPr="00A17837" w:rsidP="00593DD0" w14:paraId="1D52E40E" w14:textId="72040BDD">
      <w:pPr>
        <w:pStyle w:val="TableCaption"/>
        <w:spacing w:before="120"/>
      </w:pPr>
      <w:r w:rsidRPr="00A17837">
        <w:t xml:space="preserve">Table </w:t>
      </w:r>
      <w:r w:rsidR="00D672D5">
        <w:t>4</w:t>
      </w:r>
      <w:r w:rsidRPr="00A17837">
        <w:t xml:space="preserve">. </w:t>
      </w:r>
      <w:r>
        <w:t>Reporting Burden</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0"/>
        <w:gridCol w:w="1080"/>
        <w:gridCol w:w="900"/>
        <w:gridCol w:w="630"/>
        <w:gridCol w:w="990"/>
        <w:gridCol w:w="990"/>
        <w:gridCol w:w="990"/>
        <w:gridCol w:w="990"/>
        <w:gridCol w:w="990"/>
        <w:gridCol w:w="990"/>
        <w:gridCol w:w="990"/>
        <w:gridCol w:w="990"/>
        <w:gridCol w:w="900"/>
      </w:tblGrid>
      <w:tr w14:paraId="0C0A9131" w14:textId="77777777" w:rsidTr="0015504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31"/>
        </w:trPr>
        <w:tc>
          <w:tcPr>
            <w:tcW w:w="1530" w:type="dxa"/>
            <w:vMerge w:val="restart"/>
            <w:tcBorders>
              <w:top w:val="single" w:sz="12" w:space="0" w:color="auto"/>
              <w:bottom w:val="single" w:sz="4" w:space="0" w:color="auto"/>
            </w:tcBorders>
            <w:vAlign w:val="bottom"/>
          </w:tcPr>
          <w:p w:rsidR="00593DD0" w:rsidRPr="00A17837" w:rsidP="00155049" w14:paraId="1003A43D" w14:textId="77777777">
            <w:pPr>
              <w:pStyle w:val="TableHeader"/>
            </w:pPr>
            <w:r w:rsidRPr="00722CA1">
              <w:t>Instrument</w:t>
            </w:r>
          </w:p>
        </w:tc>
        <w:tc>
          <w:tcPr>
            <w:tcW w:w="1080" w:type="dxa"/>
            <w:vMerge w:val="restart"/>
            <w:tcBorders>
              <w:top w:val="single" w:sz="12" w:space="0" w:color="auto"/>
            </w:tcBorders>
            <w:vAlign w:val="bottom"/>
          </w:tcPr>
          <w:p w:rsidR="00593DD0" w:rsidRPr="00A17837" w:rsidP="00155049" w14:paraId="76C05FA5" w14:textId="77777777">
            <w:pPr>
              <w:pStyle w:val="TableHeader"/>
            </w:pPr>
            <w:r>
              <w:t>Appendix</w:t>
            </w:r>
          </w:p>
        </w:tc>
        <w:tc>
          <w:tcPr>
            <w:tcW w:w="900" w:type="dxa"/>
            <w:vMerge w:val="restart"/>
            <w:tcBorders>
              <w:top w:val="single" w:sz="12" w:space="0" w:color="auto"/>
              <w:bottom w:val="single" w:sz="4" w:space="0" w:color="auto"/>
            </w:tcBorders>
            <w:vAlign w:val="bottom"/>
          </w:tcPr>
          <w:p w:rsidR="00593DD0" w:rsidRPr="00A17837" w:rsidP="00155049" w14:paraId="4D223294" w14:textId="77777777">
            <w:pPr>
              <w:pStyle w:val="TableHeader"/>
            </w:pPr>
            <w:r w:rsidRPr="00A17837">
              <w:t>Sample Size</w:t>
            </w:r>
          </w:p>
        </w:tc>
        <w:tc>
          <w:tcPr>
            <w:tcW w:w="630" w:type="dxa"/>
            <w:vMerge w:val="restart"/>
            <w:tcBorders>
              <w:top w:val="single" w:sz="12" w:space="0" w:color="auto"/>
              <w:bottom w:val="single" w:sz="4" w:space="0" w:color="auto"/>
            </w:tcBorders>
            <w:vAlign w:val="bottom"/>
          </w:tcPr>
          <w:p w:rsidR="00593DD0" w:rsidRPr="00A17837" w:rsidP="00155049" w14:paraId="33FB3880" w14:textId="77777777">
            <w:pPr>
              <w:pStyle w:val="TableHeader"/>
            </w:pPr>
            <w:r w:rsidRPr="00A17837">
              <w:t>Freq</w:t>
            </w:r>
          </w:p>
        </w:tc>
        <w:tc>
          <w:tcPr>
            <w:tcW w:w="3960" w:type="dxa"/>
            <w:gridSpan w:val="4"/>
            <w:tcBorders>
              <w:top w:val="single" w:sz="12" w:space="0" w:color="auto"/>
              <w:bottom w:val="single" w:sz="4" w:space="0" w:color="auto"/>
              <w:right w:val="single" w:sz="4" w:space="0" w:color="auto"/>
            </w:tcBorders>
            <w:vAlign w:val="bottom"/>
          </w:tcPr>
          <w:p w:rsidR="00593DD0" w:rsidRPr="00A17837" w:rsidP="00155049" w14:paraId="47B34D15" w14:textId="77777777">
            <w:pPr>
              <w:pStyle w:val="TableHeader"/>
            </w:pPr>
            <w:r w:rsidRPr="00A17837">
              <w:t>Respon</w:t>
            </w:r>
            <w:r>
              <w:t>dents</w:t>
            </w:r>
          </w:p>
        </w:tc>
        <w:tc>
          <w:tcPr>
            <w:tcW w:w="3960" w:type="dxa"/>
            <w:gridSpan w:val="4"/>
            <w:tcBorders>
              <w:top w:val="single" w:sz="12" w:space="0" w:color="auto"/>
              <w:left w:val="single" w:sz="4" w:space="0" w:color="auto"/>
              <w:bottom w:val="single" w:sz="4" w:space="0" w:color="auto"/>
            </w:tcBorders>
            <w:vAlign w:val="bottom"/>
          </w:tcPr>
          <w:p w:rsidR="00593DD0" w:rsidRPr="00A17837" w:rsidP="00155049" w14:paraId="44A0FC84" w14:textId="77777777">
            <w:pPr>
              <w:pStyle w:val="TableHeader"/>
            </w:pPr>
            <w:r w:rsidRPr="00A17837">
              <w:t>Nonrespon</w:t>
            </w:r>
            <w:r>
              <w:t>dents</w:t>
            </w:r>
          </w:p>
        </w:tc>
        <w:tc>
          <w:tcPr>
            <w:tcW w:w="900" w:type="dxa"/>
            <w:vMerge w:val="restart"/>
            <w:tcBorders>
              <w:top w:val="single" w:sz="12" w:space="0" w:color="auto"/>
              <w:left w:val="nil"/>
              <w:bottom w:val="single" w:sz="4" w:space="0" w:color="auto"/>
            </w:tcBorders>
            <w:vAlign w:val="bottom"/>
          </w:tcPr>
          <w:p w:rsidR="00593DD0" w:rsidRPr="00A17837" w:rsidP="00155049" w14:paraId="6F041E48" w14:textId="77777777">
            <w:pPr>
              <w:pStyle w:val="TableHeader"/>
            </w:pPr>
            <w:r w:rsidRPr="00A17837">
              <w:t>Total Burden</w:t>
            </w:r>
            <w:r>
              <w:t xml:space="preserve"> Hours</w:t>
            </w:r>
          </w:p>
        </w:tc>
      </w:tr>
      <w:tr w14:paraId="4273EFC3" w14:textId="77777777" w:rsidTr="00155049">
        <w:tblPrEx>
          <w:tblW w:w="5000" w:type="pct"/>
          <w:tblLayout w:type="fixed"/>
          <w:tblLook w:val="04A0"/>
        </w:tblPrEx>
        <w:trPr>
          <w:trHeight w:val="629"/>
        </w:trPr>
        <w:tc>
          <w:tcPr>
            <w:tcW w:w="1530" w:type="dxa"/>
            <w:vMerge/>
            <w:tcBorders>
              <w:bottom w:val="single" w:sz="4" w:space="0" w:color="auto"/>
            </w:tcBorders>
            <w:vAlign w:val="bottom"/>
          </w:tcPr>
          <w:p w:rsidR="00593DD0" w:rsidRPr="00A17837" w:rsidP="00155049" w14:paraId="0C70C0F9" w14:textId="77777777">
            <w:pPr>
              <w:pStyle w:val="TableHeader"/>
            </w:pPr>
          </w:p>
        </w:tc>
        <w:tc>
          <w:tcPr>
            <w:tcW w:w="1080" w:type="dxa"/>
            <w:vMerge/>
            <w:tcBorders>
              <w:bottom w:val="single" w:sz="4" w:space="0" w:color="auto"/>
            </w:tcBorders>
            <w:vAlign w:val="bottom"/>
          </w:tcPr>
          <w:p w:rsidR="00593DD0" w:rsidRPr="00A17837" w:rsidP="00155049" w14:paraId="5CA7BE76" w14:textId="77777777">
            <w:pPr>
              <w:pStyle w:val="TableHeader"/>
            </w:pPr>
          </w:p>
        </w:tc>
        <w:tc>
          <w:tcPr>
            <w:tcW w:w="900" w:type="dxa"/>
            <w:vMerge/>
            <w:tcBorders>
              <w:bottom w:val="single" w:sz="4" w:space="0" w:color="auto"/>
            </w:tcBorders>
            <w:vAlign w:val="bottom"/>
          </w:tcPr>
          <w:p w:rsidR="00593DD0" w:rsidRPr="00A17837" w:rsidP="00155049" w14:paraId="2A42A2F0" w14:textId="77777777">
            <w:pPr>
              <w:pStyle w:val="TableHeader"/>
            </w:pPr>
          </w:p>
        </w:tc>
        <w:tc>
          <w:tcPr>
            <w:tcW w:w="630" w:type="dxa"/>
            <w:vMerge/>
            <w:tcBorders>
              <w:bottom w:val="single" w:sz="4" w:space="0" w:color="auto"/>
            </w:tcBorders>
            <w:vAlign w:val="bottom"/>
          </w:tcPr>
          <w:p w:rsidR="00593DD0" w:rsidRPr="00A17837" w:rsidP="00155049" w14:paraId="5971A482" w14:textId="77777777">
            <w:pPr>
              <w:pStyle w:val="TableHeader"/>
            </w:pPr>
          </w:p>
        </w:tc>
        <w:tc>
          <w:tcPr>
            <w:tcW w:w="990" w:type="dxa"/>
            <w:tcBorders>
              <w:top w:val="single" w:sz="4" w:space="0" w:color="auto"/>
              <w:left w:val="nil"/>
              <w:bottom w:val="single" w:sz="4" w:space="0" w:color="auto"/>
            </w:tcBorders>
            <w:vAlign w:val="bottom"/>
          </w:tcPr>
          <w:p w:rsidR="00593DD0" w:rsidRPr="00A17837" w:rsidP="00155049" w14:paraId="77C0E877" w14:textId="77777777">
            <w:pPr>
              <w:pStyle w:val="TableHeader"/>
            </w:pPr>
            <w:r w:rsidRPr="00A17837">
              <w:t>Count</w:t>
            </w:r>
          </w:p>
        </w:tc>
        <w:tc>
          <w:tcPr>
            <w:tcW w:w="990" w:type="dxa"/>
            <w:tcBorders>
              <w:top w:val="single" w:sz="4" w:space="0" w:color="auto"/>
              <w:bottom w:val="single" w:sz="4" w:space="0" w:color="auto"/>
            </w:tcBorders>
            <w:vAlign w:val="bottom"/>
          </w:tcPr>
          <w:p w:rsidR="00593DD0" w:rsidRPr="00A17837" w:rsidP="00155049" w14:paraId="3EA303E2" w14:textId="1F3820E2">
            <w:pPr>
              <w:pStyle w:val="TableHeader"/>
            </w:pPr>
            <w:r w:rsidRPr="00A17837">
              <w:t xml:space="preserve">Freq </w:t>
            </w:r>
            <w:r w:rsidR="006B2A21">
              <w:t>x</w:t>
            </w:r>
            <w:r w:rsidRPr="00A17837">
              <w:t xml:space="preserve"> Count</w:t>
            </w:r>
          </w:p>
        </w:tc>
        <w:tc>
          <w:tcPr>
            <w:tcW w:w="990" w:type="dxa"/>
            <w:tcBorders>
              <w:top w:val="single" w:sz="4" w:space="0" w:color="auto"/>
              <w:bottom w:val="single" w:sz="4" w:space="0" w:color="auto"/>
            </w:tcBorders>
            <w:vAlign w:val="bottom"/>
          </w:tcPr>
          <w:p w:rsidR="00593DD0" w:rsidRPr="00A17837" w:rsidP="00155049" w14:paraId="0ED8C940" w14:textId="77777777">
            <w:pPr>
              <w:pStyle w:val="TableHeader"/>
            </w:pPr>
            <w:r>
              <w:t>Minutes/</w:t>
            </w:r>
            <w:r w:rsidRPr="00A17837">
              <w:t>Resp</w:t>
            </w:r>
          </w:p>
        </w:tc>
        <w:tc>
          <w:tcPr>
            <w:tcW w:w="990" w:type="dxa"/>
            <w:tcBorders>
              <w:top w:val="single" w:sz="4" w:space="0" w:color="auto"/>
              <w:bottom w:val="single" w:sz="4" w:space="0" w:color="auto"/>
              <w:right w:val="single" w:sz="4" w:space="0" w:color="auto"/>
            </w:tcBorders>
            <w:vAlign w:val="bottom"/>
          </w:tcPr>
          <w:p w:rsidR="00593DD0" w:rsidRPr="00A17837" w:rsidP="00155049" w14:paraId="2DAD4F0E" w14:textId="77777777">
            <w:pPr>
              <w:pStyle w:val="TableHeader"/>
            </w:pPr>
            <w:r w:rsidRPr="00A17837">
              <w:t>Burden Hours</w:t>
            </w:r>
          </w:p>
        </w:tc>
        <w:tc>
          <w:tcPr>
            <w:tcW w:w="990" w:type="dxa"/>
            <w:tcBorders>
              <w:top w:val="single" w:sz="4" w:space="0" w:color="auto"/>
              <w:left w:val="single" w:sz="4" w:space="0" w:color="auto"/>
              <w:bottom w:val="single" w:sz="4" w:space="0" w:color="auto"/>
            </w:tcBorders>
            <w:vAlign w:val="bottom"/>
          </w:tcPr>
          <w:p w:rsidR="00593DD0" w:rsidRPr="00A17837" w:rsidP="00155049" w14:paraId="6CBE8567" w14:textId="77777777">
            <w:pPr>
              <w:pStyle w:val="TableHeader"/>
            </w:pPr>
            <w:r w:rsidRPr="00A17837">
              <w:t>Count</w:t>
            </w:r>
          </w:p>
        </w:tc>
        <w:tc>
          <w:tcPr>
            <w:tcW w:w="990" w:type="dxa"/>
            <w:tcBorders>
              <w:top w:val="single" w:sz="4" w:space="0" w:color="auto"/>
              <w:bottom w:val="single" w:sz="4" w:space="0" w:color="auto"/>
            </w:tcBorders>
            <w:vAlign w:val="bottom"/>
          </w:tcPr>
          <w:p w:rsidR="00593DD0" w:rsidRPr="00A17837" w:rsidP="00155049" w14:paraId="6410BEE5" w14:textId="47523459">
            <w:pPr>
              <w:pStyle w:val="TableHeader"/>
            </w:pPr>
            <w:r w:rsidRPr="00A17837">
              <w:t xml:space="preserve">Freq </w:t>
            </w:r>
            <w:r w:rsidR="006B2A21">
              <w:t>x</w:t>
            </w:r>
            <w:r w:rsidRPr="00A17837">
              <w:t xml:space="preserve"> Count</w:t>
            </w:r>
          </w:p>
        </w:tc>
        <w:tc>
          <w:tcPr>
            <w:tcW w:w="990" w:type="dxa"/>
            <w:tcBorders>
              <w:top w:val="single" w:sz="4" w:space="0" w:color="auto"/>
              <w:bottom w:val="single" w:sz="4" w:space="0" w:color="auto"/>
            </w:tcBorders>
            <w:vAlign w:val="bottom"/>
          </w:tcPr>
          <w:p w:rsidR="00593DD0" w:rsidRPr="00A17837" w:rsidP="00155049" w14:paraId="71784868" w14:textId="77777777">
            <w:pPr>
              <w:pStyle w:val="TableHeader"/>
            </w:pPr>
            <w:r>
              <w:t>Minutes/</w:t>
            </w:r>
            <w:r w:rsidRPr="00A17837">
              <w:t>Resp</w:t>
            </w:r>
          </w:p>
        </w:tc>
        <w:tc>
          <w:tcPr>
            <w:tcW w:w="990" w:type="dxa"/>
            <w:tcBorders>
              <w:top w:val="single" w:sz="4" w:space="0" w:color="auto"/>
              <w:bottom w:val="single" w:sz="4" w:space="0" w:color="auto"/>
            </w:tcBorders>
            <w:vAlign w:val="bottom"/>
          </w:tcPr>
          <w:p w:rsidR="00593DD0" w:rsidRPr="00A17837" w:rsidP="00155049" w14:paraId="2E7EA93B" w14:textId="77777777">
            <w:pPr>
              <w:pStyle w:val="TableHeader"/>
            </w:pPr>
            <w:r w:rsidRPr="00A17837">
              <w:t>Burden Hours</w:t>
            </w:r>
          </w:p>
        </w:tc>
        <w:tc>
          <w:tcPr>
            <w:tcW w:w="900" w:type="dxa"/>
            <w:vMerge/>
            <w:tcBorders>
              <w:bottom w:val="single" w:sz="4" w:space="0" w:color="auto"/>
            </w:tcBorders>
            <w:vAlign w:val="bottom"/>
          </w:tcPr>
          <w:p w:rsidR="00593DD0" w:rsidRPr="00A17837" w:rsidP="00155049" w14:paraId="4C2F0231" w14:textId="77777777">
            <w:pPr>
              <w:pStyle w:val="Tabletext"/>
              <w:jc w:val="center"/>
            </w:pPr>
          </w:p>
        </w:tc>
      </w:tr>
      <w:tr w14:paraId="1D549D20" w14:textId="77777777" w:rsidTr="00155049">
        <w:tblPrEx>
          <w:tblW w:w="5000" w:type="pct"/>
          <w:tblLayout w:type="fixed"/>
          <w:tblLook w:val="04A0"/>
        </w:tblPrEx>
        <w:tc>
          <w:tcPr>
            <w:tcW w:w="1530" w:type="dxa"/>
            <w:tcBorders>
              <w:top w:val="single" w:sz="4" w:space="0" w:color="auto"/>
            </w:tcBorders>
          </w:tcPr>
          <w:p w:rsidR="00593DD0" w:rsidRPr="00E835B2" w:rsidP="00155049" w14:paraId="74C1DD22" w14:textId="157406DE">
            <w:pPr>
              <w:pStyle w:val="Tabletext"/>
              <w:spacing w:before="40" w:after="40"/>
              <w:rPr>
                <w:sz w:val="20"/>
                <w:szCs w:val="20"/>
              </w:rPr>
            </w:pPr>
            <w:r w:rsidRPr="00E835B2">
              <w:rPr>
                <w:sz w:val="20"/>
                <w:szCs w:val="20"/>
              </w:rPr>
              <w:t>Recruitment call and/or email</w:t>
            </w:r>
            <w:r>
              <w:rPr>
                <w:sz w:val="20"/>
                <w:szCs w:val="20"/>
              </w:rPr>
              <w:t xml:space="preserve"> </w:t>
            </w:r>
            <w:r w:rsidRPr="00E835B2">
              <w:rPr>
                <w:sz w:val="20"/>
                <w:szCs w:val="20"/>
              </w:rPr>
              <w:t>contact #1</w:t>
            </w:r>
            <w:r w:rsidRPr="00E835B2">
              <w:rPr>
                <w:sz w:val="20"/>
                <w:szCs w:val="20"/>
                <w:vertAlign w:val="superscript"/>
              </w:rPr>
              <w:t>a</w:t>
            </w:r>
          </w:p>
        </w:tc>
        <w:tc>
          <w:tcPr>
            <w:tcW w:w="1080" w:type="dxa"/>
            <w:tcBorders>
              <w:top w:val="single" w:sz="4" w:space="0" w:color="auto"/>
            </w:tcBorders>
          </w:tcPr>
          <w:p w:rsidR="00593DD0" w:rsidRPr="00E835B2" w:rsidP="00155049" w14:paraId="4C4D64A0" w14:textId="16ABBA32">
            <w:pPr>
              <w:pStyle w:val="Tabletext"/>
              <w:spacing w:before="40" w:after="40"/>
              <w:rPr>
                <w:sz w:val="20"/>
                <w:szCs w:val="20"/>
              </w:rPr>
            </w:pPr>
            <w:r>
              <w:rPr>
                <w:sz w:val="20"/>
                <w:szCs w:val="20"/>
              </w:rPr>
              <w:t>B</w:t>
            </w:r>
            <w:r>
              <w:rPr>
                <w:sz w:val="20"/>
                <w:szCs w:val="20"/>
              </w:rPr>
              <w:t>-</w:t>
            </w:r>
            <w:r w:rsidRPr="00E835B2">
              <w:rPr>
                <w:sz w:val="20"/>
                <w:szCs w:val="20"/>
              </w:rPr>
              <w:t xml:space="preserve">1, </w:t>
            </w:r>
            <w:r>
              <w:rPr>
                <w:sz w:val="20"/>
                <w:szCs w:val="20"/>
              </w:rPr>
              <w:t>B</w:t>
            </w:r>
            <w:r>
              <w:rPr>
                <w:sz w:val="20"/>
                <w:szCs w:val="20"/>
              </w:rPr>
              <w:t>-</w:t>
            </w:r>
            <w:r w:rsidRPr="00E835B2">
              <w:rPr>
                <w:sz w:val="20"/>
                <w:szCs w:val="20"/>
              </w:rPr>
              <w:t xml:space="preserve">2, </w:t>
            </w:r>
            <w:r>
              <w:rPr>
                <w:sz w:val="20"/>
                <w:szCs w:val="20"/>
              </w:rPr>
              <w:t>C</w:t>
            </w:r>
            <w:r>
              <w:rPr>
                <w:sz w:val="20"/>
                <w:szCs w:val="20"/>
              </w:rPr>
              <w:t>-</w:t>
            </w:r>
            <w:r w:rsidRPr="00E835B2">
              <w:rPr>
                <w:sz w:val="20"/>
                <w:szCs w:val="20"/>
              </w:rPr>
              <w:t>1,</w:t>
            </w:r>
            <w:r>
              <w:rPr>
                <w:sz w:val="20"/>
                <w:szCs w:val="20"/>
              </w:rPr>
              <w:t xml:space="preserve"> </w:t>
            </w:r>
            <w:r w:rsidR="00AC3601">
              <w:rPr>
                <w:sz w:val="20"/>
                <w:szCs w:val="20"/>
              </w:rPr>
              <w:t>and/</w:t>
            </w:r>
            <w:r w:rsidRPr="00E835B2">
              <w:rPr>
                <w:sz w:val="20"/>
                <w:szCs w:val="20"/>
              </w:rPr>
              <w:t xml:space="preserve">or </w:t>
            </w:r>
            <w:r>
              <w:rPr>
                <w:sz w:val="20"/>
                <w:szCs w:val="20"/>
              </w:rPr>
              <w:t>C</w:t>
            </w:r>
            <w:r>
              <w:rPr>
                <w:sz w:val="20"/>
                <w:szCs w:val="20"/>
              </w:rPr>
              <w:noBreakHyphen/>
            </w:r>
            <w:r w:rsidRPr="00E835B2">
              <w:rPr>
                <w:sz w:val="20"/>
                <w:szCs w:val="20"/>
              </w:rPr>
              <w:t>2</w:t>
            </w:r>
          </w:p>
        </w:tc>
        <w:tc>
          <w:tcPr>
            <w:tcW w:w="900" w:type="dxa"/>
            <w:tcBorders>
              <w:top w:val="single" w:sz="4" w:space="0" w:color="auto"/>
            </w:tcBorders>
          </w:tcPr>
          <w:p w:rsidR="00593DD0" w:rsidRPr="00E835B2" w:rsidP="00155049" w14:paraId="501A30F4" w14:textId="5512D3E6">
            <w:pPr>
              <w:pStyle w:val="Tabletext"/>
              <w:tabs>
                <w:tab w:val="decimal" w:pos="427"/>
              </w:tabs>
              <w:spacing w:before="40" w:after="40"/>
              <w:rPr>
                <w:sz w:val="20"/>
                <w:szCs w:val="20"/>
              </w:rPr>
            </w:pPr>
            <w:r>
              <w:rPr>
                <w:sz w:val="20"/>
                <w:szCs w:val="20"/>
              </w:rPr>
              <w:t>125</w:t>
            </w:r>
          </w:p>
        </w:tc>
        <w:tc>
          <w:tcPr>
            <w:tcW w:w="630" w:type="dxa"/>
            <w:tcBorders>
              <w:top w:val="single" w:sz="4" w:space="0" w:color="auto"/>
            </w:tcBorders>
          </w:tcPr>
          <w:p w:rsidR="00593DD0" w:rsidRPr="00E835B2" w:rsidP="00155049" w14:paraId="17D4F0E3" w14:textId="77777777">
            <w:pPr>
              <w:pStyle w:val="Tabletext"/>
              <w:tabs>
                <w:tab w:val="decimal" w:pos="232"/>
              </w:tabs>
              <w:spacing w:before="40" w:after="40"/>
              <w:rPr>
                <w:sz w:val="20"/>
                <w:szCs w:val="20"/>
              </w:rPr>
            </w:pPr>
            <w:r w:rsidRPr="00E835B2">
              <w:rPr>
                <w:sz w:val="20"/>
                <w:szCs w:val="20"/>
              </w:rPr>
              <w:t>1</w:t>
            </w:r>
          </w:p>
        </w:tc>
        <w:tc>
          <w:tcPr>
            <w:tcW w:w="990" w:type="dxa"/>
            <w:tcBorders>
              <w:top w:val="single" w:sz="4" w:space="0" w:color="auto"/>
              <w:left w:val="nil"/>
            </w:tcBorders>
          </w:tcPr>
          <w:p w:rsidR="00593DD0" w:rsidRPr="00E835B2" w:rsidP="00155049" w14:paraId="5F29EBAF" w14:textId="77777777">
            <w:pPr>
              <w:pStyle w:val="Tabletext"/>
              <w:tabs>
                <w:tab w:val="decimal" w:pos="431"/>
              </w:tabs>
              <w:spacing w:before="40" w:after="40"/>
              <w:rPr>
                <w:sz w:val="20"/>
                <w:szCs w:val="20"/>
              </w:rPr>
            </w:pPr>
            <w:r w:rsidRPr="00E835B2">
              <w:rPr>
                <w:sz w:val="20"/>
                <w:szCs w:val="20"/>
              </w:rPr>
              <w:t>10</w:t>
            </w:r>
          </w:p>
        </w:tc>
        <w:tc>
          <w:tcPr>
            <w:tcW w:w="990" w:type="dxa"/>
            <w:tcBorders>
              <w:top w:val="single" w:sz="4" w:space="0" w:color="auto"/>
            </w:tcBorders>
          </w:tcPr>
          <w:p w:rsidR="00593DD0" w:rsidRPr="00E835B2" w:rsidP="00155049" w14:paraId="664393C1" w14:textId="77777777">
            <w:pPr>
              <w:pStyle w:val="Tabletext"/>
              <w:spacing w:before="40" w:after="40"/>
              <w:jc w:val="center"/>
              <w:rPr>
                <w:sz w:val="20"/>
                <w:szCs w:val="20"/>
              </w:rPr>
            </w:pPr>
            <w:r w:rsidRPr="00E835B2">
              <w:rPr>
                <w:sz w:val="20"/>
                <w:szCs w:val="20"/>
              </w:rPr>
              <w:t>10</w:t>
            </w:r>
          </w:p>
        </w:tc>
        <w:tc>
          <w:tcPr>
            <w:tcW w:w="990" w:type="dxa"/>
            <w:tcBorders>
              <w:top w:val="single" w:sz="4" w:space="0" w:color="auto"/>
            </w:tcBorders>
          </w:tcPr>
          <w:p w:rsidR="00593DD0" w:rsidRPr="00E835B2" w:rsidP="00155049" w14:paraId="498844A1" w14:textId="77777777">
            <w:pPr>
              <w:pStyle w:val="Tabletext"/>
              <w:tabs>
                <w:tab w:val="decimal" w:pos="400"/>
              </w:tabs>
              <w:spacing w:before="40" w:after="40"/>
              <w:rPr>
                <w:sz w:val="20"/>
                <w:szCs w:val="20"/>
              </w:rPr>
            </w:pPr>
            <w:r w:rsidRPr="00E835B2">
              <w:rPr>
                <w:sz w:val="20"/>
                <w:szCs w:val="20"/>
              </w:rPr>
              <w:t>5</w:t>
            </w:r>
          </w:p>
        </w:tc>
        <w:tc>
          <w:tcPr>
            <w:tcW w:w="990" w:type="dxa"/>
            <w:tcBorders>
              <w:top w:val="single" w:sz="4" w:space="0" w:color="auto"/>
              <w:right w:val="single" w:sz="4" w:space="0" w:color="auto"/>
            </w:tcBorders>
          </w:tcPr>
          <w:p w:rsidR="00593DD0" w:rsidRPr="00E835B2" w:rsidP="00155049" w14:paraId="0BBDB573" w14:textId="77777777">
            <w:pPr>
              <w:pStyle w:val="Tabletext"/>
              <w:tabs>
                <w:tab w:val="decimal" w:pos="414"/>
              </w:tabs>
              <w:spacing w:before="40" w:after="40"/>
              <w:rPr>
                <w:sz w:val="20"/>
                <w:szCs w:val="20"/>
              </w:rPr>
            </w:pPr>
            <w:r>
              <w:rPr>
                <w:sz w:val="20"/>
                <w:szCs w:val="20"/>
              </w:rPr>
              <w:t>0</w:t>
            </w:r>
            <w:r w:rsidRPr="00E835B2">
              <w:rPr>
                <w:sz w:val="20"/>
                <w:szCs w:val="20"/>
              </w:rPr>
              <w:t>.83</w:t>
            </w:r>
          </w:p>
        </w:tc>
        <w:tc>
          <w:tcPr>
            <w:tcW w:w="990" w:type="dxa"/>
            <w:tcBorders>
              <w:top w:val="single" w:sz="4" w:space="0" w:color="auto"/>
              <w:left w:val="single" w:sz="4" w:space="0" w:color="auto"/>
            </w:tcBorders>
          </w:tcPr>
          <w:p w:rsidR="00593DD0" w:rsidRPr="00E835B2" w:rsidP="00155049" w14:paraId="07E6B1E8" w14:textId="4E580030">
            <w:pPr>
              <w:pStyle w:val="Tabletext"/>
              <w:tabs>
                <w:tab w:val="decimal" w:pos="442"/>
              </w:tabs>
              <w:spacing w:before="40" w:after="40"/>
              <w:rPr>
                <w:sz w:val="20"/>
                <w:szCs w:val="20"/>
              </w:rPr>
            </w:pPr>
            <w:r>
              <w:rPr>
                <w:sz w:val="20"/>
                <w:szCs w:val="20"/>
              </w:rPr>
              <w:t>115</w:t>
            </w:r>
          </w:p>
        </w:tc>
        <w:tc>
          <w:tcPr>
            <w:tcW w:w="990" w:type="dxa"/>
            <w:tcBorders>
              <w:top w:val="single" w:sz="4" w:space="0" w:color="auto"/>
            </w:tcBorders>
          </w:tcPr>
          <w:p w:rsidR="00593DD0" w:rsidRPr="00E835B2" w:rsidP="00155049" w14:paraId="3843BC71" w14:textId="210BFEEA">
            <w:pPr>
              <w:pStyle w:val="Tabletext"/>
              <w:tabs>
                <w:tab w:val="decimal" w:pos="471"/>
              </w:tabs>
              <w:spacing w:before="40" w:after="40"/>
              <w:rPr>
                <w:sz w:val="20"/>
                <w:szCs w:val="20"/>
              </w:rPr>
            </w:pPr>
            <w:r>
              <w:rPr>
                <w:sz w:val="20"/>
                <w:szCs w:val="20"/>
              </w:rPr>
              <w:t>115</w:t>
            </w:r>
          </w:p>
        </w:tc>
        <w:tc>
          <w:tcPr>
            <w:tcW w:w="990" w:type="dxa"/>
            <w:tcBorders>
              <w:top w:val="single" w:sz="4" w:space="0" w:color="auto"/>
            </w:tcBorders>
          </w:tcPr>
          <w:p w:rsidR="00593DD0" w:rsidRPr="00E835B2" w:rsidP="00155049" w14:paraId="19A10682" w14:textId="77777777">
            <w:pPr>
              <w:pStyle w:val="Tabletext"/>
              <w:tabs>
                <w:tab w:val="decimal" w:pos="336"/>
              </w:tabs>
              <w:spacing w:before="40" w:after="40"/>
              <w:rPr>
                <w:sz w:val="20"/>
                <w:szCs w:val="20"/>
              </w:rPr>
            </w:pPr>
            <w:r w:rsidRPr="00E835B2">
              <w:rPr>
                <w:sz w:val="20"/>
                <w:szCs w:val="20"/>
              </w:rPr>
              <w:t>5</w:t>
            </w:r>
            <w:r w:rsidRPr="00E835B2">
              <w:rPr>
                <w:sz w:val="20"/>
                <w:szCs w:val="20"/>
              </w:rPr>
              <w:t xml:space="preserve"> </w:t>
            </w:r>
          </w:p>
        </w:tc>
        <w:tc>
          <w:tcPr>
            <w:tcW w:w="990" w:type="dxa"/>
            <w:tcBorders>
              <w:top w:val="single" w:sz="4" w:space="0" w:color="auto"/>
            </w:tcBorders>
          </w:tcPr>
          <w:p w:rsidR="00593DD0" w:rsidRPr="00E835B2" w:rsidP="00155049" w14:paraId="51835954" w14:textId="643F29CD">
            <w:pPr>
              <w:pStyle w:val="Tabletext"/>
              <w:tabs>
                <w:tab w:val="decimal" w:pos="285"/>
              </w:tabs>
              <w:spacing w:before="40" w:after="40"/>
              <w:rPr>
                <w:sz w:val="20"/>
                <w:szCs w:val="20"/>
              </w:rPr>
            </w:pPr>
            <w:r>
              <w:rPr>
                <w:sz w:val="20"/>
                <w:szCs w:val="20"/>
              </w:rPr>
              <w:t>9.58</w:t>
            </w:r>
          </w:p>
        </w:tc>
        <w:tc>
          <w:tcPr>
            <w:tcW w:w="900" w:type="dxa"/>
            <w:tcBorders>
              <w:top w:val="single" w:sz="4" w:space="0" w:color="auto"/>
              <w:left w:val="nil"/>
            </w:tcBorders>
          </w:tcPr>
          <w:p w:rsidR="00593DD0" w:rsidRPr="00E835B2" w:rsidP="00155049" w14:paraId="3706DCE2" w14:textId="663392A9">
            <w:pPr>
              <w:pStyle w:val="Tabletext"/>
              <w:tabs>
                <w:tab w:val="decimal" w:pos="242"/>
              </w:tabs>
              <w:spacing w:before="40" w:after="40"/>
              <w:rPr>
                <w:sz w:val="20"/>
                <w:szCs w:val="20"/>
              </w:rPr>
            </w:pPr>
            <w:r>
              <w:rPr>
                <w:sz w:val="20"/>
                <w:szCs w:val="20"/>
              </w:rPr>
              <w:t>10.41</w:t>
            </w:r>
          </w:p>
        </w:tc>
      </w:tr>
      <w:tr w14:paraId="4799E885" w14:textId="77777777" w:rsidTr="00155049">
        <w:tblPrEx>
          <w:tblW w:w="5000" w:type="pct"/>
          <w:tblLayout w:type="fixed"/>
          <w:tblLook w:val="04A0"/>
        </w:tblPrEx>
        <w:tc>
          <w:tcPr>
            <w:tcW w:w="1530" w:type="dxa"/>
            <w:tcBorders>
              <w:top w:val="single" w:sz="4" w:space="0" w:color="auto"/>
            </w:tcBorders>
          </w:tcPr>
          <w:p w:rsidR="00593DD0" w:rsidRPr="00E835B2" w:rsidP="00155049" w14:paraId="521C91FE" w14:textId="64AADB8C">
            <w:pPr>
              <w:pStyle w:val="Tabletext"/>
              <w:spacing w:before="40" w:after="40"/>
              <w:rPr>
                <w:sz w:val="20"/>
                <w:szCs w:val="20"/>
              </w:rPr>
            </w:pPr>
            <w:r w:rsidRPr="00E835B2">
              <w:rPr>
                <w:sz w:val="20"/>
                <w:szCs w:val="20"/>
              </w:rPr>
              <w:t>Recruitment call and/or email</w:t>
            </w:r>
            <w:r>
              <w:rPr>
                <w:sz w:val="20"/>
                <w:szCs w:val="20"/>
              </w:rPr>
              <w:t xml:space="preserve"> </w:t>
            </w:r>
            <w:r w:rsidRPr="00E835B2">
              <w:rPr>
                <w:sz w:val="20"/>
                <w:szCs w:val="20"/>
              </w:rPr>
              <w:t>contact #2</w:t>
            </w:r>
            <w:r w:rsidRPr="00E835B2">
              <w:rPr>
                <w:sz w:val="20"/>
                <w:szCs w:val="20"/>
                <w:vertAlign w:val="superscript"/>
              </w:rPr>
              <w:t>a</w:t>
            </w:r>
          </w:p>
        </w:tc>
        <w:tc>
          <w:tcPr>
            <w:tcW w:w="1080" w:type="dxa"/>
            <w:tcBorders>
              <w:top w:val="single" w:sz="4" w:space="0" w:color="auto"/>
            </w:tcBorders>
          </w:tcPr>
          <w:p w:rsidR="00593DD0" w:rsidRPr="00E835B2" w:rsidP="00155049" w14:paraId="2D198E0C" w14:textId="55236A2C">
            <w:pPr>
              <w:pStyle w:val="Tabletext"/>
              <w:spacing w:before="40" w:after="40"/>
              <w:rPr>
                <w:sz w:val="20"/>
                <w:szCs w:val="20"/>
              </w:rPr>
            </w:pPr>
            <w:r>
              <w:rPr>
                <w:sz w:val="20"/>
                <w:szCs w:val="20"/>
              </w:rPr>
              <w:t>F</w:t>
            </w:r>
            <w:r>
              <w:rPr>
                <w:sz w:val="20"/>
                <w:szCs w:val="20"/>
              </w:rPr>
              <w:t>-</w:t>
            </w:r>
            <w:r w:rsidRPr="00E835B2">
              <w:rPr>
                <w:sz w:val="20"/>
                <w:szCs w:val="20"/>
              </w:rPr>
              <w:t xml:space="preserve">1, </w:t>
            </w:r>
            <w:r>
              <w:rPr>
                <w:sz w:val="20"/>
                <w:szCs w:val="20"/>
              </w:rPr>
              <w:t>F</w:t>
            </w:r>
            <w:r>
              <w:rPr>
                <w:sz w:val="20"/>
                <w:szCs w:val="20"/>
              </w:rPr>
              <w:t>-</w:t>
            </w:r>
            <w:r w:rsidRPr="00E835B2">
              <w:rPr>
                <w:sz w:val="20"/>
                <w:szCs w:val="20"/>
              </w:rPr>
              <w:t xml:space="preserve">2, </w:t>
            </w:r>
            <w:r w:rsidR="00AC3601">
              <w:rPr>
                <w:sz w:val="20"/>
                <w:szCs w:val="20"/>
              </w:rPr>
              <w:t>and/</w:t>
            </w:r>
            <w:r w:rsidRPr="00E835B2">
              <w:rPr>
                <w:sz w:val="20"/>
                <w:szCs w:val="20"/>
              </w:rPr>
              <w:t xml:space="preserve">or </w:t>
            </w:r>
            <w:r w:rsidR="00AC3601">
              <w:rPr>
                <w:sz w:val="20"/>
                <w:szCs w:val="20"/>
              </w:rPr>
              <w:br/>
            </w:r>
            <w:r>
              <w:rPr>
                <w:sz w:val="20"/>
                <w:szCs w:val="20"/>
              </w:rPr>
              <w:t>F</w:t>
            </w:r>
            <w:r>
              <w:rPr>
                <w:sz w:val="20"/>
                <w:szCs w:val="20"/>
              </w:rPr>
              <w:t>-</w:t>
            </w:r>
            <w:r w:rsidRPr="00E835B2">
              <w:rPr>
                <w:sz w:val="20"/>
                <w:szCs w:val="20"/>
              </w:rPr>
              <w:t>3</w:t>
            </w:r>
          </w:p>
        </w:tc>
        <w:tc>
          <w:tcPr>
            <w:tcW w:w="900" w:type="dxa"/>
            <w:tcBorders>
              <w:top w:val="single" w:sz="4" w:space="0" w:color="auto"/>
            </w:tcBorders>
          </w:tcPr>
          <w:p w:rsidR="00593DD0" w:rsidRPr="00E835B2" w:rsidP="00155049" w14:paraId="486B34DB" w14:textId="4AACF8B2">
            <w:pPr>
              <w:pStyle w:val="Tabletext"/>
              <w:tabs>
                <w:tab w:val="decimal" w:pos="427"/>
              </w:tabs>
              <w:spacing w:before="40" w:after="40"/>
              <w:rPr>
                <w:sz w:val="20"/>
                <w:szCs w:val="20"/>
              </w:rPr>
            </w:pPr>
            <w:r>
              <w:rPr>
                <w:sz w:val="20"/>
                <w:szCs w:val="20"/>
              </w:rPr>
              <w:t>125</w:t>
            </w:r>
          </w:p>
        </w:tc>
        <w:tc>
          <w:tcPr>
            <w:tcW w:w="630" w:type="dxa"/>
            <w:tcBorders>
              <w:top w:val="single" w:sz="4" w:space="0" w:color="auto"/>
            </w:tcBorders>
          </w:tcPr>
          <w:p w:rsidR="00593DD0" w:rsidRPr="00E835B2" w:rsidP="00155049" w14:paraId="53D78EDF" w14:textId="77777777">
            <w:pPr>
              <w:pStyle w:val="Tabletext"/>
              <w:tabs>
                <w:tab w:val="decimal" w:pos="232"/>
              </w:tabs>
              <w:spacing w:before="40" w:after="40"/>
              <w:rPr>
                <w:sz w:val="20"/>
                <w:szCs w:val="20"/>
              </w:rPr>
            </w:pPr>
            <w:r w:rsidRPr="00E835B2">
              <w:rPr>
                <w:sz w:val="20"/>
                <w:szCs w:val="20"/>
              </w:rPr>
              <w:t>1</w:t>
            </w:r>
          </w:p>
        </w:tc>
        <w:tc>
          <w:tcPr>
            <w:tcW w:w="990" w:type="dxa"/>
            <w:tcBorders>
              <w:top w:val="single" w:sz="4" w:space="0" w:color="auto"/>
              <w:left w:val="nil"/>
            </w:tcBorders>
          </w:tcPr>
          <w:p w:rsidR="00593DD0" w:rsidRPr="00E835B2" w:rsidP="00155049" w14:paraId="0F90EEA3" w14:textId="77777777">
            <w:pPr>
              <w:pStyle w:val="Tabletext"/>
              <w:tabs>
                <w:tab w:val="decimal" w:pos="431"/>
              </w:tabs>
              <w:spacing w:before="40" w:after="40"/>
              <w:rPr>
                <w:sz w:val="20"/>
                <w:szCs w:val="20"/>
              </w:rPr>
            </w:pPr>
            <w:r w:rsidRPr="00E835B2">
              <w:rPr>
                <w:sz w:val="20"/>
                <w:szCs w:val="20"/>
              </w:rPr>
              <w:t>10</w:t>
            </w:r>
          </w:p>
        </w:tc>
        <w:tc>
          <w:tcPr>
            <w:tcW w:w="990" w:type="dxa"/>
            <w:tcBorders>
              <w:top w:val="single" w:sz="4" w:space="0" w:color="auto"/>
            </w:tcBorders>
          </w:tcPr>
          <w:p w:rsidR="00593DD0" w:rsidRPr="00E835B2" w:rsidP="00155049" w14:paraId="461F8CBA" w14:textId="77777777">
            <w:pPr>
              <w:pStyle w:val="Tabletext"/>
              <w:spacing w:before="40" w:after="40"/>
              <w:jc w:val="center"/>
              <w:rPr>
                <w:sz w:val="20"/>
                <w:szCs w:val="20"/>
              </w:rPr>
            </w:pPr>
            <w:r w:rsidRPr="00E835B2">
              <w:rPr>
                <w:sz w:val="20"/>
                <w:szCs w:val="20"/>
              </w:rPr>
              <w:t>10</w:t>
            </w:r>
          </w:p>
        </w:tc>
        <w:tc>
          <w:tcPr>
            <w:tcW w:w="990" w:type="dxa"/>
            <w:tcBorders>
              <w:top w:val="single" w:sz="4" w:space="0" w:color="auto"/>
            </w:tcBorders>
          </w:tcPr>
          <w:p w:rsidR="00593DD0" w:rsidRPr="00E835B2" w:rsidP="00155049" w14:paraId="4366872C" w14:textId="77777777">
            <w:pPr>
              <w:pStyle w:val="Tabletext"/>
              <w:tabs>
                <w:tab w:val="decimal" w:pos="400"/>
              </w:tabs>
              <w:spacing w:before="40" w:after="40"/>
              <w:rPr>
                <w:sz w:val="20"/>
                <w:szCs w:val="20"/>
              </w:rPr>
            </w:pPr>
            <w:r w:rsidRPr="00E835B2">
              <w:rPr>
                <w:sz w:val="20"/>
                <w:szCs w:val="20"/>
              </w:rPr>
              <w:t>5</w:t>
            </w:r>
          </w:p>
        </w:tc>
        <w:tc>
          <w:tcPr>
            <w:tcW w:w="990" w:type="dxa"/>
            <w:tcBorders>
              <w:top w:val="single" w:sz="4" w:space="0" w:color="auto"/>
              <w:right w:val="single" w:sz="4" w:space="0" w:color="auto"/>
            </w:tcBorders>
          </w:tcPr>
          <w:p w:rsidR="00593DD0" w:rsidRPr="00E835B2" w:rsidP="00155049" w14:paraId="4F5C8763" w14:textId="77777777">
            <w:pPr>
              <w:pStyle w:val="Tabletext"/>
              <w:tabs>
                <w:tab w:val="decimal" w:pos="414"/>
              </w:tabs>
              <w:spacing w:before="40" w:after="40"/>
              <w:rPr>
                <w:sz w:val="20"/>
                <w:szCs w:val="20"/>
              </w:rPr>
            </w:pPr>
            <w:r>
              <w:rPr>
                <w:sz w:val="20"/>
                <w:szCs w:val="20"/>
              </w:rPr>
              <w:t>0</w:t>
            </w:r>
            <w:r w:rsidRPr="00E835B2">
              <w:rPr>
                <w:sz w:val="20"/>
                <w:szCs w:val="20"/>
              </w:rPr>
              <w:t>.83</w:t>
            </w:r>
          </w:p>
        </w:tc>
        <w:tc>
          <w:tcPr>
            <w:tcW w:w="990" w:type="dxa"/>
            <w:tcBorders>
              <w:top w:val="single" w:sz="4" w:space="0" w:color="auto"/>
              <w:left w:val="single" w:sz="4" w:space="0" w:color="auto"/>
            </w:tcBorders>
          </w:tcPr>
          <w:p w:rsidR="00593DD0" w:rsidRPr="00E835B2" w:rsidP="00155049" w14:paraId="2BC2CA17" w14:textId="68CD8EEA">
            <w:pPr>
              <w:pStyle w:val="Tabletext"/>
              <w:tabs>
                <w:tab w:val="decimal" w:pos="442"/>
              </w:tabs>
              <w:spacing w:before="40" w:after="40"/>
              <w:rPr>
                <w:sz w:val="20"/>
                <w:szCs w:val="20"/>
              </w:rPr>
            </w:pPr>
            <w:r>
              <w:rPr>
                <w:sz w:val="20"/>
                <w:szCs w:val="20"/>
              </w:rPr>
              <w:t>115</w:t>
            </w:r>
          </w:p>
        </w:tc>
        <w:tc>
          <w:tcPr>
            <w:tcW w:w="990" w:type="dxa"/>
            <w:tcBorders>
              <w:top w:val="single" w:sz="4" w:space="0" w:color="auto"/>
            </w:tcBorders>
          </w:tcPr>
          <w:p w:rsidR="00593DD0" w:rsidRPr="00E835B2" w:rsidP="00155049" w14:paraId="6ACFA81F" w14:textId="30F0A770">
            <w:pPr>
              <w:pStyle w:val="Tabletext"/>
              <w:tabs>
                <w:tab w:val="decimal" w:pos="471"/>
              </w:tabs>
              <w:spacing w:before="40" w:after="40"/>
              <w:rPr>
                <w:sz w:val="20"/>
                <w:szCs w:val="20"/>
              </w:rPr>
            </w:pPr>
            <w:r>
              <w:rPr>
                <w:sz w:val="20"/>
                <w:szCs w:val="20"/>
              </w:rPr>
              <w:t>115</w:t>
            </w:r>
          </w:p>
        </w:tc>
        <w:tc>
          <w:tcPr>
            <w:tcW w:w="990" w:type="dxa"/>
            <w:tcBorders>
              <w:top w:val="single" w:sz="4" w:space="0" w:color="auto"/>
            </w:tcBorders>
          </w:tcPr>
          <w:p w:rsidR="00593DD0" w:rsidRPr="00E835B2" w:rsidP="00155049" w14:paraId="3B71B050" w14:textId="77777777">
            <w:pPr>
              <w:pStyle w:val="Tabletext"/>
              <w:tabs>
                <w:tab w:val="decimal" w:pos="336"/>
              </w:tabs>
              <w:spacing w:before="40" w:after="40"/>
              <w:rPr>
                <w:sz w:val="20"/>
                <w:szCs w:val="20"/>
              </w:rPr>
            </w:pPr>
            <w:r w:rsidRPr="00E835B2">
              <w:rPr>
                <w:sz w:val="20"/>
                <w:szCs w:val="20"/>
              </w:rPr>
              <w:t>5</w:t>
            </w:r>
          </w:p>
        </w:tc>
        <w:tc>
          <w:tcPr>
            <w:tcW w:w="990" w:type="dxa"/>
            <w:tcBorders>
              <w:top w:val="single" w:sz="4" w:space="0" w:color="auto"/>
            </w:tcBorders>
          </w:tcPr>
          <w:p w:rsidR="00593DD0" w:rsidRPr="00E835B2" w:rsidP="00155049" w14:paraId="1385BB11" w14:textId="1B5433E7">
            <w:pPr>
              <w:pStyle w:val="Tabletext"/>
              <w:tabs>
                <w:tab w:val="decimal" w:pos="285"/>
              </w:tabs>
              <w:spacing w:before="40" w:after="40"/>
              <w:rPr>
                <w:sz w:val="20"/>
                <w:szCs w:val="20"/>
              </w:rPr>
            </w:pPr>
            <w:r>
              <w:rPr>
                <w:sz w:val="20"/>
                <w:szCs w:val="20"/>
              </w:rPr>
              <w:t>9.58</w:t>
            </w:r>
          </w:p>
        </w:tc>
        <w:tc>
          <w:tcPr>
            <w:tcW w:w="900" w:type="dxa"/>
            <w:tcBorders>
              <w:top w:val="single" w:sz="4" w:space="0" w:color="auto"/>
              <w:left w:val="nil"/>
            </w:tcBorders>
          </w:tcPr>
          <w:p w:rsidR="00593DD0" w:rsidRPr="00E835B2" w:rsidP="00155049" w14:paraId="0C663207" w14:textId="0857F1F3">
            <w:pPr>
              <w:pStyle w:val="Tabletext"/>
              <w:tabs>
                <w:tab w:val="decimal" w:pos="242"/>
              </w:tabs>
              <w:spacing w:before="40" w:after="40"/>
              <w:rPr>
                <w:sz w:val="20"/>
                <w:szCs w:val="20"/>
              </w:rPr>
            </w:pPr>
            <w:r>
              <w:rPr>
                <w:sz w:val="20"/>
                <w:szCs w:val="20"/>
              </w:rPr>
              <w:t>10.41</w:t>
            </w:r>
          </w:p>
        </w:tc>
      </w:tr>
      <w:tr w14:paraId="44FD1484" w14:textId="77777777" w:rsidTr="00155049">
        <w:tblPrEx>
          <w:tblW w:w="5000" w:type="pct"/>
          <w:tblLayout w:type="fixed"/>
          <w:tblLook w:val="04A0"/>
        </w:tblPrEx>
        <w:tc>
          <w:tcPr>
            <w:tcW w:w="1530" w:type="dxa"/>
            <w:tcBorders>
              <w:top w:val="single" w:sz="4" w:space="0" w:color="auto"/>
            </w:tcBorders>
          </w:tcPr>
          <w:p w:rsidR="00593DD0" w:rsidRPr="00E835B2" w:rsidP="00155049" w14:paraId="767A1612" w14:textId="37AF27A7">
            <w:pPr>
              <w:pStyle w:val="Tabletext"/>
              <w:spacing w:before="40" w:after="40"/>
              <w:rPr>
                <w:sz w:val="20"/>
                <w:szCs w:val="20"/>
              </w:rPr>
            </w:pPr>
            <w:r w:rsidRPr="00E835B2">
              <w:rPr>
                <w:sz w:val="20"/>
                <w:szCs w:val="20"/>
              </w:rPr>
              <w:t>Recruitment call and/or email</w:t>
            </w:r>
            <w:r>
              <w:rPr>
                <w:sz w:val="20"/>
                <w:szCs w:val="20"/>
              </w:rPr>
              <w:t xml:space="preserve"> </w:t>
            </w:r>
            <w:r w:rsidRPr="00E835B2">
              <w:rPr>
                <w:sz w:val="20"/>
                <w:szCs w:val="20"/>
              </w:rPr>
              <w:t>contact #3</w:t>
            </w:r>
            <w:r w:rsidRPr="00E835B2">
              <w:rPr>
                <w:sz w:val="20"/>
                <w:szCs w:val="20"/>
                <w:vertAlign w:val="superscript"/>
              </w:rPr>
              <w:t>a</w:t>
            </w:r>
          </w:p>
        </w:tc>
        <w:tc>
          <w:tcPr>
            <w:tcW w:w="1080" w:type="dxa"/>
            <w:tcBorders>
              <w:top w:val="single" w:sz="4" w:space="0" w:color="auto"/>
            </w:tcBorders>
          </w:tcPr>
          <w:p w:rsidR="00593DD0" w:rsidRPr="00E835B2" w:rsidP="00155049" w14:paraId="44ADB5FD" w14:textId="425D541C">
            <w:pPr>
              <w:pStyle w:val="Tabletext"/>
              <w:spacing w:before="40" w:after="40"/>
              <w:rPr>
                <w:sz w:val="20"/>
                <w:szCs w:val="20"/>
              </w:rPr>
            </w:pPr>
            <w:r>
              <w:rPr>
                <w:sz w:val="20"/>
                <w:szCs w:val="20"/>
              </w:rPr>
              <w:t>F-</w:t>
            </w:r>
            <w:r w:rsidRPr="00E835B2">
              <w:rPr>
                <w:sz w:val="20"/>
                <w:szCs w:val="20"/>
              </w:rPr>
              <w:t xml:space="preserve">1, </w:t>
            </w:r>
            <w:r>
              <w:rPr>
                <w:sz w:val="20"/>
                <w:szCs w:val="20"/>
              </w:rPr>
              <w:t>F-</w:t>
            </w:r>
            <w:r w:rsidRPr="00E835B2">
              <w:rPr>
                <w:sz w:val="20"/>
                <w:szCs w:val="20"/>
              </w:rPr>
              <w:t xml:space="preserve">2, </w:t>
            </w:r>
            <w:r>
              <w:rPr>
                <w:sz w:val="20"/>
                <w:szCs w:val="20"/>
              </w:rPr>
              <w:t>and/</w:t>
            </w:r>
            <w:r w:rsidRPr="00E835B2">
              <w:rPr>
                <w:sz w:val="20"/>
                <w:szCs w:val="20"/>
              </w:rPr>
              <w:t xml:space="preserve">or </w:t>
            </w:r>
            <w:r>
              <w:rPr>
                <w:sz w:val="20"/>
                <w:szCs w:val="20"/>
              </w:rPr>
              <w:br/>
            </w:r>
            <w:r>
              <w:rPr>
                <w:sz w:val="20"/>
                <w:szCs w:val="20"/>
              </w:rPr>
              <w:t>F-</w:t>
            </w:r>
            <w:r w:rsidRPr="00E835B2">
              <w:rPr>
                <w:sz w:val="20"/>
                <w:szCs w:val="20"/>
              </w:rPr>
              <w:t>3</w:t>
            </w:r>
          </w:p>
        </w:tc>
        <w:tc>
          <w:tcPr>
            <w:tcW w:w="900" w:type="dxa"/>
            <w:tcBorders>
              <w:top w:val="single" w:sz="4" w:space="0" w:color="auto"/>
            </w:tcBorders>
          </w:tcPr>
          <w:p w:rsidR="00593DD0" w:rsidRPr="00E835B2" w:rsidP="00155049" w14:paraId="572B71B7" w14:textId="117088BF">
            <w:pPr>
              <w:pStyle w:val="Tabletext"/>
              <w:tabs>
                <w:tab w:val="decimal" w:pos="427"/>
              </w:tabs>
              <w:spacing w:before="40" w:after="40"/>
              <w:rPr>
                <w:sz w:val="20"/>
                <w:szCs w:val="20"/>
              </w:rPr>
            </w:pPr>
            <w:r>
              <w:rPr>
                <w:sz w:val="20"/>
                <w:szCs w:val="20"/>
              </w:rPr>
              <w:t>125</w:t>
            </w:r>
          </w:p>
        </w:tc>
        <w:tc>
          <w:tcPr>
            <w:tcW w:w="630" w:type="dxa"/>
            <w:tcBorders>
              <w:top w:val="single" w:sz="4" w:space="0" w:color="auto"/>
            </w:tcBorders>
          </w:tcPr>
          <w:p w:rsidR="00593DD0" w:rsidRPr="00E835B2" w:rsidP="00155049" w14:paraId="38B66C45" w14:textId="77777777">
            <w:pPr>
              <w:pStyle w:val="Tabletext"/>
              <w:tabs>
                <w:tab w:val="decimal" w:pos="232"/>
              </w:tabs>
              <w:spacing w:before="40" w:after="40"/>
              <w:rPr>
                <w:sz w:val="20"/>
                <w:szCs w:val="20"/>
              </w:rPr>
            </w:pPr>
            <w:r w:rsidRPr="00E835B2">
              <w:rPr>
                <w:sz w:val="20"/>
                <w:szCs w:val="20"/>
              </w:rPr>
              <w:t>1</w:t>
            </w:r>
          </w:p>
        </w:tc>
        <w:tc>
          <w:tcPr>
            <w:tcW w:w="990" w:type="dxa"/>
            <w:tcBorders>
              <w:top w:val="single" w:sz="4" w:space="0" w:color="auto"/>
              <w:left w:val="nil"/>
            </w:tcBorders>
          </w:tcPr>
          <w:p w:rsidR="00593DD0" w:rsidRPr="00E835B2" w:rsidP="00155049" w14:paraId="49647765" w14:textId="77777777">
            <w:pPr>
              <w:pStyle w:val="Tabletext"/>
              <w:tabs>
                <w:tab w:val="decimal" w:pos="431"/>
              </w:tabs>
              <w:spacing w:before="40" w:after="40"/>
              <w:rPr>
                <w:sz w:val="20"/>
                <w:szCs w:val="20"/>
              </w:rPr>
            </w:pPr>
            <w:r w:rsidRPr="00E835B2">
              <w:rPr>
                <w:sz w:val="20"/>
                <w:szCs w:val="20"/>
              </w:rPr>
              <w:t>10</w:t>
            </w:r>
          </w:p>
        </w:tc>
        <w:tc>
          <w:tcPr>
            <w:tcW w:w="990" w:type="dxa"/>
            <w:tcBorders>
              <w:top w:val="single" w:sz="4" w:space="0" w:color="auto"/>
            </w:tcBorders>
          </w:tcPr>
          <w:p w:rsidR="00593DD0" w:rsidRPr="00E835B2" w:rsidP="00155049" w14:paraId="2E453FD9" w14:textId="77777777">
            <w:pPr>
              <w:pStyle w:val="Tabletext"/>
              <w:spacing w:before="40" w:after="40"/>
              <w:jc w:val="center"/>
              <w:rPr>
                <w:sz w:val="20"/>
                <w:szCs w:val="20"/>
              </w:rPr>
            </w:pPr>
            <w:r w:rsidRPr="00E835B2">
              <w:rPr>
                <w:sz w:val="20"/>
                <w:szCs w:val="20"/>
              </w:rPr>
              <w:t>10</w:t>
            </w:r>
          </w:p>
        </w:tc>
        <w:tc>
          <w:tcPr>
            <w:tcW w:w="990" w:type="dxa"/>
            <w:tcBorders>
              <w:top w:val="single" w:sz="4" w:space="0" w:color="auto"/>
            </w:tcBorders>
          </w:tcPr>
          <w:p w:rsidR="00593DD0" w:rsidRPr="00E835B2" w:rsidP="00155049" w14:paraId="31AF3FB9" w14:textId="77777777">
            <w:pPr>
              <w:pStyle w:val="Tabletext"/>
              <w:tabs>
                <w:tab w:val="decimal" w:pos="400"/>
              </w:tabs>
              <w:spacing w:before="40" w:after="40"/>
              <w:rPr>
                <w:sz w:val="20"/>
                <w:szCs w:val="20"/>
              </w:rPr>
            </w:pPr>
            <w:r w:rsidRPr="00E835B2">
              <w:rPr>
                <w:sz w:val="20"/>
                <w:szCs w:val="20"/>
              </w:rPr>
              <w:t>5</w:t>
            </w:r>
          </w:p>
        </w:tc>
        <w:tc>
          <w:tcPr>
            <w:tcW w:w="990" w:type="dxa"/>
            <w:tcBorders>
              <w:top w:val="single" w:sz="4" w:space="0" w:color="auto"/>
              <w:right w:val="single" w:sz="4" w:space="0" w:color="auto"/>
            </w:tcBorders>
          </w:tcPr>
          <w:p w:rsidR="00593DD0" w:rsidRPr="00E835B2" w:rsidP="00155049" w14:paraId="2B2C7885" w14:textId="77777777">
            <w:pPr>
              <w:pStyle w:val="Tabletext"/>
              <w:tabs>
                <w:tab w:val="decimal" w:pos="414"/>
              </w:tabs>
              <w:spacing w:before="40" w:after="40"/>
              <w:rPr>
                <w:sz w:val="20"/>
                <w:szCs w:val="20"/>
              </w:rPr>
            </w:pPr>
            <w:r>
              <w:rPr>
                <w:sz w:val="20"/>
                <w:szCs w:val="20"/>
              </w:rPr>
              <w:t>0</w:t>
            </w:r>
            <w:r w:rsidRPr="00E835B2">
              <w:rPr>
                <w:sz w:val="20"/>
                <w:szCs w:val="20"/>
              </w:rPr>
              <w:t>.83</w:t>
            </w:r>
          </w:p>
        </w:tc>
        <w:tc>
          <w:tcPr>
            <w:tcW w:w="990" w:type="dxa"/>
            <w:tcBorders>
              <w:top w:val="single" w:sz="4" w:space="0" w:color="auto"/>
              <w:left w:val="single" w:sz="4" w:space="0" w:color="auto"/>
            </w:tcBorders>
          </w:tcPr>
          <w:p w:rsidR="00593DD0" w:rsidRPr="00E835B2" w:rsidP="00155049" w14:paraId="641857C3" w14:textId="253AC14F">
            <w:pPr>
              <w:pStyle w:val="Tabletext"/>
              <w:tabs>
                <w:tab w:val="decimal" w:pos="442"/>
              </w:tabs>
              <w:spacing w:before="40" w:after="40"/>
              <w:rPr>
                <w:sz w:val="20"/>
                <w:szCs w:val="20"/>
              </w:rPr>
            </w:pPr>
            <w:r>
              <w:rPr>
                <w:sz w:val="20"/>
                <w:szCs w:val="20"/>
              </w:rPr>
              <w:t>115</w:t>
            </w:r>
          </w:p>
        </w:tc>
        <w:tc>
          <w:tcPr>
            <w:tcW w:w="990" w:type="dxa"/>
            <w:tcBorders>
              <w:top w:val="single" w:sz="4" w:space="0" w:color="auto"/>
            </w:tcBorders>
          </w:tcPr>
          <w:p w:rsidR="00593DD0" w:rsidRPr="00E835B2" w:rsidP="00155049" w14:paraId="14EBBEB1" w14:textId="5A16B6D5">
            <w:pPr>
              <w:pStyle w:val="Tabletext"/>
              <w:tabs>
                <w:tab w:val="decimal" w:pos="471"/>
              </w:tabs>
              <w:spacing w:before="40" w:after="40"/>
              <w:rPr>
                <w:sz w:val="20"/>
                <w:szCs w:val="20"/>
              </w:rPr>
            </w:pPr>
            <w:r>
              <w:rPr>
                <w:sz w:val="20"/>
                <w:szCs w:val="20"/>
              </w:rPr>
              <w:t>115</w:t>
            </w:r>
          </w:p>
        </w:tc>
        <w:tc>
          <w:tcPr>
            <w:tcW w:w="990" w:type="dxa"/>
            <w:tcBorders>
              <w:top w:val="single" w:sz="4" w:space="0" w:color="auto"/>
            </w:tcBorders>
          </w:tcPr>
          <w:p w:rsidR="00593DD0" w:rsidRPr="00E835B2" w:rsidP="00155049" w14:paraId="32FF4087" w14:textId="77777777">
            <w:pPr>
              <w:pStyle w:val="Tabletext"/>
              <w:tabs>
                <w:tab w:val="decimal" w:pos="336"/>
              </w:tabs>
              <w:spacing w:before="40" w:after="40"/>
              <w:rPr>
                <w:sz w:val="20"/>
                <w:szCs w:val="20"/>
              </w:rPr>
            </w:pPr>
            <w:r w:rsidRPr="00E835B2">
              <w:rPr>
                <w:sz w:val="20"/>
                <w:szCs w:val="20"/>
              </w:rPr>
              <w:t>5</w:t>
            </w:r>
          </w:p>
        </w:tc>
        <w:tc>
          <w:tcPr>
            <w:tcW w:w="990" w:type="dxa"/>
            <w:tcBorders>
              <w:top w:val="single" w:sz="4" w:space="0" w:color="auto"/>
            </w:tcBorders>
          </w:tcPr>
          <w:p w:rsidR="00593DD0" w:rsidRPr="00E835B2" w:rsidP="00155049" w14:paraId="055B45AD" w14:textId="3470FFFE">
            <w:pPr>
              <w:pStyle w:val="Tabletext"/>
              <w:tabs>
                <w:tab w:val="decimal" w:pos="285"/>
              </w:tabs>
              <w:spacing w:before="40" w:after="40"/>
              <w:rPr>
                <w:sz w:val="20"/>
                <w:szCs w:val="20"/>
              </w:rPr>
            </w:pPr>
            <w:r>
              <w:rPr>
                <w:sz w:val="20"/>
                <w:szCs w:val="20"/>
              </w:rPr>
              <w:t>9.58</w:t>
            </w:r>
          </w:p>
        </w:tc>
        <w:tc>
          <w:tcPr>
            <w:tcW w:w="900" w:type="dxa"/>
            <w:tcBorders>
              <w:top w:val="single" w:sz="4" w:space="0" w:color="auto"/>
              <w:left w:val="nil"/>
            </w:tcBorders>
          </w:tcPr>
          <w:p w:rsidR="00593DD0" w:rsidRPr="00E835B2" w:rsidP="00155049" w14:paraId="198CAE07" w14:textId="6E197B5A">
            <w:pPr>
              <w:pStyle w:val="Tabletext"/>
              <w:tabs>
                <w:tab w:val="decimal" w:pos="242"/>
              </w:tabs>
              <w:spacing w:before="40" w:after="40"/>
              <w:rPr>
                <w:sz w:val="20"/>
                <w:szCs w:val="20"/>
              </w:rPr>
            </w:pPr>
            <w:r>
              <w:rPr>
                <w:sz w:val="20"/>
                <w:szCs w:val="20"/>
              </w:rPr>
              <w:t>10.41</w:t>
            </w:r>
          </w:p>
        </w:tc>
      </w:tr>
      <w:tr w14:paraId="2BF96A10" w14:textId="77777777" w:rsidTr="00155049">
        <w:tblPrEx>
          <w:tblW w:w="5000" w:type="pct"/>
          <w:tblLayout w:type="fixed"/>
          <w:tblLook w:val="04A0"/>
        </w:tblPrEx>
        <w:tc>
          <w:tcPr>
            <w:tcW w:w="1530" w:type="dxa"/>
            <w:tcBorders>
              <w:top w:val="single" w:sz="4" w:space="0" w:color="auto"/>
            </w:tcBorders>
          </w:tcPr>
          <w:p w:rsidR="00593DD0" w:rsidRPr="00E835B2" w:rsidP="00155049" w14:paraId="3C08DADA" w14:textId="55910C08">
            <w:pPr>
              <w:pStyle w:val="Tabletext"/>
              <w:spacing w:before="40" w:after="40"/>
              <w:rPr>
                <w:sz w:val="20"/>
                <w:szCs w:val="20"/>
              </w:rPr>
            </w:pPr>
            <w:r w:rsidRPr="00E835B2">
              <w:rPr>
                <w:sz w:val="20"/>
                <w:szCs w:val="20"/>
              </w:rPr>
              <w:t>Recruitment call and/or email</w:t>
            </w:r>
            <w:r>
              <w:rPr>
                <w:sz w:val="20"/>
                <w:szCs w:val="20"/>
              </w:rPr>
              <w:t xml:space="preserve"> </w:t>
            </w:r>
            <w:r w:rsidRPr="00E835B2">
              <w:rPr>
                <w:sz w:val="20"/>
                <w:szCs w:val="20"/>
              </w:rPr>
              <w:t>contact #4</w:t>
            </w:r>
            <w:r w:rsidRPr="00E835B2">
              <w:rPr>
                <w:sz w:val="20"/>
                <w:szCs w:val="20"/>
                <w:vertAlign w:val="superscript"/>
              </w:rPr>
              <w:t>a</w:t>
            </w:r>
          </w:p>
        </w:tc>
        <w:tc>
          <w:tcPr>
            <w:tcW w:w="1080" w:type="dxa"/>
            <w:tcBorders>
              <w:top w:val="single" w:sz="4" w:space="0" w:color="auto"/>
            </w:tcBorders>
          </w:tcPr>
          <w:p w:rsidR="00593DD0" w:rsidRPr="00E835B2" w:rsidP="00155049" w14:paraId="3AC0C14D" w14:textId="78091D5B">
            <w:pPr>
              <w:pStyle w:val="Tabletext"/>
              <w:spacing w:before="40" w:after="40"/>
              <w:rPr>
                <w:sz w:val="20"/>
                <w:szCs w:val="20"/>
              </w:rPr>
            </w:pPr>
            <w:r>
              <w:rPr>
                <w:sz w:val="20"/>
                <w:szCs w:val="20"/>
              </w:rPr>
              <w:t>F-</w:t>
            </w:r>
            <w:r w:rsidRPr="00E835B2">
              <w:rPr>
                <w:sz w:val="20"/>
                <w:szCs w:val="20"/>
              </w:rPr>
              <w:t xml:space="preserve">1, </w:t>
            </w:r>
            <w:r>
              <w:rPr>
                <w:sz w:val="20"/>
                <w:szCs w:val="20"/>
              </w:rPr>
              <w:t>F-</w:t>
            </w:r>
            <w:r w:rsidRPr="00E835B2">
              <w:rPr>
                <w:sz w:val="20"/>
                <w:szCs w:val="20"/>
              </w:rPr>
              <w:t xml:space="preserve">2, </w:t>
            </w:r>
            <w:r>
              <w:rPr>
                <w:sz w:val="20"/>
                <w:szCs w:val="20"/>
              </w:rPr>
              <w:t>and/</w:t>
            </w:r>
            <w:r w:rsidRPr="00E835B2">
              <w:rPr>
                <w:sz w:val="20"/>
                <w:szCs w:val="20"/>
              </w:rPr>
              <w:t xml:space="preserve">or </w:t>
            </w:r>
            <w:r>
              <w:rPr>
                <w:sz w:val="20"/>
                <w:szCs w:val="20"/>
              </w:rPr>
              <w:br/>
            </w:r>
            <w:r>
              <w:rPr>
                <w:sz w:val="20"/>
                <w:szCs w:val="20"/>
              </w:rPr>
              <w:t>F-</w:t>
            </w:r>
            <w:r w:rsidRPr="00E835B2">
              <w:rPr>
                <w:sz w:val="20"/>
                <w:szCs w:val="20"/>
              </w:rPr>
              <w:t>3</w:t>
            </w:r>
          </w:p>
        </w:tc>
        <w:tc>
          <w:tcPr>
            <w:tcW w:w="900" w:type="dxa"/>
            <w:tcBorders>
              <w:top w:val="single" w:sz="4" w:space="0" w:color="auto"/>
            </w:tcBorders>
          </w:tcPr>
          <w:p w:rsidR="00593DD0" w:rsidRPr="00E835B2" w:rsidP="00155049" w14:paraId="0FC4743A" w14:textId="10B8211A">
            <w:pPr>
              <w:pStyle w:val="Tabletext"/>
              <w:tabs>
                <w:tab w:val="decimal" w:pos="427"/>
              </w:tabs>
              <w:spacing w:before="40" w:after="40"/>
              <w:rPr>
                <w:sz w:val="20"/>
                <w:szCs w:val="20"/>
              </w:rPr>
            </w:pPr>
            <w:r>
              <w:rPr>
                <w:sz w:val="20"/>
                <w:szCs w:val="20"/>
              </w:rPr>
              <w:t>125</w:t>
            </w:r>
          </w:p>
        </w:tc>
        <w:tc>
          <w:tcPr>
            <w:tcW w:w="630" w:type="dxa"/>
            <w:tcBorders>
              <w:top w:val="single" w:sz="4" w:space="0" w:color="auto"/>
            </w:tcBorders>
          </w:tcPr>
          <w:p w:rsidR="00593DD0" w:rsidRPr="00E835B2" w:rsidP="00155049" w14:paraId="7EAB92F5" w14:textId="77777777">
            <w:pPr>
              <w:pStyle w:val="Tabletext"/>
              <w:tabs>
                <w:tab w:val="decimal" w:pos="232"/>
              </w:tabs>
              <w:spacing w:before="40" w:after="40"/>
              <w:rPr>
                <w:sz w:val="20"/>
                <w:szCs w:val="20"/>
              </w:rPr>
            </w:pPr>
            <w:r w:rsidRPr="00E835B2">
              <w:rPr>
                <w:sz w:val="20"/>
                <w:szCs w:val="20"/>
              </w:rPr>
              <w:t>1</w:t>
            </w:r>
          </w:p>
        </w:tc>
        <w:tc>
          <w:tcPr>
            <w:tcW w:w="990" w:type="dxa"/>
            <w:tcBorders>
              <w:top w:val="single" w:sz="4" w:space="0" w:color="auto"/>
              <w:left w:val="nil"/>
            </w:tcBorders>
          </w:tcPr>
          <w:p w:rsidR="00593DD0" w:rsidRPr="00E835B2" w:rsidP="00155049" w14:paraId="1731C28F" w14:textId="77777777">
            <w:pPr>
              <w:pStyle w:val="Tabletext"/>
              <w:tabs>
                <w:tab w:val="decimal" w:pos="431"/>
              </w:tabs>
              <w:spacing w:before="40" w:after="40"/>
              <w:rPr>
                <w:sz w:val="20"/>
                <w:szCs w:val="20"/>
              </w:rPr>
            </w:pPr>
            <w:r w:rsidRPr="00E835B2">
              <w:rPr>
                <w:sz w:val="20"/>
                <w:szCs w:val="20"/>
              </w:rPr>
              <w:t>10</w:t>
            </w:r>
          </w:p>
        </w:tc>
        <w:tc>
          <w:tcPr>
            <w:tcW w:w="990" w:type="dxa"/>
            <w:tcBorders>
              <w:top w:val="single" w:sz="4" w:space="0" w:color="auto"/>
            </w:tcBorders>
          </w:tcPr>
          <w:p w:rsidR="00593DD0" w:rsidRPr="00E835B2" w:rsidP="00155049" w14:paraId="6B019DAC" w14:textId="77777777">
            <w:pPr>
              <w:pStyle w:val="Tabletext"/>
              <w:spacing w:before="40" w:after="40"/>
              <w:jc w:val="center"/>
              <w:rPr>
                <w:sz w:val="20"/>
                <w:szCs w:val="20"/>
              </w:rPr>
            </w:pPr>
            <w:r w:rsidRPr="00E835B2">
              <w:rPr>
                <w:sz w:val="20"/>
                <w:szCs w:val="20"/>
              </w:rPr>
              <w:t>10</w:t>
            </w:r>
          </w:p>
        </w:tc>
        <w:tc>
          <w:tcPr>
            <w:tcW w:w="990" w:type="dxa"/>
            <w:tcBorders>
              <w:top w:val="single" w:sz="4" w:space="0" w:color="auto"/>
            </w:tcBorders>
          </w:tcPr>
          <w:p w:rsidR="00593DD0" w:rsidRPr="00E835B2" w:rsidP="00155049" w14:paraId="380AB264" w14:textId="77777777">
            <w:pPr>
              <w:pStyle w:val="Tabletext"/>
              <w:tabs>
                <w:tab w:val="decimal" w:pos="400"/>
              </w:tabs>
              <w:spacing w:before="40" w:after="40"/>
              <w:rPr>
                <w:sz w:val="20"/>
                <w:szCs w:val="20"/>
              </w:rPr>
            </w:pPr>
            <w:r w:rsidRPr="00E835B2">
              <w:rPr>
                <w:sz w:val="20"/>
                <w:szCs w:val="20"/>
              </w:rPr>
              <w:t>5</w:t>
            </w:r>
          </w:p>
        </w:tc>
        <w:tc>
          <w:tcPr>
            <w:tcW w:w="990" w:type="dxa"/>
            <w:tcBorders>
              <w:top w:val="single" w:sz="4" w:space="0" w:color="auto"/>
              <w:right w:val="single" w:sz="4" w:space="0" w:color="auto"/>
            </w:tcBorders>
          </w:tcPr>
          <w:p w:rsidR="00593DD0" w:rsidRPr="00E835B2" w:rsidP="00155049" w14:paraId="0D6A772E" w14:textId="77777777">
            <w:pPr>
              <w:pStyle w:val="Tabletext"/>
              <w:tabs>
                <w:tab w:val="decimal" w:pos="414"/>
              </w:tabs>
              <w:spacing w:before="40" w:after="40"/>
              <w:rPr>
                <w:sz w:val="20"/>
                <w:szCs w:val="20"/>
              </w:rPr>
            </w:pPr>
            <w:r>
              <w:rPr>
                <w:sz w:val="20"/>
                <w:szCs w:val="20"/>
              </w:rPr>
              <w:t>0</w:t>
            </w:r>
            <w:r w:rsidRPr="00E835B2">
              <w:rPr>
                <w:sz w:val="20"/>
                <w:szCs w:val="20"/>
              </w:rPr>
              <w:t>.83</w:t>
            </w:r>
          </w:p>
        </w:tc>
        <w:tc>
          <w:tcPr>
            <w:tcW w:w="990" w:type="dxa"/>
            <w:tcBorders>
              <w:top w:val="single" w:sz="4" w:space="0" w:color="auto"/>
              <w:left w:val="single" w:sz="4" w:space="0" w:color="auto"/>
            </w:tcBorders>
          </w:tcPr>
          <w:p w:rsidR="00593DD0" w:rsidRPr="00E835B2" w:rsidP="00155049" w14:paraId="486AD2D0" w14:textId="02DA8B6F">
            <w:pPr>
              <w:pStyle w:val="Tabletext"/>
              <w:tabs>
                <w:tab w:val="decimal" w:pos="442"/>
              </w:tabs>
              <w:spacing w:before="40" w:after="40"/>
              <w:rPr>
                <w:sz w:val="20"/>
                <w:szCs w:val="20"/>
              </w:rPr>
            </w:pPr>
            <w:r>
              <w:rPr>
                <w:sz w:val="20"/>
                <w:szCs w:val="20"/>
              </w:rPr>
              <w:t>115</w:t>
            </w:r>
          </w:p>
        </w:tc>
        <w:tc>
          <w:tcPr>
            <w:tcW w:w="990" w:type="dxa"/>
            <w:tcBorders>
              <w:top w:val="single" w:sz="4" w:space="0" w:color="auto"/>
            </w:tcBorders>
          </w:tcPr>
          <w:p w:rsidR="00593DD0" w:rsidRPr="00E835B2" w:rsidP="00155049" w14:paraId="45264AC2" w14:textId="1523E284">
            <w:pPr>
              <w:pStyle w:val="Tabletext"/>
              <w:tabs>
                <w:tab w:val="decimal" w:pos="471"/>
              </w:tabs>
              <w:spacing w:before="40" w:after="40"/>
              <w:rPr>
                <w:sz w:val="20"/>
                <w:szCs w:val="20"/>
              </w:rPr>
            </w:pPr>
            <w:r>
              <w:rPr>
                <w:sz w:val="20"/>
                <w:szCs w:val="20"/>
              </w:rPr>
              <w:t>115</w:t>
            </w:r>
          </w:p>
        </w:tc>
        <w:tc>
          <w:tcPr>
            <w:tcW w:w="990" w:type="dxa"/>
            <w:tcBorders>
              <w:top w:val="single" w:sz="4" w:space="0" w:color="auto"/>
            </w:tcBorders>
          </w:tcPr>
          <w:p w:rsidR="00593DD0" w:rsidRPr="00E835B2" w:rsidP="00155049" w14:paraId="690EBC1B" w14:textId="77777777">
            <w:pPr>
              <w:pStyle w:val="Tabletext"/>
              <w:tabs>
                <w:tab w:val="decimal" w:pos="336"/>
              </w:tabs>
              <w:spacing w:before="40" w:after="40"/>
              <w:rPr>
                <w:sz w:val="20"/>
                <w:szCs w:val="20"/>
              </w:rPr>
            </w:pPr>
            <w:r w:rsidRPr="00E835B2">
              <w:rPr>
                <w:sz w:val="20"/>
                <w:szCs w:val="20"/>
              </w:rPr>
              <w:t>5</w:t>
            </w:r>
            <w:r w:rsidRPr="00E835B2">
              <w:rPr>
                <w:sz w:val="20"/>
                <w:szCs w:val="20"/>
              </w:rPr>
              <w:t xml:space="preserve"> </w:t>
            </w:r>
          </w:p>
        </w:tc>
        <w:tc>
          <w:tcPr>
            <w:tcW w:w="990" w:type="dxa"/>
            <w:tcBorders>
              <w:top w:val="single" w:sz="4" w:space="0" w:color="auto"/>
            </w:tcBorders>
          </w:tcPr>
          <w:p w:rsidR="00593DD0" w:rsidRPr="00E835B2" w:rsidP="00155049" w14:paraId="75534A85" w14:textId="1CB5967C">
            <w:pPr>
              <w:pStyle w:val="Tabletext"/>
              <w:tabs>
                <w:tab w:val="decimal" w:pos="285"/>
              </w:tabs>
              <w:spacing w:before="40" w:after="40"/>
              <w:rPr>
                <w:sz w:val="20"/>
                <w:szCs w:val="20"/>
              </w:rPr>
            </w:pPr>
            <w:r>
              <w:rPr>
                <w:sz w:val="20"/>
                <w:szCs w:val="20"/>
              </w:rPr>
              <w:t>9.58</w:t>
            </w:r>
          </w:p>
        </w:tc>
        <w:tc>
          <w:tcPr>
            <w:tcW w:w="900" w:type="dxa"/>
            <w:tcBorders>
              <w:top w:val="single" w:sz="4" w:space="0" w:color="auto"/>
              <w:left w:val="nil"/>
            </w:tcBorders>
          </w:tcPr>
          <w:p w:rsidR="00593DD0" w:rsidRPr="00E835B2" w:rsidP="00155049" w14:paraId="175ED40B" w14:textId="7D5AC3D2">
            <w:pPr>
              <w:pStyle w:val="Tabletext"/>
              <w:tabs>
                <w:tab w:val="decimal" w:pos="242"/>
              </w:tabs>
              <w:spacing w:before="40" w:after="40"/>
              <w:rPr>
                <w:sz w:val="20"/>
                <w:szCs w:val="20"/>
              </w:rPr>
            </w:pPr>
            <w:r>
              <w:rPr>
                <w:sz w:val="20"/>
                <w:szCs w:val="20"/>
              </w:rPr>
              <w:t>10.41</w:t>
            </w:r>
          </w:p>
        </w:tc>
      </w:tr>
      <w:tr w14:paraId="43A6E895" w14:textId="77777777" w:rsidTr="00F75469">
        <w:tblPrEx>
          <w:tblW w:w="5000" w:type="pct"/>
          <w:tblLayout w:type="fixed"/>
          <w:tblLook w:val="04A0"/>
        </w:tblPrEx>
        <w:tc>
          <w:tcPr>
            <w:tcW w:w="1530" w:type="dxa"/>
            <w:tcBorders>
              <w:top w:val="single" w:sz="4" w:space="0" w:color="auto"/>
              <w:bottom w:val="single" w:sz="4" w:space="0" w:color="auto"/>
            </w:tcBorders>
          </w:tcPr>
          <w:p w:rsidR="00593DD0" w:rsidRPr="00E835B2" w:rsidP="00155049" w14:paraId="1A66A6E8" w14:textId="1E175902">
            <w:pPr>
              <w:pStyle w:val="Tabletext"/>
              <w:spacing w:before="40" w:after="40"/>
              <w:rPr>
                <w:sz w:val="20"/>
                <w:szCs w:val="20"/>
              </w:rPr>
            </w:pPr>
            <w:r>
              <w:rPr>
                <w:sz w:val="20"/>
                <w:szCs w:val="20"/>
              </w:rPr>
              <w:t>I</w:t>
            </w:r>
            <w:r w:rsidRPr="00E835B2">
              <w:rPr>
                <w:sz w:val="20"/>
                <w:szCs w:val="20"/>
              </w:rPr>
              <w:t xml:space="preserve">nformed consent, list of interview </w:t>
            </w:r>
            <w:r w:rsidR="00056579">
              <w:rPr>
                <w:sz w:val="20"/>
                <w:szCs w:val="20"/>
              </w:rPr>
              <w:t>questions</w:t>
            </w:r>
          </w:p>
        </w:tc>
        <w:tc>
          <w:tcPr>
            <w:tcW w:w="1080" w:type="dxa"/>
            <w:tcBorders>
              <w:top w:val="single" w:sz="4" w:space="0" w:color="auto"/>
              <w:bottom w:val="single" w:sz="4" w:space="0" w:color="auto"/>
            </w:tcBorders>
          </w:tcPr>
          <w:p w:rsidR="00593DD0" w:rsidRPr="00E835B2" w:rsidP="00155049" w14:paraId="6F1DC382" w14:textId="617B6A55">
            <w:pPr>
              <w:pStyle w:val="Tabletext"/>
              <w:spacing w:before="40" w:after="40"/>
              <w:rPr>
                <w:sz w:val="20"/>
                <w:szCs w:val="20"/>
              </w:rPr>
            </w:pPr>
            <w:r>
              <w:rPr>
                <w:sz w:val="20"/>
                <w:szCs w:val="20"/>
              </w:rPr>
              <w:t>D</w:t>
            </w:r>
            <w:r w:rsidR="0008445D">
              <w:rPr>
                <w:sz w:val="20"/>
                <w:szCs w:val="20"/>
              </w:rPr>
              <w:t xml:space="preserve"> </w:t>
            </w:r>
            <w:r w:rsidRPr="00E835B2">
              <w:rPr>
                <w:sz w:val="20"/>
                <w:szCs w:val="20"/>
              </w:rPr>
              <w:t xml:space="preserve">and </w:t>
            </w:r>
            <w:r>
              <w:rPr>
                <w:sz w:val="20"/>
                <w:szCs w:val="20"/>
              </w:rPr>
              <w:t>E</w:t>
            </w:r>
          </w:p>
        </w:tc>
        <w:tc>
          <w:tcPr>
            <w:tcW w:w="900" w:type="dxa"/>
            <w:tcBorders>
              <w:top w:val="single" w:sz="4" w:space="0" w:color="auto"/>
              <w:bottom w:val="single" w:sz="4" w:space="0" w:color="auto"/>
            </w:tcBorders>
          </w:tcPr>
          <w:p w:rsidR="00593DD0" w:rsidRPr="00E835B2" w:rsidP="00155049" w14:paraId="63E23907" w14:textId="1D2470F1">
            <w:pPr>
              <w:pStyle w:val="Tabletext"/>
              <w:tabs>
                <w:tab w:val="decimal" w:pos="427"/>
              </w:tabs>
              <w:spacing w:before="40" w:after="40"/>
              <w:rPr>
                <w:sz w:val="20"/>
                <w:szCs w:val="20"/>
              </w:rPr>
            </w:pPr>
            <w:r w:rsidRPr="00E835B2">
              <w:rPr>
                <w:sz w:val="20"/>
                <w:szCs w:val="20"/>
              </w:rPr>
              <w:t>1</w:t>
            </w:r>
            <w:r w:rsidR="00BB2812">
              <w:rPr>
                <w:sz w:val="20"/>
                <w:szCs w:val="20"/>
              </w:rPr>
              <w:t>0</w:t>
            </w:r>
          </w:p>
        </w:tc>
        <w:tc>
          <w:tcPr>
            <w:tcW w:w="630" w:type="dxa"/>
            <w:tcBorders>
              <w:top w:val="single" w:sz="4" w:space="0" w:color="auto"/>
              <w:bottom w:val="single" w:sz="4" w:space="0" w:color="auto"/>
            </w:tcBorders>
          </w:tcPr>
          <w:p w:rsidR="00593DD0" w:rsidRPr="00E835B2" w:rsidP="00155049" w14:paraId="78B2A379" w14:textId="77777777">
            <w:pPr>
              <w:pStyle w:val="Tabletext"/>
              <w:tabs>
                <w:tab w:val="decimal" w:pos="232"/>
              </w:tabs>
              <w:spacing w:before="40" w:after="40"/>
              <w:rPr>
                <w:sz w:val="20"/>
                <w:szCs w:val="20"/>
              </w:rPr>
            </w:pPr>
            <w:r w:rsidRPr="00E835B2">
              <w:rPr>
                <w:sz w:val="20"/>
                <w:szCs w:val="20"/>
              </w:rPr>
              <w:t>1</w:t>
            </w:r>
          </w:p>
        </w:tc>
        <w:tc>
          <w:tcPr>
            <w:tcW w:w="990" w:type="dxa"/>
            <w:tcBorders>
              <w:top w:val="single" w:sz="4" w:space="0" w:color="auto"/>
              <w:left w:val="nil"/>
              <w:bottom w:val="single" w:sz="4" w:space="0" w:color="auto"/>
            </w:tcBorders>
          </w:tcPr>
          <w:p w:rsidR="00593DD0" w:rsidRPr="00E835B2" w:rsidP="00155049" w14:paraId="7836424E" w14:textId="1529C38D">
            <w:pPr>
              <w:pStyle w:val="Tabletext"/>
              <w:tabs>
                <w:tab w:val="decimal" w:pos="431"/>
              </w:tabs>
              <w:spacing w:before="40" w:after="40"/>
              <w:rPr>
                <w:sz w:val="20"/>
                <w:szCs w:val="20"/>
              </w:rPr>
            </w:pPr>
            <w:r w:rsidRPr="00E835B2">
              <w:rPr>
                <w:sz w:val="20"/>
                <w:szCs w:val="20"/>
              </w:rPr>
              <w:t>1</w:t>
            </w:r>
            <w:r w:rsidR="00BB2812">
              <w:rPr>
                <w:sz w:val="20"/>
                <w:szCs w:val="20"/>
              </w:rPr>
              <w:t>0</w:t>
            </w:r>
            <w:r w:rsidRPr="00E835B2">
              <w:rPr>
                <w:sz w:val="20"/>
                <w:szCs w:val="20"/>
                <w:vertAlign w:val="superscript"/>
              </w:rPr>
              <w:t>b</w:t>
            </w:r>
          </w:p>
        </w:tc>
        <w:tc>
          <w:tcPr>
            <w:tcW w:w="990" w:type="dxa"/>
            <w:tcBorders>
              <w:top w:val="single" w:sz="4" w:space="0" w:color="auto"/>
              <w:bottom w:val="single" w:sz="4" w:space="0" w:color="auto"/>
            </w:tcBorders>
          </w:tcPr>
          <w:p w:rsidR="00593DD0" w:rsidRPr="00E835B2" w:rsidP="00155049" w14:paraId="549A9329" w14:textId="6D908DD7">
            <w:pPr>
              <w:pStyle w:val="Tabletext"/>
              <w:spacing w:before="40" w:after="40"/>
              <w:jc w:val="center"/>
              <w:rPr>
                <w:sz w:val="20"/>
                <w:szCs w:val="20"/>
              </w:rPr>
            </w:pPr>
            <w:r w:rsidRPr="00E835B2">
              <w:rPr>
                <w:sz w:val="20"/>
                <w:szCs w:val="20"/>
              </w:rPr>
              <w:t>1</w:t>
            </w:r>
            <w:r w:rsidR="00BB2812">
              <w:rPr>
                <w:sz w:val="20"/>
                <w:szCs w:val="20"/>
              </w:rPr>
              <w:t>0</w:t>
            </w:r>
          </w:p>
        </w:tc>
        <w:tc>
          <w:tcPr>
            <w:tcW w:w="990" w:type="dxa"/>
            <w:tcBorders>
              <w:top w:val="single" w:sz="4" w:space="0" w:color="auto"/>
              <w:bottom w:val="single" w:sz="4" w:space="0" w:color="auto"/>
            </w:tcBorders>
          </w:tcPr>
          <w:p w:rsidR="00593DD0" w:rsidRPr="00E835B2" w:rsidP="00155049" w14:paraId="490C6A3B" w14:textId="77777777">
            <w:pPr>
              <w:pStyle w:val="Tabletext"/>
              <w:tabs>
                <w:tab w:val="decimal" w:pos="400"/>
              </w:tabs>
              <w:spacing w:before="40" w:after="40"/>
              <w:rPr>
                <w:sz w:val="20"/>
                <w:szCs w:val="20"/>
              </w:rPr>
            </w:pPr>
            <w:r w:rsidRPr="00E835B2">
              <w:rPr>
                <w:sz w:val="20"/>
                <w:szCs w:val="20"/>
              </w:rPr>
              <w:t>15</w:t>
            </w:r>
          </w:p>
        </w:tc>
        <w:tc>
          <w:tcPr>
            <w:tcW w:w="990" w:type="dxa"/>
            <w:tcBorders>
              <w:top w:val="single" w:sz="4" w:space="0" w:color="auto"/>
              <w:bottom w:val="single" w:sz="4" w:space="0" w:color="auto"/>
              <w:right w:val="single" w:sz="4" w:space="0" w:color="auto"/>
            </w:tcBorders>
          </w:tcPr>
          <w:p w:rsidR="00593DD0" w:rsidRPr="00E835B2" w:rsidP="00155049" w14:paraId="7C542735" w14:textId="217C4050">
            <w:pPr>
              <w:pStyle w:val="Tabletext"/>
              <w:tabs>
                <w:tab w:val="decimal" w:pos="414"/>
              </w:tabs>
              <w:spacing w:before="40" w:after="40"/>
              <w:rPr>
                <w:sz w:val="20"/>
                <w:szCs w:val="20"/>
              </w:rPr>
            </w:pPr>
            <w:r w:rsidRPr="00E835B2">
              <w:rPr>
                <w:sz w:val="20"/>
                <w:szCs w:val="20"/>
              </w:rPr>
              <w:t>2.5</w:t>
            </w:r>
            <w:r w:rsidR="00BB2812">
              <w:rPr>
                <w:sz w:val="20"/>
                <w:szCs w:val="20"/>
              </w:rPr>
              <w:t>0</w:t>
            </w:r>
          </w:p>
        </w:tc>
        <w:tc>
          <w:tcPr>
            <w:tcW w:w="990" w:type="dxa"/>
            <w:tcBorders>
              <w:top w:val="single" w:sz="4" w:space="0" w:color="auto"/>
              <w:left w:val="single" w:sz="4" w:space="0" w:color="auto"/>
              <w:bottom w:val="single" w:sz="4" w:space="0" w:color="auto"/>
            </w:tcBorders>
          </w:tcPr>
          <w:p w:rsidR="00593DD0" w:rsidRPr="00E835B2" w:rsidP="00155049" w14:paraId="43710AEC" w14:textId="64244300">
            <w:pPr>
              <w:pStyle w:val="Tabletext"/>
              <w:tabs>
                <w:tab w:val="decimal" w:pos="442"/>
              </w:tabs>
              <w:spacing w:before="40" w:after="40"/>
              <w:rPr>
                <w:sz w:val="20"/>
                <w:szCs w:val="20"/>
              </w:rPr>
            </w:pPr>
            <w:r>
              <w:rPr>
                <w:sz w:val="20"/>
                <w:szCs w:val="20"/>
              </w:rPr>
              <w:t>1</w:t>
            </w:r>
          </w:p>
        </w:tc>
        <w:tc>
          <w:tcPr>
            <w:tcW w:w="990" w:type="dxa"/>
            <w:tcBorders>
              <w:top w:val="single" w:sz="4" w:space="0" w:color="auto"/>
              <w:bottom w:val="single" w:sz="4" w:space="0" w:color="auto"/>
            </w:tcBorders>
          </w:tcPr>
          <w:p w:rsidR="00593DD0" w:rsidRPr="00E835B2" w:rsidP="00155049" w14:paraId="62BCE483" w14:textId="3C05C25F">
            <w:pPr>
              <w:pStyle w:val="Tabletext"/>
              <w:tabs>
                <w:tab w:val="decimal" w:pos="471"/>
              </w:tabs>
              <w:spacing w:before="40" w:after="40"/>
              <w:rPr>
                <w:sz w:val="20"/>
                <w:szCs w:val="20"/>
              </w:rPr>
            </w:pPr>
            <w:r>
              <w:rPr>
                <w:sz w:val="20"/>
                <w:szCs w:val="20"/>
              </w:rPr>
              <w:t>1</w:t>
            </w:r>
          </w:p>
        </w:tc>
        <w:tc>
          <w:tcPr>
            <w:tcW w:w="990" w:type="dxa"/>
            <w:tcBorders>
              <w:top w:val="single" w:sz="4" w:space="0" w:color="auto"/>
              <w:bottom w:val="single" w:sz="4" w:space="0" w:color="auto"/>
            </w:tcBorders>
          </w:tcPr>
          <w:p w:rsidR="00593DD0" w:rsidRPr="00E835B2" w:rsidP="00155049" w14:paraId="03975B32" w14:textId="4055F504">
            <w:pPr>
              <w:pStyle w:val="Tabletext"/>
              <w:tabs>
                <w:tab w:val="decimal" w:pos="336"/>
              </w:tabs>
              <w:spacing w:before="40" w:after="40"/>
              <w:rPr>
                <w:sz w:val="20"/>
                <w:szCs w:val="20"/>
              </w:rPr>
            </w:pPr>
            <w:r>
              <w:rPr>
                <w:sz w:val="20"/>
                <w:szCs w:val="20"/>
              </w:rPr>
              <w:t>15</w:t>
            </w:r>
          </w:p>
        </w:tc>
        <w:tc>
          <w:tcPr>
            <w:tcW w:w="990" w:type="dxa"/>
            <w:tcBorders>
              <w:top w:val="single" w:sz="4" w:space="0" w:color="auto"/>
              <w:bottom w:val="single" w:sz="4" w:space="0" w:color="auto"/>
            </w:tcBorders>
          </w:tcPr>
          <w:p w:rsidR="00593DD0" w:rsidRPr="00E835B2" w:rsidP="00155049" w14:paraId="60924C54" w14:textId="55D75D0C">
            <w:pPr>
              <w:pStyle w:val="Tabletext"/>
              <w:tabs>
                <w:tab w:val="decimal" w:pos="285"/>
              </w:tabs>
              <w:spacing w:before="40" w:after="40"/>
              <w:rPr>
                <w:sz w:val="20"/>
                <w:szCs w:val="20"/>
              </w:rPr>
            </w:pPr>
            <w:r w:rsidRPr="00E835B2">
              <w:rPr>
                <w:sz w:val="20"/>
                <w:szCs w:val="20"/>
              </w:rPr>
              <w:t>0</w:t>
            </w:r>
            <w:r>
              <w:rPr>
                <w:sz w:val="20"/>
                <w:szCs w:val="20"/>
              </w:rPr>
              <w:t>.</w:t>
            </w:r>
            <w:r w:rsidR="00BB2812">
              <w:rPr>
                <w:sz w:val="20"/>
                <w:szCs w:val="20"/>
              </w:rPr>
              <w:t>25</w:t>
            </w:r>
          </w:p>
        </w:tc>
        <w:tc>
          <w:tcPr>
            <w:tcW w:w="900" w:type="dxa"/>
            <w:tcBorders>
              <w:top w:val="single" w:sz="4" w:space="0" w:color="auto"/>
              <w:left w:val="nil"/>
              <w:bottom w:val="single" w:sz="4" w:space="0" w:color="auto"/>
            </w:tcBorders>
          </w:tcPr>
          <w:p w:rsidR="00593DD0" w:rsidRPr="00E835B2" w:rsidP="00155049" w14:paraId="67871113" w14:textId="77777777">
            <w:pPr>
              <w:pStyle w:val="Tabletext"/>
              <w:tabs>
                <w:tab w:val="decimal" w:pos="242"/>
              </w:tabs>
              <w:spacing w:before="40" w:after="40"/>
              <w:rPr>
                <w:sz w:val="20"/>
                <w:szCs w:val="20"/>
              </w:rPr>
            </w:pPr>
            <w:r w:rsidRPr="00E835B2">
              <w:rPr>
                <w:sz w:val="20"/>
                <w:szCs w:val="20"/>
              </w:rPr>
              <w:t>2.75</w:t>
            </w:r>
          </w:p>
        </w:tc>
      </w:tr>
      <w:tr w14:paraId="6A9FDD86" w14:textId="77777777" w:rsidTr="00F75469">
        <w:tblPrEx>
          <w:tblW w:w="5000" w:type="pct"/>
          <w:tblLayout w:type="fixed"/>
          <w:tblLook w:val="04A0"/>
        </w:tblPrEx>
        <w:tc>
          <w:tcPr>
            <w:tcW w:w="1530" w:type="dxa"/>
            <w:tcBorders>
              <w:top w:val="single" w:sz="4" w:space="0" w:color="auto"/>
              <w:bottom w:val="single" w:sz="4" w:space="0" w:color="auto"/>
            </w:tcBorders>
          </w:tcPr>
          <w:p w:rsidR="00593DD0" w:rsidRPr="00E835B2" w:rsidP="00155049" w14:paraId="75357E6F" w14:textId="77777777">
            <w:pPr>
              <w:pStyle w:val="Tabletext"/>
              <w:spacing w:before="40" w:after="40"/>
              <w:rPr>
                <w:sz w:val="20"/>
                <w:szCs w:val="20"/>
              </w:rPr>
            </w:pPr>
            <w:r w:rsidRPr="00E835B2">
              <w:rPr>
                <w:sz w:val="20"/>
                <w:szCs w:val="20"/>
              </w:rPr>
              <w:t>Reminder email</w:t>
            </w:r>
          </w:p>
        </w:tc>
        <w:tc>
          <w:tcPr>
            <w:tcW w:w="1080" w:type="dxa"/>
            <w:tcBorders>
              <w:top w:val="single" w:sz="4" w:space="0" w:color="auto"/>
              <w:bottom w:val="single" w:sz="4" w:space="0" w:color="auto"/>
            </w:tcBorders>
          </w:tcPr>
          <w:p w:rsidR="00593DD0" w:rsidRPr="00E835B2" w:rsidP="00155049" w14:paraId="20404E27" w14:textId="5D956558">
            <w:pPr>
              <w:pStyle w:val="Tabletext"/>
              <w:spacing w:before="40" w:after="40"/>
              <w:rPr>
                <w:sz w:val="20"/>
                <w:szCs w:val="20"/>
              </w:rPr>
            </w:pPr>
            <w:r>
              <w:rPr>
                <w:sz w:val="20"/>
                <w:szCs w:val="20"/>
              </w:rPr>
              <w:t>G</w:t>
            </w:r>
          </w:p>
        </w:tc>
        <w:tc>
          <w:tcPr>
            <w:tcW w:w="900" w:type="dxa"/>
            <w:tcBorders>
              <w:top w:val="single" w:sz="4" w:space="0" w:color="auto"/>
              <w:bottom w:val="single" w:sz="4" w:space="0" w:color="auto"/>
            </w:tcBorders>
          </w:tcPr>
          <w:p w:rsidR="00593DD0" w:rsidRPr="00E835B2" w:rsidP="00155049" w14:paraId="5E030250" w14:textId="5472071B">
            <w:pPr>
              <w:pStyle w:val="Tabletext"/>
              <w:tabs>
                <w:tab w:val="decimal" w:pos="427"/>
              </w:tabs>
              <w:spacing w:before="40" w:after="40"/>
              <w:rPr>
                <w:sz w:val="20"/>
                <w:szCs w:val="20"/>
              </w:rPr>
            </w:pPr>
            <w:r w:rsidRPr="00E835B2">
              <w:rPr>
                <w:sz w:val="20"/>
                <w:szCs w:val="20"/>
              </w:rPr>
              <w:t>1</w:t>
            </w:r>
            <w:r>
              <w:rPr>
                <w:sz w:val="20"/>
                <w:szCs w:val="20"/>
              </w:rPr>
              <w:t>0</w:t>
            </w:r>
          </w:p>
        </w:tc>
        <w:tc>
          <w:tcPr>
            <w:tcW w:w="630" w:type="dxa"/>
            <w:tcBorders>
              <w:top w:val="single" w:sz="4" w:space="0" w:color="auto"/>
              <w:bottom w:val="single" w:sz="4" w:space="0" w:color="auto"/>
            </w:tcBorders>
          </w:tcPr>
          <w:p w:rsidR="00593DD0" w:rsidRPr="00E835B2" w:rsidP="00155049" w14:paraId="347C903A" w14:textId="77777777">
            <w:pPr>
              <w:pStyle w:val="Tabletext"/>
              <w:tabs>
                <w:tab w:val="decimal" w:pos="232"/>
              </w:tabs>
              <w:spacing w:before="40" w:after="40"/>
              <w:rPr>
                <w:sz w:val="20"/>
                <w:szCs w:val="20"/>
              </w:rPr>
            </w:pPr>
            <w:r w:rsidRPr="00E835B2">
              <w:rPr>
                <w:sz w:val="20"/>
                <w:szCs w:val="20"/>
              </w:rPr>
              <w:t>1</w:t>
            </w:r>
          </w:p>
        </w:tc>
        <w:tc>
          <w:tcPr>
            <w:tcW w:w="990" w:type="dxa"/>
            <w:tcBorders>
              <w:top w:val="single" w:sz="4" w:space="0" w:color="auto"/>
              <w:left w:val="nil"/>
              <w:bottom w:val="single" w:sz="4" w:space="0" w:color="auto"/>
            </w:tcBorders>
          </w:tcPr>
          <w:p w:rsidR="00593DD0" w:rsidRPr="00E835B2" w:rsidP="00155049" w14:paraId="29B5E0C1" w14:textId="77777777">
            <w:pPr>
              <w:pStyle w:val="Tabletext"/>
              <w:tabs>
                <w:tab w:val="decimal" w:pos="431"/>
              </w:tabs>
              <w:spacing w:before="40" w:after="40"/>
              <w:rPr>
                <w:sz w:val="20"/>
                <w:szCs w:val="20"/>
              </w:rPr>
            </w:pPr>
            <w:r w:rsidRPr="00E835B2">
              <w:rPr>
                <w:sz w:val="20"/>
                <w:szCs w:val="20"/>
              </w:rPr>
              <w:t>10</w:t>
            </w:r>
          </w:p>
        </w:tc>
        <w:tc>
          <w:tcPr>
            <w:tcW w:w="990" w:type="dxa"/>
            <w:tcBorders>
              <w:top w:val="single" w:sz="4" w:space="0" w:color="auto"/>
              <w:bottom w:val="single" w:sz="4" w:space="0" w:color="auto"/>
            </w:tcBorders>
          </w:tcPr>
          <w:p w:rsidR="00593DD0" w:rsidRPr="00E835B2" w:rsidP="00155049" w14:paraId="417C243B" w14:textId="77777777">
            <w:pPr>
              <w:pStyle w:val="Tabletext"/>
              <w:spacing w:before="40" w:after="40"/>
              <w:jc w:val="center"/>
              <w:rPr>
                <w:sz w:val="20"/>
                <w:szCs w:val="20"/>
              </w:rPr>
            </w:pPr>
            <w:r w:rsidRPr="00E835B2">
              <w:rPr>
                <w:sz w:val="20"/>
                <w:szCs w:val="20"/>
              </w:rPr>
              <w:t>10</w:t>
            </w:r>
          </w:p>
        </w:tc>
        <w:tc>
          <w:tcPr>
            <w:tcW w:w="990" w:type="dxa"/>
            <w:tcBorders>
              <w:top w:val="single" w:sz="4" w:space="0" w:color="auto"/>
              <w:bottom w:val="single" w:sz="4" w:space="0" w:color="auto"/>
            </w:tcBorders>
          </w:tcPr>
          <w:p w:rsidR="00593DD0" w:rsidRPr="00E835B2" w:rsidP="00155049" w14:paraId="5286B649" w14:textId="77777777">
            <w:pPr>
              <w:pStyle w:val="Tabletext"/>
              <w:tabs>
                <w:tab w:val="decimal" w:pos="400"/>
              </w:tabs>
              <w:spacing w:before="40" w:after="40"/>
              <w:rPr>
                <w:sz w:val="20"/>
                <w:szCs w:val="20"/>
              </w:rPr>
            </w:pPr>
            <w:r w:rsidRPr="00E835B2">
              <w:rPr>
                <w:sz w:val="20"/>
                <w:szCs w:val="20"/>
              </w:rPr>
              <w:t>1</w:t>
            </w:r>
          </w:p>
        </w:tc>
        <w:tc>
          <w:tcPr>
            <w:tcW w:w="990" w:type="dxa"/>
            <w:tcBorders>
              <w:top w:val="single" w:sz="4" w:space="0" w:color="auto"/>
              <w:bottom w:val="single" w:sz="4" w:space="0" w:color="auto"/>
              <w:right w:val="single" w:sz="4" w:space="0" w:color="auto"/>
            </w:tcBorders>
          </w:tcPr>
          <w:p w:rsidR="00593DD0" w:rsidRPr="00E835B2" w:rsidP="00155049" w14:paraId="150BF9F8" w14:textId="77777777">
            <w:pPr>
              <w:pStyle w:val="Tabletext"/>
              <w:tabs>
                <w:tab w:val="decimal" w:pos="414"/>
              </w:tabs>
              <w:spacing w:before="40" w:after="40"/>
              <w:rPr>
                <w:sz w:val="20"/>
                <w:szCs w:val="20"/>
              </w:rPr>
            </w:pPr>
            <w:r>
              <w:rPr>
                <w:sz w:val="20"/>
                <w:szCs w:val="20"/>
              </w:rPr>
              <w:t>0</w:t>
            </w:r>
            <w:r w:rsidRPr="00E835B2">
              <w:rPr>
                <w:sz w:val="20"/>
                <w:szCs w:val="20"/>
              </w:rPr>
              <w:t>.17</w:t>
            </w:r>
          </w:p>
        </w:tc>
        <w:tc>
          <w:tcPr>
            <w:tcW w:w="990" w:type="dxa"/>
            <w:tcBorders>
              <w:top w:val="single" w:sz="4" w:space="0" w:color="auto"/>
              <w:left w:val="single" w:sz="4" w:space="0" w:color="auto"/>
              <w:bottom w:val="single" w:sz="4" w:space="0" w:color="auto"/>
            </w:tcBorders>
          </w:tcPr>
          <w:p w:rsidR="00593DD0" w:rsidRPr="00E835B2" w:rsidP="00155049" w14:paraId="078164B5" w14:textId="6A318EC7">
            <w:pPr>
              <w:pStyle w:val="Tabletext"/>
              <w:tabs>
                <w:tab w:val="decimal" w:pos="442"/>
              </w:tabs>
              <w:spacing w:before="40" w:after="40"/>
              <w:rPr>
                <w:sz w:val="20"/>
                <w:szCs w:val="20"/>
              </w:rPr>
            </w:pPr>
            <w:r>
              <w:rPr>
                <w:sz w:val="20"/>
                <w:szCs w:val="20"/>
              </w:rPr>
              <w:t>0</w:t>
            </w:r>
          </w:p>
        </w:tc>
        <w:tc>
          <w:tcPr>
            <w:tcW w:w="990" w:type="dxa"/>
            <w:tcBorders>
              <w:top w:val="single" w:sz="4" w:space="0" w:color="auto"/>
              <w:bottom w:val="single" w:sz="4" w:space="0" w:color="auto"/>
            </w:tcBorders>
          </w:tcPr>
          <w:p w:rsidR="00593DD0" w:rsidRPr="00E835B2" w:rsidP="00155049" w14:paraId="0A011D6B" w14:textId="7C8F0F62">
            <w:pPr>
              <w:pStyle w:val="Tabletext"/>
              <w:tabs>
                <w:tab w:val="decimal" w:pos="471"/>
              </w:tabs>
              <w:spacing w:before="40" w:after="40"/>
              <w:rPr>
                <w:sz w:val="20"/>
                <w:szCs w:val="20"/>
              </w:rPr>
            </w:pPr>
            <w:r>
              <w:rPr>
                <w:sz w:val="20"/>
                <w:szCs w:val="20"/>
              </w:rPr>
              <w:t>0</w:t>
            </w:r>
          </w:p>
        </w:tc>
        <w:tc>
          <w:tcPr>
            <w:tcW w:w="990" w:type="dxa"/>
            <w:tcBorders>
              <w:top w:val="single" w:sz="4" w:space="0" w:color="auto"/>
              <w:bottom w:val="single" w:sz="4" w:space="0" w:color="auto"/>
            </w:tcBorders>
          </w:tcPr>
          <w:p w:rsidR="00593DD0" w:rsidRPr="00E835B2" w:rsidP="00155049" w14:paraId="67D2450C" w14:textId="77777777">
            <w:pPr>
              <w:pStyle w:val="Tabletext"/>
              <w:tabs>
                <w:tab w:val="decimal" w:pos="336"/>
              </w:tabs>
              <w:spacing w:before="40" w:after="40"/>
              <w:rPr>
                <w:sz w:val="20"/>
                <w:szCs w:val="20"/>
              </w:rPr>
            </w:pPr>
            <w:r w:rsidRPr="00E835B2">
              <w:rPr>
                <w:sz w:val="20"/>
                <w:szCs w:val="20"/>
              </w:rPr>
              <w:t>0</w:t>
            </w:r>
          </w:p>
        </w:tc>
        <w:tc>
          <w:tcPr>
            <w:tcW w:w="990" w:type="dxa"/>
            <w:tcBorders>
              <w:top w:val="single" w:sz="4" w:space="0" w:color="auto"/>
              <w:bottom w:val="single" w:sz="4" w:space="0" w:color="auto"/>
            </w:tcBorders>
          </w:tcPr>
          <w:p w:rsidR="00593DD0" w:rsidRPr="00E835B2" w:rsidP="00155049" w14:paraId="08AFB986" w14:textId="77777777">
            <w:pPr>
              <w:pStyle w:val="Tabletext"/>
              <w:tabs>
                <w:tab w:val="decimal" w:pos="285"/>
              </w:tabs>
              <w:spacing w:before="40" w:after="40"/>
              <w:rPr>
                <w:sz w:val="20"/>
                <w:szCs w:val="20"/>
              </w:rPr>
            </w:pPr>
            <w:r w:rsidRPr="00E835B2">
              <w:rPr>
                <w:sz w:val="20"/>
                <w:szCs w:val="20"/>
              </w:rPr>
              <w:t>0</w:t>
            </w:r>
            <w:r>
              <w:rPr>
                <w:sz w:val="20"/>
                <w:szCs w:val="20"/>
              </w:rPr>
              <w:t>.00</w:t>
            </w:r>
          </w:p>
        </w:tc>
        <w:tc>
          <w:tcPr>
            <w:tcW w:w="900" w:type="dxa"/>
            <w:tcBorders>
              <w:top w:val="single" w:sz="4" w:space="0" w:color="auto"/>
              <w:left w:val="nil"/>
              <w:bottom w:val="single" w:sz="4" w:space="0" w:color="auto"/>
            </w:tcBorders>
          </w:tcPr>
          <w:p w:rsidR="00593DD0" w:rsidRPr="00E835B2" w:rsidP="00155049" w14:paraId="586D0D30" w14:textId="77777777">
            <w:pPr>
              <w:pStyle w:val="Tabletext"/>
              <w:tabs>
                <w:tab w:val="decimal" w:pos="242"/>
              </w:tabs>
              <w:spacing w:before="40" w:after="40"/>
              <w:rPr>
                <w:sz w:val="20"/>
                <w:szCs w:val="20"/>
              </w:rPr>
            </w:pPr>
            <w:r w:rsidRPr="00E835B2">
              <w:rPr>
                <w:sz w:val="20"/>
                <w:szCs w:val="20"/>
              </w:rPr>
              <w:t>0.17</w:t>
            </w:r>
          </w:p>
        </w:tc>
      </w:tr>
      <w:tr w14:paraId="4576C052" w14:textId="77777777" w:rsidTr="00F75469">
        <w:tblPrEx>
          <w:tblW w:w="5000" w:type="pct"/>
          <w:tblLayout w:type="fixed"/>
          <w:tblLook w:val="04A0"/>
        </w:tblPrEx>
        <w:trPr>
          <w:trHeight w:val="287"/>
        </w:trPr>
        <w:tc>
          <w:tcPr>
            <w:tcW w:w="1530" w:type="dxa"/>
            <w:tcBorders>
              <w:top w:val="single" w:sz="4" w:space="0" w:color="auto"/>
            </w:tcBorders>
          </w:tcPr>
          <w:p w:rsidR="00593DD0" w:rsidRPr="003969B5" w:rsidP="00155049" w14:paraId="12025DE3" w14:textId="1AB367F3">
            <w:pPr>
              <w:pStyle w:val="Tabletext"/>
              <w:spacing w:before="40" w:after="40"/>
              <w:rPr>
                <w:sz w:val="20"/>
                <w:szCs w:val="20"/>
                <w:vertAlign w:val="superscript"/>
              </w:rPr>
            </w:pPr>
            <w:r w:rsidRPr="00E835B2">
              <w:rPr>
                <w:sz w:val="20"/>
                <w:szCs w:val="20"/>
              </w:rPr>
              <w:t>Interviews</w:t>
            </w:r>
            <w:r w:rsidR="003969B5">
              <w:rPr>
                <w:sz w:val="20"/>
                <w:szCs w:val="20"/>
                <w:vertAlign w:val="superscript"/>
              </w:rPr>
              <w:t>c</w:t>
            </w:r>
          </w:p>
        </w:tc>
        <w:tc>
          <w:tcPr>
            <w:tcW w:w="1080" w:type="dxa"/>
            <w:tcBorders>
              <w:top w:val="single" w:sz="4" w:space="0" w:color="auto"/>
            </w:tcBorders>
          </w:tcPr>
          <w:p w:rsidR="00593DD0" w:rsidRPr="00E835B2" w:rsidP="00155049" w14:paraId="7FD878C5" w14:textId="25A1AFDB">
            <w:pPr>
              <w:pStyle w:val="Tabletext"/>
              <w:spacing w:before="40" w:after="40"/>
              <w:rPr>
                <w:sz w:val="20"/>
                <w:szCs w:val="20"/>
              </w:rPr>
            </w:pPr>
            <w:r>
              <w:rPr>
                <w:sz w:val="20"/>
                <w:szCs w:val="20"/>
              </w:rPr>
              <w:t>H</w:t>
            </w:r>
          </w:p>
        </w:tc>
        <w:tc>
          <w:tcPr>
            <w:tcW w:w="900" w:type="dxa"/>
            <w:tcBorders>
              <w:top w:val="single" w:sz="4" w:space="0" w:color="auto"/>
            </w:tcBorders>
          </w:tcPr>
          <w:p w:rsidR="00593DD0" w:rsidRPr="00E835B2" w:rsidP="00155049" w14:paraId="2E9E1D52" w14:textId="77777777">
            <w:pPr>
              <w:pStyle w:val="Tabletext"/>
              <w:tabs>
                <w:tab w:val="decimal" w:pos="427"/>
              </w:tabs>
              <w:spacing w:before="40" w:after="40"/>
              <w:rPr>
                <w:sz w:val="20"/>
                <w:szCs w:val="20"/>
              </w:rPr>
            </w:pPr>
            <w:r w:rsidRPr="00E835B2">
              <w:rPr>
                <w:sz w:val="20"/>
                <w:szCs w:val="20"/>
              </w:rPr>
              <w:t>10</w:t>
            </w:r>
          </w:p>
        </w:tc>
        <w:tc>
          <w:tcPr>
            <w:tcW w:w="630" w:type="dxa"/>
            <w:tcBorders>
              <w:top w:val="single" w:sz="4" w:space="0" w:color="auto"/>
            </w:tcBorders>
          </w:tcPr>
          <w:p w:rsidR="00593DD0" w:rsidRPr="00E835B2" w:rsidP="00155049" w14:paraId="02D7A118" w14:textId="77777777">
            <w:pPr>
              <w:pStyle w:val="Tabletext"/>
              <w:tabs>
                <w:tab w:val="decimal" w:pos="232"/>
              </w:tabs>
              <w:spacing w:before="40" w:after="40"/>
              <w:rPr>
                <w:sz w:val="20"/>
                <w:szCs w:val="20"/>
              </w:rPr>
            </w:pPr>
            <w:r w:rsidRPr="00E835B2">
              <w:rPr>
                <w:sz w:val="20"/>
                <w:szCs w:val="20"/>
              </w:rPr>
              <w:t>1</w:t>
            </w:r>
          </w:p>
        </w:tc>
        <w:tc>
          <w:tcPr>
            <w:tcW w:w="990" w:type="dxa"/>
            <w:tcBorders>
              <w:top w:val="single" w:sz="4" w:space="0" w:color="auto"/>
              <w:left w:val="nil"/>
            </w:tcBorders>
          </w:tcPr>
          <w:p w:rsidR="00593DD0" w:rsidRPr="00E835B2" w:rsidP="00155049" w14:paraId="254BC214" w14:textId="77777777">
            <w:pPr>
              <w:pStyle w:val="Tabletext"/>
              <w:tabs>
                <w:tab w:val="decimal" w:pos="431"/>
              </w:tabs>
              <w:spacing w:before="40" w:after="40"/>
              <w:rPr>
                <w:sz w:val="20"/>
                <w:szCs w:val="20"/>
              </w:rPr>
            </w:pPr>
            <w:r w:rsidRPr="00E835B2">
              <w:rPr>
                <w:sz w:val="20"/>
                <w:szCs w:val="20"/>
              </w:rPr>
              <w:t>10</w:t>
            </w:r>
          </w:p>
        </w:tc>
        <w:tc>
          <w:tcPr>
            <w:tcW w:w="990" w:type="dxa"/>
            <w:tcBorders>
              <w:top w:val="single" w:sz="4" w:space="0" w:color="auto"/>
            </w:tcBorders>
          </w:tcPr>
          <w:p w:rsidR="00593DD0" w:rsidRPr="00E835B2" w:rsidP="00155049" w14:paraId="6661411F" w14:textId="77777777">
            <w:pPr>
              <w:pStyle w:val="Tabletext"/>
              <w:spacing w:before="40" w:after="40"/>
              <w:jc w:val="center"/>
              <w:rPr>
                <w:sz w:val="20"/>
                <w:szCs w:val="20"/>
              </w:rPr>
            </w:pPr>
            <w:r w:rsidRPr="00E835B2">
              <w:rPr>
                <w:sz w:val="20"/>
                <w:szCs w:val="20"/>
              </w:rPr>
              <w:t>10</w:t>
            </w:r>
          </w:p>
        </w:tc>
        <w:tc>
          <w:tcPr>
            <w:tcW w:w="990" w:type="dxa"/>
            <w:tcBorders>
              <w:top w:val="single" w:sz="4" w:space="0" w:color="auto"/>
            </w:tcBorders>
          </w:tcPr>
          <w:p w:rsidR="00593DD0" w:rsidRPr="00E835B2" w:rsidP="00155049" w14:paraId="3C0C3A86" w14:textId="46E42E5D">
            <w:pPr>
              <w:pStyle w:val="Tabletext"/>
              <w:tabs>
                <w:tab w:val="decimal" w:pos="400"/>
              </w:tabs>
              <w:spacing w:before="40" w:after="40"/>
              <w:rPr>
                <w:sz w:val="20"/>
                <w:szCs w:val="20"/>
              </w:rPr>
            </w:pPr>
            <w:r>
              <w:rPr>
                <w:sz w:val="20"/>
                <w:szCs w:val="20"/>
              </w:rPr>
              <w:t>30</w:t>
            </w:r>
          </w:p>
        </w:tc>
        <w:tc>
          <w:tcPr>
            <w:tcW w:w="990" w:type="dxa"/>
            <w:tcBorders>
              <w:top w:val="single" w:sz="4" w:space="0" w:color="auto"/>
              <w:right w:val="single" w:sz="4" w:space="0" w:color="auto"/>
            </w:tcBorders>
          </w:tcPr>
          <w:p w:rsidR="00593DD0" w:rsidRPr="00E835B2" w:rsidP="00155049" w14:paraId="3C2DEE9D" w14:textId="5E58545B">
            <w:pPr>
              <w:pStyle w:val="Tabletext"/>
              <w:tabs>
                <w:tab w:val="decimal" w:pos="414"/>
              </w:tabs>
              <w:spacing w:before="40" w:after="40"/>
              <w:rPr>
                <w:sz w:val="20"/>
                <w:szCs w:val="20"/>
              </w:rPr>
            </w:pPr>
            <w:r>
              <w:rPr>
                <w:sz w:val="20"/>
                <w:szCs w:val="20"/>
              </w:rPr>
              <w:t>5</w:t>
            </w:r>
            <w:r w:rsidRPr="00E835B2">
              <w:rPr>
                <w:sz w:val="20"/>
                <w:szCs w:val="20"/>
              </w:rPr>
              <w:t>.00</w:t>
            </w:r>
          </w:p>
        </w:tc>
        <w:tc>
          <w:tcPr>
            <w:tcW w:w="990" w:type="dxa"/>
            <w:tcBorders>
              <w:top w:val="single" w:sz="4" w:space="0" w:color="auto"/>
              <w:left w:val="single" w:sz="4" w:space="0" w:color="auto"/>
            </w:tcBorders>
          </w:tcPr>
          <w:p w:rsidR="00593DD0" w:rsidRPr="00E835B2" w:rsidP="00155049" w14:paraId="4927BEE6" w14:textId="77777777">
            <w:pPr>
              <w:pStyle w:val="Tabletext"/>
              <w:tabs>
                <w:tab w:val="decimal" w:pos="442"/>
              </w:tabs>
              <w:spacing w:before="40" w:after="40"/>
              <w:rPr>
                <w:sz w:val="20"/>
                <w:szCs w:val="20"/>
              </w:rPr>
            </w:pPr>
            <w:r w:rsidRPr="00E835B2">
              <w:rPr>
                <w:sz w:val="20"/>
                <w:szCs w:val="20"/>
              </w:rPr>
              <w:t>0</w:t>
            </w:r>
          </w:p>
        </w:tc>
        <w:tc>
          <w:tcPr>
            <w:tcW w:w="990" w:type="dxa"/>
            <w:tcBorders>
              <w:top w:val="single" w:sz="4" w:space="0" w:color="auto"/>
            </w:tcBorders>
          </w:tcPr>
          <w:p w:rsidR="00593DD0" w:rsidRPr="00E835B2" w:rsidP="00155049" w14:paraId="14D34A6F" w14:textId="77777777">
            <w:pPr>
              <w:pStyle w:val="Tabletext"/>
              <w:tabs>
                <w:tab w:val="decimal" w:pos="471"/>
              </w:tabs>
              <w:spacing w:before="40" w:after="40"/>
              <w:rPr>
                <w:sz w:val="20"/>
                <w:szCs w:val="20"/>
              </w:rPr>
            </w:pPr>
            <w:r w:rsidRPr="00E835B2">
              <w:rPr>
                <w:sz w:val="20"/>
                <w:szCs w:val="20"/>
              </w:rPr>
              <w:t>0</w:t>
            </w:r>
          </w:p>
        </w:tc>
        <w:tc>
          <w:tcPr>
            <w:tcW w:w="990" w:type="dxa"/>
            <w:tcBorders>
              <w:top w:val="single" w:sz="4" w:space="0" w:color="auto"/>
            </w:tcBorders>
          </w:tcPr>
          <w:p w:rsidR="00593DD0" w:rsidRPr="00E835B2" w:rsidP="00155049" w14:paraId="08DB45BE" w14:textId="7DA91832">
            <w:pPr>
              <w:pStyle w:val="Tabletext"/>
              <w:tabs>
                <w:tab w:val="decimal" w:pos="336"/>
              </w:tabs>
              <w:spacing w:before="40" w:after="40"/>
              <w:rPr>
                <w:sz w:val="20"/>
                <w:szCs w:val="20"/>
              </w:rPr>
            </w:pPr>
            <w:r w:rsidRPr="00E835B2">
              <w:rPr>
                <w:sz w:val="20"/>
                <w:szCs w:val="20"/>
              </w:rPr>
              <w:t>0</w:t>
            </w:r>
          </w:p>
        </w:tc>
        <w:tc>
          <w:tcPr>
            <w:tcW w:w="990" w:type="dxa"/>
            <w:tcBorders>
              <w:top w:val="single" w:sz="4" w:space="0" w:color="auto"/>
            </w:tcBorders>
          </w:tcPr>
          <w:p w:rsidR="00593DD0" w:rsidRPr="00E835B2" w:rsidP="00155049" w14:paraId="5F0F2D17" w14:textId="77777777">
            <w:pPr>
              <w:pStyle w:val="Tabletext"/>
              <w:tabs>
                <w:tab w:val="decimal" w:pos="285"/>
              </w:tabs>
              <w:spacing w:before="40" w:after="40"/>
              <w:rPr>
                <w:sz w:val="20"/>
                <w:szCs w:val="20"/>
              </w:rPr>
            </w:pPr>
            <w:r w:rsidRPr="00E835B2">
              <w:rPr>
                <w:sz w:val="20"/>
                <w:szCs w:val="20"/>
              </w:rPr>
              <w:t>0.0</w:t>
            </w:r>
            <w:r>
              <w:rPr>
                <w:sz w:val="20"/>
                <w:szCs w:val="20"/>
              </w:rPr>
              <w:t>0</w:t>
            </w:r>
          </w:p>
        </w:tc>
        <w:tc>
          <w:tcPr>
            <w:tcW w:w="900" w:type="dxa"/>
            <w:tcBorders>
              <w:top w:val="single" w:sz="4" w:space="0" w:color="auto"/>
              <w:left w:val="nil"/>
            </w:tcBorders>
          </w:tcPr>
          <w:p w:rsidR="00593DD0" w:rsidRPr="00E835B2" w:rsidP="00155049" w14:paraId="6441A57E" w14:textId="6654B387">
            <w:pPr>
              <w:pStyle w:val="Tabletext"/>
              <w:tabs>
                <w:tab w:val="decimal" w:pos="242"/>
              </w:tabs>
              <w:spacing w:before="40" w:after="40"/>
              <w:rPr>
                <w:sz w:val="20"/>
                <w:szCs w:val="20"/>
              </w:rPr>
            </w:pPr>
            <w:r>
              <w:rPr>
                <w:sz w:val="20"/>
                <w:szCs w:val="20"/>
              </w:rPr>
              <w:t>5</w:t>
            </w:r>
            <w:r w:rsidRPr="00E835B2">
              <w:rPr>
                <w:sz w:val="20"/>
                <w:szCs w:val="20"/>
              </w:rPr>
              <w:t>.0</w:t>
            </w:r>
            <w:r>
              <w:rPr>
                <w:sz w:val="20"/>
                <w:szCs w:val="20"/>
              </w:rPr>
              <w:t>0</w:t>
            </w:r>
          </w:p>
        </w:tc>
      </w:tr>
      <w:tr w14:paraId="3CEEBE06" w14:textId="77777777" w:rsidTr="00155049">
        <w:tblPrEx>
          <w:tblW w:w="5000" w:type="pct"/>
          <w:tblLayout w:type="fixed"/>
          <w:tblLook w:val="04A0"/>
        </w:tblPrEx>
        <w:tc>
          <w:tcPr>
            <w:tcW w:w="1530" w:type="dxa"/>
            <w:tcBorders>
              <w:top w:val="single" w:sz="4" w:space="0" w:color="auto"/>
              <w:bottom w:val="single" w:sz="12" w:space="0" w:color="auto"/>
            </w:tcBorders>
          </w:tcPr>
          <w:p w:rsidR="00593DD0" w:rsidRPr="00E835B2" w:rsidP="00155049" w14:paraId="77BCD2B1" w14:textId="77777777">
            <w:pPr>
              <w:pStyle w:val="Tabletext"/>
              <w:spacing w:before="40" w:after="40"/>
              <w:rPr>
                <w:sz w:val="20"/>
                <w:szCs w:val="20"/>
              </w:rPr>
            </w:pPr>
            <w:r w:rsidRPr="00E835B2">
              <w:rPr>
                <w:sz w:val="20"/>
                <w:szCs w:val="20"/>
              </w:rPr>
              <w:t>Total burden</w:t>
            </w:r>
          </w:p>
        </w:tc>
        <w:tc>
          <w:tcPr>
            <w:tcW w:w="1080" w:type="dxa"/>
            <w:tcBorders>
              <w:top w:val="single" w:sz="4" w:space="0" w:color="auto"/>
              <w:bottom w:val="single" w:sz="12" w:space="0" w:color="auto"/>
            </w:tcBorders>
          </w:tcPr>
          <w:p w:rsidR="00593DD0" w:rsidRPr="00E835B2" w:rsidP="00155049" w14:paraId="21EBC664" w14:textId="77777777">
            <w:pPr>
              <w:pStyle w:val="Tabletext"/>
              <w:spacing w:before="40" w:after="40"/>
              <w:rPr>
                <w:sz w:val="20"/>
                <w:szCs w:val="20"/>
              </w:rPr>
            </w:pPr>
          </w:p>
        </w:tc>
        <w:tc>
          <w:tcPr>
            <w:tcW w:w="900" w:type="dxa"/>
            <w:tcBorders>
              <w:top w:val="single" w:sz="4" w:space="0" w:color="auto"/>
              <w:bottom w:val="single" w:sz="12" w:space="0" w:color="auto"/>
            </w:tcBorders>
          </w:tcPr>
          <w:p w:rsidR="00593DD0" w:rsidRPr="00E835B2" w:rsidP="00155049" w14:paraId="6D26A7FE" w14:textId="77777777">
            <w:pPr>
              <w:pStyle w:val="Tabletext"/>
              <w:tabs>
                <w:tab w:val="decimal" w:pos="427"/>
              </w:tabs>
              <w:spacing w:before="40" w:after="40"/>
              <w:rPr>
                <w:sz w:val="20"/>
                <w:szCs w:val="20"/>
              </w:rPr>
            </w:pPr>
          </w:p>
        </w:tc>
        <w:tc>
          <w:tcPr>
            <w:tcW w:w="630" w:type="dxa"/>
            <w:tcBorders>
              <w:top w:val="single" w:sz="4" w:space="0" w:color="auto"/>
              <w:bottom w:val="single" w:sz="12" w:space="0" w:color="auto"/>
            </w:tcBorders>
          </w:tcPr>
          <w:p w:rsidR="00593DD0" w:rsidRPr="00E835B2" w:rsidP="00155049" w14:paraId="7F07A7EA" w14:textId="77777777">
            <w:pPr>
              <w:pStyle w:val="Tabletext"/>
              <w:tabs>
                <w:tab w:val="decimal" w:pos="232"/>
              </w:tabs>
              <w:spacing w:before="40" w:after="40"/>
              <w:rPr>
                <w:sz w:val="20"/>
                <w:szCs w:val="20"/>
              </w:rPr>
            </w:pPr>
          </w:p>
        </w:tc>
        <w:tc>
          <w:tcPr>
            <w:tcW w:w="990" w:type="dxa"/>
            <w:tcBorders>
              <w:top w:val="single" w:sz="4" w:space="0" w:color="auto"/>
              <w:bottom w:val="single" w:sz="12" w:space="0" w:color="auto"/>
            </w:tcBorders>
          </w:tcPr>
          <w:p w:rsidR="00593DD0" w:rsidRPr="00E835B2" w:rsidP="00155049" w14:paraId="63C1CAE5" w14:textId="77777777">
            <w:pPr>
              <w:pStyle w:val="Tabletext"/>
              <w:tabs>
                <w:tab w:val="decimal" w:pos="431"/>
              </w:tabs>
              <w:spacing w:before="40" w:after="40"/>
              <w:rPr>
                <w:sz w:val="20"/>
                <w:szCs w:val="20"/>
              </w:rPr>
            </w:pPr>
          </w:p>
        </w:tc>
        <w:tc>
          <w:tcPr>
            <w:tcW w:w="990" w:type="dxa"/>
            <w:tcBorders>
              <w:top w:val="single" w:sz="4" w:space="0" w:color="auto"/>
              <w:bottom w:val="single" w:sz="12" w:space="0" w:color="auto"/>
            </w:tcBorders>
          </w:tcPr>
          <w:p w:rsidR="00593DD0" w:rsidRPr="00E835B2" w:rsidP="00155049" w14:paraId="1C919C05" w14:textId="77777777">
            <w:pPr>
              <w:pStyle w:val="Tabletext"/>
              <w:spacing w:before="40" w:after="40"/>
              <w:jc w:val="center"/>
              <w:rPr>
                <w:sz w:val="20"/>
                <w:szCs w:val="20"/>
              </w:rPr>
            </w:pPr>
          </w:p>
        </w:tc>
        <w:tc>
          <w:tcPr>
            <w:tcW w:w="990" w:type="dxa"/>
            <w:tcBorders>
              <w:top w:val="single" w:sz="4" w:space="0" w:color="auto"/>
              <w:bottom w:val="single" w:sz="12" w:space="0" w:color="auto"/>
            </w:tcBorders>
          </w:tcPr>
          <w:p w:rsidR="00593DD0" w:rsidRPr="00E835B2" w:rsidP="00155049" w14:paraId="191B23B7" w14:textId="77777777">
            <w:pPr>
              <w:pStyle w:val="Tabletext"/>
              <w:tabs>
                <w:tab w:val="decimal" w:pos="400"/>
              </w:tabs>
              <w:spacing w:before="40" w:after="40"/>
              <w:rPr>
                <w:sz w:val="20"/>
                <w:szCs w:val="20"/>
              </w:rPr>
            </w:pPr>
          </w:p>
        </w:tc>
        <w:tc>
          <w:tcPr>
            <w:tcW w:w="990" w:type="dxa"/>
            <w:tcBorders>
              <w:top w:val="single" w:sz="4" w:space="0" w:color="auto"/>
              <w:bottom w:val="single" w:sz="12" w:space="0" w:color="auto"/>
              <w:right w:val="single" w:sz="4" w:space="0" w:color="auto"/>
            </w:tcBorders>
          </w:tcPr>
          <w:p w:rsidR="00593DD0" w:rsidRPr="00E835B2" w:rsidP="00155049" w14:paraId="4135EA4A" w14:textId="5A783F06">
            <w:pPr>
              <w:pStyle w:val="Tabletext"/>
              <w:tabs>
                <w:tab w:val="decimal" w:pos="414"/>
              </w:tabs>
              <w:spacing w:before="40" w:after="40"/>
              <w:rPr>
                <w:sz w:val="20"/>
                <w:szCs w:val="20"/>
              </w:rPr>
            </w:pPr>
            <w:r>
              <w:rPr>
                <w:sz w:val="20"/>
                <w:szCs w:val="20"/>
              </w:rPr>
              <w:t>11</w:t>
            </w:r>
            <w:r w:rsidRPr="00E835B2">
              <w:rPr>
                <w:sz w:val="20"/>
                <w:szCs w:val="20"/>
              </w:rPr>
              <w:t>.</w:t>
            </w:r>
            <w:r w:rsidR="009A5F8E">
              <w:rPr>
                <w:sz w:val="20"/>
                <w:szCs w:val="20"/>
              </w:rPr>
              <w:t>2</w:t>
            </w:r>
            <w:r w:rsidRPr="00E835B2" w:rsidR="009A5F8E">
              <w:rPr>
                <w:sz w:val="20"/>
                <w:szCs w:val="20"/>
              </w:rPr>
              <w:t>4</w:t>
            </w:r>
          </w:p>
        </w:tc>
        <w:tc>
          <w:tcPr>
            <w:tcW w:w="990" w:type="dxa"/>
            <w:tcBorders>
              <w:top w:val="single" w:sz="4" w:space="0" w:color="auto"/>
              <w:left w:val="single" w:sz="4" w:space="0" w:color="auto"/>
              <w:bottom w:val="single" w:sz="12" w:space="0" w:color="auto"/>
            </w:tcBorders>
          </w:tcPr>
          <w:p w:rsidR="00593DD0" w:rsidRPr="00E835B2" w:rsidP="00155049" w14:paraId="4C69E54F" w14:textId="77777777">
            <w:pPr>
              <w:pStyle w:val="Tabletext"/>
              <w:tabs>
                <w:tab w:val="decimal" w:pos="442"/>
              </w:tabs>
              <w:spacing w:before="40" w:after="40"/>
              <w:rPr>
                <w:sz w:val="20"/>
                <w:szCs w:val="20"/>
              </w:rPr>
            </w:pPr>
          </w:p>
        </w:tc>
        <w:tc>
          <w:tcPr>
            <w:tcW w:w="990" w:type="dxa"/>
            <w:tcBorders>
              <w:top w:val="single" w:sz="4" w:space="0" w:color="auto"/>
              <w:bottom w:val="single" w:sz="12" w:space="0" w:color="auto"/>
            </w:tcBorders>
          </w:tcPr>
          <w:p w:rsidR="00593DD0" w:rsidRPr="00E835B2" w:rsidP="00155049" w14:paraId="158EEC08" w14:textId="77777777">
            <w:pPr>
              <w:pStyle w:val="Tabletext"/>
              <w:tabs>
                <w:tab w:val="decimal" w:pos="471"/>
              </w:tabs>
              <w:spacing w:before="40" w:after="40"/>
              <w:rPr>
                <w:sz w:val="20"/>
                <w:szCs w:val="20"/>
              </w:rPr>
            </w:pPr>
          </w:p>
        </w:tc>
        <w:tc>
          <w:tcPr>
            <w:tcW w:w="990" w:type="dxa"/>
            <w:tcBorders>
              <w:top w:val="single" w:sz="4" w:space="0" w:color="auto"/>
              <w:bottom w:val="single" w:sz="12" w:space="0" w:color="auto"/>
            </w:tcBorders>
          </w:tcPr>
          <w:p w:rsidR="00593DD0" w:rsidRPr="00E835B2" w:rsidP="00155049" w14:paraId="2701AAB3" w14:textId="77777777">
            <w:pPr>
              <w:pStyle w:val="Tabletext"/>
              <w:tabs>
                <w:tab w:val="decimal" w:pos="336"/>
              </w:tabs>
              <w:spacing w:before="40" w:after="40"/>
              <w:rPr>
                <w:sz w:val="20"/>
                <w:szCs w:val="20"/>
              </w:rPr>
            </w:pPr>
          </w:p>
        </w:tc>
        <w:tc>
          <w:tcPr>
            <w:tcW w:w="990" w:type="dxa"/>
            <w:tcBorders>
              <w:top w:val="single" w:sz="4" w:space="0" w:color="auto"/>
              <w:bottom w:val="single" w:sz="12" w:space="0" w:color="auto"/>
            </w:tcBorders>
          </w:tcPr>
          <w:p w:rsidR="00593DD0" w:rsidRPr="00E835B2" w:rsidP="00155049" w14:paraId="05FE6CEC" w14:textId="5216A21E">
            <w:pPr>
              <w:pStyle w:val="Tabletext"/>
              <w:tabs>
                <w:tab w:val="decimal" w:pos="285"/>
              </w:tabs>
              <w:spacing w:before="40" w:after="40"/>
              <w:rPr>
                <w:sz w:val="20"/>
                <w:szCs w:val="20"/>
              </w:rPr>
            </w:pPr>
            <w:r>
              <w:rPr>
                <w:sz w:val="20"/>
                <w:szCs w:val="20"/>
              </w:rPr>
              <w:t>38</w:t>
            </w:r>
            <w:r w:rsidRPr="00E835B2">
              <w:rPr>
                <w:sz w:val="20"/>
                <w:szCs w:val="20"/>
              </w:rPr>
              <w:t>.32</w:t>
            </w:r>
          </w:p>
        </w:tc>
        <w:tc>
          <w:tcPr>
            <w:tcW w:w="900" w:type="dxa"/>
            <w:tcBorders>
              <w:top w:val="single" w:sz="4" w:space="0" w:color="auto"/>
              <w:left w:val="nil"/>
              <w:bottom w:val="single" w:sz="12" w:space="0" w:color="auto"/>
            </w:tcBorders>
          </w:tcPr>
          <w:p w:rsidR="00593DD0" w:rsidRPr="00E835B2" w:rsidP="00155049" w14:paraId="0CA54FB0" w14:textId="49564A0A">
            <w:pPr>
              <w:pStyle w:val="Tabletext"/>
              <w:tabs>
                <w:tab w:val="decimal" w:pos="242"/>
              </w:tabs>
              <w:spacing w:before="40" w:after="40"/>
              <w:rPr>
                <w:sz w:val="20"/>
                <w:szCs w:val="20"/>
              </w:rPr>
            </w:pPr>
            <w:r>
              <w:rPr>
                <w:sz w:val="20"/>
                <w:szCs w:val="20"/>
              </w:rPr>
              <w:t>4</w:t>
            </w:r>
            <w:r w:rsidR="00C8260B">
              <w:rPr>
                <w:sz w:val="20"/>
                <w:szCs w:val="20"/>
              </w:rPr>
              <w:t>9</w:t>
            </w:r>
            <w:r w:rsidRPr="00E835B2">
              <w:rPr>
                <w:sz w:val="20"/>
                <w:szCs w:val="20"/>
              </w:rPr>
              <w:t>.56</w:t>
            </w:r>
          </w:p>
        </w:tc>
      </w:tr>
    </w:tbl>
    <w:p w:rsidR="00593DD0" w:rsidRPr="00425FA8" w:rsidP="005B69E4" w14:paraId="2DFCB0AA" w14:textId="4297941A">
      <w:pPr>
        <w:pStyle w:val="Source"/>
        <w:spacing w:after="0"/>
      </w:pPr>
      <w:r w:rsidRPr="00A162DD">
        <w:rPr>
          <w:vertAlign w:val="superscript"/>
        </w:rPr>
        <w:t>a</w:t>
      </w:r>
      <w:r>
        <w:rPr>
          <w:vertAlign w:val="superscript"/>
        </w:rPr>
        <w:t xml:space="preserve"> </w:t>
      </w:r>
      <w:r w:rsidRPr="00425FA8">
        <w:t xml:space="preserve">The sample unit for this study is food retail companies, not individual people. We assumed that </w:t>
      </w:r>
      <w:r w:rsidRPr="00425FA8" w:rsidR="00F92864">
        <w:t xml:space="preserve">RTI </w:t>
      </w:r>
      <w:r w:rsidRPr="00425FA8">
        <w:t xml:space="preserve">may need to contact multiple people within each company to identify the correct person (s) to interview, and each contact will take an average of 5 minutes and that up to four contacts will need to be made. Therefore, the minutes per response column reflects the amount of time required for the contact and not the number of people contacted within the company. </w:t>
      </w:r>
    </w:p>
    <w:p w:rsidR="00425FA8" w:rsidRPr="00425FA8" w:rsidP="005B69E4" w14:paraId="0093BB81" w14:textId="7D1D01E1">
      <w:pPr>
        <w:pStyle w:val="Source"/>
        <w:spacing w:after="0"/>
      </w:pPr>
      <w:r w:rsidRPr="00425FA8">
        <w:rPr>
          <w:vertAlign w:val="superscript"/>
        </w:rPr>
        <w:t>b</w:t>
      </w:r>
      <w:r w:rsidRPr="00425FA8">
        <w:t xml:space="preserve"> We assumed that one company will go through the process of preparing for the interview, including reading</w:t>
      </w:r>
      <w:r w:rsidRPr="00425FA8" w:rsidR="009D0D00">
        <w:t xml:space="preserve"> and</w:t>
      </w:r>
      <w:r w:rsidRPr="00425FA8">
        <w:t xml:space="preserve"> submitting the consent form and</w:t>
      </w:r>
      <w:r w:rsidRPr="00425FA8" w:rsidR="00285F08">
        <w:t xml:space="preserve"> reading the</w:t>
      </w:r>
      <w:r w:rsidR="00341015">
        <w:t xml:space="preserve"> informational list of interview questions</w:t>
      </w:r>
      <w:r w:rsidRPr="00425FA8">
        <w:t xml:space="preserve">, but will drop out before participating in the interview </w:t>
      </w:r>
      <w:r w:rsidRPr="00425FA8">
        <w:t>itself.</w:t>
      </w:r>
    </w:p>
    <w:p w:rsidR="00714DB7" w:rsidRPr="00410326" w:rsidP="005B69E4" w14:paraId="21D4D4F6" w14:textId="5CDDFCBD">
      <w:pPr>
        <w:pStyle w:val="Source"/>
        <w:sectPr w:rsidSect="0013585D">
          <w:headerReference w:type="default" r:id="rId12"/>
          <w:pgSz w:w="15840" w:h="12240" w:orient="landscape"/>
          <w:pgMar w:top="1440" w:right="1440" w:bottom="1440" w:left="1440" w:header="720" w:footer="720" w:gutter="0"/>
          <w:cols w:space="720"/>
          <w:docGrid w:linePitch="360"/>
        </w:sectPr>
      </w:pPr>
      <w:r>
        <w:rPr>
          <w:vertAlign w:val="superscript"/>
        </w:rPr>
        <w:t>c</w:t>
      </w:r>
      <w:r>
        <w:t xml:space="preserve"> </w:t>
      </w:r>
      <w:r w:rsidRPr="00425FA8">
        <w:t>Multiple people within a company may participate in the interview.</w:t>
      </w:r>
      <w:r w:rsidR="00EF381A">
        <w:t xml:space="preserve"> </w:t>
      </w:r>
      <w:r w:rsidRPr="00425FA8">
        <w:t xml:space="preserve">Because the sample unit for this study is food retail companies, not individual people, </w:t>
      </w:r>
      <w:r w:rsidRPr="00425FA8" w:rsidR="002A1793">
        <w:t>the minutes for completing the interview do not reflect participation by multiple people.</w:t>
      </w:r>
      <w:r w:rsidR="00EF381A">
        <w:t xml:space="preserve"> </w:t>
      </w:r>
    </w:p>
    <w:p w:rsidR="00C9115B" w:rsidP="003A70CA" w14:paraId="1284F9EC" w14:textId="50875E6C">
      <w:pPr>
        <w:pStyle w:val="ListBullet"/>
      </w:pPr>
      <w:r w:rsidRPr="0009097A">
        <w:t xml:space="preserve">The estimated total number of </w:t>
      </w:r>
      <w:r w:rsidRPr="0009097A" w:rsidR="00F4608F">
        <w:t xml:space="preserve">contacts </w:t>
      </w:r>
      <w:r w:rsidRPr="0009097A">
        <w:t xml:space="preserve">for the Wave </w:t>
      </w:r>
      <w:r w:rsidR="00C80234">
        <w:t>2</w:t>
      </w:r>
      <w:r w:rsidRPr="0009097A">
        <w:t xml:space="preserve"> </w:t>
      </w:r>
      <w:r w:rsidRPr="0009097A" w:rsidR="00430178">
        <w:t xml:space="preserve">interviews </w:t>
      </w:r>
      <w:r w:rsidRPr="0009097A">
        <w:t xml:space="preserve">is </w:t>
      </w:r>
      <w:r w:rsidR="0008445D">
        <w:t>125</w:t>
      </w:r>
      <w:r w:rsidRPr="0009097A">
        <w:t xml:space="preserve"> companies. This number can be broken down into two groups</w:t>
      </w:r>
      <w:r w:rsidRPr="0009097A" w:rsidR="007B12F5">
        <w:t>:</w:t>
      </w:r>
      <w:r w:rsidRPr="0009097A">
        <w:t xml:space="preserve"> an estimated </w:t>
      </w:r>
      <w:r w:rsidR="0008445D">
        <w:t>115</w:t>
      </w:r>
      <w:r w:rsidRPr="0009097A">
        <w:t xml:space="preserve"> companies </w:t>
      </w:r>
      <w:r w:rsidR="00804475">
        <w:t>that</w:t>
      </w:r>
      <w:r w:rsidRPr="0009097A" w:rsidR="00804475">
        <w:t xml:space="preserve"> </w:t>
      </w:r>
      <w:r w:rsidRPr="0009097A">
        <w:t xml:space="preserve">go through the recruitment process but decline to participate </w:t>
      </w:r>
      <w:r w:rsidRPr="0009097A" w:rsidR="002E7DA1">
        <w:t>(i.e., nonrespon</w:t>
      </w:r>
      <w:r w:rsidR="0009097A">
        <w:t>dents</w:t>
      </w:r>
      <w:r w:rsidRPr="0009097A" w:rsidR="002E7DA1">
        <w:t xml:space="preserve">) </w:t>
      </w:r>
      <w:r w:rsidRPr="0009097A">
        <w:t xml:space="preserve">and 10 companies </w:t>
      </w:r>
      <w:r w:rsidR="00804475">
        <w:t>that</w:t>
      </w:r>
      <w:r w:rsidRPr="0009097A" w:rsidR="00804475">
        <w:t xml:space="preserve"> </w:t>
      </w:r>
      <w:r w:rsidRPr="0009097A">
        <w:t>participate</w:t>
      </w:r>
      <w:r w:rsidRPr="0009097A" w:rsidR="002E7DA1">
        <w:t xml:space="preserve"> (i.e., respon</w:t>
      </w:r>
      <w:r w:rsidR="0009097A">
        <w:t>dents</w:t>
      </w:r>
      <w:r w:rsidRPr="0009097A" w:rsidR="002E7DA1">
        <w:t>)</w:t>
      </w:r>
      <w:r w:rsidRPr="0009097A">
        <w:t xml:space="preserve">. </w:t>
      </w:r>
    </w:p>
    <w:p w:rsidR="00B10C37" w:rsidP="00EF381A" w14:paraId="786FAC4C" w14:textId="6B3286D9">
      <w:pPr>
        <w:pStyle w:val="BodyText"/>
      </w:pPr>
      <w:r w:rsidRPr="0084233D">
        <w:t xml:space="preserve">The </w:t>
      </w:r>
      <w:r w:rsidRPr="0084233D" w:rsidR="00591CBC">
        <w:t>f</w:t>
      </w:r>
      <w:r w:rsidRPr="0084233D">
        <w:t>ollowing statement</w:t>
      </w:r>
      <w:r w:rsidR="00163BC0">
        <w:t>s</w:t>
      </w:r>
      <w:r w:rsidRPr="0084233D">
        <w:t xml:space="preserve"> will be displayed in the informed consent for the interview:</w:t>
      </w:r>
    </w:p>
    <w:p w:rsidR="00163BC0" w:rsidRPr="00163BC0" w:rsidP="005B69E4" w14:paraId="549E1621" w14:textId="77777777">
      <w:pPr>
        <w:pStyle w:val="BodyText"/>
        <w:rPr>
          <w:rFonts w:eastAsiaTheme="minorEastAsia"/>
          <w:shd w:val="clear" w:color="auto" w:fill="FFFFFF"/>
        </w:rPr>
      </w:pPr>
      <w:r w:rsidRPr="00163BC0">
        <w:rPr>
          <w:rFonts w:eastAsiaTheme="minorEastAsia"/>
          <w:shd w:val="clear" w:color="auto" w:fill="FFFFFF"/>
        </w:rPr>
        <w:t>The data are being collected under the Confidential Information Protection and Statistical Efficiency Act, otherwise known as CIPSEA. CIPSEA provides protection for information collected for statistical purposes under a pledge of confidentiality. CIPSEA-protected information is not subject to Freedom of Information Act requests. RTI will combine your interview responses with the responses from other companies to prepare a summary report for USDA, ERS.</w:t>
      </w:r>
    </w:p>
    <w:p w:rsidR="00163BC0" w:rsidP="00EF381A" w14:paraId="591EF49A" w14:textId="5ED0C728">
      <w:pPr>
        <w:pStyle w:val="BodyText"/>
      </w:pPr>
    </w:p>
    <w:p w:rsidR="00DD3A96" w:rsidRPr="00DD3A96" w:rsidP="00DD3A96" w14:paraId="28D9147A" w14:textId="4505258D">
      <w:pPr>
        <w:pBdr>
          <w:top w:val="single" w:sz="4" w:space="1" w:color="auto"/>
          <w:left w:val="single" w:sz="4" w:space="4" w:color="auto"/>
          <w:bottom w:val="single" w:sz="4" w:space="1" w:color="auto"/>
          <w:right w:val="single" w:sz="4" w:space="4" w:color="auto"/>
          <w:between w:val="single" w:sz="4" w:space="1" w:color="auto"/>
          <w:bar w:val="single" w:sz="4" w:space="0" w:color="auto"/>
        </w:pBdr>
        <w:rPr>
          <w:rFonts w:eastAsiaTheme="minorEastAsia" w:cs="Times New Roman"/>
          <w:sz w:val="24"/>
        </w:rPr>
      </w:pPr>
      <w:r w:rsidRPr="006930FC">
        <w:rPr>
          <w:rFonts w:eastAsiaTheme="minorEastAsia" w:cstheme="minorBidi"/>
          <w:b/>
          <w:bCs/>
        </w:rPr>
        <w:t>Assurance of Confidentiality:</w:t>
      </w:r>
      <w:r w:rsidRPr="006930FC">
        <w:rPr>
          <w:rFonts w:eastAsiaTheme="minorEastAsia" w:cstheme="minorBidi"/>
        </w:rPr>
        <w:t xml:space="preserve"> </w:t>
      </w:r>
      <w:r w:rsidRPr="00DD3A96">
        <w:rPr>
          <w:rFonts w:eastAsiaTheme="minorHAnsi" w:cs="Times New Roman"/>
          <w:sz w:val="24"/>
        </w:rPr>
        <w:t>The information you provide will be used for statistical purposes only. Your response will be kept confidential</w:t>
      </w:r>
      <w:r w:rsidR="00EE5E18">
        <w:rPr>
          <w:rFonts w:eastAsiaTheme="minorHAnsi" w:cs="Times New Roman"/>
          <w:sz w:val="24"/>
        </w:rPr>
        <w:t>,</w:t>
      </w:r>
      <w:r w:rsidRPr="00DD3A96">
        <w:rPr>
          <w:rFonts w:eastAsiaTheme="minorHAnsi" w:cs="Times New Roman"/>
          <w:sz w:val="24"/>
        </w:rPr>
        <w:t xml:space="preserve"> and any person who willfully discloses ANY identifiable information about you or your company is subject to a jail term, a fine, or both. This study is conducted in accordance with the Confidential Information Protection and Statistical Efficiency Act of 2018, Title III of Pub. L. No. 115-435, codified in 44 U.S.C. Ch. 35 and other applicable Federal laws. </w:t>
      </w:r>
    </w:p>
    <w:p w:rsidR="00163BC0" w:rsidRPr="0084233D" w:rsidP="00EF381A" w14:paraId="5610912C" w14:textId="77777777">
      <w:pPr>
        <w:pStyle w:val="BodyText"/>
      </w:pPr>
    </w:p>
    <w:p w:rsidR="00B10C37" w:rsidRPr="00840651" w:rsidP="00EF381A" w14:paraId="6F31D984" w14:textId="1DC0A245">
      <w:pPr>
        <w:pStyle w:val="BodyText"/>
      </w:pPr>
      <w:r w:rsidRPr="00840651">
        <w:t xml:space="preserve">NOTIFICATION TO RESPONDENT OF ESTIMATED BURDEN: Public reporting burden for this collection of information is estimated to average </w:t>
      </w:r>
      <w:r w:rsidR="0030150B">
        <w:t>6</w:t>
      </w:r>
      <w:r w:rsidR="006405EE">
        <w:t>7</w:t>
      </w:r>
      <w:r w:rsidRPr="00840651" w:rsidR="0008445D">
        <w:t xml:space="preserve"> </w:t>
      </w:r>
      <w:r w:rsidRPr="00840651">
        <w:t>minutes per response, including the time for reviewing instructions and completing and reviewing the collection of information. An agency may not conduct or sponsor, and a person is not required to respond to, a collection of information unless it displays a currently valid OMB control number. The valid OMB control number for this information collection is #</w:t>
      </w:r>
      <w:r w:rsidR="00432024">
        <w:t>0536-0073</w:t>
      </w:r>
      <w:r w:rsidRPr="00840651">
        <w:t>. Send comments regarding this burden estimate or any other aspect of this collection of information, including suggestions for reducing this burden, to Linda Kantor</w:t>
      </w:r>
      <w:r w:rsidR="00672CE9">
        <w:t>, U.S. Department of Agriculture, Economic Research Service</w:t>
      </w:r>
      <w:r w:rsidRPr="00840651">
        <w:t xml:space="preserve"> (linda.kantor@usda.gov). </w:t>
      </w:r>
    </w:p>
    <w:p w:rsidR="00532F98" w:rsidRPr="00E16A04" w:rsidP="00E10871" w14:paraId="11E98009" w14:textId="77777777">
      <w:pPr>
        <w:pStyle w:val="Heading1"/>
      </w:pPr>
      <w:r w:rsidRPr="00E16A04">
        <w:t>Contact Information</w:t>
      </w:r>
    </w:p>
    <w:p w:rsidR="00B60519" w:rsidRPr="00840651" w:rsidP="00EF381A" w14:paraId="4F9D9FA2" w14:textId="77777777">
      <w:pPr>
        <w:pStyle w:val="BodyText"/>
      </w:pPr>
      <w:r w:rsidRPr="00840651">
        <w:t>The contact person for questions regarding this data collection is:</w:t>
      </w:r>
    </w:p>
    <w:p w:rsidR="00B60519" w:rsidRPr="00840651" w:rsidP="0015065B" w14:paraId="008C0894" w14:textId="5E2F4F11">
      <w:pPr>
        <w:rPr>
          <w:rFonts w:cs="Times New Roman"/>
          <w:sz w:val="24"/>
        </w:rPr>
      </w:pPr>
      <w:r w:rsidRPr="00840651">
        <w:rPr>
          <w:rFonts w:cs="Times New Roman"/>
          <w:sz w:val="24"/>
        </w:rPr>
        <w:t>Linda Kantor</w:t>
      </w:r>
    </w:p>
    <w:p w:rsidR="00532F98" w:rsidRPr="00840651" w:rsidP="00532F98" w14:paraId="7991E71D" w14:textId="1FF95997">
      <w:pPr>
        <w:rPr>
          <w:rFonts w:cs="Times New Roman"/>
          <w:sz w:val="24"/>
        </w:rPr>
      </w:pPr>
      <w:r w:rsidRPr="00840651">
        <w:rPr>
          <w:rFonts w:cs="Times New Roman"/>
          <w:sz w:val="24"/>
        </w:rPr>
        <w:t>linda.kantor@usda.gov</w:t>
      </w:r>
    </w:p>
    <w:p w:rsidR="00532F98" w:rsidRPr="00840651" w:rsidP="00532F98" w14:paraId="087CD161" w14:textId="575981B2">
      <w:pPr>
        <w:rPr>
          <w:rFonts w:cs="Times New Roman"/>
          <w:sz w:val="24"/>
        </w:rPr>
      </w:pPr>
    </w:p>
    <w:p w:rsidR="00B614FB" w:rsidP="00EF381A" w14:paraId="4E64D6DE" w14:textId="77777777">
      <w:pPr>
        <w:pStyle w:val="BodyText"/>
      </w:pPr>
    </w:p>
    <w:p w:rsidR="00B614FB" w:rsidP="00EF381A" w14:paraId="7B2E2836" w14:textId="6DD90BEB">
      <w:pPr>
        <w:pStyle w:val="BodyText"/>
      </w:pPr>
    </w:p>
    <w:p w:rsidR="00DD3A96" w:rsidP="00EF381A" w14:paraId="3AAB1EE6" w14:textId="77777777">
      <w:pPr>
        <w:pStyle w:val="BodyText"/>
      </w:pPr>
    </w:p>
    <w:p w:rsidR="00532F98" w:rsidRPr="00840651" w:rsidP="00EF381A" w14:paraId="02AFD84E" w14:textId="0D93D3B9">
      <w:pPr>
        <w:pStyle w:val="BodyText"/>
      </w:pPr>
      <w:r w:rsidRPr="00840651">
        <w:t>Appendices</w:t>
      </w:r>
    </w:p>
    <w:p w:rsidR="00D66DCF" w:rsidP="003A70CA" w14:paraId="67187EC0" w14:textId="4750D796">
      <w:pPr>
        <w:pStyle w:val="ListBullet"/>
      </w:pPr>
      <w:r w:rsidRPr="00C9115B">
        <w:t>Appendix A</w:t>
      </w:r>
      <w:r w:rsidR="00081A32">
        <w:t xml:space="preserve">:  </w:t>
      </w:r>
      <w:r w:rsidRPr="00C9115B">
        <w:t xml:space="preserve">Memorandum </w:t>
      </w:r>
      <w:r w:rsidR="0008445D">
        <w:t>on Wave 1 Interview Methods and Findings</w:t>
      </w:r>
      <w:r w:rsidR="00205B4E">
        <w:t xml:space="preserve"> </w:t>
      </w:r>
    </w:p>
    <w:p w:rsidR="00532F98" w:rsidRPr="00C9115B" w:rsidP="003A70CA" w14:paraId="2F09E6FA" w14:textId="384C7171">
      <w:pPr>
        <w:pStyle w:val="ListBullet"/>
      </w:pPr>
      <w:r w:rsidRPr="00C9115B">
        <w:t xml:space="preserve">Appendix </w:t>
      </w:r>
      <w:r w:rsidR="0008445D">
        <w:t>B-1</w:t>
      </w:r>
      <w:r w:rsidR="00081A32">
        <w:t xml:space="preserve">:  </w:t>
      </w:r>
      <w:r w:rsidRPr="00C9115B" w:rsidR="008F152C">
        <w:t xml:space="preserve">Recruitment </w:t>
      </w:r>
      <w:r w:rsidRPr="00C9115B">
        <w:t>Script</w:t>
      </w:r>
      <w:r w:rsidRPr="00C9115B" w:rsidR="00BD50CF">
        <w:t xml:space="preserve"> </w:t>
      </w:r>
      <w:r w:rsidRPr="00C9115B" w:rsidR="008F152C">
        <w:t>(no contact identified)</w:t>
      </w:r>
    </w:p>
    <w:p w:rsidR="00DA6B05" w:rsidRPr="00C9115B" w:rsidP="003A70CA" w14:paraId="5CB17528" w14:textId="07A34961">
      <w:pPr>
        <w:pStyle w:val="ListBullet"/>
      </w:pPr>
      <w:r w:rsidRPr="00C9115B">
        <w:t>Appendix</w:t>
      </w:r>
      <w:r w:rsidR="0008445D">
        <w:t xml:space="preserve"> B-2</w:t>
      </w:r>
      <w:r w:rsidRPr="00C9115B">
        <w:t xml:space="preserve">: Recruitment Script </w:t>
      </w:r>
      <w:r w:rsidRPr="00C9115B" w:rsidR="008F152C">
        <w:t>(contact identified)</w:t>
      </w:r>
    </w:p>
    <w:p w:rsidR="00532F98" w:rsidP="003A70CA" w14:paraId="29EED8F8" w14:textId="6A21BA98">
      <w:pPr>
        <w:pStyle w:val="ListBullet"/>
      </w:pPr>
      <w:r w:rsidRPr="00C9115B">
        <w:t xml:space="preserve">Appendix </w:t>
      </w:r>
      <w:r w:rsidR="00D672D5">
        <w:t>C-1</w:t>
      </w:r>
      <w:r w:rsidRPr="00C9115B">
        <w:t>: Recruitment Email</w:t>
      </w:r>
      <w:r w:rsidRPr="00C9115B" w:rsidR="000821B1">
        <w:t xml:space="preserve"> </w:t>
      </w:r>
    </w:p>
    <w:p w:rsidR="006745F6" w:rsidRPr="00C9115B" w:rsidP="003A70CA" w14:paraId="5909B86A" w14:textId="3D59FB4B">
      <w:pPr>
        <w:pStyle w:val="ListBullet"/>
      </w:pPr>
      <w:r>
        <w:t>Appendix</w:t>
      </w:r>
      <w:r w:rsidR="0008445D">
        <w:t xml:space="preserve"> C</w:t>
      </w:r>
      <w:r w:rsidR="00D672D5">
        <w:t>-2</w:t>
      </w:r>
      <w:r>
        <w:t>:</w:t>
      </w:r>
      <w:r>
        <w:tab/>
      </w:r>
      <w:r w:rsidR="00081A32">
        <w:t xml:space="preserve"> </w:t>
      </w:r>
      <w:r>
        <w:t xml:space="preserve">Scheduling Email—Participant Identified </w:t>
      </w:r>
    </w:p>
    <w:bookmarkEnd w:id="1"/>
    <w:p w:rsidR="00532F98" w:rsidRPr="00C9115B" w:rsidP="003A70CA" w14:paraId="50662D2C" w14:textId="42BB6AEB">
      <w:pPr>
        <w:pStyle w:val="ListBullet"/>
      </w:pPr>
      <w:r w:rsidRPr="00C9115B">
        <w:t xml:space="preserve">Appendix </w:t>
      </w:r>
      <w:r w:rsidR="0008445D">
        <w:t>D</w:t>
      </w:r>
      <w:r w:rsidRPr="00C9115B">
        <w:t>:</w:t>
      </w:r>
      <w:r w:rsidRPr="00C9115B" w:rsidR="00F0534B">
        <w:t xml:space="preserve"> </w:t>
      </w:r>
      <w:r w:rsidRPr="00C9115B">
        <w:t>Informed Consent</w:t>
      </w:r>
      <w:r w:rsidRPr="00C9115B" w:rsidR="008668CD">
        <w:t xml:space="preserve"> for Interviews</w:t>
      </w:r>
    </w:p>
    <w:p w:rsidR="000E64D4" w:rsidP="003A70CA" w14:paraId="6D851331" w14:textId="5AF843E2">
      <w:pPr>
        <w:pStyle w:val="ListBullet"/>
      </w:pPr>
      <w:r w:rsidRPr="00C9115B">
        <w:t xml:space="preserve">Appendix </w:t>
      </w:r>
      <w:r w:rsidR="0008445D">
        <w:t>E</w:t>
      </w:r>
      <w:r w:rsidRPr="00C9115B">
        <w:t xml:space="preserve">: </w:t>
      </w:r>
      <w:r w:rsidRPr="00C9115B" w:rsidR="00615D2B">
        <w:t>Informational List</w:t>
      </w:r>
      <w:r w:rsidRPr="00C9115B">
        <w:t xml:space="preserve"> of </w:t>
      </w:r>
      <w:r w:rsidRPr="00C9115B" w:rsidR="008F152C">
        <w:t xml:space="preserve">Interview </w:t>
      </w:r>
      <w:r w:rsidR="004D19EE">
        <w:t xml:space="preserve">Questions </w:t>
      </w:r>
    </w:p>
    <w:p w:rsidR="00707CB3" w:rsidRPr="00C9115B" w:rsidP="003A70CA" w14:paraId="5DAF228B" w14:textId="34A191B9">
      <w:pPr>
        <w:pStyle w:val="ListBullet"/>
      </w:pPr>
      <w:r w:rsidRPr="00C9115B">
        <w:t xml:space="preserve">Appendix </w:t>
      </w:r>
      <w:r w:rsidR="0008445D">
        <w:t>F</w:t>
      </w:r>
      <w:r w:rsidRPr="00C9115B">
        <w:t xml:space="preserve">-1: Recruitment </w:t>
      </w:r>
      <w:r w:rsidRPr="00C9115B" w:rsidR="004D19EE">
        <w:t xml:space="preserve">Follow-Up </w:t>
      </w:r>
      <w:r w:rsidRPr="00C9115B">
        <w:t>Script (no contact</w:t>
      </w:r>
      <w:r w:rsidR="0008445D">
        <w:t xml:space="preserve"> </w:t>
      </w:r>
      <w:r w:rsidR="00814DB3">
        <w:t>identified)</w:t>
      </w:r>
    </w:p>
    <w:p w:rsidR="00707CB3" w:rsidP="003A70CA" w14:paraId="22CD1D9E" w14:textId="4CB0CBE4">
      <w:pPr>
        <w:pStyle w:val="ListBullet"/>
      </w:pPr>
      <w:r w:rsidRPr="00C9115B">
        <w:t xml:space="preserve">Appendix </w:t>
      </w:r>
      <w:r w:rsidR="0008445D">
        <w:t>F</w:t>
      </w:r>
      <w:r w:rsidRPr="00C9115B">
        <w:t xml:space="preserve">-2: Recruitment </w:t>
      </w:r>
      <w:r w:rsidRPr="00C9115B" w:rsidR="004D19EE">
        <w:t xml:space="preserve">Follow-Up </w:t>
      </w:r>
      <w:r w:rsidRPr="00C9115B">
        <w:t xml:space="preserve">Script (contact </w:t>
      </w:r>
      <w:r w:rsidR="00814DB3">
        <w:t>identified)</w:t>
      </w:r>
    </w:p>
    <w:p w:rsidR="00707CB3" w:rsidRPr="00C9115B" w:rsidP="003A70CA" w14:paraId="31F5F830" w14:textId="4371D00E">
      <w:pPr>
        <w:pStyle w:val="ListBullet"/>
      </w:pPr>
      <w:r w:rsidRPr="00C9115B">
        <w:t xml:space="preserve">Appendix </w:t>
      </w:r>
      <w:r w:rsidR="0008445D">
        <w:t>F</w:t>
      </w:r>
      <w:r w:rsidRPr="00C9115B">
        <w:t xml:space="preserve">-3: </w:t>
      </w:r>
      <w:r w:rsidRPr="00C9115B" w:rsidR="00C06449">
        <w:t xml:space="preserve">Recruitment </w:t>
      </w:r>
      <w:r w:rsidRPr="00C9115B" w:rsidR="009630F6">
        <w:t xml:space="preserve">Follow-Up </w:t>
      </w:r>
      <w:r w:rsidRPr="00C9115B" w:rsidR="00C06449">
        <w:t xml:space="preserve">Email </w:t>
      </w:r>
    </w:p>
    <w:p w:rsidR="00DA6B05" w:rsidRPr="00C9115B" w:rsidP="003A70CA" w14:paraId="658F7C27" w14:textId="05C4EB87">
      <w:pPr>
        <w:pStyle w:val="ListBullet"/>
      </w:pPr>
      <w:r w:rsidRPr="00C9115B">
        <w:t>Appendix</w:t>
      </w:r>
      <w:r w:rsidRPr="00C9115B" w:rsidR="000E64D4">
        <w:t xml:space="preserve"> </w:t>
      </w:r>
      <w:r w:rsidR="0008445D">
        <w:t>G</w:t>
      </w:r>
      <w:r w:rsidR="00081A32">
        <w:t xml:space="preserve">: </w:t>
      </w:r>
      <w:r w:rsidRPr="00C9115B">
        <w:t xml:space="preserve">Reminder Email </w:t>
      </w:r>
      <w:r w:rsidR="0008445D">
        <w:t>for Interview</w:t>
      </w:r>
    </w:p>
    <w:p w:rsidR="00401211" w:rsidRPr="00C9115B" w:rsidP="003A70CA" w14:paraId="065AC355" w14:textId="57562125">
      <w:pPr>
        <w:pStyle w:val="ListBullet"/>
      </w:pPr>
      <w:r w:rsidRPr="00C9115B">
        <w:t xml:space="preserve">Appendix </w:t>
      </w:r>
      <w:r w:rsidR="0008445D">
        <w:t>H</w:t>
      </w:r>
      <w:r w:rsidR="00081A32">
        <w:t xml:space="preserve">:  </w:t>
      </w:r>
      <w:r w:rsidRPr="00C9115B" w:rsidR="000E64D4">
        <w:t>Interview Guide</w:t>
      </w:r>
    </w:p>
    <w:p w:rsidR="007A7AAD" w:rsidRPr="00C9115B" w:rsidP="003A70CA" w14:paraId="79C3E1A6" w14:textId="08C60F08">
      <w:pPr>
        <w:pStyle w:val="ListBullet"/>
      </w:pPr>
      <w:r w:rsidRPr="00C9115B">
        <w:t xml:space="preserve">Appendix </w:t>
      </w:r>
      <w:r w:rsidR="0008445D">
        <w:t>I</w:t>
      </w:r>
      <w:r w:rsidR="00081A32">
        <w:t xml:space="preserve">:  </w:t>
      </w:r>
      <w:r w:rsidRPr="00C9115B">
        <w:t>IRB Determination</w:t>
      </w:r>
    </w:p>
    <w:p w:rsidR="00B10C37" w:rsidRPr="00DA6B05" w:rsidP="003A70CA" w14:paraId="5F726329" w14:textId="027FC6FF">
      <w:pPr>
        <w:pStyle w:val="ListBullet"/>
        <w:numPr>
          <w:ilvl w:val="0"/>
          <w:numId w:val="0"/>
        </w:numPr>
      </w:pPr>
    </w:p>
    <w:sectPr w:rsidSect="007E1E6B">
      <w:head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Lucida Grande">
    <w:altName w:val="Times New Roman"/>
    <w:charset w:val="00"/>
    <w:family w:val="auto"/>
    <w:pitch w:val="variable"/>
    <w:sig w:usb0="00000000"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585D" w:rsidP="00895372" w14:paraId="1819433E" w14:textId="49EA9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92852" w:rsidP="003248B1" w14:paraId="0A54C33E" w14:textId="77777777">
      <w:r>
        <w:separator/>
      </w:r>
    </w:p>
  </w:footnote>
  <w:footnote w:type="continuationSeparator" w:id="1">
    <w:p w:rsidR="00192852" w:rsidP="003248B1" w14:paraId="65365C2B" w14:textId="77777777">
      <w:r>
        <w:continuationSeparator/>
      </w:r>
    </w:p>
  </w:footnote>
  <w:footnote w:type="continuationNotice" w:id="2">
    <w:p w:rsidR="00192852" w14:paraId="0D91E7E3" w14:textId="77777777"/>
  </w:footnote>
  <w:footnote w:id="3">
    <w:p w:rsidR="005476BB" w14:paraId="0CC1D2C9" w14:textId="431E66BE">
      <w:pPr>
        <w:pStyle w:val="FootnoteText"/>
      </w:pPr>
      <w:r>
        <w:rPr>
          <w:rStyle w:val="FootnoteReference"/>
        </w:rPr>
        <w:footnoteRef/>
      </w:r>
      <w:r>
        <w:t xml:space="preserve"> </w:t>
      </w:r>
      <w:bookmarkStart w:id="3" w:name="_Hlk135927610"/>
      <w:r>
        <w:rPr>
          <w:rFonts w:eastAsia="Calibri"/>
          <w:iCs/>
        </w:rPr>
        <w:t xml:space="preserve">Given </w:t>
      </w:r>
      <w:r w:rsidR="00B41BCF">
        <w:rPr>
          <w:rFonts w:eastAsia="Calibri"/>
          <w:iCs/>
        </w:rPr>
        <w:t xml:space="preserve">that </w:t>
      </w:r>
      <w:r>
        <w:rPr>
          <w:rFonts w:eastAsia="Calibri"/>
          <w:iCs/>
        </w:rPr>
        <w:t>the contract for this work is scheduled to end in September 2023, it is likely that RTI will only be able to conduct up to10 interviews for Wave 2.</w:t>
      </w:r>
      <w:bookmarkEnd w:id="3"/>
    </w:p>
  </w:footnote>
  <w:footnote w:id="4">
    <w:p w:rsidR="0013585D" w:rsidRPr="00A94BDD" w:rsidP="00AB517F" w14:paraId="027C7C79" w14:textId="7BFF8E4F">
      <w:pPr>
        <w:pStyle w:val="FootnoteText"/>
      </w:pPr>
      <w:r w:rsidRPr="00A94BDD">
        <w:rPr>
          <w:rStyle w:val="FootnoteReference"/>
        </w:rPr>
        <w:footnoteRef/>
      </w:r>
      <w:r w:rsidRPr="00A94BDD">
        <w:t xml:space="preserve"> </w:t>
      </w:r>
      <w:r w:rsidRPr="00520B57">
        <w:t>A supermarket sells a wide variety of food, beverages, and household products. It has a wider selection than grocery stores but is smaller and more limited in the range of merchandise than a supercenter or club store.</w:t>
      </w:r>
      <w:r w:rsidRPr="00520B57">
        <w:rPr>
          <w:rFonts w:ascii="Roboto" w:hAnsi="Roboto"/>
          <w:color w:val="4D5156"/>
          <w:shd w:val="clear" w:color="auto" w:fill="FFFFFF"/>
        </w:rPr>
        <w:t xml:space="preserve"> </w:t>
      </w:r>
      <w:r w:rsidRPr="00520B57">
        <w:t xml:space="preserve">Supercenters are large stores that combine nonfood mass merchandise with supermarkets. Club stores are large outlet stores that sell food and beverages in bulk and require consumers to buy a membership. </w:t>
      </w:r>
    </w:p>
  </w:footnote>
  <w:footnote w:id="5">
    <w:p w:rsidR="00226A7B" w:rsidP="00AB517F" w14:paraId="709B2ADB" w14:textId="1D99A183">
      <w:pPr>
        <w:pStyle w:val="FootnoteText"/>
      </w:pPr>
      <w:r>
        <w:rPr>
          <w:rStyle w:val="FootnoteReference"/>
        </w:rPr>
        <w:footnoteRef/>
      </w:r>
      <w:r>
        <w:t xml:space="preserve"> Muth, M.</w:t>
      </w:r>
      <w:r w:rsidR="00103496">
        <w:t xml:space="preserve"> </w:t>
      </w:r>
      <w:r>
        <w:t xml:space="preserve">K., </w:t>
      </w:r>
      <w:r w:rsidRPr="002C1235">
        <w:t>Kinney, S</w:t>
      </w:r>
      <w:r w:rsidR="00F77DFB">
        <w:t xml:space="preserve">., Gargano, M., </w:t>
      </w:r>
      <w:r w:rsidR="00F77DFB">
        <w:t>Looby</w:t>
      </w:r>
      <w:r w:rsidR="00F77DFB">
        <w:t>, C</w:t>
      </w:r>
      <w:r w:rsidRPr="002C1235">
        <w:t>.</w:t>
      </w:r>
      <w:r>
        <w:t xml:space="preserve">, &amp; </w:t>
      </w:r>
      <w:r w:rsidRPr="002C1235">
        <w:t xml:space="preserve">Siegel, P. </w:t>
      </w:r>
      <w:r>
        <w:t>(2021</w:t>
      </w:r>
      <w:r w:rsidR="00C5372F">
        <w:t>,</w:t>
      </w:r>
      <w:r w:rsidRPr="00C5372F" w:rsidR="00C5372F">
        <w:t xml:space="preserve"> </w:t>
      </w:r>
      <w:r w:rsidR="00C5372F">
        <w:t>April</w:t>
      </w:r>
      <w:r>
        <w:t xml:space="preserve">). </w:t>
      </w:r>
      <w:r w:rsidRPr="00673383">
        <w:rPr>
          <w:i/>
          <w:iCs/>
        </w:rPr>
        <w:t xml:space="preserve">User </w:t>
      </w:r>
      <w:r w:rsidRPr="00673383" w:rsidR="00C5372F">
        <w:rPr>
          <w:i/>
          <w:iCs/>
        </w:rPr>
        <w:t>documentation</w:t>
      </w:r>
      <w:r w:rsidRPr="00673383">
        <w:rPr>
          <w:i/>
          <w:iCs/>
        </w:rPr>
        <w:t xml:space="preserve">: Store </w:t>
      </w:r>
      <w:r w:rsidRPr="00673383" w:rsidR="00C5372F">
        <w:rPr>
          <w:i/>
          <w:iCs/>
        </w:rPr>
        <w:t xml:space="preserve">weights </w:t>
      </w:r>
      <w:r w:rsidRPr="00673383">
        <w:rPr>
          <w:i/>
          <w:iCs/>
        </w:rPr>
        <w:t xml:space="preserve">for </w:t>
      </w:r>
      <w:r w:rsidRPr="00673383">
        <w:rPr>
          <w:i/>
          <w:iCs/>
        </w:rPr>
        <w:t>InfoScan</w:t>
      </w:r>
      <w:r w:rsidRPr="00673383">
        <w:rPr>
          <w:i/>
          <w:iCs/>
        </w:rPr>
        <w:t xml:space="preserve"> </w:t>
      </w:r>
      <w:r w:rsidRPr="00673383" w:rsidR="00C5372F">
        <w:rPr>
          <w:i/>
          <w:iCs/>
        </w:rPr>
        <w:t>data</w:t>
      </w:r>
      <w:r w:rsidRPr="00673383">
        <w:rPr>
          <w:i/>
          <w:iCs/>
        </w:rPr>
        <w:t>, 2012–2018.</w:t>
      </w:r>
      <w:r>
        <w:t xml:space="preserve"> </w:t>
      </w:r>
      <w:r w:rsidR="00C5372F">
        <w:t>RTI International</w:t>
      </w:r>
      <w:r>
        <w:t>.</w:t>
      </w:r>
    </w:p>
  </w:footnote>
  <w:footnote w:id="6">
    <w:p w:rsidR="00916B56" w:rsidP="000016EA" w14:paraId="75092CA9" w14:textId="29755D84">
      <w:r>
        <w:rPr>
          <w:rStyle w:val="FootnoteReference"/>
        </w:rPr>
        <w:footnoteRef/>
      </w:r>
      <w:r>
        <w:t xml:space="preserve"> i</w:t>
      </w:r>
      <w:r w:rsidRPr="0003540C">
        <w:t xml:space="preserve">n 2018, </w:t>
      </w:r>
      <w:r>
        <w:t xml:space="preserve">RTI had </w:t>
      </w:r>
      <w:r w:rsidRPr="0003540C">
        <w:t>informal discussions with seven food retailer companies</w:t>
      </w:r>
      <w:r w:rsidRPr="0003540C">
        <w:t xml:space="preserve"> </w:t>
      </w:r>
      <w:r>
        <w:t xml:space="preserve">and several trade associations </w:t>
      </w:r>
      <w:r w:rsidRPr="0003540C">
        <w:t>to help inform the study design for the original project</w:t>
      </w:r>
      <w:r>
        <w:t xml:space="preserve">. </w:t>
      </w:r>
      <w:r w:rsidRPr="00024F00">
        <w:t>Appendix B</w:t>
      </w:r>
      <w:r>
        <w:t xml:space="preserve"> in the OMB package for Wave 1 provided a summary memorandum describing these discussions.</w:t>
      </w:r>
    </w:p>
  </w:footnote>
  <w:footnote w:id="7">
    <w:p w:rsidR="00840651" w:rsidP="00AB517F" w14:paraId="28E35E94" w14:textId="7F0E5B58">
      <w:pPr>
        <w:pStyle w:val="FootnoteText"/>
      </w:pPr>
      <w:r>
        <w:rPr>
          <w:rStyle w:val="FootnoteReference"/>
        </w:rPr>
        <w:footnoteRef/>
      </w:r>
      <w:r>
        <w:t xml:space="preserve"> </w:t>
      </w:r>
      <w:r>
        <w:t>Cho, C</w:t>
      </w:r>
      <w:r w:rsidR="009C6CA9">
        <w:t>.</w:t>
      </w:r>
      <w:r>
        <w:t>, Mc</w:t>
      </w:r>
      <w:r w:rsidR="00C63D4F">
        <w:t>L</w:t>
      </w:r>
      <w:r>
        <w:t xml:space="preserve">aughlin, </w:t>
      </w:r>
      <w:r w:rsidR="009C6CA9">
        <w:t>P.</w:t>
      </w:r>
      <w:r w:rsidR="001E6E55">
        <w:t xml:space="preserve"> </w:t>
      </w:r>
      <w:r w:rsidR="009C6CA9">
        <w:t xml:space="preserve">W., </w:t>
      </w:r>
      <w:r>
        <w:t xml:space="preserve">Zeballos, </w:t>
      </w:r>
      <w:r w:rsidR="009C6CA9">
        <w:t xml:space="preserve">E., </w:t>
      </w:r>
      <w:r>
        <w:t xml:space="preserve">Kent, </w:t>
      </w:r>
      <w:r w:rsidR="009C6CA9">
        <w:t xml:space="preserve">J., &amp; </w:t>
      </w:r>
      <w:r>
        <w:t>Dicken</w:t>
      </w:r>
      <w:r w:rsidR="009C6CA9">
        <w:t>, C.</w:t>
      </w:r>
      <w:r>
        <w:t xml:space="preserve"> (2019).</w:t>
      </w:r>
      <w:r w:rsidR="00F0534B">
        <w:t xml:space="preserve"> </w:t>
      </w:r>
      <w:r w:rsidRPr="0032021D">
        <w:rPr>
          <w:i/>
          <w:iCs/>
        </w:rPr>
        <w:t xml:space="preserve">Capturing the </w:t>
      </w:r>
      <w:r w:rsidRPr="0032021D" w:rsidR="009C6CA9">
        <w:rPr>
          <w:i/>
          <w:iCs/>
        </w:rPr>
        <w:t>complete food environment with commercial data</w:t>
      </w:r>
      <w:r w:rsidRPr="0032021D">
        <w:rPr>
          <w:i/>
          <w:iCs/>
        </w:rPr>
        <w:t>:</w:t>
      </w:r>
      <w:r w:rsidRPr="0032021D" w:rsidR="00F0534B">
        <w:rPr>
          <w:i/>
          <w:iCs/>
        </w:rPr>
        <w:t xml:space="preserve"> </w:t>
      </w:r>
      <w:r w:rsidRPr="0032021D">
        <w:rPr>
          <w:i/>
          <w:iCs/>
        </w:rPr>
        <w:t xml:space="preserve">A </w:t>
      </w:r>
      <w:r w:rsidRPr="0032021D" w:rsidR="009C6CA9">
        <w:rPr>
          <w:i/>
          <w:iCs/>
        </w:rPr>
        <w:t xml:space="preserve">comparison </w:t>
      </w:r>
      <w:r w:rsidRPr="0032021D">
        <w:rPr>
          <w:i/>
          <w:iCs/>
        </w:rPr>
        <w:t xml:space="preserve">of </w:t>
      </w:r>
      <w:r w:rsidRPr="0032021D">
        <w:rPr>
          <w:i/>
          <w:iCs/>
        </w:rPr>
        <w:t>TDLinx</w:t>
      </w:r>
      <w:r w:rsidRPr="0032021D">
        <w:rPr>
          <w:i/>
          <w:iCs/>
        </w:rPr>
        <w:t xml:space="preserve">, </w:t>
      </w:r>
      <w:r w:rsidRPr="0032021D">
        <w:rPr>
          <w:i/>
          <w:iCs/>
        </w:rPr>
        <w:t>ReCount</w:t>
      </w:r>
      <w:r w:rsidRPr="0032021D">
        <w:rPr>
          <w:i/>
          <w:iCs/>
        </w:rPr>
        <w:t xml:space="preserve"> and NETS </w:t>
      </w:r>
      <w:r w:rsidRPr="0032021D" w:rsidR="009C6CA9">
        <w:rPr>
          <w:i/>
          <w:iCs/>
        </w:rPr>
        <w:t>databases</w:t>
      </w:r>
      <w:r w:rsidR="009C6CA9">
        <w:t xml:space="preserve"> (TB-1953).</w:t>
      </w:r>
      <w:r>
        <w:t xml:space="preserve"> U.S. Department of Agriculture, Economic Research Servic</w:t>
      </w:r>
      <w:r w:rsidR="00A8493E">
        <w:t>e</w:t>
      </w:r>
      <w:r w:rsidR="009C6CA9">
        <w:t>.</w:t>
      </w:r>
      <w:r>
        <w:t xml:space="preserve"> </w:t>
      </w:r>
      <w:hyperlink r:id="rId1" w:history="1">
        <w:r w:rsidRPr="003A6C7B">
          <w:rPr>
            <w:rStyle w:val="Hyperlink"/>
          </w:rPr>
          <w:t>https://www.ers.usda.gov/publications/pub-details/?pubid=92628</w:t>
        </w:r>
      </w:hyperlink>
    </w:p>
  </w:footnote>
  <w:footnote w:id="8">
    <w:p w:rsidR="00A24550" w14:paraId="65A41CB4" w14:textId="4924F30D">
      <w:pPr>
        <w:pStyle w:val="FootnoteText"/>
      </w:pPr>
      <w:r>
        <w:rPr>
          <w:rStyle w:val="FootnoteReference"/>
        </w:rPr>
        <w:footnoteRef/>
      </w:r>
      <w:r>
        <w:t xml:space="preserve"> </w:t>
      </w:r>
      <w:r w:rsidRPr="000016EA">
        <w:t>U.S. Food Loss and Waste 2030 Champions are businesses and organizations that have made a public commitment to reduce food loss and waste in their own operations in the United States by 50 percent by the year 2030</w:t>
      </w:r>
      <w:r>
        <w:t xml:space="preserve">. </w:t>
      </w:r>
      <w:hyperlink r:id="rId2" w:anchor="list" w:history="1">
        <w:r>
          <w:rPr>
            <w:rStyle w:val="Hyperlink"/>
          </w:rPr>
          <w:t>United States Food Loss and Waste 2030 Champions | US EPA</w:t>
        </w:r>
      </w:hyperlink>
    </w:p>
  </w:footnote>
  <w:footnote w:id="9">
    <w:p w:rsidR="001166F6" w14:paraId="49C6A1D8" w14:textId="771816D8">
      <w:pPr>
        <w:pStyle w:val="FootnoteText"/>
      </w:pPr>
      <w:r>
        <w:rPr>
          <w:rStyle w:val="FootnoteReference"/>
        </w:rPr>
        <w:footnoteRef/>
      </w:r>
      <w:r>
        <w:t xml:space="preserve"> An RTI staff person had planned to attend the trade show but ultimately did not attend; however, RTI still has access to the attendee list. The searchable list provides the company name and a contact but does not include contact information such as an email or phone number, so it will be necessary to </w:t>
      </w:r>
      <w:r w:rsidR="006909DD">
        <w:t>conduct Google and other searches to obtain contact information. The list will be useful for identifying potential contacts for independent retailers</w:t>
      </w:r>
      <w:r w:rsidR="00307E2E">
        <w:t xml:space="preserve"> and may be more useful than cold-calling alone since we will have a specific contact name to start with.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72" w:rightFromText="72" w:horzAnchor="page" w:tblpX="14641" w:tblpY="1"/>
      <w:tblOverlap w:val="never"/>
      <w:tblW w:w="0" w:type="auto"/>
      <w:tblLayout w:type="fixed"/>
      <w:tblCellMar>
        <w:top w:w="72" w:type="dxa"/>
        <w:left w:w="0" w:type="dxa"/>
        <w:bottom w:w="72" w:type="dxa"/>
        <w:right w:w="0" w:type="dxa"/>
      </w:tblCellMar>
      <w:tblLook w:val="01E0"/>
    </w:tblPr>
    <w:tblGrid>
      <w:gridCol w:w="936"/>
    </w:tblGrid>
    <w:tr w14:paraId="7B015197" w14:textId="77777777" w:rsidTr="00410326">
      <w:tblPrEx>
        <w:tblW w:w="0" w:type="auto"/>
        <w:tblLayout w:type="fixed"/>
        <w:tblCellMar>
          <w:top w:w="72" w:type="dxa"/>
          <w:left w:w="0" w:type="dxa"/>
          <w:bottom w:w="72" w:type="dxa"/>
          <w:right w:w="0" w:type="dxa"/>
        </w:tblCellMar>
        <w:tblLook w:val="01E0"/>
      </w:tblPrEx>
      <w:trPr>
        <w:cantSplit/>
        <w:trHeight w:hRule="exact" w:val="9342"/>
      </w:trPr>
      <w:tc>
        <w:tcPr>
          <w:tcW w:w="936" w:type="dxa"/>
          <w:tcMar>
            <w:left w:w="0" w:type="dxa"/>
            <w:right w:w="0" w:type="dxa"/>
          </w:tcMar>
          <w:textDirection w:val="tbRl"/>
        </w:tcPr>
        <w:p w:rsidR="00593DD0" w:rsidRPr="00410326" w:rsidP="00410326" w14:paraId="54587772" w14:textId="77777777">
          <w:pPr>
            <w:rPr>
              <w:rFonts w:eastAsia="Times New Roman" w:cs="Times New Roman"/>
              <w:iCs/>
              <w:sz w:val="24"/>
              <w:szCs w:val="18"/>
            </w:rPr>
          </w:pPr>
          <w:r w:rsidRPr="00410326">
            <w:rPr>
              <w:rFonts w:eastAsia="Times New Roman" w:cs="Times New Roman"/>
              <w:iCs/>
              <w:sz w:val="24"/>
              <w:szCs w:val="18"/>
            </w:rPr>
            <w:t>Nerino</w:t>
          </w:r>
        </w:p>
        <w:p w:rsidR="00593DD0" w:rsidRPr="00410326" w:rsidP="00410326" w14:paraId="60EB4274" w14:textId="29D13FB4">
          <w:pPr>
            <w:rPr>
              <w:rFonts w:eastAsia="Times New Roman" w:cs="Times New Roman"/>
              <w:iCs/>
              <w:sz w:val="24"/>
              <w:szCs w:val="18"/>
            </w:rPr>
          </w:pPr>
          <w:r>
            <w:rPr>
              <w:rFonts w:eastAsia="Times New Roman" w:cs="Times New Roman"/>
              <w:iCs/>
              <w:sz w:val="24"/>
              <w:szCs w:val="18"/>
            </w:rPr>
            <w:t>September 9</w:t>
          </w:r>
          <w:r w:rsidRPr="00410326">
            <w:rPr>
              <w:rFonts w:eastAsia="Times New Roman" w:cs="Times New Roman"/>
              <w:iCs/>
              <w:sz w:val="24"/>
              <w:szCs w:val="18"/>
            </w:rPr>
            <w:t>, 202</w:t>
          </w:r>
          <w:r>
            <w:rPr>
              <w:rFonts w:eastAsia="Times New Roman" w:cs="Times New Roman"/>
              <w:iCs/>
              <w:sz w:val="24"/>
              <w:szCs w:val="18"/>
            </w:rPr>
            <w:t>2</w:t>
          </w:r>
        </w:p>
        <w:p w:rsidR="00593DD0" w:rsidRPr="00410326" w:rsidP="00410326" w14:paraId="3C614783" w14:textId="77777777">
          <w:pPr>
            <w:rPr>
              <w:rFonts w:eastAsia="Times New Roman" w:cs="Times New Roman"/>
              <w:sz w:val="24"/>
              <w:szCs w:val="22"/>
            </w:rPr>
          </w:pPr>
          <w:r w:rsidRPr="00410326">
            <w:rPr>
              <w:rFonts w:eastAsia="Times New Roman" w:cs="Times New Roman"/>
              <w:iCs/>
              <w:sz w:val="24"/>
              <w:szCs w:val="18"/>
            </w:rPr>
            <w:t>Page 10</w:t>
          </w:r>
        </w:p>
      </w:tc>
    </w:tr>
  </w:tbl>
  <w:p w:rsidR="00593DD0" w:rsidP="0095748A" w14:paraId="7CA4085C" w14:textId="77777777">
    <w:r w:rsidRPr="008B3735">
      <w:rPr>
        <w:bCs/>
        <w:sz w:val="24"/>
      </w:rPr>
      <w:t>Nerino</w:t>
    </w:r>
  </w:p>
  <w:p w:rsidR="00593DD0" w:rsidP="0095748A" w14:paraId="3BE1B106" w14:textId="744A22A0">
    <w:r w:rsidRPr="00DD5050">
      <w:t>Ju</w:t>
    </w:r>
    <w:r w:rsidRPr="00DD5050" w:rsidR="008D20A5">
      <w:t>ly</w:t>
    </w:r>
    <w:r w:rsidRPr="00DD5050">
      <w:t xml:space="preserve"> </w:t>
    </w:r>
    <w:r w:rsidR="00487875">
      <w:t>21</w:t>
    </w:r>
    <w:r w:rsidRPr="00DD5050" w:rsidR="00DD3A96">
      <w:t>,</w:t>
    </w:r>
    <w:r w:rsidR="00DD3A96">
      <w:t xml:space="preserve"> 2023</w:t>
    </w:r>
  </w:p>
  <w:p w:rsidR="00593DD0" w:rsidP="0095748A" w14:paraId="5C5119E8" w14:textId="77777777">
    <w:r>
      <w:t xml:space="preserve">Page </w:t>
    </w:r>
    <w:r>
      <w:fldChar w:fldCharType="begin"/>
    </w:r>
    <w:r>
      <w:instrText xml:space="preserve"> PAGE </w:instrText>
    </w:r>
    <w:r>
      <w:fldChar w:fldCharType="separate"/>
    </w:r>
    <w:r>
      <w:t>12</w:t>
    </w:r>
    <w:r>
      <w:fldChar w:fldCharType="end"/>
    </w:r>
  </w:p>
  <w:p w:rsidR="00593DD0" w:rsidP="0084233D" w14:paraId="29EDA640" w14:textId="77777777">
    <w:pPr>
      <w:pStyle w:val="Header"/>
    </w:pPr>
  </w:p>
  <w:p w:rsidR="00593DD0" w:rsidP="0084233D" w14:paraId="1D0FA28B" w14:textId="77777777">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115B" w:rsidP="00C9115B" w14:paraId="4B679F35" w14:textId="6C588B11">
    <w:pPr>
      <w:pStyle w:val="Header"/>
      <w:ind w:left="-1440"/>
    </w:pPr>
    <w:r>
      <w:rPr>
        <w:noProof/>
      </w:rPr>
      <w:drawing>
        <wp:inline distT="0" distB="0" distL="0" distR="0">
          <wp:extent cx="3314700" cy="633062"/>
          <wp:effectExtent l="0" t="0" r="0" b="0"/>
          <wp:docPr id="10" name="Picture 10" descr="Logo for R-T-I International,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TI_RTP_Memo.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38151" r="57202"/>
                  <a:stretch>
                    <a:fillRect/>
                  </a:stretch>
                </pic:blipFill>
                <pic:spPr bwMode="auto">
                  <a:xfrm>
                    <a:off x="0" y="0"/>
                    <a:ext cx="3316515" cy="633409"/>
                  </a:xfrm>
                  <a:prstGeom prst="rect">
                    <a:avLst/>
                  </a:prstGeom>
                  <a:ln>
                    <a:noFill/>
                  </a:ln>
                  <a:extLst>
                    <a:ext xmlns:a="http://schemas.openxmlformats.org/drawingml/2006/main" uri="{53640926-AAD7-44D8-BBD7-CCE9431645EC}">
                      <a14:shadowObscured xmlns:a14="http://schemas.microsoft.com/office/drawing/2010/main"/>
                    </a:ext>
                    <a:ext xmlns:a="http://schemas.openxmlformats.org/drawingml/2006/main"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72" w:rightFromText="72" w:horzAnchor="page" w:tblpX="14641" w:tblpY="1"/>
      <w:tblOverlap w:val="never"/>
      <w:tblW w:w="0" w:type="auto"/>
      <w:tblLayout w:type="fixed"/>
      <w:tblCellMar>
        <w:top w:w="72" w:type="dxa"/>
        <w:left w:w="0" w:type="dxa"/>
        <w:bottom w:w="72" w:type="dxa"/>
        <w:right w:w="0" w:type="dxa"/>
      </w:tblCellMar>
      <w:tblLook w:val="01E0"/>
    </w:tblPr>
    <w:tblGrid>
      <w:gridCol w:w="936"/>
    </w:tblGrid>
    <w:tr w14:paraId="4DB52DF1" w14:textId="77777777" w:rsidTr="00410326">
      <w:tblPrEx>
        <w:tblW w:w="0" w:type="auto"/>
        <w:tblLayout w:type="fixed"/>
        <w:tblCellMar>
          <w:top w:w="72" w:type="dxa"/>
          <w:left w:w="0" w:type="dxa"/>
          <w:bottom w:w="72" w:type="dxa"/>
          <w:right w:w="0" w:type="dxa"/>
        </w:tblCellMar>
        <w:tblLook w:val="01E0"/>
      </w:tblPrEx>
      <w:trPr>
        <w:cantSplit/>
        <w:trHeight w:hRule="exact" w:val="9342"/>
      </w:trPr>
      <w:tc>
        <w:tcPr>
          <w:tcW w:w="936" w:type="dxa"/>
          <w:tcMar>
            <w:left w:w="0" w:type="dxa"/>
            <w:right w:w="0" w:type="dxa"/>
          </w:tcMar>
          <w:textDirection w:val="tbRl"/>
        </w:tcPr>
        <w:p w:rsidR="00593DD0" w:rsidRPr="00410326" w:rsidP="00410326" w14:paraId="2DA2F897" w14:textId="77777777">
          <w:pPr>
            <w:rPr>
              <w:rFonts w:eastAsia="Times New Roman" w:cs="Times New Roman"/>
              <w:iCs/>
              <w:sz w:val="24"/>
              <w:szCs w:val="18"/>
            </w:rPr>
          </w:pPr>
          <w:r w:rsidRPr="00410326">
            <w:rPr>
              <w:rFonts w:eastAsia="Times New Roman" w:cs="Times New Roman"/>
              <w:iCs/>
              <w:sz w:val="24"/>
              <w:szCs w:val="18"/>
            </w:rPr>
            <w:t>Nerino</w:t>
          </w:r>
        </w:p>
        <w:p w:rsidR="00593DD0" w:rsidRPr="00410326" w:rsidP="00410326" w14:paraId="602791CB" w14:textId="50E710A8">
          <w:pPr>
            <w:rPr>
              <w:rFonts w:eastAsia="Times New Roman" w:cs="Times New Roman"/>
              <w:iCs/>
              <w:sz w:val="24"/>
              <w:szCs w:val="18"/>
            </w:rPr>
          </w:pPr>
          <w:r w:rsidRPr="00DD5050">
            <w:rPr>
              <w:rFonts w:eastAsia="Times New Roman" w:cs="Times New Roman"/>
              <w:iCs/>
              <w:sz w:val="24"/>
              <w:szCs w:val="18"/>
            </w:rPr>
            <w:t>J</w:t>
          </w:r>
          <w:r w:rsidRPr="00DD5050" w:rsidR="008D20A5">
            <w:rPr>
              <w:rFonts w:eastAsia="Times New Roman" w:cs="Times New Roman"/>
              <w:iCs/>
              <w:sz w:val="24"/>
              <w:szCs w:val="18"/>
            </w:rPr>
            <w:t>uly</w:t>
          </w:r>
          <w:r w:rsidRPr="00DD5050" w:rsidR="0030150B">
            <w:rPr>
              <w:rFonts w:eastAsia="Times New Roman" w:cs="Times New Roman"/>
              <w:iCs/>
              <w:sz w:val="24"/>
              <w:szCs w:val="18"/>
            </w:rPr>
            <w:t xml:space="preserve"> </w:t>
          </w:r>
          <w:r w:rsidRPr="00DD5050" w:rsidR="00044A01">
            <w:rPr>
              <w:rFonts w:eastAsia="Times New Roman" w:cs="Times New Roman"/>
              <w:iCs/>
              <w:sz w:val="24"/>
              <w:szCs w:val="18"/>
            </w:rPr>
            <w:t>17</w:t>
          </w:r>
          <w:r w:rsidRPr="00DD5050">
            <w:rPr>
              <w:rFonts w:eastAsia="Times New Roman" w:cs="Times New Roman"/>
              <w:iCs/>
              <w:sz w:val="24"/>
              <w:szCs w:val="18"/>
            </w:rPr>
            <w:t>,</w:t>
          </w:r>
          <w:r>
            <w:rPr>
              <w:rFonts w:eastAsia="Times New Roman" w:cs="Times New Roman"/>
              <w:iCs/>
              <w:sz w:val="24"/>
              <w:szCs w:val="18"/>
            </w:rPr>
            <w:t xml:space="preserve"> 2023</w:t>
          </w:r>
        </w:p>
        <w:p w:rsidR="00593DD0" w:rsidRPr="00410326" w:rsidP="00410326" w14:paraId="691109E3" w14:textId="4E84AB5C">
          <w:pPr>
            <w:rPr>
              <w:rFonts w:eastAsia="Times New Roman" w:cs="Times New Roman"/>
              <w:sz w:val="24"/>
              <w:szCs w:val="22"/>
            </w:rPr>
          </w:pPr>
          <w:r w:rsidRPr="00410326">
            <w:rPr>
              <w:rFonts w:eastAsia="Times New Roman" w:cs="Times New Roman"/>
              <w:iCs/>
              <w:sz w:val="24"/>
              <w:szCs w:val="18"/>
            </w:rPr>
            <w:t>Page 1</w:t>
          </w:r>
          <w:r w:rsidR="00C9115B">
            <w:rPr>
              <w:rFonts w:eastAsia="Times New Roman" w:cs="Times New Roman"/>
              <w:iCs/>
              <w:sz w:val="24"/>
              <w:szCs w:val="18"/>
            </w:rPr>
            <w:t>5</w:t>
          </w:r>
        </w:p>
      </w:tc>
    </w:tr>
  </w:tbl>
  <w:p w:rsidR="00593DD0" w:rsidP="0084233D" w14:paraId="3AB066A5" w14:textId="77777777">
    <w:pPr>
      <w:pStyle w:val="Header"/>
    </w:pPr>
  </w:p>
  <w:p w:rsidR="00593DD0" w:rsidP="0084233D" w14:paraId="1C5E9798" w14:textId="77777777">
    <w:pPr>
      <w:pStyle w:val="Header"/>
      <w:ind w:left="-14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115B" w:rsidP="00C9115B" w14:paraId="705E1D91" w14:textId="77777777">
    <w:r w:rsidRPr="008B3735">
      <w:rPr>
        <w:bCs/>
        <w:sz w:val="24"/>
      </w:rPr>
      <w:t>Nerino</w:t>
    </w:r>
  </w:p>
  <w:p w:rsidR="00C9115B" w:rsidP="00C9115B" w14:paraId="65A125AE" w14:textId="011C86DE">
    <w:r w:rsidRPr="00DD5050">
      <w:t>Ju</w:t>
    </w:r>
    <w:r w:rsidRPr="00DD5050" w:rsidR="0059682C">
      <w:t>ly</w:t>
    </w:r>
    <w:r w:rsidRPr="00DD5050">
      <w:t xml:space="preserve"> </w:t>
    </w:r>
    <w:r w:rsidRPr="00DD5050" w:rsidR="00DD5050">
      <w:t>17</w:t>
    </w:r>
    <w:r w:rsidR="00DD3A96">
      <w:t>, 2023</w:t>
    </w:r>
  </w:p>
  <w:p w:rsidR="00C9115B" w:rsidP="00C9115B" w14:paraId="722F7487" w14:textId="77777777">
    <w:r>
      <w:t xml:space="preserve">Page </w:t>
    </w:r>
    <w:r>
      <w:fldChar w:fldCharType="begin"/>
    </w:r>
    <w:r>
      <w:instrText xml:space="preserve"> PAGE </w:instrText>
    </w:r>
    <w:r>
      <w:fldChar w:fldCharType="separate"/>
    </w:r>
    <w:r>
      <w:t>16</w:t>
    </w:r>
    <w:r>
      <w:fldChar w:fldCharType="end"/>
    </w:r>
  </w:p>
  <w:p w:rsidR="00C9115B" w:rsidP="0084233D" w14:paraId="470C3D4B" w14:textId="77777777">
    <w:pPr>
      <w:pStyle w:val="Header"/>
    </w:pPr>
  </w:p>
  <w:p w:rsidR="00C9115B" w:rsidP="0084233D" w14:paraId="3B985105" w14:textId="77777777">
    <w:pPr>
      <w:pStyle w:val="Header"/>
      <w:ind w:left="-14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FE9" w:rsidP="006D3FE9" w14:paraId="33C9878A" w14:textId="77777777">
    <w:r w:rsidRPr="008B3735">
      <w:rPr>
        <w:bCs/>
        <w:sz w:val="24"/>
      </w:rPr>
      <w:t>Nerino</w:t>
    </w:r>
  </w:p>
  <w:p w:rsidR="006D3FE9" w:rsidP="006D3FE9" w14:paraId="55618778" w14:textId="3D2DD94A">
    <w:r w:rsidRPr="00DD5050">
      <w:t>Ju</w:t>
    </w:r>
    <w:r w:rsidRPr="00DD5050" w:rsidR="008D20A5">
      <w:t>ly</w:t>
    </w:r>
    <w:r w:rsidRPr="00DD5050">
      <w:t xml:space="preserve"> </w:t>
    </w:r>
    <w:r w:rsidRPr="00DD5050" w:rsidR="00044A01">
      <w:t>17</w:t>
    </w:r>
    <w:r w:rsidRPr="00DD5050">
      <w:t>,</w:t>
    </w:r>
    <w:r>
      <w:t xml:space="preserve"> </w:t>
    </w:r>
    <w:r w:rsidR="004068F3">
      <w:t>2023</w:t>
    </w:r>
  </w:p>
  <w:p w:rsidR="0013585D" w:rsidP="00E73AFC" w14:paraId="158F080D" w14:textId="77777777">
    <w:r>
      <w:t xml:space="preserve">Page </w:t>
    </w:r>
    <w:r>
      <w:fldChar w:fldCharType="begin"/>
    </w:r>
    <w:r>
      <w:instrText xml:space="preserve"> PAGE </w:instrText>
    </w:r>
    <w:r>
      <w:fldChar w:fldCharType="separate"/>
    </w:r>
    <w:r>
      <w:t>9</w:t>
    </w:r>
    <w:r>
      <w:fldChar w:fldCharType="end"/>
    </w:r>
  </w:p>
  <w:p w:rsidR="0013585D" w:rsidP="0079649A" w14:paraId="7252B8C0" w14:textId="2B3498EA">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169394"/>
    <w:lvl w:ilvl="0">
      <w:start w:val="1"/>
      <w:numFmt w:val="decimal"/>
      <w:lvlText w:val="%1."/>
      <w:lvlJc w:val="left"/>
      <w:pPr>
        <w:tabs>
          <w:tab w:val="num" w:pos="1800"/>
        </w:tabs>
        <w:ind w:left="1800" w:hanging="360"/>
      </w:pPr>
    </w:lvl>
  </w:abstractNum>
  <w:abstractNum w:abstractNumId="1">
    <w:nsid w:val="FFFFFF7D"/>
    <w:multiLevelType w:val="singleLevel"/>
    <w:tmpl w:val="981C0B38"/>
    <w:lvl w:ilvl="0">
      <w:start w:val="1"/>
      <w:numFmt w:val="decimal"/>
      <w:lvlText w:val="%1."/>
      <w:lvlJc w:val="left"/>
      <w:pPr>
        <w:tabs>
          <w:tab w:val="num" w:pos="1440"/>
        </w:tabs>
        <w:ind w:left="1440" w:hanging="360"/>
      </w:pPr>
    </w:lvl>
  </w:abstractNum>
  <w:abstractNum w:abstractNumId="2">
    <w:nsid w:val="FFFFFF7E"/>
    <w:multiLevelType w:val="singleLevel"/>
    <w:tmpl w:val="290AEFDE"/>
    <w:lvl w:ilvl="0">
      <w:start w:val="1"/>
      <w:numFmt w:val="decimal"/>
      <w:lvlText w:val="%1."/>
      <w:lvlJc w:val="left"/>
      <w:pPr>
        <w:tabs>
          <w:tab w:val="num" w:pos="1080"/>
        </w:tabs>
        <w:ind w:left="1080" w:hanging="360"/>
      </w:pPr>
    </w:lvl>
  </w:abstractNum>
  <w:abstractNum w:abstractNumId="3">
    <w:nsid w:val="FFFFFF7F"/>
    <w:multiLevelType w:val="singleLevel"/>
    <w:tmpl w:val="E2FA43BA"/>
    <w:lvl w:ilvl="0">
      <w:start w:val="1"/>
      <w:numFmt w:val="decimal"/>
      <w:lvlText w:val="%1."/>
      <w:lvlJc w:val="left"/>
      <w:pPr>
        <w:tabs>
          <w:tab w:val="num" w:pos="720"/>
        </w:tabs>
        <w:ind w:left="720" w:hanging="360"/>
      </w:pPr>
    </w:lvl>
  </w:abstractNum>
  <w:abstractNum w:abstractNumId="4">
    <w:nsid w:val="FFFFFF80"/>
    <w:multiLevelType w:val="singleLevel"/>
    <w:tmpl w:val="7BA87D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56A5A9C"/>
    <w:lvl w:ilvl="0">
      <w:start w:val="1"/>
      <w:numFmt w:val="bullet"/>
      <w:lvlText w:val=""/>
      <w:lvlJc w:val="left"/>
      <w:pPr>
        <w:tabs>
          <w:tab w:val="num" w:pos="1440"/>
        </w:tabs>
        <w:ind w:left="1440" w:hanging="360"/>
      </w:pPr>
      <w:rPr>
        <w:rFonts w:ascii="Symbol" w:hAnsi="Symbol" w:hint="default"/>
      </w:rPr>
    </w:lvl>
  </w:abstractNum>
  <w:abstractNum w:abstractNumId="6">
    <w:nsid w:val="FFFFFF89"/>
    <w:multiLevelType w:val="singleLevel"/>
    <w:tmpl w:val="ED2A192C"/>
    <w:lvl w:ilvl="0">
      <w:start w:val="1"/>
      <w:numFmt w:val="bullet"/>
      <w:lvlText w:val=""/>
      <w:lvlJc w:val="left"/>
      <w:pPr>
        <w:tabs>
          <w:tab w:val="num" w:pos="360"/>
        </w:tabs>
        <w:ind w:left="360" w:hanging="360"/>
      </w:pPr>
      <w:rPr>
        <w:rFonts w:ascii="Symbol" w:hAnsi="Symbol" w:hint="default"/>
        <w:sz w:val="22"/>
      </w:rPr>
    </w:lvl>
  </w:abstractNum>
  <w:abstractNum w:abstractNumId="7">
    <w:nsid w:val="04224DF5"/>
    <w:multiLevelType w:val="hybridMultilevel"/>
    <w:tmpl w:val="00865886"/>
    <w:lvl w:ilvl="0">
      <w:start w:val="1"/>
      <w:numFmt w:val="bullet"/>
      <w:pStyle w:val="ListBullet2"/>
      <w:lvlText w:val="–"/>
      <w:lvlJc w:val="left"/>
      <w:pPr>
        <w:ind w:left="1800" w:hanging="360"/>
      </w:pPr>
      <w:rPr>
        <w:rFonts w:ascii="Verdana" w:hAnsi="Verdana"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09070352"/>
    <w:multiLevelType w:val="hybridMultilevel"/>
    <w:tmpl w:val="301605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0E65608A"/>
    <w:multiLevelType w:val="hybridMultilevel"/>
    <w:tmpl w:val="71EA8F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307340"/>
    <w:multiLevelType w:val="hybridMultilevel"/>
    <w:tmpl w:val="124E83AC"/>
    <w:lvl w:ilvl="0">
      <w:start w:val="970"/>
      <w:numFmt w:val="bullet"/>
      <w:lvlText w:val="-"/>
      <w:lvlJc w:val="left"/>
      <w:pPr>
        <w:ind w:left="720" w:hanging="360"/>
      </w:pPr>
      <w:rPr>
        <w:rFonts w:ascii="Calibri" w:eastAsia="Calibri" w:hAnsi="Calibri"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535F8B"/>
    <w:multiLevelType w:val="hybridMultilevel"/>
    <w:tmpl w:val="2940D7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CF77654"/>
    <w:multiLevelType w:val="hybridMultilevel"/>
    <w:tmpl w:val="1A7C8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590622"/>
    <w:multiLevelType w:val="hybridMultilevel"/>
    <w:tmpl w:val="C7D4C0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B53FEE"/>
    <w:multiLevelType w:val="hybridMultilevel"/>
    <w:tmpl w:val="9DCE6F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060C46"/>
    <w:multiLevelType w:val="hybridMultilevel"/>
    <w:tmpl w:val="058668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066B6D"/>
    <w:multiLevelType w:val="hybridMultilevel"/>
    <w:tmpl w:val="5448BCB4"/>
    <w:lvl w:ilvl="0">
      <w:start w:val="1"/>
      <w:numFmt w:val="decimal"/>
      <w:pStyle w:val="ListNumb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8E87EFB"/>
    <w:multiLevelType w:val="hybridMultilevel"/>
    <w:tmpl w:val="A230B2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4C34948"/>
    <w:multiLevelType w:val="hybridMultilevel"/>
    <w:tmpl w:val="6C58CD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7A02F5E"/>
    <w:multiLevelType w:val="hybridMultilevel"/>
    <w:tmpl w:val="A67085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81535C3"/>
    <w:multiLevelType w:val="hybridMultilevel"/>
    <w:tmpl w:val="C40A3AC8"/>
    <w:lvl w:ilvl="0">
      <w:start w:val="1"/>
      <w:numFmt w:val="decimal"/>
      <w:lvlText w:val="%1."/>
      <w:lvlJc w:val="left"/>
      <w:pPr>
        <w:ind w:left="1080" w:hanging="360"/>
      </w:pPr>
      <w:rPr>
        <w:rFont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B9575AA"/>
    <w:multiLevelType w:val="hybridMultilevel"/>
    <w:tmpl w:val="4AE49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F9A3DCE"/>
    <w:multiLevelType w:val="hybridMultilevel"/>
    <w:tmpl w:val="4F08394E"/>
    <w:lvl w:ilvl="0">
      <w:start w:val="1"/>
      <w:numFmt w:val="bullet"/>
      <w:lvlText w:val="▪"/>
      <w:lvlJc w:val="left"/>
      <w:pPr>
        <w:ind w:left="324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pStyle w:val="ListBullet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E249CB"/>
    <w:multiLevelType w:val="hybridMultilevel"/>
    <w:tmpl w:val="66BE23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C6C065F"/>
    <w:multiLevelType w:val="hybridMultilevel"/>
    <w:tmpl w:val="1F684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E0C7B06"/>
    <w:multiLevelType w:val="hybridMultilevel"/>
    <w:tmpl w:val="00D0863C"/>
    <w:lvl w:ilvl="0">
      <w:start w:val="1"/>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03E1C2C"/>
    <w:multiLevelType w:val="hybridMultilevel"/>
    <w:tmpl w:val="DBD4FDD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2123B41"/>
    <w:multiLevelType w:val="hybridMultilevel"/>
    <w:tmpl w:val="0978B4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27A5156"/>
    <w:multiLevelType w:val="hybridMultilevel"/>
    <w:tmpl w:val="058668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9937D00"/>
    <w:multiLevelType w:val="hybridMultilevel"/>
    <w:tmpl w:val="7BBA1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234F3A"/>
    <w:multiLevelType w:val="hybridMultilevel"/>
    <w:tmpl w:val="05BEA3A8"/>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62F3E18"/>
    <w:multiLevelType w:val="hybridMultilevel"/>
    <w:tmpl w:val="B226098A"/>
    <w:lvl w:ilvl="0">
      <w:start w:val="1"/>
      <w:numFmt w:val="bullet"/>
      <w:lvlText w:val=""/>
      <w:lvlJc w:val="left"/>
      <w:pPr>
        <w:ind w:left="895" w:hanging="360"/>
      </w:pPr>
      <w:rPr>
        <w:rFonts w:ascii="Symbol" w:hAnsi="Symbol" w:hint="default"/>
      </w:rPr>
    </w:lvl>
    <w:lvl w:ilvl="1" w:tentative="1">
      <w:start w:val="1"/>
      <w:numFmt w:val="bullet"/>
      <w:lvlText w:val="o"/>
      <w:lvlJc w:val="left"/>
      <w:pPr>
        <w:ind w:left="1615" w:hanging="360"/>
      </w:pPr>
      <w:rPr>
        <w:rFonts w:ascii="Courier New" w:hAnsi="Courier New" w:cs="Courier New" w:hint="default"/>
      </w:rPr>
    </w:lvl>
    <w:lvl w:ilvl="2" w:tentative="1">
      <w:start w:val="1"/>
      <w:numFmt w:val="bullet"/>
      <w:lvlText w:val=""/>
      <w:lvlJc w:val="left"/>
      <w:pPr>
        <w:ind w:left="2335" w:hanging="360"/>
      </w:pPr>
      <w:rPr>
        <w:rFonts w:ascii="Wingdings" w:hAnsi="Wingdings" w:hint="default"/>
      </w:rPr>
    </w:lvl>
    <w:lvl w:ilvl="3" w:tentative="1">
      <w:start w:val="1"/>
      <w:numFmt w:val="bullet"/>
      <w:lvlText w:val=""/>
      <w:lvlJc w:val="left"/>
      <w:pPr>
        <w:ind w:left="3055" w:hanging="360"/>
      </w:pPr>
      <w:rPr>
        <w:rFonts w:ascii="Symbol" w:hAnsi="Symbol" w:hint="default"/>
      </w:rPr>
    </w:lvl>
    <w:lvl w:ilvl="4" w:tentative="1">
      <w:start w:val="1"/>
      <w:numFmt w:val="bullet"/>
      <w:lvlText w:val="o"/>
      <w:lvlJc w:val="left"/>
      <w:pPr>
        <w:ind w:left="3775" w:hanging="360"/>
      </w:pPr>
      <w:rPr>
        <w:rFonts w:ascii="Courier New" w:hAnsi="Courier New" w:cs="Courier New" w:hint="default"/>
      </w:rPr>
    </w:lvl>
    <w:lvl w:ilvl="5" w:tentative="1">
      <w:start w:val="1"/>
      <w:numFmt w:val="bullet"/>
      <w:lvlText w:val=""/>
      <w:lvlJc w:val="left"/>
      <w:pPr>
        <w:ind w:left="4495" w:hanging="360"/>
      </w:pPr>
      <w:rPr>
        <w:rFonts w:ascii="Wingdings" w:hAnsi="Wingdings" w:hint="default"/>
      </w:rPr>
    </w:lvl>
    <w:lvl w:ilvl="6" w:tentative="1">
      <w:start w:val="1"/>
      <w:numFmt w:val="bullet"/>
      <w:lvlText w:val=""/>
      <w:lvlJc w:val="left"/>
      <w:pPr>
        <w:ind w:left="5215" w:hanging="360"/>
      </w:pPr>
      <w:rPr>
        <w:rFonts w:ascii="Symbol" w:hAnsi="Symbol" w:hint="default"/>
      </w:rPr>
    </w:lvl>
    <w:lvl w:ilvl="7" w:tentative="1">
      <w:start w:val="1"/>
      <w:numFmt w:val="bullet"/>
      <w:lvlText w:val="o"/>
      <w:lvlJc w:val="left"/>
      <w:pPr>
        <w:ind w:left="5935" w:hanging="360"/>
      </w:pPr>
      <w:rPr>
        <w:rFonts w:ascii="Courier New" w:hAnsi="Courier New" w:cs="Courier New" w:hint="default"/>
      </w:rPr>
    </w:lvl>
    <w:lvl w:ilvl="8" w:tentative="1">
      <w:start w:val="1"/>
      <w:numFmt w:val="bullet"/>
      <w:lvlText w:val=""/>
      <w:lvlJc w:val="left"/>
      <w:pPr>
        <w:ind w:left="6655" w:hanging="360"/>
      </w:pPr>
      <w:rPr>
        <w:rFonts w:ascii="Wingdings" w:hAnsi="Wingdings" w:hint="default"/>
      </w:rPr>
    </w:lvl>
  </w:abstractNum>
  <w:abstractNum w:abstractNumId="32">
    <w:nsid w:val="78261B38"/>
    <w:multiLevelType w:val="hybridMultilevel"/>
    <w:tmpl w:val="89E461CE"/>
    <w:lvl w:ilvl="0">
      <w:start w:val="1"/>
      <w:numFmt w:val="bullet"/>
      <w:pStyle w:val="Table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A137348"/>
    <w:multiLevelType w:val="hybridMultilevel"/>
    <w:tmpl w:val="CB3896DE"/>
    <w:lvl w:ilvl="0">
      <w:start w:val="1"/>
      <w:numFmt w:val="bullet"/>
      <w:pStyle w:val="ListBullet"/>
      <w:lvlText w:val="•"/>
      <w:lvlJc w:val="left"/>
      <w:pPr>
        <w:ind w:left="1170" w:hanging="360"/>
      </w:pPr>
      <w:rPr>
        <w:rFonts w:ascii="Times New Roman"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4">
    <w:nsid w:val="7E4A2D4B"/>
    <w:multiLevelType w:val="hybridMultilevel"/>
    <w:tmpl w:val="8B5CDE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17962145">
    <w:abstractNumId w:val="33"/>
  </w:num>
  <w:num w:numId="2" w16cid:durableId="865169747">
    <w:abstractNumId w:val="7"/>
  </w:num>
  <w:num w:numId="3" w16cid:durableId="1845167634">
    <w:abstractNumId w:val="22"/>
  </w:num>
  <w:num w:numId="4" w16cid:durableId="777023877">
    <w:abstractNumId w:val="16"/>
  </w:num>
  <w:num w:numId="5" w16cid:durableId="1470201571">
    <w:abstractNumId w:val="33"/>
    <w:lvlOverride w:ilvl="0">
      <w:startOverride w:val="1"/>
    </w:lvlOverride>
  </w:num>
  <w:num w:numId="6" w16cid:durableId="1250844914">
    <w:abstractNumId w:val="5"/>
  </w:num>
  <w:num w:numId="7" w16cid:durableId="1830557239">
    <w:abstractNumId w:val="4"/>
  </w:num>
  <w:num w:numId="8" w16cid:durableId="1445156228">
    <w:abstractNumId w:val="3"/>
  </w:num>
  <w:num w:numId="9" w16cid:durableId="1653370949">
    <w:abstractNumId w:val="2"/>
  </w:num>
  <w:num w:numId="10" w16cid:durableId="301621855">
    <w:abstractNumId w:val="1"/>
  </w:num>
  <w:num w:numId="11" w16cid:durableId="1345940001">
    <w:abstractNumId w:val="0"/>
  </w:num>
  <w:num w:numId="12" w16cid:durableId="1871870169">
    <w:abstractNumId w:val="25"/>
  </w:num>
  <w:num w:numId="13" w16cid:durableId="349332874">
    <w:abstractNumId w:val="6"/>
  </w:num>
  <w:num w:numId="14" w16cid:durableId="1614169225">
    <w:abstractNumId w:val="34"/>
  </w:num>
  <w:num w:numId="15" w16cid:durableId="1075470946">
    <w:abstractNumId w:val="24"/>
  </w:num>
  <w:num w:numId="16" w16cid:durableId="641273711">
    <w:abstractNumId w:val="7"/>
  </w:num>
  <w:num w:numId="17" w16cid:durableId="155651613">
    <w:abstractNumId w:val="7"/>
  </w:num>
  <w:num w:numId="18" w16cid:durableId="1696496785">
    <w:abstractNumId w:val="33"/>
  </w:num>
  <w:num w:numId="19" w16cid:durableId="383676558">
    <w:abstractNumId w:val="33"/>
  </w:num>
  <w:num w:numId="20" w16cid:durableId="847909752">
    <w:abstractNumId w:val="33"/>
  </w:num>
  <w:num w:numId="21" w16cid:durableId="2022929162">
    <w:abstractNumId w:val="12"/>
  </w:num>
  <w:num w:numId="22" w16cid:durableId="1804226234">
    <w:abstractNumId w:val="9"/>
  </w:num>
  <w:num w:numId="23" w16cid:durableId="570846817">
    <w:abstractNumId w:val="21"/>
  </w:num>
  <w:num w:numId="24" w16cid:durableId="825707504">
    <w:abstractNumId w:val="14"/>
  </w:num>
  <w:num w:numId="25" w16cid:durableId="1175151538">
    <w:abstractNumId w:val="18"/>
  </w:num>
  <w:num w:numId="26" w16cid:durableId="1710183751">
    <w:abstractNumId w:val="28"/>
  </w:num>
  <w:num w:numId="27" w16cid:durableId="568073078">
    <w:abstractNumId w:val="17"/>
  </w:num>
  <w:num w:numId="28" w16cid:durableId="407115986">
    <w:abstractNumId w:val="30"/>
  </w:num>
  <w:num w:numId="29" w16cid:durableId="609246149">
    <w:abstractNumId w:val="15"/>
  </w:num>
  <w:num w:numId="30" w16cid:durableId="568540197">
    <w:abstractNumId w:val="32"/>
  </w:num>
  <w:num w:numId="31" w16cid:durableId="1998415553">
    <w:abstractNumId w:val="27"/>
  </w:num>
  <w:num w:numId="32" w16cid:durableId="1321229413">
    <w:abstractNumId w:val="13"/>
  </w:num>
  <w:num w:numId="33" w16cid:durableId="270741442">
    <w:abstractNumId w:val="19"/>
  </w:num>
  <w:num w:numId="34" w16cid:durableId="1377003023">
    <w:abstractNumId w:val="26"/>
  </w:num>
  <w:num w:numId="35" w16cid:durableId="1665666496">
    <w:abstractNumId w:val="8"/>
  </w:num>
  <w:num w:numId="36" w16cid:durableId="1747143934">
    <w:abstractNumId w:val="23"/>
  </w:num>
  <w:num w:numId="37" w16cid:durableId="781651322">
    <w:abstractNumId w:val="11"/>
  </w:num>
  <w:num w:numId="38" w16cid:durableId="936672573">
    <w:abstractNumId w:val="29"/>
  </w:num>
  <w:num w:numId="39" w16cid:durableId="1786538623">
    <w:abstractNumId w:val="10"/>
  </w:num>
  <w:num w:numId="40" w16cid:durableId="1825854382">
    <w:abstractNumId w:val="31"/>
  </w:num>
  <w:num w:numId="41" w16cid:durableId="9530511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EC"/>
    <w:rsid w:val="0000153A"/>
    <w:rsid w:val="000016EA"/>
    <w:rsid w:val="000062B1"/>
    <w:rsid w:val="0000632F"/>
    <w:rsid w:val="00007A89"/>
    <w:rsid w:val="000121DB"/>
    <w:rsid w:val="00012F2E"/>
    <w:rsid w:val="00015F85"/>
    <w:rsid w:val="00017F57"/>
    <w:rsid w:val="00020069"/>
    <w:rsid w:val="00024F00"/>
    <w:rsid w:val="000275C2"/>
    <w:rsid w:val="000332FC"/>
    <w:rsid w:val="00034F32"/>
    <w:rsid w:val="0003540C"/>
    <w:rsid w:val="00035B83"/>
    <w:rsid w:val="00036C28"/>
    <w:rsid w:val="0004052C"/>
    <w:rsid w:val="00041271"/>
    <w:rsid w:val="00041D7F"/>
    <w:rsid w:val="00041EFD"/>
    <w:rsid w:val="00042B87"/>
    <w:rsid w:val="00044A01"/>
    <w:rsid w:val="00047960"/>
    <w:rsid w:val="00050CAC"/>
    <w:rsid w:val="00050CE5"/>
    <w:rsid w:val="00056579"/>
    <w:rsid w:val="0005797A"/>
    <w:rsid w:val="00057E5A"/>
    <w:rsid w:val="00063E5D"/>
    <w:rsid w:val="000646AA"/>
    <w:rsid w:val="0006648E"/>
    <w:rsid w:val="00066760"/>
    <w:rsid w:val="00070D52"/>
    <w:rsid w:val="000773DD"/>
    <w:rsid w:val="00081A32"/>
    <w:rsid w:val="00081E30"/>
    <w:rsid w:val="000821B1"/>
    <w:rsid w:val="00082626"/>
    <w:rsid w:val="0008445D"/>
    <w:rsid w:val="00087687"/>
    <w:rsid w:val="0009097A"/>
    <w:rsid w:val="00090E97"/>
    <w:rsid w:val="00090F23"/>
    <w:rsid w:val="0009244D"/>
    <w:rsid w:val="00095D12"/>
    <w:rsid w:val="000A02BD"/>
    <w:rsid w:val="000A0BB5"/>
    <w:rsid w:val="000A0FAF"/>
    <w:rsid w:val="000A173E"/>
    <w:rsid w:val="000A1851"/>
    <w:rsid w:val="000B0001"/>
    <w:rsid w:val="000B0E39"/>
    <w:rsid w:val="000B2098"/>
    <w:rsid w:val="000C076D"/>
    <w:rsid w:val="000C2626"/>
    <w:rsid w:val="000C59DA"/>
    <w:rsid w:val="000C7CD5"/>
    <w:rsid w:val="000D0C3E"/>
    <w:rsid w:val="000D3CA3"/>
    <w:rsid w:val="000D4403"/>
    <w:rsid w:val="000D54A9"/>
    <w:rsid w:val="000D5559"/>
    <w:rsid w:val="000D7742"/>
    <w:rsid w:val="000D7DA7"/>
    <w:rsid w:val="000E0C46"/>
    <w:rsid w:val="000E107C"/>
    <w:rsid w:val="000E1C03"/>
    <w:rsid w:val="000E1C65"/>
    <w:rsid w:val="000E2A5D"/>
    <w:rsid w:val="000E30DD"/>
    <w:rsid w:val="000E336A"/>
    <w:rsid w:val="000E3BB5"/>
    <w:rsid w:val="000E433D"/>
    <w:rsid w:val="000E4E0A"/>
    <w:rsid w:val="000E64D4"/>
    <w:rsid w:val="000F212E"/>
    <w:rsid w:val="000F36C4"/>
    <w:rsid w:val="000F3B59"/>
    <w:rsid w:val="000F549C"/>
    <w:rsid w:val="000F77D9"/>
    <w:rsid w:val="000F7973"/>
    <w:rsid w:val="00103496"/>
    <w:rsid w:val="00103F54"/>
    <w:rsid w:val="00115F84"/>
    <w:rsid w:val="001166F6"/>
    <w:rsid w:val="00116839"/>
    <w:rsid w:val="0012033C"/>
    <w:rsid w:val="00122401"/>
    <w:rsid w:val="001239B9"/>
    <w:rsid w:val="00123F7B"/>
    <w:rsid w:val="0012449E"/>
    <w:rsid w:val="00126F98"/>
    <w:rsid w:val="0012740C"/>
    <w:rsid w:val="0013585D"/>
    <w:rsid w:val="00136DAB"/>
    <w:rsid w:val="00141D9E"/>
    <w:rsid w:val="00142161"/>
    <w:rsid w:val="00142E71"/>
    <w:rsid w:val="00143CAB"/>
    <w:rsid w:val="0015065B"/>
    <w:rsid w:val="0015096A"/>
    <w:rsid w:val="001526D3"/>
    <w:rsid w:val="00154534"/>
    <w:rsid w:val="00154C4B"/>
    <w:rsid w:val="00155049"/>
    <w:rsid w:val="001561D4"/>
    <w:rsid w:val="0015678A"/>
    <w:rsid w:val="00157266"/>
    <w:rsid w:val="00157861"/>
    <w:rsid w:val="001579D9"/>
    <w:rsid w:val="0016000D"/>
    <w:rsid w:val="00162E42"/>
    <w:rsid w:val="00163219"/>
    <w:rsid w:val="00163BC0"/>
    <w:rsid w:val="00164B0B"/>
    <w:rsid w:val="001654CF"/>
    <w:rsid w:val="00166ED8"/>
    <w:rsid w:val="001703D7"/>
    <w:rsid w:val="001708BF"/>
    <w:rsid w:val="00171791"/>
    <w:rsid w:val="0017285F"/>
    <w:rsid w:val="00173398"/>
    <w:rsid w:val="0017339E"/>
    <w:rsid w:val="001738C5"/>
    <w:rsid w:val="0017449B"/>
    <w:rsid w:val="00175F9E"/>
    <w:rsid w:val="0017720D"/>
    <w:rsid w:val="00177A20"/>
    <w:rsid w:val="00181316"/>
    <w:rsid w:val="00181D76"/>
    <w:rsid w:val="001822E1"/>
    <w:rsid w:val="00182BAC"/>
    <w:rsid w:val="00183E69"/>
    <w:rsid w:val="001849BE"/>
    <w:rsid w:val="00185518"/>
    <w:rsid w:val="001857E9"/>
    <w:rsid w:val="0018696A"/>
    <w:rsid w:val="00192852"/>
    <w:rsid w:val="00192D31"/>
    <w:rsid w:val="00192EEC"/>
    <w:rsid w:val="00193F39"/>
    <w:rsid w:val="00194E1C"/>
    <w:rsid w:val="00196B94"/>
    <w:rsid w:val="001A3016"/>
    <w:rsid w:val="001B19E6"/>
    <w:rsid w:val="001B29F9"/>
    <w:rsid w:val="001B32F3"/>
    <w:rsid w:val="001B5CEC"/>
    <w:rsid w:val="001B6764"/>
    <w:rsid w:val="001B7313"/>
    <w:rsid w:val="001C0117"/>
    <w:rsid w:val="001C1382"/>
    <w:rsid w:val="001C313A"/>
    <w:rsid w:val="001C4570"/>
    <w:rsid w:val="001C6E32"/>
    <w:rsid w:val="001C7CD6"/>
    <w:rsid w:val="001D0520"/>
    <w:rsid w:val="001D069C"/>
    <w:rsid w:val="001D11E9"/>
    <w:rsid w:val="001D2FC6"/>
    <w:rsid w:val="001D3C50"/>
    <w:rsid w:val="001D4370"/>
    <w:rsid w:val="001D4BDA"/>
    <w:rsid w:val="001D6CBB"/>
    <w:rsid w:val="001E0CFD"/>
    <w:rsid w:val="001E1AC4"/>
    <w:rsid w:val="001E2E34"/>
    <w:rsid w:val="001E3236"/>
    <w:rsid w:val="001E3D83"/>
    <w:rsid w:val="001E604E"/>
    <w:rsid w:val="001E6E55"/>
    <w:rsid w:val="001F4912"/>
    <w:rsid w:val="001F4D2B"/>
    <w:rsid w:val="0020021B"/>
    <w:rsid w:val="00204D17"/>
    <w:rsid w:val="00205097"/>
    <w:rsid w:val="00205B4E"/>
    <w:rsid w:val="00210096"/>
    <w:rsid w:val="00210607"/>
    <w:rsid w:val="00211749"/>
    <w:rsid w:val="00212A33"/>
    <w:rsid w:val="00213A75"/>
    <w:rsid w:val="00215AAF"/>
    <w:rsid w:val="00222355"/>
    <w:rsid w:val="002252FB"/>
    <w:rsid w:val="00226A7B"/>
    <w:rsid w:val="00236BD7"/>
    <w:rsid w:val="002428CF"/>
    <w:rsid w:val="00242CAB"/>
    <w:rsid w:val="00242D5C"/>
    <w:rsid w:val="0024770D"/>
    <w:rsid w:val="00247B6E"/>
    <w:rsid w:val="00253217"/>
    <w:rsid w:val="0025468A"/>
    <w:rsid w:val="00255760"/>
    <w:rsid w:val="00255EF4"/>
    <w:rsid w:val="002646C9"/>
    <w:rsid w:val="00264A09"/>
    <w:rsid w:val="00265429"/>
    <w:rsid w:val="00267805"/>
    <w:rsid w:val="0027034D"/>
    <w:rsid w:val="00280D24"/>
    <w:rsid w:val="00282A9B"/>
    <w:rsid w:val="00282D56"/>
    <w:rsid w:val="00285F08"/>
    <w:rsid w:val="002870DB"/>
    <w:rsid w:val="00291E3C"/>
    <w:rsid w:val="002949D6"/>
    <w:rsid w:val="002958ED"/>
    <w:rsid w:val="0029683A"/>
    <w:rsid w:val="002A0048"/>
    <w:rsid w:val="002A0D9B"/>
    <w:rsid w:val="002A1793"/>
    <w:rsid w:val="002A2564"/>
    <w:rsid w:val="002A2828"/>
    <w:rsid w:val="002A2EB1"/>
    <w:rsid w:val="002A4960"/>
    <w:rsid w:val="002A716C"/>
    <w:rsid w:val="002B0E3F"/>
    <w:rsid w:val="002B10A0"/>
    <w:rsid w:val="002B15AF"/>
    <w:rsid w:val="002B20EE"/>
    <w:rsid w:val="002B214B"/>
    <w:rsid w:val="002B2729"/>
    <w:rsid w:val="002C1235"/>
    <w:rsid w:val="002C27E8"/>
    <w:rsid w:val="002D04C8"/>
    <w:rsid w:val="002D2154"/>
    <w:rsid w:val="002D5415"/>
    <w:rsid w:val="002D57CC"/>
    <w:rsid w:val="002D6A6C"/>
    <w:rsid w:val="002D7685"/>
    <w:rsid w:val="002D7CBF"/>
    <w:rsid w:val="002E0589"/>
    <w:rsid w:val="002E1126"/>
    <w:rsid w:val="002E5837"/>
    <w:rsid w:val="002E62B7"/>
    <w:rsid w:val="002E7DA1"/>
    <w:rsid w:val="002F05DF"/>
    <w:rsid w:val="002F0750"/>
    <w:rsid w:val="002F0EFA"/>
    <w:rsid w:val="002F549D"/>
    <w:rsid w:val="002F59E7"/>
    <w:rsid w:val="002F65BE"/>
    <w:rsid w:val="0030150B"/>
    <w:rsid w:val="003042EF"/>
    <w:rsid w:val="00304872"/>
    <w:rsid w:val="0030649D"/>
    <w:rsid w:val="00306568"/>
    <w:rsid w:val="00306B18"/>
    <w:rsid w:val="00307579"/>
    <w:rsid w:val="00307E2E"/>
    <w:rsid w:val="003118AB"/>
    <w:rsid w:val="00314327"/>
    <w:rsid w:val="0031513F"/>
    <w:rsid w:val="00316F9F"/>
    <w:rsid w:val="0032021D"/>
    <w:rsid w:val="00321BDA"/>
    <w:rsid w:val="0032366A"/>
    <w:rsid w:val="003248B1"/>
    <w:rsid w:val="003252EA"/>
    <w:rsid w:val="00330652"/>
    <w:rsid w:val="00330971"/>
    <w:rsid w:val="003340EF"/>
    <w:rsid w:val="00336F15"/>
    <w:rsid w:val="00340088"/>
    <w:rsid w:val="00340251"/>
    <w:rsid w:val="00340CA4"/>
    <w:rsid w:val="00341015"/>
    <w:rsid w:val="00344E56"/>
    <w:rsid w:val="003546EF"/>
    <w:rsid w:val="00357A79"/>
    <w:rsid w:val="0036329B"/>
    <w:rsid w:val="003644ED"/>
    <w:rsid w:val="00365792"/>
    <w:rsid w:val="003659B2"/>
    <w:rsid w:val="00365F88"/>
    <w:rsid w:val="0037125B"/>
    <w:rsid w:val="003730C7"/>
    <w:rsid w:val="003737C8"/>
    <w:rsid w:val="00373E5D"/>
    <w:rsid w:val="003750BA"/>
    <w:rsid w:val="003755BE"/>
    <w:rsid w:val="00376802"/>
    <w:rsid w:val="0038090C"/>
    <w:rsid w:val="00380CC3"/>
    <w:rsid w:val="0038126C"/>
    <w:rsid w:val="00381563"/>
    <w:rsid w:val="003816B4"/>
    <w:rsid w:val="0038217D"/>
    <w:rsid w:val="00382C78"/>
    <w:rsid w:val="00383BA9"/>
    <w:rsid w:val="00386516"/>
    <w:rsid w:val="00386E7E"/>
    <w:rsid w:val="00393DDA"/>
    <w:rsid w:val="0039560A"/>
    <w:rsid w:val="003969B5"/>
    <w:rsid w:val="0039766F"/>
    <w:rsid w:val="003A0514"/>
    <w:rsid w:val="003A13A4"/>
    <w:rsid w:val="003A19AE"/>
    <w:rsid w:val="003A2F87"/>
    <w:rsid w:val="003A4CF6"/>
    <w:rsid w:val="003A6A6C"/>
    <w:rsid w:val="003A6C7B"/>
    <w:rsid w:val="003A70CA"/>
    <w:rsid w:val="003A768F"/>
    <w:rsid w:val="003B02E8"/>
    <w:rsid w:val="003B1226"/>
    <w:rsid w:val="003B17E3"/>
    <w:rsid w:val="003B54B0"/>
    <w:rsid w:val="003B6058"/>
    <w:rsid w:val="003B6705"/>
    <w:rsid w:val="003C0A2F"/>
    <w:rsid w:val="003C0DD0"/>
    <w:rsid w:val="003C322A"/>
    <w:rsid w:val="003C393B"/>
    <w:rsid w:val="003C4E92"/>
    <w:rsid w:val="003C6228"/>
    <w:rsid w:val="003C759C"/>
    <w:rsid w:val="003D0464"/>
    <w:rsid w:val="003D05D5"/>
    <w:rsid w:val="003D27E1"/>
    <w:rsid w:val="003D2DE0"/>
    <w:rsid w:val="003D630B"/>
    <w:rsid w:val="003D6E93"/>
    <w:rsid w:val="003D75D6"/>
    <w:rsid w:val="003E1D2D"/>
    <w:rsid w:val="003E3AD2"/>
    <w:rsid w:val="003F0CAD"/>
    <w:rsid w:val="003F21D9"/>
    <w:rsid w:val="003F29D8"/>
    <w:rsid w:val="003F598B"/>
    <w:rsid w:val="003F664E"/>
    <w:rsid w:val="003F70CE"/>
    <w:rsid w:val="003F7580"/>
    <w:rsid w:val="00400225"/>
    <w:rsid w:val="00401211"/>
    <w:rsid w:val="00402077"/>
    <w:rsid w:val="00404122"/>
    <w:rsid w:val="00405C41"/>
    <w:rsid w:val="004068F3"/>
    <w:rsid w:val="00407DB9"/>
    <w:rsid w:val="00410326"/>
    <w:rsid w:val="004117D8"/>
    <w:rsid w:val="0041288A"/>
    <w:rsid w:val="004133F6"/>
    <w:rsid w:val="004134C9"/>
    <w:rsid w:val="00414A7F"/>
    <w:rsid w:val="00414D71"/>
    <w:rsid w:val="00415B1A"/>
    <w:rsid w:val="00416020"/>
    <w:rsid w:val="00416C95"/>
    <w:rsid w:val="00417D98"/>
    <w:rsid w:val="00421AE6"/>
    <w:rsid w:val="00425FA8"/>
    <w:rsid w:val="00426511"/>
    <w:rsid w:val="00430178"/>
    <w:rsid w:val="00432024"/>
    <w:rsid w:val="00441144"/>
    <w:rsid w:val="00451CA9"/>
    <w:rsid w:val="0045371A"/>
    <w:rsid w:val="00460317"/>
    <w:rsid w:val="004605A9"/>
    <w:rsid w:val="00461EBD"/>
    <w:rsid w:val="004629F9"/>
    <w:rsid w:val="00463CD2"/>
    <w:rsid w:val="004644B9"/>
    <w:rsid w:val="004727D1"/>
    <w:rsid w:val="0047314C"/>
    <w:rsid w:val="00477D9D"/>
    <w:rsid w:val="0048098E"/>
    <w:rsid w:val="004848BA"/>
    <w:rsid w:val="00484D50"/>
    <w:rsid w:val="00487875"/>
    <w:rsid w:val="00490A32"/>
    <w:rsid w:val="004924A5"/>
    <w:rsid w:val="00493240"/>
    <w:rsid w:val="00496351"/>
    <w:rsid w:val="00496B1F"/>
    <w:rsid w:val="004A0219"/>
    <w:rsid w:val="004A0AD3"/>
    <w:rsid w:val="004A1F4B"/>
    <w:rsid w:val="004A3A05"/>
    <w:rsid w:val="004A5B2D"/>
    <w:rsid w:val="004B15A5"/>
    <w:rsid w:val="004B24ED"/>
    <w:rsid w:val="004B48AD"/>
    <w:rsid w:val="004B4F46"/>
    <w:rsid w:val="004B5571"/>
    <w:rsid w:val="004B6D07"/>
    <w:rsid w:val="004C0B67"/>
    <w:rsid w:val="004C1601"/>
    <w:rsid w:val="004C1DB7"/>
    <w:rsid w:val="004C2C4E"/>
    <w:rsid w:val="004D19EE"/>
    <w:rsid w:val="004D2692"/>
    <w:rsid w:val="004D55D5"/>
    <w:rsid w:val="004D659E"/>
    <w:rsid w:val="004D7A38"/>
    <w:rsid w:val="004E0010"/>
    <w:rsid w:val="004E401D"/>
    <w:rsid w:val="004E7311"/>
    <w:rsid w:val="004F0D27"/>
    <w:rsid w:val="004F0D73"/>
    <w:rsid w:val="004F637A"/>
    <w:rsid w:val="004F7A82"/>
    <w:rsid w:val="005001E3"/>
    <w:rsid w:val="00503651"/>
    <w:rsid w:val="00504A0A"/>
    <w:rsid w:val="00505256"/>
    <w:rsid w:val="005061C1"/>
    <w:rsid w:val="00507310"/>
    <w:rsid w:val="00511DFD"/>
    <w:rsid w:val="00512BF8"/>
    <w:rsid w:val="005149AF"/>
    <w:rsid w:val="005209F2"/>
    <w:rsid w:val="00520B57"/>
    <w:rsid w:val="00521A86"/>
    <w:rsid w:val="005252D9"/>
    <w:rsid w:val="00525C60"/>
    <w:rsid w:val="00531E9F"/>
    <w:rsid w:val="005326BD"/>
    <w:rsid w:val="00532E12"/>
    <w:rsid w:val="00532F98"/>
    <w:rsid w:val="005348FF"/>
    <w:rsid w:val="00534F53"/>
    <w:rsid w:val="00535406"/>
    <w:rsid w:val="005374D4"/>
    <w:rsid w:val="00537A55"/>
    <w:rsid w:val="00537C69"/>
    <w:rsid w:val="00540B65"/>
    <w:rsid w:val="00544BAF"/>
    <w:rsid w:val="005459AA"/>
    <w:rsid w:val="005476BB"/>
    <w:rsid w:val="00550330"/>
    <w:rsid w:val="005620F4"/>
    <w:rsid w:val="00564813"/>
    <w:rsid w:val="00564CA1"/>
    <w:rsid w:val="00565D05"/>
    <w:rsid w:val="00565D78"/>
    <w:rsid w:val="00574363"/>
    <w:rsid w:val="00583459"/>
    <w:rsid w:val="005837DF"/>
    <w:rsid w:val="005837F3"/>
    <w:rsid w:val="00584897"/>
    <w:rsid w:val="00584899"/>
    <w:rsid w:val="005905F2"/>
    <w:rsid w:val="00590AC2"/>
    <w:rsid w:val="00591CBC"/>
    <w:rsid w:val="0059320B"/>
    <w:rsid w:val="00593DD0"/>
    <w:rsid w:val="00594DD4"/>
    <w:rsid w:val="00596702"/>
    <w:rsid w:val="0059682C"/>
    <w:rsid w:val="005A4559"/>
    <w:rsid w:val="005A47D2"/>
    <w:rsid w:val="005A6DCC"/>
    <w:rsid w:val="005B0E03"/>
    <w:rsid w:val="005B15EB"/>
    <w:rsid w:val="005B6934"/>
    <w:rsid w:val="005B69E4"/>
    <w:rsid w:val="005B73AD"/>
    <w:rsid w:val="005B7A15"/>
    <w:rsid w:val="005B7A1A"/>
    <w:rsid w:val="005C44B9"/>
    <w:rsid w:val="005D2DB0"/>
    <w:rsid w:val="005D3D67"/>
    <w:rsid w:val="005D484F"/>
    <w:rsid w:val="005D65BC"/>
    <w:rsid w:val="005D66B2"/>
    <w:rsid w:val="005E0864"/>
    <w:rsid w:val="005E2D5C"/>
    <w:rsid w:val="005E648B"/>
    <w:rsid w:val="005F0C3F"/>
    <w:rsid w:val="005F64FB"/>
    <w:rsid w:val="005F6D46"/>
    <w:rsid w:val="0060156C"/>
    <w:rsid w:val="00603DB4"/>
    <w:rsid w:val="00604B90"/>
    <w:rsid w:val="00606688"/>
    <w:rsid w:val="006073B4"/>
    <w:rsid w:val="006074F1"/>
    <w:rsid w:val="00607EC2"/>
    <w:rsid w:val="00612BAE"/>
    <w:rsid w:val="00615307"/>
    <w:rsid w:val="00615D2B"/>
    <w:rsid w:val="00615E12"/>
    <w:rsid w:val="00616123"/>
    <w:rsid w:val="00616A76"/>
    <w:rsid w:val="00617D2F"/>
    <w:rsid w:val="00620B7C"/>
    <w:rsid w:val="00621134"/>
    <w:rsid w:val="00621B59"/>
    <w:rsid w:val="006220BD"/>
    <w:rsid w:val="00623DC5"/>
    <w:rsid w:val="006329D7"/>
    <w:rsid w:val="0063657D"/>
    <w:rsid w:val="006405EE"/>
    <w:rsid w:val="00640DA5"/>
    <w:rsid w:val="00641232"/>
    <w:rsid w:val="00641A43"/>
    <w:rsid w:val="00642075"/>
    <w:rsid w:val="006433DB"/>
    <w:rsid w:val="0064491C"/>
    <w:rsid w:val="00645BB2"/>
    <w:rsid w:val="00646660"/>
    <w:rsid w:val="00646723"/>
    <w:rsid w:val="00651011"/>
    <w:rsid w:val="0065346A"/>
    <w:rsid w:val="006541B3"/>
    <w:rsid w:val="00656453"/>
    <w:rsid w:val="0065795D"/>
    <w:rsid w:val="006606FB"/>
    <w:rsid w:val="00660AEE"/>
    <w:rsid w:val="006651FE"/>
    <w:rsid w:val="00666608"/>
    <w:rsid w:val="006701C3"/>
    <w:rsid w:val="00672CE9"/>
    <w:rsid w:val="00673383"/>
    <w:rsid w:val="006745F6"/>
    <w:rsid w:val="006759D4"/>
    <w:rsid w:val="00675C7A"/>
    <w:rsid w:val="00681961"/>
    <w:rsid w:val="006909DD"/>
    <w:rsid w:val="006930FC"/>
    <w:rsid w:val="0069399D"/>
    <w:rsid w:val="00694353"/>
    <w:rsid w:val="00694AC5"/>
    <w:rsid w:val="00696886"/>
    <w:rsid w:val="006977B1"/>
    <w:rsid w:val="00697AA7"/>
    <w:rsid w:val="006A2F10"/>
    <w:rsid w:val="006A48F7"/>
    <w:rsid w:val="006A4E1D"/>
    <w:rsid w:val="006A65B4"/>
    <w:rsid w:val="006A7213"/>
    <w:rsid w:val="006A7726"/>
    <w:rsid w:val="006B2A21"/>
    <w:rsid w:val="006B3426"/>
    <w:rsid w:val="006C00E0"/>
    <w:rsid w:val="006C1F77"/>
    <w:rsid w:val="006C24DD"/>
    <w:rsid w:val="006C3150"/>
    <w:rsid w:val="006C3A5C"/>
    <w:rsid w:val="006C5B1C"/>
    <w:rsid w:val="006C5BEB"/>
    <w:rsid w:val="006D0482"/>
    <w:rsid w:val="006D09D0"/>
    <w:rsid w:val="006D115B"/>
    <w:rsid w:val="006D160F"/>
    <w:rsid w:val="006D1B99"/>
    <w:rsid w:val="006D2754"/>
    <w:rsid w:val="006D3FE9"/>
    <w:rsid w:val="006D521F"/>
    <w:rsid w:val="006D6CEF"/>
    <w:rsid w:val="006E39A0"/>
    <w:rsid w:val="006E4DC3"/>
    <w:rsid w:val="006F2587"/>
    <w:rsid w:val="006F3ED0"/>
    <w:rsid w:val="006F505B"/>
    <w:rsid w:val="00701AC8"/>
    <w:rsid w:val="00705031"/>
    <w:rsid w:val="0070679A"/>
    <w:rsid w:val="00707BD9"/>
    <w:rsid w:val="00707CB3"/>
    <w:rsid w:val="007110A2"/>
    <w:rsid w:val="0071383C"/>
    <w:rsid w:val="00713C84"/>
    <w:rsid w:val="00713D28"/>
    <w:rsid w:val="00714DB7"/>
    <w:rsid w:val="00714EDE"/>
    <w:rsid w:val="00722286"/>
    <w:rsid w:val="00722CA1"/>
    <w:rsid w:val="00726062"/>
    <w:rsid w:val="00726561"/>
    <w:rsid w:val="00731A70"/>
    <w:rsid w:val="0073204A"/>
    <w:rsid w:val="007327FE"/>
    <w:rsid w:val="00743408"/>
    <w:rsid w:val="007458EF"/>
    <w:rsid w:val="007469F4"/>
    <w:rsid w:val="00747A32"/>
    <w:rsid w:val="0075010A"/>
    <w:rsid w:val="00750735"/>
    <w:rsid w:val="00751057"/>
    <w:rsid w:val="00753249"/>
    <w:rsid w:val="00754ECE"/>
    <w:rsid w:val="0075620B"/>
    <w:rsid w:val="007634C1"/>
    <w:rsid w:val="0076711B"/>
    <w:rsid w:val="007705C5"/>
    <w:rsid w:val="00771E4F"/>
    <w:rsid w:val="0077345E"/>
    <w:rsid w:val="007735FD"/>
    <w:rsid w:val="00774AD6"/>
    <w:rsid w:val="0077545D"/>
    <w:rsid w:val="0077573A"/>
    <w:rsid w:val="007766E5"/>
    <w:rsid w:val="00776DC4"/>
    <w:rsid w:val="0078761B"/>
    <w:rsid w:val="00790164"/>
    <w:rsid w:val="007904BA"/>
    <w:rsid w:val="00790807"/>
    <w:rsid w:val="007943A8"/>
    <w:rsid w:val="00794A61"/>
    <w:rsid w:val="0079649A"/>
    <w:rsid w:val="0079709B"/>
    <w:rsid w:val="007A1F78"/>
    <w:rsid w:val="007A505B"/>
    <w:rsid w:val="007A5420"/>
    <w:rsid w:val="007A545A"/>
    <w:rsid w:val="007A6016"/>
    <w:rsid w:val="007A7AAD"/>
    <w:rsid w:val="007B038E"/>
    <w:rsid w:val="007B12F5"/>
    <w:rsid w:val="007B493F"/>
    <w:rsid w:val="007B4FB1"/>
    <w:rsid w:val="007B7245"/>
    <w:rsid w:val="007B7DE5"/>
    <w:rsid w:val="007B7F2C"/>
    <w:rsid w:val="007C2215"/>
    <w:rsid w:val="007C5C5A"/>
    <w:rsid w:val="007D05BF"/>
    <w:rsid w:val="007D0CD2"/>
    <w:rsid w:val="007D131E"/>
    <w:rsid w:val="007D2F4B"/>
    <w:rsid w:val="007D41F9"/>
    <w:rsid w:val="007D4AC4"/>
    <w:rsid w:val="007D579E"/>
    <w:rsid w:val="007D59B0"/>
    <w:rsid w:val="007D6A38"/>
    <w:rsid w:val="007D77D6"/>
    <w:rsid w:val="007E0772"/>
    <w:rsid w:val="007E126F"/>
    <w:rsid w:val="007E1E6B"/>
    <w:rsid w:val="007E3387"/>
    <w:rsid w:val="007E4A6A"/>
    <w:rsid w:val="007E73A0"/>
    <w:rsid w:val="007F066D"/>
    <w:rsid w:val="007F0892"/>
    <w:rsid w:val="007F145D"/>
    <w:rsid w:val="007F16D4"/>
    <w:rsid w:val="007F3FAB"/>
    <w:rsid w:val="007F5073"/>
    <w:rsid w:val="00800E55"/>
    <w:rsid w:val="00801BA9"/>
    <w:rsid w:val="008028F2"/>
    <w:rsid w:val="00804475"/>
    <w:rsid w:val="00806A05"/>
    <w:rsid w:val="0080779D"/>
    <w:rsid w:val="0081025B"/>
    <w:rsid w:val="00810429"/>
    <w:rsid w:val="00814339"/>
    <w:rsid w:val="00814DB3"/>
    <w:rsid w:val="00816015"/>
    <w:rsid w:val="00821384"/>
    <w:rsid w:val="008213EE"/>
    <w:rsid w:val="00821842"/>
    <w:rsid w:val="008226AC"/>
    <w:rsid w:val="0082341C"/>
    <w:rsid w:val="0082657B"/>
    <w:rsid w:val="00831AFB"/>
    <w:rsid w:val="00836F08"/>
    <w:rsid w:val="00840651"/>
    <w:rsid w:val="008409F7"/>
    <w:rsid w:val="0084233D"/>
    <w:rsid w:val="00844D2B"/>
    <w:rsid w:val="008452FE"/>
    <w:rsid w:val="0084547D"/>
    <w:rsid w:val="00845A7E"/>
    <w:rsid w:val="00847094"/>
    <w:rsid w:val="008472E0"/>
    <w:rsid w:val="0085087D"/>
    <w:rsid w:val="00850AC6"/>
    <w:rsid w:val="00850FF0"/>
    <w:rsid w:val="008514C1"/>
    <w:rsid w:val="008521AE"/>
    <w:rsid w:val="008553D0"/>
    <w:rsid w:val="00860CB4"/>
    <w:rsid w:val="00860E58"/>
    <w:rsid w:val="0086352E"/>
    <w:rsid w:val="00865D4B"/>
    <w:rsid w:val="0086622A"/>
    <w:rsid w:val="00866542"/>
    <w:rsid w:val="008667A2"/>
    <w:rsid w:val="008668CD"/>
    <w:rsid w:val="00867CBA"/>
    <w:rsid w:val="00873D0A"/>
    <w:rsid w:val="008746CE"/>
    <w:rsid w:val="00874F24"/>
    <w:rsid w:val="0087661B"/>
    <w:rsid w:val="00881322"/>
    <w:rsid w:val="008849E9"/>
    <w:rsid w:val="00886D22"/>
    <w:rsid w:val="00887754"/>
    <w:rsid w:val="008879C5"/>
    <w:rsid w:val="0089034B"/>
    <w:rsid w:val="008909A9"/>
    <w:rsid w:val="00891A89"/>
    <w:rsid w:val="008928A1"/>
    <w:rsid w:val="00892A93"/>
    <w:rsid w:val="00892B32"/>
    <w:rsid w:val="00894338"/>
    <w:rsid w:val="00895007"/>
    <w:rsid w:val="00895372"/>
    <w:rsid w:val="0089582A"/>
    <w:rsid w:val="008A112E"/>
    <w:rsid w:val="008A1F77"/>
    <w:rsid w:val="008A24D6"/>
    <w:rsid w:val="008A3E6E"/>
    <w:rsid w:val="008B00EA"/>
    <w:rsid w:val="008B08D4"/>
    <w:rsid w:val="008B2FA0"/>
    <w:rsid w:val="008B3735"/>
    <w:rsid w:val="008B40DD"/>
    <w:rsid w:val="008B6466"/>
    <w:rsid w:val="008C4A06"/>
    <w:rsid w:val="008D1C44"/>
    <w:rsid w:val="008D20A5"/>
    <w:rsid w:val="008D5E5B"/>
    <w:rsid w:val="008D5FA7"/>
    <w:rsid w:val="008D654D"/>
    <w:rsid w:val="008E0CFA"/>
    <w:rsid w:val="008E3AD8"/>
    <w:rsid w:val="008E4435"/>
    <w:rsid w:val="008E451A"/>
    <w:rsid w:val="008E5199"/>
    <w:rsid w:val="008E604B"/>
    <w:rsid w:val="008E778C"/>
    <w:rsid w:val="008E78AD"/>
    <w:rsid w:val="008F152C"/>
    <w:rsid w:val="008F24F7"/>
    <w:rsid w:val="008F2B98"/>
    <w:rsid w:val="008F2D24"/>
    <w:rsid w:val="00900FA7"/>
    <w:rsid w:val="009018FB"/>
    <w:rsid w:val="00901CFB"/>
    <w:rsid w:val="00904631"/>
    <w:rsid w:val="009070DB"/>
    <w:rsid w:val="00912582"/>
    <w:rsid w:val="00916A52"/>
    <w:rsid w:val="00916B56"/>
    <w:rsid w:val="00916BA2"/>
    <w:rsid w:val="00916FCC"/>
    <w:rsid w:val="00923947"/>
    <w:rsid w:val="009269E1"/>
    <w:rsid w:val="00926D61"/>
    <w:rsid w:val="009371CA"/>
    <w:rsid w:val="00946EB8"/>
    <w:rsid w:val="009470A7"/>
    <w:rsid w:val="0094744F"/>
    <w:rsid w:val="00947674"/>
    <w:rsid w:val="0094778F"/>
    <w:rsid w:val="009478CF"/>
    <w:rsid w:val="00950DB1"/>
    <w:rsid w:val="00951645"/>
    <w:rsid w:val="0095748A"/>
    <w:rsid w:val="00961F3B"/>
    <w:rsid w:val="00962A41"/>
    <w:rsid w:val="009630F6"/>
    <w:rsid w:val="00964B0B"/>
    <w:rsid w:val="00967003"/>
    <w:rsid w:val="0096719C"/>
    <w:rsid w:val="0097133B"/>
    <w:rsid w:val="0097174E"/>
    <w:rsid w:val="009728DA"/>
    <w:rsid w:val="00974212"/>
    <w:rsid w:val="00975C40"/>
    <w:rsid w:val="00976740"/>
    <w:rsid w:val="009809E6"/>
    <w:rsid w:val="00987220"/>
    <w:rsid w:val="00987D59"/>
    <w:rsid w:val="0099005B"/>
    <w:rsid w:val="009902C4"/>
    <w:rsid w:val="00995611"/>
    <w:rsid w:val="00995E01"/>
    <w:rsid w:val="009A3826"/>
    <w:rsid w:val="009A3884"/>
    <w:rsid w:val="009A4634"/>
    <w:rsid w:val="009A471E"/>
    <w:rsid w:val="009A5F8E"/>
    <w:rsid w:val="009A6AB7"/>
    <w:rsid w:val="009B05AD"/>
    <w:rsid w:val="009B24D2"/>
    <w:rsid w:val="009B4257"/>
    <w:rsid w:val="009B5477"/>
    <w:rsid w:val="009C350B"/>
    <w:rsid w:val="009C4A5A"/>
    <w:rsid w:val="009C5116"/>
    <w:rsid w:val="009C6CA9"/>
    <w:rsid w:val="009C7715"/>
    <w:rsid w:val="009D045B"/>
    <w:rsid w:val="009D0D00"/>
    <w:rsid w:val="009D291C"/>
    <w:rsid w:val="009D3F5B"/>
    <w:rsid w:val="009D7080"/>
    <w:rsid w:val="009E0A57"/>
    <w:rsid w:val="009E2ECC"/>
    <w:rsid w:val="009E3E63"/>
    <w:rsid w:val="009E4688"/>
    <w:rsid w:val="009F34B9"/>
    <w:rsid w:val="009F578F"/>
    <w:rsid w:val="009F7EAB"/>
    <w:rsid w:val="00A0379F"/>
    <w:rsid w:val="00A10A1F"/>
    <w:rsid w:val="00A127DD"/>
    <w:rsid w:val="00A15555"/>
    <w:rsid w:val="00A162DD"/>
    <w:rsid w:val="00A17837"/>
    <w:rsid w:val="00A209CF"/>
    <w:rsid w:val="00A213A4"/>
    <w:rsid w:val="00A21C46"/>
    <w:rsid w:val="00A24550"/>
    <w:rsid w:val="00A25828"/>
    <w:rsid w:val="00A30ED4"/>
    <w:rsid w:val="00A33466"/>
    <w:rsid w:val="00A35298"/>
    <w:rsid w:val="00A35F58"/>
    <w:rsid w:val="00A36780"/>
    <w:rsid w:val="00A449D0"/>
    <w:rsid w:val="00A468BF"/>
    <w:rsid w:val="00A50E13"/>
    <w:rsid w:val="00A50EA1"/>
    <w:rsid w:val="00A516A8"/>
    <w:rsid w:val="00A52A44"/>
    <w:rsid w:val="00A532EC"/>
    <w:rsid w:val="00A569F3"/>
    <w:rsid w:val="00A63AE2"/>
    <w:rsid w:val="00A63B14"/>
    <w:rsid w:val="00A64D1C"/>
    <w:rsid w:val="00A64E4C"/>
    <w:rsid w:val="00A6536C"/>
    <w:rsid w:val="00A65F7A"/>
    <w:rsid w:val="00A667A1"/>
    <w:rsid w:val="00A67CBF"/>
    <w:rsid w:val="00A67CD7"/>
    <w:rsid w:val="00A70379"/>
    <w:rsid w:val="00A70973"/>
    <w:rsid w:val="00A71B3C"/>
    <w:rsid w:val="00A721C7"/>
    <w:rsid w:val="00A72E78"/>
    <w:rsid w:val="00A75233"/>
    <w:rsid w:val="00A7556C"/>
    <w:rsid w:val="00A75CB3"/>
    <w:rsid w:val="00A80620"/>
    <w:rsid w:val="00A808BD"/>
    <w:rsid w:val="00A80A42"/>
    <w:rsid w:val="00A81F3C"/>
    <w:rsid w:val="00A8493E"/>
    <w:rsid w:val="00A900A6"/>
    <w:rsid w:val="00A9398F"/>
    <w:rsid w:val="00A93C1D"/>
    <w:rsid w:val="00A946B0"/>
    <w:rsid w:val="00A94BDD"/>
    <w:rsid w:val="00A959C1"/>
    <w:rsid w:val="00A96311"/>
    <w:rsid w:val="00AA0F05"/>
    <w:rsid w:val="00AA5F36"/>
    <w:rsid w:val="00AA70B0"/>
    <w:rsid w:val="00AB19C8"/>
    <w:rsid w:val="00AB22A2"/>
    <w:rsid w:val="00AB517F"/>
    <w:rsid w:val="00AB7C63"/>
    <w:rsid w:val="00AC1F5B"/>
    <w:rsid w:val="00AC25B9"/>
    <w:rsid w:val="00AC2CF9"/>
    <w:rsid w:val="00AC3601"/>
    <w:rsid w:val="00AC3857"/>
    <w:rsid w:val="00AC39D6"/>
    <w:rsid w:val="00AC40DC"/>
    <w:rsid w:val="00AC60EC"/>
    <w:rsid w:val="00AC6ED1"/>
    <w:rsid w:val="00AD1869"/>
    <w:rsid w:val="00AD21C0"/>
    <w:rsid w:val="00AD5EFB"/>
    <w:rsid w:val="00AD6109"/>
    <w:rsid w:val="00AD79FA"/>
    <w:rsid w:val="00AE0C05"/>
    <w:rsid w:val="00AE34D4"/>
    <w:rsid w:val="00AE5B9D"/>
    <w:rsid w:val="00AE6338"/>
    <w:rsid w:val="00AE651B"/>
    <w:rsid w:val="00AE7F70"/>
    <w:rsid w:val="00AF05AE"/>
    <w:rsid w:val="00AF0751"/>
    <w:rsid w:val="00AF39ED"/>
    <w:rsid w:val="00AF40C9"/>
    <w:rsid w:val="00AF4725"/>
    <w:rsid w:val="00AF610E"/>
    <w:rsid w:val="00AF6AA8"/>
    <w:rsid w:val="00AF730B"/>
    <w:rsid w:val="00B01D0B"/>
    <w:rsid w:val="00B032CF"/>
    <w:rsid w:val="00B072C9"/>
    <w:rsid w:val="00B077F3"/>
    <w:rsid w:val="00B10C37"/>
    <w:rsid w:val="00B1340A"/>
    <w:rsid w:val="00B16705"/>
    <w:rsid w:val="00B219E8"/>
    <w:rsid w:val="00B21D1C"/>
    <w:rsid w:val="00B22CCC"/>
    <w:rsid w:val="00B23C9A"/>
    <w:rsid w:val="00B248B3"/>
    <w:rsid w:val="00B25837"/>
    <w:rsid w:val="00B2626B"/>
    <w:rsid w:val="00B269A2"/>
    <w:rsid w:val="00B3212B"/>
    <w:rsid w:val="00B347A9"/>
    <w:rsid w:val="00B36B81"/>
    <w:rsid w:val="00B37054"/>
    <w:rsid w:val="00B37E9D"/>
    <w:rsid w:val="00B40862"/>
    <w:rsid w:val="00B40A11"/>
    <w:rsid w:val="00B416E1"/>
    <w:rsid w:val="00B41BCF"/>
    <w:rsid w:val="00B41CF1"/>
    <w:rsid w:val="00B43253"/>
    <w:rsid w:val="00B438AA"/>
    <w:rsid w:val="00B43D8D"/>
    <w:rsid w:val="00B44A53"/>
    <w:rsid w:val="00B46012"/>
    <w:rsid w:val="00B463F6"/>
    <w:rsid w:val="00B46565"/>
    <w:rsid w:val="00B5168A"/>
    <w:rsid w:val="00B53640"/>
    <w:rsid w:val="00B55BFC"/>
    <w:rsid w:val="00B60519"/>
    <w:rsid w:val="00B613EB"/>
    <w:rsid w:val="00B614FB"/>
    <w:rsid w:val="00B71595"/>
    <w:rsid w:val="00B71E35"/>
    <w:rsid w:val="00B8067F"/>
    <w:rsid w:val="00B8222F"/>
    <w:rsid w:val="00B84466"/>
    <w:rsid w:val="00B858F0"/>
    <w:rsid w:val="00B87834"/>
    <w:rsid w:val="00B907D7"/>
    <w:rsid w:val="00B92A69"/>
    <w:rsid w:val="00B946EE"/>
    <w:rsid w:val="00B9474A"/>
    <w:rsid w:val="00B94758"/>
    <w:rsid w:val="00B95906"/>
    <w:rsid w:val="00B95B4C"/>
    <w:rsid w:val="00B977CF"/>
    <w:rsid w:val="00BA25AF"/>
    <w:rsid w:val="00BA329D"/>
    <w:rsid w:val="00BA4D31"/>
    <w:rsid w:val="00BA6A00"/>
    <w:rsid w:val="00BB18E1"/>
    <w:rsid w:val="00BB27F8"/>
    <w:rsid w:val="00BB2812"/>
    <w:rsid w:val="00BB60D6"/>
    <w:rsid w:val="00BB6340"/>
    <w:rsid w:val="00BC152D"/>
    <w:rsid w:val="00BC17CF"/>
    <w:rsid w:val="00BC2C42"/>
    <w:rsid w:val="00BC6DF2"/>
    <w:rsid w:val="00BC787A"/>
    <w:rsid w:val="00BD1691"/>
    <w:rsid w:val="00BD1883"/>
    <w:rsid w:val="00BD2A86"/>
    <w:rsid w:val="00BD4D2A"/>
    <w:rsid w:val="00BD50C0"/>
    <w:rsid w:val="00BD50CF"/>
    <w:rsid w:val="00BE766B"/>
    <w:rsid w:val="00BE7A39"/>
    <w:rsid w:val="00BF0206"/>
    <w:rsid w:val="00BF07C6"/>
    <w:rsid w:val="00BF5056"/>
    <w:rsid w:val="00BF6792"/>
    <w:rsid w:val="00C01BC6"/>
    <w:rsid w:val="00C02158"/>
    <w:rsid w:val="00C02AF6"/>
    <w:rsid w:val="00C046E8"/>
    <w:rsid w:val="00C06449"/>
    <w:rsid w:val="00C203DE"/>
    <w:rsid w:val="00C21CD2"/>
    <w:rsid w:val="00C24DED"/>
    <w:rsid w:val="00C2718C"/>
    <w:rsid w:val="00C32C20"/>
    <w:rsid w:val="00C344D0"/>
    <w:rsid w:val="00C36C08"/>
    <w:rsid w:val="00C36D96"/>
    <w:rsid w:val="00C41948"/>
    <w:rsid w:val="00C43904"/>
    <w:rsid w:val="00C4544F"/>
    <w:rsid w:val="00C45AD8"/>
    <w:rsid w:val="00C46FD3"/>
    <w:rsid w:val="00C514FD"/>
    <w:rsid w:val="00C5372F"/>
    <w:rsid w:val="00C5400C"/>
    <w:rsid w:val="00C54E6D"/>
    <w:rsid w:val="00C55162"/>
    <w:rsid w:val="00C56985"/>
    <w:rsid w:val="00C60F8E"/>
    <w:rsid w:val="00C6116A"/>
    <w:rsid w:val="00C62310"/>
    <w:rsid w:val="00C63D4F"/>
    <w:rsid w:val="00C64521"/>
    <w:rsid w:val="00C66CF0"/>
    <w:rsid w:val="00C706BE"/>
    <w:rsid w:val="00C76375"/>
    <w:rsid w:val="00C77E89"/>
    <w:rsid w:val="00C80234"/>
    <w:rsid w:val="00C80617"/>
    <w:rsid w:val="00C8260B"/>
    <w:rsid w:val="00C83454"/>
    <w:rsid w:val="00C83D5F"/>
    <w:rsid w:val="00C845CA"/>
    <w:rsid w:val="00C85228"/>
    <w:rsid w:val="00C85522"/>
    <w:rsid w:val="00C87B71"/>
    <w:rsid w:val="00C9115B"/>
    <w:rsid w:val="00C97B0C"/>
    <w:rsid w:val="00CA3284"/>
    <w:rsid w:val="00CA3292"/>
    <w:rsid w:val="00CA4ECF"/>
    <w:rsid w:val="00CA5B9E"/>
    <w:rsid w:val="00CA7931"/>
    <w:rsid w:val="00CB0643"/>
    <w:rsid w:val="00CB0719"/>
    <w:rsid w:val="00CB09F6"/>
    <w:rsid w:val="00CB4C80"/>
    <w:rsid w:val="00CB5FF2"/>
    <w:rsid w:val="00CB608B"/>
    <w:rsid w:val="00CC12A4"/>
    <w:rsid w:val="00CC14FD"/>
    <w:rsid w:val="00CC255B"/>
    <w:rsid w:val="00CC42AE"/>
    <w:rsid w:val="00CC47A8"/>
    <w:rsid w:val="00CC541B"/>
    <w:rsid w:val="00CC776F"/>
    <w:rsid w:val="00CD3A01"/>
    <w:rsid w:val="00CD5BF1"/>
    <w:rsid w:val="00CD7DCA"/>
    <w:rsid w:val="00CE06C4"/>
    <w:rsid w:val="00CE2644"/>
    <w:rsid w:val="00CE6B89"/>
    <w:rsid w:val="00CF04F2"/>
    <w:rsid w:val="00CF08D1"/>
    <w:rsid w:val="00CF0B84"/>
    <w:rsid w:val="00CF0ED0"/>
    <w:rsid w:val="00CF20EB"/>
    <w:rsid w:val="00CF2177"/>
    <w:rsid w:val="00CF2479"/>
    <w:rsid w:val="00CF3ABF"/>
    <w:rsid w:val="00CF51FD"/>
    <w:rsid w:val="00CF5A86"/>
    <w:rsid w:val="00CF77C3"/>
    <w:rsid w:val="00D00ACB"/>
    <w:rsid w:val="00D019E0"/>
    <w:rsid w:val="00D02228"/>
    <w:rsid w:val="00D02600"/>
    <w:rsid w:val="00D03496"/>
    <w:rsid w:val="00D04CE1"/>
    <w:rsid w:val="00D06FCE"/>
    <w:rsid w:val="00D10661"/>
    <w:rsid w:val="00D118F0"/>
    <w:rsid w:val="00D1232C"/>
    <w:rsid w:val="00D123A6"/>
    <w:rsid w:val="00D13189"/>
    <w:rsid w:val="00D14FAC"/>
    <w:rsid w:val="00D17025"/>
    <w:rsid w:val="00D1798C"/>
    <w:rsid w:val="00D24C26"/>
    <w:rsid w:val="00D268A9"/>
    <w:rsid w:val="00D27B27"/>
    <w:rsid w:val="00D30DB3"/>
    <w:rsid w:val="00D31012"/>
    <w:rsid w:val="00D34A9B"/>
    <w:rsid w:val="00D35CDE"/>
    <w:rsid w:val="00D403F5"/>
    <w:rsid w:val="00D43495"/>
    <w:rsid w:val="00D44B74"/>
    <w:rsid w:val="00D45382"/>
    <w:rsid w:val="00D45650"/>
    <w:rsid w:val="00D46807"/>
    <w:rsid w:val="00D47A0E"/>
    <w:rsid w:val="00D47F15"/>
    <w:rsid w:val="00D50F0C"/>
    <w:rsid w:val="00D51F35"/>
    <w:rsid w:val="00D5247B"/>
    <w:rsid w:val="00D52AB3"/>
    <w:rsid w:val="00D54ADA"/>
    <w:rsid w:val="00D56560"/>
    <w:rsid w:val="00D601CE"/>
    <w:rsid w:val="00D60486"/>
    <w:rsid w:val="00D629BA"/>
    <w:rsid w:val="00D629BF"/>
    <w:rsid w:val="00D62B70"/>
    <w:rsid w:val="00D635DE"/>
    <w:rsid w:val="00D66DCF"/>
    <w:rsid w:val="00D672D5"/>
    <w:rsid w:val="00D67417"/>
    <w:rsid w:val="00D74EA7"/>
    <w:rsid w:val="00D7597E"/>
    <w:rsid w:val="00D80016"/>
    <w:rsid w:val="00D83408"/>
    <w:rsid w:val="00D85190"/>
    <w:rsid w:val="00D85312"/>
    <w:rsid w:val="00D86CD1"/>
    <w:rsid w:val="00D902D1"/>
    <w:rsid w:val="00D91DB7"/>
    <w:rsid w:val="00D9250A"/>
    <w:rsid w:val="00D950FE"/>
    <w:rsid w:val="00D956C2"/>
    <w:rsid w:val="00D964C7"/>
    <w:rsid w:val="00DA0DCC"/>
    <w:rsid w:val="00DA211B"/>
    <w:rsid w:val="00DA56CE"/>
    <w:rsid w:val="00DA6B05"/>
    <w:rsid w:val="00DA7E2C"/>
    <w:rsid w:val="00DB2678"/>
    <w:rsid w:val="00DB2EA0"/>
    <w:rsid w:val="00DB32EC"/>
    <w:rsid w:val="00DB58C2"/>
    <w:rsid w:val="00DB709C"/>
    <w:rsid w:val="00DB772A"/>
    <w:rsid w:val="00DB79E9"/>
    <w:rsid w:val="00DC141C"/>
    <w:rsid w:val="00DC1BB2"/>
    <w:rsid w:val="00DC64C4"/>
    <w:rsid w:val="00DC670C"/>
    <w:rsid w:val="00DC6BA2"/>
    <w:rsid w:val="00DC7F07"/>
    <w:rsid w:val="00DD137F"/>
    <w:rsid w:val="00DD2F72"/>
    <w:rsid w:val="00DD3A96"/>
    <w:rsid w:val="00DD3F3A"/>
    <w:rsid w:val="00DD5050"/>
    <w:rsid w:val="00DE1097"/>
    <w:rsid w:val="00DE1685"/>
    <w:rsid w:val="00DE224A"/>
    <w:rsid w:val="00DE27C8"/>
    <w:rsid w:val="00DE2F96"/>
    <w:rsid w:val="00DE49A1"/>
    <w:rsid w:val="00DE54CE"/>
    <w:rsid w:val="00DE5F14"/>
    <w:rsid w:val="00DF0726"/>
    <w:rsid w:val="00DF15A5"/>
    <w:rsid w:val="00DF1BB1"/>
    <w:rsid w:val="00E02079"/>
    <w:rsid w:val="00E064C0"/>
    <w:rsid w:val="00E07ED5"/>
    <w:rsid w:val="00E101D6"/>
    <w:rsid w:val="00E10871"/>
    <w:rsid w:val="00E14417"/>
    <w:rsid w:val="00E16A04"/>
    <w:rsid w:val="00E17432"/>
    <w:rsid w:val="00E17D1A"/>
    <w:rsid w:val="00E21326"/>
    <w:rsid w:val="00E22F59"/>
    <w:rsid w:val="00E23CC4"/>
    <w:rsid w:val="00E24871"/>
    <w:rsid w:val="00E25960"/>
    <w:rsid w:val="00E37EAD"/>
    <w:rsid w:val="00E4016F"/>
    <w:rsid w:val="00E40422"/>
    <w:rsid w:val="00E41339"/>
    <w:rsid w:val="00E41595"/>
    <w:rsid w:val="00E452F3"/>
    <w:rsid w:val="00E4663B"/>
    <w:rsid w:val="00E52CF6"/>
    <w:rsid w:val="00E52F0A"/>
    <w:rsid w:val="00E52F98"/>
    <w:rsid w:val="00E5336D"/>
    <w:rsid w:val="00E53B61"/>
    <w:rsid w:val="00E61C39"/>
    <w:rsid w:val="00E650BC"/>
    <w:rsid w:val="00E67C37"/>
    <w:rsid w:val="00E73AFC"/>
    <w:rsid w:val="00E82262"/>
    <w:rsid w:val="00E82E99"/>
    <w:rsid w:val="00E835B2"/>
    <w:rsid w:val="00E85836"/>
    <w:rsid w:val="00E918C1"/>
    <w:rsid w:val="00E922E4"/>
    <w:rsid w:val="00E95CE5"/>
    <w:rsid w:val="00E96BDB"/>
    <w:rsid w:val="00E9764A"/>
    <w:rsid w:val="00EA1251"/>
    <w:rsid w:val="00EA1789"/>
    <w:rsid w:val="00EA7A2F"/>
    <w:rsid w:val="00EB029D"/>
    <w:rsid w:val="00EB7836"/>
    <w:rsid w:val="00EC335C"/>
    <w:rsid w:val="00EC370F"/>
    <w:rsid w:val="00EC412B"/>
    <w:rsid w:val="00EC4C9E"/>
    <w:rsid w:val="00EC559D"/>
    <w:rsid w:val="00EC7B11"/>
    <w:rsid w:val="00ED04B4"/>
    <w:rsid w:val="00ED33AA"/>
    <w:rsid w:val="00EE2908"/>
    <w:rsid w:val="00EE37B7"/>
    <w:rsid w:val="00EE3AF7"/>
    <w:rsid w:val="00EE5E18"/>
    <w:rsid w:val="00EF0834"/>
    <w:rsid w:val="00EF1D59"/>
    <w:rsid w:val="00EF381A"/>
    <w:rsid w:val="00F02491"/>
    <w:rsid w:val="00F02B58"/>
    <w:rsid w:val="00F0392E"/>
    <w:rsid w:val="00F046F5"/>
    <w:rsid w:val="00F04A97"/>
    <w:rsid w:val="00F0534B"/>
    <w:rsid w:val="00F0631B"/>
    <w:rsid w:val="00F1001D"/>
    <w:rsid w:val="00F11826"/>
    <w:rsid w:val="00F13950"/>
    <w:rsid w:val="00F14506"/>
    <w:rsid w:val="00F22409"/>
    <w:rsid w:val="00F235BD"/>
    <w:rsid w:val="00F2572F"/>
    <w:rsid w:val="00F25F8C"/>
    <w:rsid w:val="00F30155"/>
    <w:rsid w:val="00F308A5"/>
    <w:rsid w:val="00F3238B"/>
    <w:rsid w:val="00F334D0"/>
    <w:rsid w:val="00F37B13"/>
    <w:rsid w:val="00F453B0"/>
    <w:rsid w:val="00F45D16"/>
    <w:rsid w:val="00F4608F"/>
    <w:rsid w:val="00F468AD"/>
    <w:rsid w:val="00F50B48"/>
    <w:rsid w:val="00F51275"/>
    <w:rsid w:val="00F524B9"/>
    <w:rsid w:val="00F52620"/>
    <w:rsid w:val="00F531AF"/>
    <w:rsid w:val="00F54028"/>
    <w:rsid w:val="00F55898"/>
    <w:rsid w:val="00F55ACE"/>
    <w:rsid w:val="00F55E82"/>
    <w:rsid w:val="00F55F6F"/>
    <w:rsid w:val="00F578C2"/>
    <w:rsid w:val="00F61C21"/>
    <w:rsid w:val="00F64579"/>
    <w:rsid w:val="00F6582F"/>
    <w:rsid w:val="00F65A17"/>
    <w:rsid w:val="00F71CFE"/>
    <w:rsid w:val="00F71F83"/>
    <w:rsid w:val="00F75469"/>
    <w:rsid w:val="00F76DCA"/>
    <w:rsid w:val="00F77DFB"/>
    <w:rsid w:val="00F80FAA"/>
    <w:rsid w:val="00F81EF3"/>
    <w:rsid w:val="00F8277F"/>
    <w:rsid w:val="00F83E71"/>
    <w:rsid w:val="00F857E9"/>
    <w:rsid w:val="00F85F3C"/>
    <w:rsid w:val="00F90ED2"/>
    <w:rsid w:val="00F92864"/>
    <w:rsid w:val="00F93AAD"/>
    <w:rsid w:val="00F9481C"/>
    <w:rsid w:val="00F94A60"/>
    <w:rsid w:val="00F96A67"/>
    <w:rsid w:val="00F97AA8"/>
    <w:rsid w:val="00FA7F2A"/>
    <w:rsid w:val="00FB085D"/>
    <w:rsid w:val="00FB0972"/>
    <w:rsid w:val="00FB0980"/>
    <w:rsid w:val="00FB0D73"/>
    <w:rsid w:val="00FB3788"/>
    <w:rsid w:val="00FB467B"/>
    <w:rsid w:val="00FB5113"/>
    <w:rsid w:val="00FC09A5"/>
    <w:rsid w:val="00FC0EE7"/>
    <w:rsid w:val="00FC2D15"/>
    <w:rsid w:val="00FC5BE6"/>
    <w:rsid w:val="00FC7ECC"/>
    <w:rsid w:val="00FD06A1"/>
    <w:rsid w:val="00FD1556"/>
    <w:rsid w:val="00FD1E71"/>
    <w:rsid w:val="00FD2059"/>
    <w:rsid w:val="00FD24DA"/>
    <w:rsid w:val="00FD6373"/>
    <w:rsid w:val="00FD6A40"/>
    <w:rsid w:val="00FE308D"/>
    <w:rsid w:val="00FE3438"/>
    <w:rsid w:val="00FE3EB1"/>
    <w:rsid w:val="00FE5EE4"/>
    <w:rsid w:val="00FE6701"/>
    <w:rsid w:val="00FF138F"/>
    <w:rsid w:val="00FF180D"/>
    <w:rsid w:val="00FF2E70"/>
    <w:rsid w:val="00FF5EE7"/>
    <w:rsid w:val="00FF6357"/>
    <w:rsid w:val="00FF6CA3"/>
    <w:rsid w:val="1FD230F9"/>
    <w:rsid w:val="24B74A1F"/>
    <w:rsid w:val="322C03D5"/>
    <w:rsid w:val="460FF33D"/>
    <w:rsid w:val="4A88144A"/>
    <w:rsid w:val="4D9CA441"/>
    <w:rsid w:val="57AF3342"/>
    <w:rsid w:val="5CC5C035"/>
    <w:rsid w:val="72D1E2BA"/>
    <w:rsid w:val="7B98D13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6A435EB7"/>
  <w15:docId w15:val="{04F411AE-2AE5-4E31-B981-DC126DEF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134"/>
    <w:rPr>
      <w:rFonts w:ascii="Times New Roman" w:hAnsi="Times New Roman"/>
      <w:sz w:val="22"/>
      <w:szCs w:val="24"/>
    </w:rPr>
  </w:style>
  <w:style w:type="paragraph" w:styleId="Heading1">
    <w:name w:val="heading 1"/>
    <w:basedOn w:val="Heading2"/>
    <w:next w:val="Normal"/>
    <w:link w:val="Heading1Char"/>
    <w:uiPriority w:val="9"/>
    <w:qFormat/>
    <w:rsid w:val="00E10871"/>
    <w:pPr>
      <w:pBdr>
        <w:top w:val="single" w:sz="6" w:space="4" w:color="auto"/>
      </w:pBdr>
      <w:spacing w:before="240"/>
      <w:outlineLvl w:val="0"/>
    </w:pPr>
    <w:rPr>
      <w:rFonts w:cs="Arial"/>
      <w:i w:val="0"/>
      <w:caps/>
      <w:szCs w:val="22"/>
    </w:rPr>
  </w:style>
  <w:style w:type="paragraph" w:styleId="Heading2">
    <w:name w:val="heading 2"/>
    <w:basedOn w:val="Normal"/>
    <w:next w:val="BodyText"/>
    <w:link w:val="Heading2Char"/>
    <w:uiPriority w:val="9"/>
    <w:qFormat/>
    <w:rsid w:val="00B84466"/>
    <w:pPr>
      <w:keepNext/>
      <w:spacing w:before="200" w:after="80"/>
      <w:outlineLvl w:val="1"/>
    </w:pPr>
    <w:rPr>
      <w:rFonts w:ascii="Arial" w:eastAsia="Times New Roman" w:hAnsi="Arial" w:cs="Times New Roman"/>
      <w:b/>
      <w:i/>
      <w:szCs w:val="26"/>
    </w:rPr>
  </w:style>
  <w:style w:type="paragraph" w:styleId="Heading3">
    <w:name w:val="heading 3"/>
    <w:basedOn w:val="Normal"/>
    <w:next w:val="Normal"/>
    <w:link w:val="Heading3Char"/>
    <w:uiPriority w:val="9"/>
    <w:unhideWhenUsed/>
    <w:qFormat/>
    <w:rsid w:val="008F2D24"/>
    <w:pPr>
      <w:keepNext/>
      <w:keepLines/>
      <w:spacing w:before="200" w:after="80"/>
      <w:outlineLvl w:val="2"/>
    </w:pPr>
    <w:rPr>
      <w:rFonts w:ascii="Arial" w:hAnsi="Arial" w:eastAsiaTheme="majorEastAsia"/>
      <w:i/>
      <w:szCs w:val="22"/>
    </w:rPr>
  </w:style>
  <w:style w:type="paragraph" w:styleId="Heading4">
    <w:name w:val="heading 4"/>
    <w:basedOn w:val="Normal"/>
    <w:next w:val="Normal"/>
    <w:link w:val="Heading4Char"/>
    <w:uiPriority w:val="9"/>
    <w:unhideWhenUsed/>
    <w:qFormat/>
    <w:rsid w:val="00BA25AF"/>
    <w:pPr>
      <w:keepNext/>
      <w:keepLines/>
      <w:spacing w:before="40"/>
      <w:outlineLvl w:val="3"/>
    </w:pPr>
    <w:rPr>
      <w:rFonts w:ascii="Arial" w:hAnsi="Arial" w:eastAsiaTheme="majorEastAs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B1"/>
    <w:pPr>
      <w:tabs>
        <w:tab w:val="center" w:pos="4320"/>
        <w:tab w:val="right" w:pos="8640"/>
      </w:tabs>
    </w:pPr>
  </w:style>
  <w:style w:type="character" w:customStyle="1" w:styleId="HeaderChar">
    <w:name w:val="Header Char"/>
    <w:basedOn w:val="DefaultParagraphFont"/>
    <w:link w:val="Header"/>
    <w:uiPriority w:val="99"/>
    <w:rsid w:val="003248B1"/>
  </w:style>
  <w:style w:type="paragraph" w:styleId="Footer">
    <w:name w:val="footer"/>
    <w:basedOn w:val="Normal"/>
    <w:link w:val="FooterChar"/>
    <w:uiPriority w:val="99"/>
    <w:unhideWhenUsed/>
    <w:rsid w:val="003248B1"/>
    <w:pPr>
      <w:tabs>
        <w:tab w:val="center" w:pos="4320"/>
        <w:tab w:val="right" w:pos="8640"/>
      </w:tabs>
    </w:pPr>
  </w:style>
  <w:style w:type="character" w:customStyle="1" w:styleId="FooterChar">
    <w:name w:val="Footer Char"/>
    <w:basedOn w:val="DefaultParagraphFont"/>
    <w:link w:val="Footer"/>
    <w:uiPriority w:val="99"/>
    <w:rsid w:val="003248B1"/>
  </w:style>
  <w:style w:type="paragraph" w:styleId="BalloonText">
    <w:name w:val="Balloon Text"/>
    <w:basedOn w:val="Normal"/>
    <w:link w:val="BalloonTextChar"/>
    <w:uiPriority w:val="99"/>
    <w:semiHidden/>
    <w:unhideWhenUsed/>
    <w:rsid w:val="003248B1"/>
    <w:rPr>
      <w:rFonts w:ascii="Lucida Grande" w:hAnsi="Lucida Grande"/>
      <w:sz w:val="18"/>
      <w:szCs w:val="18"/>
    </w:rPr>
  </w:style>
  <w:style w:type="character" w:customStyle="1" w:styleId="BalloonTextChar">
    <w:name w:val="Balloon Text Char"/>
    <w:link w:val="BalloonText"/>
    <w:uiPriority w:val="99"/>
    <w:semiHidden/>
    <w:rsid w:val="003248B1"/>
    <w:rPr>
      <w:rFonts w:ascii="Lucida Grande" w:hAnsi="Lucida Grande"/>
      <w:sz w:val="18"/>
      <w:szCs w:val="18"/>
    </w:rPr>
  </w:style>
  <w:style w:type="character" w:customStyle="1" w:styleId="Heading2Char">
    <w:name w:val="Heading 2 Char"/>
    <w:link w:val="Heading2"/>
    <w:uiPriority w:val="9"/>
    <w:rsid w:val="00B84466"/>
    <w:rPr>
      <w:rFonts w:ascii="Arial" w:eastAsia="Times New Roman" w:hAnsi="Arial" w:cs="Times New Roman"/>
      <w:b/>
      <w:i/>
      <w:sz w:val="22"/>
      <w:szCs w:val="26"/>
    </w:rPr>
  </w:style>
  <w:style w:type="paragraph" w:styleId="Bibliography">
    <w:name w:val="Bibliography"/>
    <w:basedOn w:val="Normal"/>
    <w:next w:val="Normal"/>
    <w:uiPriority w:val="37"/>
    <w:rsid w:val="00895372"/>
    <w:rPr>
      <w:rFonts w:eastAsia="Times New Roman" w:cs="Times New Roman"/>
      <w:szCs w:val="22"/>
    </w:rPr>
  </w:style>
  <w:style w:type="paragraph" w:customStyle="1" w:styleId="Source">
    <w:name w:val="Source"/>
    <w:basedOn w:val="Normal"/>
    <w:rsid w:val="00895372"/>
    <w:pPr>
      <w:keepLines/>
      <w:spacing w:before="120" w:after="400"/>
      <w:ind w:left="216" w:hanging="216"/>
    </w:pPr>
    <w:rPr>
      <w:rFonts w:eastAsia="Times New Roman" w:cs="Times New Roman"/>
      <w:sz w:val="18"/>
      <w:szCs w:val="18"/>
    </w:rPr>
  </w:style>
  <w:style w:type="paragraph" w:customStyle="1" w:styleId="Source2">
    <w:name w:val="Source2"/>
    <w:basedOn w:val="Normal"/>
    <w:qFormat/>
    <w:rsid w:val="00895372"/>
    <w:pPr>
      <w:spacing w:before="120" w:after="400"/>
      <w:ind w:left="720" w:hanging="720"/>
    </w:pPr>
    <w:rPr>
      <w:rFonts w:eastAsia="Times New Roman" w:cs="Times New Roman"/>
      <w:sz w:val="18"/>
      <w:szCs w:val="18"/>
    </w:rPr>
  </w:style>
  <w:style w:type="paragraph" w:customStyle="1" w:styleId="Figure">
    <w:name w:val="Figure"/>
    <w:basedOn w:val="Normal"/>
    <w:rsid w:val="00B84466"/>
    <w:pPr>
      <w:pBdr>
        <w:top w:val="single" w:sz="6" w:space="9" w:color="auto"/>
        <w:left w:val="single" w:sz="6" w:space="6" w:color="auto"/>
        <w:bottom w:val="single" w:sz="6" w:space="9" w:color="auto"/>
        <w:right w:val="single" w:sz="6" w:space="4" w:color="auto"/>
      </w:pBdr>
      <w:ind w:left="180" w:right="180"/>
      <w:jc w:val="center"/>
    </w:pPr>
    <w:rPr>
      <w:rFonts w:eastAsia="Times New Roman"/>
      <w:szCs w:val="21"/>
    </w:rPr>
  </w:style>
  <w:style w:type="paragraph" w:customStyle="1" w:styleId="Heading">
    <w:name w:val="Heading"/>
    <w:basedOn w:val="Normal"/>
    <w:qFormat/>
    <w:rsid w:val="00E41595"/>
    <w:pPr>
      <w:spacing w:before="240" w:after="240"/>
      <w:ind w:left="1267" w:hanging="1267"/>
    </w:pPr>
    <w:rPr>
      <w:rFonts w:ascii="Arial" w:eastAsia="Times New Roman" w:hAnsi="Arial" w:cs="Times New Roman"/>
      <w:sz w:val="20"/>
    </w:rPr>
  </w:style>
  <w:style w:type="paragraph" w:customStyle="1" w:styleId="FigureCaption">
    <w:name w:val="Figur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Headinglast">
    <w:name w:val="Heading last"/>
    <w:basedOn w:val="Heading"/>
    <w:qFormat/>
    <w:rsid w:val="00895372"/>
    <w:pPr>
      <w:spacing w:after="360"/>
    </w:pPr>
  </w:style>
  <w:style w:type="paragraph" w:styleId="ListBullet3">
    <w:name w:val="List Bullet 3"/>
    <w:basedOn w:val="Normal"/>
    <w:unhideWhenUsed/>
    <w:rsid w:val="00895372"/>
    <w:pPr>
      <w:numPr>
        <w:ilvl w:val="2"/>
        <w:numId w:val="3"/>
      </w:numPr>
      <w:spacing w:after="120"/>
      <w:ind w:left="1800"/>
    </w:pPr>
    <w:rPr>
      <w:rFonts w:eastAsia="Times New Roman" w:cs="Times New Roman"/>
      <w:szCs w:val="22"/>
    </w:rPr>
  </w:style>
  <w:style w:type="paragraph" w:styleId="ListBullet">
    <w:name w:val="List Bullet"/>
    <w:basedOn w:val="Normal"/>
    <w:uiPriority w:val="99"/>
    <w:unhideWhenUsed/>
    <w:rsid w:val="003A70CA"/>
    <w:pPr>
      <w:numPr>
        <w:numId w:val="1"/>
      </w:numPr>
      <w:spacing w:after="120"/>
      <w:ind w:left="720"/>
    </w:pPr>
    <w:rPr>
      <w:rFonts w:eastAsia="Times New Roman" w:cs="Times New Roman"/>
      <w:sz w:val="24"/>
    </w:rPr>
  </w:style>
  <w:style w:type="paragraph" w:styleId="ListBullet2">
    <w:name w:val="List Bullet 2"/>
    <w:basedOn w:val="Normal"/>
    <w:uiPriority w:val="99"/>
    <w:unhideWhenUsed/>
    <w:rsid w:val="00895372"/>
    <w:pPr>
      <w:numPr>
        <w:numId w:val="2"/>
      </w:numPr>
      <w:spacing w:after="120"/>
    </w:pPr>
    <w:rPr>
      <w:rFonts w:eastAsia="Times New Roman" w:cs="Times New Roman"/>
      <w:szCs w:val="22"/>
    </w:rPr>
  </w:style>
  <w:style w:type="paragraph" w:styleId="ListNumber">
    <w:name w:val="List Number"/>
    <w:basedOn w:val="Normal"/>
    <w:uiPriority w:val="99"/>
    <w:unhideWhenUsed/>
    <w:rsid w:val="00895372"/>
    <w:pPr>
      <w:numPr>
        <w:numId w:val="4"/>
      </w:numPr>
      <w:spacing w:after="120"/>
    </w:pPr>
    <w:rPr>
      <w:rFonts w:eastAsia="Times New Roman" w:cs="Times New Roman"/>
      <w:szCs w:val="22"/>
    </w:rPr>
  </w:style>
  <w:style w:type="paragraph" w:styleId="ListContinue">
    <w:name w:val="List Continue"/>
    <w:basedOn w:val="Normal"/>
    <w:rsid w:val="00895372"/>
    <w:pPr>
      <w:spacing w:after="160"/>
      <w:ind w:left="1440" w:hanging="360"/>
    </w:pPr>
    <w:rPr>
      <w:rFonts w:cs="Times New Roman"/>
    </w:rPr>
  </w:style>
  <w:style w:type="paragraph" w:styleId="BodyText">
    <w:name w:val="Body Text"/>
    <w:basedOn w:val="Normal"/>
    <w:link w:val="BodyTextChar"/>
    <w:uiPriority w:val="99"/>
    <w:rsid w:val="00EF381A"/>
    <w:pPr>
      <w:spacing w:after="160" w:line="320" w:lineRule="exact"/>
    </w:pPr>
    <w:rPr>
      <w:rFonts w:eastAsia="Times New Roman" w:cs="Times New Roman"/>
      <w:sz w:val="24"/>
    </w:rPr>
  </w:style>
  <w:style w:type="character" w:customStyle="1" w:styleId="BodyTextChar">
    <w:name w:val="Body Text Char"/>
    <w:link w:val="BodyText"/>
    <w:uiPriority w:val="99"/>
    <w:rsid w:val="00EF381A"/>
    <w:rPr>
      <w:rFonts w:ascii="Times New Roman" w:eastAsia="Times New Roman" w:hAnsi="Times New Roman" w:cs="Times New Roman"/>
      <w:sz w:val="24"/>
      <w:szCs w:val="24"/>
    </w:rPr>
  </w:style>
  <w:style w:type="paragraph" w:customStyle="1" w:styleId="TableCaption">
    <w:name w:val="TableCaption"/>
    <w:basedOn w:val="Caption"/>
    <w:qFormat/>
    <w:rsid w:val="001C4570"/>
    <w:pPr>
      <w:keepNext/>
      <w:keepLines/>
      <w:spacing w:before="320" w:after="120"/>
      <w:ind w:left="1296" w:hanging="1296"/>
    </w:pPr>
    <w:rPr>
      <w:rFonts w:ascii="Arial" w:eastAsia="Times New Roman" w:hAnsi="Arial" w:cs="Times New Roman"/>
      <w:b/>
      <w:bCs/>
      <w:i w:val="0"/>
      <w:iCs w:val="0"/>
      <w:color w:val="auto"/>
      <w:sz w:val="20"/>
      <w:szCs w:val="20"/>
    </w:rPr>
  </w:style>
  <w:style w:type="paragraph" w:customStyle="1" w:styleId="Tabletext">
    <w:name w:val="Table text"/>
    <w:basedOn w:val="Normal"/>
    <w:qFormat/>
    <w:rsid w:val="00F0534B"/>
    <w:pPr>
      <w:spacing w:before="80" w:after="80"/>
    </w:pPr>
    <w:rPr>
      <w:rFonts w:eastAsia="Times New Roman" w:cs="Times New Roman"/>
      <w:szCs w:val="22"/>
    </w:rPr>
  </w:style>
  <w:style w:type="paragraph" w:customStyle="1" w:styleId="TableHeader">
    <w:name w:val="Table Header"/>
    <w:basedOn w:val="Normal"/>
    <w:qFormat/>
    <w:rsid w:val="00090F23"/>
    <w:pPr>
      <w:spacing w:before="80" w:after="80"/>
      <w:jc w:val="center"/>
    </w:pPr>
    <w:rPr>
      <w:rFonts w:eastAsia="Times New Roman" w:cs="Times New Roman"/>
      <w:b/>
      <w:sz w:val="20"/>
      <w:szCs w:val="20"/>
    </w:rPr>
  </w:style>
  <w:style w:type="paragraph" w:styleId="Caption">
    <w:name w:val="caption"/>
    <w:basedOn w:val="Normal"/>
    <w:next w:val="Normal"/>
    <w:uiPriority w:val="35"/>
    <w:semiHidden/>
    <w:unhideWhenUsed/>
    <w:qFormat/>
    <w:rsid w:val="00895372"/>
    <w:pPr>
      <w:spacing w:after="200"/>
    </w:pPr>
    <w:rPr>
      <w:i/>
      <w:iCs/>
      <w:color w:val="1F497D"/>
      <w:sz w:val="18"/>
      <w:szCs w:val="18"/>
    </w:rPr>
  </w:style>
  <w:style w:type="table" w:styleId="TableGrid">
    <w:name w:val="Table Grid"/>
    <w:basedOn w:val="TableNormal"/>
    <w:uiPriority w:val="59"/>
    <w:rsid w:val="001C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E10871"/>
    <w:rPr>
      <w:rFonts w:ascii="Arial" w:eastAsia="Times New Roman" w:hAnsi="Arial"/>
      <w:b/>
      <w:caps/>
      <w:sz w:val="22"/>
      <w:szCs w:val="22"/>
    </w:rPr>
  </w:style>
  <w:style w:type="character" w:styleId="Hyperlink">
    <w:name w:val="Hyperlink"/>
    <w:uiPriority w:val="99"/>
    <w:unhideWhenUsed/>
    <w:rsid w:val="00714EDE"/>
    <w:rPr>
      <w:color w:val="1F419A"/>
      <w:u w:val="single"/>
    </w:rPr>
  </w:style>
  <w:style w:type="character" w:styleId="FollowedHyperlink">
    <w:name w:val="FollowedHyperlink"/>
    <w:uiPriority w:val="99"/>
    <w:rsid w:val="00714EDE"/>
    <w:rPr>
      <w:color w:val="CD3835"/>
      <w:u w:val="single"/>
    </w:rPr>
  </w:style>
  <w:style w:type="paragraph" w:styleId="FootnoteText">
    <w:name w:val="footnote text"/>
    <w:aliases w:val="F1"/>
    <w:basedOn w:val="Normal"/>
    <w:link w:val="FootnoteTextChar"/>
    <w:uiPriority w:val="99"/>
    <w:rsid w:val="00AB517F"/>
    <w:pPr>
      <w:ind w:left="180" w:hanging="180"/>
    </w:pPr>
    <w:rPr>
      <w:sz w:val="20"/>
      <w:szCs w:val="20"/>
    </w:rPr>
  </w:style>
  <w:style w:type="character" w:customStyle="1" w:styleId="FootnoteTextChar">
    <w:name w:val="Footnote Text Char"/>
    <w:aliases w:val="F1 Char"/>
    <w:link w:val="FootnoteText"/>
    <w:uiPriority w:val="99"/>
    <w:rsid w:val="00AB517F"/>
    <w:rPr>
      <w:rFonts w:ascii="Times New Roman" w:hAnsi="Times New Roman"/>
    </w:rPr>
  </w:style>
  <w:style w:type="character" w:styleId="FootnoteReference">
    <w:name w:val="footnote reference"/>
    <w:uiPriority w:val="99"/>
    <w:rsid w:val="006F2587"/>
    <w:rPr>
      <w:color w:val="auto"/>
      <w:vertAlign w:val="superscript"/>
    </w:rPr>
  </w:style>
  <w:style w:type="paragraph" w:customStyle="1" w:styleId="Source6-0">
    <w:name w:val="Source_6-0"/>
    <w:basedOn w:val="Normal"/>
    <w:rsid w:val="008F2D24"/>
    <w:pPr>
      <w:keepLines/>
      <w:spacing w:before="120"/>
      <w:ind w:left="216" w:hanging="216"/>
    </w:pPr>
    <w:rPr>
      <w:rFonts w:eastAsia="Times New Roman" w:cs="Times New Roman"/>
      <w:sz w:val="18"/>
      <w:szCs w:val="18"/>
    </w:rPr>
  </w:style>
  <w:style w:type="paragraph" w:customStyle="1" w:styleId="Source3-0">
    <w:name w:val="Source_3-0"/>
    <w:basedOn w:val="Normal"/>
    <w:qFormat/>
    <w:rsid w:val="008F2D24"/>
    <w:pPr>
      <w:spacing w:before="60"/>
      <w:ind w:left="720" w:hanging="720"/>
    </w:pPr>
    <w:rPr>
      <w:rFonts w:eastAsia="Times New Roman" w:cs="Times New Roman"/>
      <w:sz w:val="18"/>
      <w:szCs w:val="18"/>
    </w:rPr>
  </w:style>
  <w:style w:type="paragraph" w:customStyle="1" w:styleId="Source6-20">
    <w:name w:val="Source_6-20"/>
    <w:basedOn w:val="Normal"/>
    <w:qFormat/>
    <w:rsid w:val="008F2D24"/>
    <w:pPr>
      <w:spacing w:before="120" w:after="400"/>
      <w:ind w:left="720" w:hanging="720"/>
    </w:pPr>
    <w:rPr>
      <w:rFonts w:eastAsia="Times New Roman" w:cs="Times New Roman"/>
      <w:sz w:val="18"/>
      <w:szCs w:val="18"/>
    </w:rPr>
  </w:style>
  <w:style w:type="paragraph" w:customStyle="1" w:styleId="Source3-20">
    <w:name w:val="Source_3-20"/>
    <w:basedOn w:val="Normal"/>
    <w:qFormat/>
    <w:rsid w:val="008F2D24"/>
    <w:pPr>
      <w:spacing w:before="60" w:after="400"/>
      <w:ind w:left="216" w:hanging="216"/>
    </w:pPr>
    <w:rPr>
      <w:rFonts w:eastAsiaTheme="minorEastAsia" w:cstheme="minorBidi"/>
      <w:sz w:val="18"/>
    </w:rPr>
  </w:style>
  <w:style w:type="character" w:customStyle="1" w:styleId="Heading3Char">
    <w:name w:val="Heading 3 Char"/>
    <w:basedOn w:val="DefaultParagraphFont"/>
    <w:link w:val="Heading3"/>
    <w:uiPriority w:val="9"/>
    <w:rsid w:val="008F2D24"/>
    <w:rPr>
      <w:rFonts w:ascii="Arial" w:hAnsi="Arial" w:eastAsiaTheme="majorEastAsia"/>
      <w:i/>
      <w:sz w:val="22"/>
      <w:szCs w:val="22"/>
    </w:rPr>
  </w:style>
  <w:style w:type="paragraph" w:styleId="CommentText">
    <w:name w:val="annotation text"/>
    <w:basedOn w:val="Normal"/>
    <w:link w:val="CommentTextChar"/>
    <w:uiPriority w:val="99"/>
    <w:unhideWhenUsed/>
    <w:rsid w:val="00215AAF"/>
    <w:rPr>
      <w:rFonts w:eastAsia="Times New Roman" w:cs="Times New Roman"/>
      <w:sz w:val="20"/>
      <w:szCs w:val="20"/>
    </w:rPr>
  </w:style>
  <w:style w:type="character" w:customStyle="1" w:styleId="CommentTextChar">
    <w:name w:val="Comment Text Char"/>
    <w:basedOn w:val="DefaultParagraphFont"/>
    <w:link w:val="CommentText"/>
    <w:uiPriority w:val="99"/>
    <w:rsid w:val="00215AAF"/>
    <w:rPr>
      <w:rFonts w:ascii="Times New Roman" w:eastAsia="Times New Roman" w:hAnsi="Times New Roman" w:cs="Times New Roman"/>
    </w:rPr>
  </w:style>
  <w:style w:type="paragraph" w:styleId="ListParagraph">
    <w:name w:val="List Paragraph"/>
    <w:basedOn w:val="Normal"/>
    <w:uiPriority w:val="34"/>
    <w:qFormat/>
    <w:rsid w:val="00215AAF"/>
    <w:pPr>
      <w:spacing w:line="240" w:lineRule="atLeast"/>
      <w:ind w:left="720"/>
      <w:contextualSpacing/>
    </w:pPr>
    <w:rPr>
      <w:rFonts w:ascii="Arial" w:eastAsia="Times New Roman" w:hAnsi="Arial"/>
      <w:szCs w:val="22"/>
    </w:rPr>
  </w:style>
  <w:style w:type="character" w:styleId="CommentReference">
    <w:name w:val="annotation reference"/>
    <w:basedOn w:val="DefaultParagraphFont"/>
    <w:uiPriority w:val="99"/>
    <w:unhideWhenUsed/>
    <w:rsid w:val="00215AAF"/>
    <w:rPr>
      <w:sz w:val="16"/>
      <w:szCs w:val="16"/>
    </w:rPr>
  </w:style>
  <w:style w:type="paragraph" w:styleId="NoSpacing">
    <w:name w:val="No Spacing"/>
    <w:uiPriority w:val="1"/>
    <w:qFormat/>
    <w:rsid w:val="00532F98"/>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532F98"/>
    <w:rPr>
      <w:rFonts w:eastAsia="MS Mincho" w:cs="Arial"/>
      <w:b/>
      <w:bCs/>
    </w:rPr>
  </w:style>
  <w:style w:type="character" w:customStyle="1" w:styleId="CommentSubjectChar">
    <w:name w:val="Comment Subject Char"/>
    <w:basedOn w:val="CommentTextChar"/>
    <w:link w:val="CommentSubject"/>
    <w:uiPriority w:val="99"/>
    <w:semiHidden/>
    <w:rsid w:val="00532F98"/>
    <w:rPr>
      <w:rFonts w:ascii="Times New Roman" w:eastAsia="Times New Roman" w:hAnsi="Times New Roman" w:cs="Times New Roman"/>
      <w:b/>
      <w:bCs/>
    </w:rPr>
  </w:style>
  <w:style w:type="character" w:styleId="UnresolvedMention">
    <w:name w:val="Unresolved Mention"/>
    <w:basedOn w:val="DefaultParagraphFont"/>
    <w:uiPriority w:val="99"/>
    <w:semiHidden/>
    <w:unhideWhenUsed/>
    <w:rsid w:val="00946EB8"/>
    <w:rPr>
      <w:color w:val="605E5C"/>
      <w:shd w:val="clear" w:color="auto" w:fill="E1DFDD"/>
    </w:rPr>
  </w:style>
  <w:style w:type="paragraph" w:styleId="Revision">
    <w:name w:val="Revision"/>
    <w:hidden/>
    <w:uiPriority w:val="99"/>
    <w:semiHidden/>
    <w:rsid w:val="00400225"/>
    <w:rPr>
      <w:rFonts w:ascii="Times New Roman" w:hAnsi="Times New Roman"/>
      <w:sz w:val="22"/>
      <w:szCs w:val="24"/>
    </w:rPr>
  </w:style>
  <w:style w:type="paragraph" w:styleId="EndnoteText">
    <w:name w:val="endnote text"/>
    <w:basedOn w:val="Normal"/>
    <w:link w:val="EndnoteTextChar"/>
    <w:uiPriority w:val="99"/>
    <w:semiHidden/>
    <w:unhideWhenUsed/>
    <w:rsid w:val="00DC141C"/>
    <w:rPr>
      <w:sz w:val="20"/>
      <w:szCs w:val="20"/>
    </w:rPr>
  </w:style>
  <w:style w:type="character" w:customStyle="1" w:styleId="EndnoteTextChar">
    <w:name w:val="Endnote Text Char"/>
    <w:basedOn w:val="DefaultParagraphFont"/>
    <w:link w:val="EndnoteText"/>
    <w:uiPriority w:val="99"/>
    <w:semiHidden/>
    <w:rsid w:val="00DC141C"/>
    <w:rPr>
      <w:rFonts w:ascii="Times New Roman" w:hAnsi="Times New Roman"/>
    </w:rPr>
  </w:style>
  <w:style w:type="character" w:styleId="EndnoteReference">
    <w:name w:val="endnote reference"/>
    <w:basedOn w:val="DefaultParagraphFont"/>
    <w:uiPriority w:val="99"/>
    <w:semiHidden/>
    <w:unhideWhenUsed/>
    <w:rsid w:val="00DC141C"/>
    <w:rPr>
      <w:vertAlign w:val="superscript"/>
    </w:rPr>
  </w:style>
  <w:style w:type="table" w:customStyle="1" w:styleId="TableGrid2">
    <w:name w:val="Table Grid2"/>
    <w:basedOn w:val="TableNormal"/>
    <w:next w:val="TableGrid"/>
    <w:uiPriority w:val="39"/>
    <w:rsid w:val="003632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ubs-Pres">
    <w:name w:val="R-Pubs-Pres"/>
    <w:basedOn w:val="Normal"/>
    <w:link w:val="R-Pubs-PresChar"/>
    <w:rsid w:val="00A162DD"/>
    <w:pPr>
      <w:keepLines/>
      <w:spacing w:after="120"/>
      <w:ind w:left="446" w:hanging="446"/>
    </w:pPr>
    <w:rPr>
      <w:rFonts w:eastAsia="Times New Roman" w:cs="Times New Roman"/>
      <w:szCs w:val="20"/>
    </w:rPr>
  </w:style>
  <w:style w:type="character" w:customStyle="1" w:styleId="R-Pubs-PresChar">
    <w:name w:val="R-Pubs-Pres Char"/>
    <w:link w:val="R-Pubs-Pres"/>
    <w:rsid w:val="00A162DD"/>
    <w:rPr>
      <w:rFonts w:ascii="Times New Roman" w:eastAsia="Times New Roman" w:hAnsi="Times New Roman" w:cs="Times New Roman"/>
      <w:sz w:val="22"/>
    </w:rPr>
  </w:style>
  <w:style w:type="character" w:styleId="Emphasis">
    <w:name w:val="Emphasis"/>
    <w:basedOn w:val="DefaultParagraphFont"/>
    <w:uiPriority w:val="20"/>
    <w:qFormat/>
    <w:rsid w:val="000062B1"/>
    <w:rPr>
      <w:i/>
      <w:iCs/>
    </w:rPr>
  </w:style>
  <w:style w:type="paragraph" w:customStyle="1" w:styleId="TableBullets">
    <w:name w:val="TableBullets"/>
    <w:basedOn w:val="NoSpacing"/>
    <w:qFormat/>
    <w:rsid w:val="00F0534B"/>
    <w:pPr>
      <w:numPr>
        <w:numId w:val="30"/>
      </w:numPr>
    </w:pPr>
    <w:rPr>
      <w:rFonts w:ascii="Times New Roman" w:hAnsi="Times New Roman" w:cs="Times New Roman"/>
    </w:rPr>
  </w:style>
  <w:style w:type="character" w:customStyle="1" w:styleId="cf01">
    <w:name w:val="cf01"/>
    <w:basedOn w:val="DefaultParagraphFont"/>
    <w:rsid w:val="00291E3C"/>
    <w:rPr>
      <w:rFonts w:ascii="Segoe UI" w:hAnsi="Segoe UI" w:cs="Segoe UI" w:hint="default"/>
      <w:sz w:val="18"/>
      <w:szCs w:val="18"/>
      <w:shd w:val="clear" w:color="auto" w:fill="00FFFF"/>
    </w:rPr>
  </w:style>
  <w:style w:type="character" w:customStyle="1" w:styleId="Heading4Char">
    <w:name w:val="Heading 4 Char"/>
    <w:basedOn w:val="DefaultParagraphFont"/>
    <w:link w:val="Heading4"/>
    <w:uiPriority w:val="9"/>
    <w:rsid w:val="00BA25AF"/>
    <w:rPr>
      <w:rFonts w:ascii="Arial" w:hAnsi="Arial" w:eastAsiaTheme="majorEastAsia"/>
      <w:b/>
      <w:bCs/>
    </w:rPr>
  </w:style>
  <w:style w:type="paragraph" w:customStyle="1" w:styleId="Default">
    <w:name w:val="Default"/>
    <w:rsid w:val="00163BC0"/>
    <w:pPr>
      <w:autoSpaceDE w:val="0"/>
      <w:autoSpaceDN w:val="0"/>
      <w:adjustRightInd w:val="0"/>
    </w:pPr>
    <w:rPr>
      <w:rFonts w:ascii="Arial" w:hAnsi="Arial" w:eastAsiaTheme="minorHAnsi"/>
      <w:color w:val="000000"/>
      <w:sz w:val="24"/>
      <w:szCs w:val="24"/>
    </w:rPr>
  </w:style>
  <w:style w:type="character" w:styleId="Strong">
    <w:name w:val="Strong"/>
    <w:basedOn w:val="DefaultParagraphFont"/>
    <w:uiPriority w:val="22"/>
    <w:qFormat/>
    <w:rsid w:val="00EE5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scribbr.com/research-bias/generalizability/"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ers.usda.gov/publications/pub-details/?pubid=92628" TargetMode="External" /><Relationship Id="rId2" Type="http://schemas.openxmlformats.org/officeDocument/2006/relationships/hyperlink" Target="https://www.epa.gov/sustainable-management-food/united-states-food-loss-and-waste-2030-champions"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9a796-f2f7-4eea-8774-56de579e6b13">
      <Terms xmlns="http://schemas.microsoft.com/office/infopath/2007/PartnerControls"/>
    </lcf76f155ced4ddcb4097134ff3c332f>
    <TaxCatchAll xmlns="b330d867-d2bc-4c43-8a0d-2a696331bf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0" ma:contentTypeDescription="Create a new document." ma:contentTypeScope="" ma:versionID="91ca8d1ba2df0010240fa031664dc9bc">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4af036dae8d3040820f2e42bc5b74911"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740B4-E45F-4FDD-9ED5-70F5251BB1F5}">
  <ds:schemaRefs>
    <ds:schemaRef ds:uri="http://schemas.microsoft.com/sharepoint/v3/contenttype/forms"/>
  </ds:schemaRefs>
</ds:datastoreItem>
</file>

<file path=customXml/itemProps2.xml><?xml version="1.0" encoding="utf-8"?>
<ds:datastoreItem xmlns:ds="http://schemas.openxmlformats.org/officeDocument/2006/customXml" ds:itemID="{43855A5E-C618-4155-A8B6-2EA382CBFAE3}">
  <ds:schemaRefs>
    <ds:schemaRef ds:uri="http://schemas.microsoft.com/office/2006/metadata/properties"/>
    <ds:schemaRef ds:uri="http://schemas.microsoft.com/office/infopath/2007/PartnerControls"/>
    <ds:schemaRef ds:uri="8e49a796-f2f7-4eea-8774-56de579e6b13"/>
    <ds:schemaRef ds:uri="b330d867-d2bc-4c43-8a0d-2a696331bf92"/>
  </ds:schemaRefs>
</ds:datastoreItem>
</file>

<file path=customXml/itemProps3.xml><?xml version="1.0" encoding="utf-8"?>
<ds:datastoreItem xmlns:ds="http://schemas.openxmlformats.org/officeDocument/2006/customXml" ds:itemID="{2DF64302-131A-4BC1-9A52-9B3C6B9C5FB5}">
  <ds:schemaRefs>
    <ds:schemaRef ds:uri="http://schemas.openxmlformats.org/officeDocument/2006/bibliography"/>
  </ds:schemaRefs>
</ds:datastoreItem>
</file>

<file path=customXml/itemProps4.xml><?xml version="1.0" encoding="utf-8"?>
<ds:datastoreItem xmlns:ds="http://schemas.openxmlformats.org/officeDocument/2006/customXml" ds:itemID="{BFD812B9-A02C-449D-87BD-7E43118E9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9a796-f2f7-4eea-8774-56de579e6b13"/>
    <ds:schemaRef ds:uri="b330d867-d2bc-4c43-8a0d-2a696331b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4560</Words>
  <Characters>25997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RTI</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Parker, Julie - REE-ERS</cp:lastModifiedBy>
  <cp:revision>15</cp:revision>
  <dcterms:created xsi:type="dcterms:W3CDTF">2023-07-17T15:03:00Z</dcterms:created>
  <dcterms:modified xsi:type="dcterms:W3CDTF">2023-07-20T17:11:00Z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0x010100D3A564BFDED01044B279E2572E2E4F29</vt:lpwstr>
  </property>
  <property fmtid="{D5CDD505-2E9C-101B-9397-08002B2CF9AE}" pid="3" name="MediaServiceImageTags">
    <vt:lpwstr/>
  </property>
</Properties>
</file>