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580B" w:rsidRPr="008E220C" w14:paraId="50C0D127" w14:textId="77777777">
      <w:pPr>
        <w:pStyle w:val="Heading1"/>
        <w:ind w:left="0"/>
        <w:jc w:val="center"/>
      </w:pPr>
      <w:r w:rsidRPr="008E220C">
        <w:t>SUPPORTING STATEMENT</w:t>
      </w:r>
    </w:p>
    <w:p w:rsidR="0015580B" w:rsidRPr="008E220C" w14:paraId="1024A4C8" w14:textId="77777777">
      <w:pPr>
        <w:spacing w:before="22" w:line="259" w:lineRule="auto"/>
        <w:ind w:firstLine="14"/>
        <w:jc w:val="center"/>
        <w:rPr>
          <w:b/>
        </w:rPr>
      </w:pPr>
      <w:r w:rsidRPr="008E220C">
        <w:rPr>
          <w:b/>
        </w:rPr>
        <w:t>U.S. Department of Commerce</w:t>
      </w:r>
    </w:p>
    <w:p w:rsidR="0015580B" w:rsidRPr="008E220C" w14:paraId="68D23770" w14:textId="77777777">
      <w:pPr>
        <w:spacing w:before="22" w:line="259" w:lineRule="auto"/>
        <w:ind w:firstLine="14"/>
        <w:jc w:val="center"/>
        <w:rPr>
          <w:b/>
        </w:rPr>
      </w:pPr>
      <w:r w:rsidRPr="008E220C">
        <w:rPr>
          <w:b/>
        </w:rPr>
        <w:t>National Oceanic &amp; Atmospheric Administration</w:t>
      </w:r>
    </w:p>
    <w:p w:rsidR="00544F40" w14:paraId="6D8758B4" w14:textId="77777777">
      <w:pPr>
        <w:spacing w:line="259" w:lineRule="auto"/>
        <w:ind w:hanging="6"/>
        <w:jc w:val="center"/>
        <w:rPr>
          <w:b/>
        </w:rPr>
      </w:pPr>
      <w:r w:rsidRPr="00544F40">
        <w:rPr>
          <w:b/>
        </w:rPr>
        <w:t>Protocol for Access to Tissue Specimen Samples from the National Marine Mammal Tissue Bank</w:t>
      </w:r>
    </w:p>
    <w:p w:rsidR="0015580B" w:rsidRPr="008E220C" w14:paraId="67B80640" w14:textId="75B64BD0">
      <w:pPr>
        <w:spacing w:line="259" w:lineRule="auto"/>
        <w:ind w:hanging="6"/>
        <w:jc w:val="center"/>
        <w:rPr>
          <w:b/>
        </w:rPr>
      </w:pPr>
      <w:r w:rsidRPr="008E220C">
        <w:rPr>
          <w:b/>
        </w:rPr>
        <w:t>OMB Control No. 0648-</w:t>
      </w:r>
      <w:r w:rsidRPr="008E220C" w:rsidR="00C7274F">
        <w:rPr>
          <w:b/>
        </w:rPr>
        <w:t>0468</w:t>
      </w:r>
    </w:p>
    <w:p w:rsidR="0015580B" w:rsidRPr="008E220C" w14:paraId="19D4B4BF" w14:textId="77777777">
      <w:pPr>
        <w:pBdr>
          <w:top w:val="nil"/>
          <w:left w:val="nil"/>
          <w:bottom w:val="nil"/>
          <w:right w:val="nil"/>
          <w:between w:val="nil"/>
        </w:pBdr>
        <w:spacing w:before="1"/>
        <w:jc w:val="center"/>
        <w:rPr>
          <w:b/>
        </w:rPr>
      </w:pPr>
    </w:p>
    <w:p w:rsidR="00963EB6" w:rsidRPr="008E220C" w:rsidP="00963EB6" w14:paraId="1026C1A8" w14:textId="77777777">
      <w:pPr>
        <w:spacing w:before="1" w:line="398" w:lineRule="auto"/>
        <w:rPr>
          <w:b/>
          <w:u w:val="single"/>
        </w:rPr>
      </w:pPr>
      <w:r w:rsidRPr="008E220C">
        <w:rPr>
          <w:b/>
        </w:rPr>
        <w:t xml:space="preserve">SUPPORTING STATEMENT PART A </w:t>
      </w:r>
    </w:p>
    <w:p w:rsidR="0015580B" w:rsidRPr="008E220C" w14:paraId="60B9D9A6" w14:textId="77777777">
      <w:pPr>
        <w:pStyle w:val="Heading1"/>
        <w:spacing w:before="199"/>
        <w:ind w:left="0"/>
      </w:pPr>
      <w:r w:rsidRPr="008E220C">
        <w:t>Abstract</w:t>
      </w:r>
    </w:p>
    <w:p w:rsidR="00963EB6" w:rsidRPr="008E220C" w:rsidP="00963EB6" w14:paraId="54DF931D" w14:textId="77777777">
      <w:pPr>
        <w:spacing w:before="120" w:after="120"/>
      </w:pPr>
      <w:r w:rsidRPr="008E220C">
        <w:t>This request is for extension of a current information collection. In 1989, the National Marine Mammal Tissue Bank (NMMTB) was established by the National Marine Fisheries Service (NMFS) Office of Protected Resources (OPR) in collaboration with the Nationa</w:t>
      </w:r>
      <w:r w:rsidRPr="008E220C">
        <w:t>l Institute of Standards and Technology (NIST), Minerals Management Service (MMS), and the US Geological Survey/Biological Resources Division (USGS/BRD). The NMMTB provides protocols, techniques, and physical facilities for the long-term storage of tissues</w:t>
      </w:r>
      <w:r w:rsidRPr="008E220C">
        <w:t xml:space="preserve"> from marine mammals. Scientists can request tissues from this repository for retrospective analyses to determine environmental trends of contaminants and other substances of interest. The NMMTB collects, processes, and stores tissues from specific indicat</w:t>
      </w:r>
      <w:r w:rsidRPr="008E220C">
        <w:t>or species (e.g., Atlantic bottlenose dolphins, Atlantic white sided dolphins, pilot whales, harbor porpoises), animals from mass strandings, animals that have been obtained incidental to commercial fisheries, animals taken for subsistence purposes, biopsi</w:t>
      </w:r>
      <w:r w:rsidRPr="008E220C">
        <w:t>es, and animals from unusual mortality events through two projects, the Marine Mammal Health and Stranding Response Program (MMHSRP) and the Alaska Marine Mammal Tissue Archival Project (AMMTAP).</w:t>
      </w:r>
    </w:p>
    <w:p w:rsidR="00963EB6" w:rsidRPr="008E220C" w:rsidP="00963EB6" w14:paraId="201BA943" w14:textId="77777777">
      <w:pPr>
        <w:spacing w:before="120" w:after="120"/>
      </w:pPr>
      <w:r w:rsidRPr="008E220C">
        <w:t>The purposes of this collection of information are: 1) to en</w:t>
      </w:r>
      <w:r w:rsidRPr="008E220C">
        <w:t>able NOAA to allow the scientific community the opportunity to request tissue specimen samples from the NMMTB and, 2) to enable the Marine Mammal Health and Stranding Response Program (MMHSRP) of NOAA to assemble information on all specimens submitted to t</w:t>
      </w:r>
      <w:r w:rsidRPr="008E220C">
        <w:t>he National Institute of Standards and Technology’s Biorepository (NIST Biorepository), which includes the NMMTB.</w:t>
      </w:r>
    </w:p>
    <w:p w:rsidR="00963EB6" w:rsidRPr="008E220C" w:rsidP="00963EB6" w14:paraId="60392E21" w14:textId="77777777">
      <w:pPr>
        <w:spacing w:before="120" w:after="120"/>
      </w:pPr>
      <w:r w:rsidRPr="008E220C">
        <w:t>Under 16 U.S.C. 1421f section 407(d)(1) of the Marine Mammal Protection Act, the NMFS must establish criteria for access to marine mammal tiss</w:t>
      </w:r>
      <w:r w:rsidRPr="008E220C">
        <w:t>ues in the NMMTB and make those available for public comment and review. This was accomplished through the proposed rule RIN 0648-AQ51, published on 11/12/2002, and codified in 50 CFR 216.47.</w:t>
      </w:r>
    </w:p>
    <w:p w:rsidR="0015580B" w:rsidRPr="008E220C" w14:paraId="0CAB8A13" w14:textId="77777777">
      <w:pPr>
        <w:pStyle w:val="Heading1"/>
        <w:spacing w:before="124"/>
        <w:ind w:left="0"/>
      </w:pPr>
      <w:r w:rsidRPr="008E220C">
        <w:t>Justification</w:t>
      </w:r>
    </w:p>
    <w:p w:rsidR="0015580B" w:rsidRPr="008E220C" w14:paraId="2BDCA577" w14:textId="77777777">
      <w:pPr>
        <w:numPr>
          <w:ilvl w:val="0"/>
          <w:numId w:val="3"/>
        </w:numPr>
        <w:pBdr>
          <w:top w:val="nil"/>
          <w:left w:val="nil"/>
          <w:bottom w:val="nil"/>
          <w:right w:val="nil"/>
          <w:between w:val="nil"/>
        </w:pBdr>
        <w:tabs>
          <w:tab w:val="left" w:pos="360"/>
        </w:tabs>
        <w:spacing w:before="182" w:line="259" w:lineRule="auto"/>
        <w:ind w:left="0" w:firstLine="0"/>
        <w:rPr>
          <w:b/>
        </w:rPr>
      </w:pPr>
      <w:r w:rsidRPr="008E220C">
        <w:rPr>
          <w:b/>
        </w:rPr>
        <w:t>Explain the circumstances that make the collection</w:t>
      </w:r>
      <w:r w:rsidRPr="008E220C">
        <w:rPr>
          <w:b/>
        </w:rPr>
        <w:t xml:space="preserve"> of information necessary. Identify any legal or administrative requirements that necessitate the collection. Attach a copy of the appropriate section of each statute and regulation mandating or authorizing the collection of information.</w:t>
      </w:r>
    </w:p>
    <w:p w:rsidR="00963EB6" w:rsidRPr="008E220C" w:rsidP="00963EB6" w14:paraId="4AC4804D" w14:textId="77777777">
      <w:pPr>
        <w:pBdr>
          <w:top w:val="nil"/>
          <w:left w:val="nil"/>
          <w:bottom w:val="nil"/>
          <w:right w:val="nil"/>
          <w:between w:val="nil"/>
        </w:pBdr>
        <w:spacing w:before="159" w:line="259" w:lineRule="auto"/>
      </w:pPr>
      <w:r w:rsidRPr="008E220C">
        <w:t>This request is fo</w:t>
      </w:r>
      <w:r w:rsidRPr="008E220C">
        <w:t xml:space="preserve">r extension of an approved information collection. </w:t>
      </w:r>
    </w:p>
    <w:p w:rsidR="00963EB6" w:rsidRPr="008E220C" w:rsidP="00963EB6" w14:paraId="6F7ADB0B" w14:textId="7EE38ECE">
      <w:pPr>
        <w:pBdr>
          <w:top w:val="nil"/>
          <w:left w:val="nil"/>
          <w:bottom w:val="nil"/>
          <w:right w:val="nil"/>
          <w:between w:val="nil"/>
        </w:pBdr>
        <w:spacing w:before="159" w:line="259" w:lineRule="auto"/>
      </w:pPr>
      <w:r w:rsidRPr="008E220C">
        <w:t>The purposes of this collection of information are: 1) to enable the National Oceanic and Atmospheric Administration (NOAA) to allow the scientific community the opportunity to request tissue specimen sam</w:t>
      </w:r>
      <w:r w:rsidRPr="008E220C">
        <w:t xml:space="preserve">ples from the National Marine Mammal Tissue Bank (NMMTB) and 2) to enable the Marine Mammal Health and Stranding Response Program (MMHSRP) of NOAA to assemble information on all specimens submitted to the National Institute of Standards and Technology’s </w:t>
      </w:r>
      <w:r w:rsidR="00E01B84">
        <w:t>Biorepository</w:t>
      </w:r>
      <w:r w:rsidRPr="008E220C">
        <w:t xml:space="preserve"> (NIST Biorepository), which includes the NMMTB.</w:t>
      </w:r>
    </w:p>
    <w:p w:rsidR="00963EB6" w:rsidRPr="008E220C" w:rsidP="00963EB6" w14:paraId="5732235D" w14:textId="77777777">
      <w:pPr>
        <w:pBdr>
          <w:top w:val="nil"/>
          <w:left w:val="nil"/>
          <w:bottom w:val="nil"/>
          <w:right w:val="nil"/>
          <w:between w:val="nil"/>
        </w:pBdr>
        <w:spacing w:before="159" w:line="259" w:lineRule="auto"/>
      </w:pPr>
      <w:r w:rsidRPr="008E220C">
        <w:t xml:space="preserve">Analysis of biological samples and dissemination of research findings fulfills four of the primary goals of the MMHSRP. The MMHSRP was established in the late 1980s in response to growing concern </w:t>
      </w:r>
      <w:r w:rsidRPr="008E220C">
        <w:t>about marine mammals washing ashore in United States (U.S.) waters. The MMHSRP goals are: 1) to facilitate collection and dissemination of data, 2) to assess health trends in marine mammals, 3) to correlate marine mammal health with available data on physi</w:t>
      </w:r>
      <w:r w:rsidRPr="008E220C">
        <w:t xml:space="preserve">cal, chemical, environmental, and biological parameters, and 4) to coordinate effective responses to unusual mortality events. </w:t>
      </w:r>
    </w:p>
    <w:p w:rsidR="00963EB6" w:rsidRPr="008E220C" w:rsidP="00963EB6" w14:paraId="3983960E" w14:textId="77777777">
      <w:pPr>
        <w:pBdr>
          <w:top w:val="nil"/>
          <w:left w:val="nil"/>
          <w:bottom w:val="nil"/>
          <w:right w:val="nil"/>
          <w:between w:val="nil"/>
        </w:pBdr>
        <w:spacing w:before="159" w:line="259" w:lineRule="auto"/>
      </w:pPr>
      <w:r w:rsidRPr="008E220C">
        <w:t xml:space="preserve">The MMHSRP was formalized by the 1992 Amendments to the Marine Mammal Protection Act, and the National Marine Fisheries Service </w:t>
      </w:r>
      <w:r w:rsidRPr="008E220C">
        <w:t>(NMFS) was designated as the lead agency to coordinate related activities. The program has the following components: 1) stranding networks, 2) responses/investigations of mortality events, 3) biomonitoring, 4) tissue/serum banking and 5) analytical quality</w:t>
      </w:r>
      <w:r w:rsidRPr="008E220C">
        <w:t xml:space="preserve"> assurance.</w:t>
      </w:r>
    </w:p>
    <w:p w:rsidR="00963EB6" w:rsidRPr="008E220C" w:rsidP="00963EB6" w14:paraId="082066D0" w14:textId="77777777">
      <w:pPr>
        <w:pBdr>
          <w:top w:val="nil"/>
          <w:left w:val="nil"/>
          <w:bottom w:val="nil"/>
          <w:right w:val="nil"/>
          <w:between w:val="nil"/>
        </w:pBdr>
        <w:spacing w:before="159" w:line="259" w:lineRule="auto"/>
      </w:pPr>
      <w:r w:rsidRPr="008E220C">
        <w:t>In 1989, the National Marine Mammal Tissue Bank (NMMTB) was established by the National Marine Fisheries Service (NMFS) Office of Protected Resources (OPR) in collaboration with the National Institute of Standards and Technology (NIST), Mineral</w:t>
      </w:r>
      <w:r w:rsidRPr="008E220C">
        <w:t>s Management Service (MMS), and the US Geological Survey/Biological Resources Division (USGS/BRD). The NMMTB provides protocols, techniques, and physical facilities for the long-term storage of tissues from marine mammals. Scientists can request tissues fr</w:t>
      </w:r>
      <w:r w:rsidRPr="008E220C">
        <w:t xml:space="preserve">om this repository for retrospective analyses to determine environmental trends of contaminants and other analysts of interest. The NMMTB collects, processes, and stores tissues from specific indicator species (e.g., Atlantic bottlenose dolphins, Atlantic </w:t>
      </w:r>
      <w:r w:rsidRPr="008E220C">
        <w:t>white sided dolphins, pilot whales and harbor porpoise), animals from mass strandings, animals that have been obtained incidental to commercial fisheries, animals taken for subsistence purposes, biopsies, and animals from unusual mortality events through t</w:t>
      </w:r>
      <w:r w:rsidRPr="008E220C">
        <w:t xml:space="preserve">wo projects, the Marine Mammal Health and Stranding Response Program (MMHSRP) and the Alaska Marine Mammal Tissue Archival Project (AMMTAP). </w:t>
      </w:r>
    </w:p>
    <w:p w:rsidR="00963EB6" w:rsidRPr="008E220C" w:rsidP="00963EB6" w14:paraId="5E14F73A" w14:textId="77777777">
      <w:pPr>
        <w:pBdr>
          <w:top w:val="nil"/>
          <w:left w:val="nil"/>
          <w:bottom w:val="nil"/>
          <w:right w:val="nil"/>
          <w:between w:val="nil"/>
        </w:pBdr>
        <w:spacing w:before="159" w:line="259" w:lineRule="auto"/>
      </w:pPr>
      <w:r w:rsidRPr="008E220C">
        <w:t xml:space="preserve">Under 16 U.S.C. 1421f section 407(d)(1) of the Marine Mammal Protection Act, the NMFS must establish criteria for </w:t>
      </w:r>
      <w:r w:rsidRPr="008E220C">
        <w:t>access to marine mammal tissues in the NMMTB and make those available for public comment and review. This was accomplished through the proposed rule RIN 0648-AQ51, published on 11/12/2002, and codified in 50 CFR 216.47.</w:t>
      </w:r>
    </w:p>
    <w:p w:rsidR="0015580B" w:rsidRPr="008E220C" w14:paraId="655D58B7" w14:textId="77777777">
      <w:pPr>
        <w:pStyle w:val="Heading1"/>
        <w:numPr>
          <w:ilvl w:val="0"/>
          <w:numId w:val="3"/>
        </w:numPr>
        <w:tabs>
          <w:tab w:val="left" w:pos="360"/>
        </w:tabs>
        <w:spacing w:before="197"/>
        <w:ind w:left="0" w:firstLine="0"/>
      </w:pPr>
      <w:r w:rsidRPr="008E220C">
        <w:t xml:space="preserve">Indicate how, by whom, and for what </w:t>
      </w:r>
      <w:r w:rsidRPr="008E220C">
        <w:t>purpose the information is to be used. Except for a new collection, indicate the actual use the agency has made of the information received from the current collection.</w:t>
      </w:r>
    </w:p>
    <w:p w:rsidR="00963EB6" w:rsidRPr="008E220C" w:rsidP="00963EB6" w14:paraId="49214CDB" w14:textId="77777777">
      <w:pPr>
        <w:pStyle w:val="CM38"/>
        <w:suppressLineNumbers/>
        <w:suppressAutoHyphens/>
        <w:spacing w:before="120" w:after="120"/>
        <w:ind w:right="855"/>
      </w:pPr>
      <w:r w:rsidRPr="008E220C">
        <w:t>A. INFORMATION ON REQUESTING SAMPLES FROM THE NIST BIOREPOSITORY</w:t>
      </w:r>
    </w:p>
    <w:p w:rsidR="00963EB6" w:rsidRPr="008E220C" w:rsidP="00963EB6" w14:paraId="767B440B" w14:textId="77777777">
      <w:pPr>
        <w:pStyle w:val="CM38"/>
        <w:suppressLineNumbers/>
        <w:suppressAutoHyphens/>
        <w:spacing w:before="120" w:after="120"/>
        <w:ind w:right="855"/>
      </w:pPr>
      <w:r w:rsidRPr="008E220C">
        <w:t xml:space="preserve">Requestors can apply </w:t>
      </w:r>
      <w:r w:rsidRPr="008E220C">
        <w:t xml:space="preserve">as many times as they wish, but NMFS expects to receive only 5 applications per year. </w:t>
      </w:r>
    </w:p>
    <w:p w:rsidR="00963EB6" w:rsidRPr="008E220C" w:rsidP="00963EB6" w14:paraId="71EE4A89" w14:textId="785F971C">
      <w:pPr>
        <w:suppressLineNumbers/>
        <w:suppressAutoHyphens/>
        <w:spacing w:before="120" w:after="120"/>
      </w:pPr>
      <w:r w:rsidRPr="008E220C">
        <w:t xml:space="preserve">1. Requestors must submit a written request, using the form included in this request and attaching a study plan to the MMHSRP Coordinator, NMFS/Office of Protected </w:t>
      </w:r>
      <w:r w:rsidRPr="008E220C">
        <w:t>Resources</w:t>
      </w:r>
      <w:r w:rsidR="00E01B84">
        <w:t xml:space="preserve"> or the NIST Biospecimen Science Group Leader</w:t>
      </w:r>
      <w:r w:rsidRPr="008E220C">
        <w:t xml:space="preserve">. </w:t>
      </w:r>
    </w:p>
    <w:p w:rsidR="00963EB6" w:rsidRPr="008E220C" w:rsidP="00963EB6" w14:paraId="5DAE6360" w14:textId="77777777">
      <w:pPr>
        <w:pStyle w:val="Default"/>
        <w:suppressLineNumbers/>
        <w:suppressAutoHyphens/>
        <w:spacing w:before="120" w:after="120"/>
        <w:rPr>
          <w:color w:val="auto"/>
        </w:rPr>
      </w:pPr>
    </w:p>
    <w:p w:rsidR="00963EB6" w:rsidRPr="008E220C" w:rsidP="00963EB6" w14:paraId="06275297" w14:textId="77777777">
      <w:pPr>
        <w:pStyle w:val="Default"/>
        <w:suppressLineNumbers/>
        <w:suppressAutoHyphens/>
        <w:spacing w:before="120" w:after="120"/>
        <w:rPr>
          <w:color w:val="auto"/>
        </w:rPr>
      </w:pPr>
      <w:r w:rsidRPr="008E220C">
        <w:rPr>
          <w:color w:val="auto"/>
        </w:rPr>
        <w:t xml:space="preserve">2. The following specific information must be included in the request: </w:t>
      </w:r>
    </w:p>
    <w:p w:rsidR="00963EB6" w:rsidRPr="008E220C" w:rsidP="00963EB6" w14:paraId="3DA5AD83" w14:textId="77777777">
      <w:pPr>
        <w:pStyle w:val="Default"/>
        <w:numPr>
          <w:ilvl w:val="0"/>
          <w:numId w:val="13"/>
        </w:numPr>
        <w:suppressLineNumbers/>
        <w:suppressAutoHyphens/>
        <w:spacing w:before="120" w:after="120"/>
        <w:rPr>
          <w:color w:val="auto"/>
        </w:rPr>
      </w:pPr>
      <w:r w:rsidRPr="008E220C">
        <w:rPr>
          <w:color w:val="auto"/>
        </w:rPr>
        <w:t>A clear and concise statement of the proposed use of the banked tissue specimen. The applicant must demonstrate that the prop</w:t>
      </w:r>
      <w:r w:rsidRPr="008E220C">
        <w:rPr>
          <w:color w:val="auto"/>
        </w:rPr>
        <w:t xml:space="preserve">osed use is consistent with the goals of the MMHSRP and the NMMTB. </w:t>
      </w:r>
    </w:p>
    <w:p w:rsidR="00963EB6" w:rsidRPr="008E220C" w:rsidP="00963EB6" w14:paraId="17FE49B8" w14:textId="77777777">
      <w:pPr>
        <w:pStyle w:val="Default"/>
        <w:numPr>
          <w:ilvl w:val="0"/>
          <w:numId w:val="13"/>
        </w:numPr>
        <w:suppressLineNumbers/>
        <w:suppressAutoHyphens/>
        <w:spacing w:before="120" w:after="120"/>
        <w:rPr>
          <w:color w:val="auto"/>
        </w:rPr>
      </w:pPr>
      <w:r w:rsidRPr="008E220C">
        <w:rPr>
          <w:color w:val="auto"/>
        </w:rPr>
        <w:t>A copy of the applicant’s scientific research permit. The applicant must demonstrate that the proposed use of the banked tissue is authorized by the permit. (if applicable)</w:t>
      </w:r>
    </w:p>
    <w:p w:rsidR="00963EB6" w:rsidRPr="008E220C" w:rsidP="00963EB6" w14:paraId="115EC421" w14:textId="77777777">
      <w:pPr>
        <w:pStyle w:val="Default"/>
        <w:numPr>
          <w:ilvl w:val="0"/>
          <w:numId w:val="13"/>
        </w:numPr>
        <w:suppressLineNumbers/>
        <w:suppressAutoHyphens/>
        <w:spacing w:before="120" w:after="120"/>
        <w:rPr>
          <w:color w:val="auto"/>
        </w:rPr>
      </w:pPr>
      <w:r w:rsidRPr="008E220C">
        <w:rPr>
          <w:color w:val="auto"/>
        </w:rPr>
        <w:t>Name of princip</w:t>
      </w:r>
      <w:r w:rsidRPr="008E220C">
        <w:rPr>
          <w:color w:val="auto"/>
        </w:rPr>
        <w:t xml:space="preserve">al investigator, official title, and affiliated research or academic organization. </w:t>
      </w:r>
    </w:p>
    <w:p w:rsidR="00963EB6" w:rsidRPr="008E220C" w:rsidP="00963EB6" w14:paraId="7B96E6DF" w14:textId="77777777">
      <w:pPr>
        <w:pStyle w:val="Default"/>
        <w:numPr>
          <w:ilvl w:val="0"/>
          <w:numId w:val="13"/>
        </w:numPr>
        <w:suppressLineNumbers/>
        <w:suppressAutoHyphens/>
        <w:spacing w:before="120" w:after="120"/>
        <w:rPr>
          <w:color w:val="auto"/>
        </w:rPr>
      </w:pPr>
      <w:r w:rsidRPr="008E220C">
        <w:rPr>
          <w:color w:val="auto"/>
        </w:rPr>
        <w:t xml:space="preserve">Specific tissue sample and quantity desired. </w:t>
      </w:r>
    </w:p>
    <w:p w:rsidR="00963EB6" w:rsidRPr="008E220C" w:rsidP="00963EB6" w14:paraId="672404C0" w14:textId="77777777">
      <w:pPr>
        <w:pStyle w:val="Default"/>
        <w:numPr>
          <w:ilvl w:val="0"/>
          <w:numId w:val="13"/>
        </w:numPr>
        <w:suppressLineNumbers/>
        <w:suppressAutoHyphens/>
        <w:spacing w:before="120" w:after="120"/>
        <w:rPr>
          <w:color w:val="auto"/>
        </w:rPr>
      </w:pPr>
      <w:r w:rsidRPr="008E220C">
        <w:rPr>
          <w:color w:val="auto"/>
        </w:rPr>
        <w:t xml:space="preserve">Justification for use of the banked tissue. </w:t>
      </w:r>
    </w:p>
    <w:p w:rsidR="00963EB6" w:rsidRPr="008E220C" w:rsidP="00963EB6" w14:paraId="6BD730CF" w14:textId="339FD455">
      <w:pPr>
        <w:pStyle w:val="Default"/>
        <w:numPr>
          <w:ilvl w:val="0"/>
          <w:numId w:val="13"/>
        </w:numPr>
        <w:suppressLineNumbers/>
        <w:suppressAutoHyphens/>
        <w:spacing w:before="120" w:after="120"/>
        <w:rPr>
          <w:color w:val="auto"/>
        </w:rPr>
      </w:pPr>
      <w:r w:rsidRPr="008E220C">
        <w:rPr>
          <w:color w:val="auto"/>
        </w:rPr>
        <w:t>Research facility where analyses will be conducted must follow the Analytical Qua</w:t>
      </w:r>
      <w:r w:rsidRPr="008E220C">
        <w:rPr>
          <w:color w:val="auto"/>
        </w:rPr>
        <w:t xml:space="preserve">lity Assurance </w:t>
      </w:r>
      <w:r w:rsidR="00E01B84">
        <w:rPr>
          <w:color w:val="auto"/>
        </w:rPr>
        <w:t>P</w:t>
      </w:r>
      <w:r w:rsidRPr="008E220C">
        <w:rPr>
          <w:color w:val="auto"/>
        </w:rPr>
        <w:t>rogram which was designed to ensure the accuracy, precision, level of detection, and intercompatibility of data resulting from chemical analyses of marine mammal tissues. Standard reference materials for use in the analysis of marine mammal</w:t>
      </w:r>
      <w:r w:rsidRPr="008E220C">
        <w:rPr>
          <w:color w:val="auto"/>
        </w:rPr>
        <w:t xml:space="preserve"> tissues can be purchased from the </w:t>
      </w:r>
      <w:r w:rsidRPr="008E220C">
        <w:rPr>
          <w:bCs/>
          <w:color w:val="auto"/>
        </w:rPr>
        <w:t>National Institute of Standards and Technology (NIST)</w:t>
      </w:r>
      <w:r w:rsidRPr="008E220C">
        <w:rPr>
          <w:color w:val="auto"/>
        </w:rPr>
        <w:t xml:space="preserve">. </w:t>
      </w:r>
    </w:p>
    <w:p w:rsidR="00963EB6" w:rsidRPr="008E220C" w:rsidP="00963EB6" w14:paraId="39786717" w14:textId="77777777">
      <w:pPr>
        <w:pStyle w:val="Default"/>
        <w:numPr>
          <w:ilvl w:val="0"/>
          <w:numId w:val="13"/>
        </w:numPr>
        <w:suppressLineNumbers/>
        <w:suppressAutoHyphens/>
        <w:spacing w:before="120" w:after="120"/>
        <w:rPr>
          <w:color w:val="auto"/>
        </w:rPr>
      </w:pPr>
      <w:r w:rsidRPr="008E220C">
        <w:rPr>
          <w:color w:val="auto"/>
        </w:rPr>
        <w:t xml:space="preserve">Estimated date for completion of research, and schedule/date of subsequent reports. </w:t>
      </w:r>
    </w:p>
    <w:p w:rsidR="00963EB6" w:rsidRPr="008E220C" w:rsidP="00963EB6" w14:paraId="5B17BACA" w14:textId="77777777">
      <w:pPr>
        <w:pStyle w:val="Default"/>
        <w:numPr>
          <w:ilvl w:val="0"/>
          <w:numId w:val="13"/>
        </w:numPr>
        <w:suppressLineNumbers/>
        <w:suppressAutoHyphens/>
        <w:spacing w:before="120" w:after="120"/>
        <w:rPr>
          <w:color w:val="auto"/>
        </w:rPr>
      </w:pPr>
      <w:r w:rsidRPr="008E220C">
        <w:rPr>
          <w:color w:val="auto"/>
        </w:rPr>
        <w:t>Agreement that all requests/findings will be reported</w:t>
      </w:r>
      <w:r w:rsidRPr="008E220C">
        <w:rPr>
          <w:color w:val="auto"/>
        </w:rPr>
        <w:t xml:space="preserve"> to the NMMTB and the MMHSRP Program Manager. </w:t>
      </w:r>
    </w:p>
    <w:p w:rsidR="00963EB6" w:rsidRPr="008E220C" w:rsidP="00963EB6" w14:paraId="3865C4A1" w14:textId="77777777">
      <w:pPr>
        <w:pStyle w:val="Default"/>
        <w:numPr>
          <w:ilvl w:val="0"/>
          <w:numId w:val="13"/>
        </w:numPr>
        <w:suppressLineNumbers/>
        <w:suppressAutoHyphens/>
        <w:spacing w:before="120" w:after="120"/>
        <w:rPr>
          <w:color w:val="auto"/>
        </w:rPr>
      </w:pPr>
      <w:r w:rsidRPr="008E220C">
        <w:rPr>
          <w:color w:val="auto"/>
        </w:rPr>
        <w:t>Agreement that credit and acknowledgment will be given to NMFS, U.S. Geologic Service, NIST, U.S Fish and Wildlife Service, the NMMTB, and the collector for use of banked tissues. The applicant shall insert th</w:t>
      </w:r>
      <w:r w:rsidRPr="008E220C">
        <w:rPr>
          <w:color w:val="auto"/>
        </w:rPr>
        <w:t xml:space="preserve">e following acknowledgment in all publications, abstracts or presentations: </w:t>
      </w:r>
    </w:p>
    <w:p w:rsidR="00E01B84" w:rsidP="00E01B84" w14:paraId="1AC375F0" w14:textId="77777777">
      <w:pPr>
        <w:ind w:left="820" w:right="117"/>
        <w:jc w:val="both"/>
        <w:rPr>
          <w:i/>
        </w:rPr>
      </w:pPr>
      <w:r>
        <w:rPr>
          <w:i/>
        </w:rPr>
        <w:t xml:space="preserve">The specimens used in this study were collected by [the contributor] and provided by the National Marine Mammal Tissue Bank, which is maintained at the NIST Biorepository at the </w:t>
      </w:r>
      <w:r>
        <w:rPr>
          <w:i/>
        </w:rPr>
        <w:t>Hollings Marine Laboratory, Charleston, SC, and which is operated under the direction of NMFS with the collaboration of USGS, USFWS, MMS, and NIST through the Marine Mammal Health and Stranding Response Program (and the Alaska Marine Mammal Tissue Archival</w:t>
      </w:r>
      <w:r>
        <w:rPr>
          <w:i/>
        </w:rPr>
        <w:t xml:space="preserve"> Project [if the samples are from Alaska]).</w:t>
      </w:r>
    </w:p>
    <w:p w:rsidR="00963EB6" w:rsidRPr="008E220C" w:rsidP="00963EB6" w14:paraId="76CE5E3A" w14:textId="77777777">
      <w:pPr>
        <w:pStyle w:val="Default"/>
        <w:spacing w:before="120" w:after="120"/>
        <w:rPr>
          <w:color w:val="auto"/>
        </w:rPr>
      </w:pPr>
    </w:p>
    <w:p w:rsidR="00963EB6" w:rsidRPr="008E220C" w:rsidP="00963EB6" w14:paraId="6601D1CD" w14:textId="26F7E937">
      <w:pPr>
        <w:pStyle w:val="CM38"/>
        <w:suppressLineNumbers/>
        <w:suppressAutoHyphens/>
        <w:spacing w:before="120" w:after="120"/>
        <w:ind w:right="198"/>
      </w:pPr>
      <w:r w:rsidRPr="008E220C">
        <w:t xml:space="preserve">3. Upon submission, the NIST </w:t>
      </w:r>
      <w:r w:rsidR="00E01B84">
        <w:t>Biospecimen Science</w:t>
      </w:r>
      <w:r w:rsidRPr="008E220C">
        <w:t xml:space="preserve"> Group Leader will send the request and attached study plan to the following entities which will function as the review committee: </w:t>
      </w:r>
    </w:p>
    <w:p w:rsidR="00963EB6" w:rsidRPr="008E220C" w:rsidP="00963EB6" w14:paraId="6EDA93B1" w14:textId="77777777">
      <w:pPr>
        <w:pStyle w:val="Default"/>
        <w:suppressLineNumbers/>
        <w:suppressAutoHyphens/>
        <w:spacing w:before="120" w:after="120"/>
        <w:ind w:firstLine="360"/>
        <w:rPr>
          <w:color w:val="auto"/>
        </w:rPr>
      </w:pPr>
      <w:r w:rsidRPr="008E220C">
        <w:rPr>
          <w:color w:val="auto"/>
        </w:rPr>
        <w:t>a. Appropriate marine mammal ma</w:t>
      </w:r>
      <w:r w:rsidRPr="008E220C">
        <w:rPr>
          <w:color w:val="auto"/>
        </w:rPr>
        <w:t xml:space="preserve">nagement office for that particular species, </w:t>
      </w:r>
    </w:p>
    <w:p w:rsidR="00963EB6" w:rsidRPr="008E220C" w:rsidP="00963EB6" w14:paraId="5260CE8F" w14:textId="77777777">
      <w:pPr>
        <w:pStyle w:val="Default"/>
        <w:suppressLineNumbers/>
        <w:suppressAutoHyphens/>
        <w:spacing w:before="120" w:after="120"/>
        <w:ind w:left="360"/>
        <w:rPr>
          <w:color w:val="auto"/>
        </w:rPr>
      </w:pPr>
      <w:r w:rsidRPr="008E220C">
        <w:rPr>
          <w:color w:val="auto"/>
        </w:rPr>
        <w:t>b. Representatives of the NMMTB Collaborating Agencies, and</w:t>
      </w:r>
    </w:p>
    <w:p w:rsidR="00FF3842" w:rsidP="00FF3842" w14:paraId="40977BDC" w14:textId="1BA76998">
      <w:pPr>
        <w:pStyle w:val="Default"/>
        <w:suppressLineNumbers/>
        <w:suppressAutoHyphens/>
        <w:spacing w:before="120" w:after="120"/>
        <w:ind w:firstLine="360"/>
        <w:rPr>
          <w:color w:val="auto"/>
        </w:rPr>
      </w:pPr>
      <w:r w:rsidRPr="008E220C">
        <w:rPr>
          <w:color w:val="auto"/>
        </w:rPr>
        <w:t>c. Contributor, if applicable.</w:t>
      </w:r>
    </w:p>
    <w:p w:rsidR="00FF3842" w:rsidRPr="008E220C" w:rsidP="00FF3842" w14:paraId="008A9B0E" w14:textId="77777777">
      <w:pPr>
        <w:pStyle w:val="Default"/>
        <w:suppressLineNumbers/>
        <w:suppressAutoHyphens/>
        <w:spacing w:before="120" w:after="120"/>
        <w:ind w:firstLine="360"/>
        <w:rPr>
          <w:color w:val="auto"/>
        </w:rPr>
      </w:pPr>
    </w:p>
    <w:p w:rsidR="00963EB6" w:rsidP="00963EB6" w14:paraId="63F32F0E" w14:textId="606B095A">
      <w:pPr>
        <w:pStyle w:val="CM38"/>
        <w:suppressLineNumbers/>
        <w:suppressAutoHyphens/>
        <w:spacing w:before="120" w:after="120"/>
        <w:ind w:right="198"/>
      </w:pPr>
      <w:r w:rsidRPr="008E220C">
        <w:t xml:space="preserve">4. </w:t>
      </w:r>
      <w:r w:rsidRPr="008E220C">
        <w:t xml:space="preserve">The applicant shall report to the MMHSRP Program Manager and the NIST </w:t>
      </w:r>
      <w:r w:rsidR="00E01B84">
        <w:t>Biospecimen Science</w:t>
      </w:r>
      <w:r w:rsidRPr="008E220C">
        <w:t xml:space="preserve"> Group Leader all research findings based on use of the banked tissue in accordance with the schedule submitted with the application. </w:t>
      </w:r>
    </w:p>
    <w:p w:rsidR="00FF3842" w:rsidRPr="00FF3842" w:rsidP="00FF3842" w14:paraId="0552B46A" w14:textId="77777777">
      <w:pPr>
        <w:pStyle w:val="Default"/>
      </w:pPr>
    </w:p>
    <w:p w:rsidR="00963EB6" w:rsidRPr="008E220C" w:rsidP="00963EB6" w14:paraId="0361172A" w14:textId="77777777">
      <w:pPr>
        <w:suppressLineNumbers/>
        <w:suppressAutoHyphens/>
        <w:spacing w:before="120" w:after="120"/>
      </w:pPr>
      <w:r w:rsidRPr="008E220C">
        <w:t>B. INFORMATION ON SUBMITTING SAMPLES TO THE NIST BIOREPOSITORY</w:t>
      </w:r>
    </w:p>
    <w:p w:rsidR="00963EB6" w:rsidRPr="008E220C" w:rsidP="00963EB6" w14:paraId="3EC24906" w14:textId="77777777">
      <w:pPr>
        <w:suppressLineNumbers/>
        <w:suppressAutoHyphens/>
        <w:spacing w:before="120" w:after="120"/>
      </w:pPr>
      <w:r w:rsidRPr="008E220C">
        <w:t>The information on the NMMTB form will be collected whenev</w:t>
      </w:r>
      <w:r w:rsidRPr="008E220C">
        <w:t>er specimens are prepared for submission to the Bank. NMFS anticipates that approximately 20 organizations will submit specimen submission forms each year, with an annual total of 100 forms (as each of the 20 organizations is likely to submit multiple spec</w:t>
      </w:r>
      <w:r w:rsidRPr="008E220C">
        <w:t>imens).</w:t>
      </w:r>
    </w:p>
    <w:p w:rsidR="00963EB6" w:rsidRPr="008E220C" w:rsidP="00963EB6" w14:paraId="3E784FCF" w14:textId="77777777">
      <w:pPr>
        <w:suppressLineNumbers/>
        <w:suppressAutoHyphens/>
        <w:spacing w:before="120" w:after="120"/>
      </w:pPr>
      <w:r w:rsidRPr="008E220C">
        <w:t>The required form asks for basic information on the submitted sample such as gender, age, common and species name of the animal sampled. Indicator species include: harbor seal (</w:t>
      </w:r>
      <w:r w:rsidRPr="008E220C">
        <w:rPr>
          <w:i/>
        </w:rPr>
        <w:t>Phoca vitulin</w:t>
      </w:r>
      <w:r w:rsidRPr="008E220C">
        <w:t>a), California sea lion (</w:t>
      </w:r>
      <w:r w:rsidRPr="008E220C">
        <w:rPr>
          <w:i/>
        </w:rPr>
        <w:t>Zalophus californianus</w:t>
      </w:r>
      <w:r w:rsidRPr="008E220C">
        <w:t>), northern</w:t>
      </w:r>
      <w:r w:rsidRPr="008E220C">
        <w:t xml:space="preserve"> fur seal (</w:t>
      </w:r>
      <w:r w:rsidRPr="008E220C">
        <w:rPr>
          <w:i/>
        </w:rPr>
        <w:t>Callorhinus ursinus</w:t>
      </w:r>
      <w:r w:rsidRPr="008E220C">
        <w:t>), ringed seal (</w:t>
      </w:r>
      <w:r w:rsidRPr="008E220C">
        <w:rPr>
          <w:i/>
        </w:rPr>
        <w:t>P. hispida</w:t>
      </w:r>
      <w:r w:rsidRPr="008E220C">
        <w:t>), pilot whale (</w:t>
      </w:r>
      <w:r w:rsidRPr="008E220C">
        <w:rPr>
          <w:i/>
        </w:rPr>
        <w:t>Globicephala melas</w:t>
      </w:r>
      <w:r w:rsidRPr="008E220C">
        <w:t>), harbor porpoise (</w:t>
      </w:r>
      <w:r w:rsidRPr="008E220C">
        <w:rPr>
          <w:i/>
        </w:rPr>
        <w:t>Phocoena phocoena</w:t>
      </w:r>
      <w:r w:rsidRPr="008E220C">
        <w:t>), Atlantic white-sided dolphin (</w:t>
      </w:r>
      <w:r w:rsidRPr="008E220C">
        <w:rPr>
          <w:i/>
        </w:rPr>
        <w:t>Lagenorhynchus acutus</w:t>
      </w:r>
      <w:r w:rsidRPr="008E220C">
        <w:t>), pygmy sperm whale (</w:t>
      </w:r>
      <w:r w:rsidRPr="008E220C">
        <w:rPr>
          <w:i/>
        </w:rPr>
        <w:t>Kogia breviceps</w:t>
      </w:r>
      <w:r w:rsidRPr="008E220C">
        <w:t>), bottlenose dolphin (</w:t>
      </w:r>
      <w:r w:rsidRPr="008E220C">
        <w:rPr>
          <w:i/>
        </w:rPr>
        <w:t>Tursiops trunca</w:t>
      </w:r>
      <w:r w:rsidRPr="008E220C">
        <w:rPr>
          <w:i/>
        </w:rPr>
        <w:t>tus</w:t>
      </w:r>
      <w:r w:rsidRPr="008E220C">
        <w:t>), rough-toothed dolphin (</w:t>
      </w:r>
      <w:r w:rsidRPr="008E220C">
        <w:rPr>
          <w:i/>
        </w:rPr>
        <w:t>Steno bredanensis</w:t>
      </w:r>
      <w:r w:rsidRPr="008E220C">
        <w:t>), common dolphin (</w:t>
      </w:r>
      <w:r w:rsidRPr="008E220C">
        <w:rPr>
          <w:i/>
        </w:rPr>
        <w:t>Delphinus delphis</w:t>
      </w:r>
      <w:r w:rsidRPr="008E220C">
        <w:t>), beluga whale (</w:t>
      </w:r>
      <w:r w:rsidRPr="008E220C">
        <w:rPr>
          <w:i/>
        </w:rPr>
        <w:t>Delphinapterus leucas</w:t>
      </w:r>
      <w:r w:rsidRPr="008E220C">
        <w:t>), bowhead whale (</w:t>
      </w:r>
      <w:r w:rsidRPr="008E220C">
        <w:rPr>
          <w:i/>
        </w:rPr>
        <w:t>Balaena mysticetus</w:t>
      </w:r>
      <w:r w:rsidRPr="008E220C">
        <w:t>), and polar bear (</w:t>
      </w:r>
      <w:r w:rsidRPr="008E220C">
        <w:rPr>
          <w:i/>
        </w:rPr>
        <w:t>Ursus maritimus</w:t>
      </w:r>
      <w:r w:rsidRPr="008E220C">
        <w:t xml:space="preserve">). </w:t>
      </w:r>
      <w:r w:rsidRPr="008E220C">
        <w:t xml:space="preserve">Additional species have also been included. See Table 1 in the </w:t>
      </w:r>
      <w:r w:rsidRPr="008E220C">
        <w:t xml:space="preserve">instructions for a list of all species collected as a part of the NMMTB. These data sheets should be shipped with all samples to the Bank. The information is made available to the scientific community, aquariums, universities, government personnel, native </w:t>
      </w:r>
      <w:r w:rsidRPr="008E220C">
        <w:t>Alaskans and any other partner organization of the MMHSRP. Sources of specimens include freshly-dead stranded animals, incidental takes in fishing activities, animals obtained through live capture and release programs, captive animals, animals taken by Ala</w:t>
      </w:r>
      <w:r w:rsidRPr="008E220C">
        <w:t xml:space="preserve">skan natives for subsistence, and animals taken through aboriginal subsistence hunts according to treaty rights. The information is used to determine environmental trends of contaminants, establish baseline data on the health of marine animal populations, </w:t>
      </w:r>
      <w:r w:rsidRPr="008E220C">
        <w:t>and correlate health with available data on physical, chemical, and environmental parameters and other analyses of interest.</w:t>
      </w:r>
    </w:p>
    <w:p w:rsidR="00963EB6" w:rsidRPr="008E220C" w:rsidP="00963EB6" w14:paraId="289A8FDE" w14:textId="77777777">
      <w:pPr>
        <w:suppressLineNumbers/>
        <w:suppressAutoHyphens/>
        <w:spacing w:before="120" w:after="120"/>
      </w:pPr>
      <w:r w:rsidRPr="008E220C">
        <w:t>It is anticipated that the information collected on the samples will be disseminated to the public or used to support publicly diss</w:t>
      </w:r>
      <w:r w:rsidRPr="008E220C">
        <w:t>eminated information. Although the information collected for sample requests is not expected to be disseminated directly to the public, results may be used in scientific, management, technical or general informational publications. As explained in the prec</w:t>
      </w:r>
      <w:r w:rsidRPr="008E220C">
        <w:t>eding paragraph, the information gathered has utility. NMFS will retain control over the information and safeguard it from improper access, modification, and destruction, consistent with NOAA standards for confidentiality, privacy, and electronic informati</w:t>
      </w:r>
      <w:r w:rsidRPr="008E220C">
        <w:t>on. See response to Question 10 of this Supporting Statement for more information on confidentiality and privacy. The information collection is designed to yield data that meet all applicable information quality guidelines. Prior to dissemination, the info</w:t>
      </w:r>
      <w:r w:rsidRPr="008E220C">
        <w:t xml:space="preserve">rmation will be subjected to quality control measures and a pre-dissemination review pursuant to </w:t>
      </w:r>
      <w:hyperlink r:id="rId5" w:history="1">
        <w:r w:rsidRPr="008E220C">
          <w:rPr>
            <w:rStyle w:val="Hyperlink"/>
            <w:color w:val="auto"/>
          </w:rPr>
          <w:t>Section 515 of Public Law 106-554</w:t>
        </w:r>
      </w:hyperlink>
      <w:r w:rsidRPr="008E220C">
        <w:t>.</w:t>
      </w:r>
    </w:p>
    <w:p w:rsidR="00963EB6" w:rsidRPr="008E220C" w:rsidP="00963EB6" w14:paraId="4C8DFF0E" w14:textId="77777777">
      <w:pPr>
        <w:suppressLineNumbers/>
        <w:suppressAutoHyphens/>
        <w:spacing w:before="120" w:after="120"/>
      </w:pPr>
    </w:p>
    <w:p w:rsidR="00963EB6" w:rsidRPr="008E220C" w:rsidP="00963EB6" w14:paraId="7E7E99E5" w14:textId="77777777">
      <w:pPr>
        <w:pStyle w:val="Heading1"/>
        <w:spacing w:before="120" w:after="120"/>
        <w:ind w:left="0"/>
      </w:pPr>
      <w:r w:rsidRPr="008E220C">
        <w:t>Information Requirements and Needs and Uses of Inform</w:t>
      </w:r>
      <w:r w:rsidRPr="008E220C">
        <w:t>ation Collected</w:t>
      </w:r>
    </w:p>
    <w:p w:rsidR="00963EB6" w:rsidRPr="008E220C" w:rsidP="00963EB6" w14:paraId="59E2CFEA" w14:textId="77777777">
      <w:pPr>
        <w:pStyle w:val="BodyText"/>
        <w:spacing w:before="120" w:after="120"/>
        <w:ind w:left="0"/>
        <w:rPr>
          <w:b/>
        </w:rPr>
      </w:pPr>
    </w:p>
    <w:tbl>
      <w:tblPr>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0"/>
        <w:gridCol w:w="1970"/>
        <w:gridCol w:w="1322"/>
        <w:gridCol w:w="2157"/>
        <w:gridCol w:w="1363"/>
        <w:gridCol w:w="3000"/>
      </w:tblGrid>
      <w:tr w14:paraId="301E1FBB" w14:textId="77777777" w:rsidTr="00615389">
        <w:tblPrEx>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9"/>
        </w:trPr>
        <w:tc>
          <w:tcPr>
            <w:tcW w:w="990" w:type="dxa"/>
            <w:shd w:val="clear" w:color="auto" w:fill="DEEAF6"/>
          </w:tcPr>
          <w:p w:rsidR="00963EB6" w:rsidRPr="008E220C" w:rsidP="00615389" w14:paraId="6D4F293C" w14:textId="77777777">
            <w:pPr>
              <w:pStyle w:val="TableParagraph"/>
              <w:spacing w:before="120" w:after="120"/>
              <w:jc w:val="center"/>
              <w:rPr>
                <w:b/>
                <w:sz w:val="20"/>
                <w:szCs w:val="20"/>
              </w:rPr>
            </w:pPr>
            <w:r w:rsidRPr="008E220C">
              <w:rPr>
                <w:b/>
                <w:sz w:val="20"/>
                <w:szCs w:val="20"/>
              </w:rPr>
              <w:t>Item #</w:t>
            </w:r>
          </w:p>
        </w:tc>
        <w:tc>
          <w:tcPr>
            <w:tcW w:w="1970" w:type="dxa"/>
            <w:shd w:val="clear" w:color="auto" w:fill="DEEAF6"/>
          </w:tcPr>
          <w:p w:rsidR="00963EB6" w:rsidRPr="008E220C" w:rsidP="00615389" w14:paraId="10EDCBD9" w14:textId="77777777">
            <w:pPr>
              <w:pStyle w:val="TableParagraph"/>
              <w:spacing w:before="120" w:after="120"/>
              <w:jc w:val="center"/>
              <w:rPr>
                <w:b/>
                <w:sz w:val="20"/>
                <w:szCs w:val="20"/>
              </w:rPr>
            </w:pPr>
            <w:r w:rsidRPr="008E220C">
              <w:rPr>
                <w:b/>
                <w:sz w:val="20"/>
                <w:szCs w:val="20"/>
              </w:rPr>
              <w:t>Requirement</w:t>
            </w:r>
          </w:p>
        </w:tc>
        <w:tc>
          <w:tcPr>
            <w:tcW w:w="1322" w:type="dxa"/>
            <w:shd w:val="clear" w:color="auto" w:fill="DEEAF6"/>
          </w:tcPr>
          <w:p w:rsidR="00963EB6" w:rsidRPr="008E220C" w:rsidP="00615389" w14:paraId="0DB210C9" w14:textId="77777777">
            <w:pPr>
              <w:pStyle w:val="TableParagraph"/>
              <w:spacing w:before="120" w:after="120"/>
              <w:jc w:val="center"/>
              <w:rPr>
                <w:b/>
                <w:sz w:val="20"/>
                <w:szCs w:val="20"/>
              </w:rPr>
            </w:pPr>
            <w:r w:rsidRPr="008E220C">
              <w:rPr>
                <w:b/>
                <w:sz w:val="20"/>
                <w:szCs w:val="20"/>
              </w:rPr>
              <w:t>Statute</w:t>
            </w:r>
          </w:p>
        </w:tc>
        <w:tc>
          <w:tcPr>
            <w:tcW w:w="2157" w:type="dxa"/>
            <w:shd w:val="clear" w:color="auto" w:fill="DEEAF6"/>
          </w:tcPr>
          <w:p w:rsidR="00963EB6" w:rsidRPr="008E220C" w:rsidP="00615389" w14:paraId="033AB768" w14:textId="77777777">
            <w:pPr>
              <w:pStyle w:val="TableParagraph"/>
              <w:spacing w:before="120" w:after="120"/>
              <w:jc w:val="center"/>
              <w:rPr>
                <w:b/>
                <w:sz w:val="20"/>
                <w:szCs w:val="20"/>
              </w:rPr>
            </w:pPr>
            <w:r w:rsidRPr="008E220C">
              <w:rPr>
                <w:b/>
                <w:sz w:val="20"/>
                <w:szCs w:val="20"/>
              </w:rPr>
              <w:t>Regulation</w:t>
            </w:r>
          </w:p>
        </w:tc>
        <w:tc>
          <w:tcPr>
            <w:tcW w:w="1363" w:type="dxa"/>
            <w:shd w:val="clear" w:color="auto" w:fill="DEEAF6"/>
          </w:tcPr>
          <w:p w:rsidR="00963EB6" w:rsidRPr="008E220C" w:rsidP="00615389" w14:paraId="7E9AAFB9" w14:textId="77777777">
            <w:pPr>
              <w:pStyle w:val="TableParagraph"/>
              <w:spacing w:before="120" w:after="120"/>
              <w:jc w:val="center"/>
              <w:rPr>
                <w:b/>
                <w:sz w:val="20"/>
                <w:szCs w:val="20"/>
              </w:rPr>
            </w:pPr>
            <w:r w:rsidRPr="008E220C">
              <w:rPr>
                <w:b/>
                <w:sz w:val="20"/>
                <w:szCs w:val="20"/>
              </w:rPr>
              <w:t>Form #</w:t>
            </w:r>
          </w:p>
        </w:tc>
        <w:tc>
          <w:tcPr>
            <w:tcW w:w="3000" w:type="dxa"/>
            <w:shd w:val="clear" w:color="auto" w:fill="DEEAF6"/>
          </w:tcPr>
          <w:p w:rsidR="00963EB6" w:rsidRPr="008E220C" w:rsidP="00615389" w14:paraId="0F544D17" w14:textId="77777777">
            <w:pPr>
              <w:pStyle w:val="TableParagraph"/>
              <w:spacing w:before="120" w:after="120"/>
              <w:jc w:val="center"/>
              <w:rPr>
                <w:b/>
                <w:sz w:val="20"/>
                <w:szCs w:val="20"/>
              </w:rPr>
            </w:pPr>
            <w:r w:rsidRPr="008E220C">
              <w:rPr>
                <w:b/>
                <w:sz w:val="20"/>
                <w:szCs w:val="20"/>
              </w:rPr>
              <w:t>Needs and Uses</w:t>
            </w:r>
          </w:p>
        </w:tc>
      </w:tr>
      <w:tr w14:paraId="0C9991C6" w14:textId="77777777" w:rsidTr="00615389">
        <w:tblPrEx>
          <w:tblW w:w="10802" w:type="dxa"/>
          <w:tblInd w:w="-5" w:type="dxa"/>
          <w:tblLayout w:type="fixed"/>
          <w:tblCellMar>
            <w:left w:w="0" w:type="dxa"/>
            <w:right w:w="0" w:type="dxa"/>
          </w:tblCellMar>
          <w:tblLook w:val="01E0"/>
        </w:tblPrEx>
        <w:trPr>
          <w:trHeight w:val="726"/>
        </w:trPr>
        <w:tc>
          <w:tcPr>
            <w:tcW w:w="990" w:type="dxa"/>
          </w:tcPr>
          <w:p w:rsidR="00963EB6" w:rsidRPr="008E220C" w:rsidP="00615389" w14:paraId="0EB42181" w14:textId="77777777">
            <w:pPr>
              <w:pStyle w:val="TableParagraph"/>
              <w:spacing w:before="120" w:after="120"/>
              <w:jc w:val="center"/>
              <w:rPr>
                <w:b/>
                <w:sz w:val="20"/>
                <w:szCs w:val="20"/>
              </w:rPr>
            </w:pPr>
          </w:p>
          <w:p w:rsidR="00963EB6" w:rsidRPr="008E220C" w:rsidP="00615389" w14:paraId="2F75F9CD" w14:textId="77777777">
            <w:pPr>
              <w:pStyle w:val="TableParagraph"/>
              <w:spacing w:before="120" w:after="120"/>
              <w:jc w:val="center"/>
              <w:rPr>
                <w:sz w:val="20"/>
                <w:szCs w:val="20"/>
              </w:rPr>
            </w:pPr>
            <w:r w:rsidRPr="008E220C">
              <w:rPr>
                <w:w w:val="99"/>
                <w:sz w:val="20"/>
                <w:szCs w:val="20"/>
              </w:rPr>
              <w:t>1</w:t>
            </w:r>
          </w:p>
        </w:tc>
        <w:tc>
          <w:tcPr>
            <w:tcW w:w="1970" w:type="dxa"/>
          </w:tcPr>
          <w:p w:rsidR="00963EB6" w:rsidRPr="008E220C" w:rsidP="00615389" w14:paraId="5BFD0031" w14:textId="77777777">
            <w:pPr>
              <w:pStyle w:val="TableParagraph"/>
              <w:spacing w:before="120" w:after="120"/>
              <w:jc w:val="center"/>
              <w:rPr>
                <w:b/>
                <w:sz w:val="20"/>
                <w:szCs w:val="20"/>
              </w:rPr>
            </w:pPr>
          </w:p>
          <w:p w:rsidR="00963EB6" w:rsidRPr="008E220C" w:rsidP="00615389" w14:paraId="13FD4606" w14:textId="77777777">
            <w:pPr>
              <w:pStyle w:val="TableParagraph"/>
              <w:spacing w:before="120" w:after="120"/>
              <w:jc w:val="center"/>
              <w:rPr>
                <w:sz w:val="20"/>
                <w:szCs w:val="20"/>
              </w:rPr>
            </w:pPr>
            <w:r w:rsidRPr="008E220C">
              <w:rPr>
                <w:sz w:val="20"/>
                <w:szCs w:val="20"/>
              </w:rPr>
              <w:t>National Marine Mammal Tissue Bank</w:t>
            </w:r>
          </w:p>
          <w:p w:rsidR="00963EB6" w:rsidRPr="008E220C" w:rsidP="00615389" w14:paraId="76740F12" w14:textId="77777777">
            <w:pPr>
              <w:pStyle w:val="TableParagraph"/>
              <w:spacing w:before="120" w:after="120"/>
              <w:jc w:val="center"/>
              <w:rPr>
                <w:sz w:val="20"/>
                <w:szCs w:val="20"/>
              </w:rPr>
            </w:pPr>
            <w:r w:rsidRPr="008E220C">
              <w:rPr>
                <w:sz w:val="20"/>
                <w:szCs w:val="20"/>
              </w:rPr>
              <w:t>Tissue Request Form</w:t>
            </w:r>
          </w:p>
        </w:tc>
        <w:tc>
          <w:tcPr>
            <w:tcW w:w="1322" w:type="dxa"/>
          </w:tcPr>
          <w:p w:rsidR="00963EB6" w:rsidRPr="008E220C" w:rsidP="00615389" w14:paraId="5D731CE6" w14:textId="77777777">
            <w:pPr>
              <w:pStyle w:val="TableParagraph"/>
              <w:spacing w:before="120" w:after="120"/>
              <w:jc w:val="center"/>
              <w:rPr>
                <w:b/>
                <w:sz w:val="20"/>
                <w:szCs w:val="20"/>
              </w:rPr>
            </w:pPr>
          </w:p>
          <w:p w:rsidR="00963EB6" w:rsidRPr="008E220C" w:rsidP="00615389" w14:paraId="24288B08" w14:textId="77777777">
            <w:pPr>
              <w:pStyle w:val="TableParagraph"/>
              <w:spacing w:before="120" w:after="120"/>
              <w:ind w:hanging="84"/>
              <w:jc w:val="center"/>
              <w:rPr>
                <w:sz w:val="20"/>
                <w:szCs w:val="20"/>
              </w:rPr>
            </w:pPr>
            <w:r w:rsidRPr="008E220C">
              <w:rPr>
                <w:sz w:val="20"/>
                <w:szCs w:val="20"/>
              </w:rPr>
              <w:t>116 U.S.C. 1421f section 407(d)(1)</w:t>
            </w:r>
          </w:p>
        </w:tc>
        <w:tc>
          <w:tcPr>
            <w:tcW w:w="2157" w:type="dxa"/>
          </w:tcPr>
          <w:p w:rsidR="00963EB6" w:rsidRPr="008E220C" w:rsidP="00615389" w14:paraId="426A85D3" w14:textId="77777777">
            <w:pPr>
              <w:pStyle w:val="TableParagraph"/>
              <w:spacing w:before="120" w:after="120"/>
              <w:jc w:val="center"/>
              <w:rPr>
                <w:b/>
                <w:sz w:val="20"/>
                <w:szCs w:val="20"/>
              </w:rPr>
            </w:pPr>
          </w:p>
          <w:p w:rsidR="00963EB6" w:rsidRPr="008E220C" w:rsidP="00615389" w14:paraId="0B9CDA47" w14:textId="77777777">
            <w:pPr>
              <w:pStyle w:val="TableParagraph"/>
              <w:spacing w:before="120" w:after="120"/>
              <w:jc w:val="center"/>
              <w:rPr>
                <w:sz w:val="20"/>
                <w:szCs w:val="20"/>
              </w:rPr>
            </w:pPr>
            <w:r w:rsidRPr="008E220C">
              <w:rPr>
                <w:sz w:val="20"/>
                <w:szCs w:val="20"/>
              </w:rPr>
              <w:t>50 CFR 216.47</w:t>
            </w:r>
          </w:p>
        </w:tc>
        <w:tc>
          <w:tcPr>
            <w:tcW w:w="1363" w:type="dxa"/>
          </w:tcPr>
          <w:p w:rsidR="00963EB6" w:rsidRPr="008E220C" w:rsidP="00615389" w14:paraId="1B6E9B7B" w14:textId="77777777">
            <w:pPr>
              <w:pStyle w:val="TableParagraph"/>
              <w:spacing w:before="120" w:after="120"/>
              <w:jc w:val="center"/>
              <w:rPr>
                <w:b/>
                <w:sz w:val="20"/>
                <w:szCs w:val="20"/>
              </w:rPr>
            </w:pPr>
          </w:p>
          <w:p w:rsidR="00963EB6" w:rsidRPr="008E220C" w:rsidP="00615389" w14:paraId="7D4F6E4F" w14:textId="5A370DA0">
            <w:pPr>
              <w:pStyle w:val="TableParagraph"/>
              <w:spacing w:before="120" w:after="120"/>
              <w:jc w:val="center"/>
              <w:rPr>
                <w:sz w:val="20"/>
                <w:szCs w:val="20"/>
              </w:rPr>
            </w:pPr>
            <w:r>
              <w:rPr>
                <w:sz w:val="20"/>
                <w:szCs w:val="20"/>
              </w:rPr>
              <w:t>N/A</w:t>
            </w:r>
          </w:p>
        </w:tc>
        <w:tc>
          <w:tcPr>
            <w:tcW w:w="3000" w:type="dxa"/>
          </w:tcPr>
          <w:p w:rsidR="00963EB6" w:rsidRPr="008E220C" w:rsidP="00615389" w14:paraId="6B47C87A" w14:textId="77777777">
            <w:pPr>
              <w:pStyle w:val="TableParagraph"/>
              <w:spacing w:before="120" w:after="120"/>
              <w:jc w:val="center"/>
              <w:rPr>
                <w:b/>
                <w:sz w:val="20"/>
                <w:szCs w:val="20"/>
              </w:rPr>
            </w:pPr>
          </w:p>
          <w:p w:rsidR="00963EB6" w:rsidRPr="008E220C" w:rsidP="00963EB6" w14:paraId="3BE2F338" w14:textId="77777777">
            <w:pPr>
              <w:pStyle w:val="TableParagraph"/>
              <w:numPr>
                <w:ilvl w:val="0"/>
                <w:numId w:val="12"/>
              </w:numPr>
              <w:tabs>
                <w:tab w:val="left" w:pos="469"/>
                <w:tab w:val="left" w:pos="470"/>
              </w:tabs>
              <w:autoSpaceDE w:val="0"/>
              <w:autoSpaceDN w:val="0"/>
              <w:spacing w:before="120" w:after="120"/>
              <w:ind w:left="0" w:hanging="361"/>
              <w:jc w:val="center"/>
              <w:rPr>
                <w:sz w:val="20"/>
                <w:szCs w:val="20"/>
              </w:rPr>
            </w:pPr>
            <w:r w:rsidRPr="008E220C">
              <w:rPr>
                <w:sz w:val="20"/>
                <w:szCs w:val="20"/>
              </w:rPr>
              <w:t>Used by the public</w:t>
            </w:r>
            <w:r w:rsidRPr="008E220C">
              <w:rPr>
                <w:spacing w:val="-5"/>
                <w:sz w:val="20"/>
                <w:szCs w:val="20"/>
              </w:rPr>
              <w:t xml:space="preserve"> </w:t>
            </w:r>
            <w:r w:rsidRPr="008E220C">
              <w:rPr>
                <w:sz w:val="20"/>
                <w:szCs w:val="20"/>
              </w:rPr>
              <w:t xml:space="preserve">to request tissues from the NMMTB. Used by </w:t>
            </w:r>
            <w:r w:rsidRPr="008E220C">
              <w:rPr>
                <w:sz w:val="20"/>
                <w:szCs w:val="20"/>
              </w:rPr>
              <w:t>NMFS/NIST to track requests.</w:t>
            </w:r>
          </w:p>
        </w:tc>
      </w:tr>
      <w:tr w14:paraId="0F969F1D" w14:textId="77777777" w:rsidTr="00615389">
        <w:tblPrEx>
          <w:tblW w:w="10802" w:type="dxa"/>
          <w:tblInd w:w="-5" w:type="dxa"/>
          <w:tblLayout w:type="fixed"/>
          <w:tblCellMar>
            <w:left w:w="0" w:type="dxa"/>
            <w:right w:w="0" w:type="dxa"/>
          </w:tblCellMar>
          <w:tblLook w:val="01E0"/>
        </w:tblPrEx>
        <w:trPr>
          <w:trHeight w:val="700"/>
        </w:trPr>
        <w:tc>
          <w:tcPr>
            <w:tcW w:w="990" w:type="dxa"/>
          </w:tcPr>
          <w:p w:rsidR="00963EB6" w:rsidRPr="008E220C" w:rsidP="00615389" w14:paraId="7A7A1804" w14:textId="77777777">
            <w:pPr>
              <w:pStyle w:val="TableParagraph"/>
              <w:spacing w:before="120" w:after="120"/>
              <w:jc w:val="center"/>
              <w:rPr>
                <w:b/>
                <w:sz w:val="20"/>
                <w:szCs w:val="20"/>
              </w:rPr>
            </w:pPr>
          </w:p>
          <w:p w:rsidR="00963EB6" w:rsidRPr="008E220C" w:rsidP="00615389" w14:paraId="38F84F69" w14:textId="77777777">
            <w:pPr>
              <w:pStyle w:val="TableParagraph"/>
              <w:spacing w:before="120" w:after="120"/>
              <w:jc w:val="center"/>
              <w:rPr>
                <w:sz w:val="20"/>
                <w:szCs w:val="20"/>
              </w:rPr>
            </w:pPr>
            <w:r w:rsidRPr="008E220C">
              <w:rPr>
                <w:w w:val="99"/>
                <w:sz w:val="20"/>
                <w:szCs w:val="20"/>
              </w:rPr>
              <w:t>2</w:t>
            </w:r>
          </w:p>
        </w:tc>
        <w:tc>
          <w:tcPr>
            <w:tcW w:w="1970" w:type="dxa"/>
          </w:tcPr>
          <w:p w:rsidR="00963EB6" w:rsidRPr="008E220C" w:rsidP="00615389" w14:paraId="290B2FA9" w14:textId="77777777">
            <w:pPr>
              <w:pStyle w:val="TableParagraph"/>
              <w:spacing w:before="120" w:after="120"/>
              <w:jc w:val="center"/>
              <w:rPr>
                <w:b/>
                <w:sz w:val="20"/>
                <w:szCs w:val="20"/>
              </w:rPr>
            </w:pPr>
          </w:p>
          <w:p w:rsidR="00963EB6" w:rsidRPr="008E220C" w:rsidP="00615389" w14:paraId="2D3028EF" w14:textId="77777777">
            <w:pPr>
              <w:pStyle w:val="TableParagraph"/>
              <w:spacing w:before="120" w:after="120"/>
              <w:jc w:val="center"/>
              <w:rPr>
                <w:sz w:val="20"/>
                <w:szCs w:val="20"/>
              </w:rPr>
            </w:pPr>
            <w:r w:rsidRPr="008E220C">
              <w:rPr>
                <w:sz w:val="20"/>
                <w:szCs w:val="20"/>
              </w:rPr>
              <w:t>National Marine Mammal Tissue Bank Form</w:t>
            </w:r>
          </w:p>
        </w:tc>
        <w:tc>
          <w:tcPr>
            <w:tcW w:w="1322" w:type="dxa"/>
          </w:tcPr>
          <w:p w:rsidR="00963EB6" w:rsidRPr="008E220C" w:rsidP="00615389" w14:paraId="2B9F17B1" w14:textId="77777777">
            <w:pPr>
              <w:pStyle w:val="TableParagraph"/>
              <w:spacing w:before="120" w:after="120"/>
              <w:jc w:val="center"/>
              <w:rPr>
                <w:b/>
                <w:sz w:val="20"/>
                <w:szCs w:val="20"/>
              </w:rPr>
            </w:pPr>
          </w:p>
          <w:p w:rsidR="00963EB6" w:rsidRPr="008E220C" w:rsidP="00615389" w14:paraId="115CA3FD" w14:textId="77777777">
            <w:pPr>
              <w:pStyle w:val="TableParagraph"/>
              <w:spacing w:before="120" w:after="120"/>
              <w:ind w:hanging="84"/>
              <w:jc w:val="center"/>
              <w:rPr>
                <w:sz w:val="20"/>
                <w:szCs w:val="20"/>
              </w:rPr>
            </w:pPr>
            <w:r w:rsidRPr="008E220C">
              <w:rPr>
                <w:sz w:val="20"/>
                <w:szCs w:val="20"/>
              </w:rPr>
              <w:t>116 U.S.C. 1421f section 407(d)(1)</w:t>
            </w:r>
          </w:p>
        </w:tc>
        <w:tc>
          <w:tcPr>
            <w:tcW w:w="2157" w:type="dxa"/>
          </w:tcPr>
          <w:p w:rsidR="00963EB6" w:rsidRPr="008E220C" w:rsidP="00615389" w14:paraId="2A0BEDB7" w14:textId="77777777">
            <w:pPr>
              <w:pStyle w:val="TableParagraph"/>
              <w:spacing w:before="120" w:after="120"/>
              <w:jc w:val="center"/>
              <w:rPr>
                <w:b/>
                <w:sz w:val="20"/>
                <w:szCs w:val="20"/>
              </w:rPr>
            </w:pPr>
          </w:p>
          <w:p w:rsidR="00963EB6" w:rsidRPr="008E220C" w:rsidP="00615389" w14:paraId="26AB3FED" w14:textId="77777777">
            <w:pPr>
              <w:pStyle w:val="TableParagraph"/>
              <w:spacing w:before="120" w:after="120"/>
              <w:jc w:val="center"/>
              <w:rPr>
                <w:sz w:val="20"/>
                <w:szCs w:val="20"/>
              </w:rPr>
            </w:pPr>
            <w:r w:rsidRPr="008E220C">
              <w:rPr>
                <w:sz w:val="20"/>
                <w:szCs w:val="20"/>
              </w:rPr>
              <w:t>50 CFR 216.47</w:t>
            </w:r>
          </w:p>
        </w:tc>
        <w:tc>
          <w:tcPr>
            <w:tcW w:w="1363" w:type="dxa"/>
          </w:tcPr>
          <w:p w:rsidR="00963EB6" w:rsidRPr="008E220C" w:rsidP="00615389" w14:paraId="12C034A7" w14:textId="77777777">
            <w:pPr>
              <w:pStyle w:val="TableParagraph"/>
              <w:spacing w:before="120" w:after="120"/>
              <w:jc w:val="center"/>
              <w:rPr>
                <w:b/>
                <w:sz w:val="20"/>
                <w:szCs w:val="20"/>
              </w:rPr>
            </w:pPr>
          </w:p>
          <w:p w:rsidR="00963EB6" w:rsidRPr="008E220C" w:rsidP="00EC52C2" w14:paraId="72B09E11" w14:textId="1B0FF8E8">
            <w:pPr>
              <w:pStyle w:val="TableParagraph"/>
              <w:spacing w:before="120" w:after="120"/>
              <w:jc w:val="center"/>
              <w:rPr>
                <w:sz w:val="20"/>
                <w:szCs w:val="20"/>
              </w:rPr>
            </w:pPr>
            <w:r>
              <w:rPr>
                <w:sz w:val="20"/>
                <w:szCs w:val="20"/>
              </w:rPr>
              <w:t>N/A</w:t>
            </w:r>
          </w:p>
        </w:tc>
        <w:tc>
          <w:tcPr>
            <w:tcW w:w="3000" w:type="dxa"/>
          </w:tcPr>
          <w:p w:rsidR="00963EB6" w:rsidRPr="008E220C" w:rsidP="00615389" w14:paraId="7CACE33D" w14:textId="77777777">
            <w:pPr>
              <w:pStyle w:val="TableParagraph"/>
              <w:tabs>
                <w:tab w:val="left" w:pos="469"/>
                <w:tab w:val="left" w:pos="470"/>
              </w:tabs>
              <w:spacing w:before="120" w:after="120"/>
              <w:rPr>
                <w:sz w:val="20"/>
                <w:szCs w:val="20"/>
              </w:rPr>
            </w:pPr>
            <w:r w:rsidRPr="008E220C">
              <w:rPr>
                <w:sz w:val="20"/>
                <w:szCs w:val="20"/>
              </w:rPr>
              <w:t>Used by the public</w:t>
            </w:r>
            <w:r w:rsidRPr="008E220C">
              <w:rPr>
                <w:spacing w:val="-5"/>
                <w:sz w:val="20"/>
                <w:szCs w:val="20"/>
              </w:rPr>
              <w:t xml:space="preserve"> </w:t>
            </w:r>
            <w:r w:rsidRPr="008E220C">
              <w:rPr>
                <w:sz w:val="20"/>
                <w:szCs w:val="20"/>
              </w:rPr>
              <w:t>to submit samples to the NMMTB. Used by NMFS/NIST to track submissions.</w:t>
            </w:r>
          </w:p>
        </w:tc>
      </w:tr>
    </w:tbl>
    <w:p w:rsidR="00963EB6" w:rsidRPr="008E220C" w:rsidP="00963EB6" w14:paraId="2062CA11" w14:textId="77777777">
      <w:pPr>
        <w:pStyle w:val="ListParagraph"/>
        <w:tabs>
          <w:tab w:val="left" w:pos="360"/>
        </w:tabs>
        <w:spacing w:before="120" w:after="120"/>
        <w:ind w:left="0" w:firstLine="0"/>
        <w:rPr>
          <w:b/>
        </w:rPr>
      </w:pPr>
    </w:p>
    <w:p w:rsidR="0015580B" w:rsidRPr="008E220C" w14:paraId="4A540072" w14:textId="77777777">
      <w:pPr>
        <w:numPr>
          <w:ilvl w:val="0"/>
          <w:numId w:val="3"/>
        </w:numPr>
        <w:pBdr>
          <w:top w:val="nil"/>
          <w:left w:val="nil"/>
          <w:bottom w:val="nil"/>
          <w:right w:val="nil"/>
          <w:between w:val="nil"/>
        </w:pBdr>
        <w:tabs>
          <w:tab w:val="left" w:pos="360"/>
        </w:tabs>
        <w:spacing w:before="199"/>
        <w:ind w:left="0" w:firstLine="0"/>
        <w:rPr>
          <w:b/>
        </w:rPr>
      </w:pPr>
      <w:r w:rsidRPr="008E220C">
        <w:rPr>
          <w:b/>
        </w:rPr>
        <w:t xml:space="preserve">Describe whether, and to what </w:t>
      </w:r>
      <w:r w:rsidRPr="008E220C">
        <w:rPr>
          <w:b/>
        </w:rPr>
        <w:t>extent, the collection of information involves the use of automated, electronic, mechanical, or other technological collection techniques or other forms of information technology, e.g. permitting electronic submission of responses, and the basis for the de</w:t>
      </w:r>
      <w:r w:rsidRPr="008E220C">
        <w:rPr>
          <w:b/>
        </w:rPr>
        <w:t>cision for adopting this means of collection. Also, describe any consideration of using information technology to reduce burden.</w:t>
      </w:r>
    </w:p>
    <w:p w:rsidR="0015580B" w:rsidRPr="008E220C" w14:paraId="13A1F147" w14:textId="4DD8F181">
      <w:pPr>
        <w:spacing w:before="161"/>
      </w:pPr>
      <w:r w:rsidRPr="008E220C">
        <w:t>The specimen banking information sheets are available electronically (downloadable and fillable) through the MMHSRP website (ht</w:t>
      </w:r>
      <w:r w:rsidRPr="008E220C">
        <w:t xml:space="preserve">tp://www.nmfs.noaa.gov/pr/health/tissue/). Tissue bank request forms are available at http://www.nmfs.noaa.gov/pr/pdfs/health/tissue_request.pdf. Respondents do not need electronic access to fill out and submit the informational data sheets. They may also </w:t>
      </w:r>
      <w:r w:rsidRPr="008E220C">
        <w:t xml:space="preserve">be obtained by </w:t>
      </w:r>
      <w:r w:rsidRPr="008E220C">
        <w:t xml:space="preserve">calling the National Institute of Standards and Technology </w:t>
      </w:r>
      <w:r w:rsidR="00E01B84">
        <w:t xml:space="preserve">Biospecimen Science Group Leader at the </w:t>
      </w:r>
      <w:r w:rsidRPr="008E220C">
        <w:t>Hollings Marine Lab (</w:t>
      </w:r>
      <w:r w:rsidR="00E01B84">
        <w:t>240-328-9465</w:t>
      </w:r>
      <w:r w:rsidRPr="008E220C">
        <w:t>).</w:t>
      </w:r>
    </w:p>
    <w:p w:rsidR="00963EB6" w:rsidRPr="008E220C" w14:paraId="46B1FECB" w14:textId="77777777">
      <w:pPr>
        <w:spacing w:before="161"/>
        <w:rPr>
          <w:b/>
        </w:rPr>
      </w:pPr>
    </w:p>
    <w:p w:rsidR="0015580B" w:rsidRPr="008E220C" w14:paraId="35888EF5" w14:textId="77777777">
      <w:pPr>
        <w:numPr>
          <w:ilvl w:val="0"/>
          <w:numId w:val="3"/>
        </w:numPr>
        <w:pBdr>
          <w:top w:val="nil"/>
          <w:left w:val="nil"/>
          <w:bottom w:val="nil"/>
          <w:right w:val="nil"/>
          <w:between w:val="nil"/>
        </w:pBdr>
        <w:tabs>
          <w:tab w:val="left" w:pos="360"/>
        </w:tabs>
        <w:spacing w:before="80"/>
        <w:ind w:left="0" w:firstLine="0"/>
        <w:rPr>
          <w:b/>
        </w:rPr>
      </w:pPr>
      <w:r w:rsidRPr="008E220C">
        <w:rPr>
          <w:b/>
        </w:rPr>
        <w:t>Describe efforts to identify duplication. Show specifically why any similar information already available</w:t>
      </w:r>
      <w:r w:rsidRPr="008E220C">
        <w:rPr>
          <w:b/>
        </w:rPr>
        <w:t xml:space="preserve"> cannot be used or modified for use for the purposes described in Question 2</w:t>
      </w:r>
    </w:p>
    <w:p w:rsidR="0015580B" w:rsidRPr="008E220C" w14:paraId="52E12558" w14:textId="77777777">
      <w:pPr>
        <w:pBdr>
          <w:top w:val="nil"/>
          <w:left w:val="nil"/>
          <w:bottom w:val="nil"/>
          <w:right w:val="nil"/>
          <w:between w:val="nil"/>
        </w:pBdr>
        <w:spacing w:before="161"/>
      </w:pPr>
      <w:r w:rsidRPr="008E220C">
        <w:t>There is only one NIST Biorepository, the NIST Biorepository and only one NMMTB, so researchers and stranding network participants can only submit and/or request specimens to/from</w:t>
      </w:r>
      <w:r w:rsidRPr="008E220C">
        <w:t xml:space="preserve"> this bank</w:t>
      </w:r>
      <w:r w:rsidRPr="008E220C" w:rsidR="00C31D57">
        <w:t>.</w:t>
      </w:r>
    </w:p>
    <w:p w:rsidR="00963EB6" w:rsidRPr="008E220C" w14:paraId="226280BB" w14:textId="77777777">
      <w:pPr>
        <w:pBdr>
          <w:top w:val="nil"/>
          <w:left w:val="nil"/>
          <w:bottom w:val="nil"/>
          <w:right w:val="nil"/>
          <w:between w:val="nil"/>
        </w:pBdr>
        <w:spacing w:before="161"/>
      </w:pPr>
    </w:p>
    <w:p w:rsidR="00963EB6" w:rsidRPr="008E220C" w:rsidP="00963EB6" w14:paraId="37F13EA8" w14:textId="77777777">
      <w:pPr>
        <w:numPr>
          <w:ilvl w:val="0"/>
          <w:numId w:val="3"/>
        </w:numPr>
        <w:pBdr>
          <w:top w:val="nil"/>
          <w:left w:val="nil"/>
          <w:bottom w:val="nil"/>
          <w:right w:val="nil"/>
          <w:between w:val="nil"/>
        </w:pBdr>
        <w:tabs>
          <w:tab w:val="left" w:pos="360"/>
        </w:tabs>
        <w:spacing w:before="80"/>
        <w:ind w:left="0" w:firstLine="0"/>
        <w:rPr>
          <w:b/>
        </w:rPr>
      </w:pPr>
      <w:r w:rsidRPr="008E220C">
        <w:rPr>
          <w:b/>
        </w:rPr>
        <w:t>If the collection of information impacts small businesses or other small entities, describe any methods used to minimize burden.</w:t>
      </w:r>
    </w:p>
    <w:p w:rsidR="00963EB6" w:rsidRPr="008E220C" w:rsidP="00963EB6" w14:paraId="3CFD79C4" w14:textId="77777777">
      <w:pPr>
        <w:tabs>
          <w:tab w:val="left" w:pos="360"/>
        </w:tabs>
        <w:spacing w:before="120" w:after="120"/>
      </w:pPr>
      <w:r w:rsidRPr="008E220C">
        <w:t>This collection of information affects the scientific community. Part of the scientific community is composed of small businesses. However, the burden is not considered to be significant, since only about 5 applicants will be applying for a tissue specimen</w:t>
      </w:r>
      <w:r w:rsidRPr="008E220C">
        <w:t xml:space="preserve"> sample and the estimated time for each request is two hours; 20 respondents will submit approximately 5 samples annually, at 45 minutes each. </w:t>
      </w:r>
    </w:p>
    <w:p w:rsidR="00963EB6" w:rsidRPr="008E220C" w:rsidP="00963EB6" w14:paraId="633519A9" w14:textId="587C6737">
      <w:pPr>
        <w:tabs>
          <w:tab w:val="left" w:pos="360"/>
        </w:tabs>
        <w:spacing w:before="120" w:after="120"/>
      </w:pPr>
      <w:r w:rsidRPr="008E220C">
        <w:t>Prescott Grant recipients are paid for their sample collection work through the grant or subcontract. The Presco</w:t>
      </w:r>
      <w:r w:rsidRPr="008E220C">
        <w:t>tt Grant Program is conducted by the Secretary of Commerce to provide grants or cooperative agreements to eligible stranding network participants for 1) recovery and treatment (e.g., rehabilitation) of stranded marine mammals, 2) data collection from livin</w:t>
      </w:r>
      <w:r w:rsidRPr="008E220C">
        <w:t>g or dead stranded marine mammals, and 3) facility upgrades, operation costs and staffing needs directly related to the recovery and treatment of stranded marine mammals and collection of data from living or dead stranded marine mammals. Shipping costs for</w:t>
      </w:r>
      <w:r w:rsidRPr="008E220C">
        <w:t xml:space="preserve"> </w:t>
      </w:r>
      <w:r w:rsidR="00E01B84">
        <w:t xml:space="preserve">contributing </w:t>
      </w:r>
      <w:r w:rsidRPr="008E220C">
        <w:t>tissue samples</w:t>
      </w:r>
      <w:r w:rsidR="00E01B84">
        <w:t xml:space="preserve"> to the NMMTB</w:t>
      </w:r>
      <w:r w:rsidRPr="008E220C">
        <w:t xml:space="preserve"> are borne by a collaborating agency, the National Institute of Standards and Technology (NIST). Copying costs should be minimal.</w:t>
      </w:r>
    </w:p>
    <w:p w:rsidR="00963EB6" w:rsidRPr="008E220C" w14:paraId="072650D9" w14:textId="77777777">
      <w:pPr>
        <w:pBdr>
          <w:top w:val="nil"/>
          <w:left w:val="nil"/>
          <w:bottom w:val="nil"/>
          <w:right w:val="nil"/>
          <w:between w:val="nil"/>
        </w:pBdr>
        <w:spacing w:before="160"/>
      </w:pPr>
    </w:p>
    <w:p w:rsidR="00963EB6" w:rsidRPr="008E220C" w:rsidP="00963EB6" w14:paraId="63F85040" w14:textId="77777777">
      <w:pPr>
        <w:numPr>
          <w:ilvl w:val="0"/>
          <w:numId w:val="3"/>
        </w:numPr>
        <w:pBdr>
          <w:top w:val="nil"/>
          <w:left w:val="nil"/>
          <w:bottom w:val="nil"/>
          <w:right w:val="nil"/>
          <w:between w:val="nil"/>
        </w:pBdr>
        <w:tabs>
          <w:tab w:val="left" w:pos="360"/>
        </w:tabs>
        <w:spacing w:before="80"/>
        <w:ind w:left="0" w:firstLine="0"/>
        <w:rPr>
          <w:b/>
        </w:rPr>
      </w:pPr>
      <w:r w:rsidRPr="008E220C">
        <w:rPr>
          <w:b/>
        </w:rPr>
        <w:t>Describe the consequence to Federal program or policy activities if the collection i</w:t>
      </w:r>
      <w:r w:rsidRPr="008E220C">
        <w:rPr>
          <w:b/>
        </w:rPr>
        <w:t>s not conducted or is conducted less frequently, as well as any technical or legal obstacles to reducing burden.</w:t>
      </w:r>
    </w:p>
    <w:p w:rsidR="00963EB6" w:rsidRPr="008E220C" w:rsidP="00963EB6" w14:paraId="482B82AA" w14:textId="18B38BB3">
      <w:pPr>
        <w:pStyle w:val="ListParagraph"/>
        <w:tabs>
          <w:tab w:val="left" w:pos="360"/>
        </w:tabs>
        <w:spacing w:before="120" w:after="120"/>
        <w:ind w:left="0" w:firstLine="0"/>
      </w:pPr>
      <w:r w:rsidRPr="008E220C">
        <w:t>If this information collection is not conducted, the specimens will be of minimal use to the scientific community or to the statutory requireme</w:t>
      </w:r>
      <w:r w:rsidRPr="008E220C">
        <w:t xml:space="preserve">nts of the Marine Mammal Protection Act. The NIST Biorepository provides researchers </w:t>
      </w:r>
      <w:r w:rsidR="00FF3842">
        <w:t xml:space="preserve">with </w:t>
      </w:r>
      <w:r w:rsidRPr="008E220C">
        <w:t>specimens that have been collected in a systematic and well-documented manner for comparing results over time to identify whether environmental and health trends exist. Wi</w:t>
      </w:r>
      <w:r w:rsidRPr="008E220C">
        <w:t>thout background information on all specimens submitted to the Bank, scientists cannot conduct comparative and retrospective analyses or interpretation on archived marine mammal tissues.</w:t>
      </w:r>
    </w:p>
    <w:p w:rsidR="00963EB6" w:rsidRPr="008E220C" w14:paraId="48407E50" w14:textId="77777777">
      <w:pPr>
        <w:pBdr>
          <w:top w:val="nil"/>
          <w:left w:val="nil"/>
          <w:bottom w:val="nil"/>
          <w:right w:val="nil"/>
          <w:between w:val="nil"/>
        </w:pBdr>
        <w:spacing w:before="115"/>
      </w:pPr>
    </w:p>
    <w:p w:rsidR="0015580B" w:rsidRPr="008E220C" w14:paraId="6D3A92A2" w14:textId="77777777">
      <w:pPr>
        <w:numPr>
          <w:ilvl w:val="0"/>
          <w:numId w:val="3"/>
        </w:numPr>
        <w:pBdr>
          <w:top w:val="nil"/>
          <w:left w:val="nil"/>
          <w:bottom w:val="nil"/>
          <w:right w:val="nil"/>
          <w:between w:val="nil"/>
        </w:pBdr>
        <w:tabs>
          <w:tab w:val="left" w:pos="360"/>
        </w:tabs>
        <w:spacing w:before="80"/>
        <w:ind w:left="0" w:firstLine="0"/>
        <w:rPr>
          <w:b/>
        </w:rPr>
      </w:pPr>
      <w:r w:rsidRPr="008E220C">
        <w:rPr>
          <w:b/>
        </w:rPr>
        <w:t>Explain any special circumstances that would cause an information collection to be conducted in a manner inconsistent with OMB guidelines.</w:t>
      </w:r>
    </w:p>
    <w:p w:rsidR="00963EB6" w:rsidRPr="008E220C" w:rsidP="00963EB6" w14:paraId="7B184D4E" w14:textId="3B03237A">
      <w:pPr>
        <w:pStyle w:val="ListParagraph"/>
        <w:tabs>
          <w:tab w:val="left" w:pos="360"/>
        </w:tabs>
        <w:spacing w:before="120" w:after="120"/>
        <w:ind w:left="0" w:firstLine="0"/>
      </w:pPr>
      <w:r w:rsidRPr="008E220C">
        <w:t>The collection is consistent with OMB guidelines, and only requires the information to be reported when submitting or</w:t>
      </w:r>
      <w:r w:rsidRPr="008E220C">
        <w:t xml:space="preserve"> requesting samples. </w:t>
      </w:r>
    </w:p>
    <w:p w:rsidR="00963EB6" w:rsidRPr="008E220C" w14:paraId="6E5A9E4C" w14:textId="77777777">
      <w:pPr>
        <w:pBdr>
          <w:top w:val="nil"/>
          <w:left w:val="nil"/>
          <w:bottom w:val="nil"/>
          <w:right w:val="nil"/>
          <w:between w:val="nil"/>
        </w:pBdr>
        <w:spacing w:before="80"/>
      </w:pPr>
    </w:p>
    <w:p w:rsidR="0015580B" w:rsidRPr="008E220C" w14:paraId="2577B848" w14:textId="77777777">
      <w:pPr>
        <w:numPr>
          <w:ilvl w:val="0"/>
          <w:numId w:val="3"/>
        </w:numPr>
        <w:pBdr>
          <w:top w:val="nil"/>
          <w:left w:val="nil"/>
          <w:bottom w:val="nil"/>
          <w:right w:val="nil"/>
          <w:between w:val="nil"/>
        </w:pBdr>
        <w:tabs>
          <w:tab w:val="left" w:pos="360"/>
        </w:tabs>
        <w:spacing w:before="80"/>
        <w:ind w:left="0" w:firstLine="0"/>
        <w:rPr>
          <w:b/>
        </w:rPr>
      </w:pPr>
      <w:r w:rsidRPr="008E220C">
        <w:rPr>
          <w:b/>
        </w:rPr>
        <w:t xml:space="preserve">If applicable, provide a copy and identify the date and page number of publications in the Federal Register of the agency's notice, required by 5 CFR </w:t>
      </w:r>
      <w:r w:rsidRPr="008E220C">
        <w:rPr>
          <w:b/>
        </w:rPr>
        <w:t>1320.8 (d), soliciting comments on the information collection prior to submission to OMB. Summarize public comments received in response to that notice and describe actions taken by the agency in response to these comments. Specifically address comments re</w:t>
      </w:r>
      <w:r w:rsidRPr="008E220C">
        <w:rPr>
          <w:b/>
        </w:rPr>
        <w:t>ceived on cost and hour burden.</w:t>
      </w:r>
    </w:p>
    <w:p w:rsidR="00FF3842" w14:paraId="5488906C" w14:textId="77777777">
      <w:pPr>
        <w:pBdr>
          <w:top w:val="nil"/>
          <w:left w:val="nil"/>
          <w:bottom w:val="nil"/>
          <w:right w:val="nil"/>
          <w:between w:val="nil"/>
        </w:pBdr>
        <w:spacing w:before="159"/>
      </w:pPr>
      <w:r w:rsidRPr="008E220C">
        <w:t>O</w:t>
      </w:r>
      <w:r w:rsidR="002E6269">
        <w:t>n January 30</w:t>
      </w:r>
      <w:r w:rsidRPr="008E220C">
        <w:t>, 202</w:t>
      </w:r>
      <w:r w:rsidR="002E6269">
        <w:t>4</w:t>
      </w:r>
      <w:r w:rsidRPr="008E220C">
        <w:t xml:space="preserve">, a notice of information collection, request for comment was published in the Federal Register </w:t>
      </w:r>
      <w:hyperlink r:id="rId6" w:history="1">
        <w:r w:rsidRPr="00A915A1">
          <w:rPr>
            <w:rStyle w:val="Hyperlink"/>
          </w:rPr>
          <w:t>(</w:t>
        </w:r>
        <w:r w:rsidRPr="00A915A1" w:rsidR="00A915A1">
          <w:rPr>
            <w:rStyle w:val="Hyperlink"/>
          </w:rPr>
          <w:t>89</w:t>
        </w:r>
        <w:r w:rsidRPr="00A915A1">
          <w:rPr>
            <w:rStyle w:val="Hyperlink"/>
          </w:rPr>
          <w:t xml:space="preserve"> FR </w:t>
        </w:r>
        <w:r w:rsidRPr="00A915A1" w:rsidR="00A915A1">
          <w:rPr>
            <w:rStyle w:val="Hyperlink"/>
          </w:rPr>
          <w:t>5863</w:t>
        </w:r>
        <w:r w:rsidRPr="00A915A1">
          <w:rPr>
            <w:rStyle w:val="Hyperlink"/>
          </w:rPr>
          <w:t>)</w:t>
        </w:r>
      </w:hyperlink>
      <w:r w:rsidRPr="008E220C">
        <w:t xml:space="preserve"> to solicit public comments on this data collection. No comments were received.</w:t>
      </w:r>
      <w:r w:rsidR="00A915A1">
        <w:t xml:space="preserve"> </w:t>
      </w:r>
    </w:p>
    <w:p w:rsidR="00963EB6" w:rsidRPr="008E220C" w14:paraId="7CE56091" w14:textId="436938DC">
      <w:pPr>
        <w:pBdr>
          <w:top w:val="nil"/>
          <w:left w:val="nil"/>
          <w:bottom w:val="nil"/>
          <w:right w:val="nil"/>
          <w:between w:val="nil"/>
        </w:pBdr>
        <w:spacing w:before="159"/>
      </w:pPr>
      <w:r w:rsidRPr="00A915A1">
        <w:t xml:space="preserve">In addition to the Federal Register notice, NMFS contacted </w:t>
      </w:r>
      <w:r w:rsidR="00FF3842">
        <w:t xml:space="preserve">five </w:t>
      </w:r>
      <w:r w:rsidRPr="00A915A1">
        <w:t>stakeholders outside the agency to obtain their views on the availability of data, frequency of collection, the clarity of instructions and recordkeeping, disclosure, or reporting format, and on the data elements to be recorded, disclosed, or reported.</w:t>
      </w:r>
      <w:r w:rsidR="00FF3842">
        <w:t xml:space="preserve"> No comments were received.</w:t>
      </w:r>
    </w:p>
    <w:p w:rsidR="00963EB6" w:rsidRPr="008E220C" w14:paraId="06B6A6A5" w14:textId="77777777">
      <w:pPr>
        <w:pBdr>
          <w:top w:val="nil"/>
          <w:left w:val="nil"/>
          <w:bottom w:val="nil"/>
          <w:right w:val="nil"/>
          <w:between w:val="nil"/>
        </w:pBdr>
        <w:spacing w:before="159"/>
      </w:pPr>
    </w:p>
    <w:p w:rsidR="00963EB6" w:rsidRPr="008E220C" w:rsidP="00963EB6" w14:paraId="2823C71C" w14:textId="77777777">
      <w:pPr>
        <w:numPr>
          <w:ilvl w:val="0"/>
          <w:numId w:val="3"/>
        </w:numPr>
        <w:pBdr>
          <w:top w:val="nil"/>
          <w:left w:val="nil"/>
          <w:bottom w:val="nil"/>
          <w:right w:val="nil"/>
          <w:between w:val="nil"/>
        </w:pBdr>
        <w:tabs>
          <w:tab w:val="left" w:pos="360"/>
        </w:tabs>
        <w:spacing w:before="80"/>
        <w:ind w:left="0" w:firstLine="0"/>
        <w:rPr>
          <w:b/>
        </w:rPr>
      </w:pPr>
      <w:r w:rsidRPr="008E220C">
        <w:rPr>
          <w:b/>
        </w:rPr>
        <w:t xml:space="preserve">Explain any decision to provide any payment or gift to respondents, other than </w:t>
      </w:r>
      <w:r w:rsidRPr="008E220C">
        <w:rPr>
          <w:b/>
        </w:rPr>
        <w:t>remuneration of contractors or grantees.</w:t>
      </w:r>
    </w:p>
    <w:p w:rsidR="00963EB6" w:rsidRPr="008E220C" w:rsidP="00963EB6" w14:paraId="7F9A355D" w14:textId="77777777">
      <w:pPr>
        <w:tabs>
          <w:tab w:val="left" w:pos="360"/>
        </w:tabs>
        <w:spacing w:before="120" w:after="120"/>
      </w:pPr>
      <w:r w:rsidRPr="008E220C">
        <w:t>There is no provision to provide any payment or gift to participants in this request for tissue specimen samples.</w:t>
      </w:r>
    </w:p>
    <w:p w:rsidR="00963EB6" w:rsidRPr="008E220C" w14:paraId="59FE39D4" w14:textId="77777777">
      <w:pPr>
        <w:pBdr>
          <w:top w:val="nil"/>
          <w:left w:val="nil"/>
          <w:bottom w:val="nil"/>
          <w:right w:val="nil"/>
          <w:between w:val="nil"/>
        </w:pBdr>
        <w:spacing w:before="158"/>
      </w:pPr>
    </w:p>
    <w:p w:rsidR="00963EB6" w:rsidRPr="008E220C" w:rsidP="00963EB6" w14:paraId="08FD5C66" w14:textId="77777777">
      <w:pPr>
        <w:numPr>
          <w:ilvl w:val="0"/>
          <w:numId w:val="3"/>
        </w:numPr>
        <w:pBdr>
          <w:top w:val="nil"/>
          <w:left w:val="nil"/>
          <w:bottom w:val="nil"/>
          <w:right w:val="nil"/>
          <w:between w:val="nil"/>
        </w:pBdr>
        <w:tabs>
          <w:tab w:val="left" w:pos="360"/>
        </w:tabs>
        <w:spacing w:before="80"/>
        <w:ind w:left="0" w:firstLine="0"/>
        <w:rPr>
          <w:b/>
        </w:rPr>
      </w:pPr>
      <w:r w:rsidRPr="008E220C">
        <w:rPr>
          <w:b/>
        </w:rPr>
        <w:t>Describe any assurance of confidentiality provided to respondents and the basis for the assurance in</w:t>
      </w:r>
      <w:r w:rsidRPr="008E220C">
        <w:rPr>
          <w:b/>
        </w:rPr>
        <w:t xml:space="preserve"> statute, regulation, or agency policy. If the collection requires a systems of records notice (SORN) or privacy impact assessment (PIA), those should be cited and described here.</w:t>
      </w:r>
    </w:p>
    <w:p w:rsidR="00963EB6" w:rsidRPr="008E220C" w:rsidP="00963EB6" w14:paraId="7ACE7B7C" w14:textId="77777777">
      <w:pPr>
        <w:pStyle w:val="BodyText"/>
        <w:spacing w:before="120" w:after="120"/>
        <w:ind w:left="0"/>
      </w:pPr>
      <w:r w:rsidRPr="008E220C">
        <w:t>No confidentiality is promised or provided.</w:t>
      </w:r>
    </w:p>
    <w:p w:rsidR="00963EB6" w:rsidRPr="008E220C" w14:paraId="5E643A5B" w14:textId="77777777">
      <w:pPr>
        <w:pBdr>
          <w:top w:val="nil"/>
          <w:left w:val="nil"/>
          <w:bottom w:val="nil"/>
          <w:right w:val="nil"/>
          <w:between w:val="nil"/>
        </w:pBdr>
        <w:spacing w:before="158"/>
      </w:pPr>
    </w:p>
    <w:p w:rsidR="0015580B" w14:paraId="461FAE11" w14:textId="68BE0080">
      <w:pPr>
        <w:numPr>
          <w:ilvl w:val="0"/>
          <w:numId w:val="3"/>
        </w:numPr>
        <w:pBdr>
          <w:top w:val="nil"/>
          <w:left w:val="nil"/>
          <w:bottom w:val="nil"/>
          <w:right w:val="nil"/>
          <w:between w:val="nil"/>
        </w:pBdr>
        <w:tabs>
          <w:tab w:val="left" w:pos="360"/>
        </w:tabs>
        <w:spacing w:before="80"/>
        <w:ind w:left="0" w:firstLine="0"/>
        <w:rPr>
          <w:b/>
        </w:rPr>
      </w:pPr>
      <w:r w:rsidRPr="008E220C">
        <w:rPr>
          <w:b/>
        </w:rPr>
        <w:t>Provide additional justification for any questions of a sensitive nature, such as sexual behavior or attitudes, religious beliefs, and other matters that are commonly considered private. This justification should include the reasons why the agency consider</w:t>
      </w:r>
      <w:r w:rsidRPr="008E220C">
        <w:rPr>
          <w:b/>
        </w:rPr>
        <w:t xml:space="preserve">s the questions necessary, the </w:t>
      </w:r>
      <w:r w:rsidRPr="00B02257">
        <w:rPr>
          <w:b/>
        </w:rPr>
        <w:t>specific uses to be made of the information, the explanation to be given to persons from whom the information is requested, and any steps to be taken to obtain their consent.</w:t>
      </w:r>
    </w:p>
    <w:p w:rsidR="00CA0617" w:rsidRPr="00B02257" w:rsidP="00CA0617" w14:paraId="5C2616A6" w14:textId="77777777">
      <w:pPr>
        <w:pBdr>
          <w:top w:val="nil"/>
          <w:left w:val="nil"/>
          <w:bottom w:val="nil"/>
          <w:right w:val="nil"/>
          <w:between w:val="nil"/>
        </w:pBdr>
        <w:tabs>
          <w:tab w:val="left" w:pos="360"/>
        </w:tabs>
        <w:spacing w:before="80"/>
        <w:rPr>
          <w:b/>
        </w:rPr>
      </w:pPr>
    </w:p>
    <w:p w:rsidR="00963EB6" w14:paraId="7F219FF9" w14:textId="7568768F">
      <w:pPr>
        <w:pBdr>
          <w:top w:val="nil"/>
          <w:left w:val="nil"/>
          <w:bottom w:val="nil"/>
          <w:right w:val="nil"/>
          <w:between w:val="nil"/>
        </w:pBdr>
        <w:spacing w:before="80" w:line="259" w:lineRule="auto"/>
        <w:rPr>
          <w:bCs/>
        </w:rPr>
      </w:pPr>
      <w:r w:rsidRPr="00CA0617">
        <w:rPr>
          <w:bCs/>
        </w:rPr>
        <w:t xml:space="preserve">This information collection does not involve </w:t>
      </w:r>
      <w:r w:rsidRPr="00CA0617">
        <w:rPr>
          <w:bCs/>
        </w:rPr>
        <w:t>information of a sensitive nature.</w:t>
      </w:r>
    </w:p>
    <w:p w:rsidR="00CA0617" w:rsidRPr="00B02257" w14:paraId="43993CCB" w14:textId="77777777">
      <w:pPr>
        <w:pBdr>
          <w:top w:val="nil"/>
          <w:left w:val="nil"/>
          <w:bottom w:val="nil"/>
          <w:right w:val="nil"/>
          <w:between w:val="nil"/>
        </w:pBdr>
        <w:spacing w:before="80" w:line="259" w:lineRule="auto"/>
      </w:pPr>
    </w:p>
    <w:p w:rsidR="001F1F89" w:rsidRPr="00B02257" w:rsidP="001F1F89" w14:paraId="48030A71" w14:textId="77777777">
      <w:pPr>
        <w:numPr>
          <w:ilvl w:val="0"/>
          <w:numId w:val="3"/>
        </w:numPr>
        <w:pBdr>
          <w:top w:val="nil"/>
          <w:left w:val="nil"/>
          <w:bottom w:val="nil"/>
          <w:right w:val="nil"/>
          <w:between w:val="nil"/>
        </w:pBdr>
        <w:tabs>
          <w:tab w:val="left" w:pos="360"/>
        </w:tabs>
        <w:spacing w:before="80"/>
        <w:ind w:left="0" w:firstLine="0"/>
        <w:rPr>
          <w:b/>
        </w:rPr>
      </w:pPr>
      <w:r w:rsidRPr="00B02257">
        <w:rPr>
          <w:b/>
        </w:rPr>
        <w:t>Provide estimates of the hour burden of the collection of information.</w:t>
      </w:r>
    </w:p>
    <w:p w:rsidR="001F1F89" w:rsidRPr="00B02257" w:rsidP="001F1F89" w14:paraId="37B47BF9" w14:textId="6EE07F9F">
      <w:pPr>
        <w:spacing w:before="120" w:after="120"/>
      </w:pPr>
      <w:r w:rsidRPr="00B02257">
        <w:t xml:space="preserve">NMFS estimates that approximately 5 applicants will be requesting tissue </w:t>
      </w:r>
      <w:r w:rsidRPr="00B02257" w:rsidR="000E2281">
        <w:t>specimens and</w:t>
      </w:r>
      <w:r w:rsidRPr="00B02257">
        <w:t xml:space="preserve"> reporting on their projects (two responses per respondent). The estimated time required </w:t>
      </w:r>
      <w:r w:rsidRPr="00B02257" w:rsidR="00AE562F">
        <w:t>to fill out the application is 1</w:t>
      </w:r>
      <w:r w:rsidRPr="00B02257">
        <w:t xml:space="preserve"> hour.  The estimated time to report research findings is 2 hours. </w:t>
      </w:r>
    </w:p>
    <w:p w:rsidR="001F1F89" w:rsidRPr="00B02257" w:rsidP="001F1F89" w14:paraId="30391CF6" w14:textId="6C6879C1">
      <w:pPr>
        <w:spacing w:before="120" w:after="120"/>
      </w:pPr>
      <w:r w:rsidRPr="00B02257">
        <w:t>5 applicants x 2 response x (1+2) hours = 10 responses a</w:t>
      </w:r>
      <w:r w:rsidRPr="00B02257" w:rsidR="006C5BBF">
        <w:t>nd 30</w:t>
      </w:r>
      <w:r w:rsidRPr="00B02257">
        <w:t xml:space="preserve"> hours</w:t>
      </w:r>
      <w:r w:rsidRPr="00B02257">
        <w:t>. The applicants will all be marine mammal researchers (Zoologists and Wildlife Biologists). The BLS’s Occupational Outlook Handbook lists the average hourly wage of Zoologists and Wildlife Biologists as $3</w:t>
      </w:r>
      <w:r w:rsidRPr="00B02257" w:rsidR="00AE562F">
        <w:t>3.94</w:t>
      </w:r>
      <w:r w:rsidRPr="00B02257">
        <w:t xml:space="preserve">. </w:t>
      </w:r>
    </w:p>
    <w:p w:rsidR="001F1F89" w:rsidRPr="00B02257" w:rsidP="001F1F89" w14:paraId="1A18E049" w14:textId="77777777">
      <w:pPr>
        <w:spacing w:before="120" w:after="120"/>
      </w:pPr>
      <w:r w:rsidRPr="00B02257">
        <w:t>Burden hours for submitting specimen sample</w:t>
      </w:r>
      <w:r w:rsidRPr="00B02257">
        <w:t xml:space="preserve">s:  NMFS estimates that the total number of respondents </w:t>
      </w:r>
      <w:r w:rsidRPr="00B02257" w:rsidR="00AE562F">
        <w:t>is 20 people, with an average of 5</w:t>
      </w:r>
      <w:r w:rsidRPr="00B02257">
        <w:t xml:space="preserve"> times per year.  The annual average of submissions is 100. The estimated time to fill out the informational data sheet is 45 minutes.  Submissions are split among</w:t>
      </w:r>
      <w:r w:rsidRPr="00B02257" w:rsidR="00AE562F">
        <w:t>st researchers (approximately 15</w:t>
      </w:r>
      <w:r w:rsidRPr="00B02257">
        <w:t xml:space="preserve"> responses) and subsistence harvest hunters (approximately 5 responses). The BLS’s Occupational Outlook Handbook lists the average hourly wage of Zoologists and Wildlife Biologists as $</w:t>
      </w:r>
      <w:r w:rsidRPr="00B02257" w:rsidR="00AE562F">
        <w:t>33.94</w:t>
      </w:r>
      <w:r w:rsidRPr="00B02257">
        <w:t xml:space="preserve">. By definition, subsistence hunters </w:t>
      </w:r>
      <w:r w:rsidRPr="00B02257">
        <w:t>are not paid for hunting.</w:t>
      </w:r>
    </w:p>
    <w:p w:rsidR="001F1F89" w:rsidRPr="00B02257" w:rsidP="001F1F89" w14:paraId="47611EF8" w14:textId="77777777">
      <w:pPr>
        <w:spacing w:before="120" w:after="120"/>
      </w:pPr>
    </w:p>
    <w:p w:rsidR="001F1F89" w:rsidRPr="00B02257" w:rsidP="001F1F89" w14:paraId="73EDF0C0" w14:textId="49986AF2">
      <w:pPr>
        <w:spacing w:before="120" w:after="120"/>
      </w:pPr>
      <w:r w:rsidRPr="00B02257">
        <w:t xml:space="preserve">Total for both information collections is </w:t>
      </w:r>
      <w:r w:rsidRPr="00B02257" w:rsidR="00E0354D">
        <w:t>110</w:t>
      </w:r>
      <w:r w:rsidRPr="00B02257">
        <w:t xml:space="preserve"> response, </w:t>
      </w:r>
      <w:r w:rsidRPr="00B02257" w:rsidR="00E0354D">
        <w:t>105</w:t>
      </w:r>
      <w:r w:rsidRPr="00B02257">
        <w:t xml:space="preserve"> hours, and $</w:t>
      </w:r>
      <w:r w:rsidRPr="00B02257" w:rsidR="00E0354D">
        <w:t>2,927.33</w:t>
      </w:r>
      <w:r w:rsidRPr="00B02257">
        <w:t>.</w:t>
      </w:r>
    </w:p>
    <w:p w:rsidR="001F1F89" w:rsidP="001F1F89" w14:paraId="0A39DBBB" w14:textId="77777777">
      <w:pPr>
        <w:spacing w:before="120" w:after="120"/>
      </w:pPr>
    </w:p>
    <w:tbl>
      <w:tblPr>
        <w:tblW w:w="11011" w:type="dxa"/>
        <w:tblInd w:w="-25" w:type="dxa"/>
        <w:tblLook w:val="04A0"/>
      </w:tblPr>
      <w:tblGrid>
        <w:gridCol w:w="1970"/>
        <w:gridCol w:w="1464"/>
        <w:gridCol w:w="1441"/>
        <w:gridCol w:w="1106"/>
        <w:gridCol w:w="917"/>
        <w:gridCol w:w="853"/>
        <w:gridCol w:w="946"/>
        <w:gridCol w:w="1066"/>
        <w:gridCol w:w="1248"/>
      </w:tblGrid>
      <w:tr w14:paraId="01B12E02" w14:textId="77777777" w:rsidTr="00CA0617">
        <w:tblPrEx>
          <w:tblW w:w="11011" w:type="dxa"/>
          <w:tblInd w:w="-25" w:type="dxa"/>
          <w:tblLook w:val="04A0"/>
        </w:tblPrEx>
        <w:trPr>
          <w:trHeight w:val="1412"/>
        </w:trPr>
        <w:tc>
          <w:tcPr>
            <w:tcW w:w="1970"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1F1F89" w:rsidRPr="00D64DF9" w:rsidP="00615389" w14:paraId="68AF50A6" w14:textId="77777777">
            <w:pPr>
              <w:widowControl/>
              <w:spacing w:before="120" w:after="120"/>
              <w:jc w:val="center"/>
              <w:rPr>
                <w:rFonts w:ascii="Calibri" w:hAnsi="Calibri" w:cs="Calibri"/>
                <w:b/>
                <w:bCs/>
                <w:color w:val="000000"/>
                <w:sz w:val="16"/>
                <w:szCs w:val="16"/>
              </w:rPr>
            </w:pPr>
            <w:r w:rsidRPr="00D64DF9">
              <w:rPr>
                <w:rFonts w:ascii="Calibri" w:hAnsi="Calibri" w:cs="Calibri"/>
                <w:b/>
                <w:bCs/>
                <w:color w:val="000000"/>
                <w:sz w:val="16"/>
                <w:szCs w:val="16"/>
              </w:rPr>
              <w:t>Information Collection</w:t>
            </w:r>
          </w:p>
        </w:tc>
        <w:tc>
          <w:tcPr>
            <w:tcW w:w="1464" w:type="dxa"/>
            <w:tcBorders>
              <w:top w:val="single" w:sz="8" w:space="0" w:color="auto"/>
              <w:left w:val="nil"/>
              <w:bottom w:val="single" w:sz="8" w:space="0" w:color="auto"/>
              <w:right w:val="single" w:sz="8" w:space="0" w:color="000000"/>
            </w:tcBorders>
            <w:shd w:val="clear" w:color="000000" w:fill="BDD7EE"/>
            <w:vAlign w:val="center"/>
            <w:hideMark/>
          </w:tcPr>
          <w:p w:rsidR="001F1F89" w:rsidRPr="00D64DF9" w:rsidP="00615389" w14:paraId="28B5E798" w14:textId="77777777">
            <w:pPr>
              <w:widowControl/>
              <w:spacing w:before="120" w:after="120"/>
              <w:jc w:val="center"/>
              <w:rPr>
                <w:rFonts w:ascii="Calibri" w:hAnsi="Calibri" w:cs="Calibri"/>
                <w:b/>
                <w:bCs/>
                <w:color w:val="000000"/>
                <w:sz w:val="16"/>
                <w:szCs w:val="16"/>
              </w:rPr>
            </w:pPr>
            <w:r w:rsidRPr="00D64DF9">
              <w:rPr>
                <w:rFonts w:ascii="Calibri" w:hAnsi="Calibri" w:cs="Calibri"/>
                <w:b/>
                <w:bCs/>
                <w:color w:val="000000"/>
                <w:sz w:val="16"/>
                <w:szCs w:val="16"/>
              </w:rPr>
              <w:t>Type of Respondent (e.g., Occupational Title)</w:t>
            </w:r>
          </w:p>
        </w:tc>
        <w:tc>
          <w:tcPr>
            <w:tcW w:w="1441" w:type="dxa"/>
            <w:tcBorders>
              <w:top w:val="single" w:sz="8" w:space="0" w:color="auto"/>
              <w:left w:val="nil"/>
              <w:bottom w:val="single" w:sz="8" w:space="0" w:color="auto"/>
              <w:right w:val="single" w:sz="8" w:space="0" w:color="000000"/>
            </w:tcBorders>
            <w:shd w:val="clear" w:color="000000" w:fill="BDD7EE"/>
            <w:vAlign w:val="center"/>
            <w:hideMark/>
          </w:tcPr>
          <w:p w:rsidR="001F1F89" w:rsidRPr="00D64DF9" w:rsidP="00615389" w14:paraId="65826C49" w14:textId="77777777">
            <w:pPr>
              <w:widowControl/>
              <w:spacing w:before="120" w:after="120"/>
              <w:jc w:val="center"/>
              <w:rPr>
                <w:rFonts w:ascii="Calibri" w:hAnsi="Calibri" w:cs="Calibri"/>
                <w:b/>
                <w:bCs/>
                <w:color w:val="000000"/>
                <w:sz w:val="16"/>
                <w:szCs w:val="16"/>
              </w:rPr>
            </w:pPr>
            <w:r w:rsidRPr="00D64DF9">
              <w:rPr>
                <w:rFonts w:ascii="Calibri" w:hAnsi="Calibri" w:cs="Calibri"/>
                <w:b/>
                <w:bCs/>
                <w:color w:val="000000"/>
                <w:sz w:val="16"/>
                <w:szCs w:val="16"/>
              </w:rPr>
              <w:t># of Respondents/year</w:t>
            </w:r>
            <w:r w:rsidRPr="00D64DF9">
              <w:rPr>
                <w:rFonts w:ascii="Calibri" w:hAnsi="Calibri" w:cs="Calibri"/>
                <w:b/>
                <w:bCs/>
                <w:color w:val="000000"/>
                <w:sz w:val="16"/>
                <w:szCs w:val="16"/>
              </w:rPr>
              <w:br/>
              <w:t>(a)</w:t>
            </w:r>
          </w:p>
        </w:tc>
        <w:tc>
          <w:tcPr>
            <w:tcW w:w="1106" w:type="dxa"/>
            <w:tcBorders>
              <w:top w:val="single" w:sz="8" w:space="0" w:color="auto"/>
              <w:left w:val="nil"/>
              <w:bottom w:val="single" w:sz="8" w:space="0" w:color="auto"/>
              <w:right w:val="single" w:sz="8" w:space="0" w:color="auto"/>
            </w:tcBorders>
            <w:shd w:val="clear" w:color="000000" w:fill="BDD7EE"/>
            <w:vAlign w:val="center"/>
            <w:hideMark/>
          </w:tcPr>
          <w:p w:rsidR="001F1F89" w:rsidRPr="00D64DF9" w:rsidP="00615389" w14:paraId="578123F4" w14:textId="77777777">
            <w:pPr>
              <w:widowControl/>
              <w:spacing w:before="120" w:after="120"/>
              <w:jc w:val="center"/>
              <w:rPr>
                <w:rFonts w:ascii="Calibri" w:hAnsi="Calibri" w:cs="Calibri"/>
                <w:b/>
                <w:bCs/>
                <w:color w:val="000000"/>
                <w:sz w:val="16"/>
                <w:szCs w:val="16"/>
              </w:rPr>
            </w:pPr>
            <w:r w:rsidRPr="00D64DF9">
              <w:rPr>
                <w:rFonts w:ascii="Calibri" w:hAnsi="Calibri" w:cs="Calibri"/>
                <w:b/>
                <w:bCs/>
                <w:color w:val="000000"/>
                <w:sz w:val="16"/>
                <w:szCs w:val="16"/>
              </w:rPr>
              <w:t>Annual # of Responses / Respondent</w:t>
            </w:r>
            <w:r w:rsidRPr="00D64DF9">
              <w:rPr>
                <w:rFonts w:ascii="Calibri" w:hAnsi="Calibri" w:cs="Calibri"/>
                <w:b/>
                <w:bCs/>
                <w:color w:val="000000"/>
                <w:sz w:val="16"/>
                <w:szCs w:val="16"/>
              </w:rPr>
              <w:br/>
              <w:t>(b)</w:t>
            </w:r>
          </w:p>
        </w:tc>
        <w:tc>
          <w:tcPr>
            <w:tcW w:w="917" w:type="dxa"/>
            <w:tcBorders>
              <w:top w:val="single" w:sz="8" w:space="0" w:color="auto"/>
              <w:left w:val="nil"/>
              <w:bottom w:val="single" w:sz="8" w:space="0" w:color="auto"/>
              <w:right w:val="single" w:sz="8" w:space="0" w:color="auto"/>
            </w:tcBorders>
            <w:shd w:val="clear" w:color="000000" w:fill="BDD7EE"/>
            <w:vAlign w:val="center"/>
            <w:hideMark/>
          </w:tcPr>
          <w:p w:rsidR="001F1F89" w:rsidRPr="00D64DF9" w:rsidP="00615389" w14:paraId="104D3603" w14:textId="77777777">
            <w:pPr>
              <w:widowControl/>
              <w:spacing w:before="120" w:after="120"/>
              <w:jc w:val="center"/>
              <w:rPr>
                <w:rFonts w:ascii="Calibri" w:hAnsi="Calibri" w:cs="Calibri"/>
                <w:b/>
                <w:bCs/>
                <w:color w:val="000000"/>
                <w:sz w:val="16"/>
                <w:szCs w:val="16"/>
              </w:rPr>
            </w:pPr>
            <w:r w:rsidRPr="00D64DF9">
              <w:rPr>
                <w:rFonts w:ascii="Calibri" w:hAnsi="Calibri" w:cs="Calibri"/>
                <w:b/>
                <w:bCs/>
                <w:color w:val="000000"/>
                <w:sz w:val="16"/>
                <w:szCs w:val="16"/>
              </w:rPr>
              <w:t xml:space="preserve"> Total # of </w:t>
            </w:r>
            <w:r w:rsidRPr="00D64DF9">
              <w:rPr>
                <w:rFonts w:ascii="Calibri" w:hAnsi="Calibri" w:cs="Calibri"/>
                <w:b/>
                <w:bCs/>
                <w:color w:val="000000"/>
                <w:sz w:val="16"/>
                <w:szCs w:val="16"/>
              </w:rPr>
              <w:t>Annual Responses</w:t>
            </w:r>
            <w:r w:rsidRPr="00D64DF9">
              <w:rPr>
                <w:rFonts w:ascii="Calibri" w:hAnsi="Calibri" w:cs="Calibri"/>
                <w:b/>
                <w:bCs/>
                <w:color w:val="000000"/>
                <w:sz w:val="16"/>
                <w:szCs w:val="16"/>
              </w:rPr>
              <w:br/>
              <w:t>(c) = (a) x (b)</w:t>
            </w:r>
          </w:p>
        </w:tc>
        <w:tc>
          <w:tcPr>
            <w:tcW w:w="853" w:type="dxa"/>
            <w:tcBorders>
              <w:top w:val="single" w:sz="8" w:space="0" w:color="auto"/>
              <w:left w:val="nil"/>
              <w:bottom w:val="single" w:sz="8" w:space="0" w:color="auto"/>
              <w:right w:val="single" w:sz="8" w:space="0" w:color="auto"/>
            </w:tcBorders>
            <w:shd w:val="clear" w:color="000000" w:fill="BDD7EE"/>
            <w:vAlign w:val="center"/>
            <w:hideMark/>
          </w:tcPr>
          <w:p w:rsidR="001F1F89" w:rsidRPr="00D64DF9" w:rsidP="00615389" w14:paraId="7D1DD9EB" w14:textId="77777777">
            <w:pPr>
              <w:widowControl/>
              <w:spacing w:before="120" w:after="120"/>
              <w:jc w:val="center"/>
              <w:rPr>
                <w:rFonts w:ascii="Calibri" w:hAnsi="Calibri" w:cs="Calibri"/>
                <w:b/>
                <w:bCs/>
                <w:color w:val="000000"/>
                <w:sz w:val="16"/>
                <w:szCs w:val="16"/>
              </w:rPr>
            </w:pPr>
            <w:r w:rsidRPr="00D64DF9">
              <w:rPr>
                <w:rFonts w:ascii="Calibri" w:hAnsi="Calibri" w:cs="Calibri"/>
                <w:b/>
                <w:bCs/>
                <w:color w:val="000000"/>
                <w:sz w:val="16"/>
                <w:szCs w:val="16"/>
              </w:rPr>
              <w:t>Burden Hrs / Response</w:t>
            </w:r>
            <w:r w:rsidRPr="00D64DF9">
              <w:rPr>
                <w:rFonts w:ascii="Calibri" w:hAnsi="Calibri" w:cs="Calibri"/>
                <w:b/>
                <w:bCs/>
                <w:color w:val="000000"/>
                <w:sz w:val="16"/>
                <w:szCs w:val="16"/>
              </w:rPr>
              <w:br/>
              <w:t>(d)</w:t>
            </w:r>
          </w:p>
        </w:tc>
        <w:tc>
          <w:tcPr>
            <w:tcW w:w="946" w:type="dxa"/>
            <w:tcBorders>
              <w:top w:val="single" w:sz="8" w:space="0" w:color="auto"/>
              <w:left w:val="nil"/>
              <w:bottom w:val="single" w:sz="8" w:space="0" w:color="auto"/>
              <w:right w:val="single" w:sz="8" w:space="0" w:color="auto"/>
            </w:tcBorders>
            <w:shd w:val="clear" w:color="000000" w:fill="BDD7EE"/>
            <w:vAlign w:val="center"/>
            <w:hideMark/>
          </w:tcPr>
          <w:p w:rsidR="001F1F89" w:rsidRPr="00D64DF9" w:rsidP="00615389" w14:paraId="7D3DFB7D" w14:textId="77777777">
            <w:pPr>
              <w:widowControl/>
              <w:spacing w:before="120" w:after="120"/>
              <w:jc w:val="center"/>
              <w:rPr>
                <w:rFonts w:ascii="Calibri" w:hAnsi="Calibri" w:cs="Calibri"/>
                <w:b/>
                <w:bCs/>
                <w:color w:val="000000"/>
                <w:sz w:val="16"/>
                <w:szCs w:val="16"/>
              </w:rPr>
            </w:pPr>
            <w:r w:rsidRPr="00D64DF9">
              <w:rPr>
                <w:rFonts w:ascii="Calibri" w:hAnsi="Calibri" w:cs="Calibri"/>
                <w:b/>
                <w:bCs/>
                <w:color w:val="000000"/>
                <w:sz w:val="16"/>
                <w:szCs w:val="16"/>
              </w:rPr>
              <w:t>Total Annual Burden Hrs</w:t>
            </w:r>
            <w:r w:rsidRPr="00D64DF9">
              <w:rPr>
                <w:rFonts w:ascii="Calibri" w:hAnsi="Calibri" w:cs="Calibri"/>
                <w:b/>
                <w:bCs/>
                <w:color w:val="000000"/>
                <w:sz w:val="16"/>
                <w:szCs w:val="16"/>
              </w:rPr>
              <w:br/>
              <w:t>(e)  = (c) x (d)</w:t>
            </w:r>
          </w:p>
        </w:tc>
        <w:tc>
          <w:tcPr>
            <w:tcW w:w="1066" w:type="dxa"/>
            <w:tcBorders>
              <w:top w:val="single" w:sz="8" w:space="0" w:color="auto"/>
              <w:left w:val="nil"/>
              <w:bottom w:val="single" w:sz="8" w:space="0" w:color="auto"/>
              <w:right w:val="single" w:sz="8" w:space="0" w:color="auto"/>
            </w:tcBorders>
            <w:shd w:val="clear" w:color="000000" w:fill="BDD7EE"/>
            <w:vAlign w:val="center"/>
            <w:hideMark/>
          </w:tcPr>
          <w:p w:rsidR="001F1F89" w:rsidRPr="00D64DF9" w:rsidP="00615389" w14:paraId="4DE5D2A3" w14:textId="77777777">
            <w:pPr>
              <w:widowControl/>
              <w:spacing w:before="120" w:after="120"/>
              <w:jc w:val="center"/>
              <w:rPr>
                <w:rFonts w:ascii="Calibri" w:hAnsi="Calibri" w:cs="Calibri"/>
                <w:b/>
                <w:bCs/>
                <w:color w:val="000000"/>
                <w:sz w:val="16"/>
                <w:szCs w:val="16"/>
              </w:rPr>
            </w:pPr>
            <w:r w:rsidRPr="00D64DF9">
              <w:rPr>
                <w:rFonts w:ascii="Calibri" w:hAnsi="Calibri" w:cs="Calibri"/>
                <w:b/>
                <w:bCs/>
                <w:color w:val="000000"/>
                <w:sz w:val="16"/>
                <w:szCs w:val="16"/>
              </w:rPr>
              <w:t>Hourly Wage Rate  (for Type of Respondent)</w:t>
            </w:r>
            <w:r w:rsidRPr="00D64DF9">
              <w:rPr>
                <w:rFonts w:ascii="Calibri" w:hAnsi="Calibri" w:cs="Calibri"/>
                <w:b/>
                <w:bCs/>
                <w:color w:val="000000"/>
                <w:sz w:val="16"/>
                <w:szCs w:val="16"/>
              </w:rPr>
              <w:br/>
              <w:t>(f)</w:t>
            </w:r>
          </w:p>
        </w:tc>
        <w:tc>
          <w:tcPr>
            <w:tcW w:w="1248" w:type="dxa"/>
            <w:tcBorders>
              <w:top w:val="single" w:sz="8" w:space="0" w:color="auto"/>
              <w:left w:val="nil"/>
              <w:bottom w:val="single" w:sz="8" w:space="0" w:color="auto"/>
              <w:right w:val="single" w:sz="8" w:space="0" w:color="auto"/>
            </w:tcBorders>
            <w:shd w:val="clear" w:color="000000" w:fill="BDD7EE"/>
            <w:vAlign w:val="center"/>
            <w:hideMark/>
          </w:tcPr>
          <w:p w:rsidR="001F1F89" w:rsidRPr="00D64DF9" w:rsidP="00615389" w14:paraId="04CE842C" w14:textId="77777777">
            <w:pPr>
              <w:widowControl/>
              <w:spacing w:before="120" w:after="120"/>
              <w:jc w:val="center"/>
              <w:rPr>
                <w:rFonts w:ascii="Calibri" w:hAnsi="Calibri" w:cs="Calibri"/>
                <w:b/>
                <w:bCs/>
                <w:color w:val="000000"/>
                <w:sz w:val="16"/>
                <w:szCs w:val="16"/>
              </w:rPr>
            </w:pPr>
            <w:r w:rsidRPr="00D64DF9">
              <w:rPr>
                <w:rFonts w:ascii="Calibri" w:hAnsi="Calibri" w:cs="Calibri"/>
                <w:b/>
                <w:bCs/>
                <w:color w:val="000000"/>
                <w:sz w:val="16"/>
                <w:szCs w:val="16"/>
              </w:rPr>
              <w:t>Total Annual Wage Burden Costs</w:t>
            </w:r>
            <w:r w:rsidRPr="00D64DF9">
              <w:rPr>
                <w:rFonts w:ascii="Calibri" w:hAnsi="Calibri" w:cs="Calibri"/>
                <w:b/>
                <w:bCs/>
                <w:color w:val="000000"/>
                <w:sz w:val="16"/>
                <w:szCs w:val="16"/>
              </w:rPr>
              <w:br/>
              <w:t>(g) = (e) x (f)</w:t>
            </w:r>
          </w:p>
        </w:tc>
      </w:tr>
      <w:tr w14:paraId="1F110C37" w14:textId="77777777" w:rsidTr="00CA0617">
        <w:tblPrEx>
          <w:tblW w:w="11011" w:type="dxa"/>
          <w:tblInd w:w="-25" w:type="dxa"/>
          <w:tblLook w:val="04A0"/>
        </w:tblPrEx>
        <w:trPr>
          <w:trHeight w:val="310"/>
        </w:trPr>
        <w:tc>
          <w:tcPr>
            <w:tcW w:w="1970" w:type="dxa"/>
            <w:tcBorders>
              <w:top w:val="nil"/>
              <w:left w:val="single" w:sz="8" w:space="0" w:color="auto"/>
              <w:bottom w:val="single" w:sz="4" w:space="0" w:color="auto"/>
              <w:right w:val="single" w:sz="4" w:space="0" w:color="auto"/>
            </w:tcBorders>
            <w:shd w:val="clear" w:color="auto" w:fill="auto"/>
            <w:vAlign w:val="bottom"/>
            <w:hideMark/>
          </w:tcPr>
          <w:p w:rsidR="001F1F89" w:rsidRPr="00D64DF9" w:rsidP="00C40492" w14:paraId="4ECD1E00" w14:textId="64A0B439">
            <w:pPr>
              <w:widowControl/>
              <w:spacing w:before="120" w:after="120"/>
              <w:jc w:val="center"/>
              <w:rPr>
                <w:rFonts w:ascii="Calibri" w:hAnsi="Calibri" w:cs="Calibri"/>
                <w:color w:val="000000"/>
                <w:sz w:val="16"/>
                <w:szCs w:val="16"/>
              </w:rPr>
            </w:pPr>
            <w:r w:rsidRPr="00DE342F">
              <w:rPr>
                <w:rFonts w:ascii="Calibri" w:hAnsi="Calibri" w:cs="Calibri"/>
                <w:color w:val="000000"/>
                <w:sz w:val="16"/>
                <w:szCs w:val="16"/>
              </w:rPr>
              <w:t>Tissue Request Form</w:t>
            </w:r>
          </w:p>
        </w:tc>
        <w:tc>
          <w:tcPr>
            <w:tcW w:w="1464" w:type="dxa"/>
            <w:tcBorders>
              <w:top w:val="nil"/>
              <w:left w:val="nil"/>
              <w:bottom w:val="single" w:sz="4" w:space="0" w:color="auto"/>
              <w:right w:val="single" w:sz="4" w:space="0" w:color="auto"/>
            </w:tcBorders>
            <w:shd w:val="clear" w:color="auto" w:fill="auto"/>
            <w:vAlign w:val="bottom"/>
            <w:hideMark/>
          </w:tcPr>
          <w:p w:rsidR="001F1F89" w:rsidRPr="00D64DF9" w:rsidP="00615389" w14:paraId="2E04C0A8" w14:textId="77777777">
            <w:pPr>
              <w:widowControl/>
              <w:spacing w:before="120" w:after="120"/>
              <w:jc w:val="center"/>
              <w:rPr>
                <w:rFonts w:ascii="Calibri" w:hAnsi="Calibri" w:cs="Calibri"/>
                <w:color w:val="000000"/>
                <w:sz w:val="16"/>
                <w:szCs w:val="16"/>
              </w:rPr>
            </w:pPr>
            <w:r w:rsidRPr="00471644">
              <w:rPr>
                <w:rFonts w:ascii="Calibri" w:hAnsi="Calibri" w:cs="Calibri"/>
                <w:color w:val="000000"/>
                <w:sz w:val="16"/>
                <w:szCs w:val="16"/>
              </w:rPr>
              <w:t>Zoologists and Wildlife Biologists</w:t>
            </w:r>
          </w:p>
        </w:tc>
        <w:tc>
          <w:tcPr>
            <w:tcW w:w="1441" w:type="dxa"/>
            <w:tcBorders>
              <w:top w:val="nil"/>
              <w:left w:val="nil"/>
              <w:bottom w:val="single" w:sz="4" w:space="0" w:color="auto"/>
              <w:right w:val="single" w:sz="4" w:space="0" w:color="auto"/>
            </w:tcBorders>
            <w:shd w:val="clear" w:color="auto" w:fill="auto"/>
            <w:vAlign w:val="bottom"/>
            <w:hideMark/>
          </w:tcPr>
          <w:p w:rsidR="001F1F89" w:rsidRPr="00D64DF9" w:rsidP="00615389" w14:paraId="075FAF59" w14:textId="77777777">
            <w:pPr>
              <w:widowControl/>
              <w:spacing w:before="120" w:after="120"/>
              <w:jc w:val="center"/>
              <w:rPr>
                <w:rFonts w:ascii="Calibri" w:hAnsi="Calibri" w:cs="Calibri"/>
                <w:color w:val="000000"/>
                <w:sz w:val="16"/>
                <w:szCs w:val="16"/>
              </w:rPr>
            </w:pPr>
            <w:r>
              <w:rPr>
                <w:rFonts w:ascii="Calibri" w:hAnsi="Calibri" w:cs="Calibri"/>
                <w:color w:val="000000"/>
                <w:sz w:val="16"/>
                <w:szCs w:val="16"/>
              </w:rPr>
              <w:t>5</w:t>
            </w:r>
          </w:p>
        </w:tc>
        <w:tc>
          <w:tcPr>
            <w:tcW w:w="1106" w:type="dxa"/>
            <w:tcBorders>
              <w:top w:val="nil"/>
              <w:left w:val="nil"/>
              <w:bottom w:val="single" w:sz="4" w:space="0" w:color="auto"/>
              <w:right w:val="single" w:sz="4" w:space="0" w:color="auto"/>
            </w:tcBorders>
            <w:shd w:val="clear" w:color="auto" w:fill="auto"/>
            <w:vAlign w:val="bottom"/>
            <w:hideMark/>
          </w:tcPr>
          <w:p w:rsidR="001F1F89" w:rsidRPr="00D64DF9" w:rsidP="00615389" w14:paraId="7CD6934A" w14:textId="77777777">
            <w:pPr>
              <w:widowControl/>
              <w:spacing w:before="120" w:after="120"/>
              <w:jc w:val="center"/>
              <w:rPr>
                <w:rFonts w:ascii="Calibri" w:hAnsi="Calibri" w:cs="Calibri"/>
                <w:color w:val="000000"/>
                <w:sz w:val="16"/>
                <w:szCs w:val="16"/>
              </w:rPr>
            </w:pPr>
            <w:r>
              <w:rPr>
                <w:rFonts w:ascii="Calibri" w:hAnsi="Calibri" w:cs="Calibri"/>
                <w:color w:val="000000"/>
                <w:sz w:val="16"/>
                <w:szCs w:val="16"/>
              </w:rPr>
              <w:t>2</w:t>
            </w:r>
          </w:p>
        </w:tc>
        <w:tc>
          <w:tcPr>
            <w:tcW w:w="917" w:type="dxa"/>
            <w:tcBorders>
              <w:top w:val="nil"/>
              <w:left w:val="nil"/>
              <w:bottom w:val="single" w:sz="4" w:space="0" w:color="auto"/>
              <w:right w:val="single" w:sz="4" w:space="0" w:color="auto"/>
            </w:tcBorders>
            <w:shd w:val="clear" w:color="auto" w:fill="auto"/>
            <w:vAlign w:val="bottom"/>
            <w:hideMark/>
          </w:tcPr>
          <w:p w:rsidR="001F1F89" w:rsidRPr="00D64DF9" w:rsidP="00615389" w14:paraId="4EDD734B" w14:textId="77777777">
            <w:pPr>
              <w:widowControl/>
              <w:spacing w:before="120" w:after="120"/>
              <w:jc w:val="center"/>
              <w:rPr>
                <w:rFonts w:ascii="Calibri" w:hAnsi="Calibri" w:cs="Calibri"/>
                <w:color w:val="000000"/>
                <w:sz w:val="16"/>
                <w:szCs w:val="16"/>
              </w:rPr>
            </w:pPr>
            <w:r>
              <w:rPr>
                <w:rFonts w:ascii="Calibri" w:hAnsi="Calibri" w:cs="Calibri"/>
                <w:color w:val="000000"/>
                <w:sz w:val="16"/>
                <w:szCs w:val="16"/>
              </w:rPr>
              <w:t>10</w:t>
            </w:r>
          </w:p>
        </w:tc>
        <w:tc>
          <w:tcPr>
            <w:tcW w:w="853" w:type="dxa"/>
            <w:tcBorders>
              <w:top w:val="nil"/>
              <w:left w:val="nil"/>
              <w:bottom w:val="single" w:sz="4" w:space="0" w:color="auto"/>
              <w:right w:val="single" w:sz="4" w:space="0" w:color="auto"/>
            </w:tcBorders>
            <w:shd w:val="clear" w:color="auto" w:fill="auto"/>
            <w:vAlign w:val="bottom"/>
            <w:hideMark/>
          </w:tcPr>
          <w:p w:rsidR="001F1F89" w:rsidRPr="00D64DF9" w:rsidP="00615389" w14:paraId="209CF65D" w14:textId="77777777">
            <w:pPr>
              <w:widowControl/>
              <w:spacing w:before="120" w:after="120"/>
              <w:jc w:val="center"/>
              <w:rPr>
                <w:rFonts w:ascii="Calibri" w:hAnsi="Calibri" w:cs="Calibri"/>
                <w:color w:val="000000"/>
                <w:sz w:val="16"/>
                <w:szCs w:val="16"/>
              </w:rPr>
            </w:pPr>
            <w:r>
              <w:rPr>
                <w:rFonts w:ascii="Calibri" w:hAnsi="Calibri" w:cs="Calibri"/>
                <w:color w:val="000000"/>
                <w:sz w:val="16"/>
                <w:szCs w:val="16"/>
              </w:rPr>
              <w:t>3</w:t>
            </w:r>
          </w:p>
        </w:tc>
        <w:tc>
          <w:tcPr>
            <w:tcW w:w="946" w:type="dxa"/>
            <w:tcBorders>
              <w:top w:val="nil"/>
              <w:left w:val="nil"/>
              <w:bottom w:val="single" w:sz="4" w:space="0" w:color="auto"/>
              <w:right w:val="single" w:sz="4" w:space="0" w:color="auto"/>
            </w:tcBorders>
            <w:shd w:val="clear" w:color="auto" w:fill="auto"/>
            <w:vAlign w:val="bottom"/>
            <w:hideMark/>
          </w:tcPr>
          <w:p w:rsidR="001F1F89" w:rsidRPr="00D64DF9" w:rsidP="00615389" w14:paraId="40A419C3" w14:textId="70E0CB04">
            <w:pPr>
              <w:widowControl/>
              <w:spacing w:before="120" w:after="120"/>
              <w:jc w:val="center"/>
              <w:rPr>
                <w:rFonts w:ascii="Calibri" w:hAnsi="Calibri" w:cs="Calibri"/>
                <w:color w:val="000000"/>
                <w:sz w:val="16"/>
                <w:szCs w:val="16"/>
              </w:rPr>
            </w:pPr>
            <w:r>
              <w:rPr>
                <w:rFonts w:ascii="Calibri" w:hAnsi="Calibri" w:cs="Calibri"/>
                <w:color w:val="000000"/>
                <w:sz w:val="16"/>
                <w:szCs w:val="16"/>
              </w:rPr>
              <w:t>30</w:t>
            </w:r>
          </w:p>
        </w:tc>
        <w:tc>
          <w:tcPr>
            <w:tcW w:w="1066" w:type="dxa"/>
            <w:tcBorders>
              <w:top w:val="nil"/>
              <w:left w:val="nil"/>
              <w:bottom w:val="single" w:sz="4" w:space="0" w:color="auto"/>
              <w:right w:val="single" w:sz="4" w:space="0" w:color="auto"/>
            </w:tcBorders>
            <w:shd w:val="clear" w:color="auto" w:fill="auto"/>
            <w:noWrap/>
            <w:vAlign w:val="bottom"/>
            <w:hideMark/>
          </w:tcPr>
          <w:p w:rsidR="001F1F89" w:rsidRPr="00D64DF9" w:rsidP="00AE562F" w14:paraId="727D2EB8" w14:textId="77777777">
            <w:pPr>
              <w:widowControl/>
              <w:spacing w:before="120" w:after="120"/>
              <w:jc w:val="center"/>
              <w:rPr>
                <w:rFonts w:ascii="Calibri" w:hAnsi="Calibri" w:cs="Calibri"/>
                <w:color w:val="000000"/>
                <w:sz w:val="16"/>
                <w:szCs w:val="16"/>
              </w:rPr>
            </w:pPr>
            <w:r>
              <w:rPr>
                <w:rFonts w:ascii="Calibri" w:hAnsi="Calibri" w:cs="Calibri"/>
                <w:color w:val="000000"/>
                <w:sz w:val="16"/>
                <w:szCs w:val="16"/>
              </w:rPr>
              <w:t>$</w:t>
            </w:r>
            <w:r w:rsidR="00AE562F">
              <w:rPr>
                <w:rFonts w:ascii="Calibri" w:hAnsi="Calibri" w:cs="Calibri"/>
                <w:color w:val="000000"/>
                <w:sz w:val="16"/>
                <w:szCs w:val="16"/>
              </w:rPr>
              <w:t>33.94</w:t>
            </w:r>
          </w:p>
        </w:tc>
        <w:tc>
          <w:tcPr>
            <w:tcW w:w="1248" w:type="dxa"/>
            <w:tcBorders>
              <w:top w:val="nil"/>
              <w:left w:val="nil"/>
              <w:bottom w:val="single" w:sz="4" w:space="0" w:color="auto"/>
              <w:right w:val="single" w:sz="8" w:space="0" w:color="auto"/>
            </w:tcBorders>
            <w:shd w:val="clear" w:color="auto" w:fill="auto"/>
            <w:noWrap/>
            <w:vAlign w:val="bottom"/>
            <w:hideMark/>
          </w:tcPr>
          <w:p w:rsidR="001F1F89" w:rsidRPr="00D64DF9" w:rsidP="00AE562F" w14:paraId="477643BA" w14:textId="7C35F50D">
            <w:pPr>
              <w:widowControl/>
              <w:spacing w:before="120" w:after="120"/>
              <w:jc w:val="center"/>
              <w:rPr>
                <w:rFonts w:ascii="Calibri" w:hAnsi="Calibri" w:cs="Calibri"/>
                <w:color w:val="000000"/>
                <w:sz w:val="16"/>
                <w:szCs w:val="16"/>
              </w:rPr>
            </w:pPr>
            <w:r>
              <w:rPr>
                <w:rFonts w:ascii="Calibri" w:hAnsi="Calibri" w:cs="Calibri"/>
                <w:color w:val="000000"/>
                <w:sz w:val="16"/>
                <w:szCs w:val="16"/>
              </w:rPr>
              <w:t>$</w:t>
            </w:r>
            <w:r w:rsidR="00190C8F">
              <w:rPr>
                <w:rFonts w:ascii="Calibri" w:hAnsi="Calibri" w:cs="Calibri"/>
                <w:color w:val="000000"/>
                <w:sz w:val="16"/>
                <w:szCs w:val="16"/>
              </w:rPr>
              <w:t>1,018.20</w:t>
            </w:r>
          </w:p>
        </w:tc>
      </w:tr>
      <w:tr w14:paraId="06E85638" w14:textId="77777777" w:rsidTr="00CA0617">
        <w:tblPrEx>
          <w:tblW w:w="11011" w:type="dxa"/>
          <w:tblInd w:w="-25" w:type="dxa"/>
          <w:tblLook w:val="04A0"/>
        </w:tblPrEx>
        <w:trPr>
          <w:trHeight w:val="310"/>
        </w:trPr>
        <w:tc>
          <w:tcPr>
            <w:tcW w:w="1970" w:type="dxa"/>
            <w:vMerge w:val="restart"/>
            <w:tcBorders>
              <w:top w:val="nil"/>
              <w:left w:val="single" w:sz="8" w:space="0" w:color="auto"/>
              <w:right w:val="single" w:sz="4" w:space="0" w:color="auto"/>
            </w:tcBorders>
            <w:shd w:val="clear" w:color="auto" w:fill="auto"/>
            <w:vAlign w:val="bottom"/>
            <w:hideMark/>
          </w:tcPr>
          <w:p w:rsidR="00CA0617" w:rsidRPr="00D64DF9" w:rsidP="00C40492" w14:paraId="4DA34103" w14:textId="042EEA58">
            <w:pPr>
              <w:widowControl/>
              <w:spacing w:before="120" w:after="120"/>
              <w:jc w:val="center"/>
              <w:rPr>
                <w:rFonts w:ascii="Calibri" w:hAnsi="Calibri" w:cs="Calibri"/>
                <w:color w:val="000000"/>
                <w:sz w:val="16"/>
                <w:szCs w:val="16"/>
              </w:rPr>
            </w:pPr>
            <w:r w:rsidRPr="00DE342F">
              <w:rPr>
                <w:rFonts w:ascii="Calibri" w:hAnsi="Calibri" w:cs="Calibri"/>
                <w:color w:val="000000"/>
                <w:sz w:val="16"/>
                <w:szCs w:val="16"/>
              </w:rPr>
              <w:t>National Marine Mammal Tissue Bank Form</w:t>
            </w:r>
          </w:p>
          <w:p w:rsidR="00CA0617" w:rsidRPr="00D64DF9" w:rsidP="00C40492" w14:paraId="6C0E650E" w14:textId="16E0DA35">
            <w:pPr>
              <w:widowControl/>
              <w:spacing w:before="120" w:after="120"/>
              <w:jc w:val="center"/>
              <w:rPr>
                <w:rFonts w:ascii="Calibri" w:hAnsi="Calibri" w:cs="Calibri"/>
                <w:color w:val="000000"/>
                <w:sz w:val="16"/>
                <w:szCs w:val="16"/>
              </w:rPr>
            </w:pPr>
          </w:p>
        </w:tc>
        <w:tc>
          <w:tcPr>
            <w:tcW w:w="1464" w:type="dxa"/>
            <w:tcBorders>
              <w:top w:val="nil"/>
              <w:left w:val="nil"/>
              <w:bottom w:val="single" w:sz="4" w:space="0" w:color="auto"/>
              <w:right w:val="single" w:sz="4" w:space="0" w:color="auto"/>
            </w:tcBorders>
            <w:shd w:val="clear" w:color="auto" w:fill="auto"/>
            <w:vAlign w:val="bottom"/>
            <w:hideMark/>
          </w:tcPr>
          <w:p w:rsidR="00CA0617" w:rsidRPr="00D64DF9" w:rsidP="00615389" w14:paraId="7F47CA6F" w14:textId="77777777">
            <w:pPr>
              <w:widowControl/>
              <w:spacing w:before="120" w:after="120"/>
              <w:jc w:val="center"/>
              <w:rPr>
                <w:rFonts w:ascii="Calibri" w:hAnsi="Calibri" w:cs="Calibri"/>
                <w:color w:val="000000"/>
                <w:sz w:val="16"/>
                <w:szCs w:val="16"/>
              </w:rPr>
            </w:pPr>
            <w:r w:rsidRPr="00471644">
              <w:rPr>
                <w:rFonts w:ascii="Calibri" w:hAnsi="Calibri" w:cs="Calibri"/>
                <w:color w:val="000000"/>
                <w:sz w:val="16"/>
                <w:szCs w:val="16"/>
              </w:rPr>
              <w:t>Zoologists and Wildlife Biologists</w:t>
            </w:r>
          </w:p>
        </w:tc>
        <w:tc>
          <w:tcPr>
            <w:tcW w:w="1441" w:type="dxa"/>
            <w:tcBorders>
              <w:top w:val="nil"/>
              <w:left w:val="nil"/>
              <w:bottom w:val="single" w:sz="4" w:space="0" w:color="auto"/>
              <w:right w:val="single" w:sz="4" w:space="0" w:color="auto"/>
            </w:tcBorders>
            <w:shd w:val="clear" w:color="auto" w:fill="auto"/>
            <w:vAlign w:val="bottom"/>
            <w:hideMark/>
          </w:tcPr>
          <w:p w:rsidR="00CA0617" w:rsidRPr="00D64DF9" w:rsidP="00615389" w14:paraId="002E0A60" w14:textId="77777777">
            <w:pPr>
              <w:widowControl/>
              <w:spacing w:before="120" w:after="120"/>
              <w:jc w:val="center"/>
              <w:rPr>
                <w:rFonts w:ascii="Calibri" w:hAnsi="Calibri" w:cs="Calibri"/>
                <w:color w:val="000000"/>
                <w:sz w:val="16"/>
                <w:szCs w:val="16"/>
              </w:rPr>
            </w:pPr>
            <w:r>
              <w:rPr>
                <w:rFonts w:ascii="Calibri" w:hAnsi="Calibri" w:cs="Calibri"/>
                <w:color w:val="000000"/>
                <w:sz w:val="16"/>
                <w:szCs w:val="16"/>
              </w:rPr>
              <w:t>15</w:t>
            </w:r>
          </w:p>
        </w:tc>
        <w:tc>
          <w:tcPr>
            <w:tcW w:w="1106" w:type="dxa"/>
            <w:tcBorders>
              <w:top w:val="nil"/>
              <w:left w:val="nil"/>
              <w:bottom w:val="single" w:sz="4" w:space="0" w:color="auto"/>
              <w:right w:val="single" w:sz="4" w:space="0" w:color="auto"/>
            </w:tcBorders>
            <w:shd w:val="clear" w:color="auto" w:fill="auto"/>
            <w:vAlign w:val="bottom"/>
            <w:hideMark/>
          </w:tcPr>
          <w:p w:rsidR="00CA0617" w:rsidRPr="00D64DF9" w:rsidP="00615389" w14:paraId="0150B6B5" w14:textId="36DB69EC">
            <w:pPr>
              <w:widowControl/>
              <w:spacing w:before="120" w:after="120"/>
              <w:jc w:val="center"/>
              <w:rPr>
                <w:rFonts w:ascii="Calibri" w:hAnsi="Calibri" w:cs="Calibri"/>
                <w:color w:val="000000"/>
                <w:sz w:val="16"/>
                <w:szCs w:val="16"/>
              </w:rPr>
            </w:pPr>
            <w:r>
              <w:rPr>
                <w:rFonts w:ascii="Calibri" w:hAnsi="Calibri" w:cs="Calibri"/>
                <w:color w:val="000000"/>
                <w:sz w:val="16"/>
                <w:szCs w:val="16"/>
              </w:rPr>
              <w:t>5</w:t>
            </w:r>
          </w:p>
        </w:tc>
        <w:tc>
          <w:tcPr>
            <w:tcW w:w="917" w:type="dxa"/>
            <w:tcBorders>
              <w:top w:val="nil"/>
              <w:left w:val="nil"/>
              <w:bottom w:val="single" w:sz="4" w:space="0" w:color="auto"/>
              <w:right w:val="single" w:sz="4" w:space="0" w:color="auto"/>
            </w:tcBorders>
            <w:shd w:val="clear" w:color="auto" w:fill="auto"/>
            <w:vAlign w:val="bottom"/>
            <w:hideMark/>
          </w:tcPr>
          <w:p w:rsidR="00CA0617" w:rsidRPr="00D64DF9" w:rsidP="00615389" w14:paraId="107DE938" w14:textId="6A599D6F">
            <w:pPr>
              <w:widowControl/>
              <w:spacing w:before="120" w:after="120"/>
              <w:jc w:val="center"/>
              <w:rPr>
                <w:rFonts w:ascii="Calibri" w:hAnsi="Calibri" w:cs="Calibri"/>
                <w:color w:val="000000"/>
                <w:sz w:val="16"/>
                <w:szCs w:val="16"/>
              </w:rPr>
            </w:pPr>
            <w:r>
              <w:rPr>
                <w:rFonts w:ascii="Calibri" w:hAnsi="Calibri" w:cs="Calibri"/>
                <w:color w:val="000000"/>
                <w:sz w:val="16"/>
                <w:szCs w:val="16"/>
              </w:rPr>
              <w:t>75</w:t>
            </w:r>
          </w:p>
        </w:tc>
        <w:tc>
          <w:tcPr>
            <w:tcW w:w="853" w:type="dxa"/>
            <w:tcBorders>
              <w:top w:val="nil"/>
              <w:left w:val="nil"/>
              <w:bottom w:val="single" w:sz="4" w:space="0" w:color="auto"/>
              <w:right w:val="single" w:sz="4" w:space="0" w:color="auto"/>
            </w:tcBorders>
            <w:shd w:val="clear" w:color="auto" w:fill="auto"/>
            <w:vAlign w:val="bottom"/>
            <w:hideMark/>
          </w:tcPr>
          <w:p w:rsidR="00CA0617" w:rsidRPr="00D64DF9" w:rsidP="00615389" w14:paraId="4968B251" w14:textId="77777777">
            <w:pPr>
              <w:widowControl/>
              <w:spacing w:before="120" w:after="120"/>
              <w:jc w:val="center"/>
              <w:rPr>
                <w:rFonts w:ascii="Calibri" w:hAnsi="Calibri" w:cs="Calibri"/>
                <w:color w:val="000000"/>
                <w:sz w:val="16"/>
                <w:szCs w:val="16"/>
              </w:rPr>
            </w:pPr>
            <w:r>
              <w:rPr>
                <w:rFonts w:ascii="Calibri" w:hAnsi="Calibri" w:cs="Calibri"/>
                <w:color w:val="000000"/>
                <w:sz w:val="16"/>
                <w:szCs w:val="16"/>
              </w:rPr>
              <w:t>0.75</w:t>
            </w:r>
          </w:p>
        </w:tc>
        <w:tc>
          <w:tcPr>
            <w:tcW w:w="946" w:type="dxa"/>
            <w:tcBorders>
              <w:top w:val="nil"/>
              <w:left w:val="nil"/>
              <w:bottom w:val="single" w:sz="4" w:space="0" w:color="auto"/>
              <w:right w:val="single" w:sz="4" w:space="0" w:color="auto"/>
            </w:tcBorders>
            <w:shd w:val="clear" w:color="auto" w:fill="auto"/>
            <w:vAlign w:val="bottom"/>
            <w:hideMark/>
          </w:tcPr>
          <w:p w:rsidR="00CA0617" w:rsidRPr="00D64DF9" w:rsidP="00615389" w14:paraId="508DA996" w14:textId="7AD95116">
            <w:pPr>
              <w:widowControl/>
              <w:spacing w:before="120" w:after="120"/>
              <w:jc w:val="center"/>
              <w:rPr>
                <w:rFonts w:ascii="Calibri" w:hAnsi="Calibri" w:cs="Calibri"/>
                <w:color w:val="000000"/>
                <w:sz w:val="16"/>
                <w:szCs w:val="16"/>
              </w:rPr>
            </w:pPr>
            <w:r>
              <w:rPr>
                <w:rFonts w:ascii="Calibri" w:hAnsi="Calibri" w:cs="Calibri"/>
                <w:color w:val="000000"/>
                <w:sz w:val="16"/>
                <w:szCs w:val="16"/>
              </w:rPr>
              <w:t>56.25</w:t>
            </w:r>
          </w:p>
        </w:tc>
        <w:tc>
          <w:tcPr>
            <w:tcW w:w="1066" w:type="dxa"/>
            <w:tcBorders>
              <w:top w:val="nil"/>
              <w:left w:val="nil"/>
              <w:bottom w:val="single" w:sz="4" w:space="0" w:color="auto"/>
              <w:right w:val="single" w:sz="4" w:space="0" w:color="auto"/>
            </w:tcBorders>
            <w:shd w:val="clear" w:color="auto" w:fill="auto"/>
            <w:noWrap/>
            <w:vAlign w:val="bottom"/>
            <w:hideMark/>
          </w:tcPr>
          <w:p w:rsidR="00CA0617" w:rsidRPr="00D64DF9" w:rsidP="00615389" w14:paraId="65AFC95D" w14:textId="77777777">
            <w:pPr>
              <w:widowControl/>
              <w:spacing w:before="120" w:after="120"/>
              <w:jc w:val="center"/>
              <w:rPr>
                <w:rFonts w:ascii="Calibri" w:hAnsi="Calibri" w:cs="Calibri"/>
                <w:color w:val="000000"/>
                <w:sz w:val="16"/>
                <w:szCs w:val="16"/>
              </w:rPr>
            </w:pPr>
            <w:r>
              <w:rPr>
                <w:rFonts w:ascii="Calibri" w:hAnsi="Calibri" w:cs="Calibri"/>
                <w:color w:val="000000"/>
                <w:sz w:val="16"/>
                <w:szCs w:val="16"/>
              </w:rPr>
              <w:t>$33.94</w:t>
            </w:r>
          </w:p>
        </w:tc>
        <w:tc>
          <w:tcPr>
            <w:tcW w:w="1248" w:type="dxa"/>
            <w:tcBorders>
              <w:top w:val="nil"/>
              <w:left w:val="nil"/>
              <w:bottom w:val="single" w:sz="4" w:space="0" w:color="auto"/>
              <w:right w:val="single" w:sz="8" w:space="0" w:color="auto"/>
            </w:tcBorders>
            <w:shd w:val="clear" w:color="auto" w:fill="auto"/>
            <w:noWrap/>
            <w:vAlign w:val="bottom"/>
            <w:hideMark/>
          </w:tcPr>
          <w:p w:rsidR="00CA0617" w:rsidRPr="00D64DF9" w:rsidP="00AE562F" w14:paraId="23CCE7E1" w14:textId="4C673843">
            <w:pPr>
              <w:widowControl/>
              <w:spacing w:before="120" w:after="120"/>
              <w:jc w:val="center"/>
              <w:rPr>
                <w:rFonts w:ascii="Calibri" w:hAnsi="Calibri" w:cs="Calibri"/>
                <w:color w:val="000000"/>
                <w:sz w:val="16"/>
                <w:szCs w:val="16"/>
              </w:rPr>
            </w:pPr>
            <w:r>
              <w:rPr>
                <w:rFonts w:ascii="Calibri" w:hAnsi="Calibri" w:cs="Calibri"/>
                <w:color w:val="000000"/>
                <w:sz w:val="16"/>
                <w:szCs w:val="16"/>
              </w:rPr>
              <w:t>$1,909.13</w:t>
            </w:r>
          </w:p>
        </w:tc>
      </w:tr>
      <w:tr w14:paraId="40B92CAC" w14:textId="77777777" w:rsidTr="00CA0617">
        <w:tblPrEx>
          <w:tblW w:w="11011" w:type="dxa"/>
          <w:tblInd w:w="-25" w:type="dxa"/>
          <w:tblLook w:val="04A0"/>
        </w:tblPrEx>
        <w:trPr>
          <w:trHeight w:val="310"/>
        </w:trPr>
        <w:tc>
          <w:tcPr>
            <w:tcW w:w="1970" w:type="dxa"/>
            <w:vMerge/>
            <w:tcBorders>
              <w:left w:val="single" w:sz="8" w:space="0" w:color="auto"/>
              <w:bottom w:val="single" w:sz="4" w:space="0" w:color="auto"/>
              <w:right w:val="single" w:sz="4" w:space="0" w:color="auto"/>
            </w:tcBorders>
            <w:shd w:val="clear" w:color="auto" w:fill="auto"/>
            <w:vAlign w:val="bottom"/>
            <w:hideMark/>
          </w:tcPr>
          <w:p w:rsidR="00CA0617" w:rsidRPr="00D64DF9" w:rsidP="00615389" w14:paraId="1A404DA8" w14:textId="78BB89D2">
            <w:pPr>
              <w:widowControl/>
              <w:spacing w:before="120" w:after="120"/>
              <w:rPr>
                <w:rFonts w:ascii="Calibri" w:hAnsi="Calibri" w:cs="Calibri"/>
                <w:color w:val="000000"/>
                <w:sz w:val="16"/>
                <w:szCs w:val="16"/>
              </w:rPr>
            </w:pPr>
          </w:p>
        </w:tc>
        <w:tc>
          <w:tcPr>
            <w:tcW w:w="1464" w:type="dxa"/>
            <w:tcBorders>
              <w:top w:val="nil"/>
              <w:left w:val="nil"/>
              <w:bottom w:val="single" w:sz="4" w:space="0" w:color="auto"/>
              <w:right w:val="single" w:sz="4" w:space="0" w:color="auto"/>
            </w:tcBorders>
            <w:shd w:val="clear" w:color="auto" w:fill="auto"/>
            <w:vAlign w:val="bottom"/>
            <w:hideMark/>
          </w:tcPr>
          <w:p w:rsidR="00CA0617" w:rsidRPr="00D64DF9" w:rsidP="00615389" w14:paraId="2FEFD90F" w14:textId="77777777">
            <w:pPr>
              <w:widowControl/>
              <w:spacing w:before="120" w:after="120"/>
              <w:jc w:val="center"/>
              <w:rPr>
                <w:rFonts w:ascii="Calibri" w:hAnsi="Calibri" w:cs="Calibri"/>
                <w:color w:val="000000"/>
                <w:sz w:val="16"/>
                <w:szCs w:val="16"/>
              </w:rPr>
            </w:pPr>
            <w:r>
              <w:rPr>
                <w:rFonts w:ascii="Calibri" w:hAnsi="Calibri" w:cs="Calibri"/>
                <w:color w:val="000000"/>
                <w:sz w:val="16"/>
                <w:szCs w:val="16"/>
              </w:rPr>
              <w:t>Subsistence hunter</w:t>
            </w:r>
          </w:p>
        </w:tc>
        <w:tc>
          <w:tcPr>
            <w:tcW w:w="1441" w:type="dxa"/>
            <w:tcBorders>
              <w:top w:val="nil"/>
              <w:left w:val="nil"/>
              <w:bottom w:val="single" w:sz="4" w:space="0" w:color="auto"/>
              <w:right w:val="single" w:sz="4" w:space="0" w:color="auto"/>
            </w:tcBorders>
            <w:shd w:val="clear" w:color="auto" w:fill="auto"/>
            <w:vAlign w:val="bottom"/>
            <w:hideMark/>
          </w:tcPr>
          <w:p w:rsidR="00CA0617" w:rsidRPr="00D64DF9" w:rsidP="00615389" w14:paraId="1F66E2AD" w14:textId="77777777">
            <w:pPr>
              <w:widowControl/>
              <w:spacing w:before="120" w:after="120"/>
              <w:jc w:val="center"/>
              <w:rPr>
                <w:rFonts w:ascii="Calibri" w:hAnsi="Calibri" w:cs="Calibri"/>
                <w:color w:val="000000"/>
                <w:sz w:val="16"/>
                <w:szCs w:val="16"/>
              </w:rPr>
            </w:pPr>
            <w:r>
              <w:rPr>
                <w:rFonts w:ascii="Calibri" w:hAnsi="Calibri" w:cs="Calibri"/>
                <w:color w:val="000000"/>
                <w:sz w:val="16"/>
                <w:szCs w:val="16"/>
              </w:rPr>
              <w:t>5</w:t>
            </w:r>
          </w:p>
        </w:tc>
        <w:tc>
          <w:tcPr>
            <w:tcW w:w="1106" w:type="dxa"/>
            <w:tcBorders>
              <w:top w:val="nil"/>
              <w:left w:val="nil"/>
              <w:bottom w:val="single" w:sz="4" w:space="0" w:color="auto"/>
              <w:right w:val="single" w:sz="4" w:space="0" w:color="auto"/>
            </w:tcBorders>
            <w:shd w:val="clear" w:color="auto" w:fill="auto"/>
            <w:vAlign w:val="bottom"/>
            <w:hideMark/>
          </w:tcPr>
          <w:p w:rsidR="00CA0617" w:rsidRPr="00D64DF9" w:rsidP="00615389" w14:paraId="4912D29A" w14:textId="68951414">
            <w:pPr>
              <w:widowControl/>
              <w:spacing w:before="120" w:after="120"/>
              <w:jc w:val="center"/>
              <w:rPr>
                <w:rFonts w:ascii="Calibri" w:hAnsi="Calibri" w:cs="Calibri"/>
                <w:color w:val="000000"/>
                <w:sz w:val="16"/>
                <w:szCs w:val="16"/>
              </w:rPr>
            </w:pPr>
            <w:r>
              <w:rPr>
                <w:rFonts w:ascii="Calibri" w:hAnsi="Calibri" w:cs="Calibri"/>
                <w:color w:val="000000"/>
                <w:sz w:val="16"/>
                <w:szCs w:val="16"/>
              </w:rPr>
              <w:t>5</w:t>
            </w:r>
          </w:p>
        </w:tc>
        <w:tc>
          <w:tcPr>
            <w:tcW w:w="917" w:type="dxa"/>
            <w:tcBorders>
              <w:top w:val="nil"/>
              <w:left w:val="nil"/>
              <w:bottom w:val="single" w:sz="4" w:space="0" w:color="auto"/>
              <w:right w:val="single" w:sz="4" w:space="0" w:color="auto"/>
            </w:tcBorders>
            <w:shd w:val="clear" w:color="auto" w:fill="auto"/>
            <w:vAlign w:val="bottom"/>
            <w:hideMark/>
          </w:tcPr>
          <w:p w:rsidR="00CA0617" w:rsidRPr="00D64DF9" w:rsidP="00615389" w14:paraId="722629EB" w14:textId="2EE63A02">
            <w:pPr>
              <w:widowControl/>
              <w:spacing w:before="120" w:after="120"/>
              <w:jc w:val="center"/>
              <w:rPr>
                <w:rFonts w:ascii="Calibri" w:hAnsi="Calibri" w:cs="Calibri"/>
                <w:color w:val="000000"/>
                <w:sz w:val="16"/>
                <w:szCs w:val="16"/>
              </w:rPr>
            </w:pPr>
            <w:r>
              <w:rPr>
                <w:rFonts w:ascii="Calibri" w:hAnsi="Calibri" w:cs="Calibri"/>
                <w:color w:val="000000"/>
                <w:sz w:val="16"/>
                <w:szCs w:val="16"/>
              </w:rPr>
              <w:t>25</w:t>
            </w:r>
          </w:p>
        </w:tc>
        <w:tc>
          <w:tcPr>
            <w:tcW w:w="853" w:type="dxa"/>
            <w:tcBorders>
              <w:top w:val="nil"/>
              <w:left w:val="nil"/>
              <w:bottom w:val="single" w:sz="4" w:space="0" w:color="auto"/>
              <w:right w:val="single" w:sz="4" w:space="0" w:color="auto"/>
            </w:tcBorders>
            <w:shd w:val="clear" w:color="auto" w:fill="auto"/>
            <w:vAlign w:val="bottom"/>
            <w:hideMark/>
          </w:tcPr>
          <w:p w:rsidR="00CA0617" w:rsidRPr="00D64DF9" w:rsidP="00615389" w14:paraId="3D23239E" w14:textId="77777777">
            <w:pPr>
              <w:widowControl/>
              <w:spacing w:before="120" w:after="120"/>
              <w:jc w:val="center"/>
              <w:rPr>
                <w:rFonts w:ascii="Calibri" w:hAnsi="Calibri" w:cs="Calibri"/>
                <w:color w:val="000000"/>
                <w:sz w:val="16"/>
                <w:szCs w:val="16"/>
              </w:rPr>
            </w:pPr>
            <w:r>
              <w:rPr>
                <w:rFonts w:ascii="Calibri" w:hAnsi="Calibri" w:cs="Calibri"/>
                <w:color w:val="000000"/>
                <w:sz w:val="16"/>
                <w:szCs w:val="16"/>
              </w:rPr>
              <w:t>0.75</w:t>
            </w:r>
          </w:p>
        </w:tc>
        <w:tc>
          <w:tcPr>
            <w:tcW w:w="946" w:type="dxa"/>
            <w:tcBorders>
              <w:top w:val="nil"/>
              <w:left w:val="nil"/>
              <w:bottom w:val="single" w:sz="4" w:space="0" w:color="auto"/>
              <w:right w:val="single" w:sz="4" w:space="0" w:color="auto"/>
            </w:tcBorders>
            <w:shd w:val="clear" w:color="auto" w:fill="auto"/>
            <w:vAlign w:val="bottom"/>
            <w:hideMark/>
          </w:tcPr>
          <w:p w:rsidR="00CA0617" w:rsidRPr="00D64DF9" w:rsidP="00615389" w14:paraId="081A38FF" w14:textId="0B2B6F1F">
            <w:pPr>
              <w:widowControl/>
              <w:spacing w:before="120" w:after="120"/>
              <w:jc w:val="center"/>
              <w:rPr>
                <w:rFonts w:ascii="Calibri" w:hAnsi="Calibri" w:cs="Calibri"/>
                <w:color w:val="000000"/>
                <w:sz w:val="16"/>
                <w:szCs w:val="16"/>
              </w:rPr>
            </w:pPr>
            <w:r>
              <w:rPr>
                <w:rFonts w:ascii="Calibri" w:hAnsi="Calibri" w:cs="Calibri"/>
                <w:color w:val="000000"/>
                <w:sz w:val="16"/>
                <w:szCs w:val="16"/>
              </w:rPr>
              <w:t>18.75</w:t>
            </w:r>
          </w:p>
        </w:tc>
        <w:tc>
          <w:tcPr>
            <w:tcW w:w="1066" w:type="dxa"/>
            <w:tcBorders>
              <w:top w:val="nil"/>
              <w:left w:val="nil"/>
              <w:bottom w:val="single" w:sz="4" w:space="0" w:color="auto"/>
              <w:right w:val="single" w:sz="4" w:space="0" w:color="auto"/>
            </w:tcBorders>
            <w:shd w:val="clear" w:color="auto" w:fill="auto"/>
            <w:noWrap/>
            <w:vAlign w:val="bottom"/>
            <w:hideMark/>
          </w:tcPr>
          <w:p w:rsidR="00CA0617" w:rsidRPr="00D64DF9" w:rsidP="00615389" w14:paraId="710944E2" w14:textId="77777777">
            <w:pPr>
              <w:widowControl/>
              <w:spacing w:before="120" w:after="120"/>
              <w:jc w:val="center"/>
              <w:rPr>
                <w:rFonts w:ascii="Calibri" w:hAnsi="Calibri" w:cs="Calibri"/>
                <w:color w:val="000000"/>
                <w:sz w:val="16"/>
                <w:szCs w:val="16"/>
              </w:rPr>
            </w:pPr>
            <w:r>
              <w:rPr>
                <w:rFonts w:ascii="Calibri" w:hAnsi="Calibri" w:cs="Calibri"/>
                <w:color w:val="000000"/>
                <w:sz w:val="16"/>
                <w:szCs w:val="16"/>
              </w:rPr>
              <w:t>$0</w:t>
            </w:r>
          </w:p>
        </w:tc>
        <w:tc>
          <w:tcPr>
            <w:tcW w:w="1248" w:type="dxa"/>
            <w:tcBorders>
              <w:top w:val="nil"/>
              <w:left w:val="nil"/>
              <w:bottom w:val="single" w:sz="4" w:space="0" w:color="auto"/>
              <w:right w:val="single" w:sz="8" w:space="0" w:color="auto"/>
            </w:tcBorders>
            <w:shd w:val="clear" w:color="auto" w:fill="auto"/>
            <w:noWrap/>
            <w:vAlign w:val="bottom"/>
            <w:hideMark/>
          </w:tcPr>
          <w:p w:rsidR="00CA0617" w:rsidRPr="00D64DF9" w:rsidP="00615389" w14:paraId="0BA47F6D" w14:textId="77777777">
            <w:pPr>
              <w:widowControl/>
              <w:spacing w:before="120" w:after="120"/>
              <w:jc w:val="center"/>
              <w:rPr>
                <w:rFonts w:ascii="Calibri" w:hAnsi="Calibri" w:cs="Calibri"/>
                <w:color w:val="000000"/>
                <w:sz w:val="16"/>
                <w:szCs w:val="16"/>
              </w:rPr>
            </w:pPr>
            <w:r>
              <w:rPr>
                <w:rFonts w:ascii="Calibri" w:hAnsi="Calibri" w:cs="Calibri"/>
                <w:color w:val="000000"/>
                <w:sz w:val="16"/>
                <w:szCs w:val="16"/>
              </w:rPr>
              <w:t>$0</w:t>
            </w:r>
          </w:p>
        </w:tc>
      </w:tr>
      <w:tr w14:paraId="1FEB1EB4" w14:textId="77777777" w:rsidTr="00CA0617">
        <w:tblPrEx>
          <w:tblW w:w="11011" w:type="dxa"/>
          <w:tblInd w:w="-25" w:type="dxa"/>
          <w:tblLook w:val="04A0"/>
        </w:tblPrEx>
        <w:trPr>
          <w:trHeight w:val="636"/>
        </w:trPr>
        <w:tc>
          <w:tcPr>
            <w:tcW w:w="1970" w:type="dxa"/>
            <w:tcBorders>
              <w:top w:val="nil"/>
              <w:left w:val="single" w:sz="8" w:space="0" w:color="auto"/>
              <w:bottom w:val="single" w:sz="8" w:space="0" w:color="auto"/>
              <w:right w:val="single" w:sz="8" w:space="0" w:color="auto"/>
            </w:tcBorders>
            <w:shd w:val="clear" w:color="000000" w:fill="DDEBF7"/>
            <w:noWrap/>
            <w:vAlign w:val="bottom"/>
            <w:hideMark/>
          </w:tcPr>
          <w:p w:rsidR="001F1F89" w:rsidRPr="00D64DF9" w:rsidP="00615389" w14:paraId="1AF3A58B" w14:textId="77777777">
            <w:pPr>
              <w:widowControl/>
              <w:spacing w:before="120" w:after="120"/>
              <w:rPr>
                <w:rFonts w:ascii="Calibri" w:hAnsi="Calibri" w:cs="Calibri"/>
                <w:b/>
                <w:bCs/>
                <w:color w:val="000000"/>
              </w:rPr>
            </w:pPr>
            <w:r w:rsidRPr="00D64DF9">
              <w:rPr>
                <w:rFonts w:ascii="Calibri" w:hAnsi="Calibri" w:cs="Calibri"/>
                <w:b/>
                <w:bCs/>
                <w:color w:val="000000"/>
              </w:rPr>
              <w:t>Totals</w:t>
            </w:r>
          </w:p>
        </w:tc>
        <w:tc>
          <w:tcPr>
            <w:tcW w:w="1464" w:type="dxa"/>
            <w:tcBorders>
              <w:top w:val="nil"/>
              <w:left w:val="nil"/>
              <w:bottom w:val="single" w:sz="8" w:space="0" w:color="auto"/>
              <w:right w:val="single" w:sz="8" w:space="0" w:color="auto"/>
            </w:tcBorders>
            <w:shd w:val="clear" w:color="000000" w:fill="000000"/>
            <w:noWrap/>
            <w:vAlign w:val="bottom"/>
            <w:hideMark/>
          </w:tcPr>
          <w:p w:rsidR="001F1F89" w:rsidRPr="00D64DF9" w:rsidP="00615389" w14:paraId="10227DEC" w14:textId="77777777">
            <w:pPr>
              <w:widowControl/>
              <w:spacing w:before="120" w:after="120"/>
              <w:rPr>
                <w:rFonts w:ascii="Calibri" w:hAnsi="Calibri" w:cs="Calibri"/>
                <w:b/>
                <w:bCs/>
                <w:color w:val="000000"/>
              </w:rPr>
            </w:pPr>
            <w:r w:rsidRPr="00D64DF9">
              <w:rPr>
                <w:rFonts w:ascii="Calibri" w:hAnsi="Calibri" w:cs="Calibri"/>
                <w:b/>
                <w:bCs/>
                <w:color w:val="000000"/>
              </w:rPr>
              <w:t> </w:t>
            </w:r>
          </w:p>
        </w:tc>
        <w:tc>
          <w:tcPr>
            <w:tcW w:w="1441" w:type="dxa"/>
            <w:tcBorders>
              <w:top w:val="nil"/>
              <w:left w:val="nil"/>
              <w:bottom w:val="single" w:sz="8" w:space="0" w:color="auto"/>
              <w:right w:val="single" w:sz="8" w:space="0" w:color="auto"/>
            </w:tcBorders>
            <w:shd w:val="clear" w:color="000000" w:fill="000000"/>
            <w:noWrap/>
            <w:vAlign w:val="bottom"/>
            <w:hideMark/>
          </w:tcPr>
          <w:p w:rsidR="001F1F89" w:rsidRPr="00D64DF9" w:rsidP="00615389" w14:paraId="16457199" w14:textId="77777777">
            <w:pPr>
              <w:widowControl/>
              <w:spacing w:before="120" w:after="120"/>
              <w:rPr>
                <w:rFonts w:ascii="Calibri" w:hAnsi="Calibri" w:cs="Calibri"/>
                <w:b/>
                <w:bCs/>
                <w:color w:val="000000"/>
              </w:rPr>
            </w:pPr>
            <w:r w:rsidRPr="00D64DF9">
              <w:rPr>
                <w:rFonts w:ascii="Calibri" w:hAnsi="Calibri" w:cs="Calibri"/>
                <w:b/>
                <w:bCs/>
                <w:color w:val="000000"/>
              </w:rPr>
              <w:t> </w:t>
            </w:r>
          </w:p>
        </w:tc>
        <w:tc>
          <w:tcPr>
            <w:tcW w:w="1106" w:type="dxa"/>
            <w:tcBorders>
              <w:top w:val="nil"/>
              <w:left w:val="nil"/>
              <w:bottom w:val="single" w:sz="8" w:space="0" w:color="auto"/>
              <w:right w:val="single" w:sz="8" w:space="0" w:color="auto"/>
            </w:tcBorders>
            <w:shd w:val="clear" w:color="000000" w:fill="000000"/>
            <w:noWrap/>
            <w:vAlign w:val="bottom"/>
            <w:hideMark/>
          </w:tcPr>
          <w:p w:rsidR="001F1F89" w:rsidRPr="00D64DF9" w:rsidP="00615389" w14:paraId="0123AA2A" w14:textId="77777777">
            <w:pPr>
              <w:widowControl/>
              <w:spacing w:before="120" w:after="120"/>
              <w:rPr>
                <w:rFonts w:ascii="Calibri" w:hAnsi="Calibri" w:cs="Calibri"/>
                <w:b/>
                <w:bCs/>
                <w:color w:val="000000"/>
              </w:rPr>
            </w:pPr>
            <w:r w:rsidRPr="00D64DF9">
              <w:rPr>
                <w:rFonts w:ascii="Calibri" w:hAnsi="Calibri" w:cs="Calibri"/>
                <w:b/>
                <w:bCs/>
                <w:color w:val="000000"/>
              </w:rPr>
              <w:t> </w:t>
            </w:r>
          </w:p>
        </w:tc>
        <w:tc>
          <w:tcPr>
            <w:tcW w:w="917" w:type="dxa"/>
            <w:tcBorders>
              <w:top w:val="nil"/>
              <w:left w:val="nil"/>
              <w:bottom w:val="single" w:sz="8" w:space="0" w:color="auto"/>
              <w:right w:val="single" w:sz="8" w:space="0" w:color="auto"/>
            </w:tcBorders>
            <w:shd w:val="clear" w:color="000000" w:fill="DDEBF7"/>
            <w:noWrap/>
            <w:vAlign w:val="bottom"/>
            <w:hideMark/>
          </w:tcPr>
          <w:p w:rsidR="001F1F89" w:rsidRPr="00D64DF9" w:rsidP="009E0B05" w14:paraId="5043CDD8" w14:textId="1C52A0BA">
            <w:pPr>
              <w:widowControl/>
              <w:spacing w:before="120" w:after="120"/>
              <w:rPr>
                <w:rFonts w:ascii="Calibri" w:hAnsi="Calibri" w:cs="Calibri"/>
                <w:b/>
                <w:bCs/>
                <w:color w:val="000000"/>
              </w:rPr>
            </w:pPr>
            <w:r w:rsidRPr="00D64DF9">
              <w:rPr>
                <w:rFonts w:ascii="Calibri" w:hAnsi="Calibri" w:cs="Calibri"/>
                <w:b/>
                <w:bCs/>
                <w:color w:val="000000"/>
              </w:rPr>
              <w:t> </w:t>
            </w:r>
            <w:r w:rsidR="00190C8F">
              <w:rPr>
                <w:rFonts w:ascii="Calibri" w:hAnsi="Calibri" w:cs="Calibri"/>
                <w:b/>
                <w:bCs/>
                <w:color w:val="000000"/>
              </w:rPr>
              <w:t>110</w:t>
            </w:r>
          </w:p>
        </w:tc>
        <w:tc>
          <w:tcPr>
            <w:tcW w:w="853" w:type="dxa"/>
            <w:tcBorders>
              <w:top w:val="nil"/>
              <w:left w:val="nil"/>
              <w:bottom w:val="single" w:sz="8" w:space="0" w:color="auto"/>
              <w:right w:val="single" w:sz="8" w:space="0" w:color="auto"/>
            </w:tcBorders>
            <w:shd w:val="clear" w:color="000000" w:fill="000000"/>
            <w:noWrap/>
            <w:vAlign w:val="bottom"/>
            <w:hideMark/>
          </w:tcPr>
          <w:p w:rsidR="001F1F89" w:rsidRPr="00D64DF9" w:rsidP="00615389" w14:paraId="543CC756" w14:textId="77777777">
            <w:pPr>
              <w:widowControl/>
              <w:spacing w:before="120" w:after="120"/>
              <w:rPr>
                <w:rFonts w:ascii="Calibri" w:hAnsi="Calibri" w:cs="Calibri"/>
                <w:b/>
                <w:bCs/>
                <w:color w:val="000000"/>
              </w:rPr>
            </w:pPr>
            <w:r w:rsidRPr="00D64DF9">
              <w:rPr>
                <w:rFonts w:ascii="Calibri" w:hAnsi="Calibri" w:cs="Calibri"/>
                <w:b/>
                <w:bCs/>
                <w:color w:val="000000"/>
              </w:rPr>
              <w:t> </w:t>
            </w:r>
          </w:p>
        </w:tc>
        <w:tc>
          <w:tcPr>
            <w:tcW w:w="946" w:type="dxa"/>
            <w:tcBorders>
              <w:top w:val="nil"/>
              <w:left w:val="nil"/>
              <w:bottom w:val="single" w:sz="8" w:space="0" w:color="auto"/>
              <w:right w:val="single" w:sz="8" w:space="0" w:color="auto"/>
            </w:tcBorders>
            <w:shd w:val="clear" w:color="000000" w:fill="DDEBF7"/>
            <w:noWrap/>
            <w:vAlign w:val="bottom"/>
            <w:hideMark/>
          </w:tcPr>
          <w:p w:rsidR="001F1F89" w:rsidRPr="00D64DF9" w:rsidP="00615389" w14:paraId="3AB81AD0" w14:textId="28ECB658">
            <w:pPr>
              <w:widowControl/>
              <w:spacing w:before="120" w:after="120"/>
              <w:rPr>
                <w:rFonts w:ascii="Calibri" w:hAnsi="Calibri" w:cs="Calibri"/>
                <w:b/>
                <w:bCs/>
                <w:color w:val="000000"/>
              </w:rPr>
            </w:pPr>
            <w:r>
              <w:rPr>
                <w:rFonts w:ascii="Calibri" w:hAnsi="Calibri" w:cs="Calibri"/>
                <w:b/>
                <w:bCs/>
                <w:color w:val="000000"/>
              </w:rPr>
              <w:t>105</w:t>
            </w:r>
          </w:p>
        </w:tc>
        <w:tc>
          <w:tcPr>
            <w:tcW w:w="1066" w:type="dxa"/>
            <w:tcBorders>
              <w:top w:val="nil"/>
              <w:left w:val="nil"/>
              <w:bottom w:val="single" w:sz="8" w:space="0" w:color="auto"/>
              <w:right w:val="single" w:sz="8" w:space="0" w:color="auto"/>
            </w:tcBorders>
            <w:shd w:val="clear" w:color="000000" w:fill="000000"/>
            <w:noWrap/>
            <w:vAlign w:val="bottom"/>
            <w:hideMark/>
          </w:tcPr>
          <w:p w:rsidR="001F1F89" w:rsidRPr="00D64DF9" w:rsidP="00615389" w14:paraId="43E97EF8" w14:textId="77777777">
            <w:pPr>
              <w:widowControl/>
              <w:spacing w:before="120" w:after="120"/>
              <w:rPr>
                <w:rFonts w:ascii="Calibri" w:hAnsi="Calibri" w:cs="Calibri"/>
                <w:b/>
                <w:bCs/>
                <w:color w:val="000000"/>
              </w:rPr>
            </w:pPr>
            <w:r w:rsidRPr="00D64DF9">
              <w:rPr>
                <w:rFonts w:ascii="Calibri" w:hAnsi="Calibri" w:cs="Calibri"/>
                <w:b/>
                <w:bCs/>
                <w:color w:val="000000"/>
              </w:rPr>
              <w:t> </w:t>
            </w:r>
          </w:p>
        </w:tc>
        <w:tc>
          <w:tcPr>
            <w:tcW w:w="1248" w:type="dxa"/>
            <w:tcBorders>
              <w:top w:val="nil"/>
              <w:left w:val="nil"/>
              <w:bottom w:val="single" w:sz="8" w:space="0" w:color="auto"/>
              <w:right w:val="single" w:sz="8" w:space="0" w:color="auto"/>
            </w:tcBorders>
            <w:shd w:val="clear" w:color="000000" w:fill="DDEBF7"/>
            <w:noWrap/>
            <w:vAlign w:val="bottom"/>
            <w:hideMark/>
          </w:tcPr>
          <w:p w:rsidR="001F1F89" w:rsidRPr="00D64DF9" w:rsidP="009E0B05" w14:paraId="6FB8CF06" w14:textId="1C1C1F58">
            <w:pPr>
              <w:widowControl/>
              <w:spacing w:before="120" w:after="120"/>
              <w:rPr>
                <w:rFonts w:ascii="Calibri" w:hAnsi="Calibri" w:cs="Calibri"/>
                <w:b/>
                <w:bCs/>
                <w:color w:val="000000"/>
              </w:rPr>
            </w:pPr>
            <w:r w:rsidRPr="00D64DF9">
              <w:rPr>
                <w:rFonts w:ascii="Calibri" w:hAnsi="Calibri" w:cs="Calibri"/>
                <w:b/>
                <w:bCs/>
                <w:color w:val="000000"/>
              </w:rPr>
              <w:t> </w:t>
            </w:r>
            <w:r>
              <w:rPr>
                <w:rFonts w:ascii="Calibri" w:hAnsi="Calibri" w:cs="Calibri"/>
                <w:b/>
                <w:bCs/>
                <w:color w:val="000000"/>
              </w:rPr>
              <w:t>$</w:t>
            </w:r>
            <w:r w:rsidR="00B73AFF">
              <w:rPr>
                <w:rFonts w:ascii="Calibri" w:hAnsi="Calibri" w:cs="Calibri"/>
                <w:b/>
                <w:bCs/>
                <w:color w:val="000000"/>
              </w:rPr>
              <w:t>2,927.33</w:t>
            </w:r>
          </w:p>
        </w:tc>
      </w:tr>
    </w:tbl>
    <w:p w:rsidR="001F1F89" w:rsidP="001F1F89" w14:paraId="1A05AD3E" w14:textId="2DA0E395">
      <w:pPr>
        <w:spacing w:before="120" w:after="120"/>
        <w:rPr>
          <w:b/>
          <w:color w:val="FF0000"/>
        </w:rPr>
      </w:pPr>
    </w:p>
    <w:p w:rsidR="0015580B" w14:paraId="66D3F2C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w:t>
      </w:r>
      <w:r>
        <w:rPr>
          <w:b/>
          <w:color w:val="000000"/>
        </w:rPr>
        <w:t xml:space="preserve"> annual cost burden to respondents or record keepers resulting from the collection of information. (Do not include the cost of any hour burden already reflected on the burden worksheet).</w:t>
      </w:r>
    </w:p>
    <w:p w:rsidR="001F1F89" w:rsidRPr="00B02257" w14:paraId="6C165CB1" w14:textId="77777777">
      <w:pPr>
        <w:pBdr>
          <w:top w:val="nil"/>
          <w:left w:val="nil"/>
          <w:bottom w:val="nil"/>
          <w:right w:val="nil"/>
          <w:between w:val="nil"/>
        </w:pBdr>
        <w:spacing w:before="159"/>
      </w:pPr>
      <w:r w:rsidRPr="00B02257">
        <w:t>There are no capital costs or operating and maintenance costs associa</w:t>
      </w:r>
      <w:r w:rsidRPr="00B02257">
        <w:t>ted with this information collection.</w:t>
      </w:r>
    </w:p>
    <w:p w:rsidR="001F1F89" w:rsidRPr="00B02257" w:rsidP="001F1F89" w14:paraId="54E0A9D3" w14:textId="0D844592">
      <w:pPr>
        <w:spacing w:before="120" w:after="120"/>
      </w:pPr>
      <w:r w:rsidRPr="00B02257">
        <w:rPr>
          <w:b/>
        </w:rPr>
        <w:t>National Marine Mammal Tissue Bank Tissue Request Form:</w:t>
      </w:r>
      <w:r w:rsidRPr="00B02257">
        <w:t xml:space="preserve"> </w:t>
      </w:r>
      <w:r w:rsidRPr="00B02257" w:rsidR="006C5BBF">
        <w:t>S</w:t>
      </w:r>
      <w:r w:rsidRPr="00B02257">
        <w:t>ubmission of these request forms and research findings may be made electronically</w:t>
      </w:r>
      <w:r w:rsidRPr="00B02257" w:rsidR="00B73AFF">
        <w:t xml:space="preserve"> and we</w:t>
      </w:r>
      <w:r w:rsidRPr="00B02257" w:rsidR="006C5BBF">
        <w:t xml:space="preserve"> </w:t>
      </w:r>
      <w:r w:rsidRPr="00B02257">
        <w:t xml:space="preserve">estimate that </w:t>
      </w:r>
      <w:r w:rsidRPr="00B02257" w:rsidR="00B73AFF">
        <w:t xml:space="preserve">no </w:t>
      </w:r>
      <w:r w:rsidRPr="00B02257">
        <w:t>applicants will submit via postal mail</w:t>
      </w:r>
      <w:r w:rsidRPr="00B02257" w:rsidR="006C5BBF">
        <w:t>.</w:t>
      </w:r>
    </w:p>
    <w:p w:rsidR="001F1F89" w:rsidRPr="00B02257" w:rsidP="001F1F89" w14:paraId="644E026B" w14:textId="07A0FE91">
      <w:pPr>
        <w:spacing w:before="120" w:after="120"/>
      </w:pPr>
      <w:r w:rsidRPr="00B02257">
        <w:rPr>
          <w:b/>
        </w:rPr>
        <w:t>National Mari</w:t>
      </w:r>
      <w:r w:rsidRPr="00B02257">
        <w:rPr>
          <w:b/>
        </w:rPr>
        <w:t>ne Mammal Tissue Bank Form:</w:t>
      </w:r>
      <w:r w:rsidRPr="00B02257">
        <w:t xml:space="preserve"> Shipping and sample homogenization costs for tissue samples </w:t>
      </w:r>
      <w:r w:rsidRPr="00B02257" w:rsidR="00B73AFF">
        <w:t xml:space="preserve">being contributed to the NMMTB </w:t>
      </w:r>
      <w:r w:rsidRPr="00B02257">
        <w:t>are borne by a collaborating agency, the National Institute of Standards and Technology (NIST) (all samples are homogenized before shippi</w:t>
      </w:r>
      <w:r w:rsidRPr="00B02257">
        <w:t>ng). Thus, the only cost for tissue sample submission is for copying the Tissue Bank Submission Form enclosed with each sample:</w:t>
      </w:r>
    </w:p>
    <w:p w:rsidR="001F1F89" w:rsidRPr="00B02257" w:rsidP="001F1F89" w14:paraId="1FBFA435" w14:textId="77777777">
      <w:pPr>
        <w:spacing w:before="120" w:after="120"/>
      </w:pPr>
    </w:p>
    <w:p w:rsidR="001F1F89" w:rsidRPr="00B02257" w:rsidP="001F1F89" w14:paraId="160B36DC" w14:textId="77777777">
      <w:pPr>
        <w:spacing w:before="120" w:after="120"/>
      </w:pPr>
      <w:r w:rsidRPr="00B02257">
        <w:t>Copying: 5 pages x $0.16 = $0.80 per tissue sample</w:t>
      </w:r>
    </w:p>
    <w:p w:rsidR="001F1F89" w:rsidRPr="00B02257" w:rsidP="006C5BBF" w14:paraId="7A7BD423" w14:textId="44AA40CA">
      <w:pPr>
        <w:spacing w:before="120" w:after="120"/>
      </w:pPr>
      <w:r w:rsidRPr="00B02257">
        <w:t>10</w:t>
      </w:r>
      <w:r w:rsidRPr="00B02257" w:rsidR="00D82AA1">
        <w:t>0 submissions per year = 100</w:t>
      </w:r>
      <w:r w:rsidRPr="00B02257">
        <w:t xml:space="preserve"> x $0.80 = $80.00 total annual cost burden.</w:t>
      </w:r>
    </w:p>
    <w:p w:rsidR="00C40492" w:rsidRPr="006C5BBF" w:rsidP="006C5BBF" w14:paraId="7F424D6A" w14:textId="73C99352">
      <w:pPr>
        <w:spacing w:before="120" w:after="120"/>
        <w:rPr>
          <w:color w:val="F79646" w:themeColor="accent6"/>
        </w:rPr>
      </w:pPr>
    </w:p>
    <w:tbl>
      <w:tblPr>
        <w:tblW w:w="10275" w:type="dxa"/>
        <w:tblInd w:w="-25" w:type="dxa"/>
        <w:tblLook w:val="04A0"/>
      </w:tblPr>
      <w:tblGrid>
        <w:gridCol w:w="2791"/>
        <w:gridCol w:w="1441"/>
        <w:gridCol w:w="1453"/>
        <w:gridCol w:w="1620"/>
        <w:gridCol w:w="1440"/>
        <w:gridCol w:w="1530"/>
      </w:tblGrid>
      <w:tr w14:paraId="022E20BA" w14:textId="77777777" w:rsidTr="00615389">
        <w:tblPrEx>
          <w:tblW w:w="10275" w:type="dxa"/>
          <w:tblInd w:w="-25" w:type="dxa"/>
          <w:tblLook w:val="04A0"/>
        </w:tblPrEx>
        <w:trPr>
          <w:trHeight w:val="915"/>
        </w:trPr>
        <w:tc>
          <w:tcPr>
            <w:tcW w:w="2791"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1F1F89" w:rsidRPr="00115034" w:rsidP="00615389" w14:paraId="7B864576" w14:textId="77777777">
            <w:pPr>
              <w:widowControl/>
              <w:spacing w:before="120" w:after="120"/>
              <w:jc w:val="center"/>
              <w:rPr>
                <w:rFonts w:ascii="Calibri" w:hAnsi="Calibri" w:cs="Calibri"/>
                <w:b/>
                <w:bCs/>
                <w:color w:val="000000"/>
                <w:sz w:val="16"/>
                <w:szCs w:val="16"/>
              </w:rPr>
            </w:pPr>
            <w:r w:rsidRPr="00115034">
              <w:rPr>
                <w:rFonts w:ascii="Calibri" w:hAnsi="Calibri" w:cs="Calibri"/>
                <w:b/>
                <w:bCs/>
                <w:color w:val="000000"/>
                <w:sz w:val="16"/>
                <w:szCs w:val="16"/>
              </w:rPr>
              <w:t>I</w:t>
            </w:r>
            <w:r w:rsidRPr="00115034">
              <w:rPr>
                <w:rFonts w:ascii="Calibri" w:hAnsi="Calibri" w:cs="Calibri"/>
                <w:b/>
                <w:bCs/>
                <w:color w:val="000000"/>
                <w:sz w:val="16"/>
                <w:szCs w:val="16"/>
              </w:rPr>
              <w:t>nformation Collection</w:t>
            </w:r>
          </w:p>
        </w:tc>
        <w:tc>
          <w:tcPr>
            <w:tcW w:w="1441" w:type="dxa"/>
            <w:tcBorders>
              <w:top w:val="single" w:sz="8" w:space="0" w:color="auto"/>
              <w:left w:val="nil"/>
              <w:bottom w:val="single" w:sz="8" w:space="0" w:color="auto"/>
              <w:right w:val="single" w:sz="8" w:space="0" w:color="000000"/>
            </w:tcBorders>
            <w:shd w:val="clear" w:color="000000" w:fill="BDD7EE"/>
            <w:vAlign w:val="center"/>
            <w:hideMark/>
          </w:tcPr>
          <w:p w:rsidR="001F1F89" w:rsidRPr="00115034" w:rsidP="00615389" w14:paraId="6923BEB8" w14:textId="77777777">
            <w:pPr>
              <w:widowControl/>
              <w:spacing w:before="120" w:after="120"/>
              <w:jc w:val="center"/>
              <w:rPr>
                <w:rFonts w:ascii="Calibri" w:hAnsi="Calibri" w:cs="Calibri"/>
                <w:b/>
                <w:bCs/>
                <w:color w:val="000000"/>
                <w:sz w:val="16"/>
                <w:szCs w:val="16"/>
              </w:rPr>
            </w:pPr>
            <w:r w:rsidRPr="00115034">
              <w:rPr>
                <w:rFonts w:ascii="Calibri" w:hAnsi="Calibri" w:cs="Calibri"/>
                <w:b/>
                <w:bCs/>
                <w:color w:val="000000"/>
                <w:sz w:val="16"/>
                <w:szCs w:val="16"/>
              </w:rPr>
              <w:t># of Respondents</w:t>
            </w:r>
            <w:r>
              <w:rPr>
                <w:rFonts w:ascii="Calibri" w:hAnsi="Calibri" w:cs="Calibri"/>
                <w:b/>
                <w:bCs/>
                <w:color w:val="000000"/>
                <w:sz w:val="16"/>
                <w:szCs w:val="16"/>
              </w:rPr>
              <w:t>/year</w:t>
            </w:r>
            <w:r w:rsidRPr="00115034">
              <w:rPr>
                <w:rFonts w:ascii="Calibri" w:hAnsi="Calibri" w:cs="Calibri"/>
                <w:b/>
                <w:bCs/>
                <w:color w:val="000000"/>
                <w:sz w:val="16"/>
                <w:szCs w:val="16"/>
              </w:rPr>
              <w:br/>
              <w:t>(a)</w:t>
            </w:r>
          </w:p>
        </w:tc>
        <w:tc>
          <w:tcPr>
            <w:tcW w:w="1453" w:type="dxa"/>
            <w:tcBorders>
              <w:top w:val="single" w:sz="8" w:space="0" w:color="auto"/>
              <w:left w:val="nil"/>
              <w:bottom w:val="single" w:sz="8" w:space="0" w:color="auto"/>
              <w:right w:val="single" w:sz="8" w:space="0" w:color="auto"/>
            </w:tcBorders>
            <w:shd w:val="clear" w:color="000000" w:fill="BDD7EE"/>
            <w:vAlign w:val="center"/>
            <w:hideMark/>
          </w:tcPr>
          <w:p w:rsidR="001F1F89" w:rsidRPr="00115034" w:rsidP="00615389" w14:paraId="1B58869E" w14:textId="77777777">
            <w:pPr>
              <w:widowControl/>
              <w:spacing w:before="120" w:after="120"/>
              <w:jc w:val="center"/>
              <w:rPr>
                <w:rFonts w:ascii="Calibri" w:hAnsi="Calibri" w:cs="Calibri"/>
                <w:b/>
                <w:bCs/>
                <w:color w:val="000000"/>
                <w:sz w:val="16"/>
                <w:szCs w:val="16"/>
              </w:rPr>
            </w:pPr>
            <w:r w:rsidRPr="00115034">
              <w:rPr>
                <w:rFonts w:ascii="Calibri" w:hAnsi="Calibri" w:cs="Calibri"/>
                <w:b/>
                <w:bCs/>
                <w:color w:val="000000"/>
                <w:sz w:val="16"/>
                <w:szCs w:val="16"/>
              </w:rPr>
              <w:t>Annual # of Responses / Respondent</w:t>
            </w:r>
            <w:r w:rsidRPr="00115034">
              <w:rPr>
                <w:rFonts w:ascii="Calibri" w:hAnsi="Calibri" w:cs="Calibri"/>
                <w:b/>
                <w:bCs/>
                <w:color w:val="000000"/>
                <w:sz w:val="16"/>
                <w:szCs w:val="16"/>
              </w:rPr>
              <w:br/>
              <w:t>(b)</w:t>
            </w:r>
          </w:p>
        </w:tc>
        <w:tc>
          <w:tcPr>
            <w:tcW w:w="1620" w:type="dxa"/>
            <w:tcBorders>
              <w:top w:val="single" w:sz="8" w:space="0" w:color="auto"/>
              <w:left w:val="nil"/>
              <w:bottom w:val="single" w:sz="8" w:space="0" w:color="auto"/>
              <w:right w:val="single" w:sz="8" w:space="0" w:color="auto"/>
            </w:tcBorders>
            <w:shd w:val="clear" w:color="000000" w:fill="BDD7EE"/>
            <w:vAlign w:val="center"/>
            <w:hideMark/>
          </w:tcPr>
          <w:p w:rsidR="001F1F89" w:rsidRPr="00115034" w:rsidP="00615389" w14:paraId="2E3112D9" w14:textId="77777777">
            <w:pPr>
              <w:widowControl/>
              <w:spacing w:before="120" w:after="120"/>
              <w:jc w:val="center"/>
              <w:rPr>
                <w:rFonts w:ascii="Calibri" w:hAnsi="Calibri" w:cs="Calibri"/>
                <w:b/>
                <w:bCs/>
                <w:color w:val="000000"/>
                <w:sz w:val="16"/>
                <w:szCs w:val="16"/>
              </w:rPr>
            </w:pPr>
            <w:r w:rsidRPr="00115034">
              <w:rPr>
                <w:rFonts w:ascii="Calibri" w:hAnsi="Calibri" w:cs="Calibri"/>
                <w:b/>
                <w:bCs/>
                <w:color w:val="000000"/>
                <w:sz w:val="16"/>
                <w:szCs w:val="16"/>
              </w:rPr>
              <w:t xml:space="preserve"> Total # of Annual Responses</w:t>
            </w:r>
            <w:r w:rsidRPr="00115034">
              <w:rPr>
                <w:rFonts w:ascii="Calibri" w:hAnsi="Calibri" w:cs="Calibri"/>
                <w:b/>
                <w:bCs/>
                <w:color w:val="000000"/>
                <w:sz w:val="16"/>
                <w:szCs w:val="16"/>
              </w:rPr>
              <w:br/>
              <w:t>(c) = (a) x (b)</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rsidR="001F1F89" w:rsidRPr="00115034" w:rsidP="00615389" w14:paraId="2BACD232" w14:textId="77777777">
            <w:pPr>
              <w:widowControl/>
              <w:spacing w:before="120" w:after="120"/>
              <w:jc w:val="center"/>
              <w:rPr>
                <w:rFonts w:ascii="Calibri" w:hAnsi="Calibri" w:cs="Calibri"/>
                <w:b/>
                <w:bCs/>
                <w:color w:val="000000"/>
                <w:sz w:val="16"/>
                <w:szCs w:val="16"/>
              </w:rPr>
            </w:pPr>
            <w:r w:rsidRPr="00115034">
              <w:rPr>
                <w:rFonts w:ascii="Calibri" w:hAnsi="Calibri" w:cs="Calibri"/>
                <w:b/>
                <w:bCs/>
                <w:color w:val="000000"/>
                <w:sz w:val="16"/>
                <w:szCs w:val="16"/>
              </w:rPr>
              <w:t>Cost Burden / Respondent</w:t>
            </w:r>
            <w:r w:rsidRPr="00115034">
              <w:rPr>
                <w:rFonts w:ascii="Calibri" w:hAnsi="Calibri" w:cs="Calibri"/>
                <w:b/>
                <w:bCs/>
                <w:color w:val="000000"/>
                <w:sz w:val="16"/>
                <w:szCs w:val="16"/>
              </w:rPr>
              <w:br/>
              <w:t>(h)</w:t>
            </w:r>
          </w:p>
        </w:tc>
        <w:tc>
          <w:tcPr>
            <w:tcW w:w="1530" w:type="dxa"/>
            <w:tcBorders>
              <w:top w:val="single" w:sz="8" w:space="0" w:color="auto"/>
              <w:left w:val="nil"/>
              <w:bottom w:val="single" w:sz="8" w:space="0" w:color="auto"/>
              <w:right w:val="single" w:sz="8" w:space="0" w:color="auto"/>
            </w:tcBorders>
            <w:shd w:val="clear" w:color="000000" w:fill="BDD7EE"/>
            <w:vAlign w:val="center"/>
            <w:hideMark/>
          </w:tcPr>
          <w:p w:rsidR="001F1F89" w:rsidRPr="00115034" w:rsidP="00615389" w14:paraId="200886F5" w14:textId="77777777">
            <w:pPr>
              <w:widowControl/>
              <w:spacing w:before="120" w:after="120"/>
              <w:jc w:val="center"/>
              <w:rPr>
                <w:rFonts w:ascii="Calibri" w:hAnsi="Calibri" w:cs="Calibri"/>
                <w:b/>
                <w:bCs/>
                <w:color w:val="000000"/>
                <w:sz w:val="16"/>
                <w:szCs w:val="16"/>
              </w:rPr>
            </w:pPr>
            <w:r w:rsidRPr="00115034">
              <w:rPr>
                <w:rFonts w:ascii="Calibri" w:hAnsi="Calibri" w:cs="Calibri"/>
                <w:b/>
                <w:bCs/>
                <w:color w:val="000000"/>
                <w:sz w:val="16"/>
                <w:szCs w:val="16"/>
              </w:rPr>
              <w:t>Total Annual Cost Burden</w:t>
            </w:r>
            <w:r w:rsidRPr="00115034">
              <w:rPr>
                <w:rFonts w:ascii="Calibri" w:hAnsi="Calibri" w:cs="Calibri"/>
                <w:b/>
                <w:bCs/>
                <w:color w:val="000000"/>
                <w:sz w:val="16"/>
                <w:szCs w:val="16"/>
              </w:rPr>
              <w:br/>
              <w:t>(i) = (c) x (h)</w:t>
            </w:r>
          </w:p>
        </w:tc>
      </w:tr>
      <w:tr w14:paraId="6564B877" w14:textId="77777777" w:rsidTr="00615389">
        <w:tblPrEx>
          <w:tblW w:w="10275" w:type="dxa"/>
          <w:tblInd w:w="-25" w:type="dxa"/>
          <w:tblLook w:val="04A0"/>
        </w:tblPrEx>
        <w:trPr>
          <w:trHeight w:val="300"/>
        </w:trPr>
        <w:tc>
          <w:tcPr>
            <w:tcW w:w="2791" w:type="dxa"/>
            <w:tcBorders>
              <w:top w:val="nil"/>
              <w:left w:val="single" w:sz="4" w:space="0" w:color="auto"/>
              <w:bottom w:val="single" w:sz="4" w:space="0" w:color="auto"/>
              <w:right w:val="single" w:sz="4" w:space="0" w:color="auto"/>
            </w:tcBorders>
            <w:shd w:val="clear" w:color="auto" w:fill="auto"/>
            <w:vAlign w:val="center"/>
            <w:hideMark/>
          </w:tcPr>
          <w:p w:rsidR="001F1F89" w:rsidRPr="00115034" w:rsidP="00615389" w14:paraId="3EAA2A21" w14:textId="77777777">
            <w:pPr>
              <w:widowControl/>
              <w:spacing w:before="120" w:after="120"/>
              <w:rPr>
                <w:rFonts w:ascii="Calibri" w:hAnsi="Calibri" w:cs="Calibri"/>
                <w:color w:val="000000"/>
                <w:sz w:val="16"/>
                <w:szCs w:val="16"/>
              </w:rPr>
            </w:pPr>
            <w:r w:rsidRPr="00115034">
              <w:rPr>
                <w:rFonts w:ascii="Calibri" w:hAnsi="Calibri" w:cs="Calibri"/>
                <w:color w:val="000000"/>
                <w:sz w:val="16"/>
                <w:szCs w:val="16"/>
              </w:rPr>
              <w:t> </w:t>
            </w:r>
            <w:r w:rsidRPr="007877B3">
              <w:rPr>
                <w:rFonts w:ascii="Calibri" w:hAnsi="Calibri" w:cs="Calibri"/>
                <w:color w:val="000000"/>
                <w:sz w:val="16"/>
                <w:szCs w:val="16"/>
              </w:rPr>
              <w:t xml:space="preserve">National Marine Mammal Tissue Bank Tissue Request </w:t>
            </w:r>
            <w:r w:rsidRPr="007877B3">
              <w:rPr>
                <w:rFonts w:ascii="Calibri" w:hAnsi="Calibri" w:cs="Calibri"/>
                <w:color w:val="000000"/>
                <w:sz w:val="16"/>
                <w:szCs w:val="16"/>
              </w:rPr>
              <w:t>Form</w:t>
            </w:r>
          </w:p>
        </w:tc>
        <w:tc>
          <w:tcPr>
            <w:tcW w:w="1441" w:type="dxa"/>
            <w:tcBorders>
              <w:top w:val="nil"/>
              <w:left w:val="nil"/>
              <w:bottom w:val="single" w:sz="4" w:space="0" w:color="auto"/>
              <w:right w:val="single" w:sz="4" w:space="0" w:color="auto"/>
            </w:tcBorders>
            <w:shd w:val="clear" w:color="000000" w:fill="FFFFFF"/>
            <w:vAlign w:val="center"/>
            <w:hideMark/>
          </w:tcPr>
          <w:p w:rsidR="001F1F89" w:rsidRPr="00115034" w:rsidP="00615389" w14:paraId="211F146D" w14:textId="09533AA9">
            <w:pPr>
              <w:widowControl/>
              <w:spacing w:before="120" w:after="120"/>
              <w:jc w:val="right"/>
              <w:rPr>
                <w:rFonts w:ascii="Calibri" w:hAnsi="Calibri" w:cs="Calibri"/>
                <w:color w:val="000000"/>
                <w:sz w:val="16"/>
                <w:szCs w:val="16"/>
              </w:rPr>
            </w:pPr>
            <w:r>
              <w:rPr>
                <w:rFonts w:ascii="Calibri" w:hAnsi="Calibri" w:cs="Calibri"/>
                <w:color w:val="000000"/>
                <w:sz w:val="16"/>
                <w:szCs w:val="16"/>
              </w:rPr>
              <w:t>5</w:t>
            </w:r>
            <w:r w:rsidRPr="00115034">
              <w:rPr>
                <w:rFonts w:ascii="Calibri" w:hAnsi="Calibri" w:cs="Calibri"/>
                <w:color w:val="000000"/>
                <w:sz w:val="16"/>
                <w:szCs w:val="16"/>
              </w:rPr>
              <w:t> </w:t>
            </w:r>
          </w:p>
        </w:tc>
        <w:tc>
          <w:tcPr>
            <w:tcW w:w="1453" w:type="dxa"/>
            <w:tcBorders>
              <w:top w:val="nil"/>
              <w:left w:val="nil"/>
              <w:bottom w:val="single" w:sz="4" w:space="0" w:color="auto"/>
              <w:right w:val="single" w:sz="4" w:space="0" w:color="auto"/>
            </w:tcBorders>
            <w:shd w:val="clear" w:color="000000" w:fill="FFFFFF"/>
            <w:vAlign w:val="center"/>
            <w:hideMark/>
          </w:tcPr>
          <w:p w:rsidR="001F1F89" w:rsidRPr="00115034" w:rsidP="00615389" w14:paraId="405F5B4F" w14:textId="5BC3D5BF">
            <w:pPr>
              <w:widowControl/>
              <w:spacing w:before="120" w:after="120"/>
              <w:jc w:val="right"/>
              <w:rPr>
                <w:rFonts w:ascii="Calibri" w:hAnsi="Calibri" w:cs="Calibri"/>
                <w:color w:val="000000"/>
                <w:sz w:val="16"/>
                <w:szCs w:val="16"/>
              </w:rPr>
            </w:pPr>
            <w:r>
              <w:rPr>
                <w:rFonts w:ascii="Calibri" w:hAnsi="Calibri" w:cs="Calibri"/>
                <w:color w:val="000000"/>
                <w:sz w:val="16"/>
                <w:szCs w:val="16"/>
              </w:rPr>
              <w:t>2</w:t>
            </w:r>
            <w:r w:rsidRPr="00115034">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000000" w:fill="FFFFFF"/>
            <w:vAlign w:val="center"/>
            <w:hideMark/>
          </w:tcPr>
          <w:p w:rsidR="001F1F89" w:rsidRPr="00115034" w:rsidP="00615389" w14:paraId="253ECB01" w14:textId="0A0DB504">
            <w:pPr>
              <w:widowControl/>
              <w:spacing w:before="120" w:after="120"/>
              <w:jc w:val="right"/>
              <w:rPr>
                <w:rFonts w:ascii="Calibri" w:hAnsi="Calibri" w:cs="Calibri"/>
                <w:color w:val="000000"/>
                <w:sz w:val="16"/>
                <w:szCs w:val="16"/>
              </w:rPr>
            </w:pPr>
            <w:r>
              <w:rPr>
                <w:rFonts w:ascii="Calibri" w:hAnsi="Calibri" w:cs="Calibri"/>
                <w:color w:val="000000"/>
                <w:sz w:val="16"/>
                <w:szCs w:val="16"/>
              </w:rPr>
              <w:t>1</w:t>
            </w:r>
            <w:r w:rsidR="006C5BBF">
              <w:rPr>
                <w:rFonts w:ascii="Calibri" w:hAnsi="Calibri" w:cs="Calibri"/>
                <w:color w:val="000000"/>
                <w:sz w:val="16"/>
                <w:szCs w:val="16"/>
              </w:rPr>
              <w:t>0</w:t>
            </w:r>
            <w:r w:rsidRPr="00115034">
              <w:rPr>
                <w:rFonts w:ascii="Calibri" w:hAnsi="Calibri" w:cs="Calibri"/>
                <w:color w:val="00000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rsidR="001F1F89" w:rsidRPr="00115034" w:rsidP="00615389" w14:paraId="74FEAF04" w14:textId="58233B87">
            <w:pPr>
              <w:widowControl/>
              <w:spacing w:before="120" w:after="120"/>
              <w:jc w:val="right"/>
              <w:rPr>
                <w:rFonts w:ascii="Calibri" w:hAnsi="Calibri" w:cs="Calibri"/>
                <w:color w:val="000000"/>
                <w:sz w:val="16"/>
                <w:szCs w:val="16"/>
              </w:rPr>
            </w:pPr>
            <w:r>
              <w:rPr>
                <w:rFonts w:ascii="Calibri" w:hAnsi="Calibri" w:cs="Calibri"/>
                <w:color w:val="000000"/>
                <w:sz w:val="16"/>
                <w:szCs w:val="16"/>
              </w:rPr>
              <w:t>$0</w:t>
            </w:r>
            <w:r w:rsidRPr="00115034">
              <w:rPr>
                <w:rFonts w:ascii="Calibri" w:hAnsi="Calibri" w:cs="Calibri"/>
                <w:color w:val="000000"/>
                <w:sz w:val="16"/>
                <w:szCs w:val="16"/>
              </w:rPr>
              <w:t> </w:t>
            </w:r>
          </w:p>
        </w:tc>
        <w:tc>
          <w:tcPr>
            <w:tcW w:w="1530" w:type="dxa"/>
            <w:tcBorders>
              <w:top w:val="nil"/>
              <w:left w:val="nil"/>
              <w:bottom w:val="single" w:sz="4" w:space="0" w:color="auto"/>
              <w:right w:val="single" w:sz="8" w:space="0" w:color="auto"/>
            </w:tcBorders>
            <w:shd w:val="clear" w:color="000000" w:fill="FFFFFF"/>
            <w:vAlign w:val="center"/>
            <w:hideMark/>
          </w:tcPr>
          <w:p w:rsidR="001F1F89" w:rsidRPr="00115034" w:rsidP="006C5BBF" w14:paraId="698D1B7F" w14:textId="4BC39609">
            <w:pPr>
              <w:widowControl/>
              <w:spacing w:before="120" w:after="120"/>
              <w:jc w:val="right"/>
              <w:rPr>
                <w:rFonts w:ascii="Calibri" w:hAnsi="Calibri" w:cs="Calibri"/>
                <w:color w:val="000000"/>
                <w:sz w:val="16"/>
                <w:szCs w:val="16"/>
              </w:rPr>
            </w:pPr>
            <w:r>
              <w:rPr>
                <w:rFonts w:ascii="Calibri" w:hAnsi="Calibri" w:cs="Calibri"/>
                <w:color w:val="000000"/>
                <w:sz w:val="16"/>
                <w:szCs w:val="16"/>
              </w:rPr>
              <w:t>$</w:t>
            </w:r>
            <w:r w:rsidR="006C5BBF">
              <w:rPr>
                <w:rFonts w:ascii="Calibri" w:hAnsi="Calibri" w:cs="Calibri"/>
                <w:color w:val="000000"/>
                <w:sz w:val="16"/>
                <w:szCs w:val="16"/>
              </w:rPr>
              <w:t>0</w:t>
            </w:r>
            <w:r w:rsidRPr="00115034">
              <w:rPr>
                <w:rFonts w:ascii="Calibri" w:hAnsi="Calibri" w:cs="Calibri"/>
                <w:color w:val="000000"/>
                <w:sz w:val="16"/>
                <w:szCs w:val="16"/>
              </w:rPr>
              <w:t>  </w:t>
            </w:r>
          </w:p>
        </w:tc>
      </w:tr>
      <w:tr w14:paraId="16EF643A" w14:textId="77777777" w:rsidTr="00615389">
        <w:tblPrEx>
          <w:tblW w:w="10275" w:type="dxa"/>
          <w:tblInd w:w="-25" w:type="dxa"/>
          <w:tblLook w:val="04A0"/>
        </w:tblPrEx>
        <w:trPr>
          <w:trHeight w:val="300"/>
        </w:trPr>
        <w:tc>
          <w:tcPr>
            <w:tcW w:w="2791" w:type="dxa"/>
            <w:tcBorders>
              <w:top w:val="nil"/>
              <w:left w:val="single" w:sz="4" w:space="0" w:color="auto"/>
              <w:bottom w:val="single" w:sz="4" w:space="0" w:color="auto"/>
              <w:right w:val="single" w:sz="4" w:space="0" w:color="auto"/>
            </w:tcBorders>
            <w:shd w:val="clear" w:color="auto" w:fill="auto"/>
            <w:vAlign w:val="center"/>
            <w:hideMark/>
          </w:tcPr>
          <w:p w:rsidR="001F1F89" w:rsidRPr="00115034" w:rsidP="00615389" w14:paraId="6405AB8F" w14:textId="7281C1FC">
            <w:pPr>
              <w:widowControl/>
              <w:spacing w:before="120" w:after="120"/>
              <w:rPr>
                <w:rFonts w:ascii="Calibri" w:hAnsi="Calibri" w:cs="Calibri"/>
                <w:color w:val="000000"/>
                <w:sz w:val="16"/>
                <w:szCs w:val="16"/>
              </w:rPr>
            </w:pPr>
            <w:r w:rsidRPr="00115034">
              <w:rPr>
                <w:rFonts w:ascii="Calibri" w:hAnsi="Calibri" w:cs="Calibri"/>
                <w:color w:val="000000"/>
                <w:sz w:val="16"/>
                <w:szCs w:val="16"/>
              </w:rPr>
              <w:t> </w:t>
            </w:r>
            <w:r w:rsidRPr="007877B3">
              <w:rPr>
                <w:rFonts w:ascii="Calibri" w:hAnsi="Calibri" w:cs="Calibri"/>
                <w:color w:val="000000"/>
                <w:sz w:val="16"/>
                <w:szCs w:val="16"/>
              </w:rPr>
              <w:t>National Marine Mammal Tissue Bank Form</w:t>
            </w:r>
            <w:r w:rsidR="00D82AA1">
              <w:rPr>
                <w:rFonts w:ascii="Calibri" w:hAnsi="Calibri" w:cs="Calibri"/>
                <w:color w:val="000000"/>
                <w:sz w:val="16"/>
                <w:szCs w:val="16"/>
              </w:rPr>
              <w:t xml:space="preserve"> (Zoologists and Wildlife Biologists)</w:t>
            </w:r>
          </w:p>
        </w:tc>
        <w:tc>
          <w:tcPr>
            <w:tcW w:w="1441" w:type="dxa"/>
            <w:tcBorders>
              <w:top w:val="nil"/>
              <w:left w:val="nil"/>
              <w:bottom w:val="single" w:sz="4" w:space="0" w:color="auto"/>
              <w:right w:val="single" w:sz="4" w:space="0" w:color="auto"/>
            </w:tcBorders>
            <w:shd w:val="clear" w:color="000000" w:fill="FFFFFF"/>
            <w:vAlign w:val="center"/>
            <w:hideMark/>
          </w:tcPr>
          <w:p w:rsidR="001F1F89" w:rsidRPr="00115034" w:rsidP="00615389" w14:paraId="4893703B" w14:textId="20FBD251">
            <w:pPr>
              <w:widowControl/>
              <w:spacing w:before="120" w:after="120"/>
              <w:jc w:val="right"/>
              <w:rPr>
                <w:rFonts w:ascii="Calibri" w:hAnsi="Calibri" w:cs="Calibri"/>
                <w:color w:val="000000"/>
                <w:sz w:val="16"/>
                <w:szCs w:val="16"/>
              </w:rPr>
            </w:pPr>
            <w:r>
              <w:rPr>
                <w:rFonts w:ascii="Calibri" w:hAnsi="Calibri" w:cs="Calibri"/>
                <w:color w:val="000000"/>
                <w:sz w:val="16"/>
                <w:szCs w:val="16"/>
              </w:rPr>
              <w:t>15</w:t>
            </w:r>
          </w:p>
        </w:tc>
        <w:tc>
          <w:tcPr>
            <w:tcW w:w="1453" w:type="dxa"/>
            <w:tcBorders>
              <w:top w:val="nil"/>
              <w:left w:val="nil"/>
              <w:bottom w:val="single" w:sz="4" w:space="0" w:color="auto"/>
              <w:right w:val="single" w:sz="4" w:space="0" w:color="auto"/>
            </w:tcBorders>
            <w:shd w:val="clear" w:color="000000" w:fill="FFFFFF"/>
            <w:vAlign w:val="center"/>
            <w:hideMark/>
          </w:tcPr>
          <w:p w:rsidR="001F1F89" w:rsidRPr="00115034" w:rsidP="00615389" w14:paraId="5B4554C2" w14:textId="37304512">
            <w:pPr>
              <w:widowControl/>
              <w:spacing w:before="120" w:after="120"/>
              <w:jc w:val="right"/>
              <w:rPr>
                <w:rFonts w:ascii="Calibri" w:hAnsi="Calibri" w:cs="Calibri"/>
                <w:color w:val="000000"/>
                <w:sz w:val="16"/>
                <w:szCs w:val="16"/>
              </w:rPr>
            </w:pPr>
            <w:r>
              <w:rPr>
                <w:rFonts w:ascii="Calibri" w:hAnsi="Calibri" w:cs="Calibri"/>
                <w:color w:val="000000"/>
                <w:sz w:val="16"/>
                <w:szCs w:val="16"/>
              </w:rPr>
              <w:t>5</w:t>
            </w:r>
          </w:p>
        </w:tc>
        <w:tc>
          <w:tcPr>
            <w:tcW w:w="1620" w:type="dxa"/>
            <w:tcBorders>
              <w:top w:val="nil"/>
              <w:left w:val="nil"/>
              <w:bottom w:val="single" w:sz="4" w:space="0" w:color="auto"/>
              <w:right w:val="single" w:sz="4" w:space="0" w:color="auto"/>
            </w:tcBorders>
            <w:shd w:val="clear" w:color="000000" w:fill="FFFFFF"/>
            <w:vAlign w:val="center"/>
            <w:hideMark/>
          </w:tcPr>
          <w:p w:rsidR="001F1F89" w:rsidRPr="00115034" w:rsidP="00615389" w14:paraId="0DD181B4" w14:textId="6E9EE415">
            <w:pPr>
              <w:widowControl/>
              <w:spacing w:before="120" w:after="120"/>
              <w:jc w:val="right"/>
              <w:rPr>
                <w:rFonts w:ascii="Calibri" w:hAnsi="Calibri" w:cs="Calibri"/>
                <w:color w:val="000000"/>
                <w:sz w:val="16"/>
                <w:szCs w:val="16"/>
              </w:rPr>
            </w:pPr>
            <w:r>
              <w:rPr>
                <w:rFonts w:ascii="Calibri" w:hAnsi="Calibri" w:cs="Calibri"/>
                <w:color w:val="000000"/>
                <w:sz w:val="16"/>
                <w:szCs w:val="16"/>
              </w:rPr>
              <w:t>75</w:t>
            </w:r>
          </w:p>
        </w:tc>
        <w:tc>
          <w:tcPr>
            <w:tcW w:w="1440" w:type="dxa"/>
            <w:tcBorders>
              <w:top w:val="nil"/>
              <w:left w:val="nil"/>
              <w:bottom w:val="single" w:sz="4" w:space="0" w:color="auto"/>
              <w:right w:val="single" w:sz="4" w:space="0" w:color="auto"/>
            </w:tcBorders>
            <w:shd w:val="clear" w:color="000000" w:fill="FFFFFF"/>
            <w:vAlign w:val="center"/>
            <w:hideMark/>
          </w:tcPr>
          <w:p w:rsidR="001F1F89" w:rsidRPr="00115034" w:rsidP="00D82AA1" w14:paraId="39698718" w14:textId="122F358B">
            <w:pPr>
              <w:widowControl/>
              <w:spacing w:before="120" w:after="120"/>
              <w:jc w:val="right"/>
              <w:rPr>
                <w:rFonts w:ascii="Calibri" w:hAnsi="Calibri" w:cs="Calibri"/>
                <w:color w:val="000000"/>
                <w:sz w:val="16"/>
                <w:szCs w:val="16"/>
              </w:rPr>
            </w:pPr>
            <w:r>
              <w:rPr>
                <w:rFonts w:ascii="Calibri" w:hAnsi="Calibri" w:cs="Calibri"/>
                <w:color w:val="000000"/>
                <w:sz w:val="16"/>
                <w:szCs w:val="16"/>
              </w:rPr>
              <w:t>$0.80</w:t>
            </w:r>
          </w:p>
        </w:tc>
        <w:tc>
          <w:tcPr>
            <w:tcW w:w="1530" w:type="dxa"/>
            <w:tcBorders>
              <w:top w:val="nil"/>
              <w:left w:val="nil"/>
              <w:bottom w:val="single" w:sz="4" w:space="0" w:color="auto"/>
              <w:right w:val="single" w:sz="8" w:space="0" w:color="auto"/>
            </w:tcBorders>
            <w:shd w:val="clear" w:color="000000" w:fill="FFFFFF"/>
            <w:vAlign w:val="center"/>
            <w:hideMark/>
          </w:tcPr>
          <w:p w:rsidR="001F1F89" w:rsidRPr="00115034" w:rsidP="00D82AA1" w14:paraId="2070801C" w14:textId="41CF91E2">
            <w:pPr>
              <w:widowControl/>
              <w:spacing w:before="120" w:after="120"/>
              <w:jc w:val="right"/>
              <w:rPr>
                <w:rFonts w:ascii="Calibri" w:hAnsi="Calibri" w:cs="Calibri"/>
                <w:color w:val="000000"/>
                <w:sz w:val="16"/>
                <w:szCs w:val="16"/>
              </w:rPr>
            </w:pPr>
            <w:r>
              <w:rPr>
                <w:rFonts w:ascii="Calibri" w:hAnsi="Calibri" w:cs="Calibri"/>
                <w:color w:val="000000"/>
                <w:sz w:val="16"/>
                <w:szCs w:val="16"/>
              </w:rPr>
              <w:t>$</w:t>
            </w:r>
            <w:r w:rsidR="00D82AA1">
              <w:rPr>
                <w:rFonts w:ascii="Calibri" w:hAnsi="Calibri" w:cs="Calibri"/>
                <w:color w:val="000000"/>
                <w:sz w:val="16"/>
                <w:szCs w:val="16"/>
              </w:rPr>
              <w:t>60</w:t>
            </w:r>
          </w:p>
        </w:tc>
      </w:tr>
      <w:tr w14:paraId="1BC3C05C" w14:textId="77777777" w:rsidTr="001F0C12">
        <w:tblPrEx>
          <w:tblW w:w="10275" w:type="dxa"/>
          <w:tblInd w:w="-25" w:type="dxa"/>
          <w:tblLook w:val="04A0"/>
        </w:tblPrEx>
        <w:trPr>
          <w:trHeight w:val="300"/>
        </w:trPr>
        <w:tc>
          <w:tcPr>
            <w:tcW w:w="2791" w:type="dxa"/>
            <w:tcBorders>
              <w:top w:val="nil"/>
              <w:left w:val="single" w:sz="4" w:space="0" w:color="auto"/>
              <w:bottom w:val="single" w:sz="4" w:space="0" w:color="auto"/>
              <w:right w:val="single" w:sz="4" w:space="0" w:color="auto"/>
            </w:tcBorders>
            <w:shd w:val="clear" w:color="auto" w:fill="auto"/>
            <w:vAlign w:val="bottom"/>
          </w:tcPr>
          <w:p w:rsidR="00D82AA1" w:rsidRPr="00115034" w:rsidP="00D82AA1" w14:paraId="313CC3CA" w14:textId="3956DFE4">
            <w:pPr>
              <w:widowControl/>
              <w:spacing w:before="120" w:after="120"/>
              <w:rPr>
                <w:rFonts w:ascii="Calibri" w:hAnsi="Calibri" w:cs="Calibri"/>
                <w:color w:val="000000"/>
                <w:sz w:val="16"/>
                <w:szCs w:val="16"/>
              </w:rPr>
            </w:pPr>
            <w:r w:rsidRPr="00D64DF9">
              <w:rPr>
                <w:rFonts w:ascii="Calibri" w:hAnsi="Calibri" w:cs="Calibri"/>
                <w:color w:val="000000"/>
                <w:sz w:val="16"/>
                <w:szCs w:val="16"/>
              </w:rPr>
              <w:t>  </w:t>
            </w:r>
            <w:r w:rsidRPr="00DE342F">
              <w:rPr>
                <w:rFonts w:ascii="Calibri" w:hAnsi="Calibri" w:cs="Calibri"/>
                <w:color w:val="000000"/>
                <w:sz w:val="16"/>
                <w:szCs w:val="16"/>
              </w:rPr>
              <w:t>National Marine Mammal Tissue Bank Form</w:t>
            </w:r>
            <w:r>
              <w:rPr>
                <w:rFonts w:ascii="Calibri" w:hAnsi="Calibri" w:cs="Calibri"/>
                <w:color w:val="000000"/>
                <w:sz w:val="16"/>
                <w:szCs w:val="16"/>
              </w:rPr>
              <w:t xml:space="preserve"> (Subsistence hunter)</w:t>
            </w:r>
          </w:p>
        </w:tc>
        <w:tc>
          <w:tcPr>
            <w:tcW w:w="1441" w:type="dxa"/>
            <w:tcBorders>
              <w:top w:val="nil"/>
              <w:left w:val="nil"/>
              <w:bottom w:val="single" w:sz="4" w:space="0" w:color="auto"/>
              <w:right w:val="single" w:sz="4" w:space="0" w:color="auto"/>
            </w:tcBorders>
            <w:shd w:val="clear" w:color="000000" w:fill="FFFFFF"/>
            <w:vAlign w:val="bottom"/>
          </w:tcPr>
          <w:p w:rsidR="00D82AA1" w:rsidP="00D82AA1" w14:paraId="032FF63A" w14:textId="5C75A913">
            <w:pPr>
              <w:widowControl/>
              <w:spacing w:before="120" w:after="120"/>
              <w:jc w:val="right"/>
              <w:rPr>
                <w:rFonts w:ascii="Calibri" w:hAnsi="Calibri" w:cs="Calibri"/>
                <w:color w:val="000000"/>
                <w:sz w:val="16"/>
                <w:szCs w:val="16"/>
              </w:rPr>
            </w:pPr>
            <w:r>
              <w:rPr>
                <w:rFonts w:ascii="Calibri" w:hAnsi="Calibri" w:cs="Calibri"/>
                <w:color w:val="000000"/>
                <w:sz w:val="16"/>
                <w:szCs w:val="16"/>
              </w:rPr>
              <w:t>5</w:t>
            </w:r>
          </w:p>
        </w:tc>
        <w:tc>
          <w:tcPr>
            <w:tcW w:w="1453" w:type="dxa"/>
            <w:tcBorders>
              <w:top w:val="nil"/>
              <w:left w:val="nil"/>
              <w:bottom w:val="single" w:sz="4" w:space="0" w:color="auto"/>
              <w:right w:val="single" w:sz="4" w:space="0" w:color="auto"/>
            </w:tcBorders>
            <w:shd w:val="clear" w:color="000000" w:fill="FFFFFF"/>
            <w:vAlign w:val="center"/>
          </w:tcPr>
          <w:p w:rsidR="00D82AA1" w:rsidP="00D82AA1" w14:paraId="6205BA61" w14:textId="510127ED">
            <w:pPr>
              <w:widowControl/>
              <w:spacing w:before="120" w:after="120"/>
              <w:jc w:val="right"/>
              <w:rPr>
                <w:rFonts w:ascii="Calibri" w:hAnsi="Calibri" w:cs="Calibri"/>
                <w:color w:val="000000"/>
                <w:sz w:val="16"/>
                <w:szCs w:val="16"/>
              </w:rPr>
            </w:pPr>
            <w:r>
              <w:rPr>
                <w:rFonts w:ascii="Calibri" w:hAnsi="Calibri" w:cs="Calibri"/>
                <w:color w:val="000000"/>
                <w:sz w:val="16"/>
                <w:szCs w:val="16"/>
              </w:rPr>
              <w:t>5</w:t>
            </w:r>
          </w:p>
        </w:tc>
        <w:tc>
          <w:tcPr>
            <w:tcW w:w="1620" w:type="dxa"/>
            <w:tcBorders>
              <w:top w:val="nil"/>
              <w:left w:val="nil"/>
              <w:bottom w:val="single" w:sz="4" w:space="0" w:color="auto"/>
              <w:right w:val="single" w:sz="4" w:space="0" w:color="auto"/>
            </w:tcBorders>
            <w:shd w:val="clear" w:color="000000" w:fill="FFFFFF"/>
            <w:vAlign w:val="center"/>
          </w:tcPr>
          <w:p w:rsidR="00D82AA1" w:rsidP="00D82AA1" w14:paraId="10CBF4A2" w14:textId="55EF99B7">
            <w:pPr>
              <w:widowControl/>
              <w:spacing w:before="120" w:after="120"/>
              <w:jc w:val="right"/>
              <w:rPr>
                <w:rFonts w:ascii="Calibri" w:hAnsi="Calibri" w:cs="Calibri"/>
                <w:color w:val="000000"/>
                <w:sz w:val="16"/>
                <w:szCs w:val="16"/>
              </w:rPr>
            </w:pPr>
            <w:r>
              <w:rPr>
                <w:rFonts w:ascii="Calibri" w:hAnsi="Calibri" w:cs="Calibri"/>
                <w:color w:val="000000"/>
                <w:sz w:val="16"/>
                <w:szCs w:val="16"/>
              </w:rPr>
              <w:t>25</w:t>
            </w:r>
          </w:p>
        </w:tc>
        <w:tc>
          <w:tcPr>
            <w:tcW w:w="1440" w:type="dxa"/>
            <w:tcBorders>
              <w:top w:val="nil"/>
              <w:left w:val="nil"/>
              <w:bottom w:val="single" w:sz="4" w:space="0" w:color="auto"/>
              <w:right w:val="single" w:sz="4" w:space="0" w:color="auto"/>
            </w:tcBorders>
            <w:shd w:val="clear" w:color="000000" w:fill="FFFFFF"/>
            <w:vAlign w:val="center"/>
          </w:tcPr>
          <w:p w:rsidR="00D82AA1" w:rsidP="00D82AA1" w14:paraId="7B74A9B7" w14:textId="67B92B97">
            <w:pPr>
              <w:widowControl/>
              <w:spacing w:before="120" w:after="120"/>
              <w:jc w:val="right"/>
              <w:rPr>
                <w:rFonts w:ascii="Calibri" w:hAnsi="Calibri" w:cs="Calibri"/>
                <w:color w:val="000000"/>
                <w:sz w:val="16"/>
                <w:szCs w:val="16"/>
              </w:rPr>
            </w:pPr>
            <w:r>
              <w:rPr>
                <w:rFonts w:ascii="Calibri" w:hAnsi="Calibri" w:cs="Calibri"/>
                <w:color w:val="000000"/>
                <w:sz w:val="16"/>
                <w:szCs w:val="16"/>
              </w:rPr>
              <w:t>$0.80</w:t>
            </w:r>
          </w:p>
        </w:tc>
        <w:tc>
          <w:tcPr>
            <w:tcW w:w="1530" w:type="dxa"/>
            <w:tcBorders>
              <w:top w:val="nil"/>
              <w:left w:val="nil"/>
              <w:bottom w:val="single" w:sz="4" w:space="0" w:color="auto"/>
              <w:right w:val="single" w:sz="8" w:space="0" w:color="auto"/>
            </w:tcBorders>
            <w:shd w:val="clear" w:color="000000" w:fill="FFFFFF"/>
            <w:vAlign w:val="center"/>
          </w:tcPr>
          <w:p w:rsidR="00D82AA1" w:rsidP="00D82AA1" w14:paraId="459FBA88" w14:textId="18430221">
            <w:pPr>
              <w:widowControl/>
              <w:spacing w:before="120" w:after="120"/>
              <w:jc w:val="right"/>
              <w:rPr>
                <w:rFonts w:ascii="Calibri" w:hAnsi="Calibri" w:cs="Calibri"/>
                <w:color w:val="000000"/>
                <w:sz w:val="16"/>
                <w:szCs w:val="16"/>
              </w:rPr>
            </w:pPr>
            <w:r>
              <w:rPr>
                <w:rFonts w:ascii="Calibri" w:hAnsi="Calibri" w:cs="Calibri"/>
                <w:color w:val="000000"/>
                <w:sz w:val="16"/>
                <w:szCs w:val="16"/>
              </w:rPr>
              <w:t>$20</w:t>
            </w:r>
          </w:p>
        </w:tc>
      </w:tr>
      <w:tr w14:paraId="0355E76E" w14:textId="77777777" w:rsidTr="00615389">
        <w:tblPrEx>
          <w:tblW w:w="10275" w:type="dxa"/>
          <w:tblInd w:w="-25" w:type="dxa"/>
          <w:tblLook w:val="04A0"/>
        </w:tblPrEx>
        <w:trPr>
          <w:trHeight w:val="315"/>
        </w:trPr>
        <w:tc>
          <w:tcPr>
            <w:tcW w:w="2791" w:type="dxa"/>
            <w:tcBorders>
              <w:top w:val="single" w:sz="8" w:space="0" w:color="auto"/>
              <w:left w:val="single" w:sz="8" w:space="0" w:color="auto"/>
              <w:bottom w:val="single" w:sz="8" w:space="0" w:color="auto"/>
              <w:right w:val="single" w:sz="4" w:space="0" w:color="auto"/>
            </w:tcBorders>
            <w:shd w:val="clear" w:color="000000" w:fill="DDEBF7"/>
            <w:vAlign w:val="center"/>
            <w:hideMark/>
          </w:tcPr>
          <w:p w:rsidR="00D82AA1" w:rsidRPr="00115034" w:rsidP="00D82AA1" w14:paraId="78E4C56E" w14:textId="77777777">
            <w:pPr>
              <w:widowControl/>
              <w:spacing w:before="120" w:after="120"/>
              <w:jc w:val="right"/>
              <w:rPr>
                <w:rFonts w:ascii="Calibri" w:hAnsi="Calibri" w:cs="Calibri"/>
                <w:b/>
                <w:bCs/>
                <w:color w:val="000000"/>
                <w:sz w:val="16"/>
                <w:szCs w:val="16"/>
              </w:rPr>
            </w:pPr>
            <w:r w:rsidRPr="00115034">
              <w:rPr>
                <w:rFonts w:ascii="Calibri" w:hAnsi="Calibri" w:cs="Calibri"/>
                <w:b/>
                <w:bCs/>
                <w:color w:val="000000"/>
                <w:sz w:val="16"/>
                <w:szCs w:val="16"/>
              </w:rPr>
              <w:t>TOTALS</w:t>
            </w:r>
          </w:p>
        </w:tc>
        <w:tc>
          <w:tcPr>
            <w:tcW w:w="1441" w:type="dxa"/>
            <w:tcBorders>
              <w:top w:val="single" w:sz="8" w:space="0" w:color="auto"/>
              <w:left w:val="nil"/>
              <w:bottom w:val="single" w:sz="8" w:space="0" w:color="auto"/>
              <w:right w:val="single" w:sz="4" w:space="0" w:color="auto"/>
            </w:tcBorders>
            <w:shd w:val="clear" w:color="auto" w:fill="000000" w:themeFill="text1"/>
            <w:vAlign w:val="center"/>
            <w:hideMark/>
          </w:tcPr>
          <w:p w:rsidR="00D82AA1" w:rsidRPr="00115034" w:rsidP="00D82AA1" w14:paraId="7B770E49" w14:textId="77777777">
            <w:pPr>
              <w:widowControl/>
              <w:spacing w:before="120" w:after="120"/>
              <w:jc w:val="right"/>
              <w:rPr>
                <w:rFonts w:ascii="Calibri" w:hAnsi="Calibri" w:cs="Calibri"/>
                <w:b/>
                <w:bCs/>
                <w:color w:val="000000"/>
                <w:sz w:val="16"/>
                <w:szCs w:val="16"/>
              </w:rPr>
            </w:pPr>
            <w:r w:rsidRPr="00115034">
              <w:rPr>
                <w:rFonts w:ascii="Calibri" w:hAnsi="Calibri" w:cs="Calibri"/>
                <w:b/>
                <w:bCs/>
                <w:color w:val="000000"/>
                <w:sz w:val="16"/>
                <w:szCs w:val="16"/>
              </w:rPr>
              <w:t> </w:t>
            </w:r>
          </w:p>
        </w:tc>
        <w:tc>
          <w:tcPr>
            <w:tcW w:w="1453" w:type="dxa"/>
            <w:tcBorders>
              <w:top w:val="single" w:sz="8" w:space="0" w:color="auto"/>
              <w:left w:val="nil"/>
              <w:bottom w:val="single" w:sz="8" w:space="0" w:color="auto"/>
              <w:right w:val="single" w:sz="4" w:space="0" w:color="auto"/>
            </w:tcBorders>
            <w:shd w:val="clear" w:color="auto" w:fill="000000" w:themeFill="text1"/>
            <w:vAlign w:val="center"/>
            <w:hideMark/>
          </w:tcPr>
          <w:p w:rsidR="00D82AA1" w:rsidRPr="00115034" w:rsidP="00D82AA1" w14:paraId="216BF424" w14:textId="77777777">
            <w:pPr>
              <w:widowControl/>
              <w:spacing w:before="120" w:after="120"/>
              <w:jc w:val="right"/>
              <w:rPr>
                <w:rFonts w:ascii="Calibri" w:hAnsi="Calibri" w:cs="Calibri"/>
                <w:b/>
                <w:bCs/>
                <w:color w:val="000000"/>
                <w:sz w:val="16"/>
                <w:szCs w:val="16"/>
              </w:rPr>
            </w:pPr>
            <w:r w:rsidRPr="00115034">
              <w:rPr>
                <w:rFonts w:ascii="Calibri" w:hAnsi="Calibri" w:cs="Calibri"/>
                <w:b/>
                <w:bCs/>
                <w:color w:val="000000"/>
                <w:sz w:val="16"/>
                <w:szCs w:val="16"/>
              </w:rPr>
              <w:t> </w:t>
            </w:r>
          </w:p>
        </w:tc>
        <w:tc>
          <w:tcPr>
            <w:tcW w:w="1620" w:type="dxa"/>
            <w:tcBorders>
              <w:top w:val="single" w:sz="8" w:space="0" w:color="auto"/>
              <w:left w:val="nil"/>
              <w:bottom w:val="single" w:sz="8" w:space="0" w:color="auto"/>
              <w:right w:val="single" w:sz="4" w:space="0" w:color="auto"/>
            </w:tcBorders>
            <w:shd w:val="clear" w:color="000000" w:fill="DDEBF7"/>
            <w:vAlign w:val="center"/>
            <w:hideMark/>
          </w:tcPr>
          <w:p w:rsidR="00D82AA1" w:rsidRPr="00115034" w:rsidP="00D82AA1" w14:paraId="4581D907" w14:textId="15DE02D6">
            <w:pPr>
              <w:widowControl/>
              <w:spacing w:before="120" w:after="120"/>
              <w:jc w:val="right"/>
              <w:rPr>
                <w:rFonts w:ascii="Calibri" w:hAnsi="Calibri" w:cs="Calibri"/>
                <w:b/>
                <w:bCs/>
                <w:color w:val="000000"/>
                <w:sz w:val="16"/>
                <w:szCs w:val="16"/>
              </w:rPr>
            </w:pPr>
            <w:r>
              <w:rPr>
                <w:rFonts w:ascii="Calibri" w:hAnsi="Calibri" w:cs="Calibri"/>
                <w:b/>
                <w:bCs/>
                <w:color w:val="000000"/>
                <w:sz w:val="16"/>
                <w:szCs w:val="16"/>
              </w:rPr>
              <w:t>110</w:t>
            </w:r>
            <w:r w:rsidRPr="00115034">
              <w:rPr>
                <w:rFonts w:ascii="Calibri" w:hAnsi="Calibri" w:cs="Calibri"/>
                <w:b/>
                <w:bCs/>
                <w:color w:val="000000"/>
                <w:sz w:val="16"/>
                <w:szCs w:val="16"/>
              </w:rPr>
              <w:t xml:space="preserve">   </w:t>
            </w:r>
          </w:p>
        </w:tc>
        <w:tc>
          <w:tcPr>
            <w:tcW w:w="1440" w:type="dxa"/>
            <w:tcBorders>
              <w:top w:val="single" w:sz="8" w:space="0" w:color="auto"/>
              <w:left w:val="nil"/>
              <w:bottom w:val="single" w:sz="8" w:space="0" w:color="auto"/>
              <w:right w:val="single" w:sz="4" w:space="0" w:color="auto"/>
            </w:tcBorders>
            <w:shd w:val="clear" w:color="auto" w:fill="000000" w:themeFill="text1"/>
            <w:vAlign w:val="center"/>
            <w:hideMark/>
          </w:tcPr>
          <w:p w:rsidR="00D82AA1" w:rsidRPr="00115034" w:rsidP="00D82AA1" w14:paraId="216FB41E" w14:textId="77777777">
            <w:pPr>
              <w:widowControl/>
              <w:spacing w:before="120" w:after="120"/>
              <w:jc w:val="right"/>
              <w:rPr>
                <w:rFonts w:ascii="Calibri" w:hAnsi="Calibri" w:cs="Calibri"/>
                <w:b/>
                <w:bCs/>
                <w:color w:val="000000"/>
                <w:sz w:val="16"/>
                <w:szCs w:val="16"/>
              </w:rPr>
            </w:pPr>
            <w:r w:rsidRPr="00115034">
              <w:rPr>
                <w:rFonts w:ascii="Calibri" w:hAnsi="Calibri" w:cs="Calibri"/>
                <w:b/>
                <w:bCs/>
                <w:color w:val="000000"/>
                <w:sz w:val="16"/>
                <w:szCs w:val="16"/>
              </w:rPr>
              <w:t> </w:t>
            </w:r>
          </w:p>
        </w:tc>
        <w:tc>
          <w:tcPr>
            <w:tcW w:w="1530" w:type="dxa"/>
            <w:tcBorders>
              <w:top w:val="single" w:sz="8" w:space="0" w:color="auto"/>
              <w:left w:val="nil"/>
              <w:bottom w:val="single" w:sz="8" w:space="0" w:color="auto"/>
              <w:right w:val="single" w:sz="8" w:space="0" w:color="auto"/>
            </w:tcBorders>
            <w:shd w:val="clear" w:color="000000" w:fill="DDEBF7"/>
            <w:vAlign w:val="center"/>
            <w:hideMark/>
          </w:tcPr>
          <w:p w:rsidR="00D82AA1" w:rsidRPr="00115034" w:rsidP="00D82AA1" w14:paraId="555D9CD1" w14:textId="5F3BDD90">
            <w:pPr>
              <w:widowControl/>
              <w:spacing w:before="120" w:after="120"/>
              <w:jc w:val="right"/>
              <w:rPr>
                <w:rFonts w:ascii="Calibri" w:hAnsi="Calibri" w:cs="Calibri"/>
                <w:b/>
                <w:bCs/>
                <w:color w:val="000000"/>
                <w:sz w:val="16"/>
                <w:szCs w:val="16"/>
              </w:rPr>
            </w:pPr>
            <w:r>
              <w:rPr>
                <w:rFonts w:ascii="Calibri" w:hAnsi="Calibri" w:cs="Calibri"/>
                <w:b/>
                <w:bCs/>
                <w:color w:val="000000"/>
                <w:sz w:val="16"/>
                <w:szCs w:val="16"/>
              </w:rPr>
              <w:t>$80</w:t>
            </w:r>
            <w:r w:rsidRPr="00115034">
              <w:rPr>
                <w:rFonts w:ascii="Calibri" w:hAnsi="Calibri" w:cs="Calibri"/>
                <w:b/>
                <w:bCs/>
                <w:color w:val="000000"/>
                <w:sz w:val="16"/>
                <w:szCs w:val="16"/>
              </w:rPr>
              <w:t xml:space="preserve">  </w:t>
            </w:r>
          </w:p>
        </w:tc>
      </w:tr>
    </w:tbl>
    <w:p w:rsidR="0015580B" w14:paraId="119C10D9" w14:textId="77777777">
      <w:pPr>
        <w:pBdr>
          <w:top w:val="nil"/>
          <w:left w:val="nil"/>
          <w:bottom w:val="nil"/>
          <w:right w:val="nil"/>
          <w:between w:val="nil"/>
        </w:pBdr>
        <w:spacing w:before="7"/>
        <w:rPr>
          <w:b/>
          <w:color w:val="000000"/>
        </w:rPr>
      </w:pPr>
    </w:p>
    <w:p w:rsidR="0015580B" w14:paraId="2B3F1CEA"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Provide estimates of </w:t>
      </w:r>
      <w:r>
        <w:rPr>
          <w:b/>
          <w:color w:val="000000"/>
        </w:rPr>
        <w:t>annualized cost to the Federal government. Also, provide a description of the method used to estimate cost, which should include quantification of hours, operational expenses (such as equipment, overhead, printing, and support staff), and any other expense</w:t>
      </w:r>
      <w:r>
        <w:rPr>
          <w:b/>
          <w:color w:val="000000"/>
        </w:rPr>
        <w:t xml:space="preserve"> that would not have been incurred without this collection of information.</w:t>
      </w:r>
    </w:p>
    <w:p w:rsidR="001F1F89" w14:paraId="070925D6" w14:textId="77777777">
      <w:pPr>
        <w:pBdr>
          <w:top w:val="nil"/>
          <w:left w:val="nil"/>
          <w:bottom w:val="nil"/>
          <w:right w:val="nil"/>
          <w:between w:val="nil"/>
        </w:pBdr>
        <w:spacing w:before="9" w:after="1"/>
        <w:rPr>
          <w:b/>
          <w:color w:val="000000"/>
        </w:rPr>
      </w:pPr>
    </w:p>
    <w:tbl>
      <w:tblPr>
        <w:tblW w:w="8240" w:type="dxa"/>
        <w:tblInd w:w="-25" w:type="dxa"/>
        <w:tblLook w:val="04A0"/>
      </w:tblPr>
      <w:tblGrid>
        <w:gridCol w:w="2280"/>
        <w:gridCol w:w="1120"/>
        <w:gridCol w:w="1140"/>
        <w:gridCol w:w="1120"/>
        <w:gridCol w:w="1280"/>
        <w:gridCol w:w="1300"/>
      </w:tblGrid>
      <w:tr w14:paraId="2A06EE6C" w14:textId="77777777" w:rsidTr="00615389">
        <w:tblPrEx>
          <w:tblW w:w="8240" w:type="dxa"/>
          <w:tblInd w:w="-25" w:type="dxa"/>
          <w:tblLook w:val="04A0"/>
        </w:tblPrEx>
        <w:trPr>
          <w:trHeight w:val="450"/>
        </w:trPr>
        <w:tc>
          <w:tcPr>
            <w:tcW w:w="2280" w:type="dxa"/>
            <w:tcBorders>
              <w:top w:val="single" w:sz="8" w:space="0" w:color="auto"/>
              <w:left w:val="single" w:sz="8" w:space="0" w:color="auto"/>
              <w:bottom w:val="nil"/>
              <w:right w:val="single" w:sz="8" w:space="0" w:color="auto"/>
            </w:tcBorders>
            <w:shd w:val="clear" w:color="000000" w:fill="BDD7EE"/>
            <w:vAlign w:val="center"/>
            <w:hideMark/>
          </w:tcPr>
          <w:p w:rsidR="001F1F89" w:rsidRPr="00DB242F" w:rsidP="00615389" w14:paraId="04FD44E8" w14:textId="77777777">
            <w:pPr>
              <w:widowControl/>
              <w:spacing w:before="120" w:after="120"/>
              <w:jc w:val="center"/>
              <w:rPr>
                <w:rFonts w:ascii="Calibri" w:hAnsi="Calibri" w:cs="Calibri"/>
                <w:b/>
                <w:bCs/>
                <w:color w:val="000000"/>
                <w:sz w:val="16"/>
                <w:szCs w:val="16"/>
              </w:rPr>
            </w:pPr>
            <w:r w:rsidRPr="00DB242F">
              <w:rPr>
                <w:rFonts w:ascii="Calibri" w:hAnsi="Calibri" w:cs="Calibri"/>
                <w:b/>
                <w:bCs/>
                <w:color w:val="000000"/>
                <w:sz w:val="16"/>
                <w:szCs w:val="16"/>
              </w:rPr>
              <w:t>Cost Descriptions</w:t>
            </w:r>
          </w:p>
        </w:tc>
        <w:tc>
          <w:tcPr>
            <w:tcW w:w="1120" w:type="dxa"/>
            <w:tcBorders>
              <w:top w:val="single" w:sz="8" w:space="0" w:color="auto"/>
              <w:left w:val="nil"/>
              <w:bottom w:val="nil"/>
              <w:right w:val="single" w:sz="8" w:space="0" w:color="auto"/>
            </w:tcBorders>
            <w:shd w:val="clear" w:color="000000" w:fill="BDD7EE"/>
            <w:vAlign w:val="center"/>
            <w:hideMark/>
          </w:tcPr>
          <w:p w:rsidR="001F1F89" w:rsidRPr="00DB242F" w:rsidP="00615389" w14:paraId="03493AAC" w14:textId="77777777">
            <w:pPr>
              <w:widowControl/>
              <w:spacing w:before="120" w:after="120"/>
              <w:jc w:val="center"/>
              <w:rPr>
                <w:rFonts w:ascii="Calibri" w:hAnsi="Calibri" w:cs="Calibri"/>
                <w:b/>
                <w:bCs/>
                <w:color w:val="000000"/>
                <w:sz w:val="16"/>
                <w:szCs w:val="16"/>
              </w:rPr>
            </w:pPr>
            <w:r w:rsidRPr="00DB242F">
              <w:rPr>
                <w:rFonts w:ascii="Calibri" w:hAnsi="Calibri" w:cs="Calibri"/>
                <w:b/>
                <w:bCs/>
                <w:color w:val="000000"/>
                <w:sz w:val="16"/>
                <w:szCs w:val="16"/>
              </w:rPr>
              <w:t>Grade/Step</w:t>
            </w:r>
          </w:p>
        </w:tc>
        <w:tc>
          <w:tcPr>
            <w:tcW w:w="1140" w:type="dxa"/>
            <w:tcBorders>
              <w:top w:val="single" w:sz="8" w:space="0" w:color="auto"/>
              <w:left w:val="nil"/>
              <w:bottom w:val="nil"/>
              <w:right w:val="single" w:sz="8" w:space="0" w:color="auto"/>
            </w:tcBorders>
            <w:shd w:val="clear" w:color="000000" w:fill="BDD7EE"/>
            <w:vAlign w:val="center"/>
            <w:hideMark/>
          </w:tcPr>
          <w:p w:rsidR="001F1F89" w:rsidRPr="00DB242F" w:rsidP="00615389" w14:paraId="2B5C896A" w14:textId="77777777">
            <w:pPr>
              <w:widowControl/>
              <w:spacing w:before="120" w:after="120"/>
              <w:jc w:val="center"/>
              <w:rPr>
                <w:rFonts w:ascii="Calibri" w:hAnsi="Calibri" w:cs="Calibri"/>
                <w:b/>
                <w:bCs/>
                <w:color w:val="000000"/>
                <w:sz w:val="16"/>
                <w:szCs w:val="16"/>
              </w:rPr>
            </w:pPr>
            <w:r w:rsidRPr="00DB242F">
              <w:rPr>
                <w:rFonts w:ascii="Calibri" w:hAnsi="Calibri" w:cs="Calibri"/>
                <w:b/>
                <w:bCs/>
                <w:color w:val="000000"/>
                <w:sz w:val="16"/>
                <w:szCs w:val="16"/>
              </w:rPr>
              <w:t>Loaded Salary /Cost</w:t>
            </w:r>
          </w:p>
        </w:tc>
        <w:tc>
          <w:tcPr>
            <w:tcW w:w="1120" w:type="dxa"/>
            <w:tcBorders>
              <w:top w:val="single" w:sz="8" w:space="0" w:color="auto"/>
              <w:left w:val="nil"/>
              <w:bottom w:val="nil"/>
              <w:right w:val="single" w:sz="8" w:space="0" w:color="auto"/>
            </w:tcBorders>
            <w:shd w:val="clear" w:color="000000" w:fill="BDD7EE"/>
            <w:vAlign w:val="center"/>
            <w:hideMark/>
          </w:tcPr>
          <w:p w:rsidR="001F1F89" w:rsidRPr="00DB242F" w:rsidP="00615389" w14:paraId="18107271" w14:textId="77777777">
            <w:pPr>
              <w:widowControl/>
              <w:spacing w:before="120" w:after="120"/>
              <w:jc w:val="center"/>
              <w:rPr>
                <w:rFonts w:ascii="Calibri" w:hAnsi="Calibri" w:cs="Calibri"/>
                <w:b/>
                <w:bCs/>
                <w:color w:val="000000"/>
                <w:sz w:val="16"/>
                <w:szCs w:val="16"/>
              </w:rPr>
            </w:pPr>
            <w:r w:rsidRPr="00DB242F">
              <w:rPr>
                <w:rFonts w:ascii="Calibri" w:hAnsi="Calibri" w:cs="Calibri"/>
                <w:b/>
                <w:bCs/>
                <w:color w:val="000000"/>
                <w:sz w:val="16"/>
                <w:szCs w:val="16"/>
              </w:rPr>
              <w:t>% of Effort</w:t>
            </w:r>
          </w:p>
        </w:tc>
        <w:tc>
          <w:tcPr>
            <w:tcW w:w="1280" w:type="dxa"/>
            <w:tcBorders>
              <w:top w:val="single" w:sz="8" w:space="0" w:color="auto"/>
              <w:left w:val="nil"/>
              <w:bottom w:val="nil"/>
              <w:right w:val="single" w:sz="8" w:space="0" w:color="auto"/>
            </w:tcBorders>
            <w:shd w:val="clear" w:color="000000" w:fill="BDD7EE"/>
            <w:vAlign w:val="center"/>
            <w:hideMark/>
          </w:tcPr>
          <w:p w:rsidR="001F1F89" w:rsidRPr="00DB242F" w:rsidP="00615389" w14:paraId="4A0315BE" w14:textId="77777777">
            <w:pPr>
              <w:widowControl/>
              <w:spacing w:before="120" w:after="120"/>
              <w:jc w:val="center"/>
              <w:rPr>
                <w:rFonts w:ascii="Calibri" w:hAnsi="Calibri" w:cs="Calibri"/>
                <w:b/>
                <w:bCs/>
                <w:color w:val="000000"/>
                <w:sz w:val="16"/>
                <w:szCs w:val="16"/>
              </w:rPr>
            </w:pPr>
            <w:r w:rsidRPr="00DB242F">
              <w:rPr>
                <w:rFonts w:ascii="Calibri" w:hAnsi="Calibri" w:cs="Calibri"/>
                <w:b/>
                <w:bCs/>
                <w:color w:val="000000"/>
                <w:sz w:val="16"/>
                <w:szCs w:val="16"/>
              </w:rPr>
              <w:t>Fringe (if Applicable)</w:t>
            </w:r>
          </w:p>
        </w:tc>
        <w:tc>
          <w:tcPr>
            <w:tcW w:w="1300" w:type="dxa"/>
            <w:tcBorders>
              <w:top w:val="single" w:sz="8" w:space="0" w:color="auto"/>
              <w:left w:val="nil"/>
              <w:bottom w:val="nil"/>
              <w:right w:val="single" w:sz="8" w:space="0" w:color="auto"/>
            </w:tcBorders>
            <w:shd w:val="clear" w:color="000000" w:fill="BDD7EE"/>
            <w:vAlign w:val="center"/>
            <w:hideMark/>
          </w:tcPr>
          <w:p w:rsidR="001F1F89" w:rsidRPr="00DB242F" w:rsidP="00615389" w14:paraId="7365F8CE" w14:textId="77777777">
            <w:pPr>
              <w:widowControl/>
              <w:spacing w:before="120" w:after="120"/>
              <w:jc w:val="center"/>
              <w:rPr>
                <w:rFonts w:ascii="Calibri" w:hAnsi="Calibri" w:cs="Calibri"/>
                <w:b/>
                <w:bCs/>
                <w:color w:val="000000"/>
                <w:sz w:val="16"/>
                <w:szCs w:val="16"/>
              </w:rPr>
            </w:pPr>
            <w:r w:rsidRPr="00DB242F">
              <w:rPr>
                <w:rFonts w:ascii="Calibri" w:hAnsi="Calibri" w:cs="Calibri"/>
                <w:b/>
                <w:bCs/>
                <w:color w:val="000000"/>
                <w:sz w:val="16"/>
                <w:szCs w:val="16"/>
              </w:rPr>
              <w:t>Total Cost to Government</w:t>
            </w:r>
          </w:p>
        </w:tc>
      </w:tr>
      <w:tr w14:paraId="5D002945" w14:textId="77777777" w:rsidTr="00615389">
        <w:tblPrEx>
          <w:tblW w:w="8240" w:type="dxa"/>
          <w:tblInd w:w="-25" w:type="dxa"/>
          <w:tblLook w:val="04A0"/>
        </w:tblPrEx>
        <w:trPr>
          <w:trHeight w:val="465"/>
        </w:trPr>
        <w:tc>
          <w:tcPr>
            <w:tcW w:w="22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1F1F89" w:rsidRPr="00DB242F" w:rsidP="00615389" w14:paraId="66F57B2D" w14:textId="77777777">
            <w:pPr>
              <w:spacing w:before="120" w:after="120"/>
              <w:rPr>
                <w:rFonts w:ascii="Calibri" w:hAnsi="Calibri" w:cs="Calibri"/>
                <w:b/>
                <w:bCs/>
                <w:color w:val="000000"/>
                <w:sz w:val="16"/>
                <w:szCs w:val="16"/>
              </w:rPr>
            </w:pPr>
            <w:r w:rsidRPr="00DB242F">
              <w:rPr>
                <w:rFonts w:ascii="Calibri" w:hAnsi="Calibri" w:cs="Calibri"/>
                <w:b/>
                <w:bCs/>
                <w:color w:val="000000"/>
                <w:sz w:val="16"/>
                <w:szCs w:val="16"/>
              </w:rPr>
              <w:t>NIST Oversight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1F1F89" w:rsidRPr="00DB242F" w:rsidP="00615389" w14:paraId="7283544C" w14:textId="77777777">
            <w:pPr>
              <w:spacing w:before="120" w:after="120"/>
              <w:jc w:val="right"/>
              <w:rPr>
                <w:rFonts w:ascii="Calibri" w:hAnsi="Calibri" w:cs="Calibri"/>
                <w:color w:val="000000"/>
                <w:sz w:val="16"/>
                <w:szCs w:val="16"/>
              </w:rPr>
            </w:pPr>
            <w:r>
              <w:rPr>
                <w:rFonts w:ascii="Calibri" w:hAnsi="Calibri" w:cs="Calibri"/>
                <w:color w:val="000000"/>
                <w:sz w:val="16"/>
                <w:szCs w:val="16"/>
              </w:rPr>
              <w:t>ZP III/IV</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1F1F89" w:rsidRPr="00DB242F" w:rsidP="00615389" w14:paraId="3345D77A" w14:textId="431CE6E8">
            <w:pPr>
              <w:spacing w:before="120" w:after="120"/>
              <w:jc w:val="right"/>
              <w:rPr>
                <w:rFonts w:ascii="Calibri" w:hAnsi="Calibri" w:cs="Calibri"/>
                <w:color w:val="000000"/>
                <w:sz w:val="16"/>
                <w:szCs w:val="16"/>
              </w:rPr>
            </w:pPr>
            <w:r>
              <w:rPr>
                <w:rFonts w:ascii="Calibri" w:hAnsi="Calibri" w:cs="Calibri"/>
                <w:color w:val="000000"/>
                <w:sz w:val="16"/>
                <w:szCs w:val="16"/>
              </w:rPr>
              <w:t>$</w:t>
            </w:r>
            <w:r w:rsidR="009F5E45">
              <w:rPr>
                <w:rFonts w:ascii="Calibri" w:hAnsi="Calibri" w:cs="Calibri"/>
                <w:color w:val="000000"/>
                <w:sz w:val="16"/>
                <w:szCs w:val="16"/>
              </w:rPr>
              <w:t>190,000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1F1F89" w:rsidRPr="00DB242F" w:rsidP="00615389" w14:paraId="19684481" w14:textId="536D32A5">
            <w:pPr>
              <w:spacing w:before="120" w:after="120"/>
              <w:jc w:val="right"/>
              <w:rPr>
                <w:rFonts w:ascii="Calibri" w:hAnsi="Calibri" w:cs="Calibri"/>
                <w:color w:val="000000"/>
                <w:sz w:val="16"/>
                <w:szCs w:val="16"/>
              </w:rPr>
            </w:pPr>
            <w:r>
              <w:rPr>
                <w:rFonts w:ascii="Calibri" w:hAnsi="Calibri" w:cs="Calibri"/>
                <w:color w:val="000000"/>
                <w:sz w:val="16"/>
                <w:szCs w:val="16"/>
              </w:rPr>
              <w:t>20</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1F1F89" w:rsidRPr="00DB242F" w:rsidP="00615389" w14:paraId="5018D2E4" w14:textId="77777777">
            <w:pPr>
              <w:spacing w:before="120" w:after="120"/>
              <w:jc w:val="right"/>
              <w:rPr>
                <w:rFonts w:ascii="Calibri" w:hAnsi="Calibri" w:cs="Calibri"/>
                <w:color w:val="000000"/>
                <w:sz w:val="16"/>
                <w:szCs w:val="16"/>
              </w:rPr>
            </w:pPr>
            <w:r w:rsidRPr="00DB242F">
              <w:rPr>
                <w:rFonts w:ascii="Calibri" w:hAnsi="Calibri" w:cs="Calibri"/>
                <w:color w:val="000000"/>
                <w:sz w:val="16"/>
                <w:szCs w:val="16"/>
              </w:rPr>
              <w:t> </w:t>
            </w:r>
          </w:p>
        </w:tc>
        <w:tc>
          <w:tcPr>
            <w:tcW w:w="1300" w:type="dxa"/>
            <w:tcBorders>
              <w:top w:val="single" w:sz="4" w:space="0" w:color="auto"/>
              <w:left w:val="nil"/>
              <w:bottom w:val="single" w:sz="4" w:space="0" w:color="auto"/>
              <w:right w:val="single" w:sz="8" w:space="0" w:color="auto"/>
            </w:tcBorders>
            <w:shd w:val="clear" w:color="auto" w:fill="auto"/>
            <w:noWrap/>
            <w:vAlign w:val="bottom"/>
            <w:hideMark/>
          </w:tcPr>
          <w:p w:rsidR="001F1F89" w:rsidRPr="00DB242F" w:rsidP="00615389" w14:paraId="635F6059" w14:textId="438842E4">
            <w:pPr>
              <w:spacing w:before="120" w:after="120"/>
              <w:jc w:val="right"/>
              <w:rPr>
                <w:rFonts w:ascii="Calibri" w:hAnsi="Calibri" w:cs="Calibri"/>
                <w:color w:val="000000"/>
                <w:sz w:val="16"/>
                <w:szCs w:val="16"/>
              </w:rPr>
            </w:pPr>
            <w:r>
              <w:rPr>
                <w:rFonts w:ascii="Calibri" w:hAnsi="Calibri" w:cs="Calibri"/>
                <w:color w:val="000000"/>
                <w:sz w:val="16"/>
                <w:szCs w:val="16"/>
              </w:rPr>
              <w:t>$</w:t>
            </w:r>
            <w:r w:rsidR="009F5E45">
              <w:rPr>
                <w:rFonts w:ascii="Calibri" w:hAnsi="Calibri" w:cs="Calibri"/>
                <w:color w:val="000000"/>
                <w:sz w:val="16"/>
                <w:szCs w:val="16"/>
              </w:rPr>
              <w:t>38,000</w:t>
            </w:r>
          </w:p>
        </w:tc>
      </w:tr>
      <w:tr w14:paraId="5B753E20" w14:textId="77777777" w:rsidTr="00615389">
        <w:tblPrEx>
          <w:tblW w:w="8240" w:type="dxa"/>
          <w:tblInd w:w="-25" w:type="dxa"/>
          <w:tblLook w:val="04A0"/>
        </w:tblPrEx>
        <w:trPr>
          <w:trHeight w:val="465"/>
        </w:trPr>
        <w:tc>
          <w:tcPr>
            <w:tcW w:w="2280" w:type="dxa"/>
            <w:tcBorders>
              <w:top w:val="nil"/>
              <w:left w:val="single" w:sz="8" w:space="0" w:color="auto"/>
              <w:bottom w:val="single" w:sz="4" w:space="0" w:color="auto"/>
              <w:right w:val="single" w:sz="8" w:space="0" w:color="auto"/>
            </w:tcBorders>
            <w:shd w:val="clear" w:color="auto" w:fill="auto"/>
            <w:vAlign w:val="bottom"/>
            <w:hideMark/>
          </w:tcPr>
          <w:p w:rsidR="001F1F89" w:rsidRPr="00DB242F" w:rsidP="00615389" w14:paraId="6A3C2E54" w14:textId="77777777">
            <w:pPr>
              <w:widowControl/>
              <w:spacing w:before="120" w:after="120"/>
              <w:rPr>
                <w:rFonts w:ascii="Calibri" w:hAnsi="Calibri" w:cs="Calibri"/>
                <w:b/>
                <w:bCs/>
                <w:color w:val="000000"/>
                <w:sz w:val="16"/>
                <w:szCs w:val="16"/>
              </w:rPr>
            </w:pPr>
            <w:r w:rsidRPr="00DB242F">
              <w:rPr>
                <w:rFonts w:ascii="Calibri" w:hAnsi="Calibri" w:cs="Calibri"/>
                <w:b/>
                <w:bCs/>
                <w:color w:val="000000"/>
                <w:sz w:val="16"/>
                <w:szCs w:val="16"/>
              </w:rPr>
              <w:t>Contractor Cost</w:t>
            </w:r>
          </w:p>
        </w:tc>
        <w:tc>
          <w:tcPr>
            <w:tcW w:w="1120" w:type="dxa"/>
            <w:tcBorders>
              <w:top w:val="nil"/>
              <w:left w:val="nil"/>
              <w:bottom w:val="single" w:sz="4" w:space="0" w:color="auto"/>
              <w:right w:val="single" w:sz="4" w:space="0" w:color="auto"/>
            </w:tcBorders>
            <w:shd w:val="clear" w:color="000000" w:fill="808080"/>
            <w:noWrap/>
            <w:vAlign w:val="bottom"/>
            <w:hideMark/>
          </w:tcPr>
          <w:p w:rsidR="001F1F89" w:rsidRPr="00DB242F" w:rsidP="00615389" w14:paraId="21CA4CCC" w14:textId="77777777">
            <w:pPr>
              <w:widowControl/>
              <w:spacing w:before="120" w:after="120"/>
              <w:rPr>
                <w:rFonts w:ascii="Calibri" w:hAnsi="Calibri" w:cs="Calibri"/>
                <w:color w:val="000000"/>
                <w:sz w:val="16"/>
                <w:szCs w:val="16"/>
              </w:rPr>
            </w:pPr>
            <w:r w:rsidRPr="00DB242F">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1F1F89" w:rsidRPr="00DB242F" w:rsidP="00615389" w14:paraId="68F0E062" w14:textId="77777777">
            <w:pPr>
              <w:widowControl/>
              <w:spacing w:before="120" w:after="120"/>
              <w:rPr>
                <w:rFonts w:ascii="Calibri" w:hAnsi="Calibri" w:cs="Calibri"/>
                <w:color w:val="000000"/>
                <w:sz w:val="16"/>
                <w:szCs w:val="16"/>
              </w:rPr>
            </w:pPr>
            <w:r w:rsidRPr="00DB242F">
              <w:rPr>
                <w:rFonts w:ascii="Calibri" w:hAnsi="Calibri" w:cs="Calibri"/>
                <w:color w:val="000000"/>
                <w:sz w:val="16"/>
                <w:szCs w:val="16"/>
              </w:rPr>
              <w:t>  </w:t>
            </w:r>
            <w:r>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auto" w:fill="auto"/>
            <w:noWrap/>
            <w:vAlign w:val="bottom"/>
            <w:hideMark/>
          </w:tcPr>
          <w:p w:rsidR="001F1F89" w:rsidRPr="00DB242F" w:rsidP="00615389" w14:paraId="7BDD0B3B" w14:textId="77777777">
            <w:pPr>
              <w:widowControl/>
              <w:spacing w:before="120" w:after="120"/>
              <w:rPr>
                <w:rFonts w:ascii="Calibri" w:hAnsi="Calibri" w:cs="Calibri"/>
                <w:color w:val="000000"/>
                <w:sz w:val="16"/>
                <w:szCs w:val="16"/>
              </w:rPr>
            </w:pPr>
            <w:r w:rsidRPr="00DB242F">
              <w:rPr>
                <w:rFonts w:ascii="Calibri" w:hAnsi="Calibri" w:cs="Calibri"/>
                <w:color w:val="000000"/>
                <w:sz w:val="16"/>
                <w:szCs w:val="16"/>
              </w:rPr>
              <w:t> </w:t>
            </w:r>
            <w:r>
              <w:rPr>
                <w:rFonts w:ascii="Calibri" w:hAnsi="Calibri" w:cs="Calibri"/>
                <w:color w:val="000000"/>
                <w:sz w:val="16"/>
                <w:szCs w:val="16"/>
              </w:rPr>
              <w:t>$0</w:t>
            </w:r>
          </w:p>
        </w:tc>
        <w:tc>
          <w:tcPr>
            <w:tcW w:w="1280" w:type="dxa"/>
            <w:tcBorders>
              <w:top w:val="nil"/>
              <w:left w:val="nil"/>
              <w:bottom w:val="single" w:sz="4" w:space="0" w:color="auto"/>
              <w:right w:val="single" w:sz="4" w:space="0" w:color="auto"/>
            </w:tcBorders>
            <w:shd w:val="clear" w:color="auto" w:fill="auto"/>
            <w:noWrap/>
            <w:vAlign w:val="bottom"/>
            <w:hideMark/>
          </w:tcPr>
          <w:p w:rsidR="001F1F89" w:rsidRPr="00DB242F" w:rsidP="00615389" w14:paraId="6A04CB65" w14:textId="77777777">
            <w:pPr>
              <w:widowControl/>
              <w:spacing w:before="120" w:after="120"/>
              <w:rPr>
                <w:rFonts w:ascii="Calibri" w:hAnsi="Calibri" w:cs="Calibri"/>
                <w:color w:val="000000"/>
                <w:sz w:val="16"/>
                <w:szCs w:val="16"/>
              </w:rPr>
            </w:pPr>
            <w:r w:rsidRPr="00DB242F">
              <w:rPr>
                <w:rFonts w:ascii="Calibri" w:hAnsi="Calibri" w:cs="Calibri"/>
                <w:color w:val="000000"/>
                <w:sz w:val="16"/>
                <w:szCs w:val="16"/>
              </w:rPr>
              <w:t>  </w:t>
            </w:r>
            <w:r>
              <w:rPr>
                <w:rFonts w:ascii="Calibri" w:hAnsi="Calibri" w:cs="Calibri"/>
                <w:color w:val="000000"/>
                <w:sz w:val="16"/>
                <w:szCs w:val="16"/>
              </w:rPr>
              <w:t>$0</w:t>
            </w:r>
          </w:p>
        </w:tc>
        <w:tc>
          <w:tcPr>
            <w:tcW w:w="1300" w:type="dxa"/>
            <w:tcBorders>
              <w:top w:val="nil"/>
              <w:left w:val="nil"/>
              <w:bottom w:val="single" w:sz="4" w:space="0" w:color="auto"/>
              <w:right w:val="single" w:sz="8" w:space="0" w:color="auto"/>
            </w:tcBorders>
            <w:shd w:val="clear" w:color="auto" w:fill="auto"/>
            <w:noWrap/>
            <w:vAlign w:val="bottom"/>
            <w:hideMark/>
          </w:tcPr>
          <w:p w:rsidR="001F1F89" w:rsidRPr="00DB242F" w:rsidP="00615389" w14:paraId="54FBD05C" w14:textId="77777777">
            <w:pPr>
              <w:widowControl/>
              <w:spacing w:before="120" w:after="120"/>
              <w:rPr>
                <w:rFonts w:ascii="Calibri" w:hAnsi="Calibri" w:cs="Calibri"/>
                <w:color w:val="000000"/>
                <w:sz w:val="16"/>
                <w:szCs w:val="16"/>
              </w:rPr>
            </w:pPr>
            <w:r w:rsidRPr="00DB242F">
              <w:rPr>
                <w:rFonts w:ascii="Calibri" w:hAnsi="Calibri" w:cs="Calibri"/>
                <w:color w:val="000000"/>
                <w:sz w:val="16"/>
                <w:szCs w:val="16"/>
              </w:rPr>
              <w:t> </w:t>
            </w:r>
            <w:r>
              <w:rPr>
                <w:rFonts w:ascii="Calibri" w:hAnsi="Calibri" w:cs="Calibri"/>
                <w:color w:val="000000"/>
                <w:sz w:val="16"/>
                <w:szCs w:val="16"/>
              </w:rPr>
              <w:t>$0</w:t>
            </w:r>
          </w:p>
        </w:tc>
      </w:tr>
      <w:tr w14:paraId="65C000E6" w14:textId="77777777" w:rsidTr="00615389">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1F1F89" w:rsidRPr="00DB242F" w:rsidP="00615389" w14:paraId="3BDD3043" w14:textId="77777777">
            <w:pPr>
              <w:widowControl/>
              <w:spacing w:before="120" w:after="120"/>
              <w:rPr>
                <w:rFonts w:ascii="Calibri" w:hAnsi="Calibri" w:cs="Calibri"/>
                <w:b/>
                <w:bCs/>
                <w:color w:val="000000"/>
                <w:sz w:val="16"/>
                <w:szCs w:val="16"/>
              </w:rPr>
            </w:pPr>
            <w:r w:rsidRPr="00DB242F">
              <w:rPr>
                <w:rFonts w:ascii="Calibri" w:hAnsi="Calibri" w:cs="Calibri"/>
                <w:b/>
                <w:bCs/>
                <w:color w:val="000000"/>
                <w:sz w:val="16"/>
                <w:szCs w:val="16"/>
              </w:rPr>
              <w:t>Travel</w:t>
            </w:r>
          </w:p>
        </w:tc>
        <w:tc>
          <w:tcPr>
            <w:tcW w:w="1120" w:type="dxa"/>
            <w:tcBorders>
              <w:top w:val="nil"/>
              <w:left w:val="nil"/>
              <w:bottom w:val="single" w:sz="4" w:space="0" w:color="auto"/>
              <w:right w:val="single" w:sz="4" w:space="0" w:color="auto"/>
            </w:tcBorders>
            <w:shd w:val="clear" w:color="000000" w:fill="808080"/>
            <w:noWrap/>
            <w:vAlign w:val="bottom"/>
            <w:hideMark/>
          </w:tcPr>
          <w:p w:rsidR="001F1F89" w:rsidRPr="00DB242F" w:rsidP="00615389" w14:paraId="2F913DA0" w14:textId="77777777">
            <w:pPr>
              <w:widowControl/>
              <w:spacing w:before="120" w:after="120"/>
              <w:rPr>
                <w:rFonts w:ascii="Calibri" w:hAnsi="Calibri" w:cs="Calibri"/>
                <w:color w:val="000000"/>
                <w:sz w:val="16"/>
                <w:szCs w:val="16"/>
              </w:rPr>
            </w:pPr>
            <w:r w:rsidRPr="00DB242F">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1F1F89" w:rsidRPr="00DB242F" w:rsidP="00615389" w14:paraId="71F6014F" w14:textId="77777777">
            <w:pPr>
              <w:widowControl/>
              <w:spacing w:before="120" w:after="120"/>
              <w:rPr>
                <w:rFonts w:ascii="Calibri" w:hAnsi="Calibri" w:cs="Calibri"/>
                <w:color w:val="000000"/>
                <w:sz w:val="16"/>
                <w:szCs w:val="16"/>
              </w:rPr>
            </w:pPr>
            <w:r w:rsidRPr="00DB242F">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1F1F89" w:rsidRPr="00DB242F" w:rsidP="00615389" w14:paraId="059D19E8" w14:textId="77777777">
            <w:pPr>
              <w:widowControl/>
              <w:spacing w:before="120" w:after="120"/>
              <w:rPr>
                <w:rFonts w:ascii="Calibri" w:hAnsi="Calibri" w:cs="Calibri"/>
                <w:color w:val="000000"/>
                <w:sz w:val="16"/>
                <w:szCs w:val="16"/>
              </w:rPr>
            </w:pPr>
            <w:r w:rsidRPr="00DB242F">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1F1F89" w:rsidRPr="00DB242F" w:rsidP="00615389" w14:paraId="76F78376" w14:textId="77777777">
            <w:pPr>
              <w:widowControl/>
              <w:spacing w:before="120" w:after="120"/>
              <w:rPr>
                <w:rFonts w:ascii="Calibri" w:hAnsi="Calibri" w:cs="Calibri"/>
                <w:color w:val="000000"/>
                <w:sz w:val="16"/>
                <w:szCs w:val="16"/>
              </w:rPr>
            </w:pPr>
            <w:r w:rsidRPr="00DB242F">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1F1F89" w:rsidRPr="00DB242F" w:rsidP="00615389" w14:paraId="107B5030" w14:textId="77777777">
            <w:pPr>
              <w:widowControl/>
              <w:spacing w:before="120" w:after="120"/>
              <w:rPr>
                <w:rFonts w:ascii="Calibri" w:hAnsi="Calibri" w:cs="Calibri"/>
                <w:color w:val="000000"/>
                <w:sz w:val="16"/>
                <w:szCs w:val="16"/>
              </w:rPr>
            </w:pPr>
            <w:r w:rsidRPr="00DB242F">
              <w:rPr>
                <w:rFonts w:ascii="Calibri" w:hAnsi="Calibri" w:cs="Calibri"/>
                <w:color w:val="000000"/>
                <w:sz w:val="16"/>
                <w:szCs w:val="16"/>
              </w:rPr>
              <w:t> $0</w:t>
            </w:r>
          </w:p>
        </w:tc>
      </w:tr>
      <w:tr w14:paraId="480F8E4C" w14:textId="77777777" w:rsidTr="00615389">
        <w:tblPrEx>
          <w:tblW w:w="8240" w:type="dxa"/>
          <w:tblInd w:w="-25" w:type="dxa"/>
          <w:tblLook w:val="04A0"/>
        </w:tblPrEx>
        <w:trPr>
          <w:trHeight w:val="525"/>
        </w:trPr>
        <w:tc>
          <w:tcPr>
            <w:tcW w:w="2280" w:type="dxa"/>
            <w:tcBorders>
              <w:top w:val="nil"/>
              <w:left w:val="single" w:sz="8" w:space="0" w:color="auto"/>
              <w:bottom w:val="nil"/>
              <w:right w:val="single" w:sz="8" w:space="0" w:color="auto"/>
            </w:tcBorders>
            <w:shd w:val="clear" w:color="auto" w:fill="auto"/>
            <w:vAlign w:val="center"/>
            <w:hideMark/>
          </w:tcPr>
          <w:p w:rsidR="001F1F89" w:rsidRPr="00DB242F" w:rsidP="00615389" w14:paraId="11EF71FE" w14:textId="2F5A7AF9">
            <w:pPr>
              <w:widowControl/>
              <w:spacing w:before="120" w:after="120"/>
              <w:rPr>
                <w:rFonts w:ascii="Calibri" w:hAnsi="Calibri" w:cs="Calibri"/>
                <w:b/>
                <w:bCs/>
                <w:color w:val="000000"/>
                <w:sz w:val="16"/>
                <w:szCs w:val="16"/>
              </w:rPr>
            </w:pPr>
            <w:r w:rsidRPr="00DB242F">
              <w:rPr>
                <w:rFonts w:ascii="Calibri" w:hAnsi="Calibri" w:cs="Calibri"/>
                <w:b/>
                <w:bCs/>
                <w:color w:val="000000"/>
                <w:sz w:val="16"/>
                <w:szCs w:val="16"/>
              </w:rPr>
              <w:t xml:space="preserve">Other Costs: </w:t>
            </w:r>
            <w:r w:rsidR="000E2281">
              <w:rPr>
                <w:rFonts w:ascii="Calibri" w:hAnsi="Calibri" w:cs="Calibri"/>
                <w:b/>
                <w:bCs/>
                <w:color w:val="000000"/>
                <w:sz w:val="16"/>
                <w:szCs w:val="16"/>
              </w:rPr>
              <w:t>(shipping paid for by NIST)</w:t>
            </w:r>
          </w:p>
        </w:tc>
        <w:tc>
          <w:tcPr>
            <w:tcW w:w="1120" w:type="dxa"/>
            <w:tcBorders>
              <w:top w:val="nil"/>
              <w:left w:val="nil"/>
              <w:bottom w:val="single" w:sz="4" w:space="0" w:color="auto"/>
              <w:right w:val="single" w:sz="4" w:space="0" w:color="auto"/>
            </w:tcBorders>
            <w:shd w:val="clear" w:color="000000" w:fill="808080"/>
            <w:noWrap/>
            <w:vAlign w:val="bottom"/>
            <w:hideMark/>
          </w:tcPr>
          <w:p w:rsidR="001F1F89" w:rsidRPr="00DB242F" w:rsidP="00615389" w14:paraId="29F4C91C" w14:textId="77777777">
            <w:pPr>
              <w:widowControl/>
              <w:spacing w:before="120" w:after="120"/>
              <w:rPr>
                <w:rFonts w:ascii="Calibri" w:hAnsi="Calibri" w:cs="Calibri"/>
                <w:color w:val="000000"/>
                <w:sz w:val="16"/>
                <w:szCs w:val="16"/>
              </w:rPr>
            </w:pPr>
            <w:r w:rsidRPr="00DB242F">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1F1F89" w:rsidRPr="00DB242F" w:rsidP="00615389" w14:paraId="2ED3F49D" w14:textId="77777777">
            <w:pPr>
              <w:widowControl/>
              <w:spacing w:before="120" w:after="120"/>
              <w:rPr>
                <w:rFonts w:ascii="Calibri" w:hAnsi="Calibri" w:cs="Calibri"/>
                <w:color w:val="000000"/>
                <w:sz w:val="16"/>
                <w:szCs w:val="16"/>
              </w:rPr>
            </w:pPr>
            <w:r w:rsidRPr="00DB242F">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1F1F89" w:rsidRPr="00DB242F" w:rsidP="00615389" w14:paraId="145C02C7" w14:textId="77777777">
            <w:pPr>
              <w:widowControl/>
              <w:spacing w:before="120" w:after="120"/>
              <w:rPr>
                <w:rFonts w:ascii="Calibri" w:hAnsi="Calibri" w:cs="Calibri"/>
                <w:color w:val="000000"/>
                <w:sz w:val="16"/>
                <w:szCs w:val="16"/>
              </w:rPr>
            </w:pPr>
            <w:r w:rsidRPr="00DB242F">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1F1F89" w:rsidRPr="00DB242F" w:rsidP="00615389" w14:paraId="28E35AAB" w14:textId="77777777">
            <w:pPr>
              <w:widowControl/>
              <w:spacing w:before="120" w:after="120"/>
              <w:rPr>
                <w:rFonts w:ascii="Calibri" w:hAnsi="Calibri" w:cs="Calibri"/>
                <w:color w:val="000000"/>
                <w:sz w:val="16"/>
                <w:szCs w:val="16"/>
              </w:rPr>
            </w:pPr>
            <w:r w:rsidRPr="00DB242F">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1F1F89" w:rsidRPr="00DB242F" w:rsidP="00615389" w14:paraId="351A2BD0" w14:textId="52842E85">
            <w:pPr>
              <w:widowControl/>
              <w:spacing w:before="120" w:after="120"/>
              <w:rPr>
                <w:rFonts w:ascii="Calibri" w:hAnsi="Calibri" w:cs="Calibri"/>
                <w:color w:val="000000"/>
                <w:sz w:val="16"/>
                <w:szCs w:val="16"/>
              </w:rPr>
            </w:pPr>
            <w:r w:rsidRPr="00DB242F">
              <w:rPr>
                <w:rFonts w:ascii="Calibri" w:hAnsi="Calibri" w:cs="Calibri"/>
                <w:color w:val="000000"/>
                <w:sz w:val="16"/>
                <w:szCs w:val="16"/>
              </w:rPr>
              <w:t> $</w:t>
            </w:r>
            <w:r w:rsidR="00231A29">
              <w:rPr>
                <w:rFonts w:ascii="Calibri" w:hAnsi="Calibri" w:cs="Calibri"/>
                <w:color w:val="000000"/>
                <w:sz w:val="16"/>
                <w:szCs w:val="16"/>
              </w:rPr>
              <w:t>8,000</w:t>
            </w:r>
          </w:p>
        </w:tc>
      </w:tr>
      <w:tr w14:paraId="4A642E8A" w14:textId="77777777" w:rsidTr="00615389">
        <w:tblPrEx>
          <w:tblW w:w="8240" w:type="dxa"/>
          <w:tblInd w:w="-25" w:type="dxa"/>
          <w:tblLook w:val="04A0"/>
        </w:tblPrEx>
        <w:trPr>
          <w:trHeight w:val="315"/>
        </w:trPr>
        <w:tc>
          <w:tcPr>
            <w:tcW w:w="228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1F1F89" w:rsidRPr="00DF0CE3" w:rsidP="00615389" w14:paraId="17D2DB3E" w14:textId="77777777">
            <w:pPr>
              <w:widowControl/>
              <w:spacing w:before="120" w:after="120"/>
              <w:rPr>
                <w:rFonts w:ascii="Calibri" w:hAnsi="Calibri" w:cs="Calibri"/>
                <w:b/>
                <w:bCs/>
                <w:color w:val="000000"/>
                <w:sz w:val="16"/>
                <w:szCs w:val="16"/>
              </w:rPr>
            </w:pPr>
            <w:r w:rsidRPr="00DF0CE3">
              <w:rPr>
                <w:rFonts w:ascii="Calibri" w:hAnsi="Calibri" w:cs="Calibri"/>
                <w:b/>
                <w:bCs/>
                <w:color w:val="000000"/>
                <w:sz w:val="16"/>
                <w:szCs w:val="16"/>
              </w:rPr>
              <w:t>TOTAL</w:t>
            </w:r>
          </w:p>
        </w:tc>
        <w:tc>
          <w:tcPr>
            <w:tcW w:w="1120" w:type="dxa"/>
            <w:tcBorders>
              <w:top w:val="single" w:sz="8" w:space="0" w:color="auto"/>
              <w:left w:val="nil"/>
              <w:bottom w:val="single" w:sz="8" w:space="0" w:color="auto"/>
              <w:right w:val="single" w:sz="8" w:space="0" w:color="auto"/>
            </w:tcBorders>
            <w:shd w:val="clear" w:color="000000" w:fill="808080"/>
            <w:noWrap/>
            <w:vAlign w:val="bottom"/>
            <w:hideMark/>
          </w:tcPr>
          <w:p w:rsidR="001F1F89" w:rsidRPr="00DF0CE3" w:rsidP="00615389" w14:paraId="0F31A701" w14:textId="77777777">
            <w:pPr>
              <w:widowControl/>
              <w:spacing w:before="120" w:after="120"/>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single" w:sz="8" w:space="0" w:color="auto"/>
              <w:left w:val="nil"/>
              <w:bottom w:val="single" w:sz="8" w:space="0" w:color="auto"/>
              <w:right w:val="single" w:sz="8" w:space="0" w:color="auto"/>
            </w:tcBorders>
            <w:shd w:val="clear" w:color="auto" w:fill="808080" w:themeFill="background1" w:themeFillShade="80"/>
            <w:noWrap/>
            <w:vAlign w:val="bottom"/>
            <w:hideMark/>
          </w:tcPr>
          <w:p w:rsidR="001F1F89" w:rsidRPr="00DF0CE3" w:rsidP="00615389" w14:paraId="7EE07DCB" w14:textId="77777777">
            <w:pPr>
              <w:widowControl/>
              <w:spacing w:before="120" w:after="120"/>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single" w:sz="8" w:space="0" w:color="auto"/>
              <w:left w:val="nil"/>
              <w:bottom w:val="single" w:sz="8" w:space="0" w:color="auto"/>
              <w:right w:val="single" w:sz="8" w:space="0" w:color="auto"/>
            </w:tcBorders>
            <w:shd w:val="clear" w:color="000000" w:fill="757171"/>
            <w:noWrap/>
            <w:vAlign w:val="bottom"/>
            <w:hideMark/>
          </w:tcPr>
          <w:p w:rsidR="001F1F89" w:rsidRPr="00DF0CE3" w:rsidP="00615389" w14:paraId="0546C9F0" w14:textId="77777777">
            <w:pPr>
              <w:widowControl/>
              <w:spacing w:before="120" w:after="120"/>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single" w:sz="8" w:space="0" w:color="auto"/>
              <w:left w:val="nil"/>
              <w:bottom w:val="single" w:sz="8" w:space="0" w:color="auto"/>
              <w:right w:val="single" w:sz="8" w:space="0" w:color="auto"/>
            </w:tcBorders>
            <w:shd w:val="clear" w:color="000000" w:fill="DDEBF7"/>
            <w:noWrap/>
            <w:vAlign w:val="bottom"/>
            <w:hideMark/>
          </w:tcPr>
          <w:p w:rsidR="001F1F89" w:rsidRPr="00DF0CE3" w:rsidP="00615389" w14:paraId="07BDB2F7" w14:textId="77777777">
            <w:pPr>
              <w:widowControl/>
              <w:spacing w:before="120" w:after="120"/>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rsidR="001F1F89" w:rsidRPr="00DF0CE3" w:rsidP="00615389" w14:paraId="138758BE" w14:textId="72674496">
            <w:pPr>
              <w:widowControl/>
              <w:spacing w:before="120" w:after="120"/>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w:t>
            </w:r>
            <w:r w:rsidR="00231A29">
              <w:rPr>
                <w:rFonts w:ascii="Calibri" w:hAnsi="Calibri" w:cs="Calibri"/>
                <w:color w:val="000000"/>
                <w:sz w:val="16"/>
                <w:szCs w:val="16"/>
              </w:rPr>
              <w:t>46,000</w:t>
            </w:r>
          </w:p>
        </w:tc>
      </w:tr>
    </w:tbl>
    <w:p w:rsidR="0015580B" w:rsidP="00AE6763" w14:paraId="005A42D9" w14:textId="77777777">
      <w:pPr>
        <w:pBdr>
          <w:top w:val="nil"/>
          <w:left w:val="nil"/>
          <w:bottom w:val="nil"/>
          <w:right w:val="nil"/>
          <w:between w:val="nil"/>
        </w:pBdr>
        <w:spacing w:before="9" w:after="1"/>
        <w:jc w:val="both"/>
        <w:rPr>
          <w:b/>
          <w:color w:val="000000"/>
        </w:rPr>
      </w:pPr>
      <w:bookmarkStart w:id="0" w:name="_GoBack"/>
      <w:bookmarkEnd w:id="0"/>
    </w:p>
    <w:p w:rsidR="0015580B" w14:paraId="21C322BA"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15580B" w:rsidRPr="008E220C" w:rsidP="00C31D57" w14:paraId="5617ED45" w14:textId="524FA3B6">
      <w:pPr>
        <w:pBdr>
          <w:top w:val="nil"/>
          <w:left w:val="nil"/>
          <w:bottom w:val="nil"/>
          <w:right w:val="nil"/>
          <w:between w:val="nil"/>
        </w:pBdr>
        <w:spacing w:before="159"/>
        <w:rPr>
          <w:b/>
        </w:rPr>
      </w:pPr>
      <w:r>
        <w:t>The estimated</w:t>
      </w:r>
      <w:r w:rsidR="00A64E23">
        <w:t xml:space="preserve"> number of responses has increased based on the number of responses received in the past three years, </w:t>
      </w:r>
      <w:r w:rsidRPr="00E34E7D" w:rsidR="00A64E23">
        <w:t xml:space="preserve">which also increased the burden </w:t>
      </w:r>
      <w:r w:rsidRPr="00E34E7D" w:rsidR="00A64E23">
        <w:t>hour</w:t>
      </w:r>
      <w:r w:rsidR="00A64E23">
        <w:t>s</w:t>
      </w:r>
      <w:r w:rsidRPr="00E34E7D" w:rsidR="00A64E23">
        <w:t xml:space="preserve"> for collection of tissue sample and reporting.</w:t>
      </w:r>
      <w:r w:rsidR="00A64E23">
        <w:t xml:space="preserve"> </w:t>
      </w:r>
      <w:r w:rsidRPr="008E220C" w:rsidR="00C31D57">
        <w:t>Minor changes were made to the National Marine Mammal Tissue Bank Form. Most changes were grammatical. While no new data will be collected, two changes were made to existing data fields, to streamline data collection. Specifically, instead of relying on a “please specify” text field, more checkbox options have been added to the “collection type” field, and the “method used to age” field on the National Marine Mammal Tissue Bank Form. These checkboxes represent common answers submitted via the text field, and by adding more checkbox options, form users will not need to write out common answers to these questions. No changes have been made to the National Marine Mammal Tissue Bank Tissue Request Form.</w:t>
      </w:r>
    </w:p>
    <w:p w:rsidR="0015580B" w:rsidRPr="008E220C" w14:paraId="6EF66507" w14:textId="77777777">
      <w:pPr>
        <w:pBdr>
          <w:top w:val="nil"/>
          <w:left w:val="nil"/>
          <w:bottom w:val="nil"/>
          <w:right w:val="nil"/>
          <w:between w:val="nil"/>
        </w:pBdr>
        <w:spacing w:before="7"/>
        <w:rPr>
          <w:b/>
        </w:rPr>
      </w:pPr>
    </w:p>
    <w:p w:rsidR="0015580B" w:rsidRPr="008E220C" w14:paraId="7D8EAC22" w14:textId="77777777">
      <w:pPr>
        <w:numPr>
          <w:ilvl w:val="0"/>
          <w:numId w:val="3"/>
        </w:numPr>
        <w:pBdr>
          <w:top w:val="nil"/>
          <w:left w:val="nil"/>
          <w:bottom w:val="nil"/>
          <w:right w:val="nil"/>
          <w:between w:val="nil"/>
        </w:pBdr>
        <w:tabs>
          <w:tab w:val="left" w:pos="360"/>
        </w:tabs>
        <w:spacing w:before="80"/>
        <w:ind w:left="0" w:firstLine="0"/>
        <w:rPr>
          <w:b/>
        </w:rPr>
      </w:pPr>
      <w:r w:rsidRPr="008E220C">
        <w:rPr>
          <w:b/>
        </w:rPr>
        <w:t>For c</w:t>
      </w:r>
      <w:r w:rsidRPr="008E220C">
        <w:rPr>
          <w:b/>
        </w:rPr>
        <w:t xml:space="preserve">ollections of information whose results will be published, outline plans for tabulation and publication. Address any complex analytical techniques that will be used. Provide the time schedule for the entire project, including beginning and ending dates of </w:t>
      </w:r>
      <w:r w:rsidRPr="008E220C">
        <w:rPr>
          <w:b/>
        </w:rPr>
        <w:t>the collection of information, completion of report, publication dates, and other actions.</w:t>
      </w:r>
    </w:p>
    <w:p w:rsidR="00C31D57" w:rsidRPr="008E220C" w:rsidP="00C31D57" w14:paraId="656E9873" w14:textId="77777777">
      <w:pPr>
        <w:tabs>
          <w:tab w:val="left" w:pos="360"/>
        </w:tabs>
        <w:spacing w:before="120" w:after="120"/>
      </w:pPr>
      <w:r w:rsidRPr="008E220C">
        <w:t>Results of analyses and studies assessing marine animal health and environmental trends utilizing the archived specimens from the Bank will be published by researche</w:t>
      </w:r>
      <w:r w:rsidRPr="008E220C">
        <w:t xml:space="preserve">rs and scientists.  These results will be presented in scientific conferences and peer-reviewed journals and books.  </w:t>
      </w:r>
    </w:p>
    <w:p w:rsidR="00C31D57" w:rsidRPr="008E220C" w:rsidP="00C31D57" w14:paraId="5EDB569B" w14:textId="77777777">
      <w:pPr>
        <w:tabs>
          <w:tab w:val="left" w:pos="360"/>
        </w:tabs>
        <w:spacing w:before="120" w:after="120"/>
      </w:pPr>
      <w:r w:rsidRPr="008E220C">
        <w:t>The NIST will publish reports on trends in marine mammal health and environmental parameters.  Collectors or submitters will be acknowledg</w:t>
      </w:r>
      <w:r w:rsidRPr="008E220C">
        <w:t>ed or offered co-authorship in all public documents. NOAA has no plans at this time to make the results of the information collection available to the public over the Internet.</w:t>
      </w:r>
    </w:p>
    <w:p w:rsidR="0015580B" w:rsidRPr="008E220C" w14:paraId="1F96688E" w14:textId="77777777">
      <w:pPr>
        <w:pBdr>
          <w:top w:val="nil"/>
          <w:left w:val="nil"/>
          <w:bottom w:val="nil"/>
          <w:right w:val="nil"/>
          <w:between w:val="nil"/>
        </w:pBdr>
        <w:spacing w:before="160"/>
      </w:pPr>
    </w:p>
    <w:p w:rsidR="0015580B" w:rsidRPr="008E220C" w14:paraId="6835C6CE" w14:textId="77777777">
      <w:pPr>
        <w:numPr>
          <w:ilvl w:val="0"/>
          <w:numId w:val="3"/>
        </w:numPr>
        <w:pBdr>
          <w:top w:val="nil"/>
          <w:left w:val="nil"/>
          <w:bottom w:val="nil"/>
          <w:right w:val="nil"/>
          <w:between w:val="nil"/>
        </w:pBdr>
        <w:tabs>
          <w:tab w:val="left" w:pos="360"/>
        </w:tabs>
        <w:spacing w:before="80"/>
        <w:ind w:left="0" w:firstLine="0"/>
        <w:rPr>
          <w:b/>
        </w:rPr>
      </w:pPr>
      <w:r w:rsidRPr="008E220C">
        <w:rPr>
          <w:b/>
        </w:rPr>
        <w:t>If seeking approval to not display</w:t>
      </w:r>
      <w:r w:rsidRPr="008E220C">
        <w:rPr>
          <w:b/>
        </w:rPr>
        <w:t xml:space="preserve"> the expiration date for OMB approval of the information collection, explain the reasons that display would be inappropriate.</w:t>
      </w:r>
    </w:p>
    <w:p w:rsidR="00C31D57" w:rsidRPr="008E220C" w:rsidP="00C31D57" w14:paraId="7218C804" w14:textId="77777777">
      <w:pPr>
        <w:spacing w:before="120" w:after="120"/>
      </w:pPr>
      <w:r w:rsidRPr="008E220C">
        <w:t>The agency plans to display the expiration date for OMB approval of the information collection on all instruments.</w:t>
      </w:r>
    </w:p>
    <w:p w:rsidR="0015580B" w:rsidRPr="008E220C" w:rsidP="00C31D57" w14:paraId="3BBE32F8" w14:textId="77777777">
      <w:pPr>
        <w:pBdr>
          <w:top w:val="nil"/>
          <w:left w:val="nil"/>
          <w:bottom w:val="nil"/>
          <w:right w:val="nil"/>
          <w:between w:val="nil"/>
        </w:pBdr>
        <w:spacing w:before="161"/>
        <w:rPr>
          <w:i/>
        </w:rPr>
      </w:pPr>
    </w:p>
    <w:p w:rsidR="0015580B" w:rsidRPr="008E220C" w14:paraId="0AB63521" w14:textId="77777777">
      <w:pPr>
        <w:numPr>
          <w:ilvl w:val="0"/>
          <w:numId w:val="3"/>
        </w:numPr>
        <w:pBdr>
          <w:top w:val="nil"/>
          <w:left w:val="nil"/>
          <w:bottom w:val="nil"/>
          <w:right w:val="nil"/>
          <w:between w:val="nil"/>
        </w:pBdr>
        <w:tabs>
          <w:tab w:val="left" w:pos="360"/>
        </w:tabs>
        <w:spacing w:before="80"/>
        <w:ind w:left="0" w:firstLine="0"/>
        <w:rPr>
          <w:b/>
        </w:rPr>
      </w:pPr>
      <w:r w:rsidRPr="008E220C">
        <w:rPr>
          <w:b/>
        </w:rPr>
        <w:t>Explain each e</w:t>
      </w:r>
      <w:r w:rsidRPr="008E220C">
        <w:rPr>
          <w:b/>
        </w:rPr>
        <w:t>xception to the certification statement identified in “Certification for Paperwork Reduction Act Submissions."</w:t>
      </w:r>
    </w:p>
    <w:p w:rsidR="0015580B" w:rsidRPr="008E220C" w:rsidP="00C31D57" w14:paraId="0980C609" w14:textId="7B8CB549">
      <w:pPr>
        <w:spacing w:before="182" w:line="259" w:lineRule="auto"/>
      </w:pPr>
      <w:r>
        <w:rPr>
          <w:color w:val="000000"/>
        </w:rPr>
        <w:t xml:space="preserve">The agency certifies compliance with </w:t>
      </w:r>
      <w:hyperlink r:id="rId7" w:history="1">
        <w:r>
          <w:rPr>
            <w:rStyle w:val="Hyperlink"/>
            <w:color w:val="0563C1"/>
          </w:rPr>
          <w:t xml:space="preserve">5 CFR 1320.9 </w:t>
        </w:r>
      </w:hyperlink>
      <w:r>
        <w:rPr>
          <w:color w:val="000000"/>
        </w:rPr>
        <w:t xml:space="preserve">and the related provisions of </w:t>
      </w:r>
      <w:hyperlink r:id="rId8" w:history="1">
        <w:r>
          <w:rPr>
            <w:rStyle w:val="Hyperlink"/>
            <w:color w:val="0563C1"/>
          </w:rPr>
          <w:t>5 CFR</w:t>
        </w:r>
      </w:hyperlink>
      <w:r>
        <w:rPr>
          <w:color w:val="0563C1"/>
        </w:rPr>
        <w:t xml:space="preserve"> </w:t>
      </w:r>
      <w:hyperlink r:id="rId8" w:history="1">
        <w:r>
          <w:rPr>
            <w:rStyle w:val="Hyperlink"/>
            <w:color w:val="0563C1"/>
          </w:rPr>
          <w:t>1320.8(b)(3)</w:t>
        </w:r>
      </w:hyperlink>
      <w:r>
        <w:rPr>
          <w:color w:val="000000"/>
        </w:rPr>
        <w:t>.</w:t>
      </w:r>
      <w:r w:rsidRPr="008E220C" w:rsidR="00A64E23">
        <w:t xml:space="preserve"> </w:t>
      </w:r>
    </w:p>
    <w:sectPr>
      <w:footerReference w:type="default" r:id="rId9"/>
      <w:pgSz w:w="12240" w:h="15840"/>
      <w:pgMar w:top="640" w:right="1080" w:bottom="1200" w:left="1080" w:header="0" w:footer="7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80B" w14:paraId="2BA38218"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3A5819"/>
    <w:multiLevelType w:val="multilevel"/>
    <w:tmpl w:val="FF285C20"/>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
    <w:nsid w:val="23007BFB"/>
    <w:multiLevelType w:val="multilevel"/>
    <w:tmpl w:val="1E783C7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nsid w:val="24D65BE0"/>
    <w:multiLevelType w:val="hybridMultilevel"/>
    <w:tmpl w:val="F48EA33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9530863"/>
    <w:multiLevelType w:val="multilevel"/>
    <w:tmpl w:val="C3EAA06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nsid w:val="32F80D5C"/>
    <w:multiLevelType w:val="multilevel"/>
    <w:tmpl w:val="7C16D0B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6">
    <w:nsid w:val="40C92F3E"/>
    <w:multiLevelType w:val="multilevel"/>
    <w:tmpl w:val="414A01E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nsid w:val="494636F9"/>
    <w:multiLevelType w:val="multilevel"/>
    <w:tmpl w:val="5EC65000"/>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8">
    <w:nsid w:val="4A12471E"/>
    <w:multiLevelType w:val="multilevel"/>
    <w:tmpl w:val="3078EF3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9">
    <w:nsid w:val="6EFD3DEA"/>
    <w:multiLevelType w:val="multilevel"/>
    <w:tmpl w:val="F738B104"/>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0">
    <w:nsid w:val="775E133E"/>
    <w:multiLevelType w:val="multilevel"/>
    <w:tmpl w:val="AA42218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1">
    <w:nsid w:val="7ADB7CC8"/>
    <w:multiLevelType w:val="multilevel"/>
    <w:tmpl w:val="9FBC85A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nsid w:val="7EBC39BF"/>
    <w:multiLevelType w:val="multilevel"/>
    <w:tmpl w:val="3F6A3758"/>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num w:numId="1">
    <w:abstractNumId w:val="12"/>
  </w:num>
  <w:num w:numId="2">
    <w:abstractNumId w:val="7"/>
  </w:num>
  <w:num w:numId="3">
    <w:abstractNumId w:val="8"/>
  </w:num>
  <w:num w:numId="4">
    <w:abstractNumId w:val="11"/>
  </w:num>
  <w:num w:numId="5">
    <w:abstractNumId w:val="1"/>
  </w:num>
  <w:num w:numId="6">
    <w:abstractNumId w:val="6"/>
  </w:num>
  <w:num w:numId="7">
    <w:abstractNumId w:val="4"/>
  </w:num>
  <w:num w:numId="8">
    <w:abstractNumId w:val="10"/>
  </w:num>
  <w:num w:numId="9">
    <w:abstractNumId w:val="9"/>
  </w:num>
  <w:num w:numId="10">
    <w:abstractNumId w:val="3"/>
  </w:num>
  <w:num w:numId="11">
    <w:abstractNumId w:val="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80B"/>
    <w:rsid w:val="000542A2"/>
    <w:rsid w:val="000E2281"/>
    <w:rsid w:val="00115034"/>
    <w:rsid w:val="0011674E"/>
    <w:rsid w:val="001504A0"/>
    <w:rsid w:val="0015580B"/>
    <w:rsid w:val="00190C8F"/>
    <w:rsid w:val="001F1F89"/>
    <w:rsid w:val="00231A29"/>
    <w:rsid w:val="0029072B"/>
    <w:rsid w:val="002E6269"/>
    <w:rsid w:val="003F2705"/>
    <w:rsid w:val="004333D7"/>
    <w:rsid w:val="0045586A"/>
    <w:rsid w:val="00471644"/>
    <w:rsid w:val="00544F40"/>
    <w:rsid w:val="00615389"/>
    <w:rsid w:val="006908E1"/>
    <w:rsid w:val="006C5BBF"/>
    <w:rsid w:val="006E0B72"/>
    <w:rsid w:val="0071650F"/>
    <w:rsid w:val="00760C03"/>
    <w:rsid w:val="007877B3"/>
    <w:rsid w:val="007E133C"/>
    <w:rsid w:val="008E220C"/>
    <w:rsid w:val="00944B92"/>
    <w:rsid w:val="00963EB6"/>
    <w:rsid w:val="00966895"/>
    <w:rsid w:val="009E0B05"/>
    <w:rsid w:val="009F5E45"/>
    <w:rsid w:val="00A64E23"/>
    <w:rsid w:val="00A915A1"/>
    <w:rsid w:val="00AE562F"/>
    <w:rsid w:val="00AE6763"/>
    <w:rsid w:val="00B02257"/>
    <w:rsid w:val="00B03096"/>
    <w:rsid w:val="00B73AFF"/>
    <w:rsid w:val="00B80AC8"/>
    <w:rsid w:val="00C043B5"/>
    <w:rsid w:val="00C31D57"/>
    <w:rsid w:val="00C40492"/>
    <w:rsid w:val="00C7274F"/>
    <w:rsid w:val="00CA0617"/>
    <w:rsid w:val="00CB50F3"/>
    <w:rsid w:val="00CF39E1"/>
    <w:rsid w:val="00D64DF9"/>
    <w:rsid w:val="00D82AA1"/>
    <w:rsid w:val="00DB242F"/>
    <w:rsid w:val="00DE342F"/>
    <w:rsid w:val="00DF0CE3"/>
    <w:rsid w:val="00E01B84"/>
    <w:rsid w:val="00E0354D"/>
    <w:rsid w:val="00E34E7D"/>
    <w:rsid w:val="00E63FE3"/>
    <w:rsid w:val="00E97B7D"/>
    <w:rsid w:val="00EB2363"/>
    <w:rsid w:val="00EC52C2"/>
    <w:rsid w:val="00ED5E55"/>
    <w:rsid w:val="00F069CF"/>
    <w:rsid w:val="00FC7ACC"/>
    <w:rsid w:val="00FF38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1DA650"/>
  <w15:docId w15:val="{5864806C-FB3E-4579-B79F-A02EA5B7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customStyle="1" w:styleId="Default">
    <w:name w:val="Default"/>
    <w:rsid w:val="00963EB6"/>
    <w:pPr>
      <w:autoSpaceDE w:val="0"/>
      <w:autoSpaceDN w:val="0"/>
      <w:adjustRightInd w:val="0"/>
    </w:pPr>
    <w:rPr>
      <w:color w:val="000000"/>
    </w:rPr>
  </w:style>
  <w:style w:type="paragraph" w:customStyle="1" w:styleId="CM38">
    <w:name w:val="CM38"/>
    <w:basedOn w:val="Default"/>
    <w:next w:val="Default"/>
    <w:rsid w:val="00963EB6"/>
    <w:pPr>
      <w:spacing w:after="278"/>
    </w:pPr>
    <w:rPr>
      <w:color w:val="auto"/>
    </w:rPr>
  </w:style>
  <w:style w:type="paragraph" w:styleId="Revision">
    <w:name w:val="Revision"/>
    <w:hidden/>
    <w:uiPriority w:val="99"/>
    <w:semiHidden/>
    <w:rsid w:val="00E01B84"/>
    <w:pPr>
      <w:widowControl/>
    </w:pPr>
  </w:style>
  <w:style w:type="paragraph" w:styleId="CommentSubject">
    <w:name w:val="annotation subject"/>
    <w:basedOn w:val="CommentText"/>
    <w:next w:val="CommentText"/>
    <w:link w:val="CommentSubjectChar"/>
    <w:uiPriority w:val="99"/>
    <w:semiHidden/>
    <w:unhideWhenUsed/>
    <w:rsid w:val="00E01B84"/>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E01B84"/>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fws.gov/informationquality/section515.html" TargetMode="External" /><Relationship Id="rId6" Type="http://schemas.openxmlformats.org/officeDocument/2006/relationships/hyperlink" Target="file:///G:\GPEA-PRA\PRA%20Docs\0400-0499\0468\2024\0648-0468%2060%20-Day%2089%20FR%205863%202024%20-0130.pdf" TargetMode="Externa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3768</Words>
  <Characters>21481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5</cp:revision>
  <dcterms:created xsi:type="dcterms:W3CDTF">2024-05-07T18:32:00Z</dcterms:created>
  <dcterms:modified xsi:type="dcterms:W3CDTF">2024-05-07T18:47:00Z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