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6C24" w:rsidRPr="00CF469C" w:rsidP="00265C13">
      <w:pPr>
        <w:pStyle w:val="Heading1"/>
        <w:spacing w:before="0"/>
        <w:ind w:left="0"/>
        <w:contextualSpacing/>
        <w:jc w:val="center"/>
        <w:rPr>
          <w:color w:val="0D0D0D" w:themeColor="text1" w:themeTint="F2"/>
        </w:rPr>
      </w:pPr>
      <w:r w:rsidRPr="00CF469C">
        <w:rPr>
          <w:color w:val="0D0D0D" w:themeColor="text1" w:themeTint="F2"/>
        </w:rPr>
        <w:t>SUPPORTING STATEMENT</w:t>
      </w:r>
    </w:p>
    <w:p w:rsidR="00366C24" w:rsidRPr="00CF469C" w:rsidP="00265C13">
      <w:pPr>
        <w:ind w:firstLine="14"/>
        <w:contextualSpacing/>
        <w:jc w:val="center"/>
        <w:rPr>
          <w:b/>
          <w:color w:val="0D0D0D" w:themeColor="text1" w:themeTint="F2"/>
        </w:rPr>
      </w:pPr>
      <w:r w:rsidRPr="00CF469C">
        <w:rPr>
          <w:b/>
          <w:color w:val="0D0D0D" w:themeColor="text1" w:themeTint="F2"/>
        </w:rPr>
        <w:t>U.S. Department of Commerce</w:t>
      </w:r>
    </w:p>
    <w:p w:rsidR="00366C24" w:rsidRPr="00CF469C" w:rsidP="00265C13">
      <w:pPr>
        <w:ind w:firstLine="14"/>
        <w:contextualSpacing/>
        <w:jc w:val="center"/>
        <w:rPr>
          <w:b/>
          <w:color w:val="0D0D0D" w:themeColor="text1" w:themeTint="F2"/>
        </w:rPr>
      </w:pPr>
      <w:r w:rsidRPr="00CF469C">
        <w:rPr>
          <w:b/>
          <w:color w:val="0D0D0D" w:themeColor="text1" w:themeTint="F2"/>
        </w:rPr>
        <w:t>National Oceanic &amp; Atmospheric Administration</w:t>
      </w:r>
    </w:p>
    <w:p w:rsidR="007535A3" w:rsidRPr="00CF469C" w:rsidP="00265C13">
      <w:pPr>
        <w:contextualSpacing/>
        <w:jc w:val="center"/>
        <w:rPr>
          <w:b/>
          <w:bCs/>
          <w:color w:val="0D0D0D" w:themeColor="text1" w:themeTint="F2"/>
        </w:rPr>
      </w:pPr>
      <w:r w:rsidRPr="00CF469C">
        <w:rPr>
          <w:b/>
          <w:bCs/>
          <w:color w:val="0D0D0D" w:themeColor="text1" w:themeTint="F2"/>
        </w:rPr>
        <w:t>Documentation of Fish Harvest</w:t>
      </w:r>
    </w:p>
    <w:p w:rsidR="007535A3" w:rsidRPr="00CF469C" w:rsidP="00265C13">
      <w:pPr>
        <w:contextualSpacing/>
        <w:jc w:val="center"/>
        <w:rPr>
          <w:b/>
          <w:bCs/>
          <w:color w:val="0D0D0D" w:themeColor="text1" w:themeTint="F2"/>
        </w:rPr>
      </w:pPr>
      <w:r w:rsidRPr="00CF469C">
        <w:rPr>
          <w:b/>
          <w:bCs/>
          <w:color w:val="0D0D0D" w:themeColor="text1" w:themeTint="F2"/>
        </w:rPr>
        <w:t>OMB CONTROL N</w:t>
      </w:r>
      <w:r w:rsidRPr="00CF469C" w:rsidR="00265C13">
        <w:rPr>
          <w:b/>
          <w:bCs/>
          <w:color w:val="0D0D0D" w:themeColor="text1" w:themeTint="F2"/>
        </w:rPr>
        <w:t>UMBER</w:t>
      </w:r>
      <w:r w:rsidRPr="00CF469C">
        <w:rPr>
          <w:b/>
          <w:bCs/>
          <w:color w:val="0D0D0D" w:themeColor="text1" w:themeTint="F2"/>
        </w:rPr>
        <w:t xml:space="preserve"> 0648-0365</w:t>
      </w:r>
    </w:p>
    <w:p w:rsidR="00366C24" w:rsidRPr="00CF469C" w:rsidP="00265C13">
      <w:pPr>
        <w:pBdr>
          <w:top w:val="nil"/>
          <w:left w:val="nil"/>
          <w:bottom w:val="nil"/>
          <w:right w:val="nil"/>
          <w:between w:val="nil"/>
        </w:pBdr>
        <w:contextualSpacing/>
        <w:jc w:val="center"/>
        <w:rPr>
          <w:b/>
          <w:color w:val="0D0D0D" w:themeColor="text1" w:themeTint="F2"/>
        </w:rPr>
      </w:pPr>
    </w:p>
    <w:p w:rsidR="007535A3" w:rsidRPr="00CF469C" w:rsidP="00265C13">
      <w:pPr>
        <w:contextualSpacing/>
        <w:rPr>
          <w:b/>
          <w:color w:val="0D0D0D" w:themeColor="text1" w:themeTint="F2"/>
        </w:rPr>
      </w:pPr>
    </w:p>
    <w:p w:rsidR="00366C24" w:rsidRPr="00CF469C" w:rsidP="00265C13">
      <w:pPr>
        <w:contextualSpacing/>
        <w:rPr>
          <w:b/>
          <w:color w:val="0D0D0D" w:themeColor="text1" w:themeTint="F2"/>
        </w:rPr>
      </w:pPr>
      <w:r w:rsidRPr="00CF469C">
        <w:rPr>
          <w:b/>
          <w:color w:val="0D0D0D" w:themeColor="text1" w:themeTint="F2"/>
        </w:rPr>
        <w:t xml:space="preserve">SUPPORTING STATEMENT PART A </w:t>
      </w:r>
    </w:p>
    <w:p w:rsidR="007535A3" w:rsidRPr="00CF469C" w:rsidP="00265C13">
      <w:pPr>
        <w:contextualSpacing/>
        <w:rPr>
          <w:b/>
          <w:color w:val="0D0D0D" w:themeColor="text1" w:themeTint="F2"/>
        </w:rPr>
      </w:pPr>
    </w:p>
    <w:p w:rsidR="00366C24" w:rsidRPr="00CF469C" w:rsidP="00265C13">
      <w:pPr>
        <w:contextualSpacing/>
        <w:rPr>
          <w:b/>
          <w:color w:val="0D0D0D" w:themeColor="text1" w:themeTint="F2"/>
        </w:rPr>
      </w:pPr>
      <w:r w:rsidRPr="00CF469C">
        <w:rPr>
          <w:b/>
          <w:color w:val="0D0D0D" w:themeColor="text1" w:themeTint="F2"/>
        </w:rPr>
        <w:t>Abstract</w:t>
      </w:r>
    </w:p>
    <w:p w:rsidR="00C90707" w:rsidRPr="00CF469C" w:rsidP="00265C13">
      <w:pPr>
        <w:contextualSpacing/>
        <w:rPr>
          <w:color w:val="0D0D0D" w:themeColor="text1" w:themeTint="F2"/>
        </w:rPr>
      </w:pPr>
    </w:p>
    <w:p w:rsidR="007535A3" w:rsidP="00265C13">
      <w:pPr>
        <w:contextualSpacing/>
        <w:rPr>
          <w:color w:val="0D0D0D" w:themeColor="text1" w:themeTint="F2"/>
        </w:rPr>
      </w:pPr>
      <w:r w:rsidRPr="00CF469C">
        <w:rPr>
          <w:color w:val="0D0D0D" w:themeColor="text1" w:themeTint="F2"/>
        </w:rPr>
        <w:t xml:space="preserve">This request is for an extension of a currently approved information collection. </w:t>
      </w:r>
    </w:p>
    <w:p w:rsidR="00CD1C0A" w:rsidP="00CD1C0A">
      <w:pPr>
        <w:ind w:firstLine="720"/>
        <w:contextualSpacing/>
      </w:pPr>
      <w:r w:rsidRPr="00E70FC2">
        <w:t xml:space="preserve">The NMFS Southeast Region manages commercial </w:t>
      </w:r>
      <w:r>
        <w:t xml:space="preserve">fishing </w:t>
      </w:r>
      <w:r w:rsidRPr="005C46E6">
        <w:t xml:space="preserve">in Federal waters of the South Atlantic </w:t>
      </w:r>
      <w:r w:rsidRPr="00E70FC2">
        <w:t>under the authority of the Magnuson-Stevens Fishery Conservation and Management A</w:t>
      </w:r>
      <w:r w:rsidRPr="00E70FC2">
        <w:t xml:space="preserve">ct (Magnuson-Stevens Act). </w:t>
      </w:r>
      <w:r>
        <w:t>South Atlantic Federal waters encompass the area offshore of North Carolina and south through the east coast of Florida.</w:t>
      </w:r>
    </w:p>
    <w:p w:rsidR="00CD1C0A" w:rsidP="00CD1C0A">
      <w:pPr>
        <w:ind w:firstLine="720"/>
        <w:contextualSpacing/>
      </w:pPr>
      <w:r>
        <w:t>Federally permitted</w:t>
      </w:r>
      <w:r w:rsidRPr="00A97723">
        <w:t xml:space="preserve"> seafood dealers who process</w:t>
      </w:r>
      <w:r>
        <w:t xml:space="preserve"> or sell</w:t>
      </w:r>
      <w:r w:rsidRPr="00A97723">
        <w:t xml:space="preserve"> </w:t>
      </w:r>
      <w:r>
        <w:t xml:space="preserve">federally managed snapper and grouper species </w:t>
      </w:r>
      <w:r w:rsidRPr="00A97723">
        <w:t>during</w:t>
      </w:r>
      <w:r w:rsidRPr="00A97723">
        <w:t xml:space="preserve"> seasonal fishery closures </w:t>
      </w:r>
      <w:r>
        <w:t xml:space="preserve">in the South Atlantic </w:t>
      </w:r>
      <w:r w:rsidRPr="00A97723">
        <w:t xml:space="preserve">for </w:t>
      </w:r>
      <w:r>
        <w:t xml:space="preserve">those </w:t>
      </w:r>
      <w:r w:rsidRPr="00A97723">
        <w:t>applicable species must maintain documentation, as specified in 50 CFR part 300 subpart K and 50 CFR 622.192(i), that such fish were harvested from areas other than state or Federal waters in the S</w:t>
      </w:r>
      <w:r w:rsidRPr="00A97723">
        <w:t xml:space="preserve">outh Atlantic. </w:t>
      </w:r>
      <w:r>
        <w:t xml:space="preserve">The applicable snapper and grouper species are </w:t>
      </w:r>
      <w:r w:rsidRPr="00A97723">
        <w:t>greater amberjack, gag, black grouper, red grouper, scamp, red hind, rock hind, yellow mouth grou</w:t>
      </w:r>
      <w:r>
        <w:t xml:space="preserve">per, yellowfin grouper, graysby, and </w:t>
      </w:r>
      <w:r w:rsidRPr="00A97723">
        <w:t>coney</w:t>
      </w:r>
      <w:r>
        <w:t>.</w:t>
      </w:r>
      <w:r w:rsidRPr="00A97723">
        <w:t xml:space="preserve"> The </w:t>
      </w:r>
      <w:r>
        <w:t xml:space="preserve">required </w:t>
      </w:r>
      <w:r w:rsidRPr="00A97723">
        <w:t xml:space="preserve">documentation includes information </w:t>
      </w:r>
      <w:r>
        <w:t>about</w:t>
      </w:r>
      <w:r w:rsidRPr="00A97723">
        <w:t xml:space="preserve"> the vessel that harvested the fish, and where and when the fish were offloaded.</w:t>
      </w:r>
      <w:r>
        <w:t xml:space="preserve"> The required documentation also requires a signed statement by the dealer that attests to the harvest of the applicable species from areas other than the South </w:t>
      </w:r>
      <w:r w:rsidRPr="006F2017">
        <w:t>Atlantic. NMFS</w:t>
      </w:r>
      <w:r w:rsidRPr="00A97723">
        <w:t xml:space="preserve"> </w:t>
      </w:r>
      <w:r w:rsidRPr="00A97723">
        <w:t>requires the information for the enforcement of fishery regulations</w:t>
      </w:r>
      <w:r>
        <w:t xml:space="preserve"> at 50 CFR 622, subpart I</w:t>
      </w:r>
      <w:r w:rsidRPr="00A97723">
        <w:t>.</w:t>
      </w:r>
    </w:p>
    <w:p w:rsidR="00CD1C0A" w:rsidRPr="00CF469C" w:rsidP="00CD1C0A">
      <w:pPr>
        <w:contextualSpacing/>
        <w:rPr>
          <w:color w:val="0D0D0D" w:themeColor="text1" w:themeTint="F2"/>
        </w:rPr>
      </w:pPr>
    </w:p>
    <w:p w:rsidR="007535A3" w:rsidRPr="00CF469C" w:rsidP="00265C13">
      <w:pPr>
        <w:contextualSpacing/>
        <w:rPr>
          <w:color w:val="0D0D0D" w:themeColor="text1" w:themeTint="F2"/>
        </w:rPr>
      </w:pPr>
    </w:p>
    <w:p w:rsidR="00366C24" w:rsidRPr="00CF469C" w:rsidP="00265C13">
      <w:pPr>
        <w:contextualSpacing/>
        <w:rPr>
          <w:b/>
          <w:color w:val="0D0D0D" w:themeColor="text1" w:themeTint="F2"/>
        </w:rPr>
      </w:pPr>
      <w:r w:rsidRPr="00CF469C">
        <w:rPr>
          <w:b/>
          <w:color w:val="0D0D0D" w:themeColor="text1" w:themeTint="F2"/>
        </w:rPr>
        <w:t>Justification</w:t>
      </w: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 xml:space="preserve">Explain the circumstances that make the collection of information necessary. Identify any legal or administrative requirements that necessitate </w:t>
      </w:r>
      <w:r w:rsidRPr="00CF469C">
        <w:rPr>
          <w:b/>
          <w:color w:val="0D0D0D" w:themeColor="text1" w:themeTint="F2"/>
        </w:rPr>
        <w:t>the collection. Attach a copy of the appropriate section of each statute and regulation mandating or authorizing the collection of information.</w:t>
      </w:r>
    </w:p>
    <w:p w:rsidR="00C90707" w:rsidRPr="00CF469C" w:rsidP="00265C13">
      <w:pPr>
        <w:pBdr>
          <w:top w:val="nil"/>
          <w:left w:val="nil"/>
          <w:bottom w:val="nil"/>
          <w:right w:val="nil"/>
          <w:between w:val="nil"/>
        </w:pBdr>
        <w:contextualSpacing/>
        <w:rPr>
          <w:color w:val="0D0D0D" w:themeColor="text1" w:themeTint="F2"/>
        </w:rPr>
      </w:pPr>
    </w:p>
    <w:p w:rsidR="00C90707" w:rsidRPr="00CF469C" w:rsidP="00265C13">
      <w:pPr>
        <w:contextualSpacing/>
        <w:rPr>
          <w:color w:val="0D0D0D" w:themeColor="text1" w:themeTint="F2"/>
        </w:rPr>
      </w:pPr>
      <w:r w:rsidRPr="00CF469C">
        <w:rPr>
          <w:color w:val="0D0D0D" w:themeColor="text1" w:themeTint="F2"/>
        </w:rPr>
        <w:t xml:space="preserve">The National Oceanic and Atmospheric Administration’s (NOAA) National Marine Fisheries Service (NMFS) requires </w:t>
      </w:r>
      <w:r w:rsidRPr="00CF469C">
        <w:rPr>
          <w:color w:val="0D0D0D" w:themeColor="text1" w:themeTint="F2"/>
        </w:rPr>
        <w:t xml:space="preserve">seafood dealers that purchase or sell certain snapper-grouper species harvested during fishery closures must maintain documentation that such fish were harvested from areas other than the South Atlantic. Regulations at </w:t>
      </w:r>
      <w:r w:rsidRPr="00356F76">
        <w:rPr>
          <w:color w:val="0D0D0D" w:themeColor="text1" w:themeTint="F2"/>
        </w:rPr>
        <w:t>50 CFR 622.192(i)</w:t>
      </w:r>
      <w:r w:rsidRPr="00CF469C">
        <w:rPr>
          <w:color w:val="0D0D0D" w:themeColor="text1" w:themeTint="F2"/>
        </w:rPr>
        <w:t xml:space="preserve"> specify the necessa</w:t>
      </w:r>
      <w:r w:rsidRPr="00CF469C">
        <w:rPr>
          <w:color w:val="0D0D0D" w:themeColor="text1" w:themeTint="F2"/>
        </w:rPr>
        <w:t xml:space="preserve">ry documentation to support a dealer’s purchase or sale of applicable species during times specified below and in 50 CFR 622.192(g) and (h). </w:t>
      </w:r>
    </w:p>
    <w:p w:rsidR="00C90707" w:rsidRPr="00CF469C" w:rsidP="00265C13">
      <w:pPr>
        <w:contextualSpacing/>
        <w:rPr>
          <w:color w:val="0D0D0D" w:themeColor="text1" w:themeTint="F2"/>
        </w:rPr>
      </w:pPr>
    </w:p>
    <w:p w:rsidR="00C90707" w:rsidRPr="00CF469C" w:rsidP="00265C13">
      <w:pPr>
        <w:contextualSpacing/>
        <w:rPr>
          <w:color w:val="0D0D0D" w:themeColor="text1" w:themeTint="F2"/>
        </w:rPr>
      </w:pPr>
      <w:r w:rsidRPr="00CF469C">
        <w:rPr>
          <w:color w:val="0D0D0D" w:themeColor="text1" w:themeTint="F2"/>
        </w:rPr>
        <w:t>During April, no person may purchase or sell greater amberjack if: 1) the fish is harvested from South Atlantic f</w:t>
      </w:r>
      <w:r w:rsidRPr="00CF469C">
        <w:rPr>
          <w:color w:val="0D0D0D" w:themeColor="text1" w:themeTint="F2"/>
        </w:rPr>
        <w:t xml:space="preserve">ederal waters, or 2) the fish is harvested from state or federal waters in the South Atlantic by a vessel with a valid federal commercial permit for South Atlantic snapper-grouper </w:t>
      </w:r>
      <w:r w:rsidRPr="00CF469C" w:rsidR="00265C13">
        <w:rPr>
          <w:color w:val="0D0D0D" w:themeColor="text1" w:themeTint="F2"/>
        </w:rPr>
        <w:t>[50 CFR 622.192(g)]</w:t>
      </w:r>
      <w:r w:rsidRPr="00CF469C">
        <w:rPr>
          <w:color w:val="0D0D0D" w:themeColor="text1" w:themeTint="F2"/>
        </w:rPr>
        <w:t>.</w:t>
      </w:r>
    </w:p>
    <w:p w:rsidR="00C90707" w:rsidRPr="00CF469C" w:rsidP="00265C13">
      <w:pPr>
        <w:contextualSpacing/>
        <w:rPr>
          <w:color w:val="0D0D0D" w:themeColor="text1" w:themeTint="F2"/>
        </w:rPr>
      </w:pPr>
      <w:r w:rsidRPr="00CF469C">
        <w:rPr>
          <w:color w:val="0D0D0D" w:themeColor="text1" w:themeTint="F2"/>
        </w:rPr>
        <w:t xml:space="preserve"> </w:t>
      </w:r>
    </w:p>
    <w:p w:rsidR="00C90707" w:rsidRPr="00CF469C" w:rsidP="00265C13">
      <w:pPr>
        <w:contextualSpacing/>
        <w:rPr>
          <w:color w:val="0D0D0D" w:themeColor="text1" w:themeTint="F2"/>
        </w:rPr>
      </w:pPr>
      <w:r w:rsidRPr="00CF469C">
        <w:rPr>
          <w:color w:val="0D0D0D" w:themeColor="text1" w:themeTint="F2"/>
        </w:rPr>
        <w:t xml:space="preserve">During January through April, no person may purchase </w:t>
      </w:r>
      <w:r w:rsidRPr="00CF469C">
        <w:rPr>
          <w:color w:val="0D0D0D" w:themeColor="text1" w:themeTint="F2"/>
        </w:rPr>
        <w:t xml:space="preserve">or sell a red porgy, gag (grouper), black grouper, red grouper, scamp, red hind, rock hind, yellowmouth grouper, yellowfin grouper, graysby, or coney if: 1) the fish are harvested from South Atlantic federal waters, or 2) the fish are harvested from state </w:t>
      </w:r>
      <w:r w:rsidRPr="00CF469C">
        <w:rPr>
          <w:color w:val="0D0D0D" w:themeColor="text1" w:themeTint="F2"/>
        </w:rPr>
        <w:t xml:space="preserve">or federal waters in the South Atlantic by a vessel with a valid federal commercial permit for South Atlantic snapper-grouper </w:t>
      </w:r>
      <w:r w:rsidRPr="00CF469C" w:rsidR="00265C13">
        <w:rPr>
          <w:color w:val="0D0D0D" w:themeColor="text1" w:themeTint="F2"/>
        </w:rPr>
        <w:t>[</w:t>
      </w:r>
      <w:r w:rsidRPr="00CF469C">
        <w:rPr>
          <w:color w:val="0D0D0D" w:themeColor="text1" w:themeTint="F2"/>
        </w:rPr>
        <w:t>50 CFR 622.192(h)</w:t>
      </w:r>
      <w:r w:rsidRPr="00CF469C" w:rsidR="00265C13">
        <w:rPr>
          <w:color w:val="0D0D0D" w:themeColor="text1" w:themeTint="F2"/>
        </w:rPr>
        <w:t>]</w:t>
      </w:r>
      <w:r w:rsidRPr="00CF469C">
        <w:rPr>
          <w:color w:val="0D0D0D" w:themeColor="text1" w:themeTint="F2"/>
        </w:rPr>
        <w:t>.</w:t>
      </w:r>
    </w:p>
    <w:p w:rsidR="00C90707" w:rsidRPr="00CF469C" w:rsidP="00265C13">
      <w:pPr>
        <w:contextualSpacing/>
        <w:rPr>
          <w:color w:val="0D0D0D" w:themeColor="text1" w:themeTint="F2"/>
        </w:rPr>
      </w:pPr>
    </w:p>
    <w:p w:rsidR="00C90707" w:rsidRPr="00CF469C" w:rsidP="00265C13">
      <w:pPr>
        <w:contextualSpacing/>
        <w:rPr>
          <w:color w:val="0D0D0D" w:themeColor="text1" w:themeTint="F2"/>
        </w:rPr>
      </w:pPr>
      <w:r w:rsidRPr="00CF469C">
        <w:rPr>
          <w:color w:val="0D0D0D" w:themeColor="text1" w:themeTint="F2"/>
        </w:rPr>
        <w:t xml:space="preserve">These prohibitions do not apply to a dealer's purchase or sale of such species harvested from an area other </w:t>
      </w:r>
      <w:r w:rsidRPr="00CF469C">
        <w:rPr>
          <w:color w:val="0D0D0D" w:themeColor="text1" w:themeTint="F2"/>
        </w:rPr>
        <w:t xml:space="preserve">than the South Atlantic, provided such fish is accompanied by documentation of harvest outside the South Atlantic as specified in 50 CFR 622.192(i). </w:t>
      </w:r>
    </w:p>
    <w:p w:rsidR="00C90707" w:rsidRPr="00CF469C" w:rsidP="00265C13">
      <w:pPr>
        <w:pBdr>
          <w:top w:val="nil"/>
          <w:left w:val="nil"/>
          <w:bottom w:val="nil"/>
          <w:right w:val="nil"/>
          <w:between w:val="nil"/>
        </w:pBdr>
        <w:contextualSpacing/>
        <w:rPr>
          <w:color w:val="0D0D0D" w:themeColor="text1" w:themeTint="F2"/>
        </w:rPr>
      </w:pPr>
    </w:p>
    <w:p w:rsidR="00366C24" w:rsidRPr="00CF469C" w:rsidP="00265C13">
      <w:pPr>
        <w:pStyle w:val="Heading1"/>
        <w:numPr>
          <w:ilvl w:val="0"/>
          <w:numId w:val="3"/>
        </w:numPr>
        <w:tabs>
          <w:tab w:val="left" w:pos="360"/>
        </w:tabs>
        <w:spacing w:before="0"/>
        <w:ind w:left="0" w:firstLine="0"/>
        <w:contextualSpacing/>
        <w:rPr>
          <w:color w:val="0D0D0D" w:themeColor="text1" w:themeTint="F2"/>
        </w:rPr>
      </w:pPr>
      <w:r w:rsidRPr="00CF469C">
        <w:rPr>
          <w:color w:val="0D0D0D" w:themeColor="text1" w:themeTint="F2"/>
        </w:rPr>
        <w:t>Indicate how, by whom, and for what purpose the information is to be used. Except for a new collection, i</w:t>
      </w:r>
      <w:r w:rsidRPr="00CF469C">
        <w:rPr>
          <w:color w:val="0D0D0D" w:themeColor="text1" w:themeTint="F2"/>
        </w:rPr>
        <w:t>ndicate the actual use the agency has made of the information received from the current collection.</w:t>
      </w:r>
    </w:p>
    <w:p w:rsidR="00440E81" w:rsidRPr="00CF469C" w:rsidP="00265C13">
      <w:pPr>
        <w:pBdr>
          <w:top w:val="nil"/>
          <w:left w:val="nil"/>
          <w:bottom w:val="nil"/>
          <w:right w:val="nil"/>
          <w:between w:val="nil"/>
        </w:pBdr>
        <w:contextualSpacing/>
        <w:rPr>
          <w:color w:val="0D0D0D" w:themeColor="text1" w:themeTint="F2"/>
        </w:rPr>
      </w:pPr>
    </w:p>
    <w:p w:rsidR="00440E81" w:rsidRPr="00CF469C" w:rsidP="00265C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color w:val="0D0D0D" w:themeColor="text1" w:themeTint="F2"/>
        </w:rPr>
      </w:pPr>
      <w:r w:rsidRPr="00CF469C">
        <w:rPr>
          <w:color w:val="0D0D0D" w:themeColor="text1" w:themeTint="F2"/>
        </w:rPr>
        <w:t xml:space="preserve">A dealer's purchase or sale of greater amberjack, red porgy, gag, black grouper, red grouper, scamp, red hind, rock hind, yellowmouth grouper, yellowfin grouper, graysby, or coney harvested from an area other than the South Atlantic must be accompanied by </w:t>
      </w:r>
      <w:r w:rsidRPr="00CF469C">
        <w:rPr>
          <w:color w:val="0D0D0D" w:themeColor="text1" w:themeTint="F2"/>
        </w:rPr>
        <w:t xml:space="preserve">documentation of harvest outside the South Atlantic. Such documentation must contain the information specified in 50 CFR 622.192(i), and </w:t>
      </w:r>
      <w:r w:rsidRPr="00356F76">
        <w:rPr>
          <w:color w:val="0D0D0D" w:themeColor="text1" w:themeTint="F2"/>
        </w:rPr>
        <w:t>50 CFR part 300</w:t>
      </w:r>
      <w:r w:rsidRPr="00CF469C">
        <w:rPr>
          <w:color w:val="0D0D0D" w:themeColor="text1" w:themeTint="F2"/>
        </w:rPr>
        <w:t>, subpart K for marking containers or packages of fish or wildlife that are imported, exported, or trans</w:t>
      </w:r>
      <w:r w:rsidRPr="00CF469C">
        <w:rPr>
          <w:color w:val="0D0D0D" w:themeColor="text1" w:themeTint="F2"/>
        </w:rPr>
        <w:t>ported in interstate commerce. The required documentation allows dealers to sell fish that were caught from areas outside the South Atlantic during closed seasons. The documentation supporting a dealer's purchase or sale of applicable species during an app</w:t>
      </w:r>
      <w:r w:rsidRPr="00CF469C">
        <w:rPr>
          <w:color w:val="0D0D0D" w:themeColor="text1" w:themeTint="F2"/>
        </w:rPr>
        <w:t xml:space="preserve">licable closed season must contain the information below. </w:t>
      </w:r>
    </w:p>
    <w:p w:rsidR="00440E81" w:rsidRPr="00CF469C" w:rsidP="00265C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color w:val="0D0D0D" w:themeColor="text1" w:themeTint="F2"/>
        </w:rPr>
      </w:pPr>
    </w:p>
    <w:p w:rsidR="00440E81" w:rsidRPr="00CF469C" w:rsidP="00265C13">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bCs/>
          <w:color w:val="0D0D0D" w:themeColor="text1" w:themeTint="F2"/>
        </w:rPr>
      </w:pPr>
      <w:r w:rsidRPr="00CF469C">
        <w:rPr>
          <w:bCs/>
          <w:color w:val="0D0D0D" w:themeColor="text1" w:themeTint="F2"/>
        </w:rPr>
        <w:t>The information specified in 50 CFR part 300, subpart K for marking containers or packages of fish or wildlife that are imported, exported, or transported in interstate commerce</w:t>
      </w:r>
    </w:p>
    <w:p w:rsidR="00440E81" w:rsidRPr="00CF469C" w:rsidP="00265C13">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bCs/>
          <w:color w:val="0D0D0D" w:themeColor="text1" w:themeTint="F2"/>
        </w:rPr>
      </w:pPr>
      <w:r w:rsidRPr="00CF469C">
        <w:rPr>
          <w:bCs/>
          <w:color w:val="0D0D0D" w:themeColor="text1" w:themeTint="F2"/>
        </w:rPr>
        <w:t>The official numbe</w:t>
      </w:r>
      <w:r w:rsidRPr="00CF469C">
        <w:rPr>
          <w:bCs/>
          <w:color w:val="0D0D0D" w:themeColor="text1" w:themeTint="F2"/>
        </w:rPr>
        <w:t xml:space="preserve">r of the vessel harvesting the </w:t>
      </w:r>
      <w:r w:rsidRPr="00CF469C">
        <w:rPr>
          <w:color w:val="0D0D0D" w:themeColor="text1" w:themeTint="F2"/>
        </w:rPr>
        <w:t>species</w:t>
      </w:r>
      <w:r w:rsidRPr="00CF469C">
        <w:rPr>
          <w:bCs/>
          <w:color w:val="0D0D0D" w:themeColor="text1" w:themeTint="F2"/>
        </w:rPr>
        <w:t xml:space="preserve"> </w:t>
      </w:r>
    </w:p>
    <w:p w:rsidR="00440E81" w:rsidRPr="00CF469C" w:rsidP="00265C13">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bCs/>
          <w:color w:val="0D0D0D" w:themeColor="text1" w:themeTint="F2"/>
        </w:rPr>
      </w:pPr>
      <w:r w:rsidRPr="00CF469C">
        <w:rPr>
          <w:bCs/>
          <w:color w:val="0D0D0D" w:themeColor="text1" w:themeTint="F2"/>
        </w:rPr>
        <w:t xml:space="preserve">The registered name of the vessel harvesting the </w:t>
      </w:r>
      <w:r w:rsidRPr="00CF469C">
        <w:rPr>
          <w:color w:val="0D0D0D" w:themeColor="text1" w:themeTint="F2"/>
        </w:rPr>
        <w:t>species</w:t>
      </w:r>
      <w:r w:rsidRPr="00CF469C">
        <w:rPr>
          <w:bCs/>
          <w:color w:val="0D0D0D" w:themeColor="text1" w:themeTint="F2"/>
        </w:rPr>
        <w:t xml:space="preserve"> </w:t>
      </w:r>
    </w:p>
    <w:p w:rsidR="00440E81" w:rsidRPr="00CF469C" w:rsidP="00265C13">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bCs/>
          <w:color w:val="0D0D0D" w:themeColor="text1" w:themeTint="F2"/>
        </w:rPr>
      </w:pPr>
      <w:r w:rsidRPr="00CF469C">
        <w:rPr>
          <w:bCs/>
          <w:color w:val="0D0D0D" w:themeColor="text1" w:themeTint="F2"/>
        </w:rPr>
        <w:t xml:space="preserve">The home port of the vessel harvesting the </w:t>
      </w:r>
      <w:r w:rsidRPr="00CF469C">
        <w:rPr>
          <w:color w:val="0D0D0D" w:themeColor="text1" w:themeTint="F2"/>
        </w:rPr>
        <w:t>species</w:t>
      </w:r>
      <w:r w:rsidRPr="00CF469C">
        <w:rPr>
          <w:bCs/>
          <w:color w:val="0D0D0D" w:themeColor="text1" w:themeTint="F2"/>
        </w:rPr>
        <w:t xml:space="preserve"> </w:t>
      </w:r>
    </w:p>
    <w:p w:rsidR="00440E81" w:rsidRPr="00CF469C" w:rsidP="00265C13">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bCs/>
          <w:color w:val="0D0D0D" w:themeColor="text1" w:themeTint="F2"/>
        </w:rPr>
      </w:pPr>
      <w:r w:rsidRPr="00CF469C">
        <w:rPr>
          <w:bCs/>
          <w:color w:val="0D0D0D" w:themeColor="text1" w:themeTint="F2"/>
        </w:rPr>
        <w:t xml:space="preserve">The port of offloading from the vessel harvesting the </w:t>
      </w:r>
      <w:r w:rsidRPr="00CF469C">
        <w:rPr>
          <w:color w:val="0D0D0D" w:themeColor="text1" w:themeTint="F2"/>
        </w:rPr>
        <w:t>species</w:t>
      </w:r>
      <w:r w:rsidRPr="00CF469C">
        <w:rPr>
          <w:bCs/>
          <w:color w:val="0D0D0D" w:themeColor="text1" w:themeTint="F2"/>
        </w:rPr>
        <w:t xml:space="preserve"> </w:t>
      </w:r>
    </w:p>
    <w:p w:rsidR="00440E81" w:rsidRPr="00CF469C" w:rsidP="00265C13">
      <w:pPr>
        <w:widowControl/>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contextualSpacing/>
        <w:rPr>
          <w:bCs/>
          <w:color w:val="0D0D0D" w:themeColor="text1" w:themeTint="F2"/>
        </w:rPr>
      </w:pPr>
      <w:r w:rsidRPr="00CF469C">
        <w:rPr>
          <w:bCs/>
          <w:color w:val="0D0D0D" w:themeColor="text1" w:themeTint="F2"/>
        </w:rPr>
        <w:t xml:space="preserve">The date of offloading from the vessel harvesting the </w:t>
      </w:r>
      <w:r w:rsidRPr="00CF469C">
        <w:rPr>
          <w:color w:val="0D0D0D" w:themeColor="text1" w:themeTint="F2"/>
        </w:rPr>
        <w:t>species</w:t>
      </w:r>
      <w:r w:rsidRPr="00CF469C">
        <w:rPr>
          <w:bCs/>
          <w:color w:val="0D0D0D" w:themeColor="text1" w:themeTint="F2"/>
        </w:rPr>
        <w:t xml:space="preserve"> </w:t>
      </w:r>
    </w:p>
    <w:p w:rsidR="00440E81" w:rsidRPr="00CF469C" w:rsidP="00265C13">
      <w:pPr>
        <w:pStyle w:val="ListParagraph"/>
        <w:numPr>
          <w:ilvl w:val="0"/>
          <w:numId w:val="12"/>
        </w:numPr>
        <w:autoSpaceDE w:val="0"/>
        <w:autoSpaceDN w:val="0"/>
        <w:adjustRightInd w:val="0"/>
        <w:spacing w:before="0"/>
        <w:contextualSpacing/>
        <w:rPr>
          <w:bCs/>
          <w:color w:val="0D0D0D" w:themeColor="text1" w:themeTint="F2"/>
        </w:rPr>
      </w:pPr>
      <w:r w:rsidRPr="00CF469C">
        <w:rPr>
          <w:bCs/>
          <w:color w:val="0D0D0D" w:themeColor="text1" w:themeTint="F2"/>
        </w:rPr>
        <w:t>A statement signed by the dealer attesting that the species were harvested from an area other than in state or federal waters of the South Atlantic</w:t>
      </w:r>
    </w:p>
    <w:p w:rsidR="00440E81" w:rsidRPr="00CF469C" w:rsidP="00265C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color w:val="0D0D0D" w:themeColor="text1" w:themeTint="F2"/>
        </w:rPr>
      </w:pPr>
    </w:p>
    <w:p w:rsidR="00440E81" w:rsidRPr="00CF469C" w:rsidP="00265C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color w:val="0D0D0D" w:themeColor="text1" w:themeTint="F2"/>
        </w:rPr>
      </w:pPr>
      <w:r w:rsidRPr="00CF469C">
        <w:rPr>
          <w:bCs/>
          <w:color w:val="0D0D0D" w:themeColor="text1" w:themeTint="F2"/>
        </w:rPr>
        <w:t>NMFS’ Office of Law Enforcement (OLE) will u</w:t>
      </w:r>
      <w:r w:rsidRPr="00CF469C">
        <w:rPr>
          <w:bCs/>
          <w:color w:val="0D0D0D" w:themeColor="text1" w:themeTint="F2"/>
        </w:rPr>
        <w:t>se the data when investigating the sale of fish during those periods when fishing is restricted. Record keeping is required to document the origin of the fish being sold out of season.</w:t>
      </w:r>
    </w:p>
    <w:p w:rsidR="00440E81" w:rsidRPr="00CF469C" w:rsidP="00265C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color w:val="0D0D0D" w:themeColor="text1" w:themeTint="F2"/>
        </w:rPr>
      </w:pPr>
    </w:p>
    <w:p w:rsidR="00366C24" w:rsidRPr="00CF469C" w:rsidP="00265C13">
      <w:pPr>
        <w:pBdr>
          <w:top w:val="nil"/>
          <w:left w:val="nil"/>
          <w:bottom w:val="nil"/>
          <w:right w:val="nil"/>
          <w:between w:val="nil"/>
        </w:pBdr>
        <w:contextualSpacing/>
        <w:rPr>
          <w:color w:val="0D0D0D" w:themeColor="text1" w:themeTint="F2"/>
        </w:rPr>
      </w:pPr>
      <w:bookmarkStart w:id="0" w:name="_GoBack"/>
      <w:bookmarkEnd w:id="0"/>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Describe whether, and to what extent, the collection of information involves the use of automated, electronic, mechanical, or other technological collection techniques or other forms of information technology, e.g. permitting ele</w:t>
      </w:r>
      <w:r w:rsidRPr="00CF469C">
        <w:rPr>
          <w:b/>
          <w:color w:val="0D0D0D" w:themeColor="text1" w:themeTint="F2"/>
        </w:rPr>
        <w:t>ctronic submission of responses, and the basis for the decision for adopting this means of collection. Also, describe any consideration of using information technology to reduce burden.</w:t>
      </w:r>
    </w:p>
    <w:p w:rsidR="00440E81" w:rsidRPr="00CF469C" w:rsidP="00265C13">
      <w:pPr>
        <w:contextualSpacing/>
        <w:rPr>
          <w:color w:val="0D0D0D" w:themeColor="text1" w:themeTint="F2"/>
        </w:rPr>
      </w:pPr>
    </w:p>
    <w:p w:rsidR="00440E81" w:rsidRPr="00CF469C" w:rsidP="00265C13">
      <w:pPr>
        <w:contextualSpacing/>
        <w:rPr>
          <w:color w:val="0D0D0D" w:themeColor="text1" w:themeTint="F2"/>
        </w:rPr>
      </w:pPr>
      <w:r w:rsidRPr="00CF469C">
        <w:rPr>
          <w:color w:val="0D0D0D" w:themeColor="text1" w:themeTint="F2"/>
        </w:rPr>
        <w:t>The records required at the time of inspection are to be maintained b</w:t>
      </w:r>
      <w:r w:rsidRPr="00CF469C">
        <w:rPr>
          <w:color w:val="0D0D0D" w:themeColor="text1" w:themeTint="F2"/>
        </w:rPr>
        <w:t xml:space="preserve">y the fish dealer and must remain and be retained with the fish product, container, and/or catch being sold during those periods when fishing is restricted. Also, a copy must be maintained with the sales records. Currently, these documents are required to </w:t>
      </w:r>
      <w:r w:rsidRPr="00CF469C">
        <w:rPr>
          <w:color w:val="0D0D0D" w:themeColor="text1" w:themeTint="F2"/>
        </w:rPr>
        <w:t xml:space="preserve">be maintained in paper form. The main concern for </w:t>
      </w:r>
      <w:r w:rsidRPr="00CF469C" w:rsidR="00CF469C">
        <w:rPr>
          <w:color w:val="0D0D0D" w:themeColor="text1" w:themeTint="F2"/>
        </w:rPr>
        <w:t>NMFS</w:t>
      </w:r>
      <w:r w:rsidRPr="00CF469C">
        <w:rPr>
          <w:color w:val="0D0D0D" w:themeColor="text1" w:themeTint="F2"/>
        </w:rPr>
        <w:t xml:space="preserve"> OLE is maintaining a signature in the event that the authenticity becomes a question.</w:t>
      </w:r>
    </w:p>
    <w:p w:rsidR="00440E81" w:rsidRPr="00CF469C" w:rsidP="00265C13">
      <w:pPr>
        <w:contextualSpacing/>
        <w:rPr>
          <w:color w:val="0D0D0D" w:themeColor="text1" w:themeTint="F2"/>
        </w:rPr>
      </w:pPr>
    </w:p>
    <w:p w:rsidR="00440E81" w:rsidRPr="00CF469C" w:rsidP="00FE0E1F">
      <w:pPr>
        <w:numPr>
          <w:ilvl w:val="0"/>
          <w:numId w:val="3"/>
        </w:numPr>
        <w:pBdr>
          <w:top w:val="nil"/>
          <w:left w:val="nil"/>
          <w:bottom w:val="nil"/>
          <w:right w:val="nil"/>
          <w:between w:val="nil"/>
        </w:pBdr>
        <w:tabs>
          <w:tab w:val="left" w:pos="360"/>
        </w:tabs>
        <w:ind w:left="0" w:firstLine="0"/>
        <w:contextualSpacing/>
        <w:rPr>
          <w:color w:val="0D0D0D" w:themeColor="text1" w:themeTint="F2"/>
        </w:rPr>
      </w:pPr>
      <w:r w:rsidRPr="00CF469C">
        <w:rPr>
          <w:b/>
          <w:color w:val="0D0D0D" w:themeColor="text1" w:themeTint="F2"/>
        </w:rPr>
        <w:t>Describe efforts to identify duplication. Show specifically why any similar information already available cannot b</w:t>
      </w:r>
      <w:r w:rsidRPr="00CF469C">
        <w:rPr>
          <w:b/>
          <w:color w:val="0D0D0D" w:themeColor="text1" w:themeTint="F2"/>
        </w:rPr>
        <w:t>e used or modified for use for the purposes described in Question 2</w:t>
      </w:r>
      <w:r w:rsidRPr="00CF469C" w:rsidR="00265C13">
        <w:rPr>
          <w:b/>
          <w:color w:val="0D0D0D" w:themeColor="text1" w:themeTint="F2"/>
        </w:rPr>
        <w:t>.</w:t>
      </w:r>
    </w:p>
    <w:p w:rsidR="00440E81" w:rsidRPr="00CF469C" w:rsidP="00265C13">
      <w:pPr>
        <w:pBdr>
          <w:top w:val="nil"/>
          <w:left w:val="nil"/>
          <w:bottom w:val="nil"/>
          <w:right w:val="nil"/>
          <w:between w:val="nil"/>
        </w:pBdr>
        <w:contextualSpacing/>
        <w:rPr>
          <w:color w:val="0D0D0D" w:themeColor="text1" w:themeTint="F2"/>
        </w:rPr>
      </w:pPr>
    </w:p>
    <w:p w:rsidR="00440E81" w:rsidRPr="00CF469C" w:rsidP="00265C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color w:val="0D0D0D" w:themeColor="text1" w:themeTint="F2"/>
        </w:rPr>
      </w:pPr>
      <w:r w:rsidRPr="00CF469C">
        <w:rPr>
          <w:color w:val="0D0D0D" w:themeColor="text1" w:themeTint="F2"/>
        </w:rPr>
        <w:t xml:space="preserve">There </w:t>
      </w:r>
      <w:r w:rsidRPr="00CF469C" w:rsidR="00265C13">
        <w:rPr>
          <w:color w:val="0D0D0D" w:themeColor="text1" w:themeTint="F2"/>
        </w:rPr>
        <w:t>is</w:t>
      </w:r>
      <w:r w:rsidRPr="00CF469C">
        <w:rPr>
          <w:color w:val="0D0D0D" w:themeColor="text1" w:themeTint="F2"/>
        </w:rPr>
        <w:t xml:space="preserve"> no similar or comparable program</w:t>
      </w:r>
      <w:r w:rsidRPr="00CF469C" w:rsidR="00265C13">
        <w:rPr>
          <w:color w:val="0D0D0D" w:themeColor="text1" w:themeTint="F2"/>
        </w:rPr>
        <w:t>. NMFS implemented</w:t>
      </w:r>
      <w:r w:rsidRPr="00CF469C">
        <w:rPr>
          <w:color w:val="0D0D0D" w:themeColor="text1" w:themeTint="F2"/>
        </w:rPr>
        <w:t xml:space="preserve"> federal regulations for this specific </w:t>
      </w:r>
      <w:r w:rsidRPr="00CF469C" w:rsidR="00265C13">
        <w:rPr>
          <w:color w:val="0D0D0D" w:themeColor="text1" w:themeTint="F2"/>
        </w:rPr>
        <w:t>application</w:t>
      </w:r>
      <w:r w:rsidRPr="00CF469C">
        <w:rPr>
          <w:color w:val="0D0D0D" w:themeColor="text1" w:themeTint="F2"/>
        </w:rPr>
        <w:t>.</w:t>
      </w:r>
    </w:p>
    <w:p w:rsidR="00440E81" w:rsidRPr="00CF469C" w:rsidP="00265C13">
      <w:pPr>
        <w:pBdr>
          <w:top w:val="nil"/>
          <w:left w:val="nil"/>
          <w:bottom w:val="nil"/>
          <w:right w:val="nil"/>
          <w:between w:val="nil"/>
        </w:pBdr>
        <w:contextualSpacing/>
        <w:rPr>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 xml:space="preserve">If the collection of information impacts small businesses or other small </w:t>
      </w:r>
      <w:r w:rsidRPr="00CF469C">
        <w:rPr>
          <w:b/>
          <w:color w:val="0D0D0D" w:themeColor="text1" w:themeTint="F2"/>
        </w:rPr>
        <w:t>entities, describe any methods used to minimize burden.</w:t>
      </w:r>
    </w:p>
    <w:p w:rsidR="00440E81" w:rsidRPr="00CF469C" w:rsidP="00265C13">
      <w:pPr>
        <w:pBdr>
          <w:top w:val="nil"/>
          <w:left w:val="nil"/>
          <w:bottom w:val="nil"/>
          <w:right w:val="nil"/>
          <w:between w:val="nil"/>
        </w:pBdr>
        <w:contextualSpacing/>
        <w:rPr>
          <w:color w:val="0D0D0D" w:themeColor="text1" w:themeTint="F2"/>
        </w:rPr>
      </w:pPr>
    </w:p>
    <w:p w:rsidR="00440E81" w:rsidRPr="00CF469C" w:rsidP="00265C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color w:val="0D0D0D" w:themeColor="text1" w:themeTint="F2"/>
        </w:rPr>
      </w:pPr>
      <w:r w:rsidRPr="00CF469C">
        <w:rPr>
          <w:color w:val="0D0D0D" w:themeColor="text1" w:themeTint="F2"/>
        </w:rPr>
        <w:t xml:space="preserve">Most of the dealers in these fisheries can be categorized as small businesses. The collection will not have a significant impact on small businesses, and no special modifications of </w:t>
      </w:r>
      <w:r w:rsidRPr="00CF469C">
        <w:rPr>
          <w:color w:val="0D0D0D" w:themeColor="text1" w:themeTint="F2"/>
        </w:rPr>
        <w:t xml:space="preserve">the </w:t>
      </w:r>
      <w:r w:rsidR="00F361A8">
        <w:rPr>
          <w:color w:val="0D0D0D" w:themeColor="text1" w:themeTint="F2"/>
        </w:rPr>
        <w:t xml:space="preserve"> </w:t>
      </w:r>
      <w:r w:rsidRPr="00CF469C">
        <w:rPr>
          <w:color w:val="0D0D0D" w:themeColor="text1" w:themeTint="F2"/>
        </w:rPr>
        <w:t>requirements</w:t>
      </w:r>
      <w:r w:rsidRPr="00CF469C">
        <w:rPr>
          <w:color w:val="0D0D0D" w:themeColor="text1" w:themeTint="F2"/>
        </w:rPr>
        <w:t xml:space="preserve"> were considered necessary to accommodate the needs of small businesses.</w:t>
      </w:r>
    </w:p>
    <w:p w:rsidR="00440E81" w:rsidRPr="00CF469C" w:rsidP="00265C13">
      <w:pPr>
        <w:pBdr>
          <w:top w:val="nil"/>
          <w:left w:val="nil"/>
          <w:bottom w:val="nil"/>
          <w:right w:val="nil"/>
          <w:between w:val="nil"/>
        </w:pBdr>
        <w:contextualSpacing/>
        <w:rPr>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Describe the consequence to Federal program or policy activities if the collection is not conducted or is conducted less frequently, as well as any technical or legal obstacles to re</w:t>
      </w:r>
      <w:r w:rsidRPr="00CF469C">
        <w:rPr>
          <w:b/>
          <w:color w:val="0D0D0D" w:themeColor="text1" w:themeTint="F2"/>
        </w:rPr>
        <w:t>ducing burden.</w:t>
      </w:r>
    </w:p>
    <w:p w:rsidR="00440E81" w:rsidRPr="00CF469C" w:rsidP="00265C13">
      <w:pPr>
        <w:pBdr>
          <w:top w:val="nil"/>
          <w:left w:val="nil"/>
          <w:bottom w:val="nil"/>
          <w:right w:val="nil"/>
          <w:between w:val="nil"/>
        </w:pBdr>
        <w:contextualSpacing/>
        <w:rPr>
          <w:color w:val="0D0D0D" w:themeColor="text1" w:themeTint="F2"/>
        </w:rPr>
      </w:pPr>
    </w:p>
    <w:p w:rsidR="00440E81" w:rsidRPr="00CF469C" w:rsidP="00265C13">
      <w:pPr>
        <w:contextualSpacing/>
        <w:rPr>
          <w:color w:val="0D0D0D" w:themeColor="text1" w:themeTint="F2"/>
        </w:rPr>
      </w:pPr>
      <w:r w:rsidRPr="00CF469C">
        <w:rPr>
          <w:color w:val="0D0D0D" w:themeColor="text1" w:themeTint="F2"/>
        </w:rPr>
        <w:t xml:space="preserve">There is no reporting frequency requirement for the dealers. Regulations require federally permitted seafood dealers to maintain records of purchase or sale, and make those records available to </w:t>
      </w:r>
      <w:r w:rsidR="000851EF">
        <w:rPr>
          <w:color w:val="0D0D0D" w:themeColor="text1" w:themeTint="F2"/>
        </w:rPr>
        <w:t>NMFS</w:t>
      </w:r>
      <w:r w:rsidRPr="00CF469C">
        <w:rPr>
          <w:color w:val="0D0D0D" w:themeColor="text1" w:themeTint="F2"/>
        </w:rPr>
        <w:t xml:space="preserve"> OLE upon request. If </w:t>
      </w:r>
      <w:r w:rsidR="00F65E5F">
        <w:rPr>
          <w:color w:val="0D0D0D" w:themeColor="text1" w:themeTint="F2"/>
        </w:rPr>
        <w:t xml:space="preserve">these dealers did not keep </w:t>
      </w:r>
      <w:r w:rsidRPr="00CF469C">
        <w:rPr>
          <w:color w:val="0D0D0D" w:themeColor="text1" w:themeTint="F2"/>
        </w:rPr>
        <w:t xml:space="preserve">records, proper enforcement could not take place </w:t>
      </w:r>
      <w:r w:rsidR="00F65E5F">
        <w:rPr>
          <w:color w:val="0D0D0D" w:themeColor="text1" w:themeTint="F2"/>
        </w:rPr>
        <w:t>and</w:t>
      </w:r>
      <w:r w:rsidRPr="00CF469C">
        <w:rPr>
          <w:color w:val="0D0D0D" w:themeColor="text1" w:themeTint="F2"/>
        </w:rPr>
        <w:t xml:space="preserve"> dealers would</w:t>
      </w:r>
      <w:r w:rsidR="00F65E5F">
        <w:rPr>
          <w:color w:val="0D0D0D" w:themeColor="text1" w:themeTint="F2"/>
        </w:rPr>
        <w:t xml:space="preserve"> likely</w:t>
      </w:r>
      <w:r w:rsidRPr="00CF469C">
        <w:rPr>
          <w:color w:val="0D0D0D" w:themeColor="text1" w:themeTint="F2"/>
        </w:rPr>
        <w:t xml:space="preserve"> be prohibited from possessing otherwise legal fish.</w:t>
      </w:r>
    </w:p>
    <w:p w:rsidR="00440E81" w:rsidRPr="00CF469C" w:rsidP="00265C13">
      <w:pPr>
        <w:pBdr>
          <w:top w:val="nil"/>
          <w:left w:val="nil"/>
          <w:bottom w:val="nil"/>
          <w:right w:val="nil"/>
          <w:between w:val="nil"/>
        </w:pBdr>
        <w:contextualSpacing/>
        <w:rPr>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Explain any special circumstances that would cause an information collection to be conducted in a mann</w:t>
      </w:r>
      <w:r w:rsidRPr="00CF469C">
        <w:rPr>
          <w:b/>
          <w:color w:val="0D0D0D" w:themeColor="text1" w:themeTint="F2"/>
        </w:rPr>
        <w:t>er inconsistent with OMB guidelines.</w:t>
      </w:r>
    </w:p>
    <w:p w:rsidR="00265C13" w:rsidRPr="00CF469C" w:rsidP="00265C13">
      <w:pPr>
        <w:pBdr>
          <w:top w:val="nil"/>
          <w:left w:val="nil"/>
          <w:bottom w:val="nil"/>
          <w:right w:val="nil"/>
          <w:between w:val="nil"/>
        </w:pBdr>
        <w:contextualSpacing/>
        <w:rPr>
          <w:color w:val="0D0D0D" w:themeColor="text1" w:themeTint="F2"/>
        </w:rPr>
      </w:pPr>
    </w:p>
    <w:p w:rsidR="00366C24" w:rsidRPr="00CF469C" w:rsidP="00265C13">
      <w:pPr>
        <w:pBdr>
          <w:top w:val="nil"/>
          <w:left w:val="nil"/>
          <w:bottom w:val="nil"/>
          <w:right w:val="nil"/>
          <w:between w:val="nil"/>
        </w:pBdr>
        <w:contextualSpacing/>
        <w:rPr>
          <w:color w:val="0D0D0D" w:themeColor="text1" w:themeTint="F2"/>
        </w:rPr>
      </w:pPr>
      <w:r w:rsidRPr="00CF469C">
        <w:rPr>
          <w:color w:val="0D0D0D" w:themeColor="text1" w:themeTint="F2"/>
        </w:rPr>
        <w:t xml:space="preserve">This </w:t>
      </w:r>
      <w:r w:rsidR="00804D80">
        <w:rPr>
          <w:color w:val="0D0D0D" w:themeColor="text1" w:themeTint="F2"/>
        </w:rPr>
        <w:t xml:space="preserve">information </w:t>
      </w:r>
      <w:r w:rsidRPr="00CF469C">
        <w:rPr>
          <w:color w:val="0D0D0D" w:themeColor="text1" w:themeTint="F2"/>
        </w:rPr>
        <w:t xml:space="preserve">collection is </w:t>
      </w:r>
      <w:r w:rsidRPr="00CF469C" w:rsidR="00265C13">
        <w:rPr>
          <w:color w:val="0D0D0D" w:themeColor="text1" w:themeTint="F2"/>
        </w:rPr>
        <w:t xml:space="preserve">consistent with OMB guidelines. </w:t>
      </w:r>
    </w:p>
    <w:p w:rsidR="00823EA6" w:rsidRPr="00CF469C" w:rsidP="00CF469C">
      <w:pPr>
        <w:pBdr>
          <w:top w:val="nil"/>
          <w:left w:val="nil"/>
          <w:bottom w:val="nil"/>
          <w:right w:val="nil"/>
          <w:between w:val="nil"/>
        </w:pBdr>
        <w:contextualSpacing/>
        <w:rPr>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 xml:space="preserve">If applicable, provide a copy and identify the date and page number of publications in the Federal Register of the agency's notice, required by 5 CFR 1320.8(d), soliciting </w:t>
      </w:r>
      <w:r w:rsidRPr="00CF469C">
        <w:rPr>
          <w:b/>
          <w:color w:val="0D0D0D" w:themeColor="text1" w:themeTint="F2"/>
        </w:rPr>
        <w:t xml:space="preserve">comments on the information collection prior to submission to OMB. Summarize public </w:t>
      </w:r>
      <w:r w:rsidRPr="00CF469C">
        <w:rPr>
          <w:b/>
          <w:color w:val="0D0D0D" w:themeColor="text1" w:themeTint="F2"/>
        </w:rPr>
        <w:t>comments received in response to that notice and describe actions taken by the agency in response to these comments. Specifically address comments received on cost and hour burden.</w:t>
      </w:r>
    </w:p>
    <w:p w:rsidR="009D633C" w:rsidRPr="00CF469C" w:rsidP="00265C13">
      <w:pPr>
        <w:pBdr>
          <w:top w:val="nil"/>
          <w:left w:val="nil"/>
          <w:bottom w:val="nil"/>
          <w:right w:val="nil"/>
          <w:between w:val="nil"/>
        </w:pBdr>
        <w:contextualSpacing/>
        <w:rPr>
          <w:color w:val="0D0D0D" w:themeColor="text1" w:themeTint="F2"/>
        </w:rPr>
      </w:pPr>
    </w:p>
    <w:p w:rsidR="009D633C" w:rsidRPr="00CF469C" w:rsidP="00265C13">
      <w:pPr>
        <w:widowControl/>
        <w:contextualSpacing/>
        <w:rPr>
          <w:color w:val="0D0D0D" w:themeColor="text1" w:themeTint="F2"/>
        </w:rPr>
      </w:pPr>
      <w:r w:rsidRPr="00CF469C">
        <w:rPr>
          <w:color w:val="0D0D0D" w:themeColor="text1" w:themeTint="F2"/>
        </w:rPr>
        <w:t xml:space="preserve">On </w:t>
      </w:r>
      <w:r w:rsidR="00CF469C">
        <w:rPr>
          <w:color w:val="0D0D0D" w:themeColor="text1" w:themeTint="F2"/>
        </w:rPr>
        <w:t>May 14</w:t>
      </w:r>
      <w:r w:rsidRPr="00CF469C">
        <w:rPr>
          <w:color w:val="0D0D0D" w:themeColor="text1" w:themeTint="F2"/>
        </w:rPr>
        <w:t>, 202</w:t>
      </w:r>
      <w:r w:rsidR="00CF469C">
        <w:rPr>
          <w:color w:val="0D0D0D" w:themeColor="text1" w:themeTint="F2"/>
        </w:rPr>
        <w:t>4</w:t>
      </w:r>
      <w:r w:rsidRPr="00CF469C">
        <w:rPr>
          <w:color w:val="0D0D0D" w:themeColor="text1" w:themeTint="F2"/>
        </w:rPr>
        <w:t xml:space="preserve">, NMFS published a notice in the </w:t>
      </w:r>
      <w:r w:rsidRPr="00CF469C">
        <w:rPr>
          <w:i/>
          <w:color w:val="0D0D0D" w:themeColor="text1" w:themeTint="F2"/>
        </w:rPr>
        <w:t>Federal Register</w:t>
      </w:r>
      <w:r w:rsidRPr="00CF469C">
        <w:rPr>
          <w:color w:val="0D0D0D" w:themeColor="text1" w:themeTint="F2"/>
        </w:rPr>
        <w:t xml:space="preserve"> </w:t>
      </w:r>
      <w:r w:rsidR="00CF469C">
        <w:rPr>
          <w:color w:val="0D0D0D" w:themeColor="text1" w:themeTint="F2"/>
        </w:rPr>
        <w:t xml:space="preserve">advising the public that NMFS was planning to extend this information collection and </w:t>
      </w:r>
      <w:r w:rsidRPr="00CF469C">
        <w:rPr>
          <w:color w:val="0D0D0D" w:themeColor="text1" w:themeTint="F2"/>
        </w:rPr>
        <w:t>solicit</w:t>
      </w:r>
      <w:r w:rsidR="00CF469C">
        <w:rPr>
          <w:color w:val="0D0D0D" w:themeColor="text1" w:themeTint="F2"/>
        </w:rPr>
        <w:t>ed</w:t>
      </w:r>
      <w:r w:rsidRPr="00CF469C">
        <w:rPr>
          <w:color w:val="0D0D0D" w:themeColor="text1" w:themeTint="F2"/>
        </w:rPr>
        <w:t xml:space="preserve"> public comment on the information collection (8</w:t>
      </w:r>
      <w:r w:rsidR="00CF469C">
        <w:rPr>
          <w:color w:val="0D0D0D" w:themeColor="text1" w:themeTint="F2"/>
        </w:rPr>
        <w:t>9</w:t>
      </w:r>
      <w:r w:rsidRPr="00CF469C">
        <w:rPr>
          <w:color w:val="0D0D0D" w:themeColor="text1" w:themeTint="F2"/>
        </w:rPr>
        <w:t xml:space="preserve"> FR </w:t>
      </w:r>
      <w:r w:rsidR="00CF469C">
        <w:rPr>
          <w:color w:val="0D0D0D" w:themeColor="text1" w:themeTint="F2"/>
        </w:rPr>
        <w:t>41942</w:t>
      </w:r>
      <w:r w:rsidRPr="00CF469C">
        <w:rPr>
          <w:color w:val="0D0D0D" w:themeColor="text1" w:themeTint="F2"/>
        </w:rPr>
        <w:t>). NMFS did not receive any public comments on the notice.</w:t>
      </w:r>
      <w:r w:rsidR="00304023">
        <w:rPr>
          <w:color w:val="0D0D0D" w:themeColor="text1" w:themeTint="F2"/>
        </w:rPr>
        <w:t xml:space="preserve"> We also received no comments from external/internal counterparts regarding the federal regulations of this collection.</w:t>
      </w:r>
    </w:p>
    <w:p w:rsidR="00823EA6" w:rsidRPr="00CF469C" w:rsidP="00265C13">
      <w:pPr>
        <w:widowControl/>
        <w:contextualSpacing/>
        <w:rPr>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Explain any decision to provide any payment or gift to respondents, other than remuneration of contractors or grantees.</w:t>
      </w:r>
    </w:p>
    <w:p w:rsidR="009D633C" w:rsidRPr="00CF469C" w:rsidP="00265C13">
      <w:pPr>
        <w:pBdr>
          <w:top w:val="nil"/>
          <w:left w:val="nil"/>
          <w:bottom w:val="nil"/>
          <w:right w:val="nil"/>
          <w:between w:val="nil"/>
        </w:pBdr>
        <w:tabs>
          <w:tab w:val="left" w:pos="360"/>
        </w:tabs>
        <w:contextualSpacing/>
        <w:rPr>
          <w:b/>
          <w:color w:val="0D0D0D" w:themeColor="text1" w:themeTint="F2"/>
        </w:rPr>
      </w:pPr>
    </w:p>
    <w:p w:rsidR="009D633C" w:rsidRPr="00CF469C" w:rsidP="00265C13">
      <w:pPr>
        <w:widowControl/>
        <w:contextualSpacing/>
        <w:rPr>
          <w:color w:val="0D0D0D" w:themeColor="text1" w:themeTint="F2"/>
        </w:rPr>
      </w:pPr>
      <w:r w:rsidRPr="00CF469C">
        <w:rPr>
          <w:color w:val="0D0D0D" w:themeColor="text1" w:themeTint="F2"/>
        </w:rPr>
        <w:t>NMFS does not provide payments or gifts to respondents.</w:t>
      </w:r>
    </w:p>
    <w:p w:rsidR="009D633C" w:rsidRPr="00CF469C" w:rsidP="00265C13">
      <w:pPr>
        <w:pBdr>
          <w:top w:val="nil"/>
          <w:left w:val="nil"/>
          <w:bottom w:val="nil"/>
          <w:right w:val="nil"/>
          <w:between w:val="nil"/>
        </w:pBdr>
        <w:tabs>
          <w:tab w:val="left" w:pos="360"/>
        </w:tabs>
        <w:contextualSpacing/>
        <w:rPr>
          <w:b/>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Describe any</w:t>
      </w:r>
      <w:r w:rsidRPr="00CF469C">
        <w:rPr>
          <w:b/>
          <w:color w:val="0D0D0D" w:themeColor="text1" w:themeTint="F2"/>
        </w:rPr>
        <w:t xml:space="preserve"> assurance of confidentiality provided to respondents and the basis for the assurance in statute, regulation, or agency policy. If the collection requires a systems of records notice (SORN) or privacy impact assessment (PIA), those should be cited and desc</w:t>
      </w:r>
      <w:r w:rsidRPr="00CF469C">
        <w:rPr>
          <w:b/>
          <w:color w:val="0D0D0D" w:themeColor="text1" w:themeTint="F2"/>
        </w:rPr>
        <w:t>ribed here.</w:t>
      </w:r>
    </w:p>
    <w:p w:rsidR="009D633C" w:rsidRPr="00CF469C" w:rsidP="00265C13">
      <w:pPr>
        <w:pBdr>
          <w:top w:val="nil"/>
          <w:left w:val="nil"/>
          <w:bottom w:val="nil"/>
          <w:right w:val="nil"/>
          <w:between w:val="nil"/>
        </w:pBdr>
        <w:contextualSpacing/>
        <w:rPr>
          <w:color w:val="0D0D0D" w:themeColor="text1" w:themeTint="F2"/>
        </w:rPr>
      </w:pPr>
    </w:p>
    <w:p w:rsidR="009D633C" w:rsidRPr="00CF469C" w:rsidP="00265C13">
      <w:pPr>
        <w:widowControl/>
        <w:contextualSpacing/>
        <w:rPr>
          <w:color w:val="0D0D0D" w:themeColor="text1" w:themeTint="F2"/>
        </w:rPr>
      </w:pPr>
      <w:r w:rsidRPr="00CF469C">
        <w:rPr>
          <w:color w:val="0D0D0D" w:themeColor="text1" w:themeTint="F2"/>
        </w:rPr>
        <w:t>There is no assurance of confidentiality provided</w:t>
      </w:r>
      <w:r w:rsidRPr="00CF469C" w:rsidR="00823EA6">
        <w:rPr>
          <w:color w:val="0D0D0D" w:themeColor="text1" w:themeTint="F2"/>
        </w:rPr>
        <w:t xml:space="preserve"> to respondents</w:t>
      </w:r>
      <w:r w:rsidRPr="00CF469C">
        <w:rPr>
          <w:color w:val="0D0D0D" w:themeColor="text1" w:themeTint="F2"/>
        </w:rPr>
        <w:t>.</w:t>
      </w:r>
    </w:p>
    <w:p w:rsidR="009D633C" w:rsidRPr="00CF469C" w:rsidP="00265C13">
      <w:pPr>
        <w:pBdr>
          <w:top w:val="nil"/>
          <w:left w:val="nil"/>
          <w:bottom w:val="nil"/>
          <w:right w:val="nil"/>
          <w:between w:val="nil"/>
        </w:pBdr>
        <w:contextualSpacing/>
        <w:rPr>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Provide additional justification for any questions of a sensitive nature, such as sexual behavior or attitudes, religious beliefs, and other matters that are commonly considere</w:t>
      </w:r>
      <w:r w:rsidRPr="00CF469C">
        <w:rPr>
          <w:b/>
          <w:color w:val="0D0D0D" w:themeColor="text1" w:themeTint="F2"/>
        </w:rPr>
        <w:t>d private. This justification should include the reasons why the agency considers the questions necessary, the specific uses to be made of the information, the explanation to be given to persons from whom the information is requested, and any steps to be t</w:t>
      </w:r>
      <w:r w:rsidRPr="00CF469C">
        <w:rPr>
          <w:b/>
          <w:color w:val="0D0D0D" w:themeColor="text1" w:themeTint="F2"/>
        </w:rPr>
        <w:t>aken to obtain their consent.</w:t>
      </w:r>
    </w:p>
    <w:p w:rsidR="009D633C" w:rsidRPr="00CF469C" w:rsidP="00265C13">
      <w:pPr>
        <w:pBdr>
          <w:top w:val="nil"/>
          <w:left w:val="nil"/>
          <w:bottom w:val="nil"/>
          <w:right w:val="nil"/>
          <w:between w:val="nil"/>
        </w:pBdr>
        <w:tabs>
          <w:tab w:val="left" w:pos="360"/>
        </w:tabs>
        <w:contextualSpacing/>
        <w:rPr>
          <w:color w:val="0D0D0D" w:themeColor="text1" w:themeTint="F2"/>
        </w:rPr>
      </w:pPr>
    </w:p>
    <w:p w:rsidR="009D633C" w:rsidRPr="00CF469C" w:rsidP="00265C13">
      <w:pPr>
        <w:widowControl/>
        <w:contextualSpacing/>
        <w:rPr>
          <w:color w:val="0D0D0D" w:themeColor="text1" w:themeTint="F2"/>
        </w:rPr>
      </w:pPr>
      <w:r>
        <w:rPr>
          <w:color w:val="0D0D0D" w:themeColor="text1" w:themeTint="F2"/>
        </w:rPr>
        <w:t>This information collection does not request</w:t>
      </w:r>
      <w:r w:rsidR="00304023">
        <w:rPr>
          <w:color w:val="0D0D0D" w:themeColor="text1" w:themeTint="F2"/>
        </w:rPr>
        <w:t xml:space="preserve"> or ask</w:t>
      </w:r>
      <w:r w:rsidRPr="00CF469C">
        <w:rPr>
          <w:color w:val="0D0D0D" w:themeColor="text1" w:themeTint="F2"/>
        </w:rPr>
        <w:t xml:space="preserve"> sensitive information </w:t>
      </w:r>
      <w:r>
        <w:rPr>
          <w:color w:val="0D0D0D" w:themeColor="text1" w:themeTint="F2"/>
        </w:rPr>
        <w:t>from respondents</w:t>
      </w:r>
      <w:r w:rsidRPr="00CF469C">
        <w:rPr>
          <w:color w:val="0D0D0D" w:themeColor="text1" w:themeTint="F2"/>
        </w:rPr>
        <w:t>.</w:t>
      </w:r>
    </w:p>
    <w:p w:rsidR="001F4769" w:rsidRPr="00CF469C" w:rsidP="00265C13">
      <w:pPr>
        <w:pBdr>
          <w:top w:val="nil"/>
          <w:left w:val="nil"/>
          <w:bottom w:val="nil"/>
          <w:right w:val="nil"/>
          <w:between w:val="nil"/>
        </w:pBdr>
        <w:tabs>
          <w:tab w:val="left" w:pos="360"/>
        </w:tabs>
        <w:contextualSpacing/>
        <w:rPr>
          <w:b/>
          <w:color w:val="0D0D0D" w:themeColor="text1" w:themeTint="F2"/>
        </w:rPr>
        <w:sectPr w:rsidSect="00EA3123">
          <w:footerReference w:type="default" r:id="rId6"/>
          <w:pgSz w:w="12240" w:h="15840"/>
          <w:pgMar w:top="1440" w:right="1440" w:bottom="1440" w:left="1440" w:header="720" w:footer="720" w:gutter="0"/>
          <w:cols w:space="720"/>
          <w:docGrid w:linePitch="326"/>
        </w:sectPr>
      </w:pPr>
    </w:p>
    <w:p w:rsidR="00366C24" w:rsidRPr="00CF469C" w:rsidP="00265C13">
      <w:pPr>
        <w:contextualSpacing/>
        <w:rPr>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Provide estimates of the hour burden of the collection</w:t>
      </w:r>
      <w:r w:rsidRPr="00CF469C">
        <w:rPr>
          <w:b/>
          <w:color w:val="0D0D0D" w:themeColor="text1" w:themeTint="F2"/>
        </w:rPr>
        <w:t xml:space="preserve"> of information.</w:t>
      </w:r>
    </w:p>
    <w:p w:rsidR="000571D1" w:rsidRPr="00CF469C" w:rsidP="00265C13">
      <w:pPr>
        <w:pBdr>
          <w:top w:val="nil"/>
          <w:left w:val="nil"/>
          <w:bottom w:val="nil"/>
          <w:right w:val="nil"/>
          <w:between w:val="nil"/>
        </w:pBdr>
        <w:contextualSpacing/>
        <w:rPr>
          <w:color w:val="0D0D0D" w:themeColor="text1" w:themeTint="F2"/>
        </w:rPr>
      </w:pPr>
    </w:p>
    <w:p w:rsidR="000571D1" w:rsidRPr="00CF469C" w:rsidP="00265C13">
      <w:pPr>
        <w:pBdr>
          <w:top w:val="nil"/>
          <w:left w:val="nil"/>
          <w:bottom w:val="nil"/>
          <w:right w:val="nil"/>
          <w:between w:val="nil"/>
        </w:pBdr>
        <w:contextualSpacing/>
        <w:rPr>
          <w:color w:val="0D0D0D" w:themeColor="text1" w:themeTint="F2"/>
        </w:rPr>
      </w:pPr>
      <w:r w:rsidRPr="00CF469C">
        <w:rPr>
          <w:color w:val="0D0D0D" w:themeColor="text1" w:themeTint="F2"/>
        </w:rPr>
        <w:t xml:space="preserve">The recordkeeping requirement affects federally permitted seafood dealers with a Gulf of Mexico and South Atlantic Dealer Permit. </w:t>
      </w:r>
      <w:r w:rsidR="00D7109A">
        <w:rPr>
          <w:color w:val="0D0D0D" w:themeColor="text1" w:themeTint="F2"/>
        </w:rPr>
        <w:t xml:space="preserve">The best available permit </w:t>
      </w:r>
      <w:r w:rsidR="00356F76">
        <w:rPr>
          <w:color w:val="0D0D0D" w:themeColor="text1" w:themeTint="F2"/>
        </w:rPr>
        <w:t>data show</w:t>
      </w:r>
      <w:r w:rsidRPr="00CF469C">
        <w:rPr>
          <w:color w:val="0D0D0D" w:themeColor="text1" w:themeTint="F2"/>
        </w:rPr>
        <w:t xml:space="preserve"> there were 379 dealers with an active or renewable permit. NMFS expects </w:t>
      </w:r>
      <w:r w:rsidRPr="00CF469C">
        <w:rPr>
          <w:color w:val="0D0D0D" w:themeColor="text1" w:themeTint="F2"/>
        </w:rPr>
        <w:t xml:space="preserve">the annual number of affected respondents to be lower than the total number of federally permitted dealers; however, data </w:t>
      </w:r>
      <w:r w:rsidR="00356F76">
        <w:rPr>
          <w:color w:val="0D0D0D" w:themeColor="text1" w:themeTint="F2"/>
        </w:rPr>
        <w:t>are</w:t>
      </w:r>
      <w:r w:rsidRPr="00CF469C">
        <w:rPr>
          <w:color w:val="0D0D0D" w:themeColor="text1" w:themeTint="F2"/>
        </w:rPr>
        <w:t xml:space="preserve"> not available to determine a more accurate number. </w:t>
      </w:r>
      <w:r w:rsidR="00EF2720">
        <w:rPr>
          <w:color w:val="0D0D0D" w:themeColor="text1" w:themeTint="F2"/>
        </w:rPr>
        <w:t>Occupational code used: 45-1011.</w:t>
      </w:r>
    </w:p>
    <w:p w:rsidR="00366C24" w:rsidRPr="00D7109A" w:rsidP="00D7109A">
      <w:pPr>
        <w:ind w:hanging="43"/>
        <w:contextualSpacing/>
        <w:rPr>
          <w:color w:val="0D0D0D" w:themeColor="text1" w:themeTint="F2"/>
        </w:rPr>
      </w:pPr>
    </w:p>
    <w:tbl>
      <w:tblPr>
        <w:tblStyle w:val="a0"/>
        <w:tblW w:w="12885" w:type="dxa"/>
        <w:tblInd w:w="-25" w:type="dxa"/>
        <w:tblLayout w:type="fixed"/>
        <w:tblLook w:val="0400"/>
      </w:tblPr>
      <w:tblGrid>
        <w:gridCol w:w="2265"/>
        <w:gridCol w:w="1730"/>
        <w:gridCol w:w="1335"/>
        <w:gridCol w:w="1260"/>
        <w:gridCol w:w="1155"/>
        <w:gridCol w:w="1050"/>
        <w:gridCol w:w="1305"/>
        <w:gridCol w:w="1165"/>
        <w:gridCol w:w="1620"/>
      </w:tblGrid>
      <w:tr w:rsidTr="003B32C1">
        <w:tblPrEx>
          <w:tblW w:w="12885" w:type="dxa"/>
          <w:tblInd w:w="-25" w:type="dxa"/>
          <w:tblLayout w:type="fixed"/>
          <w:tblLook w:val="0400"/>
        </w:tblPrEx>
        <w:trPr>
          <w:trHeight w:val="1365"/>
        </w:trPr>
        <w:tc>
          <w:tcPr>
            <w:tcW w:w="226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366C24" w:rsidRPr="00CF469C" w:rsidP="00265C13">
            <w:pPr>
              <w:widowControl/>
              <w:contextualSpacing/>
              <w:jc w:val="center"/>
              <w:rPr>
                <w:rFonts w:ascii="Calibri" w:eastAsia="Calibri" w:hAnsi="Calibri" w:cs="Calibri"/>
                <w:b/>
                <w:color w:val="0D0D0D" w:themeColor="text1" w:themeTint="F2"/>
                <w:sz w:val="16"/>
                <w:szCs w:val="16"/>
              </w:rPr>
            </w:pPr>
            <w:r w:rsidRPr="00CF469C">
              <w:rPr>
                <w:rFonts w:ascii="Calibri" w:eastAsia="Calibri" w:hAnsi="Calibri" w:cs="Calibri"/>
                <w:b/>
                <w:color w:val="0D0D0D" w:themeColor="text1" w:themeTint="F2"/>
                <w:sz w:val="16"/>
                <w:szCs w:val="16"/>
              </w:rPr>
              <w:t>Information Collection</w:t>
            </w:r>
          </w:p>
        </w:tc>
        <w:tc>
          <w:tcPr>
            <w:tcW w:w="1730" w:type="dxa"/>
            <w:tcBorders>
              <w:top w:val="single" w:sz="8" w:space="0" w:color="000000"/>
              <w:left w:val="nil"/>
              <w:bottom w:val="single" w:sz="8" w:space="0" w:color="000000"/>
              <w:right w:val="single" w:sz="8" w:space="0" w:color="000000"/>
            </w:tcBorders>
            <w:shd w:val="clear" w:color="auto" w:fill="BDD7EE"/>
            <w:vAlign w:val="center"/>
          </w:tcPr>
          <w:p w:rsidR="00366C24" w:rsidRPr="00CF469C" w:rsidP="00265C13">
            <w:pPr>
              <w:widowControl/>
              <w:contextualSpacing/>
              <w:jc w:val="center"/>
              <w:rPr>
                <w:rFonts w:ascii="Calibri" w:eastAsia="Calibri" w:hAnsi="Calibri" w:cs="Calibri"/>
                <w:b/>
                <w:color w:val="0D0D0D" w:themeColor="text1" w:themeTint="F2"/>
                <w:sz w:val="16"/>
                <w:szCs w:val="16"/>
              </w:rPr>
            </w:pPr>
            <w:r w:rsidRPr="00CF469C">
              <w:rPr>
                <w:rFonts w:ascii="Calibri" w:eastAsia="Calibri" w:hAnsi="Calibri" w:cs="Calibri"/>
                <w:b/>
                <w:color w:val="0D0D0D" w:themeColor="text1" w:themeTint="F2"/>
                <w:sz w:val="16"/>
                <w:szCs w:val="16"/>
              </w:rPr>
              <w:t xml:space="preserve">Type of Respondent </w:t>
            </w:r>
            <w:r w:rsidRPr="00CF469C">
              <w:rPr>
                <w:rFonts w:ascii="Calibri" w:eastAsia="Calibri" w:hAnsi="Calibri" w:cs="Calibri"/>
                <w:b/>
                <w:color w:val="0D0D0D" w:themeColor="text1" w:themeTint="F2"/>
                <w:sz w:val="16"/>
                <w:szCs w:val="16"/>
              </w:rPr>
              <w:t>(e.g., Occupational Title)</w:t>
            </w:r>
          </w:p>
        </w:tc>
        <w:tc>
          <w:tcPr>
            <w:tcW w:w="1335" w:type="dxa"/>
            <w:tcBorders>
              <w:top w:val="single" w:sz="8" w:space="0" w:color="000000"/>
              <w:left w:val="nil"/>
              <w:bottom w:val="single" w:sz="8" w:space="0" w:color="000000"/>
              <w:right w:val="single" w:sz="8" w:space="0" w:color="000000"/>
            </w:tcBorders>
            <w:shd w:val="clear" w:color="auto" w:fill="BDD7EE"/>
            <w:vAlign w:val="center"/>
          </w:tcPr>
          <w:p w:rsidR="00366C24" w:rsidRPr="00CF469C" w:rsidP="003B32C1">
            <w:pPr>
              <w:widowControl/>
              <w:contextualSpacing/>
              <w:jc w:val="center"/>
              <w:rPr>
                <w:rFonts w:ascii="Calibri" w:eastAsia="Calibri" w:hAnsi="Calibri" w:cs="Calibri"/>
                <w:b/>
                <w:color w:val="0D0D0D" w:themeColor="text1" w:themeTint="F2"/>
                <w:sz w:val="16"/>
                <w:szCs w:val="16"/>
              </w:rPr>
            </w:pPr>
            <w:r>
              <w:rPr>
                <w:rFonts w:ascii="Calibri" w:eastAsia="Calibri" w:hAnsi="Calibri" w:cs="Calibri"/>
                <w:b/>
                <w:color w:val="0D0D0D" w:themeColor="text1" w:themeTint="F2"/>
                <w:sz w:val="16"/>
                <w:szCs w:val="16"/>
              </w:rPr>
              <w:t>Number</w:t>
            </w:r>
            <w:r w:rsidRPr="00CF469C" w:rsidR="00440E81">
              <w:rPr>
                <w:rFonts w:ascii="Calibri" w:eastAsia="Calibri" w:hAnsi="Calibri" w:cs="Calibri"/>
                <w:b/>
                <w:color w:val="0D0D0D" w:themeColor="text1" w:themeTint="F2"/>
                <w:sz w:val="16"/>
                <w:szCs w:val="16"/>
              </w:rPr>
              <w:t xml:space="preserve"> of Respondents</w:t>
            </w:r>
            <w:r>
              <w:rPr>
                <w:rFonts w:ascii="Calibri" w:eastAsia="Calibri" w:hAnsi="Calibri" w:cs="Calibri"/>
                <w:b/>
                <w:color w:val="0D0D0D" w:themeColor="text1" w:themeTint="F2"/>
                <w:sz w:val="16"/>
                <w:szCs w:val="16"/>
              </w:rPr>
              <w:t xml:space="preserve"> per </w:t>
            </w:r>
            <w:r w:rsidRPr="00CF469C" w:rsidR="00440E81">
              <w:rPr>
                <w:rFonts w:ascii="Calibri" w:eastAsia="Calibri" w:hAnsi="Calibri" w:cs="Calibri"/>
                <w:b/>
                <w:color w:val="0D0D0D" w:themeColor="text1" w:themeTint="F2"/>
                <w:sz w:val="16"/>
                <w:szCs w:val="16"/>
              </w:rPr>
              <w:t>year</w:t>
            </w:r>
            <w:r w:rsidRPr="00CF469C" w:rsidR="00440E81">
              <w:rPr>
                <w:rFonts w:ascii="Calibri" w:eastAsia="Calibri" w:hAnsi="Calibri" w:cs="Calibri"/>
                <w:b/>
                <w:color w:val="0D0D0D" w:themeColor="text1" w:themeTint="F2"/>
                <w:sz w:val="16"/>
                <w:szCs w:val="16"/>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366C24" w:rsidRPr="00CF469C" w:rsidP="003B32C1">
            <w:pPr>
              <w:widowControl/>
              <w:contextualSpacing/>
              <w:jc w:val="center"/>
              <w:rPr>
                <w:rFonts w:ascii="Calibri" w:eastAsia="Calibri" w:hAnsi="Calibri" w:cs="Calibri"/>
                <w:b/>
                <w:color w:val="0D0D0D" w:themeColor="text1" w:themeTint="F2"/>
                <w:sz w:val="16"/>
                <w:szCs w:val="16"/>
              </w:rPr>
            </w:pPr>
            <w:r w:rsidRPr="00CF469C">
              <w:rPr>
                <w:rFonts w:ascii="Calibri" w:eastAsia="Calibri" w:hAnsi="Calibri" w:cs="Calibri"/>
                <w:b/>
                <w:color w:val="0D0D0D" w:themeColor="text1" w:themeTint="F2"/>
                <w:sz w:val="16"/>
                <w:szCs w:val="16"/>
              </w:rPr>
              <w:t xml:space="preserve">Annual </w:t>
            </w:r>
            <w:r w:rsidR="003B32C1">
              <w:rPr>
                <w:rFonts w:ascii="Calibri" w:eastAsia="Calibri" w:hAnsi="Calibri" w:cs="Calibri"/>
                <w:b/>
                <w:color w:val="0D0D0D" w:themeColor="text1" w:themeTint="F2"/>
                <w:sz w:val="16"/>
                <w:szCs w:val="16"/>
              </w:rPr>
              <w:t>Number</w:t>
            </w:r>
            <w:r w:rsidRPr="00CF469C">
              <w:rPr>
                <w:rFonts w:ascii="Calibri" w:eastAsia="Calibri" w:hAnsi="Calibri" w:cs="Calibri"/>
                <w:b/>
                <w:color w:val="0D0D0D" w:themeColor="text1" w:themeTint="F2"/>
                <w:sz w:val="16"/>
                <w:szCs w:val="16"/>
              </w:rPr>
              <w:t xml:space="preserve"> of Responses </w:t>
            </w:r>
            <w:r w:rsidR="003B32C1">
              <w:rPr>
                <w:rFonts w:ascii="Calibri" w:eastAsia="Calibri" w:hAnsi="Calibri" w:cs="Calibri"/>
                <w:b/>
                <w:color w:val="0D0D0D" w:themeColor="text1" w:themeTint="F2"/>
                <w:sz w:val="16"/>
                <w:szCs w:val="16"/>
              </w:rPr>
              <w:t>per</w:t>
            </w:r>
            <w:r w:rsidRPr="00CF469C">
              <w:rPr>
                <w:rFonts w:ascii="Calibri" w:eastAsia="Calibri" w:hAnsi="Calibri" w:cs="Calibri"/>
                <w:b/>
                <w:color w:val="0D0D0D" w:themeColor="text1" w:themeTint="F2"/>
                <w:sz w:val="16"/>
                <w:szCs w:val="16"/>
              </w:rPr>
              <w:t xml:space="preserve"> Respondent</w:t>
            </w:r>
            <w:r w:rsidRPr="00CF469C">
              <w:rPr>
                <w:rFonts w:ascii="Calibri" w:eastAsia="Calibri" w:hAnsi="Calibri" w:cs="Calibri"/>
                <w:b/>
                <w:color w:val="0D0D0D" w:themeColor="text1" w:themeTint="F2"/>
                <w:sz w:val="16"/>
                <w:szCs w:val="16"/>
              </w:rPr>
              <w:br/>
              <w:t>(b)</w:t>
            </w:r>
          </w:p>
        </w:tc>
        <w:tc>
          <w:tcPr>
            <w:tcW w:w="1155" w:type="dxa"/>
            <w:tcBorders>
              <w:top w:val="single" w:sz="8" w:space="0" w:color="000000"/>
              <w:left w:val="nil"/>
              <w:bottom w:val="single" w:sz="8" w:space="0" w:color="000000"/>
              <w:right w:val="single" w:sz="8" w:space="0" w:color="000000"/>
            </w:tcBorders>
            <w:shd w:val="clear" w:color="auto" w:fill="BDD7EE"/>
            <w:vAlign w:val="center"/>
          </w:tcPr>
          <w:p w:rsidR="00366C24" w:rsidRPr="00CF469C" w:rsidP="00EA3123">
            <w:pPr>
              <w:widowControl/>
              <w:contextualSpacing/>
              <w:jc w:val="center"/>
              <w:rPr>
                <w:rFonts w:ascii="Calibri" w:eastAsia="Calibri" w:hAnsi="Calibri" w:cs="Calibri"/>
                <w:b/>
                <w:color w:val="0D0D0D" w:themeColor="text1" w:themeTint="F2"/>
                <w:sz w:val="16"/>
                <w:szCs w:val="16"/>
              </w:rPr>
            </w:pPr>
            <w:r w:rsidRPr="00CF469C">
              <w:rPr>
                <w:rFonts w:ascii="Calibri" w:eastAsia="Calibri" w:hAnsi="Calibri" w:cs="Calibri"/>
                <w:b/>
                <w:color w:val="0D0D0D" w:themeColor="text1" w:themeTint="F2"/>
                <w:sz w:val="16"/>
                <w:szCs w:val="16"/>
              </w:rPr>
              <w:t xml:space="preserve">Total </w:t>
            </w:r>
            <w:r w:rsidRPr="00CF469C" w:rsidR="00EA3123">
              <w:rPr>
                <w:rFonts w:ascii="Calibri" w:eastAsia="Calibri" w:hAnsi="Calibri" w:cs="Calibri"/>
                <w:b/>
                <w:color w:val="0D0D0D" w:themeColor="text1" w:themeTint="F2"/>
                <w:sz w:val="16"/>
                <w:szCs w:val="16"/>
              </w:rPr>
              <w:t>Number</w:t>
            </w:r>
            <w:r w:rsidRPr="00CF469C">
              <w:rPr>
                <w:rFonts w:ascii="Calibri" w:eastAsia="Calibri" w:hAnsi="Calibri" w:cs="Calibri"/>
                <w:b/>
                <w:color w:val="0D0D0D" w:themeColor="text1" w:themeTint="F2"/>
                <w:sz w:val="16"/>
                <w:szCs w:val="16"/>
              </w:rPr>
              <w:t xml:space="preserve"> of Annual Responses</w:t>
            </w:r>
            <w:r w:rsidRPr="00CF469C">
              <w:rPr>
                <w:rFonts w:ascii="Calibri" w:eastAsia="Calibri" w:hAnsi="Calibri" w:cs="Calibri"/>
                <w:b/>
                <w:color w:val="0D0D0D" w:themeColor="text1" w:themeTint="F2"/>
                <w:sz w:val="16"/>
                <w:szCs w:val="16"/>
              </w:rPr>
              <w:br/>
              <w:t>(c) = (a) x (b)</w:t>
            </w:r>
          </w:p>
        </w:tc>
        <w:tc>
          <w:tcPr>
            <w:tcW w:w="1050" w:type="dxa"/>
            <w:tcBorders>
              <w:top w:val="single" w:sz="8" w:space="0" w:color="000000"/>
              <w:left w:val="nil"/>
              <w:bottom w:val="single" w:sz="8" w:space="0" w:color="000000"/>
              <w:right w:val="single" w:sz="8" w:space="0" w:color="000000"/>
            </w:tcBorders>
            <w:shd w:val="clear" w:color="auto" w:fill="BDD7EE"/>
            <w:vAlign w:val="center"/>
          </w:tcPr>
          <w:p w:rsidR="00366C24" w:rsidRPr="00CF469C" w:rsidP="00EA3123">
            <w:pPr>
              <w:widowControl/>
              <w:contextualSpacing/>
              <w:jc w:val="center"/>
              <w:rPr>
                <w:rFonts w:ascii="Calibri" w:eastAsia="Calibri" w:hAnsi="Calibri" w:cs="Calibri"/>
                <w:b/>
                <w:color w:val="0D0D0D" w:themeColor="text1" w:themeTint="F2"/>
                <w:sz w:val="16"/>
                <w:szCs w:val="16"/>
              </w:rPr>
            </w:pPr>
            <w:r w:rsidRPr="00CF469C">
              <w:rPr>
                <w:rFonts w:ascii="Calibri" w:eastAsia="Calibri" w:hAnsi="Calibri" w:cs="Calibri"/>
                <w:b/>
                <w:color w:val="0D0D0D" w:themeColor="text1" w:themeTint="F2"/>
                <w:sz w:val="16"/>
                <w:szCs w:val="16"/>
              </w:rPr>
              <w:t xml:space="preserve">Burden </w:t>
            </w:r>
            <w:r w:rsidRPr="00CF469C" w:rsidR="00EA3123">
              <w:rPr>
                <w:rFonts w:ascii="Calibri" w:eastAsia="Calibri" w:hAnsi="Calibri" w:cs="Calibri"/>
                <w:b/>
                <w:color w:val="0D0D0D" w:themeColor="text1" w:themeTint="F2"/>
                <w:sz w:val="16"/>
                <w:szCs w:val="16"/>
              </w:rPr>
              <w:t xml:space="preserve">Hours per </w:t>
            </w:r>
            <w:r w:rsidRPr="00CF469C">
              <w:rPr>
                <w:rFonts w:ascii="Calibri" w:eastAsia="Calibri" w:hAnsi="Calibri" w:cs="Calibri"/>
                <w:b/>
                <w:color w:val="0D0D0D" w:themeColor="text1" w:themeTint="F2"/>
                <w:sz w:val="16"/>
                <w:szCs w:val="16"/>
              </w:rPr>
              <w:t>Response</w:t>
            </w:r>
            <w:r w:rsidRPr="00CF469C">
              <w:rPr>
                <w:rFonts w:ascii="Calibri" w:eastAsia="Calibri" w:hAnsi="Calibri" w:cs="Calibri"/>
                <w:b/>
                <w:color w:val="0D0D0D" w:themeColor="text1" w:themeTint="F2"/>
                <w:sz w:val="16"/>
                <w:szCs w:val="16"/>
              </w:rPr>
              <w:br/>
              <w:t>(d)</w:t>
            </w:r>
          </w:p>
        </w:tc>
        <w:tc>
          <w:tcPr>
            <w:tcW w:w="1305" w:type="dxa"/>
            <w:tcBorders>
              <w:top w:val="single" w:sz="8" w:space="0" w:color="000000"/>
              <w:left w:val="nil"/>
              <w:bottom w:val="single" w:sz="8" w:space="0" w:color="000000"/>
              <w:right w:val="single" w:sz="8" w:space="0" w:color="000000"/>
            </w:tcBorders>
            <w:shd w:val="clear" w:color="auto" w:fill="BDD7EE"/>
            <w:vAlign w:val="center"/>
          </w:tcPr>
          <w:p w:rsidR="00366C24" w:rsidRPr="00CF469C" w:rsidP="00EA3123">
            <w:pPr>
              <w:widowControl/>
              <w:contextualSpacing/>
              <w:jc w:val="center"/>
              <w:rPr>
                <w:rFonts w:ascii="Calibri" w:eastAsia="Calibri" w:hAnsi="Calibri" w:cs="Calibri"/>
                <w:b/>
                <w:color w:val="0D0D0D" w:themeColor="text1" w:themeTint="F2"/>
                <w:sz w:val="16"/>
                <w:szCs w:val="16"/>
              </w:rPr>
            </w:pPr>
            <w:r w:rsidRPr="00CF469C">
              <w:rPr>
                <w:rFonts w:ascii="Calibri" w:eastAsia="Calibri" w:hAnsi="Calibri" w:cs="Calibri"/>
                <w:b/>
                <w:color w:val="0D0D0D" w:themeColor="text1" w:themeTint="F2"/>
                <w:sz w:val="16"/>
                <w:szCs w:val="16"/>
              </w:rPr>
              <w:t>Total Annual Burden H</w:t>
            </w:r>
            <w:r w:rsidRPr="00CF469C" w:rsidR="00EA3123">
              <w:rPr>
                <w:rFonts w:ascii="Calibri" w:eastAsia="Calibri" w:hAnsi="Calibri" w:cs="Calibri"/>
                <w:b/>
                <w:color w:val="0D0D0D" w:themeColor="text1" w:themeTint="F2"/>
                <w:sz w:val="16"/>
                <w:szCs w:val="16"/>
              </w:rPr>
              <w:t>our</w:t>
            </w:r>
            <w:r w:rsidRPr="00CF469C">
              <w:rPr>
                <w:rFonts w:ascii="Calibri" w:eastAsia="Calibri" w:hAnsi="Calibri" w:cs="Calibri"/>
                <w:b/>
                <w:color w:val="0D0D0D" w:themeColor="text1" w:themeTint="F2"/>
                <w:sz w:val="16"/>
                <w:szCs w:val="16"/>
              </w:rPr>
              <w:t>s</w:t>
            </w:r>
            <w:r w:rsidRPr="00CF469C">
              <w:rPr>
                <w:rFonts w:ascii="Calibri" w:eastAsia="Calibri" w:hAnsi="Calibri" w:cs="Calibri"/>
                <w:b/>
                <w:color w:val="0D0D0D" w:themeColor="text1" w:themeTint="F2"/>
                <w:sz w:val="16"/>
                <w:szCs w:val="16"/>
              </w:rPr>
              <w:br/>
              <w:t>(e) = (c) x (d)</w:t>
            </w:r>
          </w:p>
        </w:tc>
        <w:tc>
          <w:tcPr>
            <w:tcW w:w="1165" w:type="dxa"/>
            <w:tcBorders>
              <w:top w:val="single" w:sz="8" w:space="0" w:color="000000"/>
              <w:left w:val="nil"/>
              <w:bottom w:val="single" w:sz="8" w:space="0" w:color="000000"/>
              <w:right w:val="single" w:sz="8" w:space="0" w:color="000000"/>
            </w:tcBorders>
            <w:shd w:val="clear" w:color="auto" w:fill="BDD7EE"/>
            <w:vAlign w:val="center"/>
          </w:tcPr>
          <w:p w:rsidR="00366C24" w:rsidRPr="00CF469C" w:rsidP="00265C13">
            <w:pPr>
              <w:widowControl/>
              <w:contextualSpacing/>
              <w:jc w:val="center"/>
              <w:rPr>
                <w:rFonts w:ascii="Calibri" w:eastAsia="Calibri" w:hAnsi="Calibri" w:cs="Calibri"/>
                <w:b/>
                <w:color w:val="0D0D0D" w:themeColor="text1" w:themeTint="F2"/>
                <w:sz w:val="16"/>
                <w:szCs w:val="16"/>
              </w:rPr>
            </w:pPr>
            <w:r w:rsidRPr="00CF469C">
              <w:rPr>
                <w:rFonts w:ascii="Calibri" w:eastAsia="Calibri" w:hAnsi="Calibri" w:cs="Calibri"/>
                <w:b/>
                <w:color w:val="0D0D0D" w:themeColor="text1" w:themeTint="F2"/>
                <w:sz w:val="16"/>
                <w:szCs w:val="16"/>
              </w:rPr>
              <w:t>Hourly Wage Rate</w:t>
            </w:r>
            <w:r w:rsidRPr="00CF469C" w:rsidR="007A551E">
              <w:rPr>
                <w:rFonts w:ascii="Calibri" w:eastAsia="Calibri" w:hAnsi="Calibri" w:cs="Calibri"/>
                <w:b/>
                <w:color w:val="0D0D0D" w:themeColor="text1" w:themeTint="F2"/>
                <w:sz w:val="16"/>
                <w:szCs w:val="16"/>
              </w:rPr>
              <w:t xml:space="preserve"> $</w:t>
            </w:r>
            <w:r w:rsidRPr="00CF469C">
              <w:rPr>
                <w:rFonts w:ascii="Calibri" w:eastAsia="Calibri" w:hAnsi="Calibri" w:cs="Calibri"/>
                <w:b/>
                <w:color w:val="0D0D0D" w:themeColor="text1" w:themeTint="F2"/>
                <w:sz w:val="16"/>
                <w:szCs w:val="16"/>
              </w:rPr>
              <w:t xml:space="preserve"> (for Type of Respondent)</w:t>
            </w:r>
            <w:r w:rsidRPr="00CF469C">
              <w:rPr>
                <w:rFonts w:ascii="Calibri" w:eastAsia="Calibri" w:hAnsi="Calibri" w:cs="Calibri"/>
                <w:b/>
                <w:color w:val="0D0D0D" w:themeColor="text1" w:themeTint="F2"/>
                <w:sz w:val="16"/>
                <w:szCs w:val="16"/>
              </w:rPr>
              <w:br/>
              <w:t>(f)</w:t>
            </w:r>
          </w:p>
        </w:tc>
        <w:tc>
          <w:tcPr>
            <w:tcW w:w="1620" w:type="dxa"/>
            <w:tcBorders>
              <w:top w:val="single" w:sz="8" w:space="0" w:color="000000"/>
              <w:left w:val="nil"/>
              <w:bottom w:val="single" w:sz="8" w:space="0" w:color="000000"/>
              <w:right w:val="single" w:sz="8" w:space="0" w:color="000000"/>
            </w:tcBorders>
            <w:shd w:val="clear" w:color="auto" w:fill="BDD7EE"/>
            <w:vAlign w:val="center"/>
          </w:tcPr>
          <w:p w:rsidR="00366C24" w:rsidRPr="00CF469C" w:rsidP="00265C13">
            <w:pPr>
              <w:contextualSpacing/>
              <w:rPr>
                <w:rFonts w:eastAsia="Calibri"/>
                <w:color w:val="0D0D0D" w:themeColor="text1" w:themeTint="F2"/>
                <w:sz w:val="16"/>
                <w:szCs w:val="16"/>
              </w:rPr>
            </w:pPr>
            <w:r w:rsidRPr="00CF469C">
              <w:rPr>
                <w:rFonts w:eastAsia="Calibri"/>
                <w:color w:val="0D0D0D" w:themeColor="text1" w:themeTint="F2"/>
                <w:sz w:val="16"/>
                <w:szCs w:val="16"/>
              </w:rPr>
              <w:t>Total Annual Wage Burden Costs</w:t>
            </w:r>
            <w:r w:rsidRPr="00CF469C" w:rsidR="007A551E">
              <w:rPr>
                <w:rFonts w:eastAsia="Calibri"/>
                <w:color w:val="0D0D0D" w:themeColor="text1" w:themeTint="F2"/>
                <w:sz w:val="16"/>
                <w:szCs w:val="16"/>
              </w:rPr>
              <w:t xml:space="preserve"> $</w:t>
            </w:r>
            <w:r w:rsidRPr="00CF469C">
              <w:rPr>
                <w:rFonts w:eastAsia="Calibri"/>
                <w:color w:val="0D0D0D" w:themeColor="text1" w:themeTint="F2"/>
                <w:sz w:val="16"/>
                <w:szCs w:val="16"/>
              </w:rPr>
              <w:br/>
              <w:t>(g) = (e) x (f)</w:t>
            </w:r>
          </w:p>
        </w:tc>
      </w:tr>
      <w:tr w:rsidTr="003B32C1">
        <w:tblPrEx>
          <w:tblW w:w="12885" w:type="dxa"/>
          <w:tblInd w:w="-25" w:type="dxa"/>
          <w:tblLayout w:type="fixed"/>
          <w:tblLook w:val="0400"/>
        </w:tblPrEx>
        <w:trPr>
          <w:trHeight w:val="300"/>
        </w:trPr>
        <w:tc>
          <w:tcPr>
            <w:tcW w:w="2265" w:type="dxa"/>
            <w:tcBorders>
              <w:top w:val="nil"/>
              <w:left w:val="single" w:sz="8" w:space="0" w:color="000000"/>
              <w:bottom w:val="single" w:sz="4" w:space="0" w:color="000000"/>
              <w:right w:val="single" w:sz="4" w:space="0" w:color="000000"/>
            </w:tcBorders>
            <w:shd w:val="clear" w:color="auto" w:fill="auto"/>
            <w:vAlign w:val="bottom"/>
          </w:tcPr>
          <w:p w:rsidR="00366C24" w:rsidRPr="00CF469C" w:rsidP="00265C13">
            <w:pPr>
              <w:widowControl/>
              <w:contextualSpacing/>
              <w:rPr>
                <w:rFonts w:ascii="Calibri" w:eastAsia="Calibri" w:hAnsi="Calibri" w:cs="Calibri"/>
                <w:color w:val="0D0D0D" w:themeColor="text1" w:themeTint="F2"/>
                <w:sz w:val="16"/>
                <w:szCs w:val="16"/>
              </w:rPr>
            </w:pPr>
            <w:r>
              <w:rPr>
                <w:rFonts w:ascii="Calibri" w:eastAsia="Calibri" w:hAnsi="Calibri" w:cs="Calibri"/>
                <w:color w:val="0D0D0D" w:themeColor="text1" w:themeTint="F2"/>
                <w:sz w:val="16"/>
                <w:szCs w:val="16"/>
              </w:rPr>
              <w:t xml:space="preserve">South Atlantic </w:t>
            </w:r>
            <w:r w:rsidRPr="00CF469C" w:rsidR="002F230C">
              <w:rPr>
                <w:rFonts w:ascii="Calibri" w:eastAsia="Calibri" w:hAnsi="Calibri" w:cs="Calibri"/>
                <w:color w:val="0D0D0D" w:themeColor="text1" w:themeTint="F2"/>
                <w:sz w:val="16"/>
                <w:szCs w:val="16"/>
              </w:rPr>
              <w:t>Documentation of Fish Harvest</w:t>
            </w:r>
          </w:p>
        </w:tc>
        <w:tc>
          <w:tcPr>
            <w:tcW w:w="1730" w:type="dxa"/>
            <w:tcBorders>
              <w:top w:val="nil"/>
              <w:left w:val="nil"/>
              <w:bottom w:val="single" w:sz="4" w:space="0" w:color="000000"/>
              <w:right w:val="single" w:sz="4" w:space="0" w:color="000000"/>
            </w:tcBorders>
            <w:shd w:val="clear" w:color="auto" w:fill="auto"/>
            <w:vAlign w:val="bottom"/>
          </w:tcPr>
          <w:p w:rsidR="00366C24" w:rsidRPr="00CF469C" w:rsidP="00265C13">
            <w:pPr>
              <w:widowControl/>
              <w:contextualSpacing/>
              <w:jc w:val="center"/>
              <w:rPr>
                <w:rFonts w:ascii="Calibri" w:eastAsia="Calibri" w:hAnsi="Calibri" w:cs="Calibri"/>
                <w:color w:val="0D0D0D" w:themeColor="text1" w:themeTint="F2"/>
                <w:sz w:val="16"/>
                <w:szCs w:val="16"/>
              </w:rPr>
            </w:pPr>
            <w:r w:rsidRPr="00CF469C">
              <w:rPr>
                <w:rFonts w:ascii="Calibri" w:eastAsia="Calibri" w:hAnsi="Calibri" w:cs="Calibri"/>
                <w:color w:val="0D0D0D" w:themeColor="text1" w:themeTint="F2"/>
                <w:sz w:val="16"/>
                <w:szCs w:val="16"/>
              </w:rPr>
              <w:t>Seafood dealer</w:t>
            </w:r>
          </w:p>
        </w:tc>
        <w:tc>
          <w:tcPr>
            <w:tcW w:w="1335" w:type="dxa"/>
            <w:tcBorders>
              <w:top w:val="nil"/>
              <w:left w:val="nil"/>
              <w:bottom w:val="single" w:sz="4" w:space="0" w:color="000000"/>
              <w:right w:val="single" w:sz="4" w:space="0" w:color="000000"/>
            </w:tcBorders>
            <w:shd w:val="clear" w:color="auto" w:fill="auto"/>
            <w:vAlign w:val="bottom"/>
          </w:tcPr>
          <w:p w:rsidR="00366C24" w:rsidRPr="00CF469C" w:rsidP="00265C13">
            <w:pPr>
              <w:widowControl/>
              <w:contextualSpacing/>
              <w:jc w:val="right"/>
              <w:rPr>
                <w:rFonts w:ascii="Calibri" w:eastAsia="Calibri" w:hAnsi="Calibri" w:cs="Calibri"/>
                <w:color w:val="0D0D0D" w:themeColor="text1" w:themeTint="F2"/>
                <w:sz w:val="16"/>
                <w:szCs w:val="16"/>
              </w:rPr>
            </w:pPr>
            <w:r w:rsidRPr="00CF469C">
              <w:rPr>
                <w:rFonts w:ascii="Calibri" w:eastAsia="Calibri" w:hAnsi="Calibri" w:cs="Calibri"/>
                <w:color w:val="0D0D0D" w:themeColor="text1" w:themeTint="F2"/>
                <w:sz w:val="16"/>
                <w:szCs w:val="16"/>
              </w:rPr>
              <w:t>379</w:t>
            </w:r>
          </w:p>
        </w:tc>
        <w:tc>
          <w:tcPr>
            <w:tcW w:w="1260" w:type="dxa"/>
            <w:tcBorders>
              <w:top w:val="nil"/>
              <w:left w:val="nil"/>
              <w:bottom w:val="single" w:sz="4" w:space="0" w:color="000000"/>
              <w:right w:val="single" w:sz="4" w:space="0" w:color="000000"/>
            </w:tcBorders>
            <w:shd w:val="clear" w:color="auto" w:fill="auto"/>
            <w:vAlign w:val="bottom"/>
          </w:tcPr>
          <w:p w:rsidR="00366C24" w:rsidRPr="00CF469C" w:rsidP="00265C13">
            <w:pPr>
              <w:widowControl/>
              <w:contextualSpacing/>
              <w:jc w:val="right"/>
              <w:rPr>
                <w:rFonts w:ascii="Calibri" w:eastAsia="Calibri" w:hAnsi="Calibri" w:cs="Calibri"/>
                <w:color w:val="0D0D0D" w:themeColor="text1" w:themeTint="F2"/>
                <w:sz w:val="16"/>
                <w:szCs w:val="16"/>
              </w:rPr>
            </w:pPr>
            <w:r w:rsidRPr="00CF469C">
              <w:rPr>
                <w:rFonts w:ascii="Calibri" w:eastAsia="Calibri" w:hAnsi="Calibri" w:cs="Calibri"/>
                <w:color w:val="0D0D0D" w:themeColor="text1" w:themeTint="F2"/>
                <w:sz w:val="16"/>
                <w:szCs w:val="16"/>
              </w:rPr>
              <w:t>1</w:t>
            </w:r>
          </w:p>
        </w:tc>
        <w:tc>
          <w:tcPr>
            <w:tcW w:w="1155" w:type="dxa"/>
            <w:tcBorders>
              <w:top w:val="nil"/>
              <w:left w:val="nil"/>
              <w:bottom w:val="single" w:sz="4" w:space="0" w:color="000000"/>
              <w:right w:val="single" w:sz="4" w:space="0" w:color="000000"/>
            </w:tcBorders>
            <w:shd w:val="clear" w:color="auto" w:fill="auto"/>
            <w:vAlign w:val="bottom"/>
          </w:tcPr>
          <w:p w:rsidR="00366C24" w:rsidRPr="00CF469C" w:rsidP="00265C13">
            <w:pPr>
              <w:widowControl/>
              <w:contextualSpacing/>
              <w:jc w:val="right"/>
              <w:rPr>
                <w:rFonts w:ascii="Calibri" w:eastAsia="Calibri" w:hAnsi="Calibri" w:cs="Calibri"/>
                <w:color w:val="0D0D0D" w:themeColor="text1" w:themeTint="F2"/>
                <w:sz w:val="16"/>
                <w:szCs w:val="16"/>
              </w:rPr>
            </w:pPr>
            <w:r w:rsidRPr="00CF469C">
              <w:rPr>
                <w:rFonts w:ascii="Calibri" w:eastAsia="Calibri" w:hAnsi="Calibri" w:cs="Calibri"/>
                <w:color w:val="0D0D0D" w:themeColor="text1" w:themeTint="F2"/>
                <w:sz w:val="16"/>
                <w:szCs w:val="16"/>
              </w:rPr>
              <w:t>379</w:t>
            </w:r>
          </w:p>
        </w:tc>
        <w:tc>
          <w:tcPr>
            <w:tcW w:w="1050" w:type="dxa"/>
            <w:tcBorders>
              <w:top w:val="nil"/>
              <w:left w:val="nil"/>
              <w:bottom w:val="single" w:sz="4" w:space="0" w:color="000000"/>
              <w:right w:val="single" w:sz="4" w:space="0" w:color="000000"/>
            </w:tcBorders>
            <w:shd w:val="clear" w:color="auto" w:fill="auto"/>
            <w:vAlign w:val="bottom"/>
          </w:tcPr>
          <w:p w:rsidR="00366C24" w:rsidRPr="00CF469C" w:rsidP="00265C13">
            <w:pPr>
              <w:widowControl/>
              <w:contextualSpacing/>
              <w:jc w:val="right"/>
              <w:rPr>
                <w:rFonts w:ascii="Calibri" w:eastAsia="Calibri" w:hAnsi="Calibri" w:cs="Calibri"/>
                <w:color w:val="0D0D0D" w:themeColor="text1" w:themeTint="F2"/>
                <w:sz w:val="16"/>
                <w:szCs w:val="16"/>
              </w:rPr>
            </w:pPr>
            <w:r w:rsidRPr="00CF469C">
              <w:rPr>
                <w:rFonts w:ascii="Calibri" w:eastAsia="Calibri" w:hAnsi="Calibri" w:cs="Calibri"/>
                <w:color w:val="0D0D0D" w:themeColor="text1" w:themeTint="F2"/>
                <w:sz w:val="16"/>
                <w:szCs w:val="16"/>
              </w:rPr>
              <w:t>10 minutes</w:t>
            </w:r>
          </w:p>
        </w:tc>
        <w:tc>
          <w:tcPr>
            <w:tcW w:w="1305" w:type="dxa"/>
            <w:tcBorders>
              <w:top w:val="nil"/>
              <w:left w:val="nil"/>
              <w:bottom w:val="single" w:sz="4" w:space="0" w:color="000000"/>
              <w:right w:val="single" w:sz="4" w:space="0" w:color="000000"/>
            </w:tcBorders>
            <w:shd w:val="clear" w:color="auto" w:fill="auto"/>
            <w:vAlign w:val="bottom"/>
          </w:tcPr>
          <w:p w:rsidR="00366C24" w:rsidRPr="00CF469C" w:rsidP="00265C13">
            <w:pPr>
              <w:widowControl/>
              <w:contextualSpacing/>
              <w:jc w:val="right"/>
              <w:rPr>
                <w:rFonts w:ascii="Calibri" w:eastAsia="Calibri" w:hAnsi="Calibri" w:cs="Calibri"/>
                <w:color w:val="0D0D0D" w:themeColor="text1" w:themeTint="F2"/>
                <w:sz w:val="16"/>
                <w:szCs w:val="16"/>
              </w:rPr>
            </w:pPr>
            <w:r w:rsidRPr="00CF469C">
              <w:rPr>
                <w:rFonts w:ascii="Calibri" w:eastAsia="Calibri" w:hAnsi="Calibri" w:cs="Calibri"/>
                <w:color w:val="0D0D0D" w:themeColor="text1" w:themeTint="F2"/>
                <w:sz w:val="16"/>
                <w:szCs w:val="16"/>
              </w:rPr>
              <w:t>63</w:t>
            </w:r>
          </w:p>
        </w:tc>
        <w:tc>
          <w:tcPr>
            <w:tcW w:w="1165" w:type="dxa"/>
            <w:tcBorders>
              <w:top w:val="nil"/>
              <w:left w:val="nil"/>
              <w:bottom w:val="single" w:sz="4" w:space="0" w:color="000000"/>
              <w:right w:val="single" w:sz="4" w:space="0" w:color="000000"/>
            </w:tcBorders>
            <w:shd w:val="clear" w:color="auto" w:fill="auto"/>
            <w:vAlign w:val="bottom"/>
          </w:tcPr>
          <w:p w:rsidR="00366C24" w:rsidRPr="00CF469C" w:rsidP="00356F76">
            <w:pPr>
              <w:widowControl/>
              <w:contextualSpacing/>
              <w:jc w:val="right"/>
              <w:rPr>
                <w:rFonts w:ascii="Calibri" w:eastAsia="Calibri" w:hAnsi="Calibri" w:cs="Calibri"/>
                <w:color w:val="0D0D0D" w:themeColor="text1" w:themeTint="F2"/>
                <w:sz w:val="16"/>
                <w:szCs w:val="16"/>
              </w:rPr>
            </w:pPr>
            <w:r>
              <w:rPr>
                <w:rFonts w:ascii="Calibri" w:eastAsia="Calibri" w:hAnsi="Calibri" w:cs="Calibri"/>
                <w:color w:val="0D0D0D" w:themeColor="text1" w:themeTint="F2"/>
                <w:sz w:val="16"/>
                <w:szCs w:val="16"/>
              </w:rPr>
              <w:t>28.61</w:t>
            </w:r>
          </w:p>
        </w:tc>
        <w:tc>
          <w:tcPr>
            <w:tcW w:w="1620" w:type="dxa"/>
            <w:tcBorders>
              <w:top w:val="nil"/>
              <w:left w:val="nil"/>
              <w:bottom w:val="single" w:sz="4" w:space="0" w:color="000000"/>
              <w:right w:val="single" w:sz="8" w:space="0" w:color="000000"/>
            </w:tcBorders>
            <w:shd w:val="clear" w:color="auto" w:fill="auto"/>
            <w:vAlign w:val="bottom"/>
          </w:tcPr>
          <w:p w:rsidR="00366C24" w:rsidRPr="00CF469C" w:rsidP="00F52327">
            <w:pPr>
              <w:widowControl/>
              <w:contextualSpacing/>
              <w:jc w:val="right"/>
              <w:rPr>
                <w:rFonts w:ascii="Calibri" w:eastAsia="Calibri" w:hAnsi="Calibri" w:cs="Calibri"/>
                <w:color w:val="0D0D0D" w:themeColor="text1" w:themeTint="F2"/>
                <w:sz w:val="16"/>
                <w:szCs w:val="16"/>
              </w:rPr>
            </w:pPr>
            <w:r>
              <w:rPr>
                <w:rFonts w:ascii="Calibri" w:eastAsia="Calibri" w:hAnsi="Calibri" w:cs="Calibri"/>
                <w:color w:val="0D0D0D" w:themeColor="text1" w:themeTint="F2"/>
                <w:sz w:val="16"/>
                <w:szCs w:val="16"/>
              </w:rPr>
              <w:t>1802</w:t>
            </w:r>
            <w:r w:rsidR="00F52327">
              <w:rPr>
                <w:rFonts w:ascii="Calibri" w:eastAsia="Calibri" w:hAnsi="Calibri" w:cs="Calibri"/>
                <w:color w:val="0D0D0D" w:themeColor="text1" w:themeTint="F2"/>
                <w:sz w:val="16"/>
                <w:szCs w:val="16"/>
              </w:rPr>
              <w:t>.43</w:t>
            </w:r>
          </w:p>
        </w:tc>
      </w:tr>
      <w:tr w:rsidTr="003B32C1">
        <w:tblPrEx>
          <w:tblW w:w="12885" w:type="dxa"/>
          <w:tblInd w:w="-25" w:type="dxa"/>
          <w:tblLayout w:type="fixed"/>
          <w:tblLook w:val="0400"/>
        </w:tblPrEx>
        <w:trPr>
          <w:trHeight w:val="615"/>
        </w:trPr>
        <w:tc>
          <w:tcPr>
            <w:tcW w:w="2265" w:type="dxa"/>
            <w:tcBorders>
              <w:top w:val="nil"/>
              <w:left w:val="single" w:sz="8" w:space="0" w:color="000000"/>
              <w:bottom w:val="single" w:sz="8" w:space="0" w:color="000000"/>
              <w:right w:val="single" w:sz="8" w:space="0" w:color="000000"/>
            </w:tcBorders>
            <w:shd w:val="clear" w:color="auto" w:fill="DDEBF7"/>
            <w:vAlign w:val="bottom"/>
          </w:tcPr>
          <w:p w:rsidR="00366C24" w:rsidRPr="00CF469C" w:rsidP="00265C13">
            <w:pPr>
              <w:widowControl/>
              <w:contextualSpacing/>
              <w:rPr>
                <w:rFonts w:ascii="Calibri" w:eastAsia="Calibri" w:hAnsi="Calibri" w:cs="Calibri"/>
                <w:b/>
                <w:color w:val="0D0D0D" w:themeColor="text1" w:themeTint="F2"/>
              </w:rPr>
            </w:pPr>
            <w:r w:rsidRPr="00CF469C">
              <w:rPr>
                <w:rFonts w:ascii="Calibri" w:eastAsia="Calibri" w:hAnsi="Calibri" w:cs="Calibri"/>
                <w:b/>
                <w:color w:val="0D0D0D" w:themeColor="text1" w:themeTint="F2"/>
              </w:rPr>
              <w:t>Totals</w:t>
            </w:r>
          </w:p>
        </w:tc>
        <w:tc>
          <w:tcPr>
            <w:tcW w:w="1730" w:type="dxa"/>
            <w:tcBorders>
              <w:top w:val="nil"/>
              <w:left w:val="nil"/>
              <w:bottom w:val="single" w:sz="8" w:space="0" w:color="000000"/>
              <w:right w:val="single" w:sz="8" w:space="0" w:color="000000"/>
            </w:tcBorders>
            <w:shd w:val="clear" w:color="auto" w:fill="000000"/>
            <w:vAlign w:val="bottom"/>
          </w:tcPr>
          <w:p w:rsidR="00366C24" w:rsidRPr="00CF469C" w:rsidP="00265C13">
            <w:pPr>
              <w:widowControl/>
              <w:contextualSpacing/>
              <w:rPr>
                <w:rFonts w:ascii="Calibri" w:eastAsia="Calibri" w:hAnsi="Calibri" w:cs="Calibri"/>
                <w:b/>
                <w:color w:val="0D0D0D" w:themeColor="text1" w:themeTint="F2"/>
              </w:rPr>
            </w:pPr>
            <w:r w:rsidRPr="00CF469C">
              <w:rPr>
                <w:rFonts w:ascii="Calibri" w:eastAsia="Calibri" w:hAnsi="Calibri" w:cs="Calibri"/>
                <w:b/>
                <w:color w:val="0D0D0D" w:themeColor="text1" w:themeTint="F2"/>
              </w:rPr>
              <w:t> </w:t>
            </w:r>
          </w:p>
        </w:tc>
        <w:tc>
          <w:tcPr>
            <w:tcW w:w="1335" w:type="dxa"/>
            <w:tcBorders>
              <w:top w:val="nil"/>
              <w:left w:val="nil"/>
              <w:bottom w:val="single" w:sz="8" w:space="0" w:color="000000"/>
              <w:right w:val="single" w:sz="8" w:space="0" w:color="000000"/>
            </w:tcBorders>
            <w:shd w:val="clear" w:color="auto" w:fill="000000"/>
            <w:vAlign w:val="bottom"/>
          </w:tcPr>
          <w:p w:rsidR="00366C24" w:rsidRPr="00CF469C" w:rsidP="00265C13">
            <w:pPr>
              <w:widowControl/>
              <w:contextualSpacing/>
              <w:rPr>
                <w:rFonts w:ascii="Calibri" w:eastAsia="Calibri" w:hAnsi="Calibri" w:cs="Calibri"/>
                <w:b/>
                <w:color w:val="0D0D0D" w:themeColor="text1" w:themeTint="F2"/>
              </w:rPr>
            </w:pPr>
            <w:r w:rsidRPr="00CF469C">
              <w:rPr>
                <w:rFonts w:ascii="Calibri" w:eastAsia="Calibri" w:hAnsi="Calibri" w:cs="Calibri"/>
                <w:b/>
                <w:color w:val="0D0D0D" w:themeColor="text1" w:themeTint="F2"/>
              </w:rPr>
              <w:t> </w:t>
            </w:r>
          </w:p>
        </w:tc>
        <w:tc>
          <w:tcPr>
            <w:tcW w:w="1260" w:type="dxa"/>
            <w:tcBorders>
              <w:top w:val="nil"/>
              <w:left w:val="nil"/>
              <w:bottom w:val="single" w:sz="8" w:space="0" w:color="000000"/>
              <w:right w:val="single" w:sz="8" w:space="0" w:color="000000"/>
            </w:tcBorders>
            <w:shd w:val="clear" w:color="auto" w:fill="000000"/>
            <w:vAlign w:val="bottom"/>
          </w:tcPr>
          <w:p w:rsidR="00366C24" w:rsidRPr="00CF469C" w:rsidP="00265C13">
            <w:pPr>
              <w:widowControl/>
              <w:contextualSpacing/>
              <w:rPr>
                <w:rFonts w:ascii="Calibri" w:eastAsia="Calibri" w:hAnsi="Calibri" w:cs="Calibri"/>
                <w:b/>
                <w:color w:val="0D0D0D" w:themeColor="text1" w:themeTint="F2"/>
              </w:rPr>
            </w:pPr>
            <w:r w:rsidRPr="00CF469C">
              <w:rPr>
                <w:rFonts w:ascii="Calibri" w:eastAsia="Calibri" w:hAnsi="Calibri" w:cs="Calibri"/>
                <w:b/>
                <w:color w:val="0D0D0D" w:themeColor="text1" w:themeTint="F2"/>
              </w:rPr>
              <w:t> </w:t>
            </w:r>
          </w:p>
        </w:tc>
        <w:tc>
          <w:tcPr>
            <w:tcW w:w="1155" w:type="dxa"/>
            <w:tcBorders>
              <w:top w:val="nil"/>
              <w:left w:val="nil"/>
              <w:bottom w:val="single" w:sz="8" w:space="0" w:color="000000"/>
              <w:right w:val="single" w:sz="8" w:space="0" w:color="000000"/>
            </w:tcBorders>
            <w:shd w:val="clear" w:color="auto" w:fill="DDEBF7"/>
            <w:vAlign w:val="bottom"/>
          </w:tcPr>
          <w:p w:rsidR="00366C24" w:rsidRPr="00CF469C" w:rsidP="00265C13">
            <w:pPr>
              <w:widowControl/>
              <w:contextualSpacing/>
              <w:rPr>
                <w:rFonts w:ascii="Calibri" w:eastAsia="Calibri" w:hAnsi="Calibri" w:cs="Calibri"/>
                <w:b/>
                <w:color w:val="0D0D0D" w:themeColor="text1" w:themeTint="F2"/>
              </w:rPr>
            </w:pPr>
            <w:r w:rsidRPr="00CF469C">
              <w:rPr>
                <w:rFonts w:ascii="Calibri" w:eastAsia="Calibri" w:hAnsi="Calibri" w:cs="Calibri"/>
                <w:b/>
                <w:color w:val="0D0D0D" w:themeColor="text1" w:themeTint="F2"/>
              </w:rPr>
              <w:t>379</w:t>
            </w:r>
          </w:p>
        </w:tc>
        <w:tc>
          <w:tcPr>
            <w:tcW w:w="1050" w:type="dxa"/>
            <w:tcBorders>
              <w:top w:val="nil"/>
              <w:left w:val="nil"/>
              <w:bottom w:val="single" w:sz="8" w:space="0" w:color="000000"/>
              <w:right w:val="single" w:sz="8" w:space="0" w:color="000000"/>
            </w:tcBorders>
            <w:shd w:val="clear" w:color="auto" w:fill="000000"/>
            <w:vAlign w:val="bottom"/>
          </w:tcPr>
          <w:p w:rsidR="00366C24" w:rsidRPr="00CF469C" w:rsidP="00265C13">
            <w:pPr>
              <w:widowControl/>
              <w:contextualSpacing/>
              <w:rPr>
                <w:rFonts w:ascii="Calibri" w:eastAsia="Calibri" w:hAnsi="Calibri" w:cs="Calibri"/>
                <w:b/>
                <w:color w:val="0D0D0D" w:themeColor="text1" w:themeTint="F2"/>
              </w:rPr>
            </w:pPr>
            <w:r w:rsidRPr="00CF469C">
              <w:rPr>
                <w:rFonts w:ascii="Calibri" w:eastAsia="Calibri" w:hAnsi="Calibri" w:cs="Calibri"/>
                <w:b/>
                <w:color w:val="0D0D0D" w:themeColor="text1" w:themeTint="F2"/>
              </w:rPr>
              <w:t> </w:t>
            </w:r>
          </w:p>
        </w:tc>
        <w:tc>
          <w:tcPr>
            <w:tcW w:w="1305" w:type="dxa"/>
            <w:tcBorders>
              <w:top w:val="nil"/>
              <w:left w:val="nil"/>
              <w:bottom w:val="single" w:sz="8" w:space="0" w:color="000000"/>
              <w:right w:val="single" w:sz="8" w:space="0" w:color="000000"/>
            </w:tcBorders>
            <w:shd w:val="clear" w:color="auto" w:fill="DDEBF7"/>
            <w:vAlign w:val="bottom"/>
          </w:tcPr>
          <w:p w:rsidR="00366C24" w:rsidRPr="00CF469C" w:rsidP="00265C13">
            <w:pPr>
              <w:widowControl/>
              <w:contextualSpacing/>
              <w:rPr>
                <w:rFonts w:ascii="Calibri" w:eastAsia="Calibri" w:hAnsi="Calibri" w:cs="Calibri"/>
                <w:b/>
                <w:color w:val="0D0D0D" w:themeColor="text1" w:themeTint="F2"/>
              </w:rPr>
            </w:pPr>
            <w:r w:rsidRPr="00CF469C">
              <w:rPr>
                <w:rFonts w:ascii="Calibri" w:eastAsia="Calibri" w:hAnsi="Calibri" w:cs="Calibri"/>
                <w:b/>
                <w:color w:val="0D0D0D" w:themeColor="text1" w:themeTint="F2"/>
              </w:rPr>
              <w:t>63</w:t>
            </w:r>
          </w:p>
        </w:tc>
        <w:tc>
          <w:tcPr>
            <w:tcW w:w="1165" w:type="dxa"/>
            <w:tcBorders>
              <w:top w:val="nil"/>
              <w:left w:val="nil"/>
              <w:bottom w:val="single" w:sz="8" w:space="0" w:color="000000"/>
              <w:right w:val="single" w:sz="8" w:space="0" w:color="000000"/>
            </w:tcBorders>
            <w:shd w:val="clear" w:color="auto" w:fill="000000"/>
            <w:vAlign w:val="bottom"/>
          </w:tcPr>
          <w:p w:rsidR="00366C24" w:rsidRPr="00CF469C" w:rsidP="00265C13">
            <w:pPr>
              <w:widowControl/>
              <w:contextualSpacing/>
              <w:rPr>
                <w:rFonts w:ascii="Calibri" w:eastAsia="Calibri" w:hAnsi="Calibri" w:cs="Calibri"/>
                <w:b/>
                <w:color w:val="0D0D0D" w:themeColor="text1" w:themeTint="F2"/>
              </w:rPr>
            </w:pPr>
            <w:r w:rsidRPr="00CF469C">
              <w:rPr>
                <w:rFonts w:ascii="Calibri" w:eastAsia="Calibri" w:hAnsi="Calibri" w:cs="Calibri"/>
                <w:b/>
                <w:color w:val="0D0D0D" w:themeColor="text1" w:themeTint="F2"/>
              </w:rPr>
              <w:t> </w:t>
            </w:r>
          </w:p>
        </w:tc>
        <w:tc>
          <w:tcPr>
            <w:tcW w:w="1620" w:type="dxa"/>
            <w:tcBorders>
              <w:top w:val="nil"/>
              <w:left w:val="nil"/>
              <w:bottom w:val="single" w:sz="8" w:space="0" w:color="000000"/>
              <w:right w:val="single" w:sz="8" w:space="0" w:color="000000"/>
            </w:tcBorders>
            <w:shd w:val="clear" w:color="auto" w:fill="DDEBF7"/>
            <w:vAlign w:val="bottom"/>
          </w:tcPr>
          <w:p w:rsidR="00366C24" w:rsidRPr="00CF469C" w:rsidP="00265C13">
            <w:pPr>
              <w:widowControl/>
              <w:contextualSpacing/>
              <w:rPr>
                <w:rFonts w:ascii="Calibri" w:eastAsia="Calibri" w:hAnsi="Calibri" w:cs="Calibri"/>
                <w:b/>
                <w:color w:val="0D0D0D" w:themeColor="text1" w:themeTint="F2"/>
              </w:rPr>
            </w:pPr>
            <w:r>
              <w:rPr>
                <w:rFonts w:ascii="Calibri" w:eastAsia="Calibri" w:hAnsi="Calibri" w:cs="Calibri"/>
                <w:b/>
                <w:color w:val="0D0D0D" w:themeColor="text1" w:themeTint="F2"/>
              </w:rPr>
              <w:t>1802.43</w:t>
            </w:r>
          </w:p>
        </w:tc>
      </w:tr>
    </w:tbl>
    <w:p w:rsidR="00366C24" w:rsidRPr="00D7109A" w:rsidP="00265C13">
      <w:pPr>
        <w:contextualSpacing/>
        <w:rPr>
          <w:color w:val="0D0D0D" w:themeColor="text1" w:themeTint="F2"/>
        </w:rPr>
      </w:pPr>
    </w:p>
    <w:p w:rsidR="00366C24" w:rsidRPr="00D7109A" w:rsidP="00265C13">
      <w:pPr>
        <w:ind w:hanging="43"/>
        <w:contextualSpacing/>
        <w:rPr>
          <w:color w:val="0D0D0D" w:themeColor="text1" w:themeTint="F2"/>
        </w:rPr>
      </w:pPr>
      <w:r w:rsidRPr="00D7109A">
        <w:rPr>
          <w:color w:val="0D0D0D" w:themeColor="text1" w:themeTint="F2"/>
        </w:rPr>
        <w:t>S</w:t>
      </w:r>
      <w:r w:rsidRPr="00D7109A" w:rsidR="00440E81">
        <w:rPr>
          <w:color w:val="0D0D0D" w:themeColor="text1" w:themeTint="F2"/>
        </w:rPr>
        <w:t>ource</w:t>
      </w:r>
      <w:r w:rsidR="00D7109A">
        <w:rPr>
          <w:color w:val="0D0D0D" w:themeColor="text1" w:themeTint="F2"/>
        </w:rPr>
        <w:t xml:space="preserve">: </w:t>
      </w:r>
      <w:r w:rsidRPr="00D7109A" w:rsidR="00D7109A">
        <w:rPr>
          <w:color w:val="0D0D0D" w:themeColor="text1" w:themeTint="F2"/>
        </w:rPr>
        <w:t>U.S. Bureau of Labor Statistics website at</w:t>
      </w:r>
      <w:r w:rsidRPr="00D7109A" w:rsidR="00440E81">
        <w:rPr>
          <w:color w:val="0D0D0D" w:themeColor="text1" w:themeTint="F2"/>
        </w:rPr>
        <w:t xml:space="preserve"> </w:t>
      </w:r>
      <w:r w:rsidRPr="00D7109A" w:rsidR="00D7109A">
        <w:rPr>
          <w:i/>
          <w:color w:val="0D0D0D" w:themeColor="text1" w:themeTint="F2"/>
        </w:rPr>
        <w:t>https://www.bls.gov/oes/current/naics2_11.htm#45-1011</w:t>
      </w:r>
      <w:r w:rsidR="00D7109A">
        <w:rPr>
          <w:color w:val="0D0D0D" w:themeColor="text1" w:themeTint="F2"/>
        </w:rPr>
        <w:t>. Accessed September 6, 2024.</w:t>
      </w:r>
    </w:p>
    <w:p w:rsidR="001F4769" w:rsidRPr="00CF469C" w:rsidP="00265C13">
      <w:pPr>
        <w:contextualSpacing/>
        <w:jc w:val="center"/>
        <w:rPr>
          <w:color w:val="0D0D0D" w:themeColor="text1" w:themeTint="F2"/>
        </w:rPr>
        <w:sectPr w:rsidSect="003B32C1">
          <w:pgSz w:w="15840" w:h="12240" w:orient="landscape"/>
          <w:pgMar w:top="640" w:right="1080" w:bottom="1200" w:left="1080" w:header="720" w:footer="720" w:gutter="0"/>
          <w:cols w:space="720"/>
          <w:docGrid w:linePitch="326"/>
        </w:sect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Provide an estimate for the total annual cost burden to respondents or record keepers resulting from the collection of information. (Do not i</w:t>
      </w:r>
      <w:r w:rsidRPr="00CF469C">
        <w:rPr>
          <w:b/>
          <w:color w:val="0D0D0D" w:themeColor="text1" w:themeTint="F2"/>
        </w:rPr>
        <w:t>nclude the cost of any hour burden already reflected on the burden worksheet).</w:t>
      </w:r>
    </w:p>
    <w:p w:rsidR="000571D1" w:rsidRPr="00CF469C" w:rsidP="00265C13">
      <w:pPr>
        <w:contextualSpacing/>
        <w:rPr>
          <w:color w:val="0D0D0D" w:themeColor="text1" w:themeTint="F2"/>
        </w:rPr>
      </w:pPr>
    </w:p>
    <w:p w:rsidR="00366C24" w:rsidRPr="00CF469C" w:rsidP="00265C13">
      <w:pPr>
        <w:contextualSpacing/>
        <w:rPr>
          <w:color w:val="0D0D0D" w:themeColor="text1" w:themeTint="F2"/>
        </w:rPr>
      </w:pPr>
      <w:r>
        <w:rPr>
          <w:color w:val="0D0D0D" w:themeColor="text1" w:themeTint="F2"/>
        </w:rPr>
        <w:t xml:space="preserve">There are no capital costs, </w:t>
      </w:r>
      <w:r w:rsidRPr="00CF469C" w:rsidR="00440E81">
        <w:rPr>
          <w:color w:val="0D0D0D" w:themeColor="text1" w:themeTint="F2"/>
        </w:rPr>
        <w:t>operating</w:t>
      </w:r>
      <w:r>
        <w:rPr>
          <w:color w:val="0D0D0D" w:themeColor="text1" w:themeTint="F2"/>
        </w:rPr>
        <w:t xml:space="preserve"> or</w:t>
      </w:r>
      <w:r w:rsidRPr="00CF469C" w:rsidR="00440E81">
        <w:rPr>
          <w:color w:val="0D0D0D" w:themeColor="text1" w:themeTint="F2"/>
        </w:rPr>
        <w:t xml:space="preserve"> maintenance costs </w:t>
      </w:r>
      <w:r w:rsidRPr="00CF469C" w:rsidR="000571D1">
        <w:rPr>
          <w:color w:val="0D0D0D" w:themeColor="text1" w:themeTint="F2"/>
        </w:rPr>
        <w:t xml:space="preserve">to respondents </w:t>
      </w:r>
      <w:r w:rsidRPr="00CF469C" w:rsidR="00440E81">
        <w:rPr>
          <w:color w:val="0D0D0D" w:themeColor="text1" w:themeTint="F2"/>
        </w:rPr>
        <w:t>associated with this information collection.</w:t>
      </w:r>
    </w:p>
    <w:p w:rsidR="00366C24" w:rsidRPr="00356F76" w:rsidP="00265C13">
      <w:pPr>
        <w:pBdr>
          <w:top w:val="nil"/>
          <w:left w:val="nil"/>
          <w:bottom w:val="nil"/>
          <w:right w:val="nil"/>
          <w:between w:val="nil"/>
        </w:pBdr>
        <w:contextualSpacing/>
        <w:rPr>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 xml:space="preserve">Provide estimates of annualized cost to the Federal </w:t>
      </w:r>
      <w:r w:rsidRPr="00CF469C" w:rsidR="00B36A76">
        <w:rPr>
          <w:b/>
          <w:color w:val="0D0D0D" w:themeColor="text1" w:themeTint="F2"/>
        </w:rPr>
        <w:t>G</w:t>
      </w:r>
      <w:r w:rsidRPr="00CF469C">
        <w:rPr>
          <w:b/>
          <w:color w:val="0D0D0D" w:themeColor="text1" w:themeTint="F2"/>
        </w:rPr>
        <w:t>overnment. Also, provide a description of the method used to estimate cost, which should include quantification of hours, operational expenses (such as equipment, overhead, printing, and support staff), and any other expense that would not have been incurr</w:t>
      </w:r>
      <w:r w:rsidRPr="00CF469C">
        <w:rPr>
          <w:b/>
          <w:color w:val="0D0D0D" w:themeColor="text1" w:themeTint="F2"/>
        </w:rPr>
        <w:t>ed without this collection of information.</w:t>
      </w:r>
    </w:p>
    <w:p w:rsidR="00B36A76" w:rsidRPr="00CF469C" w:rsidP="00265C13">
      <w:pPr>
        <w:pBdr>
          <w:top w:val="nil"/>
          <w:left w:val="nil"/>
          <w:bottom w:val="nil"/>
          <w:right w:val="nil"/>
          <w:between w:val="nil"/>
        </w:pBdr>
        <w:contextualSpacing/>
        <w:rPr>
          <w:color w:val="0D0D0D" w:themeColor="text1" w:themeTint="F2"/>
        </w:rPr>
      </w:pPr>
    </w:p>
    <w:p w:rsidR="00B36A76" w:rsidRPr="00CF469C" w:rsidP="00265C13">
      <w:pPr>
        <w:contextualSpacing/>
        <w:rPr>
          <w:color w:val="0D0D0D" w:themeColor="text1" w:themeTint="F2"/>
        </w:rPr>
      </w:pPr>
      <w:r>
        <w:rPr>
          <w:color w:val="0D0D0D" w:themeColor="text1" w:themeTint="F2"/>
        </w:rPr>
        <w:t>T</w:t>
      </w:r>
      <w:r w:rsidRPr="00CF469C" w:rsidR="00196CEE">
        <w:rPr>
          <w:color w:val="0D0D0D" w:themeColor="text1" w:themeTint="F2"/>
        </w:rPr>
        <w:t xml:space="preserve">here is no cost to the Federal Government. </w:t>
      </w:r>
    </w:p>
    <w:p w:rsidR="00B36A76" w:rsidRPr="00CF469C" w:rsidP="00265C13">
      <w:pPr>
        <w:pBdr>
          <w:top w:val="nil"/>
          <w:left w:val="nil"/>
          <w:bottom w:val="nil"/>
          <w:right w:val="nil"/>
          <w:between w:val="nil"/>
        </w:pBdr>
        <w:contextualSpacing/>
        <w:rPr>
          <w:color w:val="0D0D0D" w:themeColor="text1" w:themeTint="F2"/>
        </w:rPr>
      </w:pPr>
    </w:p>
    <w:p w:rsidR="00366C24" w:rsidRPr="00356F76" w:rsidP="00265C13">
      <w:pPr>
        <w:pBdr>
          <w:top w:val="nil"/>
          <w:left w:val="nil"/>
          <w:bottom w:val="nil"/>
          <w:right w:val="nil"/>
          <w:between w:val="nil"/>
        </w:pBdr>
        <w:contextualSpacing/>
        <w:rPr>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Explain the reasons for any program changes or adjustments reported in ROCIS.</w:t>
      </w:r>
    </w:p>
    <w:p w:rsidR="00366C24" w:rsidP="00265C13">
      <w:pPr>
        <w:pBdr>
          <w:top w:val="nil"/>
          <w:left w:val="nil"/>
          <w:bottom w:val="nil"/>
          <w:right w:val="nil"/>
          <w:between w:val="nil"/>
        </w:pBdr>
        <w:contextualSpacing/>
        <w:rPr>
          <w:color w:val="0D0D0D" w:themeColor="text1" w:themeTint="F2"/>
        </w:rPr>
      </w:pPr>
    </w:p>
    <w:p w:rsidR="00F361A8" w:rsidRPr="00356F76" w:rsidP="00265C13">
      <w:pPr>
        <w:pBdr>
          <w:top w:val="nil"/>
          <w:left w:val="nil"/>
          <w:bottom w:val="nil"/>
          <w:right w:val="nil"/>
          <w:between w:val="nil"/>
        </w:pBdr>
        <w:contextualSpacing/>
        <w:rPr>
          <w:color w:val="0D0D0D" w:themeColor="text1" w:themeTint="F2"/>
        </w:rPr>
      </w:pPr>
      <w:r>
        <w:rPr>
          <w:color w:val="0D0D0D" w:themeColor="text1" w:themeTint="F2"/>
        </w:rPr>
        <w:t>There are no changes to this information collection.</w:t>
      </w:r>
    </w:p>
    <w:p w:rsidR="00366C24" w:rsidRPr="00CF469C" w:rsidP="00265C13">
      <w:pPr>
        <w:pBdr>
          <w:top w:val="nil"/>
          <w:left w:val="nil"/>
          <w:bottom w:val="nil"/>
          <w:right w:val="nil"/>
          <w:between w:val="nil"/>
        </w:pBdr>
        <w:contextualSpacing/>
        <w:rPr>
          <w:b/>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 xml:space="preserve">For collections of information whose results will be published, outline plans for tabulation and publication. Address any complex analytical techniques that will be used. Provide the time schedule for the entire project, including </w:t>
      </w:r>
      <w:r w:rsidRPr="00CF469C">
        <w:rPr>
          <w:b/>
          <w:color w:val="0D0D0D" w:themeColor="text1" w:themeTint="F2"/>
        </w:rPr>
        <w:t>beginning and ending dates of the collection of information, completion of report, publication dates, and other actions.</w:t>
      </w:r>
    </w:p>
    <w:p w:rsidR="00466DEC" w:rsidRPr="00CF469C" w:rsidP="00265C13">
      <w:pPr>
        <w:pBdr>
          <w:top w:val="nil"/>
          <w:left w:val="nil"/>
          <w:bottom w:val="nil"/>
          <w:right w:val="nil"/>
          <w:between w:val="nil"/>
        </w:pBdr>
        <w:contextualSpacing/>
        <w:rPr>
          <w:color w:val="0D0D0D" w:themeColor="text1" w:themeTint="F2"/>
        </w:rPr>
      </w:pPr>
    </w:p>
    <w:p w:rsidR="00466DEC" w:rsidRPr="00CF469C" w:rsidP="00265C13">
      <w:pPr>
        <w:widowControl/>
        <w:contextualSpacing/>
        <w:rPr>
          <w:color w:val="0D0D0D" w:themeColor="text1" w:themeTint="F2"/>
        </w:rPr>
      </w:pPr>
      <w:r>
        <w:rPr>
          <w:color w:val="0D0D0D" w:themeColor="text1" w:themeTint="F2"/>
        </w:rPr>
        <w:t>NMFS has no plan for a</w:t>
      </w:r>
      <w:r w:rsidRPr="00CF469C">
        <w:rPr>
          <w:color w:val="0D0D0D" w:themeColor="text1" w:themeTint="F2"/>
        </w:rPr>
        <w:t xml:space="preserve"> formal publication based on this collection.</w:t>
      </w:r>
      <w:r>
        <w:rPr>
          <w:color w:val="0D0D0D" w:themeColor="text1" w:themeTint="F2"/>
        </w:rPr>
        <w:t xml:space="preserve">  </w:t>
      </w:r>
      <w:r w:rsidRPr="00CF469C">
        <w:rPr>
          <w:bCs/>
          <w:color w:val="0D0D0D" w:themeColor="text1" w:themeTint="F2"/>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w:t>
      </w:r>
      <w:r w:rsidRPr="00356F76">
        <w:rPr>
          <w:bCs/>
          <w:color w:val="0D0D0D" w:themeColor="text1" w:themeTint="F2"/>
        </w:rPr>
        <w:t>to Section 515 of Public Law 106-554</w:t>
      </w:r>
      <w:r w:rsidRPr="00CF469C">
        <w:rPr>
          <w:bCs/>
          <w:color w:val="0D0D0D" w:themeColor="text1" w:themeTint="F2"/>
        </w:rPr>
        <w:t>.</w:t>
      </w:r>
    </w:p>
    <w:p w:rsidR="00466DEC" w:rsidRPr="00CF469C" w:rsidP="00265C13">
      <w:pPr>
        <w:pBdr>
          <w:top w:val="nil"/>
          <w:left w:val="nil"/>
          <w:bottom w:val="nil"/>
          <w:right w:val="nil"/>
          <w:between w:val="nil"/>
        </w:pBdr>
        <w:contextualSpacing/>
        <w:rPr>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 xml:space="preserve">If seeking approval to not display the expiration date for OMB </w:t>
      </w:r>
      <w:r w:rsidRPr="00CF469C">
        <w:rPr>
          <w:b/>
          <w:color w:val="0D0D0D" w:themeColor="text1" w:themeTint="F2"/>
        </w:rPr>
        <w:t>approval of the information collection, explain the reasons that display would be inappropriate.</w:t>
      </w:r>
    </w:p>
    <w:p w:rsidR="00466DEC" w:rsidRPr="00CF469C" w:rsidP="00265C13">
      <w:pPr>
        <w:pBdr>
          <w:top w:val="nil"/>
          <w:left w:val="nil"/>
          <w:bottom w:val="nil"/>
          <w:right w:val="nil"/>
          <w:between w:val="nil"/>
        </w:pBdr>
        <w:contextualSpacing/>
        <w:rPr>
          <w:color w:val="0D0D0D" w:themeColor="text1" w:themeTint="F2"/>
        </w:rPr>
      </w:pPr>
    </w:p>
    <w:p w:rsidR="00466DEC" w:rsidRPr="00CF469C" w:rsidP="00265C13">
      <w:pPr>
        <w:widowControl/>
        <w:contextualSpacing/>
        <w:rPr>
          <w:color w:val="0D0D0D" w:themeColor="text1" w:themeTint="F2"/>
        </w:rPr>
      </w:pPr>
      <w:r w:rsidRPr="00CF469C">
        <w:rPr>
          <w:color w:val="0D0D0D" w:themeColor="text1" w:themeTint="F2"/>
        </w:rPr>
        <w:t>There is no form or other medium to display an expiration date.</w:t>
      </w:r>
    </w:p>
    <w:p w:rsidR="00366C24" w:rsidRPr="00CF469C" w:rsidP="00265C13">
      <w:pPr>
        <w:contextualSpacing/>
        <w:rPr>
          <w:i/>
          <w:color w:val="0D0D0D" w:themeColor="text1" w:themeTint="F2"/>
        </w:rPr>
      </w:pPr>
    </w:p>
    <w:p w:rsidR="00366C24" w:rsidRPr="00CF469C" w:rsidP="00265C13">
      <w:pPr>
        <w:numPr>
          <w:ilvl w:val="0"/>
          <w:numId w:val="3"/>
        </w:numPr>
        <w:pBdr>
          <w:top w:val="nil"/>
          <w:left w:val="nil"/>
          <w:bottom w:val="nil"/>
          <w:right w:val="nil"/>
          <w:between w:val="nil"/>
        </w:pBdr>
        <w:tabs>
          <w:tab w:val="left" w:pos="360"/>
        </w:tabs>
        <w:ind w:left="0" w:firstLine="0"/>
        <w:contextualSpacing/>
        <w:rPr>
          <w:b/>
          <w:color w:val="0D0D0D" w:themeColor="text1" w:themeTint="F2"/>
        </w:rPr>
      </w:pPr>
      <w:r w:rsidRPr="00CF469C">
        <w:rPr>
          <w:b/>
          <w:color w:val="0D0D0D" w:themeColor="text1" w:themeTint="F2"/>
        </w:rPr>
        <w:t>Explain each exception to the certification statement identified in “Certification for Paperw</w:t>
      </w:r>
      <w:r w:rsidRPr="00CF469C">
        <w:rPr>
          <w:b/>
          <w:color w:val="0D0D0D" w:themeColor="text1" w:themeTint="F2"/>
        </w:rPr>
        <w:t>ork Reduction Act Submissions."</w:t>
      </w:r>
    </w:p>
    <w:p w:rsidR="00466DEC" w:rsidRPr="00CF469C" w:rsidP="00265C13">
      <w:pPr>
        <w:contextualSpacing/>
        <w:jc w:val="both"/>
        <w:rPr>
          <w:color w:val="0D0D0D" w:themeColor="text1" w:themeTint="F2"/>
        </w:rPr>
      </w:pPr>
    </w:p>
    <w:p w:rsidR="00366C24" w:rsidRPr="00356F76" w:rsidP="00265C13">
      <w:pPr>
        <w:contextualSpacing/>
        <w:jc w:val="both"/>
        <w:rPr>
          <w:color w:val="0D0D0D" w:themeColor="text1" w:themeTint="F2"/>
        </w:rPr>
      </w:pPr>
      <w:r w:rsidRPr="00CF469C">
        <w:rPr>
          <w:color w:val="0D0D0D" w:themeColor="text1" w:themeTint="F2"/>
        </w:rPr>
        <w:t xml:space="preserve">The agency certifies compliance </w:t>
      </w:r>
      <w:r w:rsidRPr="00356F76">
        <w:rPr>
          <w:color w:val="0D0D0D" w:themeColor="text1" w:themeTint="F2"/>
        </w:rPr>
        <w:t>with 5 CFR 1320.9</w:t>
      </w:r>
      <w:hyperlink r:id="rId7">
        <w:r w:rsidRPr="00356F76">
          <w:rPr>
            <w:color w:val="0D0D0D" w:themeColor="text1" w:themeTint="F2"/>
          </w:rPr>
          <w:t xml:space="preserve"> </w:t>
        </w:r>
      </w:hyperlink>
      <w:r w:rsidRPr="00356F76">
        <w:rPr>
          <w:color w:val="0D0D0D" w:themeColor="text1" w:themeTint="F2"/>
        </w:rPr>
        <w:t xml:space="preserve">and the related provisions of </w:t>
      </w:r>
      <w:hyperlink r:id="rId8">
        <w:r w:rsidRPr="00356F76">
          <w:rPr>
            <w:color w:val="0D0D0D" w:themeColor="text1" w:themeTint="F2"/>
          </w:rPr>
          <w:t>5 CFR</w:t>
        </w:r>
      </w:hyperlink>
      <w:r w:rsidRPr="00356F76">
        <w:rPr>
          <w:color w:val="0D0D0D" w:themeColor="text1" w:themeTint="F2"/>
        </w:rPr>
        <w:t xml:space="preserve"> 1320.8(b)(3).</w:t>
      </w:r>
    </w:p>
    <w:sectPr w:rsidSect="00356F76">
      <w:pgSz w:w="12240" w:h="15840"/>
      <w:pgMar w:top="640" w:right="1080" w:bottom="120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0E81">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1912F3"/>
    <w:multiLevelType w:val="multilevel"/>
    <w:tmpl w:val="56C064FC"/>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
    <w:nsid w:val="128248BC"/>
    <w:multiLevelType w:val="multilevel"/>
    <w:tmpl w:val="33EAE61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2">
    <w:nsid w:val="13E27E3E"/>
    <w:multiLevelType w:val="multilevel"/>
    <w:tmpl w:val="BA8AC5A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2AF07354"/>
    <w:multiLevelType w:val="multilevel"/>
    <w:tmpl w:val="7552360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4">
    <w:nsid w:val="387C3BDF"/>
    <w:multiLevelType w:val="multilevel"/>
    <w:tmpl w:val="2356E24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5">
    <w:nsid w:val="3A5F7D20"/>
    <w:multiLevelType w:val="multilevel"/>
    <w:tmpl w:val="33F81F96"/>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6">
    <w:nsid w:val="468476A6"/>
    <w:multiLevelType w:val="multilevel"/>
    <w:tmpl w:val="19AC551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7">
    <w:nsid w:val="481D446C"/>
    <w:multiLevelType w:val="multilevel"/>
    <w:tmpl w:val="6A863324"/>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4B4A14A4"/>
    <w:multiLevelType w:val="multilevel"/>
    <w:tmpl w:val="27E25584"/>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9">
    <w:nsid w:val="5B050F5B"/>
    <w:multiLevelType w:val="hybridMultilevel"/>
    <w:tmpl w:val="A1BE905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B6A471D"/>
    <w:multiLevelType w:val="multilevel"/>
    <w:tmpl w:val="0290B0D0"/>
    <w:lvl w:ilvl="0">
      <w:start w:val="1"/>
      <w:numFmt w:val="decimal"/>
      <w:lvlText w:val="%1."/>
      <w:lvlJc w:val="left"/>
      <w:pPr>
        <w:ind w:left="400" w:hanging="269"/>
      </w:pPr>
      <w:rPr>
        <w:rFonts w:ascii="Times New Roman" w:eastAsia="Arial" w:hAnsi="Times New Roman" w:cs="Times New Roman" w:hint="default"/>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1">
    <w:nsid w:val="61C920DD"/>
    <w:multiLevelType w:val="multilevel"/>
    <w:tmpl w:val="CB50360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num w:numId="1">
    <w:abstractNumId w:val="11"/>
  </w:num>
  <w:num w:numId="2">
    <w:abstractNumId w:val="0"/>
  </w:num>
  <w:num w:numId="3">
    <w:abstractNumId w:val="10"/>
  </w:num>
  <w:num w:numId="4">
    <w:abstractNumId w:val="1"/>
  </w:num>
  <w:num w:numId="5">
    <w:abstractNumId w:val="6"/>
  </w:num>
  <w:num w:numId="6">
    <w:abstractNumId w:val="3"/>
  </w:num>
  <w:num w:numId="7">
    <w:abstractNumId w:val="7"/>
  </w:num>
  <w:num w:numId="8">
    <w:abstractNumId w:val="4"/>
  </w:num>
  <w:num w:numId="9">
    <w:abstractNumId w:val="8"/>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C24"/>
    <w:rsid w:val="000571D1"/>
    <w:rsid w:val="000851EF"/>
    <w:rsid w:val="00087FB2"/>
    <w:rsid w:val="000E0023"/>
    <w:rsid w:val="000E5116"/>
    <w:rsid w:val="00196CEE"/>
    <w:rsid w:val="001F4769"/>
    <w:rsid w:val="00265C13"/>
    <w:rsid w:val="002F230C"/>
    <w:rsid w:val="00304023"/>
    <w:rsid w:val="00356F76"/>
    <w:rsid w:val="00366C24"/>
    <w:rsid w:val="003B32C1"/>
    <w:rsid w:val="00440E81"/>
    <w:rsid w:val="00466DEC"/>
    <w:rsid w:val="004B2E1F"/>
    <w:rsid w:val="004C6A45"/>
    <w:rsid w:val="00583D70"/>
    <w:rsid w:val="005C46E6"/>
    <w:rsid w:val="005D14B3"/>
    <w:rsid w:val="006242F9"/>
    <w:rsid w:val="00675ED5"/>
    <w:rsid w:val="006F2017"/>
    <w:rsid w:val="007535A3"/>
    <w:rsid w:val="007A551E"/>
    <w:rsid w:val="007B3071"/>
    <w:rsid w:val="00804D80"/>
    <w:rsid w:val="00823EA6"/>
    <w:rsid w:val="008B1CF1"/>
    <w:rsid w:val="009D633C"/>
    <w:rsid w:val="00A62FD7"/>
    <w:rsid w:val="00A97723"/>
    <w:rsid w:val="00B34291"/>
    <w:rsid w:val="00B36A76"/>
    <w:rsid w:val="00B757FA"/>
    <w:rsid w:val="00C20811"/>
    <w:rsid w:val="00C90707"/>
    <w:rsid w:val="00CD1C0A"/>
    <w:rsid w:val="00CF469C"/>
    <w:rsid w:val="00D200F6"/>
    <w:rsid w:val="00D254E6"/>
    <w:rsid w:val="00D309A3"/>
    <w:rsid w:val="00D7109A"/>
    <w:rsid w:val="00E30ED0"/>
    <w:rsid w:val="00E312D1"/>
    <w:rsid w:val="00E70FC2"/>
    <w:rsid w:val="00EA3123"/>
    <w:rsid w:val="00EF2720"/>
    <w:rsid w:val="00F361A8"/>
    <w:rsid w:val="00F4306C"/>
    <w:rsid w:val="00F52327"/>
    <w:rsid w:val="00F65E5F"/>
    <w:rsid w:val="00FE0E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EAEE87"/>
  <w15:docId w15:val="{DC393833-E4EE-4243-9E38-F38DA5CA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yperlink" Target="http://www.gpo.gov/fdsys/pkg/CFR-2014-title5-vol3/pdf/CFR-2014-title5-vol3-sec1320-9.pdf" TargetMode="External" /><Relationship Id="rId8" Type="http://schemas.openxmlformats.org/officeDocument/2006/relationships/hyperlink" Target="http://www.gpo.gov/fdsys/pkg/CFR-2014-title5-vol3/pdf/CFR-2014-title5-vol3-sec1320-8.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8DA560-19AF-4FF2-BF9E-51F60796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2014</Words>
  <Characters>11482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Paper pusher 655321</dc:creator>
  <cp:lastModifiedBy>Adrienne.Thomas</cp:lastModifiedBy>
  <cp:revision>3</cp:revision>
  <dcterms:created xsi:type="dcterms:W3CDTF">2024-09-10T18:00:00Z</dcterms:created>
  <dcterms:modified xsi:type="dcterms:W3CDTF">2024-09-10T18:02:00Z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