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2BE6" w:rsidP="00FA2BE6" w14:paraId="03FB00D7" w14:textId="70654DE3">
      <w:pPr>
        <w:pStyle w:val="NormalWeb"/>
        <w:spacing w:before="0" w:beforeAutospacing="0" w:after="0" w:afterAutospacing="0"/>
        <w:ind w:left="360"/>
        <w:jc w:val="center"/>
      </w:pPr>
      <w:r>
        <w:rPr>
          <w:b/>
          <w:bCs/>
          <w:color w:val="000000"/>
        </w:rPr>
        <w:t>SUPPORTING STATEMENT</w:t>
      </w:r>
    </w:p>
    <w:p w:rsidR="00FA2BE6" w:rsidP="00FA2BE6" w14:paraId="4F5BE297" w14:textId="77777777">
      <w:pPr>
        <w:pStyle w:val="NormalWeb"/>
        <w:spacing w:before="0" w:beforeAutospacing="0" w:after="0" w:afterAutospacing="0"/>
        <w:ind w:left="360"/>
        <w:jc w:val="center"/>
      </w:pPr>
      <w:r>
        <w:rPr>
          <w:b/>
          <w:bCs/>
          <w:color w:val="000000"/>
        </w:rPr>
        <w:t>U.S. Department of Commerce</w:t>
      </w:r>
    </w:p>
    <w:p w:rsidR="00FA2BE6" w:rsidP="00FA2BE6" w14:paraId="13109453" w14:textId="77777777">
      <w:pPr>
        <w:pStyle w:val="NormalWeb"/>
        <w:spacing w:before="0" w:beforeAutospacing="0" w:after="0" w:afterAutospacing="0"/>
        <w:ind w:left="360"/>
        <w:jc w:val="center"/>
      </w:pPr>
      <w:r>
        <w:rPr>
          <w:b/>
          <w:bCs/>
          <w:color w:val="000000"/>
        </w:rPr>
        <w:t>National Oceanic and Atmospheric Administration</w:t>
      </w:r>
    </w:p>
    <w:p w:rsidR="00FA2BE6" w:rsidP="00FA2BE6" w14:paraId="7E16E2FB" w14:textId="77777777">
      <w:pPr>
        <w:pStyle w:val="NormalWeb"/>
        <w:spacing w:before="0" w:beforeAutospacing="0" w:after="0" w:afterAutospacing="0"/>
        <w:ind w:left="360"/>
        <w:jc w:val="center"/>
      </w:pPr>
      <w:r>
        <w:rPr>
          <w:b/>
          <w:bCs/>
          <w:color w:val="000000"/>
        </w:rPr>
        <w:t>Alaska Mariculture Economic Benchmark Survey</w:t>
      </w:r>
    </w:p>
    <w:p w:rsidR="00FA2BE6" w:rsidP="00FA2BE6" w14:paraId="4F0EA52D" w14:textId="33A48F35">
      <w:pPr>
        <w:pStyle w:val="NormalWeb"/>
        <w:spacing w:before="0" w:beforeAutospacing="0" w:after="160" w:afterAutospacing="0"/>
        <w:ind w:left="360"/>
        <w:jc w:val="center"/>
        <w:rPr>
          <w:b/>
          <w:bCs/>
          <w:color w:val="000000"/>
        </w:rPr>
      </w:pPr>
      <w:r>
        <w:rPr>
          <w:b/>
          <w:bCs/>
          <w:color w:val="000000"/>
        </w:rPr>
        <w:t>OMB Control Number 0648-</w:t>
      </w:r>
      <w:r w:rsidR="00EF3EC3">
        <w:rPr>
          <w:b/>
          <w:bCs/>
          <w:color w:val="000000"/>
        </w:rPr>
        <w:t>XXXX</w:t>
      </w:r>
    </w:p>
    <w:p w:rsidR="00FA2BE6" w:rsidP="00FA2BE6" w14:paraId="7FE3A20F" w14:textId="77777777">
      <w:pPr>
        <w:pStyle w:val="NormalWeb"/>
        <w:spacing w:before="0" w:beforeAutospacing="0" w:after="160" w:afterAutospacing="0"/>
        <w:ind w:left="360"/>
        <w:jc w:val="center"/>
      </w:pPr>
    </w:p>
    <w:p w:rsidR="00FA2BE6" w:rsidP="000B51FC" w14:paraId="5ACD1D2C" w14:textId="77777777">
      <w:pPr>
        <w:pStyle w:val="NormalWeb"/>
        <w:spacing w:before="0" w:beforeAutospacing="0" w:after="160" w:afterAutospacing="0"/>
        <w:rPr>
          <w:b/>
        </w:rPr>
      </w:pPr>
      <w:r>
        <w:rPr>
          <w:b/>
        </w:rPr>
        <w:t>Abstract:</w:t>
      </w:r>
    </w:p>
    <w:p w:rsidR="00FA2BE6" w:rsidRPr="00FA2BE6" w:rsidP="000B51FC" w14:paraId="09E50744" w14:textId="77777777">
      <w:pPr>
        <w:pStyle w:val="NormalWeb"/>
        <w:spacing w:before="0" w:beforeAutospacing="0" w:after="240" w:afterAutospacing="0"/>
      </w:pPr>
      <w:r>
        <w:t>This is a request for a new collection of information.</w:t>
      </w:r>
    </w:p>
    <w:p w:rsidR="000B0DC4" w:rsidRPr="00212AD8" w:rsidP="000B51FC" w14:paraId="32546CDB" w14:textId="77777777">
      <w:pPr>
        <w:pStyle w:val="ListParagraph"/>
        <w:numPr>
          <w:ilvl w:val="0"/>
          <w:numId w:val="1"/>
        </w:numPr>
        <w:ind w:left="0" w:hanging="720"/>
        <w:jc w:val="both"/>
        <w:rPr>
          <w:b/>
          <w:sz w:val="24"/>
          <w:szCs w:val="24"/>
        </w:rPr>
      </w:pPr>
      <w:r w:rsidRPr="00212AD8">
        <w:rPr>
          <w:b/>
          <w:sz w:val="24"/>
          <w:szCs w:val="24"/>
        </w:rPr>
        <w:t xml:space="preserve">Explain the </w:t>
      </w:r>
      <w:r w:rsidRPr="00212AD8">
        <w:rPr>
          <w:b/>
          <w:sz w:val="24"/>
          <w:szCs w:val="24"/>
        </w:rPr>
        <w:t>circumstances that make the collection of information necessary. Identify any legal or administrative requirements that necessitate the collection. Attach a copy of the appropriate section of each statute and regulation mandating or authorizing the collect</w:t>
      </w:r>
      <w:r w:rsidRPr="00212AD8">
        <w:rPr>
          <w:b/>
          <w:sz w:val="24"/>
          <w:szCs w:val="24"/>
        </w:rPr>
        <w:t>ion of information.</w:t>
      </w:r>
    </w:p>
    <w:p w:rsidR="000B0DC4" w:rsidRPr="004F1CBD" w:rsidP="000B51FC" w14:paraId="6BE0ED64" w14:textId="77777777">
      <w:pPr>
        <w:pStyle w:val="ListParagraph"/>
        <w:ind w:left="0"/>
        <w:jc w:val="both"/>
        <w:rPr>
          <w:sz w:val="21"/>
          <w:szCs w:val="21"/>
        </w:rPr>
      </w:pPr>
      <w:r w:rsidRPr="00212AD8">
        <w:rPr>
          <w:b/>
          <w:sz w:val="24"/>
          <w:szCs w:val="24"/>
        </w:rPr>
        <w:t xml:space="preserve"> </w:t>
      </w:r>
    </w:p>
    <w:p w:rsidR="009322DF" w:rsidP="000B51FC" w14:paraId="7B2E03B4" w14:textId="3BC532BC">
      <w:pPr>
        <w:pStyle w:val="ListParagraph"/>
        <w:ind w:left="0"/>
        <w:jc w:val="both"/>
        <w:rPr>
          <w:sz w:val="24"/>
          <w:szCs w:val="24"/>
        </w:rPr>
      </w:pPr>
      <w:r w:rsidRPr="00212AD8">
        <w:rPr>
          <w:sz w:val="24"/>
          <w:szCs w:val="24"/>
        </w:rPr>
        <w:t xml:space="preserve">Alaska was recently named an Aquaculture Opportunity Area (AOA) </w:t>
      </w:r>
      <w:r w:rsidR="00935062">
        <w:rPr>
          <w:sz w:val="24"/>
          <w:szCs w:val="24"/>
        </w:rPr>
        <w:t>by the</w:t>
      </w:r>
      <w:r w:rsidRPr="00212AD8">
        <w:rPr>
          <w:sz w:val="24"/>
          <w:szCs w:val="24"/>
        </w:rPr>
        <w:t xml:space="preserve"> N</w:t>
      </w:r>
      <w:r w:rsidR="00935062">
        <w:rPr>
          <w:sz w:val="24"/>
          <w:szCs w:val="24"/>
        </w:rPr>
        <w:t xml:space="preserve">ational </w:t>
      </w:r>
      <w:r w:rsidRPr="00212AD8">
        <w:rPr>
          <w:sz w:val="24"/>
          <w:szCs w:val="24"/>
        </w:rPr>
        <w:t>O</w:t>
      </w:r>
      <w:r w:rsidR="00935062">
        <w:rPr>
          <w:sz w:val="24"/>
          <w:szCs w:val="24"/>
        </w:rPr>
        <w:t xml:space="preserve">ceanic and </w:t>
      </w:r>
      <w:r w:rsidRPr="00212AD8">
        <w:rPr>
          <w:sz w:val="24"/>
          <w:szCs w:val="24"/>
        </w:rPr>
        <w:t>A</w:t>
      </w:r>
      <w:r w:rsidR="00935062">
        <w:rPr>
          <w:sz w:val="24"/>
          <w:szCs w:val="24"/>
        </w:rPr>
        <w:t xml:space="preserve">tmospheric </w:t>
      </w:r>
      <w:r w:rsidRPr="00212AD8">
        <w:rPr>
          <w:sz w:val="24"/>
          <w:szCs w:val="24"/>
        </w:rPr>
        <w:t>A</w:t>
      </w:r>
      <w:r w:rsidR="00935062">
        <w:rPr>
          <w:sz w:val="24"/>
          <w:szCs w:val="24"/>
        </w:rPr>
        <w:t>dministration</w:t>
      </w:r>
      <w:r w:rsidRPr="00212AD8">
        <w:rPr>
          <w:sz w:val="24"/>
          <w:szCs w:val="24"/>
        </w:rPr>
        <w:t xml:space="preserve"> to determine geographic areas that are environmentally, socially, and economically suitable to support commercial </w:t>
      </w:r>
      <w:r w:rsidR="00935062">
        <w:rPr>
          <w:sz w:val="24"/>
          <w:szCs w:val="24"/>
        </w:rPr>
        <w:t>aqua</w:t>
      </w:r>
      <w:r w:rsidRPr="00212AD8">
        <w:rPr>
          <w:sz w:val="24"/>
          <w:szCs w:val="24"/>
        </w:rPr>
        <w:t>culture</w:t>
      </w:r>
      <w:r w:rsidR="00935062">
        <w:rPr>
          <w:sz w:val="24"/>
          <w:szCs w:val="24"/>
        </w:rPr>
        <w:t xml:space="preserve"> (mariculture)</w:t>
      </w:r>
      <w:r w:rsidRPr="00212AD8">
        <w:rPr>
          <w:sz w:val="24"/>
          <w:szCs w:val="24"/>
        </w:rPr>
        <w:t xml:space="preserve"> operations. </w:t>
      </w:r>
      <w:r>
        <w:rPr>
          <w:sz w:val="24"/>
          <w:szCs w:val="24"/>
        </w:rPr>
        <w:t>This</w:t>
      </w:r>
      <w:r w:rsidRPr="00212AD8">
        <w:rPr>
          <w:sz w:val="24"/>
          <w:szCs w:val="24"/>
        </w:rPr>
        <w:t xml:space="preserve"> </w:t>
      </w:r>
      <w:r w:rsidR="007F2519">
        <w:rPr>
          <w:sz w:val="24"/>
          <w:szCs w:val="24"/>
        </w:rPr>
        <w:t>data</w:t>
      </w:r>
      <w:r w:rsidRPr="00212AD8">
        <w:rPr>
          <w:sz w:val="24"/>
          <w:szCs w:val="24"/>
        </w:rPr>
        <w:t xml:space="preserve"> collection is</w:t>
      </w:r>
      <w:r>
        <w:rPr>
          <w:sz w:val="24"/>
          <w:szCs w:val="24"/>
        </w:rPr>
        <w:t xml:space="preserve"> necessary to support the economic data and analysis needs of the AOA initiative. The primary deliverable of this data collection is to </w:t>
      </w:r>
      <w:r w:rsidRPr="00212AD8">
        <w:rPr>
          <w:sz w:val="24"/>
          <w:szCs w:val="24"/>
        </w:rPr>
        <w:t xml:space="preserve">establish a </w:t>
      </w:r>
      <w:r>
        <w:rPr>
          <w:sz w:val="24"/>
          <w:szCs w:val="24"/>
        </w:rPr>
        <w:t>benchmark</w:t>
      </w:r>
      <w:r w:rsidRPr="00212AD8">
        <w:rPr>
          <w:sz w:val="24"/>
          <w:szCs w:val="24"/>
        </w:rPr>
        <w:t xml:space="preserve"> economic report that presents economic</w:t>
      </w:r>
      <w:r>
        <w:rPr>
          <w:sz w:val="24"/>
          <w:szCs w:val="24"/>
        </w:rPr>
        <w:t xml:space="preserve"> and financial</w:t>
      </w:r>
      <w:r w:rsidRPr="00212AD8">
        <w:rPr>
          <w:sz w:val="24"/>
          <w:szCs w:val="24"/>
        </w:rPr>
        <w:t xml:space="preserve"> measures (profitability, breakeven price</w:t>
      </w:r>
      <w:r>
        <w:rPr>
          <w:sz w:val="24"/>
          <w:szCs w:val="24"/>
        </w:rPr>
        <w:t xml:space="preserve"> and quantity</w:t>
      </w:r>
      <w:r w:rsidRPr="00212AD8">
        <w:rPr>
          <w:sz w:val="24"/>
          <w:szCs w:val="24"/>
        </w:rPr>
        <w:t>, etc.) and operations (average stocking density, kelp line depth and separation, etc.) spatially</w:t>
      </w:r>
      <w:r>
        <w:rPr>
          <w:sz w:val="24"/>
          <w:szCs w:val="24"/>
        </w:rPr>
        <w:t xml:space="preserve"> by </w:t>
      </w:r>
      <w:r w:rsidR="00935062">
        <w:rPr>
          <w:sz w:val="24"/>
          <w:szCs w:val="24"/>
        </w:rPr>
        <w:t>collect</w:t>
      </w:r>
      <w:r>
        <w:rPr>
          <w:sz w:val="24"/>
          <w:szCs w:val="24"/>
        </w:rPr>
        <w:t>ing</w:t>
      </w:r>
      <w:r w:rsidRPr="00212AD8">
        <w:rPr>
          <w:sz w:val="24"/>
          <w:szCs w:val="24"/>
        </w:rPr>
        <w:t xml:space="preserve"> economic data from current growers that hold an Aquatic Farm</w:t>
      </w:r>
      <w:r w:rsidR="00935062">
        <w:rPr>
          <w:sz w:val="24"/>
          <w:szCs w:val="24"/>
        </w:rPr>
        <w:t xml:space="preserve"> Operation</w:t>
      </w:r>
      <w:r w:rsidRPr="00212AD8">
        <w:rPr>
          <w:sz w:val="24"/>
          <w:szCs w:val="24"/>
        </w:rPr>
        <w:t xml:space="preserve"> permi</w:t>
      </w:r>
      <w:r w:rsidRPr="00212AD8">
        <w:rPr>
          <w:sz w:val="24"/>
          <w:szCs w:val="24"/>
        </w:rPr>
        <w:t xml:space="preserve">t under the Alaska Department of Fish &amp; Game to. </w:t>
      </w:r>
      <w:r w:rsidRPr="00212AD8" w:rsidR="001B2277">
        <w:rPr>
          <w:sz w:val="24"/>
          <w:szCs w:val="24"/>
        </w:rPr>
        <w:t>This is private information and, to our knowledge, has not been collected by another state or federal governmental agency</w:t>
      </w:r>
      <w:r w:rsidR="00935062">
        <w:rPr>
          <w:sz w:val="24"/>
          <w:szCs w:val="24"/>
        </w:rPr>
        <w:t xml:space="preserve"> in this level of detail</w:t>
      </w:r>
      <w:r w:rsidRPr="00212AD8" w:rsidR="001B2277">
        <w:rPr>
          <w:sz w:val="24"/>
          <w:szCs w:val="24"/>
        </w:rPr>
        <w:t>.</w:t>
      </w:r>
      <w:r w:rsidR="00935062">
        <w:rPr>
          <w:sz w:val="24"/>
          <w:szCs w:val="24"/>
        </w:rPr>
        <w:t xml:space="preserve"> </w:t>
      </w:r>
      <w:r w:rsidRPr="00212AD8" w:rsidR="001B2277">
        <w:rPr>
          <w:sz w:val="24"/>
          <w:szCs w:val="24"/>
        </w:rPr>
        <w:t xml:space="preserve"> </w:t>
      </w:r>
    </w:p>
    <w:p w:rsidR="009322DF" w:rsidRPr="009322DF" w:rsidP="000B51FC" w14:paraId="4E74603B" w14:textId="77777777">
      <w:pPr>
        <w:pStyle w:val="ListParagraph"/>
        <w:ind w:left="0"/>
        <w:jc w:val="both"/>
        <w:rPr>
          <w:sz w:val="24"/>
          <w:szCs w:val="24"/>
        </w:rPr>
      </w:pPr>
    </w:p>
    <w:p w:rsidR="009322DF" w:rsidRPr="009322DF" w:rsidP="000B51FC" w14:paraId="48D829C6" w14:textId="76464FE4">
      <w:pPr>
        <w:pStyle w:val="ListParagraph"/>
        <w:ind w:left="0"/>
        <w:jc w:val="both"/>
        <w:rPr>
          <w:sz w:val="24"/>
          <w:szCs w:val="24"/>
        </w:rPr>
      </w:pPr>
      <w:r>
        <w:rPr>
          <w:sz w:val="24"/>
          <w:szCs w:val="24"/>
        </w:rPr>
        <w:t xml:space="preserve">Our secondary deliverable </w:t>
      </w:r>
      <w:r w:rsidRPr="00212AD8" w:rsidR="004B5726">
        <w:rPr>
          <w:sz w:val="24"/>
          <w:szCs w:val="24"/>
        </w:rPr>
        <w:t xml:space="preserve">will use the information provided </w:t>
      </w:r>
      <w:r>
        <w:rPr>
          <w:sz w:val="24"/>
          <w:szCs w:val="24"/>
        </w:rPr>
        <w:t>from</w:t>
      </w:r>
      <w:r w:rsidRPr="00212AD8" w:rsidR="004B5726">
        <w:rPr>
          <w:sz w:val="24"/>
          <w:szCs w:val="24"/>
        </w:rPr>
        <w:t xml:space="preserve"> the </w:t>
      </w:r>
      <w:r>
        <w:rPr>
          <w:sz w:val="24"/>
          <w:szCs w:val="24"/>
        </w:rPr>
        <w:t>data collection</w:t>
      </w:r>
      <w:r w:rsidRPr="00212AD8" w:rsidR="004B5726">
        <w:rPr>
          <w:sz w:val="24"/>
          <w:szCs w:val="24"/>
        </w:rPr>
        <w:t xml:space="preserve"> to generate a </w:t>
      </w:r>
      <w:r w:rsidRPr="00212AD8" w:rsidR="0067574D">
        <w:rPr>
          <w:sz w:val="24"/>
          <w:szCs w:val="24"/>
        </w:rPr>
        <w:t>bioeconomic</w:t>
      </w:r>
      <w:r w:rsidRPr="00212AD8" w:rsidR="004B5726">
        <w:rPr>
          <w:sz w:val="24"/>
          <w:szCs w:val="24"/>
        </w:rPr>
        <w:t xml:space="preserve"> model that can be simulated under various financial and environmental </w:t>
      </w:r>
      <w:r>
        <w:rPr>
          <w:sz w:val="24"/>
          <w:szCs w:val="24"/>
        </w:rPr>
        <w:t xml:space="preserve">risk </w:t>
      </w:r>
      <w:r w:rsidRPr="00212AD8" w:rsidR="004B5726">
        <w:rPr>
          <w:sz w:val="24"/>
          <w:szCs w:val="24"/>
        </w:rPr>
        <w:t>scenarios</w:t>
      </w:r>
      <w:r>
        <w:rPr>
          <w:sz w:val="24"/>
          <w:szCs w:val="24"/>
        </w:rPr>
        <w:t xml:space="preserve"> illustrating the spatial risk of mariculture farms in Alaska</w:t>
      </w:r>
      <w:r w:rsidRPr="00212AD8" w:rsidR="004B5726">
        <w:rPr>
          <w:sz w:val="24"/>
          <w:szCs w:val="24"/>
        </w:rPr>
        <w:t xml:space="preserve">. Examples of financial and environmental scenarios include the impact to profitability from subsidies for reductions in seed costs, price floors, and reduced transportation costs from a new production facility and impact to growth and mortality rates from increasing surface water temperatures, dissolved oxygen (DO), and other water parameters and other environmental events such as harmful algae blooms (HAB) or severe storms. </w:t>
      </w:r>
      <w:r w:rsidRPr="009322DF">
        <w:rPr>
          <w:sz w:val="24"/>
          <w:szCs w:val="24"/>
        </w:rPr>
        <w:t>Additionally, stakeholders (current and prospective growers) are requesting economic information to help sec</w:t>
      </w:r>
      <w:r w:rsidRPr="009322DF">
        <w:rPr>
          <w:sz w:val="24"/>
          <w:szCs w:val="24"/>
        </w:rPr>
        <w:t>ure small business loans to establish new growing operations and expand current production and describe the economics of opening and operating a mariculture farm in Alaska</w:t>
      </w:r>
      <w:r>
        <w:rPr>
          <w:sz w:val="24"/>
          <w:szCs w:val="24"/>
        </w:rPr>
        <w:t>, which will be provided in the benchmark report and the bioeconomic model simulation</w:t>
      </w:r>
      <w:r>
        <w:rPr>
          <w:sz w:val="24"/>
          <w:szCs w:val="24"/>
        </w:rPr>
        <w:t>s</w:t>
      </w:r>
      <w:r w:rsidRPr="009322DF">
        <w:rPr>
          <w:sz w:val="24"/>
          <w:szCs w:val="24"/>
        </w:rPr>
        <w:t xml:space="preserve">. </w:t>
      </w:r>
    </w:p>
    <w:p w:rsidR="00BD7A22" w:rsidRPr="00212AD8" w:rsidP="000B51FC" w14:paraId="2F4480D1" w14:textId="27C76DEB">
      <w:pPr>
        <w:pStyle w:val="ListParagraph"/>
        <w:ind w:left="0"/>
        <w:jc w:val="both"/>
        <w:rPr>
          <w:sz w:val="24"/>
          <w:szCs w:val="24"/>
        </w:rPr>
      </w:pPr>
    </w:p>
    <w:p w:rsidR="00BD7A22" w:rsidRPr="00212AD8" w:rsidP="000B51FC" w14:paraId="720E907D" w14:textId="77777777">
      <w:pPr>
        <w:pStyle w:val="ListParagraph"/>
        <w:ind w:left="0"/>
        <w:rPr>
          <w:sz w:val="24"/>
          <w:szCs w:val="24"/>
        </w:rPr>
      </w:pPr>
    </w:p>
    <w:p w:rsidR="000B0DC4" w:rsidRPr="00212AD8" w:rsidP="000B51FC" w14:paraId="33C9FEF3" w14:textId="77777777">
      <w:pPr>
        <w:pStyle w:val="ListParagraph"/>
        <w:numPr>
          <w:ilvl w:val="0"/>
          <w:numId w:val="1"/>
        </w:numPr>
        <w:ind w:left="0" w:hanging="720"/>
        <w:jc w:val="both"/>
        <w:rPr>
          <w:b/>
          <w:sz w:val="24"/>
          <w:szCs w:val="24"/>
        </w:rPr>
      </w:pPr>
      <w:r w:rsidRPr="00212AD8">
        <w:rPr>
          <w:b/>
          <w:sz w:val="24"/>
          <w:szCs w:val="24"/>
        </w:rPr>
        <w:t>Indicate how, by whom, and for what purpose the information is to be used. Except for a new collection, indicate the actual use the agency has made of the information received from the current collection.</w:t>
      </w:r>
    </w:p>
    <w:p w:rsidR="000B0DC4" w:rsidRPr="004F1CBD" w:rsidP="000B51FC" w14:paraId="67468D90" w14:textId="77777777">
      <w:pPr>
        <w:pStyle w:val="ListParagraph"/>
        <w:ind w:left="0"/>
        <w:jc w:val="both"/>
        <w:rPr>
          <w:sz w:val="21"/>
          <w:szCs w:val="21"/>
        </w:rPr>
      </w:pPr>
    </w:p>
    <w:p w:rsidR="00F94EC9" w:rsidP="000B51FC" w14:paraId="18B1ACA0" w14:textId="0D7A562C">
      <w:pPr>
        <w:pStyle w:val="ListParagraph"/>
        <w:ind w:left="0"/>
        <w:jc w:val="both"/>
        <w:rPr>
          <w:sz w:val="24"/>
          <w:szCs w:val="24"/>
        </w:rPr>
      </w:pPr>
      <w:r w:rsidRPr="00212AD8">
        <w:rPr>
          <w:sz w:val="24"/>
          <w:szCs w:val="24"/>
        </w:rPr>
        <w:t>The data collected from this survey</w:t>
      </w:r>
      <w:r w:rsidRPr="00212AD8" w:rsidR="009005FF">
        <w:rPr>
          <w:sz w:val="24"/>
          <w:szCs w:val="24"/>
        </w:rPr>
        <w:t xml:space="preserve"> will be used by NOAA economists to </w:t>
      </w:r>
      <w:r w:rsidRPr="00212AD8" w:rsidR="003E66C6">
        <w:rPr>
          <w:sz w:val="24"/>
          <w:szCs w:val="24"/>
        </w:rPr>
        <w:t>generate a</w:t>
      </w:r>
      <w:r w:rsidR="00303738">
        <w:rPr>
          <w:sz w:val="24"/>
          <w:szCs w:val="24"/>
        </w:rPr>
        <w:t>n external</w:t>
      </w:r>
      <w:r w:rsidRPr="00212AD8" w:rsidR="003E66C6">
        <w:rPr>
          <w:sz w:val="24"/>
          <w:szCs w:val="24"/>
        </w:rPr>
        <w:t xml:space="preserve"> benchmark report that </w:t>
      </w:r>
      <w:r w:rsidRPr="00212AD8" w:rsidR="00E7199D">
        <w:rPr>
          <w:sz w:val="24"/>
          <w:szCs w:val="24"/>
        </w:rPr>
        <w:t>states spatial economic</w:t>
      </w:r>
      <w:r w:rsidRPr="00212AD8" w:rsidR="003E66C6">
        <w:rPr>
          <w:sz w:val="24"/>
          <w:szCs w:val="24"/>
        </w:rPr>
        <w:t xml:space="preserve"> information</w:t>
      </w:r>
      <w:r w:rsidR="006A07E3">
        <w:rPr>
          <w:sz w:val="24"/>
          <w:szCs w:val="24"/>
        </w:rPr>
        <w:t xml:space="preserve"> and </w:t>
      </w:r>
      <w:r w:rsidRPr="00212AD8" w:rsidR="006A07E3">
        <w:rPr>
          <w:sz w:val="24"/>
          <w:szCs w:val="24"/>
        </w:rPr>
        <w:t>publications on the financial and environmental risks</w:t>
      </w:r>
      <w:r w:rsidR="006A07E3">
        <w:rPr>
          <w:sz w:val="24"/>
          <w:szCs w:val="24"/>
        </w:rPr>
        <w:t xml:space="preserve"> associated with mariculture farms in Alaska and</w:t>
      </w:r>
      <w:r w:rsidRPr="00212AD8" w:rsidR="00E7199D">
        <w:rPr>
          <w:sz w:val="24"/>
          <w:szCs w:val="24"/>
        </w:rPr>
        <w:t xml:space="preserve"> internal reports on the spatial economic suitability of an Alaskan mariculture operation</w:t>
      </w:r>
      <w:r w:rsidRPr="00212AD8" w:rsidR="003E66C6">
        <w:rPr>
          <w:sz w:val="24"/>
          <w:szCs w:val="24"/>
        </w:rPr>
        <w:t>. Th</w:t>
      </w:r>
      <w:r w:rsidRPr="00212AD8" w:rsidR="00E7199D">
        <w:rPr>
          <w:sz w:val="24"/>
          <w:szCs w:val="24"/>
        </w:rPr>
        <w:t>ese</w:t>
      </w:r>
      <w:r w:rsidRPr="00212AD8" w:rsidR="003E66C6">
        <w:rPr>
          <w:sz w:val="24"/>
          <w:szCs w:val="24"/>
        </w:rPr>
        <w:t xml:space="preserve"> report</w:t>
      </w:r>
      <w:r w:rsidRPr="00212AD8" w:rsidR="00E7199D">
        <w:rPr>
          <w:sz w:val="24"/>
          <w:szCs w:val="24"/>
        </w:rPr>
        <w:t>s</w:t>
      </w:r>
      <w:r w:rsidRPr="00212AD8" w:rsidR="003E66C6">
        <w:rPr>
          <w:sz w:val="24"/>
          <w:szCs w:val="24"/>
        </w:rPr>
        <w:t xml:space="preserve"> will be published on NOAA’s website and be publicly accessible</w:t>
      </w:r>
      <w:r w:rsidRPr="00212AD8" w:rsidR="00E7199D">
        <w:rPr>
          <w:sz w:val="24"/>
          <w:szCs w:val="24"/>
        </w:rPr>
        <w:t xml:space="preserve"> for stakeholders, researchers, and other members of the public</w:t>
      </w:r>
    </w:p>
    <w:p w:rsidR="00E82066" w:rsidRPr="004F1CBD" w:rsidP="000B51FC" w14:paraId="73382B65" w14:textId="77777777">
      <w:pPr>
        <w:pStyle w:val="ListParagraph"/>
        <w:ind w:left="0"/>
        <w:jc w:val="both"/>
        <w:rPr>
          <w:sz w:val="21"/>
          <w:szCs w:val="21"/>
        </w:rPr>
      </w:pPr>
    </w:p>
    <w:p w:rsidR="000B0DC4" w:rsidRPr="00212AD8" w:rsidP="000B51FC" w14:paraId="4CE5C783" w14:textId="77777777">
      <w:pPr>
        <w:pStyle w:val="ListParagraph"/>
        <w:numPr>
          <w:ilvl w:val="0"/>
          <w:numId w:val="1"/>
        </w:numPr>
        <w:ind w:left="0" w:hanging="720"/>
        <w:jc w:val="both"/>
        <w:rPr>
          <w:b/>
          <w:sz w:val="24"/>
          <w:szCs w:val="24"/>
        </w:rPr>
      </w:pPr>
      <w:r w:rsidRPr="00212AD8">
        <w:rPr>
          <w:b/>
          <w:sz w:val="24"/>
          <w:szCs w:val="24"/>
        </w:rPr>
        <w:t>Describe whether, and to</w:t>
      </w:r>
      <w:r w:rsidRPr="00212AD8">
        <w:rPr>
          <w:b/>
          <w:sz w:val="24"/>
          <w:szCs w:val="24"/>
        </w:rPr>
        <w:t xml:space="preserve"> what extent, the collection of information involves the use of automated, electronic, mechanical, or other technological collection techniques or other forms of information technology, e.g., permitting electronic submission of responses, and the basis for</w:t>
      </w:r>
      <w:r w:rsidRPr="00212AD8">
        <w:rPr>
          <w:b/>
          <w:sz w:val="24"/>
          <w:szCs w:val="24"/>
        </w:rPr>
        <w:t xml:space="preserve"> the decision for adopting this means of collection. Also describe any consideration of using information technology to reduce burden.</w:t>
      </w:r>
    </w:p>
    <w:p w:rsidR="000B0DC4" w:rsidRPr="004F1CBD" w:rsidP="000B51FC" w14:paraId="2623D62A" w14:textId="77777777">
      <w:pPr>
        <w:pStyle w:val="ListParagraph"/>
        <w:ind w:left="0"/>
        <w:jc w:val="both"/>
        <w:rPr>
          <w:sz w:val="21"/>
          <w:szCs w:val="21"/>
        </w:rPr>
      </w:pPr>
    </w:p>
    <w:p w:rsidR="003E66C6" w:rsidRPr="00212AD8" w:rsidP="000B51FC" w14:paraId="47DBE079" w14:textId="1638D2BD">
      <w:pPr>
        <w:pStyle w:val="ListParagraph"/>
        <w:ind w:left="0"/>
        <w:jc w:val="both"/>
        <w:rPr>
          <w:sz w:val="24"/>
          <w:szCs w:val="24"/>
        </w:rPr>
      </w:pPr>
      <w:r w:rsidRPr="00212AD8">
        <w:rPr>
          <w:sz w:val="24"/>
          <w:szCs w:val="24"/>
        </w:rPr>
        <w:t xml:space="preserve">This survey will be distributed </w:t>
      </w:r>
      <w:r w:rsidRPr="00212AD8" w:rsidR="00D71006">
        <w:rPr>
          <w:sz w:val="24"/>
          <w:szCs w:val="24"/>
        </w:rPr>
        <w:t>on</w:t>
      </w:r>
      <w:r w:rsidRPr="00212AD8" w:rsidR="0067574D">
        <w:rPr>
          <w:sz w:val="24"/>
          <w:szCs w:val="24"/>
        </w:rPr>
        <w:t xml:space="preserve"> via mail</w:t>
      </w:r>
      <w:r w:rsidRPr="00212AD8" w:rsidR="00D71006">
        <w:rPr>
          <w:sz w:val="24"/>
          <w:szCs w:val="24"/>
        </w:rPr>
        <w:t xml:space="preserve">. </w:t>
      </w:r>
      <w:r w:rsidRPr="00212AD8" w:rsidR="0067574D">
        <w:rPr>
          <w:sz w:val="24"/>
          <w:szCs w:val="24"/>
        </w:rPr>
        <w:t xml:space="preserve">Many Alaskan mariculture growers live in remote areas with limited internet access. To ensure that the survey reaches the </w:t>
      </w:r>
      <w:r w:rsidR="00303738">
        <w:rPr>
          <w:sz w:val="24"/>
          <w:szCs w:val="24"/>
        </w:rPr>
        <w:t xml:space="preserve">desired </w:t>
      </w:r>
      <w:r w:rsidRPr="00212AD8" w:rsidR="0067574D">
        <w:rPr>
          <w:sz w:val="24"/>
          <w:szCs w:val="24"/>
        </w:rPr>
        <w:t>population, we will use the mailing address associated with their Aquatic Farm</w:t>
      </w:r>
      <w:r w:rsidR="00303738">
        <w:rPr>
          <w:sz w:val="24"/>
          <w:szCs w:val="24"/>
        </w:rPr>
        <w:t xml:space="preserve"> Operation</w:t>
      </w:r>
      <w:r w:rsidRPr="00212AD8" w:rsidR="0067574D">
        <w:rPr>
          <w:sz w:val="24"/>
          <w:szCs w:val="24"/>
        </w:rPr>
        <w:t xml:space="preserve"> permit to deliver each paper survey. </w:t>
      </w:r>
      <w:r w:rsidRPr="00212AD8" w:rsidR="00D71006">
        <w:rPr>
          <w:sz w:val="24"/>
          <w:szCs w:val="24"/>
        </w:rPr>
        <w:t>There will be no additional automated, electronic, mechanical, or other technological collection techniques or other forms of information technology</w:t>
      </w:r>
      <w:r w:rsidR="00977F20">
        <w:rPr>
          <w:sz w:val="24"/>
          <w:szCs w:val="24"/>
        </w:rPr>
        <w:t xml:space="preserve"> used in this data collection</w:t>
      </w:r>
      <w:r w:rsidRPr="00212AD8" w:rsidR="00D71006">
        <w:rPr>
          <w:sz w:val="24"/>
          <w:szCs w:val="24"/>
        </w:rPr>
        <w:t xml:space="preserve">. </w:t>
      </w:r>
    </w:p>
    <w:p w:rsidR="00D71006" w:rsidRPr="004F1CBD" w:rsidP="000B51FC" w14:paraId="593F6C47" w14:textId="77777777">
      <w:pPr>
        <w:pStyle w:val="ListParagraph"/>
        <w:ind w:left="0"/>
        <w:rPr>
          <w:sz w:val="21"/>
          <w:szCs w:val="21"/>
        </w:rPr>
      </w:pPr>
    </w:p>
    <w:p w:rsidR="000B0DC4" w:rsidRPr="00212AD8" w:rsidP="000B51FC" w14:paraId="7129D654" w14:textId="77777777">
      <w:pPr>
        <w:pStyle w:val="ListParagraph"/>
        <w:numPr>
          <w:ilvl w:val="0"/>
          <w:numId w:val="1"/>
        </w:numPr>
        <w:ind w:left="0" w:hanging="720"/>
        <w:jc w:val="both"/>
        <w:rPr>
          <w:b/>
          <w:sz w:val="24"/>
          <w:szCs w:val="24"/>
        </w:rPr>
      </w:pPr>
      <w:r w:rsidRPr="00212AD8">
        <w:rPr>
          <w:b/>
          <w:sz w:val="24"/>
          <w:szCs w:val="24"/>
        </w:rPr>
        <w:t>Describe efforts to identify duplication. Show specifically why any similar information already available cannot be used or modified for use for the p</w:t>
      </w:r>
      <w:r w:rsidRPr="00212AD8">
        <w:rPr>
          <w:b/>
          <w:sz w:val="24"/>
          <w:szCs w:val="24"/>
        </w:rPr>
        <w:t>urposes described in Item 2 above.</w:t>
      </w:r>
    </w:p>
    <w:p w:rsidR="000B0DC4" w:rsidRPr="004F1CBD" w:rsidP="000B51FC" w14:paraId="6D103BFD" w14:textId="77777777">
      <w:pPr>
        <w:pStyle w:val="ListParagraph"/>
        <w:ind w:left="0"/>
        <w:jc w:val="both"/>
        <w:rPr>
          <w:sz w:val="21"/>
          <w:szCs w:val="21"/>
        </w:rPr>
      </w:pPr>
    </w:p>
    <w:p w:rsidR="00D71006" w:rsidRPr="00212AD8" w:rsidP="000B51FC" w14:paraId="22DA5345" w14:textId="439A50E7">
      <w:pPr>
        <w:pStyle w:val="ListParagraph"/>
        <w:ind w:left="0"/>
        <w:jc w:val="both"/>
        <w:rPr>
          <w:sz w:val="24"/>
          <w:szCs w:val="24"/>
        </w:rPr>
      </w:pPr>
      <w:r w:rsidRPr="00212AD8">
        <w:rPr>
          <w:sz w:val="24"/>
          <w:szCs w:val="24"/>
        </w:rPr>
        <w:t xml:space="preserve">To </w:t>
      </w:r>
      <w:r w:rsidRPr="00212AD8" w:rsidR="0067574D">
        <w:rPr>
          <w:sz w:val="24"/>
          <w:szCs w:val="24"/>
        </w:rPr>
        <w:t>our</w:t>
      </w:r>
      <w:r w:rsidRPr="00212AD8">
        <w:rPr>
          <w:sz w:val="24"/>
          <w:szCs w:val="24"/>
        </w:rPr>
        <w:t xml:space="preserve"> knowledge, </w:t>
      </w:r>
      <w:r w:rsidRPr="00212AD8" w:rsidR="0067574D">
        <w:rPr>
          <w:sz w:val="24"/>
          <w:szCs w:val="24"/>
        </w:rPr>
        <w:t>farm-level financial and</w:t>
      </w:r>
      <w:r w:rsidRPr="00212AD8">
        <w:rPr>
          <w:sz w:val="24"/>
          <w:szCs w:val="24"/>
        </w:rPr>
        <w:t xml:space="preserve"> operations data </w:t>
      </w:r>
      <w:r w:rsidRPr="00212AD8" w:rsidR="0067574D">
        <w:rPr>
          <w:sz w:val="24"/>
          <w:szCs w:val="24"/>
        </w:rPr>
        <w:t xml:space="preserve">has not been collected or made accessible from any other state or federal governmental agency. Estimated prices, </w:t>
      </w:r>
      <w:r w:rsidR="00604B2A">
        <w:rPr>
          <w:sz w:val="24"/>
          <w:szCs w:val="24"/>
        </w:rPr>
        <w:t xml:space="preserve">total </w:t>
      </w:r>
      <w:r w:rsidRPr="00212AD8" w:rsidR="0067574D">
        <w:rPr>
          <w:sz w:val="24"/>
          <w:szCs w:val="24"/>
        </w:rPr>
        <w:t xml:space="preserve">revenue, and </w:t>
      </w:r>
      <w:r w:rsidR="00604B2A">
        <w:rPr>
          <w:sz w:val="24"/>
          <w:szCs w:val="24"/>
        </w:rPr>
        <w:t xml:space="preserve">total </w:t>
      </w:r>
      <w:r w:rsidRPr="00212AD8" w:rsidR="0067574D">
        <w:rPr>
          <w:sz w:val="24"/>
          <w:szCs w:val="24"/>
        </w:rPr>
        <w:t>harvest data at the state-level is available from the Alaska Department of Fish &amp; Game (last collection was 2022). But the purpose of the Alaskan AOA project is to determine the spatial economic differences of mariculture operations</w:t>
      </w:r>
      <w:r w:rsidR="00303738">
        <w:rPr>
          <w:sz w:val="24"/>
          <w:szCs w:val="24"/>
        </w:rPr>
        <w:t>, including profitability, which requires more detailed cost information than has been collected in the past by other angencies</w:t>
      </w:r>
      <w:r w:rsidRPr="00212AD8" w:rsidR="0067574D">
        <w:rPr>
          <w:sz w:val="24"/>
          <w:szCs w:val="24"/>
        </w:rPr>
        <w:t>. Also, due to the geographical size of Alaska, stakeholders are requesting more granular information, and additional financial metrics, than the state-level data currently provided.</w:t>
      </w:r>
    </w:p>
    <w:p w:rsidR="00D71006" w:rsidRPr="004F1CBD" w:rsidP="000B51FC" w14:paraId="2CB9495F" w14:textId="77777777">
      <w:pPr>
        <w:pStyle w:val="ListParagraph"/>
        <w:ind w:left="0"/>
        <w:rPr>
          <w:sz w:val="21"/>
          <w:szCs w:val="21"/>
        </w:rPr>
      </w:pPr>
    </w:p>
    <w:p w:rsidR="000B0DC4" w:rsidRPr="00212AD8" w:rsidP="000B51FC" w14:paraId="5B408A0A" w14:textId="77777777">
      <w:pPr>
        <w:pStyle w:val="ListParagraph"/>
        <w:numPr>
          <w:ilvl w:val="0"/>
          <w:numId w:val="1"/>
        </w:numPr>
        <w:ind w:left="0" w:hanging="720"/>
        <w:jc w:val="both"/>
        <w:rPr>
          <w:b/>
          <w:sz w:val="24"/>
          <w:szCs w:val="24"/>
        </w:rPr>
      </w:pPr>
      <w:r w:rsidRPr="00212AD8">
        <w:rPr>
          <w:b/>
          <w:sz w:val="24"/>
          <w:szCs w:val="24"/>
        </w:rPr>
        <w:t>If the collection of information impacts small businesses or other small entities, describe any methods used to minimize burden.</w:t>
      </w:r>
    </w:p>
    <w:p w:rsidR="000B0DC4" w:rsidRPr="004F1CBD" w:rsidP="000B51FC" w14:paraId="55FC9B3E" w14:textId="77777777">
      <w:pPr>
        <w:pStyle w:val="ListParagraph"/>
        <w:ind w:left="0"/>
        <w:jc w:val="both"/>
        <w:rPr>
          <w:sz w:val="21"/>
          <w:szCs w:val="21"/>
        </w:rPr>
      </w:pPr>
    </w:p>
    <w:p w:rsidR="00D71006" w:rsidRPr="00212AD8" w:rsidP="000B51FC" w14:paraId="56DC6BCB" w14:textId="77777777">
      <w:pPr>
        <w:pStyle w:val="ListParagraph"/>
        <w:ind w:left="0"/>
        <w:jc w:val="both"/>
        <w:rPr>
          <w:sz w:val="24"/>
          <w:szCs w:val="24"/>
        </w:rPr>
      </w:pPr>
      <w:r w:rsidRPr="00212AD8">
        <w:rPr>
          <w:sz w:val="24"/>
          <w:szCs w:val="24"/>
        </w:rPr>
        <w:t xml:space="preserve">This </w:t>
      </w:r>
      <w:r w:rsidRPr="00212AD8" w:rsidR="005D721B">
        <w:rPr>
          <w:sz w:val="24"/>
          <w:szCs w:val="24"/>
        </w:rPr>
        <w:t>survey will be sent to small business</w:t>
      </w:r>
      <w:r w:rsidR="00F77779">
        <w:rPr>
          <w:sz w:val="24"/>
          <w:szCs w:val="24"/>
        </w:rPr>
        <w:t>es</w:t>
      </w:r>
      <w:r w:rsidRPr="00212AD8" w:rsidR="005D721B">
        <w:rPr>
          <w:sz w:val="24"/>
          <w:szCs w:val="24"/>
        </w:rPr>
        <w:t xml:space="preserve"> to request financial and operations data. We are streamlining the survey to only request information that will be needed for the benchmark report and the bioeconomic model. All questions related to financial information requests estimates based on the current year. We do</w:t>
      </w:r>
      <w:r w:rsidR="00F77779">
        <w:rPr>
          <w:sz w:val="24"/>
          <w:szCs w:val="24"/>
        </w:rPr>
        <w:t xml:space="preserve"> not</w:t>
      </w:r>
      <w:r w:rsidRPr="00212AD8" w:rsidR="005D721B">
        <w:rPr>
          <w:sz w:val="24"/>
          <w:szCs w:val="24"/>
        </w:rPr>
        <w:t xml:space="preserve"> request exact financial information</w:t>
      </w:r>
      <w:r w:rsidR="00F77779">
        <w:rPr>
          <w:sz w:val="24"/>
          <w:szCs w:val="24"/>
        </w:rPr>
        <w:t xml:space="preserve"> or previous financial information</w:t>
      </w:r>
      <w:r w:rsidRPr="00212AD8" w:rsidR="005D721B">
        <w:rPr>
          <w:sz w:val="24"/>
          <w:szCs w:val="24"/>
        </w:rPr>
        <w:t xml:space="preserve"> to reduce </w:t>
      </w:r>
      <w:r w:rsidRPr="00212AD8">
        <w:rPr>
          <w:sz w:val="24"/>
          <w:szCs w:val="24"/>
        </w:rPr>
        <w:t>the time cost to collect and calculate various values asked within the survey.</w:t>
      </w:r>
      <w:r w:rsidRPr="00212AD8" w:rsidR="005D721B">
        <w:rPr>
          <w:sz w:val="24"/>
          <w:szCs w:val="24"/>
        </w:rPr>
        <w:t xml:space="preserve"> Additionally, careful steps will be taken to ensure confidentiality and that individual business</w:t>
      </w:r>
      <w:r w:rsidR="00F77779">
        <w:rPr>
          <w:sz w:val="24"/>
          <w:szCs w:val="24"/>
        </w:rPr>
        <w:t>es</w:t>
      </w:r>
      <w:r w:rsidRPr="00212AD8" w:rsidR="005D721B">
        <w:rPr>
          <w:sz w:val="24"/>
          <w:szCs w:val="24"/>
        </w:rPr>
        <w:t xml:space="preserve"> cannot be identified through any of the financial metrics presented within the benchmarking report or documents related to the bioeconomic model.</w:t>
      </w:r>
    </w:p>
    <w:p w:rsidR="00D71006" w:rsidRPr="004F1CBD" w:rsidP="000B51FC" w14:paraId="61203584" w14:textId="77777777">
      <w:pPr>
        <w:pStyle w:val="ListParagraph"/>
        <w:ind w:left="0"/>
        <w:rPr>
          <w:sz w:val="21"/>
          <w:szCs w:val="21"/>
        </w:rPr>
      </w:pPr>
    </w:p>
    <w:p w:rsidR="000B0DC4" w:rsidP="000B51FC" w14:paraId="2BB202F0" w14:textId="77777777">
      <w:pPr>
        <w:pStyle w:val="ListParagraph"/>
        <w:numPr>
          <w:ilvl w:val="0"/>
          <w:numId w:val="1"/>
        </w:numPr>
        <w:ind w:left="0" w:hanging="720"/>
        <w:jc w:val="both"/>
        <w:rPr>
          <w:b/>
          <w:sz w:val="24"/>
          <w:szCs w:val="24"/>
        </w:rPr>
      </w:pPr>
      <w:r w:rsidRPr="00212AD8">
        <w:rPr>
          <w:b/>
          <w:sz w:val="24"/>
          <w:szCs w:val="24"/>
        </w:rPr>
        <w:t>Describe the consequence to Federal program or policy activities if the collection is not conducted or is conducted less frequently, as well as any technical</w:t>
      </w:r>
      <w:r w:rsidRPr="00212AD8">
        <w:rPr>
          <w:b/>
          <w:sz w:val="24"/>
          <w:szCs w:val="24"/>
        </w:rPr>
        <w:t xml:space="preserve"> or legal obstacles to reducing burden.</w:t>
      </w:r>
    </w:p>
    <w:p w:rsidR="00F77779" w:rsidRPr="004F1CBD" w:rsidP="000B51FC" w14:paraId="67277FEF" w14:textId="77777777">
      <w:pPr>
        <w:pStyle w:val="ListParagraph"/>
        <w:ind w:left="0"/>
        <w:jc w:val="both"/>
        <w:rPr>
          <w:b/>
          <w:sz w:val="21"/>
          <w:szCs w:val="21"/>
        </w:rPr>
      </w:pPr>
    </w:p>
    <w:p w:rsidR="007708EB" w:rsidP="000B51FC" w14:paraId="7163F05A" w14:textId="3F2B300E">
      <w:pPr>
        <w:pStyle w:val="ListParagraph"/>
        <w:ind w:left="0"/>
        <w:jc w:val="both"/>
        <w:rPr>
          <w:sz w:val="24"/>
          <w:szCs w:val="24"/>
        </w:rPr>
      </w:pPr>
      <w:r>
        <w:rPr>
          <w:sz w:val="24"/>
          <w:szCs w:val="24"/>
        </w:rPr>
        <w:t>The purpose of the Aquaculture Opportunity Areas (AOAs) initiative is to conduct spatial analyses of environmental, social, and economic cost and benefits to determine areas that that can support commercial aquacult</w:t>
      </w:r>
      <w:r>
        <w:rPr>
          <w:sz w:val="24"/>
          <w:szCs w:val="24"/>
        </w:rPr>
        <w:t>ure. The recent decision to conduct research to identify AOAs in Alaska requires analysis of data not currently available. This project will collect economic information from existing growers to conduct a spatial analysis on the potential profitability and</w:t>
      </w:r>
      <w:r>
        <w:rPr>
          <w:sz w:val="24"/>
          <w:szCs w:val="24"/>
        </w:rPr>
        <w:t xml:space="preserve"> risk associated with </w:t>
      </w:r>
      <w:r w:rsidR="002B6AB5">
        <w:rPr>
          <w:sz w:val="24"/>
          <w:szCs w:val="24"/>
        </w:rPr>
        <w:t xml:space="preserve">heterogenous regions in Alaska. If this study is not conducted, then we will have to rely on state-level data that </w:t>
      </w:r>
      <w:r w:rsidR="007130F3">
        <w:rPr>
          <w:sz w:val="24"/>
          <w:szCs w:val="24"/>
        </w:rPr>
        <w:t>contains no spatial heterogeneity</w:t>
      </w:r>
      <w:r w:rsidR="002B6AB5">
        <w:rPr>
          <w:sz w:val="24"/>
          <w:szCs w:val="24"/>
        </w:rPr>
        <w:t xml:space="preserve"> for our economic analysis defeating the ability for any economic spatial analysis.</w:t>
      </w:r>
    </w:p>
    <w:p w:rsidR="005D721B" w:rsidRPr="004F1CBD" w:rsidP="000B51FC" w14:paraId="2208A88E" w14:textId="77777777">
      <w:pPr>
        <w:pStyle w:val="ListParagraph"/>
        <w:ind w:left="0"/>
        <w:rPr>
          <w:sz w:val="21"/>
          <w:szCs w:val="21"/>
        </w:rPr>
      </w:pPr>
    </w:p>
    <w:p w:rsidR="000B0DC4" w:rsidRPr="00212AD8" w:rsidP="000B51FC" w14:paraId="41370CCD" w14:textId="77777777">
      <w:pPr>
        <w:pStyle w:val="ListParagraph"/>
        <w:numPr>
          <w:ilvl w:val="0"/>
          <w:numId w:val="1"/>
        </w:numPr>
        <w:ind w:left="0" w:hanging="720"/>
        <w:jc w:val="both"/>
        <w:rPr>
          <w:b/>
          <w:sz w:val="24"/>
          <w:szCs w:val="24"/>
        </w:rPr>
      </w:pPr>
      <w:r w:rsidRPr="00212AD8">
        <w:rPr>
          <w:b/>
          <w:sz w:val="24"/>
          <w:szCs w:val="24"/>
        </w:rPr>
        <w:t>E</w:t>
      </w:r>
      <w:r w:rsidRPr="00212AD8">
        <w:rPr>
          <w:b/>
          <w:sz w:val="24"/>
          <w:szCs w:val="24"/>
        </w:rPr>
        <w:t xml:space="preserve">xplain any special circumstances that would cause an information collection to be conducted in a manner: </w:t>
      </w:r>
    </w:p>
    <w:p w:rsidR="000B0DC4" w:rsidRPr="00212AD8" w:rsidP="000B51FC" w14:paraId="5E2EE972" w14:textId="77777777">
      <w:pPr>
        <w:pStyle w:val="ListParagraph"/>
        <w:ind w:left="0"/>
        <w:jc w:val="both"/>
        <w:rPr>
          <w:sz w:val="24"/>
          <w:szCs w:val="24"/>
        </w:rPr>
      </w:pPr>
    </w:p>
    <w:p w:rsidR="00551019" w:rsidRPr="00212AD8" w:rsidP="000B51FC" w14:paraId="48BE9C1F" w14:textId="77777777">
      <w:pPr>
        <w:pStyle w:val="ListParagraph"/>
        <w:ind w:left="0"/>
        <w:jc w:val="both"/>
        <w:rPr>
          <w:sz w:val="24"/>
          <w:szCs w:val="24"/>
        </w:rPr>
      </w:pPr>
      <w:r>
        <w:rPr>
          <w:sz w:val="24"/>
          <w:szCs w:val="24"/>
        </w:rPr>
        <w:t xml:space="preserve">This collection will be conducted in a manner consistent with OMB guidelines. </w:t>
      </w:r>
    </w:p>
    <w:p w:rsidR="00E974E7" w:rsidRPr="00212AD8" w:rsidP="000B51FC" w14:paraId="537825B4" w14:textId="77777777">
      <w:pPr>
        <w:pStyle w:val="ListParagraph"/>
        <w:ind w:left="0"/>
        <w:rPr>
          <w:sz w:val="24"/>
          <w:szCs w:val="24"/>
        </w:rPr>
      </w:pPr>
    </w:p>
    <w:p w:rsidR="000B0DC4" w:rsidP="000B51FC" w14:paraId="434B5F6E" w14:textId="69A18858">
      <w:pPr>
        <w:pStyle w:val="ListParagraph"/>
        <w:numPr>
          <w:ilvl w:val="0"/>
          <w:numId w:val="1"/>
        </w:numPr>
        <w:ind w:left="0" w:hanging="720"/>
        <w:rPr>
          <w:b/>
          <w:sz w:val="24"/>
          <w:szCs w:val="24"/>
        </w:rPr>
      </w:pPr>
      <w:r w:rsidRPr="00212AD8">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w:t>
      </w:r>
      <w:r w:rsidRPr="00212AD8">
        <w:rPr>
          <w:b/>
          <w:sz w:val="24"/>
          <w:szCs w:val="24"/>
        </w:rPr>
        <w:t xml:space="preserve">omments received in response to that notice and describe actions taken by the agency in response to these comments. Specifically address comments received on cost and hour burden. Describe efforts to consult with persons outside the agency to obtain their </w:t>
      </w:r>
      <w:r w:rsidRPr="00212AD8">
        <w:rPr>
          <w:b/>
          <w:sz w:val="24"/>
          <w:szCs w:val="24"/>
        </w:rPr>
        <w:t>views on the availability of data, frequency of collection, the clarity of instructions and recordkeeping, disclosure, or reporting format (if any), and on the data elements to be recorded, disclosed, or reported. Consultation with representatives of those</w:t>
      </w:r>
      <w:r w:rsidRPr="00212AD8">
        <w:rPr>
          <w:b/>
          <w:sz w:val="24"/>
          <w:szCs w:val="24"/>
        </w:rPr>
        <w:t xml:space="preserve"> from whom information is to be obtained or those who must compile records should occur at least once every 3 years - even if the collection of information activity is the same as in prior periods. There may be circumstances that may preclude consultation </w:t>
      </w:r>
      <w:r w:rsidRPr="00212AD8">
        <w:rPr>
          <w:b/>
          <w:sz w:val="24"/>
          <w:szCs w:val="24"/>
        </w:rPr>
        <w:t>in a specific situation. These circumstances should be explained.</w:t>
      </w:r>
    </w:p>
    <w:p w:rsidR="00277CEB" w:rsidRPr="00212AD8" w:rsidP="00277CEB" w14:paraId="74F87926" w14:textId="77777777">
      <w:pPr>
        <w:pStyle w:val="ListParagraph"/>
        <w:ind w:left="0"/>
        <w:rPr>
          <w:b/>
          <w:sz w:val="24"/>
          <w:szCs w:val="24"/>
        </w:rPr>
      </w:pPr>
    </w:p>
    <w:p w:rsidR="0028002A" w:rsidRPr="0028002A" w:rsidP="0028002A" w14:paraId="259372E7" w14:textId="251F073F">
      <w:pPr>
        <w:shd w:val="clear" w:color="auto" w:fill="FFFFFF"/>
        <w:rPr>
          <w:rFonts w:ascii="Tahoma" w:eastAsia="Times New Roman" w:hAnsi="Tahoma" w:cs="Tahoma"/>
          <w:color w:val="222222"/>
          <w:sz w:val="24"/>
          <w:szCs w:val="24"/>
        </w:rPr>
      </w:pPr>
      <w:r w:rsidRPr="00277CEB">
        <w:rPr>
          <w:sz w:val="24"/>
          <w:szCs w:val="24"/>
        </w:rPr>
        <w:t xml:space="preserve">A Federal Register Notice </w:t>
      </w:r>
      <w:hyperlink r:id="rId4" w:history="1">
        <w:r w:rsidRPr="00061E1F" w:rsidR="00061E1F">
          <w:rPr>
            <w:rStyle w:val="Hyperlink"/>
            <w:sz w:val="24"/>
            <w:szCs w:val="24"/>
          </w:rPr>
          <w:t>(89 FR 13049)</w:t>
        </w:r>
      </w:hyperlink>
      <w:r w:rsidR="00061E1F">
        <w:rPr>
          <w:sz w:val="24"/>
          <w:szCs w:val="24"/>
        </w:rPr>
        <w:t xml:space="preserve"> </w:t>
      </w:r>
      <w:r w:rsidRPr="00277CEB">
        <w:rPr>
          <w:sz w:val="24"/>
          <w:szCs w:val="24"/>
        </w:rPr>
        <w:t xml:space="preserve">was </w:t>
      </w:r>
      <w:r w:rsidRPr="00277CEB">
        <w:rPr>
          <w:sz w:val="24"/>
          <w:szCs w:val="24"/>
        </w:rPr>
        <w:t xml:space="preserve">published </w:t>
      </w:r>
      <w:r w:rsidR="00277CEB">
        <w:rPr>
          <w:sz w:val="24"/>
          <w:szCs w:val="24"/>
        </w:rPr>
        <w:t xml:space="preserve">on February </w:t>
      </w:r>
      <w:r>
        <w:rPr>
          <w:sz w:val="24"/>
          <w:szCs w:val="24"/>
        </w:rPr>
        <w:t>21</w:t>
      </w:r>
      <w:r w:rsidR="00277CEB">
        <w:rPr>
          <w:sz w:val="24"/>
          <w:szCs w:val="24"/>
        </w:rPr>
        <w:t xml:space="preserve">, 2024 </w:t>
      </w:r>
      <w:r w:rsidRPr="00277CEB">
        <w:rPr>
          <w:sz w:val="24"/>
          <w:szCs w:val="24"/>
        </w:rPr>
        <w:t>soliciting public</w:t>
      </w:r>
      <w:r w:rsidR="00277CEB">
        <w:rPr>
          <w:sz w:val="24"/>
          <w:szCs w:val="24"/>
        </w:rPr>
        <w:t xml:space="preserve"> </w:t>
      </w:r>
      <w:r w:rsidRPr="00277CEB">
        <w:rPr>
          <w:sz w:val="24"/>
          <w:szCs w:val="24"/>
        </w:rPr>
        <w:t>comment</w:t>
      </w:r>
      <w:r w:rsidR="00277CEB">
        <w:rPr>
          <w:sz w:val="24"/>
          <w:szCs w:val="24"/>
        </w:rPr>
        <w:t>s</w:t>
      </w:r>
      <w:r w:rsidRPr="00277CEB">
        <w:rPr>
          <w:sz w:val="24"/>
          <w:szCs w:val="24"/>
        </w:rPr>
        <w:t xml:space="preserve"> on </w:t>
      </w:r>
      <w:r w:rsidR="00277CEB">
        <w:rPr>
          <w:sz w:val="24"/>
          <w:szCs w:val="24"/>
        </w:rPr>
        <w:t>this new</w:t>
      </w:r>
      <w:r w:rsidR="00061E1F">
        <w:rPr>
          <w:sz w:val="24"/>
          <w:szCs w:val="24"/>
        </w:rPr>
        <w:t xml:space="preserve"> information collection</w:t>
      </w:r>
      <w:r>
        <w:rPr>
          <w:sz w:val="24"/>
          <w:szCs w:val="24"/>
        </w:rPr>
        <w:t xml:space="preserve">. </w:t>
      </w:r>
      <w:r w:rsidRPr="0028002A">
        <w:rPr>
          <w:rFonts w:eastAsia="Times New Roman" w:cs="Times New Roman"/>
          <w:sz w:val="24"/>
          <w:szCs w:val="24"/>
        </w:rPr>
        <w:t xml:space="preserve">We received one comment from </w:t>
      </w:r>
      <w:r>
        <w:rPr>
          <w:rFonts w:eastAsia="Times New Roman" w:cs="Times New Roman"/>
          <w:sz w:val="24"/>
          <w:szCs w:val="24"/>
        </w:rPr>
        <w:t xml:space="preserve">“B Ker”. </w:t>
      </w:r>
      <w:r w:rsidRPr="0028002A">
        <w:rPr>
          <w:rFonts w:eastAsia="Times New Roman" w:cs="Times New Roman"/>
          <w:sz w:val="24"/>
          <w:szCs w:val="24"/>
        </w:rPr>
        <w:t xml:space="preserve"> Due to lack of relevance, no action was taken in response to the comment. A copy of the comment received is included in thi</w:t>
      </w:r>
      <w:r w:rsidRPr="0028002A">
        <w:rPr>
          <w:rFonts w:eastAsia="Times New Roman" w:cs="Times New Roman"/>
          <w:sz w:val="24"/>
          <w:szCs w:val="24"/>
        </w:rPr>
        <w:t>s submission.</w:t>
      </w:r>
    </w:p>
    <w:p w:rsidR="0028002A" w:rsidP="00277CEB" w14:paraId="6FFDECC9" w14:textId="77777777">
      <w:pPr>
        <w:pStyle w:val="ListParagraph"/>
        <w:ind w:left="0"/>
        <w:rPr>
          <w:sz w:val="24"/>
          <w:szCs w:val="24"/>
        </w:rPr>
      </w:pPr>
    </w:p>
    <w:p w:rsidR="0028002A" w:rsidP="00277CEB" w14:paraId="1589CE07" w14:textId="751B797C">
      <w:pPr>
        <w:pStyle w:val="ListParagraph"/>
        <w:ind w:left="0"/>
        <w:rPr>
          <w:rFonts w:cs="Times New Roman"/>
          <w:color w:val="222222"/>
          <w:sz w:val="24"/>
          <w:szCs w:val="24"/>
          <w:shd w:val="clear" w:color="auto" w:fill="FFFFFF"/>
        </w:rPr>
      </w:pPr>
      <w:r w:rsidRPr="0028002A">
        <w:rPr>
          <w:rFonts w:cs="Times New Roman"/>
          <w:sz w:val="24"/>
          <w:szCs w:val="24"/>
        </w:rPr>
        <w:t>Comment: “</w:t>
      </w:r>
      <w:r>
        <w:rPr>
          <w:rFonts w:cs="Times New Roman"/>
          <w:color w:val="222222"/>
          <w:sz w:val="24"/>
          <w:szCs w:val="24"/>
          <w:shd w:val="clear" w:color="auto" w:fill="FFFFFF"/>
        </w:rPr>
        <w:t>T</w:t>
      </w:r>
      <w:r w:rsidRPr="0028002A">
        <w:rPr>
          <w:rFonts w:cs="Times New Roman"/>
          <w:color w:val="222222"/>
          <w:sz w:val="24"/>
          <w:szCs w:val="24"/>
          <w:shd w:val="clear" w:color="auto" w:fill="FFFFFF"/>
        </w:rPr>
        <w:t>he robbers and rapists want to go rape Alaska with aquaculture now. Aquaculture is a dirty disgusting polluting industry. The fish are destroyed, sickly, and never as healthy as ocean fish. The</w:t>
      </w:r>
      <w:r w:rsidRPr="0028002A">
        <w:rPr>
          <w:rFonts w:cs="Times New Roman"/>
          <w:color w:val="222222"/>
          <w:sz w:val="24"/>
          <w:szCs w:val="24"/>
          <w:shd w:val="clear" w:color="auto" w:fill="FFFFFF"/>
        </w:rPr>
        <w:t xml:space="preserve"> destruction of the waters means no ocean fish can live in those waters anymore and there will be no fish at all in Alaska, this is ruinous. It should not be allowed </w:t>
      </w:r>
      <w:r>
        <w:rPr>
          <w:rFonts w:cs="Times New Roman"/>
          <w:color w:val="222222"/>
          <w:sz w:val="24"/>
          <w:szCs w:val="24"/>
          <w:shd w:val="clear" w:color="auto" w:fill="FFFFFF"/>
        </w:rPr>
        <w:t xml:space="preserve">it </w:t>
      </w:r>
      <w:r w:rsidRPr="0028002A">
        <w:rPr>
          <w:rFonts w:cs="Times New Roman"/>
          <w:color w:val="222222"/>
          <w:sz w:val="24"/>
          <w:szCs w:val="24"/>
          <w:shd w:val="clear" w:color="auto" w:fill="FFFFFF"/>
        </w:rPr>
        <w:t xml:space="preserve">is a dirty </w:t>
      </w:r>
      <w:r w:rsidRPr="0028002A">
        <w:rPr>
          <w:rFonts w:cs="Times New Roman"/>
          <w:color w:val="222222"/>
          <w:sz w:val="24"/>
          <w:szCs w:val="24"/>
          <w:shd w:val="clear" w:color="auto" w:fill="FFFFFF"/>
        </w:rPr>
        <w:t>business of pollution galore in the waters. The waters are unfit after growi</w:t>
      </w:r>
      <w:r w:rsidRPr="0028002A">
        <w:rPr>
          <w:rFonts w:cs="Times New Roman"/>
          <w:color w:val="222222"/>
          <w:sz w:val="24"/>
          <w:szCs w:val="24"/>
          <w:shd w:val="clear" w:color="auto" w:fill="FFFFFF"/>
        </w:rPr>
        <w:t>ng aquaculture fish. It will ruin all the fish in the world that migrate to Alaska. Stop this ruinous plan. Itis marauding. Taxpayers should not be paying for this horrible survey to ruin Alaskan waters. This comment is for the public record.”</w:t>
      </w:r>
    </w:p>
    <w:p w:rsidR="0028002A" w:rsidRPr="0028002A" w:rsidP="00277CEB" w14:paraId="3A1079D7" w14:textId="77777777">
      <w:pPr>
        <w:pStyle w:val="ListParagraph"/>
        <w:ind w:left="0"/>
        <w:rPr>
          <w:rFonts w:cs="Times New Roman"/>
          <w:color w:val="222222"/>
          <w:sz w:val="24"/>
          <w:szCs w:val="24"/>
          <w:shd w:val="clear" w:color="auto" w:fill="FFFFFF"/>
        </w:rPr>
      </w:pPr>
    </w:p>
    <w:p w:rsidR="00B03750" w:rsidRPr="00277CEB" w:rsidP="00277CEB" w14:paraId="348092D6" w14:textId="4CB00368">
      <w:pPr>
        <w:pStyle w:val="ListParagraph"/>
        <w:ind w:left="0"/>
        <w:rPr>
          <w:sz w:val="24"/>
          <w:szCs w:val="24"/>
        </w:rPr>
      </w:pPr>
      <w:r>
        <w:rPr>
          <w:sz w:val="24"/>
          <w:szCs w:val="24"/>
        </w:rPr>
        <w:t xml:space="preserve"> </w:t>
      </w:r>
      <w:r w:rsidRPr="00061E1F">
        <w:rPr>
          <w:sz w:val="24"/>
          <w:szCs w:val="24"/>
        </w:rPr>
        <w:t>In additio</w:t>
      </w:r>
      <w:r w:rsidRPr="00061E1F">
        <w:rPr>
          <w:sz w:val="24"/>
          <w:szCs w:val="24"/>
        </w:rPr>
        <w:t>n to the Federal Register notice, NMFS contacted stakeholders outside the agency to obtain their views on the availability of data, frequency of collection, the clarity of instructions and recordkeeping, disclosure, or reporting format, and on the data ele</w:t>
      </w:r>
      <w:r w:rsidRPr="00061E1F">
        <w:rPr>
          <w:sz w:val="24"/>
          <w:szCs w:val="24"/>
        </w:rPr>
        <w:t>ments to be recorded, disclosed, or reported.</w:t>
      </w:r>
      <w:r>
        <w:rPr>
          <w:sz w:val="24"/>
          <w:szCs w:val="24"/>
        </w:rPr>
        <w:t xml:space="preserve">  No comments were received.</w:t>
      </w:r>
    </w:p>
    <w:p w:rsidR="00E974E7" w:rsidRPr="004F1CBD" w:rsidP="000B51FC" w14:paraId="21CA625C" w14:textId="77777777">
      <w:pPr>
        <w:pStyle w:val="ListParagraph"/>
        <w:ind w:left="0"/>
        <w:rPr>
          <w:sz w:val="21"/>
          <w:szCs w:val="21"/>
        </w:rPr>
      </w:pPr>
    </w:p>
    <w:p w:rsidR="000B0DC4" w:rsidRPr="00212AD8" w:rsidP="000B51FC" w14:paraId="6C2C22CF" w14:textId="77777777">
      <w:pPr>
        <w:pStyle w:val="ListParagraph"/>
        <w:numPr>
          <w:ilvl w:val="0"/>
          <w:numId w:val="1"/>
        </w:numPr>
        <w:ind w:left="0" w:hanging="720"/>
        <w:rPr>
          <w:b/>
          <w:sz w:val="24"/>
          <w:szCs w:val="24"/>
        </w:rPr>
      </w:pPr>
      <w:r w:rsidRPr="00212AD8">
        <w:rPr>
          <w:b/>
          <w:sz w:val="24"/>
          <w:szCs w:val="24"/>
        </w:rPr>
        <w:t>Explain any decision to provide any payment or gift to respondents, other than remuneration of contractors or grantees.</w:t>
      </w:r>
    </w:p>
    <w:p w:rsidR="000B0DC4" w:rsidRPr="004F1CBD" w:rsidP="000B51FC" w14:paraId="744052A9" w14:textId="77777777">
      <w:pPr>
        <w:pStyle w:val="ListParagraph"/>
        <w:ind w:left="0"/>
        <w:rPr>
          <w:sz w:val="21"/>
          <w:szCs w:val="21"/>
        </w:rPr>
      </w:pPr>
    </w:p>
    <w:p w:rsidR="00E974E7" w:rsidRPr="00212AD8" w:rsidP="000B51FC" w14:paraId="62B01A26" w14:textId="77777777">
      <w:pPr>
        <w:pStyle w:val="ListParagraph"/>
        <w:ind w:left="0"/>
        <w:rPr>
          <w:sz w:val="24"/>
          <w:szCs w:val="24"/>
        </w:rPr>
      </w:pPr>
      <w:r w:rsidRPr="00212AD8">
        <w:rPr>
          <w:sz w:val="24"/>
          <w:szCs w:val="24"/>
        </w:rPr>
        <w:t xml:space="preserve">We will not provide any </w:t>
      </w:r>
      <w:r w:rsidRPr="00212AD8" w:rsidR="00382228">
        <w:rPr>
          <w:sz w:val="24"/>
          <w:szCs w:val="24"/>
        </w:rPr>
        <w:t xml:space="preserve">financial </w:t>
      </w:r>
      <w:r w:rsidRPr="00212AD8">
        <w:rPr>
          <w:sz w:val="24"/>
          <w:szCs w:val="24"/>
        </w:rPr>
        <w:t xml:space="preserve">payment or gift to any respondent of the survey. </w:t>
      </w:r>
    </w:p>
    <w:p w:rsidR="00E974E7" w:rsidRPr="004F1CBD" w:rsidP="000B51FC" w14:paraId="18E80E48" w14:textId="77777777">
      <w:pPr>
        <w:pStyle w:val="ListParagraph"/>
        <w:ind w:left="0"/>
        <w:rPr>
          <w:sz w:val="21"/>
          <w:szCs w:val="21"/>
        </w:rPr>
      </w:pPr>
    </w:p>
    <w:p w:rsidR="000B0DC4" w:rsidRPr="00212AD8" w:rsidP="000B51FC" w14:paraId="197897E8" w14:textId="77777777">
      <w:pPr>
        <w:pStyle w:val="ListParagraph"/>
        <w:numPr>
          <w:ilvl w:val="0"/>
          <w:numId w:val="1"/>
        </w:numPr>
        <w:ind w:left="0" w:hanging="720"/>
        <w:rPr>
          <w:b/>
          <w:sz w:val="24"/>
          <w:szCs w:val="24"/>
        </w:rPr>
      </w:pPr>
      <w:r w:rsidRPr="00212AD8">
        <w:rPr>
          <w:b/>
          <w:sz w:val="24"/>
          <w:szCs w:val="24"/>
        </w:rPr>
        <w:t>Des</w:t>
      </w:r>
      <w:r w:rsidRPr="00212AD8">
        <w:rPr>
          <w:b/>
          <w:sz w:val="24"/>
          <w:szCs w:val="24"/>
        </w:rPr>
        <w:t>cribe any assurance of confidentiality provided to respondents and the basis for the assurance in statute, regulation, or agency policy. If the collection requires a systems of records notice (SORN) or privacy impact assessment (PIA), those should be cited</w:t>
      </w:r>
      <w:r w:rsidRPr="00212AD8">
        <w:rPr>
          <w:b/>
          <w:sz w:val="24"/>
          <w:szCs w:val="24"/>
        </w:rPr>
        <w:t xml:space="preserve"> and described here.</w:t>
      </w:r>
    </w:p>
    <w:p w:rsidR="000B0DC4" w:rsidRPr="004F1CBD" w:rsidP="000B51FC" w14:paraId="42685827" w14:textId="77777777">
      <w:pPr>
        <w:pStyle w:val="ListParagraph"/>
        <w:ind w:left="0"/>
        <w:rPr>
          <w:sz w:val="21"/>
          <w:szCs w:val="21"/>
        </w:rPr>
      </w:pPr>
    </w:p>
    <w:p w:rsidR="00E974E7" w:rsidRPr="00212AD8" w:rsidP="000B51FC" w14:paraId="380AA4D6" w14:textId="6B62D853">
      <w:pPr>
        <w:pStyle w:val="ListParagraph"/>
        <w:ind w:left="0"/>
        <w:jc w:val="both"/>
        <w:rPr>
          <w:sz w:val="24"/>
          <w:szCs w:val="24"/>
        </w:rPr>
      </w:pPr>
      <w:r>
        <w:rPr>
          <w:sz w:val="24"/>
          <w:szCs w:val="24"/>
        </w:rPr>
        <w:t>The information collected from this survey is confidential under NOAA Administrative Order 216-100. This order states the procedures to ensure that all fisheries data collected by NOAA/NMFS is protected and confidential. We state that</w:t>
      </w:r>
      <w:r>
        <w:rPr>
          <w:sz w:val="24"/>
          <w:szCs w:val="24"/>
        </w:rPr>
        <w:t xml:space="preserve"> all data collected in this survey will remain confidential and only aggregate data will be presented to the public. This reminder is presented immediately prior to requesting financial information to reassure them of their confidentiality.</w:t>
      </w:r>
    </w:p>
    <w:p w:rsidR="00E974E7" w:rsidRPr="004F1CBD" w:rsidP="000B51FC" w14:paraId="0B628953" w14:textId="77777777">
      <w:pPr>
        <w:pStyle w:val="ListParagraph"/>
        <w:ind w:left="0"/>
        <w:rPr>
          <w:sz w:val="21"/>
          <w:szCs w:val="21"/>
        </w:rPr>
      </w:pPr>
    </w:p>
    <w:p w:rsidR="000B0DC4" w:rsidRPr="00212AD8" w:rsidP="000B51FC" w14:paraId="5E3AF7FD" w14:textId="77777777">
      <w:pPr>
        <w:pStyle w:val="ListParagraph"/>
        <w:numPr>
          <w:ilvl w:val="0"/>
          <w:numId w:val="1"/>
        </w:numPr>
        <w:ind w:left="0" w:hanging="720"/>
        <w:rPr>
          <w:b/>
          <w:sz w:val="24"/>
          <w:szCs w:val="24"/>
        </w:rPr>
      </w:pPr>
      <w:r w:rsidRPr="00212AD8">
        <w:rPr>
          <w:b/>
          <w:sz w:val="24"/>
          <w:szCs w:val="24"/>
        </w:rPr>
        <w:t>Provide additi</w:t>
      </w:r>
      <w:r w:rsidRPr="00212AD8">
        <w:rPr>
          <w:b/>
          <w:sz w:val="24"/>
          <w:szCs w:val="24"/>
        </w:rPr>
        <w:t>onal justification for any questions of a sensitive nature, such as sexual behavior and attitudes, religious beliefs, and other matters that are commonly considered private. This justification should include the reasons why the agency considers the questio</w:t>
      </w:r>
      <w:r w:rsidRPr="00212AD8">
        <w:rPr>
          <w:b/>
          <w:sz w:val="24"/>
          <w:szCs w:val="24"/>
        </w:rPr>
        <w:t>ns necessary, the specific uses to be made of the information, the explanation to be given to persons from whom the information is requested, and any steps to be taken to obtain their consent.</w:t>
      </w:r>
    </w:p>
    <w:p w:rsidR="000B0DC4" w:rsidRPr="004F1CBD" w:rsidP="000B51FC" w14:paraId="17487FA7" w14:textId="77777777">
      <w:pPr>
        <w:pStyle w:val="ListParagraph"/>
        <w:ind w:left="0"/>
        <w:rPr>
          <w:sz w:val="21"/>
          <w:szCs w:val="21"/>
        </w:rPr>
      </w:pPr>
    </w:p>
    <w:p w:rsidR="00382228" w:rsidRPr="00212AD8" w:rsidP="000B51FC" w14:paraId="1FE0C850" w14:textId="01251BED">
      <w:pPr>
        <w:pStyle w:val="ListParagraph"/>
        <w:ind w:left="0"/>
        <w:jc w:val="both"/>
        <w:rPr>
          <w:sz w:val="24"/>
          <w:szCs w:val="24"/>
        </w:rPr>
      </w:pPr>
      <w:r w:rsidRPr="00212AD8">
        <w:rPr>
          <w:sz w:val="24"/>
          <w:szCs w:val="24"/>
        </w:rPr>
        <w:t>We do not request any sensitive information from participants.</w:t>
      </w:r>
      <w:r w:rsidRPr="00212AD8">
        <w:rPr>
          <w:sz w:val="24"/>
          <w:szCs w:val="24"/>
        </w:rPr>
        <w:t xml:space="preserve"> </w:t>
      </w:r>
    </w:p>
    <w:p w:rsidR="00293E62" w:rsidP="00B8128E" w14:paraId="0D7177C9" w14:textId="77777777">
      <w:pPr>
        <w:pStyle w:val="ListParagraph"/>
        <w:numPr>
          <w:ilvl w:val="0"/>
          <w:numId w:val="1"/>
        </w:numPr>
        <w:ind w:hanging="720"/>
        <w:rPr>
          <w:b/>
          <w:sz w:val="24"/>
          <w:szCs w:val="24"/>
        </w:rPr>
        <w:sectPr w:rsidSect="00277E12">
          <w:pgSz w:w="12240" w:h="15840"/>
          <w:pgMar w:top="1440" w:right="1440" w:bottom="1440" w:left="1440" w:header="720" w:footer="720" w:gutter="0"/>
          <w:cols w:space="720"/>
          <w:docGrid w:linePitch="360"/>
        </w:sectPr>
      </w:pPr>
    </w:p>
    <w:p w:rsidR="00F3106F" w:rsidP="00F3106F" w14:paraId="550D21E0" w14:textId="3396D5DA">
      <w:pPr>
        <w:pStyle w:val="ListParagraph"/>
        <w:numPr>
          <w:ilvl w:val="0"/>
          <w:numId w:val="1"/>
        </w:numPr>
        <w:ind w:hanging="720"/>
        <w:rPr>
          <w:b/>
          <w:sz w:val="24"/>
          <w:szCs w:val="24"/>
        </w:rPr>
      </w:pPr>
      <w:r w:rsidRPr="00212AD8">
        <w:rPr>
          <w:b/>
          <w:sz w:val="24"/>
          <w:szCs w:val="24"/>
        </w:rPr>
        <w:t xml:space="preserve">Provide estimates of the hour burden of the collection of information. </w:t>
      </w:r>
    </w:p>
    <w:p w:rsidR="00B8128E" w:rsidP="00F3106F" w14:paraId="46BBEE4F" w14:textId="177F9A67">
      <w:pPr>
        <w:pStyle w:val="ListParagraph"/>
        <w:ind w:left="1440"/>
        <w:rPr>
          <w:b/>
          <w:sz w:val="24"/>
          <w:szCs w:val="24"/>
        </w:rPr>
      </w:pPr>
    </w:p>
    <w:p w:rsidR="00A60FF5" w:rsidRPr="00A60FF5" w:rsidP="00A60FF5" w14:paraId="286E2673" w14:textId="77777777">
      <w:pPr>
        <w:pStyle w:val="ListParagraph"/>
        <w:ind w:left="1440"/>
        <w:rPr>
          <w:b/>
          <w:sz w:val="16"/>
          <w:szCs w:val="16"/>
        </w:rPr>
      </w:pPr>
    </w:p>
    <w:p w:rsidR="00BE6896" w:rsidP="00BE6896" w14:paraId="32B220B2" w14:textId="299F2172">
      <w:pPr>
        <w:pStyle w:val="ListParagraph"/>
        <w:ind w:left="0"/>
        <w:jc w:val="both"/>
        <w:rPr>
          <w:sz w:val="24"/>
          <w:szCs w:val="24"/>
        </w:rPr>
      </w:pPr>
      <w:r w:rsidRPr="00BE6896">
        <w:rPr>
          <w:sz w:val="24"/>
          <w:szCs w:val="24"/>
        </w:rPr>
        <w:t>In the table below, we calcul</w:t>
      </w:r>
      <w:r w:rsidRPr="00BE6896">
        <w:rPr>
          <w:sz w:val="24"/>
          <w:szCs w:val="24"/>
        </w:rPr>
        <w:t xml:space="preserve">ate the expected annual burden cost from respondents. The current population size, as of 2024, is 77 operators. </w:t>
      </w:r>
      <w:r w:rsidR="00F77779">
        <w:rPr>
          <w:sz w:val="24"/>
          <w:szCs w:val="24"/>
        </w:rPr>
        <w:t>We are</w:t>
      </w:r>
      <w:r w:rsidRPr="00BE6896">
        <w:rPr>
          <w:sz w:val="24"/>
          <w:szCs w:val="24"/>
        </w:rPr>
        <w:t xml:space="preserve"> rounding up to 80 with the expectation that additional operators will obtain an Alaskan Aquatic Farm</w:t>
      </w:r>
      <w:r w:rsidR="00A60FF5">
        <w:rPr>
          <w:sz w:val="24"/>
          <w:szCs w:val="24"/>
        </w:rPr>
        <w:t xml:space="preserve"> Operation</w:t>
      </w:r>
      <w:r w:rsidRPr="00BE6896">
        <w:rPr>
          <w:sz w:val="24"/>
          <w:szCs w:val="24"/>
        </w:rPr>
        <w:t xml:space="preserve"> permit by the time of issu</w:t>
      </w:r>
      <w:r w:rsidRPr="00BE6896">
        <w:rPr>
          <w:sz w:val="24"/>
          <w:szCs w:val="24"/>
        </w:rPr>
        <w:t>ing the survey.</w:t>
      </w:r>
      <w:r w:rsidR="005962DB">
        <w:rPr>
          <w:sz w:val="24"/>
          <w:szCs w:val="24"/>
        </w:rPr>
        <w:t xml:space="preserve"> The survey takes approximately 30 minutes to complete. But I expect individuals may have to refer to other personal records to give a</w:t>
      </w:r>
      <w:r w:rsidR="00F77779">
        <w:rPr>
          <w:sz w:val="24"/>
          <w:szCs w:val="24"/>
        </w:rPr>
        <w:t>n</w:t>
      </w:r>
      <w:r w:rsidR="005962DB">
        <w:rPr>
          <w:sz w:val="24"/>
          <w:szCs w:val="24"/>
        </w:rPr>
        <w:t xml:space="preserve"> accurate estimate resulting in 60 total burden hours (80 respondents x 0.75 hours to complete one survey).</w:t>
      </w:r>
    </w:p>
    <w:p w:rsidR="00293E62" w:rsidRPr="00A60FF5" w:rsidP="00BE6896" w14:paraId="769D17E4" w14:textId="77777777">
      <w:pPr>
        <w:pStyle w:val="ListParagraph"/>
        <w:ind w:left="0"/>
        <w:jc w:val="both"/>
        <w:rPr>
          <w:sz w:val="10"/>
          <w:szCs w:val="18"/>
        </w:rPr>
      </w:pPr>
    </w:p>
    <w:tbl>
      <w:tblPr>
        <w:tblW w:w="13125" w:type="dxa"/>
        <w:tblCellMar>
          <w:top w:w="15" w:type="dxa"/>
          <w:left w:w="15" w:type="dxa"/>
          <w:bottom w:w="15" w:type="dxa"/>
          <w:right w:w="15" w:type="dxa"/>
        </w:tblCellMar>
        <w:tblLook w:val="04A0"/>
      </w:tblPr>
      <w:tblGrid>
        <w:gridCol w:w="1492"/>
        <w:gridCol w:w="1919"/>
        <w:gridCol w:w="1387"/>
        <w:gridCol w:w="1397"/>
        <w:gridCol w:w="1350"/>
        <w:gridCol w:w="1170"/>
        <w:gridCol w:w="1381"/>
        <w:gridCol w:w="1499"/>
        <w:gridCol w:w="1530"/>
      </w:tblGrid>
      <w:tr w14:paraId="20B2D13C" w14:textId="77777777" w:rsidTr="00293E62">
        <w:tblPrEx>
          <w:tblW w:w="13125" w:type="dxa"/>
          <w:tblCellMar>
            <w:top w:w="15" w:type="dxa"/>
            <w:left w:w="15" w:type="dxa"/>
            <w:bottom w:w="15" w:type="dxa"/>
            <w:right w:w="15" w:type="dxa"/>
          </w:tblCellMar>
          <w:tblLook w:val="04A0"/>
        </w:tblPrEx>
        <w:trPr>
          <w:trHeight w:val="1365"/>
        </w:trPr>
        <w:tc>
          <w:tcPr>
            <w:tcW w:w="0" w:type="auto"/>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3E62" w:rsidRPr="00293E62" w14:paraId="03AA6DC2" w14:textId="77777777">
            <w:pPr>
              <w:pStyle w:val="NormalWeb"/>
              <w:spacing w:before="0" w:beforeAutospacing="0" w:after="0" w:afterAutospacing="0"/>
              <w:jc w:val="center"/>
            </w:pPr>
            <w:r w:rsidRPr="00293E62">
              <w:rPr>
                <w:b/>
                <w:bCs/>
                <w:color w:val="000000"/>
              </w:rPr>
              <w:t>Information Collection</w:t>
            </w:r>
          </w:p>
        </w:tc>
        <w:tc>
          <w:tcPr>
            <w:tcW w:w="0" w:type="auto"/>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3E62" w:rsidRPr="00293E62" w14:paraId="3C415C8E" w14:textId="77777777">
            <w:pPr>
              <w:pStyle w:val="NormalWeb"/>
              <w:spacing w:before="0" w:beforeAutospacing="0" w:after="0" w:afterAutospacing="0"/>
              <w:jc w:val="center"/>
            </w:pPr>
            <w:r w:rsidRPr="00293E62">
              <w:rPr>
                <w:b/>
                <w:bCs/>
                <w:color w:val="000000"/>
              </w:rPr>
              <w:t>Type of Respondent (e.g., Occupational Title)</w:t>
            </w:r>
          </w:p>
        </w:tc>
        <w:tc>
          <w:tcPr>
            <w:tcW w:w="1387"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3E62" w:rsidRPr="00293E62" w14:paraId="32888C74" w14:textId="77777777">
            <w:pPr>
              <w:pStyle w:val="NormalWeb"/>
              <w:spacing w:before="0" w:beforeAutospacing="0" w:after="0" w:afterAutospacing="0"/>
              <w:jc w:val="center"/>
            </w:pPr>
            <w:r w:rsidRPr="00293E62">
              <w:rPr>
                <w:b/>
                <w:bCs/>
                <w:color w:val="000000"/>
              </w:rPr>
              <w:t># of Respondents / Year</w:t>
            </w:r>
          </w:p>
          <w:p w:rsidR="00293E62" w:rsidRPr="00293E62" w14:paraId="3B8101F4" w14:textId="77777777">
            <w:pPr>
              <w:pStyle w:val="NormalWeb"/>
              <w:spacing w:before="0" w:beforeAutospacing="0" w:after="0" w:afterAutospacing="0"/>
              <w:jc w:val="center"/>
            </w:pPr>
            <w:r w:rsidRPr="00293E62">
              <w:rPr>
                <w:b/>
                <w:bCs/>
                <w:color w:val="000000"/>
              </w:rPr>
              <w:t>(a)</w:t>
            </w:r>
          </w:p>
        </w:tc>
        <w:tc>
          <w:tcPr>
            <w:tcW w:w="1397"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3E62" w:rsidRPr="00293E62" w14:paraId="5F34AFE0" w14:textId="77777777">
            <w:pPr>
              <w:pStyle w:val="NormalWeb"/>
              <w:spacing w:before="0" w:beforeAutospacing="0" w:after="0" w:afterAutospacing="0"/>
              <w:jc w:val="center"/>
            </w:pPr>
            <w:r w:rsidRPr="00293E62">
              <w:rPr>
                <w:b/>
                <w:bCs/>
                <w:color w:val="000000"/>
              </w:rPr>
              <w:t>Annual # of Responses / Respondent</w:t>
            </w:r>
          </w:p>
          <w:p w:rsidR="00293E62" w:rsidRPr="00293E62" w14:paraId="034C1419" w14:textId="77777777">
            <w:pPr>
              <w:pStyle w:val="NormalWeb"/>
              <w:spacing w:before="0" w:beforeAutospacing="0" w:after="0" w:afterAutospacing="0"/>
              <w:jc w:val="center"/>
            </w:pPr>
            <w:r w:rsidRPr="00293E62">
              <w:rPr>
                <w:b/>
                <w:bCs/>
                <w:color w:val="000000"/>
              </w:rPr>
              <w:t>(b)</w:t>
            </w:r>
          </w:p>
        </w:tc>
        <w:tc>
          <w:tcPr>
            <w:tcW w:w="1350"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3E62" w:rsidRPr="00293E62" w14:paraId="18ABAFE4" w14:textId="77777777">
            <w:pPr>
              <w:pStyle w:val="NormalWeb"/>
              <w:spacing w:before="0" w:beforeAutospacing="0" w:after="0" w:afterAutospacing="0"/>
              <w:jc w:val="center"/>
            </w:pPr>
            <w:r w:rsidRPr="00293E62">
              <w:rPr>
                <w:b/>
                <w:bCs/>
                <w:color w:val="000000"/>
              </w:rPr>
              <w:t>Total # of Annual Responses</w:t>
            </w:r>
          </w:p>
          <w:p w:rsidR="00293E62" w:rsidRPr="00293E62" w14:paraId="0D878923" w14:textId="77777777">
            <w:pPr>
              <w:pStyle w:val="NormalWeb"/>
              <w:spacing w:before="0" w:beforeAutospacing="0" w:after="0" w:afterAutospacing="0"/>
              <w:jc w:val="center"/>
            </w:pPr>
            <w:r w:rsidRPr="00293E62">
              <w:rPr>
                <w:b/>
                <w:bCs/>
                <w:color w:val="000000"/>
              </w:rPr>
              <w:t>(c) = (a) x (b)</w:t>
            </w:r>
          </w:p>
        </w:tc>
        <w:tc>
          <w:tcPr>
            <w:tcW w:w="1170"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3E62" w:rsidRPr="00293E62" w14:paraId="23A4BCE3" w14:textId="77777777">
            <w:pPr>
              <w:pStyle w:val="NormalWeb"/>
              <w:spacing w:before="0" w:beforeAutospacing="0" w:after="0" w:afterAutospacing="0"/>
              <w:jc w:val="center"/>
            </w:pPr>
            <w:r w:rsidRPr="00293E62">
              <w:rPr>
                <w:b/>
                <w:bCs/>
                <w:color w:val="000000"/>
              </w:rPr>
              <w:t>Burden Hrs / Response</w:t>
            </w:r>
          </w:p>
          <w:p w:rsidR="00293E62" w:rsidRPr="00293E62" w14:paraId="01EF1AA6" w14:textId="77777777">
            <w:pPr>
              <w:pStyle w:val="NormalWeb"/>
              <w:spacing w:before="0" w:beforeAutospacing="0" w:after="0" w:afterAutospacing="0"/>
              <w:jc w:val="center"/>
            </w:pPr>
            <w:r w:rsidRPr="00293E62">
              <w:rPr>
                <w:b/>
                <w:bCs/>
                <w:color w:val="000000"/>
              </w:rPr>
              <w:t>(d)</w:t>
            </w:r>
          </w:p>
        </w:tc>
        <w:tc>
          <w:tcPr>
            <w:tcW w:w="1381"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3E62" w:rsidRPr="00293E62" w14:paraId="4CDDFF09" w14:textId="77777777">
            <w:pPr>
              <w:pStyle w:val="NormalWeb"/>
              <w:spacing w:before="0" w:beforeAutospacing="0" w:after="0" w:afterAutospacing="0"/>
              <w:jc w:val="center"/>
            </w:pPr>
            <w:r w:rsidRPr="00293E62">
              <w:rPr>
                <w:b/>
                <w:bCs/>
                <w:color w:val="000000"/>
              </w:rPr>
              <w:t>Total Annual Burden Hrs</w:t>
            </w:r>
          </w:p>
          <w:p w:rsidR="00293E62" w:rsidRPr="00293E62" w14:paraId="7B8DE6F7" w14:textId="77777777">
            <w:pPr>
              <w:pStyle w:val="NormalWeb"/>
              <w:spacing w:before="0" w:beforeAutospacing="0" w:after="0" w:afterAutospacing="0"/>
              <w:jc w:val="center"/>
            </w:pPr>
            <w:r w:rsidRPr="00293E62">
              <w:rPr>
                <w:b/>
                <w:bCs/>
                <w:color w:val="000000"/>
              </w:rPr>
              <w:t>(e) = (c) x (d)</w:t>
            </w:r>
          </w:p>
        </w:tc>
        <w:tc>
          <w:tcPr>
            <w:tcW w:w="1499"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3E62" w:rsidRPr="00293E62" w14:paraId="0DE29BC0" w14:textId="77777777">
            <w:pPr>
              <w:pStyle w:val="NormalWeb"/>
              <w:spacing w:before="0" w:beforeAutospacing="0" w:after="0" w:afterAutospacing="0"/>
              <w:jc w:val="center"/>
            </w:pPr>
            <w:r w:rsidRPr="00293E62">
              <w:rPr>
                <w:b/>
                <w:bCs/>
                <w:color w:val="000000"/>
              </w:rPr>
              <w:t xml:space="preserve">Hourly </w:t>
            </w:r>
            <w:r w:rsidRPr="00293E62">
              <w:rPr>
                <w:b/>
                <w:bCs/>
                <w:color w:val="000000"/>
              </w:rPr>
              <w:t>Wage Rate (for Type of Respondent)</w:t>
            </w:r>
          </w:p>
          <w:p w:rsidR="00293E62" w:rsidRPr="00293E62" w14:paraId="497DDE8E" w14:textId="77777777">
            <w:pPr>
              <w:pStyle w:val="NormalWeb"/>
              <w:spacing w:before="0" w:beforeAutospacing="0" w:after="0" w:afterAutospacing="0"/>
              <w:jc w:val="center"/>
            </w:pPr>
            <w:r w:rsidRPr="00293E62">
              <w:rPr>
                <w:b/>
                <w:bCs/>
                <w:color w:val="000000"/>
              </w:rPr>
              <w:t>(f)</w:t>
            </w:r>
          </w:p>
        </w:tc>
        <w:tc>
          <w:tcPr>
            <w:tcW w:w="1530"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3E62" w:rsidRPr="00293E62" w14:paraId="7CCFC433" w14:textId="77777777">
            <w:pPr>
              <w:pStyle w:val="NormalWeb"/>
              <w:spacing w:before="0" w:beforeAutospacing="0" w:after="0" w:afterAutospacing="0"/>
              <w:jc w:val="center"/>
            </w:pPr>
            <w:r w:rsidRPr="00293E62">
              <w:rPr>
                <w:b/>
                <w:bCs/>
                <w:color w:val="000000"/>
              </w:rPr>
              <w:t>Total Annual Wage Burden Costs</w:t>
            </w:r>
          </w:p>
          <w:p w:rsidR="00293E62" w:rsidRPr="00293E62" w14:paraId="49A6D7D5" w14:textId="77777777">
            <w:pPr>
              <w:pStyle w:val="NormalWeb"/>
              <w:spacing w:before="0" w:beforeAutospacing="0" w:after="0" w:afterAutospacing="0"/>
              <w:jc w:val="center"/>
            </w:pPr>
            <w:r w:rsidRPr="00293E62">
              <w:rPr>
                <w:b/>
                <w:bCs/>
                <w:color w:val="000000"/>
              </w:rPr>
              <w:t>(g) = (e) x (f)</w:t>
            </w:r>
          </w:p>
        </w:tc>
      </w:tr>
      <w:tr w14:paraId="19F8E094" w14:textId="77777777" w:rsidTr="00293E62">
        <w:tblPrEx>
          <w:tblW w:w="13125" w:type="dxa"/>
          <w:tblCellMar>
            <w:top w:w="15" w:type="dxa"/>
            <w:left w:w="15" w:type="dxa"/>
            <w:bottom w:w="15" w:type="dxa"/>
            <w:right w:w="15" w:type="dxa"/>
          </w:tblCellMar>
          <w:tblLook w:val="04A0"/>
        </w:tblPrEx>
        <w:trPr>
          <w:trHeight w:val="300"/>
        </w:trPr>
        <w:tc>
          <w:tcPr>
            <w:tcW w:w="0" w:type="auto"/>
            <w:tcBorders>
              <w:top w:val="single" w:sz="12" w:space="0" w:color="000000"/>
              <w:left w:val="single" w:sz="12" w:space="0" w:color="000000"/>
              <w:bottom w:val="single" w:sz="4" w:space="0" w:color="000000"/>
              <w:right w:val="single" w:sz="4" w:space="0" w:color="000000"/>
            </w:tcBorders>
            <w:tcMar>
              <w:top w:w="0" w:type="dxa"/>
              <w:left w:w="40" w:type="dxa"/>
              <w:bottom w:w="0" w:type="dxa"/>
              <w:right w:w="40" w:type="dxa"/>
            </w:tcMar>
            <w:hideMark/>
          </w:tcPr>
          <w:p w:rsidR="00293E62" w:rsidRPr="00293E62" w14:paraId="0711AFE2" w14:textId="296BFB2F">
            <w:pPr>
              <w:pStyle w:val="NormalWeb"/>
              <w:spacing w:before="0" w:beforeAutospacing="0" w:after="0" w:afterAutospacing="0"/>
            </w:pPr>
            <w:r>
              <w:rPr>
                <w:color w:val="000000"/>
              </w:rPr>
              <w:t>Alaska Mariculture S</w:t>
            </w:r>
            <w:r w:rsidRPr="00293E62">
              <w:rPr>
                <w:color w:val="000000"/>
              </w:rPr>
              <w:t>urvey</w:t>
            </w:r>
          </w:p>
        </w:tc>
        <w:tc>
          <w:tcPr>
            <w:tcW w:w="0" w:type="auto"/>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293E62" w:rsidRPr="00293E62" w14:paraId="4C9536B6" w14:textId="77777777">
            <w:pPr>
              <w:pStyle w:val="NormalWeb"/>
              <w:spacing w:before="0" w:beforeAutospacing="0" w:after="160" w:afterAutospacing="0"/>
              <w:rPr>
                <w:sz w:val="20"/>
              </w:rPr>
            </w:pPr>
            <w:r w:rsidRPr="00293E62">
              <w:rPr>
                <w:color w:val="000000"/>
                <w:sz w:val="20"/>
              </w:rPr>
              <w:t>First-Line Supervisors of Farming, Fishing, And Forestry Workers</w:t>
            </w:r>
          </w:p>
        </w:tc>
        <w:tc>
          <w:tcPr>
            <w:tcW w:w="1387"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293E62" w:rsidRPr="00293E62" w14:paraId="1360B425" w14:textId="77777777">
            <w:pPr>
              <w:pStyle w:val="NormalWeb"/>
              <w:spacing w:before="0" w:beforeAutospacing="0" w:after="0" w:afterAutospacing="0"/>
              <w:jc w:val="center"/>
            </w:pPr>
            <w:r w:rsidRPr="00293E62">
              <w:rPr>
                <w:color w:val="000000"/>
              </w:rPr>
              <w:t>80</w:t>
            </w:r>
          </w:p>
        </w:tc>
        <w:tc>
          <w:tcPr>
            <w:tcW w:w="1397"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293E62" w:rsidRPr="00293E62" w14:paraId="7FEBA29D" w14:textId="77777777">
            <w:pPr>
              <w:pStyle w:val="NormalWeb"/>
              <w:spacing w:before="0" w:beforeAutospacing="0" w:after="0" w:afterAutospacing="0"/>
              <w:jc w:val="center"/>
            </w:pPr>
            <w:r w:rsidRPr="00293E62">
              <w:rPr>
                <w:color w:val="000000"/>
              </w:rPr>
              <w:t>1</w:t>
            </w:r>
          </w:p>
        </w:tc>
        <w:tc>
          <w:tcPr>
            <w:tcW w:w="1350"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293E62" w:rsidRPr="00293E62" w14:paraId="0DCA6390" w14:textId="77777777">
            <w:pPr>
              <w:pStyle w:val="NormalWeb"/>
              <w:spacing w:before="0" w:beforeAutospacing="0" w:after="0" w:afterAutospacing="0"/>
              <w:jc w:val="center"/>
            </w:pPr>
            <w:r w:rsidRPr="00293E62">
              <w:rPr>
                <w:color w:val="000000"/>
              </w:rPr>
              <w:t>80</w:t>
            </w:r>
          </w:p>
        </w:tc>
        <w:tc>
          <w:tcPr>
            <w:tcW w:w="1170"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293E62" w:rsidRPr="00293E62" w14:paraId="285A4ED3" w14:textId="77777777">
            <w:pPr>
              <w:pStyle w:val="NormalWeb"/>
              <w:spacing w:before="0" w:beforeAutospacing="0" w:after="0" w:afterAutospacing="0"/>
              <w:jc w:val="center"/>
            </w:pPr>
            <w:r w:rsidRPr="00293E62">
              <w:rPr>
                <w:color w:val="000000"/>
              </w:rPr>
              <w:t>.75</w:t>
            </w:r>
          </w:p>
        </w:tc>
        <w:tc>
          <w:tcPr>
            <w:tcW w:w="1381"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293E62" w:rsidRPr="00293E62" w14:paraId="2B8EC161" w14:textId="77777777">
            <w:pPr>
              <w:pStyle w:val="NormalWeb"/>
              <w:spacing w:before="0" w:beforeAutospacing="0" w:after="0" w:afterAutospacing="0"/>
              <w:jc w:val="center"/>
            </w:pPr>
            <w:r w:rsidRPr="00293E62">
              <w:rPr>
                <w:color w:val="000000"/>
              </w:rPr>
              <w:t>60</w:t>
            </w:r>
          </w:p>
        </w:tc>
        <w:tc>
          <w:tcPr>
            <w:tcW w:w="1499"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293E62" w:rsidRPr="00293E62" w14:paraId="1E9D8014" w14:textId="77777777">
            <w:pPr>
              <w:pStyle w:val="NormalWeb"/>
              <w:spacing w:before="0" w:beforeAutospacing="0" w:after="0" w:afterAutospacing="0"/>
              <w:jc w:val="right"/>
            </w:pPr>
            <w:r w:rsidRPr="00293E62">
              <w:rPr>
                <w:color w:val="000000"/>
              </w:rPr>
              <w:t>$26.00</w:t>
            </w:r>
          </w:p>
        </w:tc>
        <w:tc>
          <w:tcPr>
            <w:tcW w:w="1530" w:type="dxa"/>
            <w:tcBorders>
              <w:top w:val="single" w:sz="12" w:space="0" w:color="000000"/>
              <w:left w:val="single" w:sz="4" w:space="0" w:color="000000"/>
              <w:bottom w:val="single" w:sz="4" w:space="0" w:color="000000"/>
              <w:right w:val="single" w:sz="12" w:space="0" w:color="000000"/>
            </w:tcBorders>
            <w:tcMar>
              <w:top w:w="0" w:type="dxa"/>
              <w:left w:w="40" w:type="dxa"/>
              <w:bottom w:w="0" w:type="dxa"/>
              <w:right w:w="40" w:type="dxa"/>
            </w:tcMar>
            <w:hideMark/>
          </w:tcPr>
          <w:p w:rsidR="00293E62" w:rsidRPr="00293E62" w14:paraId="1B4750F1" w14:textId="77777777">
            <w:pPr>
              <w:pStyle w:val="NormalWeb"/>
              <w:spacing w:before="0" w:beforeAutospacing="0" w:after="0" w:afterAutospacing="0"/>
              <w:jc w:val="right"/>
            </w:pPr>
            <w:r w:rsidRPr="00293E62">
              <w:rPr>
                <w:color w:val="000000"/>
              </w:rPr>
              <w:t>$1,560</w:t>
            </w:r>
          </w:p>
        </w:tc>
      </w:tr>
      <w:tr w14:paraId="37C5F5BC" w14:textId="77777777" w:rsidTr="00293E62">
        <w:tblPrEx>
          <w:tblW w:w="13125" w:type="dxa"/>
          <w:tblCellMar>
            <w:top w:w="15" w:type="dxa"/>
            <w:left w:w="15" w:type="dxa"/>
            <w:bottom w:w="15" w:type="dxa"/>
            <w:right w:w="15" w:type="dxa"/>
          </w:tblCellMar>
          <w:tblLook w:val="04A0"/>
        </w:tblPrEx>
        <w:trPr>
          <w:trHeight w:val="300"/>
        </w:trPr>
        <w:tc>
          <w:tcPr>
            <w:tcW w:w="0" w:type="auto"/>
            <w:tcBorders>
              <w:top w:val="single" w:sz="4" w:space="0" w:color="000000"/>
              <w:left w:val="single" w:sz="12" w:space="0" w:color="000000"/>
              <w:bottom w:val="single" w:sz="12" w:space="0" w:color="000000"/>
              <w:right w:val="single" w:sz="12" w:space="0" w:color="000000"/>
            </w:tcBorders>
            <w:shd w:val="clear" w:color="auto" w:fill="DEEAF6"/>
            <w:tcMar>
              <w:top w:w="0" w:type="dxa"/>
              <w:left w:w="40" w:type="dxa"/>
              <w:bottom w:w="0" w:type="dxa"/>
              <w:right w:w="40" w:type="dxa"/>
            </w:tcMar>
            <w:vAlign w:val="bottom"/>
            <w:hideMark/>
          </w:tcPr>
          <w:p w:rsidR="00293E62" w:rsidRPr="00293E62" w14:paraId="7BCC5BFD" w14:textId="77777777">
            <w:pPr>
              <w:pStyle w:val="NormalWeb"/>
              <w:spacing w:before="0" w:beforeAutospacing="0" w:after="0" w:afterAutospacing="0"/>
              <w:rPr>
                <w:sz w:val="22"/>
              </w:rPr>
            </w:pPr>
            <w:r w:rsidRPr="00293E62">
              <w:rPr>
                <w:b/>
                <w:bCs/>
                <w:color w:val="000000"/>
                <w:sz w:val="22"/>
              </w:rPr>
              <w:t>Totals</w:t>
            </w:r>
          </w:p>
        </w:tc>
        <w:tc>
          <w:tcPr>
            <w:tcW w:w="0" w:type="auto"/>
            <w:tcBorders>
              <w:top w:val="single" w:sz="4" w:space="0" w:color="000000"/>
              <w:left w:val="single" w:sz="12" w:space="0" w:color="000000"/>
              <w:bottom w:val="single" w:sz="12" w:space="0" w:color="000000"/>
              <w:right w:val="single" w:sz="12" w:space="0" w:color="000000"/>
            </w:tcBorders>
            <w:shd w:val="clear" w:color="auto" w:fill="000000"/>
            <w:tcMar>
              <w:top w:w="0" w:type="dxa"/>
              <w:left w:w="40" w:type="dxa"/>
              <w:bottom w:w="0" w:type="dxa"/>
              <w:right w:w="40" w:type="dxa"/>
            </w:tcMar>
            <w:vAlign w:val="bottom"/>
            <w:hideMark/>
          </w:tcPr>
          <w:p w:rsidR="00293E62" w:rsidRPr="00293E62" w14:paraId="69F1EB06" w14:textId="77777777">
            <w:pPr>
              <w:rPr>
                <w:rFonts w:cs="Times New Roman"/>
                <w:szCs w:val="24"/>
              </w:rPr>
            </w:pPr>
          </w:p>
        </w:tc>
        <w:tc>
          <w:tcPr>
            <w:tcW w:w="1387" w:type="dxa"/>
            <w:tcBorders>
              <w:top w:val="single" w:sz="4" w:space="0" w:color="000000"/>
              <w:left w:val="single" w:sz="12" w:space="0" w:color="000000"/>
              <w:bottom w:val="single" w:sz="12" w:space="0" w:color="000000"/>
              <w:right w:val="single" w:sz="12" w:space="0" w:color="000000"/>
            </w:tcBorders>
            <w:shd w:val="clear" w:color="auto" w:fill="000000"/>
            <w:tcMar>
              <w:top w:w="0" w:type="dxa"/>
              <w:left w:w="40" w:type="dxa"/>
              <w:bottom w:w="0" w:type="dxa"/>
              <w:right w:w="40" w:type="dxa"/>
            </w:tcMar>
            <w:vAlign w:val="bottom"/>
            <w:hideMark/>
          </w:tcPr>
          <w:p w:rsidR="00293E62" w:rsidRPr="00293E62" w14:paraId="00D23799" w14:textId="77777777">
            <w:pPr>
              <w:rPr>
                <w:rFonts w:cs="Times New Roman"/>
                <w:szCs w:val="24"/>
              </w:rPr>
            </w:pPr>
          </w:p>
        </w:tc>
        <w:tc>
          <w:tcPr>
            <w:tcW w:w="1397" w:type="dxa"/>
            <w:tcBorders>
              <w:top w:val="single" w:sz="4" w:space="0" w:color="000000"/>
              <w:left w:val="single" w:sz="12" w:space="0" w:color="000000"/>
              <w:bottom w:val="single" w:sz="12" w:space="0" w:color="000000"/>
              <w:right w:val="single" w:sz="12" w:space="0" w:color="000000"/>
            </w:tcBorders>
            <w:shd w:val="clear" w:color="auto" w:fill="000000"/>
            <w:tcMar>
              <w:top w:w="0" w:type="dxa"/>
              <w:left w:w="40" w:type="dxa"/>
              <w:bottom w:w="0" w:type="dxa"/>
              <w:right w:w="40" w:type="dxa"/>
            </w:tcMar>
            <w:vAlign w:val="bottom"/>
            <w:hideMark/>
          </w:tcPr>
          <w:p w:rsidR="00293E62" w:rsidRPr="00293E62" w14:paraId="1BABAA12" w14:textId="77777777">
            <w:pPr>
              <w:rPr>
                <w:rFonts w:cs="Times New Roman"/>
                <w:szCs w:val="24"/>
              </w:rPr>
            </w:pPr>
          </w:p>
        </w:tc>
        <w:tc>
          <w:tcPr>
            <w:tcW w:w="1350" w:type="dxa"/>
            <w:tcBorders>
              <w:top w:val="single" w:sz="4" w:space="0" w:color="000000"/>
              <w:left w:val="single" w:sz="12" w:space="0" w:color="000000"/>
              <w:bottom w:val="single" w:sz="12" w:space="0" w:color="000000"/>
              <w:right w:val="single" w:sz="12" w:space="0" w:color="000000"/>
            </w:tcBorders>
            <w:shd w:val="clear" w:color="auto" w:fill="DEEAF6"/>
            <w:tcMar>
              <w:top w:w="0" w:type="dxa"/>
              <w:left w:w="40" w:type="dxa"/>
              <w:bottom w:w="0" w:type="dxa"/>
              <w:right w:w="40" w:type="dxa"/>
            </w:tcMar>
            <w:vAlign w:val="bottom"/>
            <w:hideMark/>
          </w:tcPr>
          <w:p w:rsidR="00293E62" w:rsidRPr="00293E62" w14:paraId="23A844F1" w14:textId="77777777">
            <w:pPr>
              <w:pStyle w:val="NormalWeb"/>
              <w:spacing w:before="0" w:beforeAutospacing="0" w:after="0" w:afterAutospacing="0"/>
              <w:jc w:val="center"/>
              <w:rPr>
                <w:sz w:val="22"/>
              </w:rPr>
            </w:pPr>
            <w:r w:rsidRPr="00293E62">
              <w:rPr>
                <w:b/>
                <w:bCs/>
                <w:color w:val="000000"/>
                <w:sz w:val="22"/>
              </w:rPr>
              <w:t>80</w:t>
            </w:r>
          </w:p>
        </w:tc>
        <w:tc>
          <w:tcPr>
            <w:tcW w:w="1170" w:type="dxa"/>
            <w:tcBorders>
              <w:top w:val="single" w:sz="4" w:space="0" w:color="000000"/>
              <w:left w:val="single" w:sz="12" w:space="0" w:color="000000"/>
              <w:bottom w:val="single" w:sz="12" w:space="0" w:color="000000"/>
              <w:right w:val="single" w:sz="12" w:space="0" w:color="000000"/>
            </w:tcBorders>
            <w:shd w:val="clear" w:color="auto" w:fill="000000"/>
            <w:tcMar>
              <w:top w:w="0" w:type="dxa"/>
              <w:left w:w="40" w:type="dxa"/>
              <w:bottom w:w="0" w:type="dxa"/>
              <w:right w:w="40" w:type="dxa"/>
            </w:tcMar>
            <w:vAlign w:val="bottom"/>
            <w:hideMark/>
          </w:tcPr>
          <w:p w:rsidR="00293E62" w:rsidRPr="00293E62" w14:paraId="09698CB6" w14:textId="77777777">
            <w:pPr>
              <w:rPr>
                <w:rFonts w:cs="Times New Roman"/>
                <w:szCs w:val="24"/>
              </w:rPr>
            </w:pPr>
          </w:p>
        </w:tc>
        <w:tc>
          <w:tcPr>
            <w:tcW w:w="1381" w:type="dxa"/>
            <w:tcBorders>
              <w:top w:val="single" w:sz="4" w:space="0" w:color="000000"/>
              <w:left w:val="single" w:sz="12" w:space="0" w:color="000000"/>
              <w:bottom w:val="single" w:sz="12" w:space="0" w:color="000000"/>
              <w:right w:val="single" w:sz="12" w:space="0" w:color="000000"/>
            </w:tcBorders>
            <w:shd w:val="clear" w:color="auto" w:fill="DEEAF6"/>
            <w:tcMar>
              <w:top w:w="0" w:type="dxa"/>
              <w:left w:w="40" w:type="dxa"/>
              <w:bottom w:w="0" w:type="dxa"/>
              <w:right w:w="40" w:type="dxa"/>
            </w:tcMar>
            <w:vAlign w:val="bottom"/>
            <w:hideMark/>
          </w:tcPr>
          <w:p w:rsidR="00293E62" w:rsidRPr="00293E62" w14:paraId="3147D1F6" w14:textId="77777777">
            <w:pPr>
              <w:pStyle w:val="NormalWeb"/>
              <w:spacing w:before="0" w:beforeAutospacing="0" w:after="0" w:afterAutospacing="0"/>
              <w:jc w:val="center"/>
              <w:rPr>
                <w:sz w:val="22"/>
              </w:rPr>
            </w:pPr>
            <w:r w:rsidRPr="00293E62">
              <w:rPr>
                <w:b/>
                <w:bCs/>
                <w:color w:val="000000"/>
                <w:sz w:val="22"/>
              </w:rPr>
              <w:t>60</w:t>
            </w:r>
          </w:p>
        </w:tc>
        <w:tc>
          <w:tcPr>
            <w:tcW w:w="1499" w:type="dxa"/>
            <w:tcBorders>
              <w:top w:val="single" w:sz="4" w:space="0" w:color="000000"/>
              <w:left w:val="single" w:sz="12" w:space="0" w:color="000000"/>
              <w:bottom w:val="single" w:sz="12" w:space="0" w:color="000000"/>
              <w:right w:val="single" w:sz="12" w:space="0" w:color="000000"/>
            </w:tcBorders>
            <w:shd w:val="clear" w:color="auto" w:fill="000000"/>
            <w:tcMar>
              <w:top w:w="0" w:type="dxa"/>
              <w:left w:w="40" w:type="dxa"/>
              <w:bottom w:w="0" w:type="dxa"/>
              <w:right w:w="40" w:type="dxa"/>
            </w:tcMar>
            <w:vAlign w:val="bottom"/>
            <w:hideMark/>
          </w:tcPr>
          <w:p w:rsidR="00293E62" w:rsidRPr="00293E62" w14:paraId="2B4E902A" w14:textId="77777777">
            <w:pPr>
              <w:rPr>
                <w:rFonts w:cs="Times New Roman"/>
                <w:szCs w:val="24"/>
              </w:rPr>
            </w:pPr>
          </w:p>
        </w:tc>
        <w:tc>
          <w:tcPr>
            <w:tcW w:w="1530" w:type="dxa"/>
            <w:tcBorders>
              <w:top w:val="single" w:sz="4" w:space="0" w:color="000000"/>
              <w:left w:val="single" w:sz="12" w:space="0" w:color="000000"/>
              <w:bottom w:val="single" w:sz="12" w:space="0" w:color="000000"/>
              <w:right w:val="single" w:sz="12" w:space="0" w:color="000000"/>
            </w:tcBorders>
            <w:shd w:val="clear" w:color="auto" w:fill="DEEAF6"/>
            <w:tcMar>
              <w:top w:w="0" w:type="dxa"/>
              <w:left w:w="40" w:type="dxa"/>
              <w:bottom w:w="0" w:type="dxa"/>
              <w:right w:w="40" w:type="dxa"/>
            </w:tcMar>
            <w:vAlign w:val="bottom"/>
            <w:hideMark/>
          </w:tcPr>
          <w:p w:rsidR="00293E62" w:rsidRPr="00293E62" w14:paraId="7FFD6984" w14:textId="77777777">
            <w:pPr>
              <w:pStyle w:val="NormalWeb"/>
              <w:spacing w:before="0" w:beforeAutospacing="0" w:after="0" w:afterAutospacing="0"/>
              <w:jc w:val="right"/>
              <w:rPr>
                <w:sz w:val="22"/>
              </w:rPr>
            </w:pPr>
            <w:r w:rsidRPr="00293E62">
              <w:rPr>
                <w:b/>
                <w:bCs/>
                <w:color w:val="000000"/>
                <w:sz w:val="22"/>
              </w:rPr>
              <w:t>$1,560</w:t>
            </w:r>
          </w:p>
        </w:tc>
      </w:tr>
    </w:tbl>
    <w:p w:rsidR="00293E62" w:rsidRPr="00293E62" w:rsidP="00D34C22" w14:paraId="40710A6F" w14:textId="34577D47">
      <w:pPr>
        <w:jc w:val="both"/>
        <w:rPr>
          <w:szCs w:val="24"/>
        </w:rPr>
        <w:sectPr w:rsidSect="00277E12">
          <w:pgSz w:w="15840" w:h="12240" w:orient="landscape"/>
          <w:pgMar w:top="1440" w:right="1440" w:bottom="1440" w:left="1440" w:header="720" w:footer="720" w:gutter="0"/>
          <w:cols w:space="720"/>
          <w:docGrid w:linePitch="360"/>
        </w:sectPr>
      </w:pPr>
      <w:r w:rsidRPr="00293E62">
        <w:rPr>
          <w:szCs w:val="24"/>
        </w:rPr>
        <w:t xml:space="preserve"> </w:t>
      </w:r>
      <w:r w:rsidRPr="00293E62" w:rsidR="00D34C22">
        <w:rPr>
          <w:szCs w:val="24"/>
        </w:rPr>
        <w:t xml:space="preserve">* Wage rate is calculated from the Alaskan Department of Labor and Workforce Developments’ 2022 Alaska Statewide Wages under the “First-Line Supervisors of Farming, Fishing, And Forestry Workers” category. We choose this category </w:t>
      </w:r>
      <w:r w:rsidR="00A60FF5">
        <w:rPr>
          <w:szCs w:val="24"/>
        </w:rPr>
        <w:t>based on</w:t>
      </w:r>
      <w:r w:rsidRPr="00293E62" w:rsidR="00D34C22">
        <w:rPr>
          <w:szCs w:val="24"/>
        </w:rPr>
        <w:t xml:space="preserve"> conversations with mariculture operators that expressed that their full-time occupation is in fisheries </w:t>
      </w:r>
      <w:r w:rsidR="00F921C6">
        <w:rPr>
          <w:szCs w:val="24"/>
        </w:rPr>
        <w:t>or fisheries related activities</w:t>
      </w:r>
      <w:r w:rsidRPr="00293E62" w:rsidR="00D34C22">
        <w:rPr>
          <w:szCs w:val="24"/>
        </w:rPr>
        <w:t xml:space="preserve">. </w:t>
      </w:r>
    </w:p>
    <w:p w:rsidR="00B8128E" w:rsidP="00F3106F" w14:paraId="4BAA15B2" w14:textId="77777777">
      <w:pPr>
        <w:pStyle w:val="ListParagraph"/>
        <w:numPr>
          <w:ilvl w:val="0"/>
          <w:numId w:val="1"/>
        </w:numPr>
        <w:ind w:left="0" w:hanging="720"/>
        <w:rPr>
          <w:b/>
          <w:sz w:val="24"/>
          <w:szCs w:val="24"/>
        </w:rPr>
      </w:pPr>
      <w:r w:rsidRPr="00212AD8">
        <w:rPr>
          <w:b/>
          <w:sz w:val="24"/>
          <w:szCs w:val="24"/>
        </w:rPr>
        <w:t>Provide an estimate for the total annual cost burden to respondents or record keepers resulting from the collection of information. (Do</w:t>
      </w:r>
      <w:r w:rsidRPr="00212AD8">
        <w:rPr>
          <w:b/>
          <w:sz w:val="24"/>
          <w:szCs w:val="24"/>
        </w:rPr>
        <w:t xml:space="preserve"> not include the cost of any hour burden already reflected on the burden worksheet).</w:t>
      </w:r>
    </w:p>
    <w:p w:rsidR="00230753" w:rsidRPr="00230753" w:rsidP="000B51FC" w14:paraId="570F318B" w14:textId="77777777">
      <w:pPr>
        <w:pStyle w:val="ListParagraph"/>
        <w:ind w:left="0"/>
        <w:rPr>
          <w:b/>
          <w:sz w:val="8"/>
          <w:szCs w:val="8"/>
        </w:rPr>
      </w:pPr>
    </w:p>
    <w:p w:rsidR="00B8128E" w:rsidP="000B51FC" w14:paraId="3E9498BE" w14:textId="77777777">
      <w:pPr>
        <w:pStyle w:val="ListParagraph"/>
        <w:ind w:left="0"/>
        <w:rPr>
          <w:sz w:val="24"/>
          <w:szCs w:val="24"/>
        </w:rPr>
      </w:pPr>
    </w:p>
    <w:p w:rsidR="009E291D" w:rsidP="000B51FC" w14:paraId="65B4950D" w14:textId="77777777">
      <w:pPr>
        <w:pStyle w:val="ListParagraph"/>
        <w:ind w:left="0"/>
        <w:rPr>
          <w:sz w:val="24"/>
          <w:szCs w:val="24"/>
        </w:rPr>
      </w:pPr>
      <w:r>
        <w:rPr>
          <w:sz w:val="24"/>
          <w:szCs w:val="24"/>
        </w:rPr>
        <w:t xml:space="preserve">There will be no monetary cost burden to respondents or record keepers from this data collection. </w:t>
      </w:r>
    </w:p>
    <w:p w:rsidR="00293E62" w:rsidP="000B51FC" w14:paraId="5BC7005E" w14:textId="77777777">
      <w:pPr>
        <w:pStyle w:val="ListParagraph"/>
        <w:ind w:left="0"/>
        <w:rPr>
          <w:sz w:val="24"/>
          <w:szCs w:val="24"/>
        </w:rPr>
      </w:pPr>
    </w:p>
    <w:p w:rsidR="009E291D" w:rsidP="00F3106F" w14:paraId="0514B80A" w14:textId="445B2229">
      <w:pPr>
        <w:pStyle w:val="ListParagraph"/>
        <w:numPr>
          <w:ilvl w:val="0"/>
          <w:numId w:val="1"/>
        </w:numPr>
        <w:ind w:left="0" w:hanging="720"/>
        <w:rPr>
          <w:b/>
          <w:sz w:val="24"/>
          <w:szCs w:val="24"/>
        </w:rPr>
      </w:pPr>
      <w:r w:rsidRPr="00212AD8">
        <w:rPr>
          <w:b/>
          <w:sz w:val="24"/>
          <w:szCs w:val="24"/>
        </w:rPr>
        <w:t xml:space="preserve">Provide estimates of annualized costs to the Federal </w:t>
      </w:r>
      <w:r w:rsidRPr="00212AD8">
        <w:rPr>
          <w:b/>
          <w:sz w:val="24"/>
          <w:szCs w:val="24"/>
        </w:rPr>
        <w:t>government. Also, provide a description of the method used to estimate cost, which should include quantification of hours, operational expenses (such as equipment, overhead, printing, and support staff), and any other expense that would not have been incur</w:t>
      </w:r>
      <w:r w:rsidRPr="00212AD8">
        <w:rPr>
          <w:b/>
          <w:sz w:val="24"/>
          <w:szCs w:val="24"/>
        </w:rPr>
        <w:t>red without this collection of information. Agencies may also aggregate cost estimates from Items 12, 13, and 14 in a single table.</w:t>
      </w:r>
    </w:p>
    <w:p w:rsidR="00B973BA" w:rsidRPr="00B973BA" w:rsidP="00B973BA" w14:paraId="773A61F2" w14:textId="77777777">
      <w:pPr>
        <w:rPr>
          <w:b/>
          <w:sz w:val="24"/>
          <w:szCs w:val="24"/>
        </w:rPr>
      </w:pPr>
    </w:p>
    <w:tbl>
      <w:tblPr>
        <w:tblW w:w="0" w:type="auto"/>
        <w:shd w:val="clear" w:color="auto" w:fill="FFFFFF"/>
        <w:tblCellMar>
          <w:left w:w="0" w:type="dxa"/>
          <w:right w:w="0" w:type="dxa"/>
        </w:tblCellMar>
        <w:tblLook w:val="04A0"/>
      </w:tblPr>
      <w:tblGrid>
        <w:gridCol w:w="1497"/>
        <w:gridCol w:w="1098"/>
        <w:gridCol w:w="1620"/>
        <w:gridCol w:w="1163"/>
        <w:gridCol w:w="1908"/>
        <w:gridCol w:w="1519"/>
      </w:tblGrid>
      <w:tr w14:paraId="3357DCCD" w14:textId="77777777" w:rsidTr="00F3106F">
        <w:tblPrEx>
          <w:tblW w:w="0" w:type="auto"/>
          <w:shd w:val="clear" w:color="auto" w:fill="FFFFFF"/>
          <w:tblCellMar>
            <w:left w:w="0" w:type="dxa"/>
            <w:right w:w="0" w:type="dxa"/>
          </w:tblCellMar>
          <w:tblLook w:val="04A0"/>
        </w:tblPrEx>
        <w:trPr>
          <w:trHeight w:val="405"/>
        </w:trPr>
        <w:tc>
          <w:tcPr>
            <w:tcW w:w="1497" w:type="dxa"/>
            <w:tcBorders>
              <w:top w:val="single" w:sz="12" w:space="0" w:color="000000"/>
              <w:left w:val="single" w:sz="12" w:space="0" w:color="000000"/>
              <w:bottom w:val="single" w:sz="8" w:space="0" w:color="000000"/>
              <w:right w:val="single" w:sz="12" w:space="0" w:color="000000"/>
            </w:tcBorders>
            <w:shd w:val="clear" w:color="auto" w:fill="BDD6EE"/>
            <w:tcMar>
              <w:top w:w="0" w:type="dxa"/>
              <w:left w:w="40" w:type="dxa"/>
              <w:bottom w:w="0" w:type="dxa"/>
              <w:right w:w="40" w:type="dxa"/>
            </w:tcMar>
            <w:vAlign w:val="center"/>
            <w:hideMark/>
          </w:tcPr>
          <w:p w:rsidR="00B973BA" w:rsidRPr="00F3106F" w:rsidP="00B973BA" w14:paraId="3B8FD42A" w14:textId="77777777">
            <w:pPr>
              <w:spacing w:after="0" w:line="240" w:lineRule="auto"/>
              <w:jc w:val="center"/>
              <w:rPr>
                <w:rFonts w:eastAsia="Times New Roman" w:asciiTheme="minorHAnsi" w:hAnsiTheme="minorHAnsi" w:cstheme="minorHAnsi"/>
                <w:color w:val="222222"/>
                <w:sz w:val="18"/>
                <w:szCs w:val="18"/>
              </w:rPr>
            </w:pPr>
            <w:r w:rsidRPr="00F3106F">
              <w:rPr>
                <w:rFonts w:eastAsia="Times New Roman" w:asciiTheme="minorHAnsi" w:hAnsiTheme="minorHAnsi" w:cstheme="minorHAnsi"/>
                <w:b/>
                <w:bCs/>
                <w:color w:val="000000"/>
                <w:sz w:val="18"/>
                <w:szCs w:val="18"/>
              </w:rPr>
              <w:t>Cost Descriptions</w:t>
            </w:r>
          </w:p>
        </w:tc>
        <w:tc>
          <w:tcPr>
            <w:tcW w:w="1098" w:type="dxa"/>
            <w:tcBorders>
              <w:top w:val="single" w:sz="12" w:space="0" w:color="000000"/>
              <w:left w:val="nil"/>
              <w:bottom w:val="single" w:sz="8" w:space="0" w:color="000000"/>
              <w:right w:val="single" w:sz="12" w:space="0" w:color="000000"/>
            </w:tcBorders>
            <w:shd w:val="clear" w:color="auto" w:fill="BDD6EE"/>
            <w:tcMar>
              <w:top w:w="0" w:type="dxa"/>
              <w:left w:w="40" w:type="dxa"/>
              <w:bottom w:w="0" w:type="dxa"/>
              <w:right w:w="40" w:type="dxa"/>
            </w:tcMar>
            <w:vAlign w:val="center"/>
            <w:hideMark/>
          </w:tcPr>
          <w:p w:rsidR="00B973BA" w:rsidRPr="00F3106F" w:rsidP="00B973BA" w14:paraId="17CB32FD" w14:textId="77777777">
            <w:pPr>
              <w:spacing w:after="0" w:line="240" w:lineRule="auto"/>
              <w:jc w:val="center"/>
              <w:rPr>
                <w:rFonts w:eastAsia="Times New Roman" w:asciiTheme="minorHAnsi" w:hAnsiTheme="minorHAnsi" w:cstheme="minorHAnsi"/>
                <w:color w:val="222222"/>
                <w:sz w:val="18"/>
                <w:szCs w:val="18"/>
              </w:rPr>
            </w:pPr>
            <w:r w:rsidRPr="00F3106F">
              <w:rPr>
                <w:rFonts w:eastAsia="Times New Roman" w:asciiTheme="minorHAnsi" w:hAnsiTheme="minorHAnsi" w:cstheme="minorHAnsi"/>
                <w:b/>
                <w:bCs/>
                <w:color w:val="000000"/>
                <w:sz w:val="18"/>
                <w:szCs w:val="18"/>
              </w:rPr>
              <w:t>Grade/Step</w:t>
            </w:r>
          </w:p>
        </w:tc>
        <w:tc>
          <w:tcPr>
            <w:tcW w:w="1620" w:type="dxa"/>
            <w:tcBorders>
              <w:top w:val="single" w:sz="12" w:space="0" w:color="000000"/>
              <w:left w:val="nil"/>
              <w:bottom w:val="single" w:sz="8" w:space="0" w:color="000000"/>
              <w:right w:val="single" w:sz="12" w:space="0" w:color="000000"/>
            </w:tcBorders>
            <w:shd w:val="clear" w:color="auto" w:fill="BDD6EE"/>
            <w:tcMar>
              <w:top w:w="0" w:type="dxa"/>
              <w:left w:w="40" w:type="dxa"/>
              <w:bottom w:w="0" w:type="dxa"/>
              <w:right w:w="40" w:type="dxa"/>
            </w:tcMar>
            <w:vAlign w:val="center"/>
            <w:hideMark/>
          </w:tcPr>
          <w:p w:rsidR="00B973BA" w:rsidRPr="00F3106F" w:rsidP="00B973BA" w14:paraId="696FE4AE" w14:textId="77777777">
            <w:pPr>
              <w:spacing w:after="0" w:line="240" w:lineRule="auto"/>
              <w:jc w:val="center"/>
              <w:rPr>
                <w:rFonts w:eastAsia="Times New Roman" w:asciiTheme="minorHAnsi" w:hAnsiTheme="minorHAnsi" w:cstheme="minorHAnsi"/>
                <w:color w:val="222222"/>
                <w:sz w:val="18"/>
                <w:szCs w:val="18"/>
              </w:rPr>
            </w:pPr>
            <w:r w:rsidRPr="00F3106F">
              <w:rPr>
                <w:rFonts w:eastAsia="Times New Roman" w:asciiTheme="minorHAnsi" w:hAnsiTheme="minorHAnsi" w:cstheme="minorHAnsi"/>
                <w:b/>
                <w:bCs/>
                <w:color w:val="000000"/>
                <w:sz w:val="18"/>
                <w:szCs w:val="18"/>
              </w:rPr>
              <w:t>Loaded Salary /Cost</w:t>
            </w:r>
          </w:p>
        </w:tc>
        <w:tc>
          <w:tcPr>
            <w:tcW w:w="1163" w:type="dxa"/>
            <w:tcBorders>
              <w:top w:val="single" w:sz="12" w:space="0" w:color="000000"/>
              <w:left w:val="nil"/>
              <w:bottom w:val="single" w:sz="8" w:space="0" w:color="000000"/>
              <w:right w:val="single" w:sz="12" w:space="0" w:color="000000"/>
            </w:tcBorders>
            <w:shd w:val="clear" w:color="auto" w:fill="BDD6EE"/>
            <w:tcMar>
              <w:top w:w="0" w:type="dxa"/>
              <w:left w:w="40" w:type="dxa"/>
              <w:bottom w:w="0" w:type="dxa"/>
              <w:right w:w="40" w:type="dxa"/>
            </w:tcMar>
            <w:vAlign w:val="center"/>
            <w:hideMark/>
          </w:tcPr>
          <w:p w:rsidR="00B973BA" w:rsidRPr="00F3106F" w:rsidP="00B973BA" w14:paraId="04A4E013" w14:textId="77777777">
            <w:pPr>
              <w:spacing w:after="0" w:line="240" w:lineRule="auto"/>
              <w:jc w:val="center"/>
              <w:rPr>
                <w:rFonts w:eastAsia="Times New Roman" w:asciiTheme="minorHAnsi" w:hAnsiTheme="minorHAnsi" w:cstheme="minorHAnsi"/>
                <w:color w:val="222222"/>
                <w:sz w:val="18"/>
                <w:szCs w:val="18"/>
              </w:rPr>
            </w:pPr>
            <w:r w:rsidRPr="00F3106F">
              <w:rPr>
                <w:rFonts w:eastAsia="Times New Roman" w:asciiTheme="minorHAnsi" w:hAnsiTheme="minorHAnsi" w:cstheme="minorHAnsi"/>
                <w:b/>
                <w:bCs/>
                <w:color w:val="000000"/>
                <w:sz w:val="18"/>
                <w:szCs w:val="18"/>
              </w:rPr>
              <w:t>% of Effort</w:t>
            </w:r>
          </w:p>
        </w:tc>
        <w:tc>
          <w:tcPr>
            <w:tcW w:w="1908" w:type="dxa"/>
            <w:tcBorders>
              <w:top w:val="single" w:sz="12" w:space="0" w:color="000000"/>
              <w:left w:val="nil"/>
              <w:bottom w:val="single" w:sz="8" w:space="0" w:color="000000"/>
              <w:right w:val="single" w:sz="12" w:space="0" w:color="000000"/>
            </w:tcBorders>
            <w:shd w:val="clear" w:color="auto" w:fill="BDD6EE"/>
            <w:tcMar>
              <w:top w:w="0" w:type="dxa"/>
              <w:left w:w="40" w:type="dxa"/>
              <w:bottom w:w="0" w:type="dxa"/>
              <w:right w:w="40" w:type="dxa"/>
            </w:tcMar>
            <w:vAlign w:val="center"/>
            <w:hideMark/>
          </w:tcPr>
          <w:p w:rsidR="00B973BA" w:rsidRPr="00F3106F" w:rsidP="00B973BA" w14:paraId="4434EBDB" w14:textId="77777777">
            <w:pPr>
              <w:spacing w:after="0" w:line="240" w:lineRule="auto"/>
              <w:jc w:val="center"/>
              <w:rPr>
                <w:rFonts w:eastAsia="Times New Roman" w:asciiTheme="minorHAnsi" w:hAnsiTheme="minorHAnsi" w:cstheme="minorHAnsi"/>
                <w:color w:val="222222"/>
                <w:sz w:val="18"/>
                <w:szCs w:val="18"/>
              </w:rPr>
            </w:pPr>
            <w:r w:rsidRPr="00F3106F">
              <w:rPr>
                <w:rFonts w:eastAsia="Times New Roman" w:asciiTheme="minorHAnsi" w:hAnsiTheme="minorHAnsi" w:cstheme="minorHAnsi"/>
                <w:b/>
                <w:bCs/>
                <w:color w:val="000000"/>
                <w:sz w:val="18"/>
                <w:szCs w:val="18"/>
              </w:rPr>
              <w:t>Fringe (if Applicable)</w:t>
            </w:r>
          </w:p>
        </w:tc>
        <w:tc>
          <w:tcPr>
            <w:tcW w:w="1519" w:type="dxa"/>
            <w:tcBorders>
              <w:top w:val="single" w:sz="12" w:space="0" w:color="000000"/>
              <w:left w:val="nil"/>
              <w:bottom w:val="single" w:sz="8" w:space="0" w:color="000000"/>
              <w:right w:val="single" w:sz="12" w:space="0" w:color="000000"/>
            </w:tcBorders>
            <w:shd w:val="clear" w:color="auto" w:fill="BDD6EE"/>
            <w:tcMar>
              <w:top w:w="0" w:type="dxa"/>
              <w:left w:w="40" w:type="dxa"/>
              <w:bottom w:w="0" w:type="dxa"/>
              <w:right w:w="40" w:type="dxa"/>
            </w:tcMar>
            <w:vAlign w:val="center"/>
            <w:hideMark/>
          </w:tcPr>
          <w:p w:rsidR="00B973BA" w:rsidRPr="00F3106F" w:rsidP="00B973BA" w14:paraId="3D48F7D1" w14:textId="77777777">
            <w:pPr>
              <w:spacing w:after="0" w:line="240" w:lineRule="auto"/>
              <w:jc w:val="center"/>
              <w:rPr>
                <w:rFonts w:eastAsia="Times New Roman" w:asciiTheme="minorHAnsi" w:hAnsiTheme="minorHAnsi" w:cstheme="minorHAnsi"/>
                <w:color w:val="222222"/>
                <w:sz w:val="18"/>
                <w:szCs w:val="18"/>
              </w:rPr>
            </w:pPr>
            <w:r w:rsidRPr="00F3106F">
              <w:rPr>
                <w:rFonts w:eastAsia="Times New Roman" w:asciiTheme="minorHAnsi" w:hAnsiTheme="minorHAnsi" w:cstheme="minorHAnsi"/>
                <w:b/>
                <w:bCs/>
                <w:color w:val="000000"/>
                <w:sz w:val="18"/>
                <w:szCs w:val="18"/>
              </w:rPr>
              <w:t>Total Cost to Government</w:t>
            </w:r>
          </w:p>
        </w:tc>
      </w:tr>
      <w:tr w14:paraId="7737C0B5" w14:textId="77777777" w:rsidTr="00F3106F">
        <w:tblPrEx>
          <w:tblW w:w="0" w:type="auto"/>
          <w:shd w:val="clear" w:color="auto" w:fill="FFFFFF"/>
          <w:tblCellMar>
            <w:left w:w="0" w:type="dxa"/>
            <w:right w:w="0" w:type="dxa"/>
          </w:tblCellMar>
          <w:tblLook w:val="04A0"/>
        </w:tblPrEx>
        <w:trPr>
          <w:trHeight w:val="300"/>
        </w:trPr>
        <w:tc>
          <w:tcPr>
            <w:tcW w:w="1497" w:type="dxa"/>
            <w:tcBorders>
              <w:top w:val="nil"/>
              <w:left w:val="single" w:sz="12" w:space="0" w:color="000000"/>
              <w:bottom w:val="single" w:sz="8" w:space="0" w:color="000000"/>
              <w:right w:val="single" w:sz="12" w:space="0" w:color="000000"/>
            </w:tcBorders>
            <w:shd w:val="clear" w:color="auto" w:fill="FFFFFF"/>
            <w:tcMar>
              <w:top w:w="0" w:type="dxa"/>
              <w:left w:w="40" w:type="dxa"/>
              <w:bottom w:w="0" w:type="dxa"/>
              <w:right w:w="40" w:type="dxa"/>
            </w:tcMar>
            <w:vAlign w:val="bottom"/>
            <w:hideMark/>
          </w:tcPr>
          <w:p w:rsidR="00B973BA" w:rsidRPr="00F3106F" w:rsidP="00B973BA" w14:paraId="4CBE7013" w14:textId="77777777">
            <w:pPr>
              <w:spacing w:after="0" w:line="240" w:lineRule="auto"/>
              <w:rPr>
                <w:rFonts w:eastAsia="Times New Roman" w:asciiTheme="minorHAnsi" w:hAnsiTheme="minorHAnsi" w:cstheme="minorHAnsi"/>
                <w:color w:val="222222"/>
                <w:sz w:val="18"/>
                <w:szCs w:val="18"/>
              </w:rPr>
            </w:pPr>
            <w:r w:rsidRPr="00F3106F">
              <w:rPr>
                <w:rFonts w:eastAsia="Times New Roman" w:asciiTheme="minorHAnsi" w:hAnsiTheme="minorHAnsi" w:cstheme="minorHAnsi"/>
                <w:b/>
                <w:bCs/>
                <w:color w:val="000000"/>
                <w:sz w:val="18"/>
                <w:szCs w:val="18"/>
              </w:rPr>
              <w:t xml:space="preserve">Federal </w:t>
            </w:r>
            <w:r w:rsidRPr="00F3106F">
              <w:rPr>
                <w:rFonts w:eastAsia="Times New Roman" w:asciiTheme="minorHAnsi" w:hAnsiTheme="minorHAnsi" w:cstheme="minorHAnsi"/>
                <w:b/>
                <w:bCs/>
                <w:color w:val="000000"/>
                <w:sz w:val="18"/>
                <w:szCs w:val="18"/>
              </w:rPr>
              <w:t>Oversight</w:t>
            </w:r>
          </w:p>
        </w:tc>
        <w:tc>
          <w:tcPr>
            <w:tcW w:w="109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bottom"/>
            <w:hideMark/>
          </w:tcPr>
          <w:p w:rsidR="00B973BA" w:rsidRPr="00F3106F" w:rsidP="00B973BA" w14:paraId="40DE6D4E" w14:textId="77777777">
            <w:pPr>
              <w:spacing w:after="0" w:line="240" w:lineRule="auto"/>
              <w:rPr>
                <w:rFonts w:eastAsia="Times New Roman" w:asciiTheme="minorHAnsi" w:hAnsiTheme="minorHAnsi" w:cstheme="minorHAnsi"/>
                <w:color w:val="222222"/>
                <w:sz w:val="18"/>
                <w:szCs w:val="18"/>
              </w:rPr>
            </w:pPr>
          </w:p>
        </w:tc>
        <w:tc>
          <w:tcPr>
            <w:tcW w:w="16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bottom"/>
            <w:hideMark/>
          </w:tcPr>
          <w:p w:rsidR="00B973BA" w:rsidRPr="00F3106F" w:rsidP="00B973BA" w14:paraId="30143276" w14:textId="77777777">
            <w:pPr>
              <w:spacing w:after="0" w:line="240" w:lineRule="auto"/>
              <w:rPr>
                <w:rFonts w:eastAsia="Times New Roman" w:asciiTheme="minorHAnsi" w:hAnsiTheme="minorHAnsi" w:cstheme="minorHAnsi"/>
                <w:sz w:val="18"/>
                <w:szCs w:val="18"/>
              </w:rPr>
            </w:pPr>
          </w:p>
        </w:tc>
        <w:tc>
          <w:tcPr>
            <w:tcW w:w="116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bottom"/>
            <w:hideMark/>
          </w:tcPr>
          <w:p w:rsidR="00B973BA" w:rsidRPr="00F3106F" w:rsidP="00B973BA" w14:paraId="11E0ACA4" w14:textId="77777777">
            <w:pPr>
              <w:spacing w:after="0" w:line="240" w:lineRule="auto"/>
              <w:rPr>
                <w:rFonts w:eastAsia="Times New Roman" w:asciiTheme="minorHAnsi" w:hAnsiTheme="minorHAnsi" w:cstheme="minorHAnsi"/>
                <w:sz w:val="18"/>
                <w:szCs w:val="18"/>
              </w:rPr>
            </w:pPr>
          </w:p>
        </w:tc>
        <w:tc>
          <w:tcPr>
            <w:tcW w:w="1908" w:type="dxa"/>
            <w:tcBorders>
              <w:top w:val="nil"/>
              <w:left w:val="nil"/>
              <w:bottom w:val="single" w:sz="8" w:space="0" w:color="000000"/>
              <w:right w:val="single" w:sz="8" w:space="0" w:color="000000"/>
            </w:tcBorders>
            <w:shd w:val="clear" w:color="auto" w:fill="7F7F7F"/>
            <w:tcMar>
              <w:top w:w="0" w:type="dxa"/>
              <w:left w:w="40" w:type="dxa"/>
              <w:bottom w:w="0" w:type="dxa"/>
              <w:right w:w="40" w:type="dxa"/>
            </w:tcMar>
            <w:vAlign w:val="bottom"/>
            <w:hideMark/>
          </w:tcPr>
          <w:p w:rsidR="00B973BA" w:rsidRPr="00F3106F" w:rsidP="00B973BA" w14:paraId="734BC5E6" w14:textId="77777777">
            <w:pPr>
              <w:spacing w:after="0" w:line="240" w:lineRule="auto"/>
              <w:rPr>
                <w:rFonts w:eastAsia="Times New Roman" w:asciiTheme="minorHAnsi" w:hAnsiTheme="minorHAnsi" w:cstheme="minorHAnsi"/>
                <w:sz w:val="18"/>
                <w:szCs w:val="18"/>
              </w:rPr>
            </w:pPr>
          </w:p>
        </w:tc>
        <w:tc>
          <w:tcPr>
            <w:tcW w:w="1519" w:type="dxa"/>
            <w:tcBorders>
              <w:top w:val="nil"/>
              <w:left w:val="nil"/>
              <w:bottom w:val="single" w:sz="8" w:space="0" w:color="000000"/>
              <w:right w:val="single" w:sz="12" w:space="0" w:color="000000"/>
            </w:tcBorders>
            <w:shd w:val="clear" w:color="auto" w:fill="FFFFFF"/>
            <w:tcMar>
              <w:top w:w="0" w:type="dxa"/>
              <w:left w:w="40" w:type="dxa"/>
              <w:bottom w:w="0" w:type="dxa"/>
              <w:right w:w="40" w:type="dxa"/>
            </w:tcMar>
            <w:vAlign w:val="bottom"/>
            <w:hideMark/>
          </w:tcPr>
          <w:p w:rsidR="00B973BA" w:rsidRPr="00F3106F" w:rsidP="00B973BA" w14:paraId="3CF3FCD8" w14:textId="77777777">
            <w:pPr>
              <w:spacing w:after="0" w:line="240" w:lineRule="auto"/>
              <w:rPr>
                <w:rFonts w:eastAsia="Times New Roman" w:asciiTheme="minorHAnsi" w:hAnsiTheme="minorHAnsi" w:cstheme="minorHAnsi"/>
                <w:sz w:val="18"/>
                <w:szCs w:val="18"/>
              </w:rPr>
            </w:pPr>
          </w:p>
        </w:tc>
      </w:tr>
      <w:tr w14:paraId="2A0C62CC" w14:textId="77777777" w:rsidTr="00F3106F">
        <w:tblPrEx>
          <w:tblW w:w="0" w:type="auto"/>
          <w:shd w:val="clear" w:color="auto" w:fill="FFFFFF"/>
          <w:tblCellMar>
            <w:left w:w="0" w:type="dxa"/>
            <w:right w:w="0" w:type="dxa"/>
          </w:tblCellMar>
          <w:tblLook w:val="04A0"/>
        </w:tblPrEx>
        <w:trPr>
          <w:trHeight w:val="300"/>
        </w:trPr>
        <w:tc>
          <w:tcPr>
            <w:tcW w:w="1497" w:type="dxa"/>
            <w:tcBorders>
              <w:top w:val="nil"/>
              <w:left w:val="single" w:sz="12" w:space="0" w:color="000000"/>
              <w:bottom w:val="single" w:sz="8" w:space="0" w:color="000000"/>
              <w:right w:val="single" w:sz="12" w:space="0" w:color="000000"/>
            </w:tcBorders>
            <w:shd w:val="clear" w:color="auto" w:fill="FFFFFF"/>
            <w:tcMar>
              <w:top w:w="0" w:type="dxa"/>
              <w:left w:w="40" w:type="dxa"/>
              <w:bottom w:w="0" w:type="dxa"/>
              <w:right w:w="40" w:type="dxa"/>
            </w:tcMar>
            <w:vAlign w:val="bottom"/>
            <w:hideMark/>
          </w:tcPr>
          <w:p w:rsidR="00B973BA" w:rsidRPr="00F3106F" w:rsidP="00B973BA" w14:paraId="30E8E294" w14:textId="77777777">
            <w:pPr>
              <w:spacing w:after="0" w:line="240" w:lineRule="auto"/>
              <w:rPr>
                <w:rFonts w:eastAsia="Times New Roman" w:asciiTheme="minorHAnsi" w:hAnsiTheme="minorHAnsi" w:cstheme="minorHAnsi"/>
                <w:color w:val="222222"/>
                <w:sz w:val="18"/>
                <w:szCs w:val="18"/>
              </w:rPr>
            </w:pPr>
            <w:r w:rsidRPr="00F3106F">
              <w:rPr>
                <w:rFonts w:eastAsia="Times New Roman" w:asciiTheme="minorHAnsi" w:hAnsiTheme="minorHAnsi" w:cstheme="minorHAnsi"/>
                <w:color w:val="000000"/>
                <w:sz w:val="18"/>
                <w:szCs w:val="18"/>
              </w:rPr>
              <w:t>Other Federal Positions</w:t>
            </w:r>
          </w:p>
        </w:tc>
        <w:tc>
          <w:tcPr>
            <w:tcW w:w="109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bottom"/>
            <w:hideMark/>
          </w:tcPr>
          <w:p w:rsidR="00B973BA" w:rsidRPr="00F3106F" w:rsidP="00B973BA" w14:paraId="7149274C" w14:textId="77777777">
            <w:pPr>
              <w:spacing w:after="0" w:line="240" w:lineRule="auto"/>
              <w:rPr>
                <w:rFonts w:eastAsia="Times New Roman" w:asciiTheme="minorHAnsi" w:hAnsiTheme="minorHAnsi" w:cstheme="minorHAnsi"/>
                <w:color w:val="222222"/>
                <w:sz w:val="18"/>
                <w:szCs w:val="18"/>
              </w:rPr>
            </w:pPr>
            <w:r w:rsidRPr="00F3106F">
              <w:rPr>
                <w:rFonts w:eastAsia="Times New Roman" w:asciiTheme="minorHAnsi" w:hAnsiTheme="minorHAnsi" w:cstheme="minorHAnsi"/>
                <w:color w:val="222222"/>
                <w:sz w:val="18"/>
                <w:szCs w:val="18"/>
              </w:rPr>
              <w:t>GS-13</w:t>
            </w:r>
          </w:p>
        </w:tc>
        <w:tc>
          <w:tcPr>
            <w:tcW w:w="16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bottom"/>
            <w:hideMark/>
          </w:tcPr>
          <w:p w:rsidR="00B973BA" w:rsidRPr="00F3106F" w:rsidP="00B973BA" w14:paraId="1E757F27" w14:textId="77777777">
            <w:pPr>
              <w:spacing w:after="0" w:line="240" w:lineRule="auto"/>
              <w:rPr>
                <w:rFonts w:eastAsia="Times New Roman" w:asciiTheme="minorHAnsi" w:hAnsiTheme="minorHAnsi" w:cstheme="minorHAnsi"/>
                <w:color w:val="222222"/>
                <w:sz w:val="18"/>
                <w:szCs w:val="18"/>
              </w:rPr>
            </w:pPr>
            <w:r w:rsidRPr="00F3106F">
              <w:rPr>
                <w:rFonts w:eastAsia="Times New Roman" w:asciiTheme="minorHAnsi" w:hAnsiTheme="minorHAnsi" w:cstheme="minorHAnsi"/>
                <w:color w:val="222222"/>
                <w:sz w:val="18"/>
                <w:szCs w:val="18"/>
              </w:rPr>
              <w:t>$175,797</w:t>
            </w:r>
          </w:p>
        </w:tc>
        <w:tc>
          <w:tcPr>
            <w:tcW w:w="116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bottom"/>
            <w:hideMark/>
          </w:tcPr>
          <w:p w:rsidR="00B973BA" w:rsidRPr="00F3106F" w:rsidP="00B973BA" w14:paraId="1C9BCE6A" w14:textId="77777777">
            <w:pPr>
              <w:spacing w:after="0" w:line="240" w:lineRule="auto"/>
              <w:rPr>
                <w:rFonts w:eastAsia="Times New Roman" w:asciiTheme="minorHAnsi" w:hAnsiTheme="minorHAnsi" w:cstheme="minorHAnsi"/>
                <w:color w:val="222222"/>
                <w:sz w:val="18"/>
                <w:szCs w:val="18"/>
              </w:rPr>
            </w:pPr>
            <w:r w:rsidRPr="00F3106F">
              <w:rPr>
                <w:rFonts w:eastAsia="Times New Roman" w:asciiTheme="minorHAnsi" w:hAnsiTheme="minorHAnsi" w:cstheme="minorHAnsi"/>
                <w:color w:val="222222"/>
                <w:sz w:val="18"/>
                <w:szCs w:val="18"/>
              </w:rPr>
              <w:t>1%</w:t>
            </w:r>
          </w:p>
        </w:tc>
        <w:tc>
          <w:tcPr>
            <w:tcW w:w="1908" w:type="dxa"/>
            <w:tcBorders>
              <w:top w:val="nil"/>
              <w:left w:val="nil"/>
              <w:bottom w:val="single" w:sz="8" w:space="0" w:color="000000"/>
              <w:right w:val="single" w:sz="8" w:space="0" w:color="000000"/>
            </w:tcBorders>
            <w:shd w:val="clear" w:color="auto" w:fill="7F7F7F"/>
            <w:tcMar>
              <w:top w:w="0" w:type="dxa"/>
              <w:left w:w="40" w:type="dxa"/>
              <w:bottom w:w="0" w:type="dxa"/>
              <w:right w:w="40" w:type="dxa"/>
            </w:tcMar>
            <w:vAlign w:val="bottom"/>
            <w:hideMark/>
          </w:tcPr>
          <w:p w:rsidR="00B973BA" w:rsidRPr="00F3106F" w:rsidP="00B973BA" w14:paraId="204A8AC8" w14:textId="77777777">
            <w:pPr>
              <w:spacing w:after="0" w:line="240" w:lineRule="auto"/>
              <w:rPr>
                <w:rFonts w:eastAsia="Times New Roman" w:asciiTheme="minorHAnsi" w:hAnsiTheme="minorHAnsi" w:cstheme="minorHAnsi"/>
                <w:color w:val="222222"/>
                <w:sz w:val="18"/>
                <w:szCs w:val="18"/>
              </w:rPr>
            </w:pPr>
          </w:p>
        </w:tc>
        <w:tc>
          <w:tcPr>
            <w:tcW w:w="1519" w:type="dxa"/>
            <w:tcBorders>
              <w:top w:val="nil"/>
              <w:left w:val="nil"/>
              <w:bottom w:val="single" w:sz="8" w:space="0" w:color="000000"/>
              <w:right w:val="single" w:sz="12" w:space="0" w:color="000000"/>
            </w:tcBorders>
            <w:shd w:val="clear" w:color="auto" w:fill="FFFFFF"/>
            <w:tcMar>
              <w:top w:w="0" w:type="dxa"/>
              <w:left w:w="40" w:type="dxa"/>
              <w:bottom w:w="0" w:type="dxa"/>
              <w:right w:w="40" w:type="dxa"/>
            </w:tcMar>
            <w:vAlign w:val="bottom"/>
            <w:hideMark/>
          </w:tcPr>
          <w:p w:rsidR="00B973BA" w:rsidRPr="00F3106F" w:rsidP="00B973BA" w14:paraId="66BADF10" w14:textId="77777777">
            <w:pPr>
              <w:spacing w:after="0" w:line="240" w:lineRule="auto"/>
              <w:rPr>
                <w:rFonts w:eastAsia="Times New Roman" w:asciiTheme="minorHAnsi" w:hAnsiTheme="minorHAnsi" w:cstheme="minorHAnsi"/>
                <w:color w:val="222222"/>
                <w:sz w:val="18"/>
                <w:szCs w:val="18"/>
              </w:rPr>
            </w:pPr>
            <w:r w:rsidRPr="00F3106F">
              <w:rPr>
                <w:rFonts w:eastAsia="Times New Roman" w:asciiTheme="minorHAnsi" w:hAnsiTheme="minorHAnsi" w:cstheme="minorHAnsi"/>
                <w:color w:val="222222"/>
                <w:sz w:val="18"/>
                <w:szCs w:val="18"/>
              </w:rPr>
              <w:t>$1,758</w:t>
            </w:r>
          </w:p>
        </w:tc>
      </w:tr>
      <w:tr w14:paraId="7147F61D" w14:textId="77777777" w:rsidTr="00F3106F">
        <w:tblPrEx>
          <w:tblW w:w="0" w:type="auto"/>
          <w:shd w:val="clear" w:color="auto" w:fill="FFFFFF"/>
          <w:tblCellMar>
            <w:left w:w="0" w:type="dxa"/>
            <w:right w:w="0" w:type="dxa"/>
          </w:tblCellMar>
          <w:tblLook w:val="04A0"/>
        </w:tblPrEx>
        <w:trPr>
          <w:trHeight w:val="300"/>
        </w:trPr>
        <w:tc>
          <w:tcPr>
            <w:tcW w:w="1497" w:type="dxa"/>
            <w:tcBorders>
              <w:top w:val="nil"/>
              <w:left w:val="single" w:sz="12" w:space="0" w:color="000000"/>
              <w:bottom w:val="single" w:sz="8" w:space="0" w:color="000000"/>
              <w:right w:val="single" w:sz="12" w:space="0" w:color="000000"/>
            </w:tcBorders>
            <w:shd w:val="clear" w:color="auto" w:fill="FFFFFF"/>
            <w:tcMar>
              <w:top w:w="0" w:type="dxa"/>
              <w:left w:w="40" w:type="dxa"/>
              <w:bottom w:w="0" w:type="dxa"/>
              <w:right w:w="40" w:type="dxa"/>
            </w:tcMar>
            <w:vAlign w:val="bottom"/>
            <w:hideMark/>
          </w:tcPr>
          <w:p w:rsidR="00B973BA" w:rsidRPr="00F3106F" w:rsidP="00B973BA" w14:paraId="3836FADC" w14:textId="77777777">
            <w:pPr>
              <w:spacing w:after="0" w:line="240" w:lineRule="auto"/>
              <w:rPr>
                <w:rFonts w:eastAsia="Times New Roman" w:asciiTheme="minorHAnsi" w:hAnsiTheme="minorHAnsi" w:cstheme="minorHAnsi"/>
                <w:color w:val="222222"/>
                <w:sz w:val="18"/>
                <w:szCs w:val="18"/>
              </w:rPr>
            </w:pPr>
          </w:p>
        </w:tc>
        <w:tc>
          <w:tcPr>
            <w:tcW w:w="109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bottom"/>
            <w:hideMark/>
          </w:tcPr>
          <w:p w:rsidR="00B973BA" w:rsidRPr="00F3106F" w:rsidP="00B973BA" w14:paraId="3042A017" w14:textId="77777777">
            <w:pPr>
              <w:spacing w:after="0" w:line="240" w:lineRule="auto"/>
              <w:rPr>
                <w:rFonts w:eastAsia="Times New Roman" w:asciiTheme="minorHAnsi" w:hAnsiTheme="minorHAnsi" w:cstheme="minorHAnsi"/>
                <w:sz w:val="18"/>
                <w:szCs w:val="18"/>
              </w:rPr>
            </w:pPr>
          </w:p>
        </w:tc>
        <w:tc>
          <w:tcPr>
            <w:tcW w:w="16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bottom"/>
            <w:hideMark/>
          </w:tcPr>
          <w:p w:rsidR="00B973BA" w:rsidRPr="00F3106F" w:rsidP="00B973BA" w14:paraId="070467DA" w14:textId="77777777">
            <w:pPr>
              <w:spacing w:after="0" w:line="240" w:lineRule="auto"/>
              <w:rPr>
                <w:rFonts w:eastAsia="Times New Roman" w:asciiTheme="minorHAnsi" w:hAnsiTheme="minorHAnsi" w:cstheme="minorHAnsi"/>
                <w:sz w:val="18"/>
                <w:szCs w:val="18"/>
              </w:rPr>
            </w:pPr>
          </w:p>
        </w:tc>
        <w:tc>
          <w:tcPr>
            <w:tcW w:w="116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bottom"/>
            <w:hideMark/>
          </w:tcPr>
          <w:p w:rsidR="00B973BA" w:rsidRPr="00F3106F" w:rsidP="00B973BA" w14:paraId="4F10D356" w14:textId="77777777">
            <w:pPr>
              <w:spacing w:after="0" w:line="240" w:lineRule="auto"/>
              <w:rPr>
                <w:rFonts w:eastAsia="Times New Roman" w:asciiTheme="minorHAnsi" w:hAnsiTheme="minorHAnsi" w:cstheme="minorHAnsi"/>
                <w:sz w:val="18"/>
                <w:szCs w:val="18"/>
              </w:rPr>
            </w:pPr>
          </w:p>
        </w:tc>
        <w:tc>
          <w:tcPr>
            <w:tcW w:w="1908" w:type="dxa"/>
            <w:tcBorders>
              <w:top w:val="nil"/>
              <w:left w:val="nil"/>
              <w:bottom w:val="single" w:sz="8" w:space="0" w:color="000000"/>
              <w:right w:val="single" w:sz="8" w:space="0" w:color="000000"/>
            </w:tcBorders>
            <w:shd w:val="clear" w:color="auto" w:fill="7F7F7F"/>
            <w:tcMar>
              <w:top w:w="0" w:type="dxa"/>
              <w:left w:w="40" w:type="dxa"/>
              <w:bottom w:w="0" w:type="dxa"/>
              <w:right w:w="40" w:type="dxa"/>
            </w:tcMar>
            <w:vAlign w:val="bottom"/>
            <w:hideMark/>
          </w:tcPr>
          <w:p w:rsidR="00B973BA" w:rsidRPr="00F3106F" w:rsidP="00B973BA" w14:paraId="53886C79" w14:textId="77777777">
            <w:pPr>
              <w:spacing w:after="0" w:line="240" w:lineRule="auto"/>
              <w:rPr>
                <w:rFonts w:eastAsia="Times New Roman" w:asciiTheme="minorHAnsi" w:hAnsiTheme="minorHAnsi" w:cstheme="minorHAnsi"/>
                <w:sz w:val="18"/>
                <w:szCs w:val="18"/>
              </w:rPr>
            </w:pPr>
          </w:p>
        </w:tc>
        <w:tc>
          <w:tcPr>
            <w:tcW w:w="1519" w:type="dxa"/>
            <w:tcBorders>
              <w:top w:val="nil"/>
              <w:left w:val="nil"/>
              <w:bottom w:val="single" w:sz="8" w:space="0" w:color="000000"/>
              <w:right w:val="single" w:sz="12" w:space="0" w:color="000000"/>
            </w:tcBorders>
            <w:shd w:val="clear" w:color="auto" w:fill="FFFFFF"/>
            <w:tcMar>
              <w:top w:w="0" w:type="dxa"/>
              <w:left w:w="40" w:type="dxa"/>
              <w:bottom w:w="0" w:type="dxa"/>
              <w:right w:w="40" w:type="dxa"/>
            </w:tcMar>
            <w:vAlign w:val="bottom"/>
            <w:hideMark/>
          </w:tcPr>
          <w:p w:rsidR="00B973BA" w:rsidRPr="00F3106F" w:rsidP="00B973BA" w14:paraId="33B63CD1" w14:textId="77777777">
            <w:pPr>
              <w:spacing w:after="0" w:line="240" w:lineRule="auto"/>
              <w:rPr>
                <w:rFonts w:eastAsia="Times New Roman" w:asciiTheme="minorHAnsi" w:hAnsiTheme="minorHAnsi" w:cstheme="minorHAnsi"/>
                <w:sz w:val="18"/>
                <w:szCs w:val="18"/>
              </w:rPr>
            </w:pPr>
          </w:p>
        </w:tc>
      </w:tr>
      <w:tr w14:paraId="3B966B75" w14:textId="77777777" w:rsidTr="00F3106F">
        <w:tblPrEx>
          <w:tblW w:w="0" w:type="auto"/>
          <w:shd w:val="clear" w:color="auto" w:fill="FFFFFF"/>
          <w:tblCellMar>
            <w:left w:w="0" w:type="dxa"/>
            <w:right w:w="0" w:type="dxa"/>
          </w:tblCellMar>
          <w:tblLook w:val="04A0"/>
        </w:tblPrEx>
        <w:trPr>
          <w:trHeight w:val="300"/>
        </w:trPr>
        <w:tc>
          <w:tcPr>
            <w:tcW w:w="1497" w:type="dxa"/>
            <w:tcBorders>
              <w:top w:val="nil"/>
              <w:left w:val="single" w:sz="12" w:space="0" w:color="000000"/>
              <w:bottom w:val="single" w:sz="8" w:space="0" w:color="000000"/>
              <w:right w:val="single" w:sz="12" w:space="0" w:color="000000"/>
            </w:tcBorders>
            <w:shd w:val="clear" w:color="auto" w:fill="FFFFFF"/>
            <w:tcMar>
              <w:top w:w="0" w:type="dxa"/>
              <w:left w:w="40" w:type="dxa"/>
              <w:bottom w:w="0" w:type="dxa"/>
              <w:right w:w="40" w:type="dxa"/>
            </w:tcMar>
            <w:vAlign w:val="bottom"/>
            <w:hideMark/>
          </w:tcPr>
          <w:p w:rsidR="00B973BA" w:rsidRPr="00F3106F" w:rsidP="00B973BA" w14:paraId="74E97A0B" w14:textId="77777777">
            <w:pPr>
              <w:spacing w:after="0" w:line="240" w:lineRule="auto"/>
              <w:rPr>
                <w:rFonts w:eastAsia="Times New Roman" w:asciiTheme="minorHAnsi" w:hAnsiTheme="minorHAnsi" w:cstheme="minorHAnsi"/>
                <w:color w:val="222222"/>
                <w:sz w:val="18"/>
                <w:szCs w:val="18"/>
              </w:rPr>
            </w:pPr>
            <w:r w:rsidRPr="00F3106F">
              <w:rPr>
                <w:rFonts w:eastAsia="Times New Roman" w:asciiTheme="minorHAnsi" w:hAnsiTheme="minorHAnsi" w:cstheme="minorHAnsi"/>
                <w:b/>
                <w:bCs/>
                <w:color w:val="000000"/>
                <w:sz w:val="18"/>
                <w:szCs w:val="18"/>
              </w:rPr>
              <w:t>Contractor Cost</w:t>
            </w:r>
          </w:p>
        </w:tc>
        <w:tc>
          <w:tcPr>
            <w:tcW w:w="1098" w:type="dxa"/>
            <w:tcBorders>
              <w:top w:val="nil"/>
              <w:left w:val="nil"/>
              <w:bottom w:val="single" w:sz="8" w:space="0" w:color="000000"/>
              <w:right w:val="single" w:sz="8" w:space="0" w:color="000000"/>
            </w:tcBorders>
            <w:shd w:val="clear" w:color="auto" w:fill="7F7F7F"/>
            <w:tcMar>
              <w:top w:w="0" w:type="dxa"/>
              <w:left w:w="40" w:type="dxa"/>
              <w:bottom w:w="0" w:type="dxa"/>
              <w:right w:w="40" w:type="dxa"/>
            </w:tcMar>
            <w:vAlign w:val="bottom"/>
            <w:hideMark/>
          </w:tcPr>
          <w:p w:rsidR="00B973BA" w:rsidRPr="00F3106F" w:rsidP="00B973BA" w14:paraId="3BFBDD13" w14:textId="77777777">
            <w:pPr>
              <w:spacing w:after="0" w:line="240" w:lineRule="auto"/>
              <w:rPr>
                <w:rFonts w:eastAsia="Times New Roman" w:asciiTheme="minorHAnsi" w:hAnsiTheme="minorHAnsi" w:cstheme="minorHAnsi"/>
                <w:color w:val="222222"/>
                <w:sz w:val="18"/>
                <w:szCs w:val="18"/>
              </w:rPr>
            </w:pPr>
          </w:p>
        </w:tc>
        <w:tc>
          <w:tcPr>
            <w:tcW w:w="16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bottom"/>
            <w:hideMark/>
          </w:tcPr>
          <w:p w:rsidR="00B973BA" w:rsidRPr="00F3106F" w:rsidP="00B973BA" w14:paraId="485CFD17" w14:textId="77777777">
            <w:pPr>
              <w:spacing w:after="0" w:line="240" w:lineRule="auto"/>
              <w:rPr>
                <w:rFonts w:eastAsia="Times New Roman" w:asciiTheme="minorHAnsi" w:hAnsiTheme="minorHAnsi" w:cstheme="minorHAnsi"/>
                <w:sz w:val="18"/>
                <w:szCs w:val="18"/>
              </w:rPr>
            </w:pPr>
          </w:p>
        </w:tc>
        <w:tc>
          <w:tcPr>
            <w:tcW w:w="116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bottom"/>
            <w:hideMark/>
          </w:tcPr>
          <w:p w:rsidR="00B973BA" w:rsidRPr="00F3106F" w:rsidP="00B973BA" w14:paraId="3266375E" w14:textId="77777777">
            <w:pPr>
              <w:spacing w:after="0" w:line="240" w:lineRule="auto"/>
              <w:rPr>
                <w:rFonts w:eastAsia="Times New Roman" w:asciiTheme="minorHAnsi" w:hAnsiTheme="minorHAnsi" w:cstheme="minorHAnsi"/>
                <w:sz w:val="18"/>
                <w:szCs w:val="18"/>
              </w:rPr>
            </w:pPr>
          </w:p>
        </w:tc>
        <w:tc>
          <w:tcPr>
            <w:tcW w:w="190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bottom"/>
            <w:hideMark/>
          </w:tcPr>
          <w:p w:rsidR="00B973BA" w:rsidRPr="00F3106F" w:rsidP="00B973BA" w14:paraId="1666ED17" w14:textId="77777777">
            <w:pPr>
              <w:spacing w:after="0" w:line="240" w:lineRule="auto"/>
              <w:rPr>
                <w:rFonts w:eastAsia="Times New Roman" w:asciiTheme="minorHAnsi" w:hAnsiTheme="minorHAnsi" w:cstheme="minorHAnsi"/>
                <w:sz w:val="18"/>
                <w:szCs w:val="18"/>
              </w:rPr>
            </w:pPr>
          </w:p>
        </w:tc>
        <w:tc>
          <w:tcPr>
            <w:tcW w:w="1519" w:type="dxa"/>
            <w:tcBorders>
              <w:top w:val="nil"/>
              <w:left w:val="nil"/>
              <w:bottom w:val="single" w:sz="8" w:space="0" w:color="000000"/>
              <w:right w:val="single" w:sz="12" w:space="0" w:color="000000"/>
            </w:tcBorders>
            <w:shd w:val="clear" w:color="auto" w:fill="FFFFFF"/>
            <w:tcMar>
              <w:top w:w="0" w:type="dxa"/>
              <w:left w:w="40" w:type="dxa"/>
              <w:bottom w:w="0" w:type="dxa"/>
              <w:right w:w="40" w:type="dxa"/>
            </w:tcMar>
            <w:vAlign w:val="bottom"/>
            <w:hideMark/>
          </w:tcPr>
          <w:p w:rsidR="00B973BA" w:rsidRPr="00F3106F" w:rsidP="00B973BA" w14:paraId="05A239F7" w14:textId="77777777">
            <w:pPr>
              <w:spacing w:after="0" w:line="240" w:lineRule="auto"/>
              <w:rPr>
                <w:rFonts w:eastAsia="Times New Roman" w:asciiTheme="minorHAnsi" w:hAnsiTheme="minorHAnsi" w:cstheme="minorHAnsi"/>
                <w:sz w:val="18"/>
                <w:szCs w:val="18"/>
              </w:rPr>
            </w:pPr>
          </w:p>
        </w:tc>
      </w:tr>
      <w:tr w14:paraId="7DD0DE9A" w14:textId="77777777" w:rsidTr="00F3106F">
        <w:tblPrEx>
          <w:tblW w:w="0" w:type="auto"/>
          <w:shd w:val="clear" w:color="auto" w:fill="FFFFFF"/>
          <w:tblCellMar>
            <w:left w:w="0" w:type="dxa"/>
            <w:right w:w="0" w:type="dxa"/>
          </w:tblCellMar>
          <w:tblLook w:val="04A0"/>
        </w:tblPrEx>
        <w:trPr>
          <w:trHeight w:val="300"/>
        </w:trPr>
        <w:tc>
          <w:tcPr>
            <w:tcW w:w="1497" w:type="dxa"/>
            <w:tcBorders>
              <w:top w:val="nil"/>
              <w:left w:val="single" w:sz="12" w:space="0" w:color="000000"/>
              <w:bottom w:val="single" w:sz="8" w:space="0" w:color="000000"/>
              <w:right w:val="single" w:sz="12" w:space="0" w:color="000000"/>
            </w:tcBorders>
            <w:shd w:val="clear" w:color="auto" w:fill="FFFFFF"/>
            <w:tcMar>
              <w:top w:w="0" w:type="dxa"/>
              <w:left w:w="40" w:type="dxa"/>
              <w:bottom w:w="0" w:type="dxa"/>
              <w:right w:w="40" w:type="dxa"/>
            </w:tcMar>
            <w:vAlign w:val="bottom"/>
            <w:hideMark/>
          </w:tcPr>
          <w:p w:rsidR="00B973BA" w:rsidRPr="00F3106F" w:rsidP="00B973BA" w14:paraId="65680063" w14:textId="77777777">
            <w:pPr>
              <w:spacing w:after="0" w:line="240" w:lineRule="auto"/>
              <w:rPr>
                <w:rFonts w:eastAsia="Times New Roman" w:asciiTheme="minorHAnsi" w:hAnsiTheme="minorHAnsi" w:cstheme="minorHAnsi"/>
                <w:color w:val="222222"/>
                <w:sz w:val="18"/>
                <w:szCs w:val="18"/>
              </w:rPr>
            </w:pPr>
            <w:r w:rsidRPr="00F3106F">
              <w:rPr>
                <w:rFonts w:eastAsia="Times New Roman" w:asciiTheme="minorHAnsi" w:hAnsiTheme="minorHAnsi" w:cstheme="minorHAnsi"/>
                <w:b/>
                <w:bCs/>
                <w:color w:val="000000"/>
                <w:sz w:val="18"/>
                <w:szCs w:val="18"/>
              </w:rPr>
              <w:t>Travel</w:t>
            </w:r>
          </w:p>
        </w:tc>
        <w:tc>
          <w:tcPr>
            <w:tcW w:w="1098" w:type="dxa"/>
            <w:tcBorders>
              <w:top w:val="nil"/>
              <w:left w:val="nil"/>
              <w:bottom w:val="single" w:sz="8" w:space="0" w:color="000000"/>
              <w:right w:val="single" w:sz="8" w:space="0" w:color="000000"/>
            </w:tcBorders>
            <w:shd w:val="clear" w:color="auto" w:fill="7F7F7F"/>
            <w:tcMar>
              <w:top w:w="0" w:type="dxa"/>
              <w:left w:w="40" w:type="dxa"/>
              <w:bottom w:w="0" w:type="dxa"/>
              <w:right w:w="40" w:type="dxa"/>
            </w:tcMar>
            <w:vAlign w:val="bottom"/>
            <w:hideMark/>
          </w:tcPr>
          <w:p w:rsidR="00B973BA" w:rsidRPr="00F3106F" w:rsidP="00B973BA" w14:paraId="61E3B738" w14:textId="77777777">
            <w:pPr>
              <w:spacing w:after="0" w:line="240" w:lineRule="auto"/>
              <w:rPr>
                <w:rFonts w:eastAsia="Times New Roman" w:asciiTheme="minorHAnsi" w:hAnsiTheme="minorHAnsi" w:cstheme="minorHAnsi"/>
                <w:color w:val="222222"/>
                <w:sz w:val="18"/>
                <w:szCs w:val="18"/>
              </w:rPr>
            </w:pPr>
          </w:p>
        </w:tc>
        <w:tc>
          <w:tcPr>
            <w:tcW w:w="1620" w:type="dxa"/>
            <w:tcBorders>
              <w:top w:val="nil"/>
              <w:left w:val="nil"/>
              <w:bottom w:val="single" w:sz="8" w:space="0" w:color="000000"/>
              <w:right w:val="single" w:sz="8" w:space="0" w:color="000000"/>
            </w:tcBorders>
            <w:shd w:val="clear" w:color="auto" w:fill="7F7F7F"/>
            <w:tcMar>
              <w:top w:w="0" w:type="dxa"/>
              <w:left w:w="40" w:type="dxa"/>
              <w:bottom w:w="0" w:type="dxa"/>
              <w:right w:w="40" w:type="dxa"/>
            </w:tcMar>
            <w:vAlign w:val="bottom"/>
            <w:hideMark/>
          </w:tcPr>
          <w:p w:rsidR="00B973BA" w:rsidRPr="00F3106F" w:rsidP="00B973BA" w14:paraId="77F8D6B4" w14:textId="77777777">
            <w:pPr>
              <w:spacing w:after="0" w:line="240" w:lineRule="auto"/>
              <w:rPr>
                <w:rFonts w:eastAsia="Times New Roman" w:asciiTheme="minorHAnsi" w:hAnsiTheme="minorHAnsi" w:cstheme="minorHAnsi"/>
                <w:sz w:val="18"/>
                <w:szCs w:val="18"/>
              </w:rPr>
            </w:pPr>
          </w:p>
        </w:tc>
        <w:tc>
          <w:tcPr>
            <w:tcW w:w="1163" w:type="dxa"/>
            <w:tcBorders>
              <w:top w:val="nil"/>
              <w:left w:val="nil"/>
              <w:bottom w:val="single" w:sz="8" w:space="0" w:color="000000"/>
              <w:right w:val="single" w:sz="8" w:space="0" w:color="000000"/>
            </w:tcBorders>
            <w:shd w:val="clear" w:color="auto" w:fill="7F7F7F"/>
            <w:tcMar>
              <w:top w:w="0" w:type="dxa"/>
              <w:left w:w="40" w:type="dxa"/>
              <w:bottom w:w="0" w:type="dxa"/>
              <w:right w:w="40" w:type="dxa"/>
            </w:tcMar>
            <w:vAlign w:val="bottom"/>
            <w:hideMark/>
          </w:tcPr>
          <w:p w:rsidR="00B973BA" w:rsidRPr="00F3106F" w:rsidP="00B973BA" w14:paraId="20519ECB" w14:textId="77777777">
            <w:pPr>
              <w:spacing w:after="0" w:line="240" w:lineRule="auto"/>
              <w:rPr>
                <w:rFonts w:eastAsia="Times New Roman" w:asciiTheme="minorHAnsi" w:hAnsiTheme="minorHAnsi" w:cstheme="minorHAnsi"/>
                <w:sz w:val="18"/>
                <w:szCs w:val="18"/>
              </w:rPr>
            </w:pPr>
          </w:p>
        </w:tc>
        <w:tc>
          <w:tcPr>
            <w:tcW w:w="1908" w:type="dxa"/>
            <w:tcBorders>
              <w:top w:val="nil"/>
              <w:left w:val="nil"/>
              <w:bottom w:val="single" w:sz="8" w:space="0" w:color="000000"/>
              <w:right w:val="single" w:sz="8" w:space="0" w:color="000000"/>
            </w:tcBorders>
            <w:shd w:val="clear" w:color="auto" w:fill="7F7F7F"/>
            <w:tcMar>
              <w:top w:w="0" w:type="dxa"/>
              <w:left w:w="40" w:type="dxa"/>
              <w:bottom w:w="0" w:type="dxa"/>
              <w:right w:w="40" w:type="dxa"/>
            </w:tcMar>
            <w:vAlign w:val="bottom"/>
            <w:hideMark/>
          </w:tcPr>
          <w:p w:rsidR="00B973BA" w:rsidRPr="00F3106F" w:rsidP="00B973BA" w14:paraId="76459EB2" w14:textId="77777777">
            <w:pPr>
              <w:spacing w:after="0" w:line="240" w:lineRule="auto"/>
              <w:rPr>
                <w:rFonts w:eastAsia="Times New Roman" w:asciiTheme="minorHAnsi" w:hAnsiTheme="minorHAnsi" w:cstheme="minorHAnsi"/>
                <w:sz w:val="18"/>
                <w:szCs w:val="18"/>
              </w:rPr>
            </w:pPr>
          </w:p>
        </w:tc>
        <w:tc>
          <w:tcPr>
            <w:tcW w:w="1519" w:type="dxa"/>
            <w:tcBorders>
              <w:top w:val="nil"/>
              <w:left w:val="nil"/>
              <w:bottom w:val="single" w:sz="8" w:space="0" w:color="000000"/>
              <w:right w:val="single" w:sz="12" w:space="0" w:color="000000"/>
            </w:tcBorders>
            <w:shd w:val="clear" w:color="auto" w:fill="FFFFFF"/>
            <w:tcMar>
              <w:top w:w="0" w:type="dxa"/>
              <w:left w:w="40" w:type="dxa"/>
              <w:bottom w:w="0" w:type="dxa"/>
              <w:right w:w="40" w:type="dxa"/>
            </w:tcMar>
            <w:vAlign w:val="bottom"/>
            <w:hideMark/>
          </w:tcPr>
          <w:p w:rsidR="00B973BA" w:rsidRPr="00F3106F" w:rsidP="00B973BA" w14:paraId="67E60168" w14:textId="77777777">
            <w:pPr>
              <w:spacing w:after="0" w:line="240" w:lineRule="auto"/>
              <w:rPr>
                <w:rFonts w:eastAsia="Times New Roman" w:asciiTheme="minorHAnsi" w:hAnsiTheme="minorHAnsi" w:cstheme="minorHAnsi"/>
                <w:sz w:val="18"/>
                <w:szCs w:val="18"/>
              </w:rPr>
            </w:pPr>
          </w:p>
        </w:tc>
      </w:tr>
      <w:tr w14:paraId="79CB3AF1" w14:textId="77777777" w:rsidTr="00F3106F">
        <w:tblPrEx>
          <w:tblW w:w="0" w:type="auto"/>
          <w:shd w:val="clear" w:color="auto" w:fill="FFFFFF"/>
          <w:tblCellMar>
            <w:left w:w="0" w:type="dxa"/>
            <w:right w:w="0" w:type="dxa"/>
          </w:tblCellMar>
          <w:tblLook w:val="04A0"/>
        </w:tblPrEx>
        <w:trPr>
          <w:trHeight w:val="525"/>
        </w:trPr>
        <w:tc>
          <w:tcPr>
            <w:tcW w:w="1497" w:type="dxa"/>
            <w:tcBorders>
              <w:top w:val="nil"/>
              <w:left w:val="single" w:sz="12" w:space="0" w:color="000000"/>
              <w:bottom w:val="single" w:sz="12" w:space="0" w:color="000000"/>
              <w:right w:val="single" w:sz="12" w:space="0" w:color="000000"/>
            </w:tcBorders>
            <w:shd w:val="clear" w:color="auto" w:fill="FFFFFF"/>
            <w:tcMar>
              <w:top w:w="0" w:type="dxa"/>
              <w:left w:w="40" w:type="dxa"/>
              <w:bottom w:w="0" w:type="dxa"/>
              <w:right w:w="40" w:type="dxa"/>
            </w:tcMar>
            <w:vAlign w:val="center"/>
            <w:hideMark/>
          </w:tcPr>
          <w:p w:rsidR="00B973BA" w:rsidRPr="00F3106F" w:rsidP="00B973BA" w14:paraId="50F8A265" w14:textId="77777777">
            <w:pPr>
              <w:spacing w:after="0" w:line="240" w:lineRule="auto"/>
              <w:rPr>
                <w:rFonts w:eastAsia="Times New Roman" w:asciiTheme="minorHAnsi" w:hAnsiTheme="minorHAnsi" w:cstheme="minorHAnsi"/>
                <w:color w:val="222222"/>
                <w:sz w:val="18"/>
                <w:szCs w:val="18"/>
              </w:rPr>
            </w:pPr>
            <w:r w:rsidRPr="00F3106F">
              <w:rPr>
                <w:rFonts w:eastAsia="Times New Roman" w:asciiTheme="minorHAnsi" w:hAnsiTheme="minorHAnsi" w:cstheme="minorHAnsi"/>
                <w:b/>
                <w:bCs/>
                <w:color w:val="000000"/>
                <w:sz w:val="18"/>
                <w:szCs w:val="18"/>
              </w:rPr>
              <w:t>Other Costs:</w:t>
            </w:r>
          </w:p>
          <w:p w:rsidR="00B973BA" w:rsidRPr="00F3106F" w:rsidP="00B973BA" w14:paraId="6D7ADE9F" w14:textId="77777777">
            <w:pPr>
              <w:spacing w:after="0" w:line="240" w:lineRule="auto"/>
              <w:rPr>
                <w:rFonts w:eastAsia="Times New Roman" w:asciiTheme="minorHAnsi" w:hAnsiTheme="minorHAnsi" w:cstheme="minorHAnsi"/>
                <w:color w:val="222222"/>
                <w:sz w:val="18"/>
                <w:szCs w:val="18"/>
              </w:rPr>
            </w:pPr>
            <w:r w:rsidRPr="00F3106F">
              <w:rPr>
                <w:rFonts w:eastAsia="Times New Roman" w:asciiTheme="minorHAnsi" w:hAnsiTheme="minorHAnsi" w:cstheme="minorHAnsi"/>
                <w:b/>
                <w:bCs/>
                <w:color w:val="000000"/>
                <w:sz w:val="18"/>
                <w:szCs w:val="18"/>
              </w:rPr>
              <w:t>Prepaid envelopes</w:t>
            </w:r>
          </w:p>
        </w:tc>
        <w:tc>
          <w:tcPr>
            <w:tcW w:w="1098" w:type="dxa"/>
            <w:tcBorders>
              <w:top w:val="nil"/>
              <w:left w:val="nil"/>
              <w:bottom w:val="single" w:sz="12" w:space="0" w:color="000000"/>
              <w:right w:val="single" w:sz="8" w:space="0" w:color="000000"/>
            </w:tcBorders>
            <w:shd w:val="clear" w:color="auto" w:fill="7F7F7F"/>
            <w:tcMar>
              <w:top w:w="0" w:type="dxa"/>
              <w:left w:w="40" w:type="dxa"/>
              <w:bottom w:w="0" w:type="dxa"/>
              <w:right w:w="40" w:type="dxa"/>
            </w:tcMar>
            <w:vAlign w:val="bottom"/>
            <w:hideMark/>
          </w:tcPr>
          <w:p w:rsidR="00B973BA" w:rsidRPr="00F3106F" w:rsidP="00B973BA" w14:paraId="1DBB631D" w14:textId="77777777">
            <w:pPr>
              <w:spacing w:after="0" w:line="240" w:lineRule="auto"/>
              <w:rPr>
                <w:rFonts w:eastAsia="Times New Roman" w:asciiTheme="minorHAnsi" w:hAnsiTheme="minorHAnsi" w:cstheme="minorHAnsi"/>
                <w:color w:val="222222"/>
                <w:sz w:val="18"/>
                <w:szCs w:val="18"/>
              </w:rPr>
            </w:pPr>
          </w:p>
        </w:tc>
        <w:tc>
          <w:tcPr>
            <w:tcW w:w="1620" w:type="dxa"/>
            <w:tcBorders>
              <w:top w:val="nil"/>
              <w:left w:val="nil"/>
              <w:bottom w:val="single" w:sz="12" w:space="0" w:color="000000"/>
              <w:right w:val="single" w:sz="8" w:space="0" w:color="000000"/>
            </w:tcBorders>
            <w:shd w:val="clear" w:color="auto" w:fill="7F7F7F"/>
            <w:tcMar>
              <w:top w:w="0" w:type="dxa"/>
              <w:left w:w="40" w:type="dxa"/>
              <w:bottom w:w="0" w:type="dxa"/>
              <w:right w:w="40" w:type="dxa"/>
            </w:tcMar>
            <w:vAlign w:val="bottom"/>
            <w:hideMark/>
          </w:tcPr>
          <w:p w:rsidR="00B973BA" w:rsidRPr="00F3106F" w:rsidP="00B973BA" w14:paraId="38D611FF" w14:textId="77777777">
            <w:pPr>
              <w:spacing w:after="0" w:line="240" w:lineRule="auto"/>
              <w:rPr>
                <w:rFonts w:eastAsia="Times New Roman" w:asciiTheme="minorHAnsi" w:hAnsiTheme="minorHAnsi" w:cstheme="minorHAnsi"/>
                <w:sz w:val="18"/>
                <w:szCs w:val="18"/>
              </w:rPr>
            </w:pPr>
          </w:p>
        </w:tc>
        <w:tc>
          <w:tcPr>
            <w:tcW w:w="1163" w:type="dxa"/>
            <w:tcBorders>
              <w:top w:val="nil"/>
              <w:left w:val="nil"/>
              <w:bottom w:val="single" w:sz="12" w:space="0" w:color="000000"/>
              <w:right w:val="single" w:sz="8" w:space="0" w:color="000000"/>
            </w:tcBorders>
            <w:shd w:val="clear" w:color="auto" w:fill="7F7F7F"/>
            <w:tcMar>
              <w:top w:w="0" w:type="dxa"/>
              <w:left w:w="40" w:type="dxa"/>
              <w:bottom w:w="0" w:type="dxa"/>
              <w:right w:w="40" w:type="dxa"/>
            </w:tcMar>
            <w:vAlign w:val="bottom"/>
            <w:hideMark/>
          </w:tcPr>
          <w:p w:rsidR="00B973BA" w:rsidRPr="00F3106F" w:rsidP="00B973BA" w14:paraId="077D41E6" w14:textId="77777777">
            <w:pPr>
              <w:spacing w:after="0" w:line="240" w:lineRule="auto"/>
              <w:rPr>
                <w:rFonts w:eastAsia="Times New Roman" w:asciiTheme="minorHAnsi" w:hAnsiTheme="minorHAnsi" w:cstheme="minorHAnsi"/>
                <w:sz w:val="18"/>
                <w:szCs w:val="18"/>
              </w:rPr>
            </w:pPr>
          </w:p>
        </w:tc>
        <w:tc>
          <w:tcPr>
            <w:tcW w:w="1908" w:type="dxa"/>
            <w:tcBorders>
              <w:top w:val="nil"/>
              <w:left w:val="nil"/>
              <w:bottom w:val="single" w:sz="12" w:space="0" w:color="000000"/>
              <w:right w:val="single" w:sz="8" w:space="0" w:color="000000"/>
            </w:tcBorders>
            <w:shd w:val="clear" w:color="auto" w:fill="7F7F7F"/>
            <w:tcMar>
              <w:top w:w="0" w:type="dxa"/>
              <w:left w:w="40" w:type="dxa"/>
              <w:bottom w:w="0" w:type="dxa"/>
              <w:right w:w="40" w:type="dxa"/>
            </w:tcMar>
            <w:vAlign w:val="bottom"/>
            <w:hideMark/>
          </w:tcPr>
          <w:p w:rsidR="00B973BA" w:rsidRPr="00F3106F" w:rsidP="00B973BA" w14:paraId="6B55DB5C" w14:textId="77777777">
            <w:pPr>
              <w:spacing w:after="0" w:line="240" w:lineRule="auto"/>
              <w:rPr>
                <w:rFonts w:eastAsia="Times New Roman" w:asciiTheme="minorHAnsi" w:hAnsiTheme="minorHAnsi" w:cstheme="minorHAnsi"/>
                <w:sz w:val="18"/>
                <w:szCs w:val="18"/>
              </w:rPr>
            </w:pPr>
          </w:p>
        </w:tc>
        <w:tc>
          <w:tcPr>
            <w:tcW w:w="1519" w:type="dxa"/>
            <w:tcBorders>
              <w:top w:val="nil"/>
              <w:left w:val="nil"/>
              <w:bottom w:val="single" w:sz="12" w:space="0" w:color="000000"/>
              <w:right w:val="single" w:sz="12" w:space="0" w:color="000000"/>
            </w:tcBorders>
            <w:shd w:val="clear" w:color="auto" w:fill="FFFFFF"/>
            <w:tcMar>
              <w:top w:w="0" w:type="dxa"/>
              <w:left w:w="40" w:type="dxa"/>
              <w:bottom w:w="0" w:type="dxa"/>
              <w:right w:w="40" w:type="dxa"/>
            </w:tcMar>
            <w:vAlign w:val="bottom"/>
            <w:hideMark/>
          </w:tcPr>
          <w:p w:rsidR="00B973BA" w:rsidRPr="00F3106F" w:rsidP="00B973BA" w14:paraId="57CD4B36" w14:textId="77777777">
            <w:pPr>
              <w:spacing w:after="0" w:line="240" w:lineRule="auto"/>
              <w:rPr>
                <w:rFonts w:eastAsia="Times New Roman" w:asciiTheme="minorHAnsi" w:hAnsiTheme="minorHAnsi" w:cstheme="minorHAnsi"/>
                <w:color w:val="222222"/>
                <w:sz w:val="18"/>
                <w:szCs w:val="18"/>
              </w:rPr>
            </w:pPr>
            <w:r w:rsidRPr="00F3106F">
              <w:rPr>
                <w:rFonts w:eastAsia="Times New Roman" w:asciiTheme="minorHAnsi" w:hAnsiTheme="minorHAnsi" w:cstheme="minorHAnsi"/>
                <w:color w:val="000000"/>
                <w:sz w:val="18"/>
                <w:szCs w:val="18"/>
              </w:rPr>
              <w:t>$1,500</w:t>
            </w:r>
          </w:p>
        </w:tc>
      </w:tr>
      <w:tr w14:paraId="206E590E" w14:textId="77777777" w:rsidTr="00F3106F">
        <w:tblPrEx>
          <w:tblW w:w="0" w:type="auto"/>
          <w:shd w:val="clear" w:color="auto" w:fill="FFFFFF"/>
          <w:tblCellMar>
            <w:left w:w="0" w:type="dxa"/>
            <w:right w:w="0" w:type="dxa"/>
          </w:tblCellMar>
          <w:tblLook w:val="04A0"/>
        </w:tblPrEx>
        <w:trPr>
          <w:trHeight w:val="300"/>
        </w:trPr>
        <w:tc>
          <w:tcPr>
            <w:tcW w:w="1497" w:type="dxa"/>
            <w:tcBorders>
              <w:top w:val="nil"/>
              <w:left w:val="single" w:sz="12" w:space="0" w:color="000000"/>
              <w:bottom w:val="single" w:sz="12" w:space="0" w:color="000000"/>
              <w:right w:val="single" w:sz="12" w:space="0" w:color="000000"/>
            </w:tcBorders>
            <w:shd w:val="clear" w:color="auto" w:fill="DEEAF6"/>
            <w:tcMar>
              <w:top w:w="0" w:type="dxa"/>
              <w:left w:w="40" w:type="dxa"/>
              <w:bottom w:w="0" w:type="dxa"/>
              <w:right w:w="40" w:type="dxa"/>
            </w:tcMar>
            <w:vAlign w:val="bottom"/>
            <w:hideMark/>
          </w:tcPr>
          <w:p w:rsidR="00B973BA" w:rsidRPr="00F3106F" w:rsidP="00B973BA" w14:paraId="04A13813" w14:textId="77777777">
            <w:pPr>
              <w:spacing w:after="0" w:line="240" w:lineRule="auto"/>
              <w:rPr>
                <w:rFonts w:eastAsia="Times New Roman" w:asciiTheme="minorHAnsi" w:hAnsiTheme="minorHAnsi" w:cstheme="minorHAnsi"/>
                <w:color w:val="222222"/>
                <w:sz w:val="18"/>
                <w:szCs w:val="18"/>
              </w:rPr>
            </w:pPr>
            <w:r w:rsidRPr="00F3106F">
              <w:rPr>
                <w:rFonts w:eastAsia="Times New Roman" w:asciiTheme="minorHAnsi" w:hAnsiTheme="minorHAnsi" w:cstheme="minorHAnsi"/>
                <w:b/>
                <w:bCs/>
                <w:color w:val="000000"/>
                <w:sz w:val="18"/>
                <w:szCs w:val="18"/>
              </w:rPr>
              <w:t>TOTAL</w:t>
            </w:r>
          </w:p>
        </w:tc>
        <w:tc>
          <w:tcPr>
            <w:tcW w:w="1098" w:type="dxa"/>
            <w:tcBorders>
              <w:top w:val="nil"/>
              <w:left w:val="nil"/>
              <w:bottom w:val="single" w:sz="12" w:space="0" w:color="000000"/>
              <w:right w:val="single" w:sz="12" w:space="0" w:color="000000"/>
            </w:tcBorders>
            <w:shd w:val="clear" w:color="auto" w:fill="7F7F7F"/>
            <w:tcMar>
              <w:top w:w="0" w:type="dxa"/>
              <w:left w:w="40" w:type="dxa"/>
              <w:bottom w:w="0" w:type="dxa"/>
              <w:right w:w="40" w:type="dxa"/>
            </w:tcMar>
            <w:vAlign w:val="bottom"/>
            <w:hideMark/>
          </w:tcPr>
          <w:p w:rsidR="00B973BA" w:rsidRPr="00F3106F" w:rsidP="00B973BA" w14:paraId="37F0E295" w14:textId="77777777">
            <w:pPr>
              <w:spacing w:after="0" w:line="240" w:lineRule="auto"/>
              <w:rPr>
                <w:rFonts w:eastAsia="Times New Roman" w:asciiTheme="minorHAnsi" w:hAnsiTheme="minorHAnsi" w:cstheme="minorHAnsi"/>
                <w:color w:val="222222"/>
                <w:sz w:val="18"/>
                <w:szCs w:val="18"/>
              </w:rPr>
            </w:pPr>
          </w:p>
        </w:tc>
        <w:tc>
          <w:tcPr>
            <w:tcW w:w="1620" w:type="dxa"/>
            <w:tcBorders>
              <w:top w:val="nil"/>
              <w:left w:val="nil"/>
              <w:bottom w:val="single" w:sz="12" w:space="0" w:color="000000"/>
              <w:right w:val="single" w:sz="12" w:space="0" w:color="000000"/>
            </w:tcBorders>
            <w:shd w:val="clear" w:color="auto" w:fill="666666"/>
            <w:tcMar>
              <w:top w:w="0" w:type="dxa"/>
              <w:left w:w="40" w:type="dxa"/>
              <w:bottom w:w="0" w:type="dxa"/>
              <w:right w:w="40" w:type="dxa"/>
            </w:tcMar>
            <w:vAlign w:val="bottom"/>
            <w:hideMark/>
          </w:tcPr>
          <w:p w:rsidR="00B973BA" w:rsidRPr="00F3106F" w:rsidP="00B973BA" w14:paraId="2F313204" w14:textId="77777777">
            <w:pPr>
              <w:spacing w:after="0" w:line="240" w:lineRule="auto"/>
              <w:rPr>
                <w:rFonts w:eastAsia="Times New Roman" w:asciiTheme="minorHAnsi" w:hAnsiTheme="minorHAnsi" w:cstheme="minorHAnsi"/>
                <w:sz w:val="18"/>
                <w:szCs w:val="18"/>
              </w:rPr>
            </w:pPr>
          </w:p>
        </w:tc>
        <w:tc>
          <w:tcPr>
            <w:tcW w:w="1163" w:type="dxa"/>
            <w:tcBorders>
              <w:top w:val="nil"/>
              <w:left w:val="nil"/>
              <w:bottom w:val="single" w:sz="12" w:space="0" w:color="000000"/>
              <w:right w:val="single" w:sz="12" w:space="0" w:color="000000"/>
            </w:tcBorders>
            <w:shd w:val="clear" w:color="auto" w:fill="757070"/>
            <w:tcMar>
              <w:top w:w="0" w:type="dxa"/>
              <w:left w:w="40" w:type="dxa"/>
              <w:bottom w:w="0" w:type="dxa"/>
              <w:right w:w="40" w:type="dxa"/>
            </w:tcMar>
            <w:vAlign w:val="bottom"/>
            <w:hideMark/>
          </w:tcPr>
          <w:p w:rsidR="00B973BA" w:rsidRPr="00F3106F" w:rsidP="00B973BA" w14:paraId="0D588CA9" w14:textId="77777777">
            <w:pPr>
              <w:spacing w:after="0" w:line="240" w:lineRule="auto"/>
              <w:rPr>
                <w:rFonts w:eastAsia="Times New Roman" w:asciiTheme="minorHAnsi" w:hAnsiTheme="minorHAnsi" w:cstheme="minorHAnsi"/>
                <w:sz w:val="18"/>
                <w:szCs w:val="18"/>
              </w:rPr>
            </w:pPr>
          </w:p>
        </w:tc>
        <w:tc>
          <w:tcPr>
            <w:tcW w:w="1908" w:type="dxa"/>
            <w:tcBorders>
              <w:top w:val="nil"/>
              <w:left w:val="nil"/>
              <w:bottom w:val="single" w:sz="12" w:space="0" w:color="000000"/>
              <w:right w:val="single" w:sz="12" w:space="0" w:color="000000"/>
            </w:tcBorders>
            <w:shd w:val="clear" w:color="auto" w:fill="666666"/>
            <w:tcMar>
              <w:top w:w="0" w:type="dxa"/>
              <w:left w:w="40" w:type="dxa"/>
              <w:bottom w:w="0" w:type="dxa"/>
              <w:right w:w="40" w:type="dxa"/>
            </w:tcMar>
            <w:vAlign w:val="bottom"/>
            <w:hideMark/>
          </w:tcPr>
          <w:p w:rsidR="00B973BA" w:rsidRPr="00F3106F" w:rsidP="00B973BA" w14:paraId="1918F4A2" w14:textId="77777777">
            <w:pPr>
              <w:spacing w:after="0" w:line="240" w:lineRule="auto"/>
              <w:rPr>
                <w:rFonts w:eastAsia="Times New Roman" w:asciiTheme="minorHAnsi" w:hAnsiTheme="minorHAnsi" w:cstheme="minorHAnsi"/>
                <w:sz w:val="18"/>
                <w:szCs w:val="18"/>
              </w:rPr>
            </w:pPr>
          </w:p>
        </w:tc>
        <w:tc>
          <w:tcPr>
            <w:tcW w:w="1519" w:type="dxa"/>
            <w:tcBorders>
              <w:top w:val="nil"/>
              <w:left w:val="nil"/>
              <w:bottom w:val="single" w:sz="12" w:space="0" w:color="000000"/>
              <w:right w:val="single" w:sz="12" w:space="0" w:color="000000"/>
            </w:tcBorders>
            <w:shd w:val="clear" w:color="auto" w:fill="DEEAF6"/>
            <w:tcMar>
              <w:top w:w="0" w:type="dxa"/>
              <w:left w:w="40" w:type="dxa"/>
              <w:bottom w:w="0" w:type="dxa"/>
              <w:right w:w="40" w:type="dxa"/>
            </w:tcMar>
            <w:vAlign w:val="bottom"/>
            <w:hideMark/>
          </w:tcPr>
          <w:p w:rsidR="00B973BA" w:rsidRPr="00F3106F" w:rsidP="00B973BA" w14:paraId="6D6D9808" w14:textId="77777777">
            <w:pPr>
              <w:spacing w:after="0" w:line="240" w:lineRule="auto"/>
              <w:rPr>
                <w:rFonts w:eastAsia="Times New Roman" w:asciiTheme="minorHAnsi" w:hAnsiTheme="minorHAnsi" w:cstheme="minorHAnsi"/>
                <w:color w:val="222222"/>
                <w:sz w:val="18"/>
                <w:szCs w:val="18"/>
              </w:rPr>
            </w:pPr>
            <w:r w:rsidRPr="00F3106F">
              <w:rPr>
                <w:rFonts w:eastAsia="Times New Roman" w:asciiTheme="minorHAnsi" w:hAnsiTheme="minorHAnsi" w:cstheme="minorHAnsi"/>
                <w:color w:val="222222"/>
                <w:sz w:val="18"/>
                <w:szCs w:val="18"/>
              </w:rPr>
              <w:t>$3,258</w:t>
            </w:r>
          </w:p>
        </w:tc>
      </w:tr>
    </w:tbl>
    <w:p w:rsidR="00B973BA" w:rsidP="00B973BA" w14:paraId="22AE909F" w14:textId="3F9D4602">
      <w:pPr>
        <w:rPr>
          <w:b/>
          <w:sz w:val="24"/>
          <w:szCs w:val="24"/>
        </w:rPr>
      </w:pPr>
    </w:p>
    <w:p w:rsidR="00F3106F" w:rsidRPr="00F3106F" w:rsidP="00B973BA" w14:paraId="0F93923F" w14:textId="29C4149C">
      <w:pPr>
        <w:rPr>
          <w:sz w:val="24"/>
          <w:szCs w:val="24"/>
        </w:rPr>
      </w:pPr>
      <w:r w:rsidRPr="00F3106F">
        <w:rPr>
          <w:bCs/>
          <w:color w:val="222222"/>
          <w:shd w:val="clear" w:color="auto" w:fill="FFFFFF"/>
        </w:rPr>
        <w:t>Salary was calculated using Rest of U.S. locality rate for a GS-13 at Step 5.  A 1.5 multiplier was used to determine the loaded salary.  1% effort is used since preparation of the information collection package is the primary duty for the collection</w:t>
      </w:r>
      <w:r>
        <w:rPr>
          <w:bCs/>
          <w:color w:val="222222"/>
          <w:shd w:val="clear" w:color="auto" w:fill="FFFFFF"/>
        </w:rPr>
        <w:t>.</w:t>
      </w:r>
    </w:p>
    <w:p w:rsidR="00B973BA" w:rsidRPr="00B973BA" w:rsidP="00B973BA" w14:paraId="0F2C3A50" w14:textId="77777777">
      <w:pPr>
        <w:rPr>
          <w:b/>
          <w:sz w:val="24"/>
          <w:szCs w:val="24"/>
        </w:rPr>
      </w:pPr>
    </w:p>
    <w:p w:rsidR="009E291D" w:rsidP="00F3106F" w14:paraId="52B03780" w14:textId="77777777">
      <w:pPr>
        <w:pStyle w:val="ListParagraph"/>
        <w:numPr>
          <w:ilvl w:val="0"/>
          <w:numId w:val="1"/>
        </w:numPr>
        <w:ind w:left="0" w:hanging="720"/>
        <w:rPr>
          <w:b/>
          <w:sz w:val="24"/>
          <w:szCs w:val="24"/>
        </w:rPr>
      </w:pPr>
      <w:bookmarkStart w:id="0" w:name="_GoBack"/>
      <w:bookmarkEnd w:id="0"/>
      <w:r w:rsidRPr="00212AD8">
        <w:rPr>
          <w:b/>
          <w:sz w:val="24"/>
          <w:szCs w:val="24"/>
        </w:rPr>
        <w:t xml:space="preserve">Explain the reasons for any program changes or </w:t>
      </w:r>
      <w:r w:rsidRPr="00212AD8">
        <w:rPr>
          <w:b/>
          <w:sz w:val="24"/>
          <w:szCs w:val="24"/>
        </w:rPr>
        <w:t>adjustments reported on the burden worksheet.</w:t>
      </w:r>
    </w:p>
    <w:p w:rsidR="00FD148F" w:rsidRPr="00FD148F" w:rsidP="000B51FC" w14:paraId="4D4E01D7" w14:textId="77777777">
      <w:pPr>
        <w:pStyle w:val="ListParagraph"/>
        <w:ind w:left="0"/>
        <w:rPr>
          <w:b/>
          <w:sz w:val="24"/>
          <w:szCs w:val="24"/>
        </w:rPr>
      </w:pPr>
    </w:p>
    <w:p w:rsidR="00FD148F" w:rsidRPr="00FD148F" w:rsidP="000B51FC" w14:paraId="44A974DD" w14:textId="77777777">
      <w:pPr>
        <w:pStyle w:val="ListParagraph"/>
        <w:ind w:left="0"/>
        <w:rPr>
          <w:sz w:val="24"/>
          <w:szCs w:val="24"/>
        </w:rPr>
      </w:pPr>
      <w:r>
        <w:rPr>
          <w:sz w:val="24"/>
          <w:szCs w:val="24"/>
        </w:rPr>
        <w:t xml:space="preserve">This is a new collection of information. </w:t>
      </w:r>
    </w:p>
    <w:p w:rsidR="00B8128E" w:rsidRPr="00212AD8" w:rsidP="000B51FC" w14:paraId="33F5215F" w14:textId="77777777">
      <w:pPr>
        <w:pStyle w:val="ListParagraph"/>
        <w:ind w:left="0"/>
        <w:rPr>
          <w:b/>
          <w:sz w:val="24"/>
          <w:szCs w:val="24"/>
        </w:rPr>
      </w:pPr>
    </w:p>
    <w:p w:rsidR="00B8128E" w:rsidP="00F3106F" w14:paraId="5E0E003E" w14:textId="77777777">
      <w:pPr>
        <w:pStyle w:val="ListParagraph"/>
        <w:numPr>
          <w:ilvl w:val="0"/>
          <w:numId w:val="1"/>
        </w:numPr>
        <w:ind w:left="0" w:hanging="720"/>
        <w:rPr>
          <w:b/>
          <w:sz w:val="24"/>
          <w:szCs w:val="24"/>
        </w:rPr>
      </w:pPr>
      <w:r w:rsidRPr="00212AD8">
        <w:rPr>
          <w:b/>
          <w:sz w:val="24"/>
          <w:szCs w:val="24"/>
        </w:rPr>
        <w:t xml:space="preserve">For collections of information whose results will be published, outline plans for tabulation and publication. Address any complex analytical techniques that will be </w:t>
      </w:r>
      <w:r w:rsidRPr="00212AD8">
        <w:rPr>
          <w:b/>
          <w:sz w:val="24"/>
          <w:szCs w:val="24"/>
        </w:rPr>
        <w:t>used. Provide the time schedule for the entire project, including beginning and ending dates of the collection of information, completion of report, publication dates, and other actions.</w:t>
      </w:r>
    </w:p>
    <w:p w:rsidR="00824947" w:rsidRPr="00824947" w:rsidP="000B51FC" w14:paraId="5A2C3658" w14:textId="77777777">
      <w:pPr>
        <w:pStyle w:val="ListParagraph"/>
        <w:ind w:left="0"/>
        <w:rPr>
          <w:b/>
          <w:sz w:val="24"/>
          <w:szCs w:val="24"/>
        </w:rPr>
      </w:pPr>
    </w:p>
    <w:p w:rsidR="00824947" w:rsidP="000B51FC" w14:paraId="6D2DB66B" w14:textId="41996701">
      <w:pPr>
        <w:pStyle w:val="ListParagraph"/>
        <w:ind w:left="0"/>
        <w:jc w:val="both"/>
        <w:rPr>
          <w:sz w:val="24"/>
          <w:szCs w:val="24"/>
        </w:rPr>
      </w:pPr>
      <w:r>
        <w:rPr>
          <w:sz w:val="24"/>
          <w:szCs w:val="24"/>
        </w:rPr>
        <w:t>After the data has been collected, analysis and tabulation will begi</w:t>
      </w:r>
      <w:r>
        <w:rPr>
          <w:sz w:val="24"/>
          <w:szCs w:val="24"/>
        </w:rPr>
        <w:t xml:space="preserve">n. We expect the data cleaning and analysis to last approximately 2 to 3 months. No complex methodology is done within the </w:t>
      </w:r>
      <w:r>
        <w:rPr>
          <w:sz w:val="24"/>
          <w:szCs w:val="24"/>
        </w:rPr>
        <w:t xml:space="preserve">benchmarking report. </w:t>
      </w:r>
      <w:r w:rsidR="00F77779">
        <w:rPr>
          <w:sz w:val="24"/>
          <w:szCs w:val="24"/>
        </w:rPr>
        <w:t>We will calculate s</w:t>
      </w:r>
      <w:r>
        <w:rPr>
          <w:sz w:val="24"/>
          <w:szCs w:val="24"/>
        </w:rPr>
        <w:t>ummary statistics on prices, costs, projected revenues, and other financial and operational i</w:t>
      </w:r>
      <w:r>
        <w:rPr>
          <w:sz w:val="24"/>
          <w:szCs w:val="24"/>
        </w:rPr>
        <w:t xml:space="preserve">nformation. Additionally, we will calculate simple financial measures, such as breakeven prices and quantities, total cost per growing unit and area, and profitability. While analysis is taking place, we will begin to write the benchmark report. We expect </w:t>
      </w:r>
      <w:r>
        <w:rPr>
          <w:sz w:val="24"/>
          <w:szCs w:val="24"/>
        </w:rPr>
        <w:t xml:space="preserve">the writing, editing, and formatting of the final benchmark report to take approximately </w:t>
      </w:r>
      <w:r w:rsidR="00FB3511">
        <w:rPr>
          <w:sz w:val="24"/>
          <w:szCs w:val="24"/>
        </w:rPr>
        <w:t>3</w:t>
      </w:r>
      <w:r>
        <w:rPr>
          <w:sz w:val="24"/>
          <w:szCs w:val="24"/>
        </w:rPr>
        <w:t xml:space="preserve"> to </w:t>
      </w:r>
      <w:r w:rsidR="00FB3511">
        <w:rPr>
          <w:sz w:val="24"/>
          <w:szCs w:val="24"/>
        </w:rPr>
        <w:t>6</w:t>
      </w:r>
      <w:r>
        <w:rPr>
          <w:sz w:val="24"/>
          <w:szCs w:val="24"/>
        </w:rPr>
        <w:t xml:space="preserve"> months after the analysis is completed. In total, the benchmark report should be submitted for internal review within </w:t>
      </w:r>
      <w:r w:rsidR="00FB3511">
        <w:rPr>
          <w:sz w:val="24"/>
          <w:szCs w:val="24"/>
        </w:rPr>
        <w:t>9</w:t>
      </w:r>
      <w:r>
        <w:rPr>
          <w:sz w:val="24"/>
          <w:szCs w:val="24"/>
        </w:rPr>
        <w:t xml:space="preserve"> months of collecting all surveys. </w:t>
      </w:r>
    </w:p>
    <w:p w:rsidR="00824947" w:rsidP="000B51FC" w14:paraId="0DBC08A8" w14:textId="77777777">
      <w:pPr>
        <w:pStyle w:val="ListParagraph"/>
        <w:ind w:left="0"/>
        <w:jc w:val="both"/>
        <w:rPr>
          <w:sz w:val="24"/>
          <w:szCs w:val="24"/>
        </w:rPr>
      </w:pPr>
    </w:p>
    <w:p w:rsidR="00824947" w:rsidRPr="00824947" w:rsidP="000B51FC" w14:paraId="01A4CA29" w14:textId="4808A634">
      <w:pPr>
        <w:pStyle w:val="ListParagraph"/>
        <w:ind w:left="0"/>
        <w:jc w:val="both"/>
        <w:rPr>
          <w:sz w:val="24"/>
          <w:szCs w:val="24"/>
        </w:rPr>
      </w:pPr>
      <w:r>
        <w:rPr>
          <w:sz w:val="24"/>
          <w:szCs w:val="24"/>
        </w:rPr>
        <w:t xml:space="preserve">The </w:t>
      </w:r>
      <w:r>
        <w:rPr>
          <w:sz w:val="24"/>
          <w:szCs w:val="24"/>
        </w:rPr>
        <w:t>bioeconomic model will begin shortly after the benchmark report has been submitted for internal review. The bioeconomic model will create a representative farm based on data in the benchmarking report and additional biological information. We expect to col</w:t>
      </w:r>
      <w:r>
        <w:rPr>
          <w:sz w:val="24"/>
          <w:szCs w:val="24"/>
        </w:rPr>
        <w:t>lect and/or gain access to growth and mortality rate</w:t>
      </w:r>
      <w:r w:rsidR="00F77779">
        <w:rPr>
          <w:sz w:val="24"/>
          <w:szCs w:val="24"/>
        </w:rPr>
        <w:t xml:space="preserve"> data</w:t>
      </w:r>
      <w:r>
        <w:rPr>
          <w:sz w:val="24"/>
          <w:szCs w:val="24"/>
        </w:rPr>
        <w:t xml:space="preserve"> before surveys are returned. Once this data is </w:t>
      </w:r>
      <w:r w:rsidRPr="00824947">
        <w:rPr>
          <w:sz w:val="24"/>
          <w:szCs w:val="24"/>
        </w:rPr>
        <w:t>procured</w:t>
      </w:r>
      <w:r>
        <w:rPr>
          <w:sz w:val="24"/>
          <w:szCs w:val="24"/>
        </w:rPr>
        <w:t xml:space="preserve">, we can begin our analysis and simulation. </w:t>
      </w:r>
      <w:r w:rsidR="00B87D64">
        <w:rPr>
          <w:sz w:val="24"/>
          <w:szCs w:val="24"/>
        </w:rPr>
        <w:t xml:space="preserve">We expect to complete the analysis and simulation within </w:t>
      </w:r>
      <w:r w:rsidR="00FB3511">
        <w:rPr>
          <w:sz w:val="24"/>
          <w:szCs w:val="24"/>
        </w:rPr>
        <w:t>9</w:t>
      </w:r>
      <w:r w:rsidR="00B87D64">
        <w:rPr>
          <w:sz w:val="24"/>
          <w:szCs w:val="24"/>
        </w:rPr>
        <w:t xml:space="preserve"> months and have a final manuscript ready for internal review within </w:t>
      </w:r>
      <w:r w:rsidR="00FB3511">
        <w:rPr>
          <w:sz w:val="24"/>
          <w:szCs w:val="24"/>
        </w:rPr>
        <w:t>one-year</w:t>
      </w:r>
      <w:r w:rsidR="00B87D64">
        <w:rPr>
          <w:sz w:val="24"/>
          <w:szCs w:val="24"/>
        </w:rPr>
        <w:t xml:space="preserve"> after submitting the benchmark report.</w:t>
      </w:r>
    </w:p>
    <w:p w:rsidR="009E291D" w:rsidRPr="00212AD8" w:rsidP="000B51FC" w14:paraId="29EC320E" w14:textId="77777777">
      <w:pPr>
        <w:pStyle w:val="ListParagraph"/>
        <w:ind w:left="0"/>
        <w:rPr>
          <w:sz w:val="24"/>
          <w:szCs w:val="24"/>
        </w:rPr>
      </w:pPr>
      <w:r w:rsidRPr="00212AD8">
        <w:rPr>
          <w:sz w:val="24"/>
          <w:szCs w:val="24"/>
        </w:rPr>
        <w:t xml:space="preserve"> </w:t>
      </w:r>
    </w:p>
    <w:p w:rsidR="009E291D" w:rsidRPr="00212AD8" w:rsidP="00F3106F" w14:paraId="65490E8A" w14:textId="77777777">
      <w:pPr>
        <w:pStyle w:val="ListParagraph"/>
        <w:numPr>
          <w:ilvl w:val="0"/>
          <w:numId w:val="1"/>
        </w:numPr>
        <w:ind w:left="0" w:hanging="720"/>
        <w:rPr>
          <w:b/>
          <w:sz w:val="24"/>
          <w:szCs w:val="24"/>
        </w:rPr>
      </w:pPr>
      <w:r w:rsidRPr="00212AD8">
        <w:rPr>
          <w:b/>
          <w:sz w:val="24"/>
          <w:szCs w:val="24"/>
        </w:rPr>
        <w:t>If seeking approval to not display the expiration date for OMB approval of the information collection, explain the reasons that display would be inappropriate.</w:t>
      </w:r>
    </w:p>
    <w:p w:rsidR="00B8128E" w:rsidP="000B51FC" w14:paraId="3EBFA61A" w14:textId="77777777">
      <w:pPr>
        <w:pStyle w:val="ListParagraph"/>
        <w:ind w:left="0"/>
        <w:rPr>
          <w:b/>
          <w:sz w:val="24"/>
          <w:szCs w:val="24"/>
        </w:rPr>
      </w:pPr>
    </w:p>
    <w:p w:rsidR="00187D7E" w:rsidP="00F3106F" w14:paraId="59540D22" w14:textId="77777777">
      <w:pPr>
        <w:pStyle w:val="ListParagraph"/>
        <w:ind w:left="0"/>
        <w:jc w:val="both"/>
        <w:rPr>
          <w:sz w:val="24"/>
          <w:szCs w:val="24"/>
        </w:rPr>
      </w:pPr>
      <w:r w:rsidRPr="00293E62">
        <w:rPr>
          <w:sz w:val="24"/>
          <w:szCs w:val="24"/>
        </w:rPr>
        <w:t xml:space="preserve">The survey cover </w:t>
      </w:r>
      <w:r w:rsidRPr="00293E62">
        <w:rPr>
          <w:sz w:val="24"/>
          <w:szCs w:val="24"/>
        </w:rPr>
        <w:t>page will contain the OMB number and the expiration date.</w:t>
      </w:r>
    </w:p>
    <w:p w:rsidR="00293E62" w:rsidRPr="00212AD8" w:rsidP="000B51FC" w14:paraId="0888BB74" w14:textId="77777777">
      <w:pPr>
        <w:pStyle w:val="ListParagraph"/>
        <w:ind w:left="0"/>
        <w:rPr>
          <w:b/>
          <w:sz w:val="24"/>
          <w:szCs w:val="24"/>
        </w:rPr>
      </w:pPr>
    </w:p>
    <w:p w:rsidR="00B8128E" w:rsidRPr="00212AD8" w:rsidP="00F3106F" w14:paraId="008C0C6A" w14:textId="77777777">
      <w:pPr>
        <w:pStyle w:val="ListParagraph"/>
        <w:numPr>
          <w:ilvl w:val="0"/>
          <w:numId w:val="1"/>
        </w:numPr>
        <w:ind w:left="0" w:hanging="720"/>
        <w:rPr>
          <w:b/>
          <w:sz w:val="24"/>
          <w:szCs w:val="24"/>
        </w:rPr>
      </w:pPr>
      <w:r w:rsidRPr="00212AD8">
        <w:rPr>
          <w:b/>
          <w:sz w:val="24"/>
          <w:szCs w:val="24"/>
        </w:rPr>
        <w:t>Explain each exception to the topics of the certification statement identified in “Certification for Paperwork Reduction Act Submissions.”</w:t>
      </w:r>
    </w:p>
    <w:p w:rsidR="00212AD8" w:rsidRPr="00212AD8" w:rsidP="000B51FC" w14:paraId="17C4E5A0" w14:textId="77777777">
      <w:pPr>
        <w:pStyle w:val="ListParagraph"/>
        <w:ind w:left="0"/>
        <w:rPr>
          <w:b/>
          <w:sz w:val="24"/>
          <w:szCs w:val="24"/>
        </w:rPr>
      </w:pPr>
    </w:p>
    <w:p w:rsidR="00212AD8" w:rsidRPr="00212AD8" w:rsidP="000B51FC" w14:paraId="77A9D78E" w14:textId="77777777">
      <w:pPr>
        <w:pStyle w:val="ListParagraph"/>
        <w:ind w:left="0"/>
        <w:jc w:val="both"/>
        <w:rPr>
          <w:sz w:val="24"/>
          <w:szCs w:val="24"/>
        </w:rPr>
      </w:pPr>
      <w:r w:rsidRPr="00293E62">
        <w:rPr>
          <w:sz w:val="24"/>
          <w:szCs w:val="24"/>
        </w:rPr>
        <w:t xml:space="preserve">The agency certifies compliance with </w:t>
      </w:r>
      <w:hyperlink r:id="rId5" w:history="1">
        <w:r w:rsidRPr="00293E62">
          <w:rPr>
            <w:rStyle w:val="Hyperlink"/>
            <w:sz w:val="24"/>
            <w:szCs w:val="24"/>
          </w:rPr>
          <w:t xml:space="preserve">5 CFR 1320.9 </w:t>
        </w:r>
      </w:hyperlink>
      <w:r w:rsidRPr="00293E62">
        <w:rPr>
          <w:sz w:val="24"/>
          <w:szCs w:val="24"/>
        </w:rPr>
        <w:t xml:space="preserve">and the related provisions of </w:t>
      </w:r>
      <w:hyperlink r:id="rId6" w:history="1">
        <w:r w:rsidRPr="00293E62">
          <w:rPr>
            <w:rStyle w:val="Hyperlink"/>
            <w:sz w:val="24"/>
            <w:szCs w:val="24"/>
          </w:rPr>
          <w:t>5 CFR</w:t>
        </w:r>
      </w:hyperlink>
      <w:r w:rsidRPr="00293E62">
        <w:rPr>
          <w:sz w:val="24"/>
          <w:szCs w:val="24"/>
        </w:rPr>
        <w:t xml:space="preserve"> </w:t>
      </w:r>
      <w:hyperlink r:id="rId6" w:history="1">
        <w:r w:rsidRPr="00293E62">
          <w:rPr>
            <w:rStyle w:val="Hyperlink"/>
            <w:sz w:val="24"/>
            <w:szCs w:val="24"/>
          </w:rPr>
          <w:t>1320.8(b)(3)</w:t>
        </w:r>
      </w:hyperlink>
      <w:r w:rsidRPr="00293E62">
        <w:rPr>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9B90006"/>
    <w:multiLevelType w:val="hybridMultilevel"/>
    <w:tmpl w:val="474EE4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56EB3E31"/>
    <w:multiLevelType w:val="hybridMultilevel"/>
    <w:tmpl w:val="57CC8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618031A3"/>
    <w:multiLevelType w:val="hybridMultilevel"/>
    <w:tmpl w:val="C97C3E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642769DA"/>
    <w:multiLevelType w:val="hybridMultilevel"/>
    <w:tmpl w:val="41A0EC9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A0"/>
    <w:rsid w:val="00033ADD"/>
    <w:rsid w:val="00061E1F"/>
    <w:rsid w:val="000A4043"/>
    <w:rsid w:val="000B0DC4"/>
    <w:rsid w:val="000B51FC"/>
    <w:rsid w:val="00116109"/>
    <w:rsid w:val="0012457B"/>
    <w:rsid w:val="00187D7E"/>
    <w:rsid w:val="001B2277"/>
    <w:rsid w:val="001C408F"/>
    <w:rsid w:val="00201B05"/>
    <w:rsid w:val="00212AD8"/>
    <w:rsid w:val="00230753"/>
    <w:rsid w:val="002326F1"/>
    <w:rsid w:val="00277CEB"/>
    <w:rsid w:val="00277E12"/>
    <w:rsid w:val="0028002A"/>
    <w:rsid w:val="00281117"/>
    <w:rsid w:val="00293E62"/>
    <w:rsid w:val="002B6AB5"/>
    <w:rsid w:val="002B76E7"/>
    <w:rsid w:val="00303738"/>
    <w:rsid w:val="00341EE3"/>
    <w:rsid w:val="00347728"/>
    <w:rsid w:val="00354F8A"/>
    <w:rsid w:val="00382228"/>
    <w:rsid w:val="003C25A0"/>
    <w:rsid w:val="003D290F"/>
    <w:rsid w:val="003E66C6"/>
    <w:rsid w:val="004B5726"/>
    <w:rsid w:val="004F1CBD"/>
    <w:rsid w:val="00551019"/>
    <w:rsid w:val="005962DB"/>
    <w:rsid w:val="005D721B"/>
    <w:rsid w:val="00604B2A"/>
    <w:rsid w:val="00612100"/>
    <w:rsid w:val="00637E4F"/>
    <w:rsid w:val="00664DA5"/>
    <w:rsid w:val="0067574D"/>
    <w:rsid w:val="006A07E3"/>
    <w:rsid w:val="007130F3"/>
    <w:rsid w:val="007708EB"/>
    <w:rsid w:val="007B55AE"/>
    <w:rsid w:val="007D5CB3"/>
    <w:rsid w:val="007F2519"/>
    <w:rsid w:val="00824947"/>
    <w:rsid w:val="008629B4"/>
    <w:rsid w:val="008E1FF3"/>
    <w:rsid w:val="009005FF"/>
    <w:rsid w:val="00906F1F"/>
    <w:rsid w:val="0091401F"/>
    <w:rsid w:val="00920C15"/>
    <w:rsid w:val="009322DF"/>
    <w:rsid w:val="00934EFC"/>
    <w:rsid w:val="00935062"/>
    <w:rsid w:val="00977F20"/>
    <w:rsid w:val="009E291D"/>
    <w:rsid w:val="00A16F04"/>
    <w:rsid w:val="00A60FF5"/>
    <w:rsid w:val="00AB32C6"/>
    <w:rsid w:val="00AE4F29"/>
    <w:rsid w:val="00AF79B2"/>
    <w:rsid w:val="00B03750"/>
    <w:rsid w:val="00B8128E"/>
    <w:rsid w:val="00B87D64"/>
    <w:rsid w:val="00B973BA"/>
    <w:rsid w:val="00BB7718"/>
    <w:rsid w:val="00BC3056"/>
    <w:rsid w:val="00BC6041"/>
    <w:rsid w:val="00BD7A22"/>
    <w:rsid w:val="00BE6896"/>
    <w:rsid w:val="00D34C22"/>
    <w:rsid w:val="00D569AA"/>
    <w:rsid w:val="00D71006"/>
    <w:rsid w:val="00DF4A2E"/>
    <w:rsid w:val="00E0660E"/>
    <w:rsid w:val="00E06E11"/>
    <w:rsid w:val="00E6164B"/>
    <w:rsid w:val="00E7199D"/>
    <w:rsid w:val="00E82066"/>
    <w:rsid w:val="00E8379E"/>
    <w:rsid w:val="00E974E7"/>
    <w:rsid w:val="00EA083A"/>
    <w:rsid w:val="00EF3EC3"/>
    <w:rsid w:val="00F3106F"/>
    <w:rsid w:val="00F77779"/>
    <w:rsid w:val="00F921C6"/>
    <w:rsid w:val="00F94EC9"/>
    <w:rsid w:val="00FA2BE6"/>
    <w:rsid w:val="00FB3511"/>
    <w:rsid w:val="00FD14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895FB2"/>
  <w15:chartTrackingRefBased/>
  <w15:docId w15:val="{B1E0D93F-FBE2-400A-9241-7EC19BBA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5A0"/>
    <w:pPr>
      <w:ind w:left="720"/>
      <w:contextualSpacing/>
    </w:pPr>
  </w:style>
  <w:style w:type="table" w:styleId="TableGrid">
    <w:name w:val="Table Grid"/>
    <w:basedOn w:val="TableNormal"/>
    <w:uiPriority w:val="39"/>
    <w:rsid w:val="00DF4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2BE6"/>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293E62"/>
    <w:rPr>
      <w:color w:val="0563C1" w:themeColor="hyperlink"/>
      <w:u w:val="single"/>
    </w:rPr>
  </w:style>
  <w:style w:type="character" w:customStyle="1" w:styleId="UnresolvedMention1">
    <w:name w:val="Unresolved Mention1"/>
    <w:basedOn w:val="DefaultParagraphFont"/>
    <w:uiPriority w:val="99"/>
    <w:semiHidden/>
    <w:unhideWhenUsed/>
    <w:rsid w:val="00293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G:\GPEA-PRA\PRA%20Docs\0000-New%20Collections\2024\0648-AKM\0648-AKM%2060-Day%2089%20FR%2013049%202024-0221.pdf" TargetMode="External" /><Relationship Id="rId5" Type="http://schemas.openxmlformats.org/officeDocument/2006/relationships/hyperlink" Target="http://www.gpo.gov/fdsys/pkg/CFR-2014-title5-vol3/pdf/CFR-2014-title5-vol3-sec1320-9.pdf" TargetMode="External" /><Relationship Id="rId6" Type="http://schemas.openxmlformats.org/officeDocument/2006/relationships/hyperlink" Target="http://www.gpo.gov/fdsys/pkg/CFR-2014-title5-vol3/pdf/CFR-2014-title5-vol3-sec1320-8.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NOAA - Alaska Fisheries Science Center</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Russel.A.Dame</dc:creator>
  <cp:lastModifiedBy>Adrienne.Thomas</cp:lastModifiedBy>
  <cp:revision>4</cp:revision>
  <dcterms:created xsi:type="dcterms:W3CDTF">2024-05-08T20:21:00Z</dcterms:created>
  <dcterms:modified xsi:type="dcterms:W3CDTF">2024-05-08T20:31:00Z</dcterms:modified>
</cp:coreProperties>
</file>