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18" w:rsidRDefault="00CF0BB2" w14:paraId="368E8B63" w14:textId="77777777">
      <w:pPr>
        <w:pStyle w:val="Heading1"/>
        <w:ind w:left="0"/>
        <w:jc w:val="center"/>
      </w:pPr>
      <w:r>
        <w:t>SUPPORTING STATEMENT</w:t>
      </w:r>
    </w:p>
    <w:p w:rsidR="00B72318" w:rsidRDefault="00CF0BB2" w14:paraId="15862A16" w14:textId="77777777">
      <w:pPr>
        <w:spacing w:before="22" w:line="259" w:lineRule="auto"/>
        <w:ind w:firstLine="14"/>
        <w:jc w:val="center"/>
        <w:rPr>
          <w:b/>
        </w:rPr>
      </w:pPr>
      <w:r>
        <w:rPr>
          <w:b/>
        </w:rPr>
        <w:t>U.S. Department of Commerce</w:t>
      </w:r>
    </w:p>
    <w:p w:rsidR="00B72318" w:rsidRDefault="00CF0BB2" w14:paraId="57094EA7" w14:textId="77777777">
      <w:pPr>
        <w:spacing w:before="22" w:line="259" w:lineRule="auto"/>
        <w:ind w:firstLine="14"/>
        <w:jc w:val="center"/>
        <w:rPr>
          <w:b/>
        </w:rPr>
      </w:pPr>
      <w:r>
        <w:rPr>
          <w:b/>
        </w:rPr>
        <w:t>National Oceanic &amp; Atmospheric Administration</w:t>
      </w:r>
    </w:p>
    <w:p w:rsidR="00B72318" w:rsidRDefault="00E157E9" w14:paraId="1B1B5382" w14:textId="77777777">
      <w:pPr>
        <w:spacing w:line="259" w:lineRule="auto"/>
        <w:ind w:hanging="6"/>
        <w:jc w:val="center"/>
        <w:rPr>
          <w:b/>
        </w:rPr>
      </w:pPr>
      <w:r>
        <w:rPr>
          <w:b/>
        </w:rPr>
        <w:t>N</w:t>
      </w:r>
      <w:r w:rsidR="00FE6961">
        <w:rPr>
          <w:b/>
        </w:rPr>
        <w:t>WS</w:t>
      </w:r>
      <w:r>
        <w:rPr>
          <w:b/>
        </w:rPr>
        <w:t xml:space="preserve"> Customer Surveys</w:t>
      </w:r>
    </w:p>
    <w:p w:rsidR="00B72318" w:rsidRDefault="00CF0BB2" w14:paraId="025F58DA" w14:textId="77777777">
      <w:pPr>
        <w:spacing w:line="259" w:lineRule="auto"/>
        <w:ind w:hanging="6"/>
        <w:jc w:val="center"/>
        <w:rPr>
          <w:b/>
        </w:rPr>
      </w:pPr>
      <w:r>
        <w:rPr>
          <w:b/>
        </w:rPr>
        <w:t>OMB Control No. 0648-</w:t>
      </w:r>
      <w:r w:rsidR="00E157E9">
        <w:rPr>
          <w:b/>
        </w:rPr>
        <w:t>0342</w:t>
      </w:r>
    </w:p>
    <w:p w:rsidR="00B72318" w:rsidRDefault="00B72318" w14:paraId="1EE066A2" w14:textId="77777777">
      <w:pPr>
        <w:pBdr>
          <w:top w:val="nil"/>
          <w:left w:val="nil"/>
          <w:bottom w:val="nil"/>
          <w:right w:val="nil"/>
          <w:between w:val="nil"/>
        </w:pBdr>
        <w:spacing w:before="1"/>
        <w:jc w:val="center"/>
        <w:rPr>
          <w:b/>
          <w:color w:val="000000"/>
        </w:rPr>
      </w:pPr>
    </w:p>
    <w:p w:rsidR="00B72318" w:rsidRDefault="00CF0BB2" w14:paraId="21CE1A9D" w14:textId="77777777">
      <w:pPr>
        <w:pStyle w:val="Heading1"/>
        <w:spacing w:before="199"/>
        <w:ind w:left="0"/>
      </w:pPr>
      <w:r>
        <w:t>Abstract</w:t>
      </w:r>
    </w:p>
    <w:p w:rsidRPr="00C736FA" w:rsidR="00B72318" w:rsidRDefault="00E157E9" w14:paraId="7ADFC7A2" w14:textId="55558970">
      <w:pPr>
        <w:spacing w:before="144" w:line="259" w:lineRule="auto"/>
      </w:pPr>
      <w:r w:rsidRPr="00C736FA">
        <w:t xml:space="preserve">This is a request for revision and extension </w:t>
      </w:r>
      <w:r w:rsidRPr="00C736FA" w:rsidR="002F0E03">
        <w:t xml:space="preserve">of a generic information collection </w:t>
      </w:r>
      <w:r w:rsidRPr="00C736FA" w:rsidR="00FF636E">
        <w:t xml:space="preserve">to collect qualitative and quantitative feedback </w:t>
      </w:r>
      <w:r w:rsidRPr="00C736FA" w:rsidR="002F0E03">
        <w:t xml:space="preserve">for voluntary customer surveys to be conducted by </w:t>
      </w:r>
      <w:r w:rsidR="00FE6961">
        <w:t xml:space="preserve">the </w:t>
      </w:r>
      <w:r w:rsidRPr="00C736FA" w:rsidR="002F0E03">
        <w:t xml:space="preserve">NOAA </w:t>
      </w:r>
      <w:r w:rsidR="00FE6961">
        <w:t xml:space="preserve">National Weather Service </w:t>
      </w:r>
      <w:r w:rsidR="0034307D">
        <w:t xml:space="preserve">(NWS) </w:t>
      </w:r>
      <w:r w:rsidRPr="00C736FA" w:rsidR="002F0E03">
        <w:t xml:space="preserve">program offices.  </w:t>
      </w:r>
      <w:r w:rsidRPr="00C736FA" w:rsidR="00C736FA">
        <w:t>The question bank has been revised to more accurately reflect information required by NOAA in order to carry out its mission</w:t>
      </w:r>
      <w:r w:rsidR="0034307D">
        <w:t>, the scope has been limited to NWS offices, and the title of the collection has changed to reflect this limitation.</w:t>
      </w:r>
    </w:p>
    <w:p w:rsidR="00B72318" w:rsidRDefault="00CF0BB2" w14:paraId="75FA8071" w14:textId="77777777">
      <w:pPr>
        <w:pStyle w:val="Heading1"/>
        <w:spacing w:before="124"/>
        <w:ind w:left="0"/>
      </w:pPr>
      <w:r>
        <w:t>Justification</w:t>
      </w:r>
    </w:p>
    <w:p w:rsidR="00B72318" w:rsidRDefault="00CF0BB2" w14:paraId="261E7327"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6C4E" w:rsidP="00316C4E" w:rsidRDefault="00316C4E" w14:paraId="79345BA2" w14:textId="77777777">
      <w:pPr>
        <w:pStyle w:val="BodyText"/>
        <w:ind w:left="0"/>
        <w:rPr>
          <w:b/>
        </w:rPr>
      </w:pPr>
      <w:r w:rsidRPr="0083061C">
        <w:t>On September 11, 1993, President Clinton issued Executive Order 12862, “Setting Customer Service Standards” which clearly define his vision that the Federal agenc</w:t>
      </w:r>
      <w:r>
        <w:t xml:space="preserve">ies will put the people first. </w:t>
      </w:r>
      <w:r w:rsidRPr="00287BEA">
        <w:t>Executive Order 12862 directs Federal agencies to provide service to the public that matches or exceeds the best service available in the private sector.</w:t>
      </w:r>
      <w:r>
        <w:t xml:space="preserve"> </w:t>
      </w:r>
      <w:r w:rsidRPr="0083061C">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316C4E" w:rsidP="00316C4E" w:rsidRDefault="00316C4E" w14:paraId="68AC4618" w14:textId="77777777">
      <w:pPr>
        <w:pStyle w:val="BodyText"/>
        <w:ind w:left="0"/>
        <w:rPr>
          <w:b/>
        </w:rPr>
      </w:pPr>
      <w: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316C4E" w:rsidP="00316C4E" w:rsidRDefault="00316C4E" w14:paraId="3409E475" w14:textId="77777777">
      <w:pPr>
        <w:pStyle w:val="BodyText"/>
        <w:ind w:left="0"/>
        <w:rPr>
          <w:b/>
        </w:rPr>
      </w:pPr>
      <w:r>
        <w:t xml:space="preserve">In March 2018, the Administration of President Trump launched the President’s Management Agenda (PMA) and established new Cross-Agency Priority (CAP) Goals. </w:t>
      </w:r>
      <w:r w:rsidRPr="00CB0C21">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t xml:space="preserve">egic planning efforts. </w:t>
      </w:r>
      <w:r w:rsidRPr="00CB0C21">
        <w:t>The PMA included a CAP Goal on Improving Customer Experience with Federal Services, with a primary strategy to drive improvements within 2</w:t>
      </w:r>
      <w:r>
        <w:t>5</w:t>
      </w:r>
      <w:r w:rsidRPr="00CB0C21">
        <w:t xml:space="preserve"> of the nation’s highest impact programs.  This effort is supported by an interagency team and guidance in Circular A-11 requiring the collection of customer feedback data</w:t>
      </w:r>
      <w:r>
        <w:t xml:space="preserve"> and increasing the use of industry best practices to conduct customer research</w:t>
      </w:r>
      <w:r w:rsidRPr="00CB0C21">
        <w:t>.</w:t>
      </w:r>
    </w:p>
    <w:p w:rsidR="00316C4E" w:rsidP="00316C4E" w:rsidRDefault="00316C4E" w14:paraId="7A8E18E5" w14:textId="77777777"/>
    <w:p w:rsidRPr="00A700CB" w:rsidR="00E157E9" w:rsidP="00E157E9" w:rsidRDefault="00A700CB" w14:paraId="385DF277" w14:textId="39218D80">
      <w:r w:rsidRPr="00A700CB">
        <w:t xml:space="preserve">This collection of information is necessary to enable </w:t>
      </w:r>
      <w:r w:rsidR="00616B4D">
        <w:t>the National Oceanic and Atmospheric Administration</w:t>
      </w:r>
      <w:r w:rsidR="00FE6961">
        <w:t>’s</w:t>
      </w:r>
      <w:r w:rsidR="00616B4D">
        <w:t xml:space="preserve"> (</w:t>
      </w:r>
      <w:r>
        <w:t>NOAA</w:t>
      </w:r>
      <w:r w:rsidR="00616B4D">
        <w:t>)</w:t>
      </w:r>
      <w:r w:rsidRPr="00A700CB">
        <w:t xml:space="preserve"> </w:t>
      </w:r>
      <w:r w:rsidR="00FE6961">
        <w:t xml:space="preserve">National Weather Service </w:t>
      </w:r>
      <w:r w:rsidRPr="00A700CB">
        <w:t xml:space="preserve">to garner customer and stakeholder feedback in an efficient, timely manner, in accordance with our commitment to improving service delivery.  The information collected from our customers and stakeholders will help ensure that users have an effective, </w:t>
      </w:r>
      <w:r w:rsidRPr="00A700CB">
        <w:lastRenderedPageBreak/>
        <w:t xml:space="preserve">efficient, and satisfying experience with </w:t>
      </w:r>
      <w:r w:rsidR="00616B4D">
        <w:t>N</w:t>
      </w:r>
      <w:r w:rsidR="00FE6961">
        <w:t>WS</w:t>
      </w:r>
      <w:r w:rsidR="00616B4D">
        <w:t>’s</w:t>
      </w:r>
      <w:r w:rsidRPr="00A700CB">
        <w:t xml:space="preserv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sidR="00616B4D">
        <w:t>N</w:t>
      </w:r>
      <w:r w:rsidR="00FE6961">
        <w:t>WS</w:t>
      </w:r>
      <w:r w:rsidRPr="00A700CB">
        <w:t xml:space="preserve"> and its customers and stakeholders.  It will also allow feedback to contribute directly to the improvement of program management.</w:t>
      </w:r>
    </w:p>
    <w:p w:rsidR="00B72318" w:rsidRDefault="00CF0BB2" w14:paraId="072BA104"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6A0641" w:rsidP="006A0641" w:rsidRDefault="00FE6961" w14:paraId="2FCCCB81" w14:textId="07807942">
      <w:pPr>
        <w:pStyle w:val="BodyText"/>
        <w:ind w:left="0"/>
        <w:rPr>
          <w:b/>
        </w:rPr>
      </w:pPr>
      <w:r>
        <w:t>NWS</w:t>
      </w:r>
      <w:r w:rsidRPr="00C25189">
        <w:t xml:space="preserve"> </w:t>
      </w:r>
      <w:r w:rsidRPr="00C25189" w:rsidR="006A0641">
        <w:t>will collect, analyze, and interpret information gathered through this generic clearance to identify services</w:t>
      </w:r>
      <w:r w:rsidR="006A0641">
        <w:t>’ accessibility, navigation, and use by customers,</w:t>
      </w:r>
      <w:r w:rsidRPr="00C25189" w:rsidR="006A0641">
        <w:t xml:space="preserve"> and make improvements in service delivery based on </w:t>
      </w:r>
      <w:r w:rsidR="006A0641">
        <w:t xml:space="preserve">customer insights gathered through developing an understanding of the user experience interacting with Government. </w:t>
      </w:r>
    </w:p>
    <w:p w:rsidRPr="006F2BFD" w:rsidR="006A0641" w:rsidP="006A0641" w:rsidRDefault="006A0641" w14:paraId="5EA7DE6A" w14:textId="77777777">
      <w:pPr>
        <w:pStyle w:val="BodyText"/>
        <w:ind w:left="0"/>
        <w:rPr>
          <w:b/>
        </w:rPr>
      </w:pPr>
      <w:r w:rsidRPr="006F2BFD">
        <w:t xml:space="preserve">For the purposes of this </w:t>
      </w:r>
      <w:r>
        <w:t>request</w:t>
      </w:r>
      <w:r w:rsidRPr="006F2BFD">
        <w:t>, "customers" are individuals, businesses, and organizations that interact</w:t>
      </w:r>
      <w:r>
        <w:t xml:space="preserve"> </w:t>
      </w:r>
      <w:r w:rsidRPr="006F2BFD">
        <w:t>with a Federal Government agency or program, either directly or via a Federal contractor.</w:t>
      </w:r>
    </w:p>
    <w:p w:rsidR="006A0641" w:rsidP="00E157E9" w:rsidRDefault="006A0641" w14:paraId="690C7E71" w14:textId="77777777"/>
    <w:p w:rsidRPr="006A0641" w:rsidR="00FF636E" w:rsidP="00FF636E" w:rsidRDefault="00FF636E" w14:paraId="1F5BB182" w14:textId="77777777">
      <w:r w:rsidRPr="00F61D66">
        <w:t>Under this generic clearance, individual offices would use approved questionnaires and develop new questionnaires, as needed, by selecting subsets of the approved set of</w:t>
      </w:r>
      <w:r>
        <w:t xml:space="preserve"> </w:t>
      </w:r>
      <w:r w:rsidRPr="00F61D66">
        <w:t>collection questions and tailoring those specific questions to be meaningful for their</w:t>
      </w:r>
      <w:r>
        <w:t xml:space="preserve"> </w:t>
      </w:r>
      <w:r w:rsidRPr="00F61D66">
        <w:t xml:space="preserve">particular programs. </w:t>
      </w:r>
      <w:r w:rsidR="006A0641">
        <w:t xml:space="preserve"> </w:t>
      </w:r>
      <w:r w:rsidRPr="006A0641">
        <w:t>The generic clearance will not be used to survey any bodies NOAA regulates unless precautions are taken to ensure that the respondents believe that they are not under any risk for responding or for the contents of their responses; e.g., in no survey of such a population will the names and addresses of respondents be required. Currently there are no such surveys being submitted for approval. In some instances there are options to provide contact information for voluntary follow-up.</w:t>
      </w:r>
    </w:p>
    <w:p w:rsidRPr="00F61D66" w:rsidR="00FF636E" w:rsidP="00FF636E" w:rsidRDefault="00FF636E" w14:paraId="1BB596C1" w14:textId="77777777"/>
    <w:p w:rsidRPr="00F61D66" w:rsidR="00FF636E" w:rsidP="00FF636E" w:rsidRDefault="00FF636E" w14:paraId="20652B61" w14:textId="77777777">
      <w:r w:rsidRPr="00F61D66">
        <w:t xml:space="preserve">Two sets of survey questions (included as supplementary documents) are used for generation of program-level questionnaires:  </w:t>
      </w:r>
    </w:p>
    <w:p w:rsidRPr="00F61D66" w:rsidR="00FF636E" w:rsidP="00FF636E" w:rsidRDefault="00FF636E" w14:paraId="643DE3BB" w14:textId="77777777"/>
    <w:p w:rsidRPr="00F61D66" w:rsidR="00FF636E" w:rsidP="00FF636E" w:rsidRDefault="00FF636E" w14:paraId="35565F51" w14:textId="77777777">
      <w:r w:rsidRPr="00F61D66">
        <w:t xml:space="preserve">1) “Quantitative Questions” seeks to obtain numerical ratings from respondents on their satisfaction with various aspects of the product or service they obtained – satisfaction with the quality of the product, the courtesy of the staff, the format of and documentation for data received, and similar standard types of questions. The offices using such questions are able to determine which aspects of their program need improvement, or have improved. The rating system is intended to aid the respondents in identifying their relative level of satisfaction in particular areas, and is not generally intended to be used to establish numerical performance goals or as part of any complex statistical analyses over time. The potential benefits of the latter are outweighed by the difficulties in ensuring that the data is unbiased and fully representational of customers. </w:t>
      </w:r>
    </w:p>
    <w:p w:rsidRPr="00F61D66" w:rsidR="00FF636E" w:rsidP="00FF636E" w:rsidRDefault="00FF636E" w14:paraId="4D936CDC" w14:textId="77777777"/>
    <w:p w:rsidRPr="00F61D66" w:rsidR="00FF636E" w:rsidP="00FF636E" w:rsidRDefault="00FF636E" w14:paraId="2BC403DF" w14:textId="77777777">
      <w:r w:rsidRPr="00F61D66">
        <w:t>2)  “Qualitative Questions” are more focused on who is using the product and service, how it is being used, and the medium or format in which the respondent would like to see data provided. The respondent is also given an opportunity to make specific suggestions on what new products or services should be offered or on how existing products or services could be improved.</w:t>
      </w:r>
    </w:p>
    <w:p w:rsidR="00FF636E" w:rsidP="00E157E9" w:rsidRDefault="00FF636E" w14:paraId="19D55496" w14:textId="77777777"/>
    <w:p w:rsidRPr="00F61D66" w:rsidR="00E157E9" w:rsidP="00E157E9" w:rsidRDefault="00E157E9" w14:paraId="281AB86A" w14:textId="77777777">
      <w:r w:rsidRPr="00F61D66">
        <w:t xml:space="preserve">The uses of the qualitative questions are somewhat different. Rather than seeking information on the degree of customer satisfaction, the objectives are more complex. Questions seek information on what product/service was received, suggestions about improving the product or its format, and suggestions for other products or services. This information will assist the program office in better identifying the needs of customers by providing more specific data. </w:t>
      </w:r>
      <w:r w:rsidR="00EE726F">
        <w:t xml:space="preserve"> </w:t>
      </w:r>
      <w:r w:rsidR="00616B4D">
        <w:t>Other q</w:t>
      </w:r>
      <w:r w:rsidRPr="00F61D66">
        <w:t xml:space="preserve">uestions seek information that will help the </w:t>
      </w:r>
      <w:r w:rsidRPr="00F61D66">
        <w:lastRenderedPageBreak/>
        <w:t xml:space="preserve">program office identify the types of users for specific products and how they use those products. </w:t>
      </w:r>
    </w:p>
    <w:p w:rsidRPr="00F61D66" w:rsidR="00E157E9" w:rsidP="00E157E9" w:rsidRDefault="00E157E9" w14:paraId="24217DA5" w14:textId="77777777"/>
    <w:p w:rsidRPr="00A22BD9" w:rsidR="00DB425A" w:rsidP="00DB425A" w:rsidRDefault="00A52DA9" w14:paraId="64C766E1" w14:textId="77777777">
      <w:pPr>
        <w:pStyle w:val="BodyText"/>
        <w:ind w:left="0"/>
        <w:rPr>
          <w:b/>
        </w:rPr>
      </w:pPr>
      <w:r>
        <w:t>NOAA</w:t>
      </w:r>
      <w:r w:rsidRPr="00A22BD9" w:rsidR="00DB425A">
        <w:t xml:space="preserve"> will only submit under this generic clearance if it meets the following conditions:   </w:t>
      </w:r>
    </w:p>
    <w:p w:rsidRPr="00FC38C8" w:rsidR="00DB425A" w:rsidP="00DB425A" w:rsidRDefault="00DB425A" w14:paraId="50C2BBE6" w14:textId="77777777">
      <w:pPr>
        <w:pStyle w:val="ListParagraph"/>
        <w:widowControl/>
        <w:numPr>
          <w:ilvl w:val="0"/>
          <w:numId w:val="14"/>
        </w:numPr>
        <w:tabs>
          <w:tab w:val="left" w:pos="720"/>
        </w:tabs>
        <w:suppressAutoHyphens/>
        <w:spacing w:before="120"/>
        <w:ind w:left="360" w:right="180" w:firstLine="0"/>
      </w:pPr>
      <w:r w:rsidRPr="00FC38C8">
        <w:t>The collections are voluntary.</w:t>
      </w:r>
    </w:p>
    <w:p w:rsidRPr="00FC38C8" w:rsidR="00DB425A" w:rsidP="00DB425A" w:rsidRDefault="00DB425A" w14:paraId="59AF518D" w14:textId="77777777">
      <w:pPr>
        <w:pStyle w:val="ListParagraph"/>
        <w:widowControl/>
        <w:numPr>
          <w:ilvl w:val="0"/>
          <w:numId w:val="13"/>
        </w:numPr>
        <w:tabs>
          <w:tab w:val="left" w:pos="720"/>
        </w:tabs>
        <w:suppressAutoHyphens/>
        <w:spacing w:before="120"/>
        <w:ind w:left="360" w:right="180" w:firstLine="0"/>
      </w:pPr>
      <w:r w:rsidRPr="00FC38C8">
        <w:t>The collections are low-burden for respondents (based on considerations of total burden hours or burden-hours per respondent) and are low-cost for both the respondents and the Federal Government.</w:t>
      </w:r>
    </w:p>
    <w:p w:rsidRPr="00FC38C8" w:rsidR="00DB425A" w:rsidP="00DB425A" w:rsidRDefault="00DB425A" w14:paraId="35D876C0" w14:textId="77777777">
      <w:pPr>
        <w:pStyle w:val="ListParagraph"/>
        <w:widowControl/>
        <w:numPr>
          <w:ilvl w:val="0"/>
          <w:numId w:val="13"/>
        </w:numPr>
        <w:tabs>
          <w:tab w:val="left" w:pos="720"/>
        </w:tabs>
        <w:suppressAutoHyphens/>
        <w:spacing w:before="120"/>
        <w:ind w:left="360" w:right="180" w:firstLine="0"/>
      </w:pPr>
      <w:r w:rsidRPr="00FC38C8">
        <w:t>The collections are non-controversial and do not raise issues of concern to other Federal agencies.</w:t>
      </w:r>
    </w:p>
    <w:p w:rsidRPr="00FC38C8" w:rsidR="00DB425A" w:rsidP="00DB425A" w:rsidRDefault="00DB425A" w14:paraId="4C506623" w14:textId="77777777">
      <w:pPr>
        <w:pStyle w:val="ListParagraph"/>
        <w:widowControl/>
        <w:numPr>
          <w:ilvl w:val="0"/>
          <w:numId w:val="13"/>
        </w:numPr>
        <w:tabs>
          <w:tab w:val="left" w:pos="720"/>
        </w:tabs>
        <w:suppressAutoHyphens/>
        <w:spacing w:before="120"/>
        <w:ind w:left="360" w:right="180" w:firstLine="0"/>
      </w:pPr>
      <w:r w:rsidRPr="00FC38C8">
        <w:t>Any collection is targeted to the solicitation of opinions from respondents who have experience with the program or may have experience with the program in the near future.</w:t>
      </w:r>
    </w:p>
    <w:p w:rsidRPr="00FC38C8" w:rsidR="00DB425A" w:rsidP="00DB425A" w:rsidRDefault="00DB425A" w14:paraId="436B2402" w14:textId="77777777">
      <w:pPr>
        <w:pStyle w:val="ListParagraph"/>
        <w:widowControl/>
        <w:numPr>
          <w:ilvl w:val="0"/>
          <w:numId w:val="13"/>
        </w:numPr>
        <w:tabs>
          <w:tab w:val="left" w:pos="720"/>
        </w:tabs>
        <w:suppressAutoHyphens/>
        <w:spacing w:before="120"/>
        <w:ind w:left="360" w:right="180" w:firstLine="0"/>
      </w:pPr>
      <w:r w:rsidRPr="00FC38C8">
        <w:t xml:space="preserve">Personally </w:t>
      </w:r>
      <w:r>
        <w:t>I</w:t>
      </w:r>
      <w:r w:rsidRPr="00FC38C8">
        <w:t xml:space="preserve">dentifiable </w:t>
      </w:r>
      <w:r>
        <w:t>I</w:t>
      </w:r>
      <w:r w:rsidRPr="00FC38C8">
        <w:t>nformation (PII) is collected only to the extent necessary and is not retained.</w:t>
      </w:r>
    </w:p>
    <w:p w:rsidRPr="00FC38C8" w:rsidR="00DB425A" w:rsidP="00DB425A" w:rsidRDefault="00DB425A" w14:paraId="00512BA9" w14:textId="77777777">
      <w:pPr>
        <w:pStyle w:val="ListParagraph"/>
        <w:widowControl/>
        <w:numPr>
          <w:ilvl w:val="0"/>
          <w:numId w:val="13"/>
        </w:numPr>
        <w:tabs>
          <w:tab w:val="left" w:pos="720"/>
        </w:tabs>
        <w:suppressAutoHyphens/>
        <w:spacing w:before="120"/>
        <w:ind w:left="360" w:right="180" w:firstLine="0"/>
      </w:pPr>
      <w:r w:rsidRPr="00FC38C8">
        <w:t>Information gathered is intended to be used for general service improvement and program management purposes</w:t>
      </w:r>
    </w:p>
    <w:p w:rsidR="00DB425A" w:rsidP="00E157E9" w:rsidRDefault="00DB425A" w14:paraId="45049815" w14:textId="77777777"/>
    <w:p w:rsidR="00DB425A" w:rsidP="00E157E9" w:rsidRDefault="00DB425A" w14:paraId="5C4B457B" w14:textId="77777777">
      <w:r w:rsidRPr="00DB425A">
        <w:t xml:space="preserve">If these conditions are not met, </w:t>
      </w:r>
      <w:r w:rsidR="00A52DA9">
        <w:t>NOAA</w:t>
      </w:r>
      <w:r w:rsidRPr="00DB425A">
        <w:t xml:space="preserve"> will submit an information collection request to OMB for approval through the normal PRA process.</w:t>
      </w:r>
    </w:p>
    <w:p w:rsidR="00DB425A" w:rsidP="00E157E9" w:rsidRDefault="00DB425A" w14:paraId="4EB55E78" w14:textId="77777777"/>
    <w:p w:rsidR="00DB425A" w:rsidP="00E157E9" w:rsidRDefault="00DB425A" w14:paraId="1EF5F2D2" w14:textId="7803B48E">
      <w:r>
        <w:t>NOAA</w:t>
      </w:r>
      <w:r w:rsidRPr="00DB425A">
        <w:t xml:space="preserve"> has established a managing entity to serve for this generic clearance and will conduct an independent review of each information collection to ensure compliance with the terms of this clearance prior to submitting each collection to OMB.</w:t>
      </w:r>
    </w:p>
    <w:p w:rsidR="003E1F82" w:rsidP="00E157E9" w:rsidRDefault="003E1F82" w14:paraId="4132A293" w14:textId="26612FE3"/>
    <w:p w:rsidRPr="00E73092" w:rsidR="003E1F82" w:rsidP="003E1F82" w:rsidRDefault="003E1F82" w14:paraId="7B8E7296" w14:textId="2A5CF926">
      <w:r w:rsidRPr="00E73092">
        <w:t xml:space="preserve">To obtain approval for a collection that meets the conditions of this generic clearance, a standardized form will be submitted to OMB along with supporting documentation (e.g., a copy of the </w:t>
      </w:r>
      <w:r>
        <w:t>collection instrument</w:t>
      </w:r>
      <w:r w:rsidRPr="00E73092">
        <w:t>).  The submission will have automatic approval unless OMB identifies issues within 5 business days.</w:t>
      </w:r>
    </w:p>
    <w:p w:rsidRPr="00DB425A" w:rsidR="003E1F82" w:rsidP="00E157E9" w:rsidRDefault="003E1F82" w14:paraId="7976DB46" w14:textId="77777777"/>
    <w:p w:rsidR="00B72318" w:rsidRDefault="00CF0BB2" w14:paraId="5C7111DE"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157E9" w:rsidP="00E157E9" w:rsidRDefault="00E157E9" w14:paraId="78C75899" w14:textId="77777777"/>
    <w:p w:rsidR="009316E9" w:rsidP="009316E9" w:rsidRDefault="009316E9" w14:paraId="129ED574" w14:textId="77777777">
      <w:pPr>
        <w:pStyle w:val="BodyTextIndent"/>
        <w:spacing w:after="0"/>
        <w:ind w:left="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Pr>
          <w:rFonts w:ascii="Times New Roman" w:hAnsi="Times New Roman"/>
        </w:rPr>
        <w:t>research activity or feedback survey</w:t>
      </w:r>
      <w:r>
        <w:t>.</w:t>
      </w:r>
    </w:p>
    <w:p w:rsidR="00B72318" w:rsidP="005758B7" w:rsidRDefault="00CF0BB2" w14:paraId="726F7DF5"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5758B7" w:rsidP="00E157E9" w:rsidRDefault="005758B7" w14:paraId="3A401066" w14:textId="77777777"/>
    <w:p w:rsidR="009316E9" w:rsidP="009316E9" w:rsidRDefault="009316E9" w14:paraId="46C1DE37" w14:textId="77777777">
      <w:pPr>
        <w:pStyle w:val="BodyTextIndent"/>
        <w:ind w:left="0"/>
        <w:rPr>
          <w:rFonts w:ascii="Times New Roman" w:hAnsi="Times New Roman"/>
        </w:rPr>
      </w:pPr>
      <w:r>
        <w:rPr>
          <w:rFonts w:ascii="Times New Roman" w:hAnsi="Times New Roman"/>
        </w:rPr>
        <w:t>NOAA</w:t>
      </w:r>
      <w:r w:rsidRPr="00CD40F8">
        <w:rPr>
          <w:rFonts w:ascii="Times New Roman" w:hAnsi="Times New Roman"/>
        </w:rPr>
        <w:t xml:space="preserve"> will work to ensure the streamlining</w:t>
      </w:r>
      <w:r>
        <w:rPr>
          <w:rFonts w:ascii="Times New Roman" w:hAnsi="Times New Roman"/>
        </w:rPr>
        <w:t xml:space="preserve"> of all customer research and feedback surveys under this clearance.</w:t>
      </w:r>
      <w:r w:rsidRPr="00CD40F8">
        <w:rPr>
          <w:rFonts w:ascii="Times New Roman" w:hAnsi="Times New Roman"/>
        </w:rPr>
        <w:t xml:space="preserve">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Pr="00F61D66" w:rsidR="00E157E9" w:rsidP="00E157E9" w:rsidRDefault="00E157E9" w14:paraId="1676B08F" w14:textId="77777777"/>
    <w:p w:rsidRPr="00F61D66" w:rsidR="00E157E9" w:rsidP="00E157E9" w:rsidRDefault="00E157E9" w14:paraId="626029DA" w14:textId="77777777">
      <w:r w:rsidRPr="00F61D66">
        <w:t xml:space="preserve">DOC </w:t>
      </w:r>
      <w:r w:rsidR="009316E9">
        <w:t>has</w:t>
      </w:r>
      <w:r w:rsidRPr="00F61D66">
        <w:t xml:space="preserve"> an overlapping generic information collection which includes customer surveys (OMB Control No. 0690-0030). NOAA uses this vehicle for surveys for which less robust results are needed, as very little description/documentation is needed. </w:t>
      </w:r>
      <w:r w:rsidR="009316E9">
        <w:t>DOC also has an overlapping generic information collection for improving customer experiences (0690-0035).  However, NOAA is not authorized to use that survey instrument.</w:t>
      </w:r>
    </w:p>
    <w:p w:rsidR="00B72318" w:rsidP="005758B7" w:rsidRDefault="00CF0BB2" w14:paraId="1E326A1D"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If the collection of information impacts small businesses or other small entities, describe any methods used to minimize burden.</w:t>
      </w:r>
    </w:p>
    <w:p w:rsidRPr="0072145A" w:rsidR="0072145A" w:rsidP="0072145A" w:rsidRDefault="0072145A" w14:paraId="0F1D8CD1" w14:textId="77777777">
      <w:pPr>
        <w:pBdr>
          <w:top w:val="nil"/>
          <w:left w:val="nil"/>
          <w:bottom w:val="nil"/>
          <w:right w:val="nil"/>
          <w:between w:val="nil"/>
        </w:pBdr>
        <w:tabs>
          <w:tab w:val="left" w:pos="360"/>
        </w:tabs>
        <w:spacing w:before="240"/>
      </w:pPr>
      <w:r w:rsidRPr="0072145A">
        <w:t xml:space="preserve">Small business or other small entities may be involved in these information collections but </w:t>
      </w:r>
      <w:r>
        <w:t>NOAA</w:t>
      </w:r>
      <w:r w:rsidRPr="0072145A">
        <w:t xml:space="preserve"> will minimize the burden on them by sampling, asking for readily available information, or using short, easy-to-complete information collection instruments. </w:t>
      </w:r>
    </w:p>
    <w:p w:rsidRPr="0072145A" w:rsidR="00B72318" w:rsidP="0072145A" w:rsidRDefault="00CF0BB2" w14:paraId="7BAFDCD4" w14:textId="77777777">
      <w:pPr>
        <w:pStyle w:val="ListParagraph"/>
        <w:numPr>
          <w:ilvl w:val="0"/>
          <w:numId w:val="3"/>
        </w:numPr>
        <w:pBdr>
          <w:top w:val="nil"/>
          <w:left w:val="nil"/>
          <w:bottom w:val="nil"/>
          <w:right w:val="nil"/>
          <w:between w:val="nil"/>
        </w:pBdr>
        <w:tabs>
          <w:tab w:val="left" w:pos="360"/>
        </w:tabs>
        <w:spacing w:before="240"/>
        <w:ind w:left="0" w:firstLine="0"/>
        <w:rPr>
          <w:b/>
          <w:color w:val="000000"/>
        </w:rPr>
      </w:pPr>
      <w:r w:rsidRPr="0072145A">
        <w:rPr>
          <w:b/>
          <w:color w:val="000000"/>
        </w:rPr>
        <w:t>Describe the consequence to Federal program or policy activities if the collection is not conducted or is conducted less frequently, as well as any technical or legal obstacles to reducing burden.</w:t>
      </w:r>
    </w:p>
    <w:p w:rsidR="00E157E9" w:rsidP="00E157E9" w:rsidRDefault="00E157E9" w14:paraId="24B7A5FB" w14:textId="77777777"/>
    <w:p w:rsidRPr="00F61D66" w:rsidR="00E157E9" w:rsidP="00E157E9" w:rsidRDefault="00E157E9" w14:paraId="3467567E" w14:textId="77777777">
      <w:r w:rsidRPr="00F61D66">
        <w:t>If these surveys were not conducted, the program offices have significantly less information for determining which areas of their programs should be modified, and how they might be modified, to provide better service to the public. The frequency of surveys will vary</w:t>
      </w:r>
      <w:r w:rsidR="009316E9">
        <w:t>: s</w:t>
      </w:r>
      <w:r w:rsidRPr="00F61D66">
        <w:t>ome will be conducted once a year, while others will be ongoing. The ongoing approach is deemed especially useful when asking questions about specific products and formats, rather than about general satisfaction with a program. This more frequent feedback may allow the program office to get helpful information from respondents at the time a product is received or a Home Page is used, rather than later as part of an annual survey.</w:t>
      </w:r>
    </w:p>
    <w:p w:rsidR="00B72318" w:rsidP="005758B7" w:rsidRDefault="00CF0BB2" w14:paraId="7B6DDE1C"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Explain any special circumstances that would cause an information collection to be conducted in a manner inconsistent with OMB guidelines.</w:t>
      </w:r>
    </w:p>
    <w:p w:rsidRPr="00F61D66" w:rsidR="00E157E9" w:rsidP="005758B7" w:rsidRDefault="00B10A5E" w14:paraId="40EEDD2B" w14:textId="77777777">
      <w:pPr>
        <w:pStyle w:val="ListParagraph"/>
        <w:ind w:left="0" w:firstLine="0"/>
      </w:pPr>
      <w:r>
        <w:t>There are no special circumstances.  Surveys will be conducted in a manner consistent with OMB guidelines.</w:t>
      </w:r>
    </w:p>
    <w:p w:rsidR="00B72318" w:rsidP="005758B7" w:rsidRDefault="00CF0BB2" w14:paraId="26A7A459"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758B7" w:rsidP="00E157E9" w:rsidRDefault="005758B7" w14:paraId="0858A920" w14:textId="77777777"/>
    <w:p w:rsidRPr="00F61D66" w:rsidR="00E157E9" w:rsidP="00E157E9" w:rsidRDefault="00E157E9" w14:paraId="4C5CEC58" w14:textId="77777777">
      <w:r w:rsidRPr="00F61D66">
        <w:t xml:space="preserve">A </w:t>
      </w:r>
      <w:r w:rsidRPr="00E157E9">
        <w:rPr>
          <w:u w:val="single"/>
        </w:rPr>
        <w:t>Federal Register</w:t>
      </w:r>
      <w:r w:rsidRPr="00F61D66">
        <w:t xml:space="preserve"> Notice soliciting public comments was published on </w:t>
      </w:r>
      <w:r w:rsidR="005758B7">
        <w:t>March 2, 2021</w:t>
      </w:r>
      <w:r w:rsidRPr="00F61D66">
        <w:t xml:space="preserve"> (8</w:t>
      </w:r>
      <w:r w:rsidR="005758B7">
        <w:t>6</w:t>
      </w:r>
      <w:r w:rsidRPr="00F61D66">
        <w:t xml:space="preserve"> FR </w:t>
      </w:r>
      <w:r w:rsidR="005758B7">
        <w:t>12179</w:t>
      </w:r>
      <w:r w:rsidRPr="00F61D66">
        <w:t>). No comments were received.</w:t>
      </w:r>
    </w:p>
    <w:p w:rsidRPr="00E157E9" w:rsidR="00E157E9" w:rsidP="00E157E9" w:rsidRDefault="00845645" w14:paraId="23E3BCE5" w14:textId="77777777">
      <w:pPr>
        <w:widowControl/>
        <w:shd w:val="clear" w:color="auto" w:fill="FFFFFF"/>
        <w:spacing w:before="240" w:after="240"/>
        <w:rPr>
          <w:color w:val="222222"/>
        </w:rPr>
      </w:pPr>
      <w:r>
        <w:rPr>
          <w:shd w:val="clear" w:color="auto" w:fill="FFFFFF"/>
        </w:rPr>
        <w:t>A notice soliciting public comments for an additional 30 days will be published concurrently with the submission to OMB of this information collection package.</w:t>
      </w:r>
    </w:p>
    <w:p w:rsidR="00B72318" w:rsidRDefault="00CF0BB2" w14:paraId="72D2574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E157E9" w:rsidP="00E157E9" w:rsidRDefault="00E157E9" w14:paraId="0A6A766A" w14:textId="77777777"/>
    <w:p w:rsidRPr="00F61D66" w:rsidR="00E157E9" w:rsidP="00E157E9" w:rsidRDefault="00E157E9" w14:paraId="314D88AA" w14:textId="77777777">
      <w:r w:rsidRPr="00F61D66">
        <w:t>No payment or gift will be given to any respondent.</w:t>
      </w:r>
    </w:p>
    <w:p w:rsidR="00B72318" w:rsidP="005758B7" w:rsidRDefault="00CF0BB2" w14:paraId="0680B887"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w:t>
      </w:r>
      <w:r>
        <w:rPr>
          <w:b/>
          <w:color w:val="000000"/>
        </w:rPr>
        <w:lastRenderedPageBreak/>
        <w:t>notice (SORN) or privacy impact assessment (PIA), those should be cited and described here.</w:t>
      </w:r>
    </w:p>
    <w:p w:rsidR="00CD1405" w:rsidP="00CD1405" w:rsidRDefault="00CD1405" w14:paraId="1333D38F" w14:textId="77777777">
      <w:pPr>
        <w:pBdr>
          <w:top w:val="nil"/>
          <w:left w:val="nil"/>
          <w:bottom w:val="nil"/>
          <w:right w:val="nil"/>
          <w:between w:val="nil"/>
        </w:pBdr>
        <w:tabs>
          <w:tab w:val="left" w:pos="360"/>
        </w:tabs>
        <w:spacing w:before="240"/>
      </w:pPr>
      <w:r w:rsidRPr="00C0373B">
        <w:t xml:space="preserve">This generic information collection request proposes to collect information via a variety of voluntary information collection activities (see </w:t>
      </w:r>
      <w:r>
        <w:t>section 12).   Although the agency</w:t>
      </w:r>
      <w:r w:rsidRPr="00C0373B">
        <w:t xml:space="preserve"> is not invoking statutory support for confidentiality, the quality of this type of information requires respondent candor and</w:t>
      </w:r>
      <w:r>
        <w:t xml:space="preserve"> anonymity. Therefore, the agency </w:t>
      </w:r>
      <w:r w:rsidRPr="00C0373B">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00B72318" w:rsidP="00CD1405" w:rsidRDefault="00CF0BB2" w14:paraId="4647D77C"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758B7" w:rsidP="00E157E9" w:rsidRDefault="005758B7" w14:paraId="4D229546" w14:textId="77777777"/>
    <w:p w:rsidRPr="00F61D66" w:rsidR="00E157E9" w:rsidP="00E157E9" w:rsidRDefault="00E157E9" w14:paraId="42C5877B" w14:textId="77777777">
      <w:r w:rsidRPr="00F61D66">
        <w:t>No sensitive questions will be asked.</w:t>
      </w:r>
    </w:p>
    <w:p w:rsidR="00B72318" w:rsidP="004F0F94" w:rsidRDefault="00CF0BB2" w14:paraId="2EEB467D" w14:textId="77777777">
      <w:pPr>
        <w:numPr>
          <w:ilvl w:val="0"/>
          <w:numId w:val="3"/>
        </w:numPr>
        <w:pBdr>
          <w:top w:val="nil"/>
          <w:left w:val="nil"/>
          <w:bottom w:val="nil"/>
          <w:right w:val="nil"/>
          <w:between w:val="nil"/>
        </w:pBdr>
        <w:tabs>
          <w:tab w:val="left" w:pos="360"/>
        </w:tabs>
        <w:spacing w:before="240"/>
        <w:ind w:left="0" w:firstLine="0"/>
        <w:rPr>
          <w:b/>
          <w:color w:val="000000"/>
        </w:rPr>
      </w:pPr>
      <w:r>
        <w:rPr>
          <w:color w:val="2F5496"/>
        </w:rPr>
        <w:t>.</w:t>
      </w:r>
      <w:r>
        <w:rPr>
          <w:b/>
          <w:color w:val="000000"/>
        </w:rPr>
        <w:t>Provide estimates of the hour burden of the collection of information.</w:t>
      </w:r>
    </w:p>
    <w:p w:rsidR="00E157E9" w:rsidP="00E157E9" w:rsidRDefault="00E157E9" w14:paraId="12FBE3DB" w14:textId="77777777"/>
    <w:p w:rsidR="00E157E9" w:rsidP="00E157E9" w:rsidRDefault="00FC070F" w14:paraId="6461161C" w14:textId="77777777">
      <w:r>
        <w:t>A variety of instruments and platforms will be used to collect information from respondents.  The annual burden hours requested are based on the number of collections we expect to conduct over the requested period for this clearance.</w:t>
      </w:r>
    </w:p>
    <w:p w:rsidRPr="00F61D66" w:rsidR="00FC070F" w:rsidP="00E157E9" w:rsidRDefault="00FC070F" w14:paraId="7B9A09EF" w14:textId="77777777"/>
    <w:tbl>
      <w:tblPr>
        <w:tblW w:w="10625" w:type="dxa"/>
        <w:tblInd w:w="-10" w:type="dxa"/>
        <w:tblCellMar>
          <w:top w:w="15" w:type="dxa"/>
          <w:left w:w="15" w:type="dxa"/>
          <w:bottom w:w="15" w:type="dxa"/>
          <w:right w:w="15" w:type="dxa"/>
        </w:tblCellMar>
        <w:tblLook w:val="04A0" w:firstRow="1" w:lastRow="0" w:firstColumn="1" w:lastColumn="0" w:noHBand="0" w:noVBand="1"/>
      </w:tblPr>
      <w:tblGrid>
        <w:gridCol w:w="3165"/>
        <w:gridCol w:w="1455"/>
        <w:gridCol w:w="1065"/>
        <w:gridCol w:w="1530"/>
        <w:gridCol w:w="1530"/>
        <w:gridCol w:w="1880"/>
      </w:tblGrid>
      <w:tr w:rsidRPr="002A5E15" w:rsidR="00A62A51" w:rsidTr="00FC070F" w14:paraId="6EC9CC65" w14:textId="77777777">
        <w:trPr>
          <w:trHeight w:val="1365"/>
        </w:trPr>
        <w:tc>
          <w:tcPr>
            <w:tcW w:w="3165"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14:paraId="5F7C06E4" w14:textId="77777777">
            <w:pPr>
              <w:widowControl/>
              <w:jc w:val="center"/>
            </w:pPr>
            <w:r w:rsidRPr="002A5E15">
              <w:rPr>
                <w:rFonts w:ascii="Calibri" w:hAnsi="Calibri" w:cs="Calibri"/>
                <w:b/>
                <w:bCs/>
                <w:color w:val="000000"/>
                <w:sz w:val="16"/>
                <w:szCs w:val="16"/>
              </w:rPr>
              <w:t>Information Collection</w:t>
            </w:r>
          </w:p>
        </w:tc>
        <w:tc>
          <w:tcPr>
            <w:tcW w:w="1455"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14:paraId="3421366A" w14:textId="77777777">
            <w:pPr>
              <w:widowControl/>
              <w:jc w:val="center"/>
            </w:pPr>
            <w:r w:rsidRPr="002A5E15">
              <w:rPr>
                <w:rFonts w:ascii="Calibri" w:hAnsi="Calibri" w:cs="Calibri"/>
                <w:b/>
                <w:bCs/>
                <w:color w:val="000000"/>
                <w:sz w:val="16"/>
                <w:szCs w:val="16"/>
              </w:rPr>
              <w:t># of Respondents/year</w:t>
            </w:r>
            <w:r w:rsidRPr="002A5E15">
              <w:rPr>
                <w:rFonts w:ascii="Calibri" w:hAnsi="Calibri" w:cs="Calibri"/>
                <w:b/>
                <w:bCs/>
                <w:color w:val="000000"/>
                <w:sz w:val="16"/>
                <w:szCs w:val="16"/>
              </w:rPr>
              <w:br/>
              <w:t>(a)</w:t>
            </w:r>
          </w:p>
        </w:tc>
        <w:tc>
          <w:tcPr>
            <w:tcW w:w="1065"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14:paraId="79315553" w14:textId="77777777">
            <w:pPr>
              <w:widowControl/>
              <w:jc w:val="center"/>
            </w:pPr>
            <w:r w:rsidRPr="002A5E15">
              <w:rPr>
                <w:rFonts w:ascii="Calibri" w:hAnsi="Calibri" w:cs="Calibri"/>
                <w:b/>
                <w:bCs/>
                <w:color w:val="000000"/>
                <w:sz w:val="16"/>
                <w:szCs w:val="16"/>
              </w:rPr>
              <w:t>Annual # of Responses / Respondent</w:t>
            </w:r>
            <w:r w:rsidRPr="002A5E15">
              <w:rPr>
                <w:rFonts w:ascii="Calibri" w:hAnsi="Calibri" w:cs="Calibri"/>
                <w:b/>
                <w:bCs/>
                <w:color w:val="000000"/>
                <w:sz w:val="16"/>
                <w:szCs w:val="16"/>
              </w:rPr>
              <w:br/>
              <w:t>(b)</w:t>
            </w:r>
          </w:p>
        </w:tc>
        <w:tc>
          <w:tcPr>
            <w:tcW w:w="153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14:paraId="74A342AA" w14:textId="77777777">
            <w:pPr>
              <w:widowControl/>
              <w:jc w:val="center"/>
            </w:pPr>
            <w:r w:rsidRPr="002A5E15">
              <w:rPr>
                <w:rFonts w:ascii="Calibri" w:hAnsi="Calibri" w:cs="Calibri"/>
                <w:b/>
                <w:bCs/>
                <w:color w:val="000000"/>
                <w:sz w:val="16"/>
                <w:szCs w:val="16"/>
              </w:rPr>
              <w:t xml:space="preserve"> Total # of Annual Responses</w:t>
            </w:r>
            <w:r w:rsidRPr="002A5E15">
              <w:rPr>
                <w:rFonts w:ascii="Calibri" w:hAnsi="Calibri" w:cs="Calibri"/>
                <w:b/>
                <w:bCs/>
                <w:color w:val="000000"/>
                <w:sz w:val="16"/>
                <w:szCs w:val="16"/>
              </w:rPr>
              <w:br/>
              <w:t>(c) = (a) x (b)</w:t>
            </w:r>
          </w:p>
        </w:tc>
        <w:tc>
          <w:tcPr>
            <w:tcW w:w="153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14:paraId="36417B27" w14:textId="77777777">
            <w:pPr>
              <w:widowControl/>
              <w:jc w:val="center"/>
            </w:pPr>
            <w:r w:rsidRPr="002A5E15">
              <w:rPr>
                <w:rFonts w:ascii="Calibri" w:hAnsi="Calibri" w:cs="Calibri"/>
                <w:b/>
                <w:bCs/>
                <w:color w:val="000000"/>
                <w:sz w:val="16"/>
                <w:szCs w:val="16"/>
              </w:rPr>
              <w:t>Burden Hrs / Response</w:t>
            </w:r>
            <w:r w:rsidRPr="002A5E15">
              <w:rPr>
                <w:rFonts w:ascii="Calibri" w:hAnsi="Calibri" w:cs="Calibri"/>
                <w:b/>
                <w:bCs/>
                <w:color w:val="000000"/>
                <w:sz w:val="16"/>
                <w:szCs w:val="16"/>
              </w:rPr>
              <w:br/>
              <w:t>(d)</w:t>
            </w:r>
          </w:p>
        </w:tc>
        <w:tc>
          <w:tcPr>
            <w:tcW w:w="188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14:paraId="091E69B4" w14:textId="77777777">
            <w:pPr>
              <w:widowControl/>
              <w:jc w:val="center"/>
            </w:pPr>
            <w:r w:rsidRPr="002A5E15">
              <w:rPr>
                <w:rFonts w:ascii="Calibri" w:hAnsi="Calibri" w:cs="Calibri"/>
                <w:b/>
                <w:bCs/>
                <w:color w:val="000000"/>
                <w:sz w:val="16"/>
                <w:szCs w:val="16"/>
              </w:rPr>
              <w:t>Total Annual Burden Hrs</w:t>
            </w:r>
            <w:r w:rsidRPr="002A5E15">
              <w:rPr>
                <w:rFonts w:ascii="Calibri" w:hAnsi="Calibri" w:cs="Calibri"/>
                <w:b/>
                <w:bCs/>
                <w:color w:val="000000"/>
                <w:sz w:val="16"/>
                <w:szCs w:val="16"/>
              </w:rPr>
              <w:br/>
              <w:t>(e)  = (c) x (d)</w:t>
            </w:r>
          </w:p>
        </w:tc>
      </w:tr>
      <w:tr w:rsidRPr="002A5E15" w:rsidR="00BC5295" w:rsidTr="00FC070F" w14:paraId="28606631" w14:textId="77777777">
        <w:trPr>
          <w:trHeight w:val="300"/>
        </w:trPr>
        <w:tc>
          <w:tcPr>
            <w:tcW w:w="3165" w:type="dxa"/>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4A44A7" w14:paraId="728AB5AB" w14:textId="77777777">
            <w:pPr>
              <w:widowControl/>
              <w:rPr>
                <w:rFonts w:ascii="Calibri" w:hAnsi="Calibri" w:cs="Calibri"/>
                <w:color w:val="000000"/>
                <w:sz w:val="18"/>
                <w:szCs w:val="18"/>
              </w:rPr>
            </w:pPr>
            <w:r>
              <w:rPr>
                <w:rFonts w:ascii="Calibri" w:hAnsi="Calibri" w:cs="Calibri"/>
                <w:color w:val="000000"/>
                <w:sz w:val="18"/>
                <w:szCs w:val="18"/>
              </w:rPr>
              <w:t xml:space="preserve">*NWS </w:t>
            </w:r>
            <w:r w:rsidR="00BC5295">
              <w:rPr>
                <w:rFonts w:ascii="Calibri" w:hAnsi="Calibri" w:cs="Calibri"/>
                <w:color w:val="000000"/>
                <w:sz w:val="18"/>
                <w:szCs w:val="18"/>
              </w:rPr>
              <w:t>Impact Decision Support Services (IDSS)</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14:paraId="4E6857BB" w14:textId="77777777">
            <w:pPr>
              <w:widowControl/>
              <w:jc w:val="right"/>
              <w:rPr>
                <w:rFonts w:ascii="Calibri" w:hAnsi="Calibri" w:cs="Calibri"/>
                <w:color w:val="000000"/>
                <w:sz w:val="18"/>
                <w:szCs w:val="18"/>
              </w:rPr>
            </w:pPr>
            <w:r>
              <w:rPr>
                <w:rFonts w:ascii="Calibri" w:hAnsi="Calibri" w:cs="Calibri"/>
                <w:color w:val="000000"/>
                <w:sz w:val="18"/>
                <w:szCs w:val="18"/>
              </w:rPr>
              <w:t>7320</w:t>
            </w:r>
          </w:p>
        </w:tc>
        <w:tc>
          <w:tcPr>
            <w:tcW w:w="10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14:paraId="13FA8F75" w14:textId="77777777">
            <w:pPr>
              <w:widowControl/>
              <w:jc w:val="right"/>
              <w:rPr>
                <w:rFonts w:ascii="Calibri" w:hAnsi="Calibri" w:cs="Calibri"/>
                <w:color w:val="000000"/>
                <w:sz w:val="18"/>
                <w:szCs w:val="18"/>
              </w:rPr>
            </w:pPr>
            <w:r>
              <w:rPr>
                <w:rFonts w:ascii="Calibri" w:hAnsi="Calibri" w:cs="Calibri"/>
                <w:color w:val="000000"/>
                <w:sz w:val="18"/>
                <w:szCs w:val="18"/>
              </w:rPr>
              <w:t>1</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14:paraId="0E5E2BE9" w14:textId="77777777">
            <w:pPr>
              <w:widowControl/>
              <w:jc w:val="right"/>
              <w:rPr>
                <w:rFonts w:ascii="Calibri" w:hAnsi="Calibri" w:cs="Calibri"/>
                <w:color w:val="000000"/>
                <w:sz w:val="18"/>
                <w:szCs w:val="18"/>
              </w:rPr>
            </w:pPr>
            <w:r>
              <w:rPr>
                <w:rFonts w:ascii="Calibri" w:hAnsi="Calibri" w:cs="Calibri"/>
                <w:color w:val="000000"/>
                <w:sz w:val="18"/>
                <w:szCs w:val="18"/>
              </w:rPr>
              <w:t>7320</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14:paraId="4DC74A28" w14:textId="77777777">
            <w:pPr>
              <w:widowControl/>
              <w:jc w:val="right"/>
              <w:rPr>
                <w:rFonts w:ascii="Calibri" w:hAnsi="Calibri" w:cs="Calibri"/>
                <w:color w:val="000000"/>
                <w:sz w:val="18"/>
                <w:szCs w:val="18"/>
              </w:rPr>
            </w:pPr>
            <w:r>
              <w:rPr>
                <w:rFonts w:ascii="Calibri" w:hAnsi="Calibri" w:cs="Calibri"/>
                <w:color w:val="000000"/>
                <w:sz w:val="18"/>
                <w:szCs w:val="18"/>
              </w:rPr>
              <w:t>7 min</w:t>
            </w:r>
          </w:p>
        </w:tc>
        <w:tc>
          <w:tcPr>
            <w:tcW w:w="18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14:paraId="7174C96E" w14:textId="77777777">
            <w:pPr>
              <w:widowControl/>
              <w:jc w:val="right"/>
              <w:rPr>
                <w:rFonts w:ascii="Calibri" w:hAnsi="Calibri" w:cs="Calibri"/>
                <w:color w:val="000000"/>
                <w:sz w:val="18"/>
                <w:szCs w:val="18"/>
              </w:rPr>
            </w:pPr>
            <w:r>
              <w:rPr>
                <w:rFonts w:ascii="Calibri" w:hAnsi="Calibri" w:cs="Calibri"/>
                <w:color w:val="000000"/>
                <w:sz w:val="18"/>
                <w:szCs w:val="18"/>
              </w:rPr>
              <w:t>854</w:t>
            </w:r>
          </w:p>
        </w:tc>
      </w:tr>
      <w:tr w:rsidRPr="002A5E15" w:rsidR="00BC5295" w:rsidTr="00FC070F" w14:paraId="2DC04FB1" w14:textId="77777777">
        <w:trPr>
          <w:trHeight w:val="300"/>
        </w:trPr>
        <w:tc>
          <w:tcPr>
            <w:tcW w:w="3165" w:type="dxa"/>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4A44A7" w14:paraId="153D2891" w14:textId="77777777">
            <w:pPr>
              <w:widowControl/>
              <w:rPr>
                <w:rFonts w:ascii="Calibri" w:hAnsi="Calibri" w:cs="Calibri"/>
                <w:color w:val="000000"/>
                <w:sz w:val="18"/>
                <w:szCs w:val="18"/>
              </w:rPr>
            </w:pPr>
            <w:r>
              <w:rPr>
                <w:rFonts w:ascii="Calibri" w:hAnsi="Calibri" w:cs="Calibri"/>
                <w:color w:val="000000"/>
                <w:sz w:val="18"/>
                <w:szCs w:val="18"/>
              </w:rPr>
              <w:t>*</w:t>
            </w:r>
            <w:r w:rsidR="00BC5295">
              <w:rPr>
                <w:rFonts w:ascii="Calibri" w:hAnsi="Calibri" w:cs="Calibri"/>
                <w:color w:val="000000"/>
                <w:sz w:val="18"/>
                <w:szCs w:val="18"/>
              </w:rPr>
              <w:t>NWS Customer Survey for Official and Experimental Products/Services</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14:paraId="6649F015" w14:textId="77777777">
            <w:pPr>
              <w:widowControl/>
              <w:jc w:val="right"/>
              <w:rPr>
                <w:rFonts w:ascii="Calibri" w:hAnsi="Calibri" w:cs="Calibri"/>
                <w:color w:val="000000"/>
                <w:sz w:val="18"/>
                <w:szCs w:val="18"/>
              </w:rPr>
            </w:pPr>
            <w:r>
              <w:rPr>
                <w:rFonts w:ascii="Calibri" w:hAnsi="Calibri" w:cs="Calibri"/>
                <w:color w:val="000000"/>
                <w:sz w:val="18"/>
                <w:szCs w:val="18"/>
              </w:rPr>
              <w:t>19440</w:t>
            </w:r>
          </w:p>
        </w:tc>
        <w:tc>
          <w:tcPr>
            <w:tcW w:w="10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14:paraId="3D8C3251" w14:textId="77777777">
            <w:pPr>
              <w:widowControl/>
              <w:jc w:val="right"/>
              <w:rPr>
                <w:rFonts w:ascii="Calibri" w:hAnsi="Calibri" w:cs="Calibri"/>
                <w:color w:val="000000"/>
                <w:sz w:val="18"/>
                <w:szCs w:val="18"/>
              </w:rPr>
            </w:pPr>
            <w:r>
              <w:rPr>
                <w:rFonts w:ascii="Calibri" w:hAnsi="Calibri" w:cs="Calibri"/>
                <w:color w:val="000000"/>
                <w:sz w:val="18"/>
                <w:szCs w:val="18"/>
              </w:rPr>
              <w:t>1</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14:paraId="46731B5A" w14:textId="77777777">
            <w:pPr>
              <w:widowControl/>
              <w:jc w:val="right"/>
              <w:rPr>
                <w:rFonts w:ascii="Calibri" w:hAnsi="Calibri" w:cs="Calibri"/>
                <w:color w:val="000000"/>
                <w:sz w:val="18"/>
                <w:szCs w:val="18"/>
              </w:rPr>
            </w:pPr>
            <w:r>
              <w:rPr>
                <w:rFonts w:ascii="Calibri" w:hAnsi="Calibri" w:cs="Calibri"/>
                <w:color w:val="000000"/>
                <w:sz w:val="18"/>
                <w:szCs w:val="18"/>
              </w:rPr>
              <w:t>19440</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14:paraId="48ED21F0" w14:textId="77777777">
            <w:pPr>
              <w:widowControl/>
              <w:jc w:val="right"/>
              <w:rPr>
                <w:rFonts w:ascii="Calibri" w:hAnsi="Calibri" w:cs="Calibri"/>
                <w:color w:val="000000"/>
                <w:sz w:val="18"/>
                <w:szCs w:val="18"/>
              </w:rPr>
            </w:pPr>
            <w:r>
              <w:rPr>
                <w:rFonts w:ascii="Calibri" w:hAnsi="Calibri" w:cs="Calibri"/>
                <w:color w:val="000000"/>
                <w:sz w:val="18"/>
                <w:szCs w:val="18"/>
              </w:rPr>
              <w:t>6 min</w:t>
            </w:r>
          </w:p>
        </w:tc>
        <w:tc>
          <w:tcPr>
            <w:tcW w:w="18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14:paraId="4C3BD0A6" w14:textId="77777777">
            <w:pPr>
              <w:widowControl/>
              <w:jc w:val="right"/>
              <w:rPr>
                <w:rFonts w:ascii="Calibri" w:hAnsi="Calibri" w:cs="Calibri"/>
                <w:color w:val="000000"/>
                <w:sz w:val="18"/>
                <w:szCs w:val="18"/>
              </w:rPr>
            </w:pPr>
            <w:r>
              <w:rPr>
                <w:rFonts w:ascii="Calibri" w:hAnsi="Calibri" w:cs="Calibri"/>
                <w:color w:val="000000"/>
                <w:sz w:val="18"/>
                <w:szCs w:val="18"/>
              </w:rPr>
              <w:t>1944</w:t>
            </w:r>
          </w:p>
        </w:tc>
      </w:tr>
      <w:tr w:rsidRPr="002A5E15" w:rsidR="00BC5295" w:rsidTr="00FC070F" w14:paraId="239FA9C1" w14:textId="77777777">
        <w:trPr>
          <w:trHeight w:val="300"/>
        </w:trPr>
        <w:tc>
          <w:tcPr>
            <w:tcW w:w="3165" w:type="dxa"/>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tcPr>
          <w:p w:rsidR="00BC5295" w:rsidP="002A5E15" w:rsidRDefault="004A44A7" w14:paraId="45BDF58B" w14:textId="77777777">
            <w:pPr>
              <w:widowControl/>
              <w:rPr>
                <w:rFonts w:ascii="Calibri" w:hAnsi="Calibri" w:cs="Calibri"/>
                <w:color w:val="000000"/>
                <w:sz w:val="18"/>
                <w:szCs w:val="18"/>
              </w:rPr>
            </w:pPr>
            <w:r>
              <w:rPr>
                <w:rFonts w:ascii="Calibri" w:hAnsi="Calibri" w:cs="Calibri"/>
                <w:color w:val="000000"/>
                <w:sz w:val="18"/>
                <w:szCs w:val="18"/>
              </w:rPr>
              <w:t>*</w:t>
            </w:r>
            <w:r w:rsidR="00BC5295">
              <w:rPr>
                <w:rFonts w:ascii="Calibri" w:hAnsi="Calibri" w:cs="Calibri"/>
                <w:color w:val="000000"/>
                <w:sz w:val="18"/>
                <w:szCs w:val="18"/>
              </w:rPr>
              <w:t>NWS Hazard Simplification Surveys</w:t>
            </w:r>
            <w:r w:rsidRPr="00E73092" w:rsidR="00A62A51">
              <w:rPr>
                <w:rFonts w:ascii="Calibri" w:hAnsi="Calibri" w:cs="Calibri"/>
                <w:color w:val="000000"/>
                <w:sz w:val="18"/>
                <w:szCs w:val="18"/>
                <w:vertAlign w:val="superscript"/>
              </w:rPr>
              <w:t>1</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353458" w14:paraId="2381B0D6" w14:textId="66B89B10">
            <w:pPr>
              <w:widowControl/>
              <w:jc w:val="right"/>
              <w:rPr>
                <w:rFonts w:ascii="Calibri" w:hAnsi="Calibri" w:cs="Calibri"/>
                <w:color w:val="000000"/>
                <w:sz w:val="18"/>
                <w:szCs w:val="18"/>
              </w:rPr>
            </w:pPr>
            <w:r>
              <w:rPr>
                <w:rFonts w:ascii="Calibri" w:hAnsi="Calibri" w:cs="Calibri"/>
                <w:color w:val="000000"/>
                <w:sz w:val="18"/>
                <w:szCs w:val="18"/>
              </w:rPr>
              <w:t>50,000</w:t>
            </w:r>
          </w:p>
        </w:tc>
        <w:tc>
          <w:tcPr>
            <w:tcW w:w="10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14:paraId="4169C554" w14:textId="77777777">
            <w:pPr>
              <w:widowControl/>
              <w:jc w:val="right"/>
              <w:rPr>
                <w:rFonts w:ascii="Calibri" w:hAnsi="Calibri" w:cs="Calibri"/>
                <w:color w:val="000000"/>
                <w:sz w:val="18"/>
                <w:szCs w:val="18"/>
              </w:rPr>
            </w:pPr>
            <w:r>
              <w:rPr>
                <w:rFonts w:ascii="Calibri" w:hAnsi="Calibri" w:cs="Calibri"/>
                <w:color w:val="000000"/>
                <w:sz w:val="18"/>
                <w:szCs w:val="18"/>
              </w:rPr>
              <w:t>1</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353458" w14:paraId="11C3FB37" w14:textId="53219698">
            <w:pPr>
              <w:widowControl/>
              <w:jc w:val="right"/>
              <w:rPr>
                <w:rFonts w:ascii="Calibri" w:hAnsi="Calibri" w:cs="Calibri"/>
                <w:color w:val="000000"/>
                <w:sz w:val="18"/>
                <w:szCs w:val="18"/>
              </w:rPr>
            </w:pPr>
            <w:r>
              <w:rPr>
                <w:rFonts w:ascii="Calibri" w:hAnsi="Calibri" w:cs="Calibri"/>
                <w:color w:val="000000"/>
                <w:sz w:val="18"/>
                <w:szCs w:val="18"/>
              </w:rPr>
              <w:t>50,000</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14:paraId="26891C56" w14:textId="77777777">
            <w:pPr>
              <w:widowControl/>
              <w:jc w:val="right"/>
              <w:rPr>
                <w:rFonts w:ascii="Calibri" w:hAnsi="Calibri" w:cs="Calibri"/>
                <w:color w:val="000000"/>
                <w:sz w:val="18"/>
                <w:szCs w:val="18"/>
              </w:rPr>
            </w:pPr>
            <w:r>
              <w:rPr>
                <w:rFonts w:ascii="Calibri" w:hAnsi="Calibri" w:cs="Calibri"/>
                <w:color w:val="000000"/>
                <w:sz w:val="18"/>
                <w:szCs w:val="18"/>
              </w:rPr>
              <w:t>5 min</w:t>
            </w:r>
          </w:p>
        </w:tc>
        <w:tc>
          <w:tcPr>
            <w:tcW w:w="18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353458" w14:paraId="7510E149" w14:textId="4A9B20A2">
            <w:pPr>
              <w:widowControl/>
              <w:jc w:val="right"/>
              <w:rPr>
                <w:rFonts w:ascii="Calibri" w:hAnsi="Calibri" w:cs="Calibri"/>
                <w:color w:val="000000"/>
                <w:sz w:val="18"/>
                <w:szCs w:val="18"/>
              </w:rPr>
            </w:pPr>
            <w:r>
              <w:rPr>
                <w:rFonts w:ascii="Calibri" w:hAnsi="Calibri" w:cs="Calibri"/>
                <w:color w:val="000000"/>
                <w:sz w:val="18"/>
                <w:szCs w:val="18"/>
              </w:rPr>
              <w:t>4,167</w:t>
            </w:r>
          </w:p>
        </w:tc>
      </w:tr>
      <w:tr w:rsidRPr="002A5E15" w:rsidR="00353458" w:rsidTr="00FC070F" w14:paraId="761037F7" w14:textId="77777777">
        <w:trPr>
          <w:trHeight w:val="300"/>
        </w:trPr>
        <w:tc>
          <w:tcPr>
            <w:tcW w:w="3165" w:type="dxa"/>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tcPr>
          <w:p w:rsidR="00353458" w:rsidP="002A5E15" w:rsidRDefault="00353458" w14:paraId="3F400AE2" w14:textId="77777777">
            <w:pPr>
              <w:widowControl/>
              <w:rPr>
                <w:rFonts w:ascii="Calibri" w:hAnsi="Calibri" w:cs="Calibri"/>
                <w:color w:val="000000"/>
                <w:sz w:val="18"/>
                <w:szCs w:val="18"/>
              </w:rPr>
            </w:pPr>
            <w:r>
              <w:rPr>
                <w:rFonts w:ascii="Calibri" w:hAnsi="Calibri" w:cs="Calibri"/>
                <w:color w:val="000000"/>
                <w:sz w:val="18"/>
                <w:szCs w:val="18"/>
              </w:rPr>
              <w:t>*Tropical Products / Services</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353458" w:rsidP="002A5E15" w:rsidRDefault="00353458" w14:paraId="16EE5BAB" w14:textId="77777777">
            <w:pPr>
              <w:widowControl/>
              <w:jc w:val="right"/>
              <w:rPr>
                <w:rFonts w:ascii="Calibri" w:hAnsi="Calibri" w:cs="Calibri"/>
                <w:color w:val="000000"/>
                <w:sz w:val="18"/>
                <w:szCs w:val="18"/>
              </w:rPr>
            </w:pPr>
            <w:r>
              <w:rPr>
                <w:rFonts w:ascii="Calibri" w:hAnsi="Calibri" w:cs="Calibri"/>
                <w:color w:val="000000"/>
                <w:sz w:val="18"/>
                <w:szCs w:val="18"/>
              </w:rPr>
              <w:t>700</w:t>
            </w:r>
          </w:p>
        </w:tc>
        <w:tc>
          <w:tcPr>
            <w:tcW w:w="10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353458" w:rsidP="002A5E15" w:rsidRDefault="00353458" w14:paraId="513F613F" w14:textId="77777777">
            <w:pPr>
              <w:widowControl/>
              <w:jc w:val="right"/>
              <w:rPr>
                <w:rFonts w:ascii="Calibri" w:hAnsi="Calibri" w:cs="Calibri"/>
                <w:color w:val="000000"/>
                <w:sz w:val="18"/>
                <w:szCs w:val="18"/>
              </w:rPr>
            </w:pPr>
            <w:r>
              <w:rPr>
                <w:rFonts w:ascii="Calibri" w:hAnsi="Calibri" w:cs="Calibri"/>
                <w:color w:val="000000"/>
                <w:sz w:val="18"/>
                <w:szCs w:val="18"/>
              </w:rPr>
              <w:t>1</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353458" w:rsidP="002A5E15" w:rsidRDefault="00353458" w14:paraId="07829B96" w14:textId="77777777">
            <w:pPr>
              <w:widowControl/>
              <w:jc w:val="right"/>
              <w:rPr>
                <w:rFonts w:ascii="Calibri" w:hAnsi="Calibri" w:cs="Calibri"/>
                <w:color w:val="000000"/>
                <w:sz w:val="18"/>
                <w:szCs w:val="18"/>
              </w:rPr>
            </w:pPr>
            <w:r>
              <w:rPr>
                <w:rFonts w:ascii="Calibri" w:hAnsi="Calibri" w:cs="Calibri"/>
                <w:color w:val="000000"/>
                <w:sz w:val="18"/>
                <w:szCs w:val="18"/>
              </w:rPr>
              <w:t>700</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353458" w:rsidP="002A5E15" w:rsidRDefault="00353458" w14:paraId="389779F9" w14:textId="77777777">
            <w:pPr>
              <w:widowControl/>
              <w:jc w:val="right"/>
              <w:rPr>
                <w:rFonts w:ascii="Calibri" w:hAnsi="Calibri" w:cs="Calibri"/>
                <w:color w:val="000000"/>
                <w:sz w:val="18"/>
                <w:szCs w:val="18"/>
              </w:rPr>
            </w:pPr>
            <w:r>
              <w:rPr>
                <w:rFonts w:ascii="Calibri" w:hAnsi="Calibri" w:cs="Calibri"/>
                <w:color w:val="000000"/>
                <w:sz w:val="18"/>
                <w:szCs w:val="18"/>
              </w:rPr>
              <w:t>15 min</w:t>
            </w:r>
          </w:p>
        </w:tc>
        <w:tc>
          <w:tcPr>
            <w:tcW w:w="18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353458" w:rsidP="002A5E15" w:rsidRDefault="00353458" w14:paraId="262F0CF1" w14:textId="77777777">
            <w:pPr>
              <w:widowControl/>
              <w:jc w:val="right"/>
              <w:rPr>
                <w:rFonts w:ascii="Calibri" w:hAnsi="Calibri" w:cs="Calibri"/>
                <w:color w:val="000000"/>
                <w:sz w:val="18"/>
                <w:szCs w:val="18"/>
              </w:rPr>
            </w:pPr>
            <w:r>
              <w:rPr>
                <w:rFonts w:ascii="Calibri" w:hAnsi="Calibri" w:cs="Calibri"/>
                <w:color w:val="000000"/>
                <w:sz w:val="18"/>
                <w:szCs w:val="18"/>
              </w:rPr>
              <w:t>175</w:t>
            </w:r>
          </w:p>
        </w:tc>
      </w:tr>
      <w:tr w:rsidRPr="002A5E15" w:rsidR="00A62A51" w:rsidTr="00FC070F" w14:paraId="58F40E42" w14:textId="77777777">
        <w:trPr>
          <w:trHeight w:val="615"/>
        </w:trPr>
        <w:tc>
          <w:tcPr>
            <w:tcW w:w="3165"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002A5E15" w:rsidP="002A5E15" w:rsidRDefault="002A5E15" w14:paraId="399F0C50" w14:textId="77777777">
            <w:pPr>
              <w:widowControl/>
              <w:rPr>
                <w:rFonts w:ascii="Calibri" w:hAnsi="Calibri" w:cs="Calibri"/>
                <w:b/>
                <w:bCs/>
                <w:color w:val="000000"/>
              </w:rPr>
            </w:pPr>
            <w:r w:rsidRPr="002A5E15">
              <w:rPr>
                <w:rFonts w:ascii="Calibri" w:hAnsi="Calibri" w:cs="Calibri"/>
                <w:b/>
                <w:bCs/>
                <w:color w:val="000000"/>
              </w:rPr>
              <w:t>Totals</w:t>
            </w:r>
          </w:p>
          <w:p w:rsidRPr="002A5E15" w:rsidR="002A5E15" w:rsidP="002A5E15" w:rsidRDefault="002A5E15" w14:paraId="25A82D82" w14:textId="77777777">
            <w:pPr>
              <w:widowControl/>
            </w:pPr>
            <w:r>
              <w:rPr>
                <w:rFonts w:ascii="Calibri" w:hAnsi="Calibri" w:cs="Calibri"/>
                <w:b/>
                <w:bCs/>
                <w:color w:val="000000"/>
              </w:rPr>
              <w:t>(3-Year Period)</w:t>
            </w:r>
          </w:p>
        </w:tc>
        <w:tc>
          <w:tcPr>
            <w:tcW w:w="1455"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2A5E15" w:rsidR="002A5E15" w:rsidP="002A5E15" w:rsidRDefault="002A5E15" w14:paraId="3FE6A2E7" w14:textId="77777777">
            <w:pPr>
              <w:widowControl/>
            </w:pPr>
            <w:r w:rsidRPr="002A5E15">
              <w:rPr>
                <w:rFonts w:ascii="Calibri" w:hAnsi="Calibri" w:cs="Calibri"/>
                <w:b/>
                <w:bCs/>
                <w:color w:val="000000"/>
              </w:rPr>
              <w:t> </w:t>
            </w:r>
          </w:p>
        </w:tc>
        <w:tc>
          <w:tcPr>
            <w:tcW w:w="1065"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2A5E15" w:rsidR="002A5E15" w:rsidP="002A5E15" w:rsidRDefault="002A5E15" w14:paraId="0E04471F" w14:textId="77777777">
            <w:pPr>
              <w:widowControl/>
            </w:pPr>
            <w:r w:rsidRPr="002A5E15">
              <w:rPr>
                <w:rFonts w:ascii="Calibri" w:hAnsi="Calibri" w:cs="Calibri"/>
                <w:b/>
                <w:bCs/>
                <w:color w:val="000000"/>
              </w:rPr>
              <w:t> </w:t>
            </w:r>
          </w:p>
        </w:tc>
        <w:tc>
          <w:tcPr>
            <w:tcW w:w="1530"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002A5E15" w:rsidP="002A5E15" w:rsidRDefault="002A5E15" w14:paraId="55292383" w14:textId="3C3FB168">
            <w:pPr>
              <w:widowControl/>
              <w:rPr>
                <w:rFonts w:ascii="Calibri" w:hAnsi="Calibri" w:cs="Calibri"/>
                <w:b/>
                <w:bCs/>
                <w:color w:val="000000"/>
              </w:rPr>
            </w:pPr>
            <w:r w:rsidRPr="002A5E15">
              <w:rPr>
                <w:rFonts w:ascii="Calibri" w:hAnsi="Calibri" w:cs="Calibri"/>
                <w:b/>
                <w:bCs/>
                <w:color w:val="000000"/>
              </w:rPr>
              <w:t> </w:t>
            </w:r>
            <w:r w:rsidR="00A62A51">
              <w:rPr>
                <w:rFonts w:ascii="Calibri" w:hAnsi="Calibri" w:cs="Calibri"/>
                <w:b/>
                <w:bCs/>
                <w:color w:val="000000"/>
              </w:rPr>
              <w:t>77,460</w:t>
            </w:r>
          </w:p>
          <w:p w:rsidRPr="002A5E15" w:rsidR="002A5E15" w:rsidP="00A62A51" w:rsidRDefault="00356BE8" w14:paraId="26443BB9" w14:textId="7285B25A">
            <w:pPr>
              <w:widowControl/>
              <w:rPr>
                <w:b/>
              </w:rPr>
            </w:pPr>
            <w:r w:rsidRPr="00356BE8">
              <w:rPr>
                <w:b/>
              </w:rPr>
              <w:t>(</w:t>
            </w:r>
            <w:r w:rsidR="00A62A51">
              <w:rPr>
                <w:b/>
              </w:rPr>
              <w:t>232,380</w:t>
            </w:r>
            <w:r w:rsidRPr="00356BE8">
              <w:rPr>
                <w:b/>
              </w:rPr>
              <w:t>)</w:t>
            </w:r>
          </w:p>
        </w:tc>
        <w:tc>
          <w:tcPr>
            <w:tcW w:w="1530"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2A5E15" w:rsidR="002A5E15" w:rsidP="002A5E15" w:rsidRDefault="002A5E15" w14:paraId="22B3E799" w14:textId="77777777">
            <w:pPr>
              <w:widowControl/>
            </w:pPr>
            <w:r w:rsidRPr="002A5E15">
              <w:rPr>
                <w:rFonts w:ascii="Calibri" w:hAnsi="Calibri" w:cs="Calibri"/>
                <w:b/>
                <w:bCs/>
                <w:color w:val="000000"/>
              </w:rPr>
              <w:t> </w:t>
            </w:r>
          </w:p>
        </w:tc>
        <w:tc>
          <w:tcPr>
            <w:tcW w:w="1880"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002A5E15" w:rsidP="002A5E15" w:rsidRDefault="002A5E15" w14:paraId="6AC8A5AE" w14:textId="0E182328">
            <w:pPr>
              <w:widowControl/>
              <w:rPr>
                <w:rFonts w:ascii="Calibri" w:hAnsi="Calibri" w:cs="Calibri"/>
                <w:b/>
                <w:bCs/>
                <w:color w:val="000000"/>
              </w:rPr>
            </w:pPr>
            <w:r w:rsidRPr="002A5E15">
              <w:rPr>
                <w:rFonts w:ascii="Calibri" w:hAnsi="Calibri" w:cs="Calibri"/>
                <w:b/>
                <w:bCs/>
                <w:color w:val="000000"/>
              </w:rPr>
              <w:t> </w:t>
            </w:r>
            <w:r w:rsidR="00A62A51">
              <w:rPr>
                <w:rFonts w:ascii="Calibri" w:hAnsi="Calibri" w:cs="Calibri"/>
                <w:b/>
                <w:bCs/>
                <w:color w:val="000000"/>
              </w:rPr>
              <w:t>7,140</w:t>
            </w:r>
          </w:p>
          <w:p w:rsidRPr="002A5E15" w:rsidR="002A5E15" w:rsidP="00A62A51" w:rsidRDefault="00356BE8" w14:paraId="2E8900E5" w14:textId="4F095DC4">
            <w:pPr>
              <w:widowControl/>
              <w:rPr>
                <w:b/>
              </w:rPr>
            </w:pPr>
            <w:r w:rsidRPr="00356BE8">
              <w:rPr>
                <w:b/>
              </w:rPr>
              <w:t>(</w:t>
            </w:r>
            <w:r w:rsidR="00A62A51">
              <w:rPr>
                <w:b/>
              </w:rPr>
              <w:t>21,420</w:t>
            </w:r>
            <w:r w:rsidRPr="00356BE8">
              <w:rPr>
                <w:b/>
              </w:rPr>
              <w:t>)</w:t>
            </w:r>
          </w:p>
        </w:tc>
      </w:tr>
    </w:tbl>
    <w:p w:rsidR="00B72318" w:rsidP="002A5E15" w:rsidRDefault="004A44A7" w14:paraId="25D3D53E" w14:textId="77777777">
      <w:pPr>
        <w:pBdr>
          <w:top w:val="nil"/>
          <w:left w:val="nil"/>
          <w:bottom w:val="nil"/>
          <w:right w:val="nil"/>
          <w:between w:val="nil"/>
        </w:pBdr>
        <w:spacing w:before="120"/>
      </w:pPr>
      <w:r w:rsidRPr="008435EE">
        <w:t>* These recurring surveys are program specific.</w:t>
      </w:r>
      <w:r w:rsidRPr="008435EE" w:rsidR="008435EE">
        <w:t xml:space="preserve">  The number of responses and burden hours is included since these are known quantities.</w:t>
      </w:r>
    </w:p>
    <w:p w:rsidRPr="00E73092" w:rsidR="00A62A51" w:rsidP="002A5E15" w:rsidRDefault="00A62A51" w14:paraId="4AA86824" w14:textId="77777777">
      <w:pPr>
        <w:pBdr>
          <w:top w:val="nil"/>
          <w:left w:val="nil"/>
          <w:bottom w:val="nil"/>
          <w:right w:val="nil"/>
          <w:between w:val="nil"/>
        </w:pBdr>
        <w:spacing w:before="120"/>
        <w:rPr>
          <w:vertAlign w:val="superscript"/>
        </w:rPr>
      </w:pPr>
      <w:r w:rsidRPr="00E73092">
        <w:rPr>
          <w:vertAlign w:val="superscript"/>
        </w:rPr>
        <w:t>1</w:t>
      </w:r>
      <w:r>
        <w:rPr>
          <w:vertAlign w:val="superscript"/>
        </w:rPr>
        <w:t xml:space="preserve"> </w:t>
      </w:r>
      <w:r w:rsidRPr="00E73092">
        <w:t>There will be multiple</w:t>
      </w:r>
      <w:r>
        <w:t xml:space="preserve"> hazard simplification surveys disseminated each to year to different regions based on the type of hazards likely to occur in those areas.  </w:t>
      </w:r>
    </w:p>
    <w:p w:rsidRPr="008435EE" w:rsidR="00615A98" w:rsidRDefault="00615A98" w14:paraId="39B004E5" w14:textId="77777777">
      <w:pPr>
        <w:spacing w:line="259" w:lineRule="auto"/>
      </w:pPr>
    </w:p>
    <w:p w:rsidR="00FA0930" w:rsidRDefault="00FA0930" w14:paraId="5AA980B7" w14:textId="77777777">
      <w:pPr>
        <w:spacing w:line="259" w:lineRule="auto"/>
        <w:rPr>
          <w:b/>
          <w:color w:val="FF0000"/>
        </w:rPr>
      </w:pPr>
    </w:p>
    <w:p w:rsidR="00B72318" w:rsidRDefault="00CF0BB2" w14:paraId="33BBCA9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Pr="005758B7" w:rsidR="00B72318" w:rsidRDefault="00CF0BB2" w14:paraId="4657E217" w14:textId="77777777">
      <w:pPr>
        <w:pBdr>
          <w:top w:val="nil"/>
          <w:left w:val="nil"/>
          <w:bottom w:val="nil"/>
          <w:right w:val="nil"/>
          <w:between w:val="nil"/>
        </w:pBdr>
        <w:spacing w:before="161" w:line="259" w:lineRule="auto"/>
      </w:pPr>
      <w:r w:rsidRPr="005758B7">
        <w:t>There are no capital/start-up or ongoing operation/maintenance costs associated with this information collection.</w:t>
      </w:r>
      <w:r w:rsidRPr="005758B7" w:rsidR="005758B7">
        <w:t xml:space="preserve">  There is no additional cost burden as the majority of surveys are email or web-based.</w:t>
      </w:r>
    </w:p>
    <w:p w:rsidR="00B72318" w:rsidP="005758B7" w:rsidRDefault="00CF0BB2" w14:paraId="34896107"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13BFC" w:rsidP="00E157E9" w:rsidRDefault="00713BFC" w14:paraId="155C06C3" w14:textId="77777777"/>
    <w:tbl>
      <w:tblPr>
        <w:tblW w:w="7755" w:type="dxa"/>
        <w:tblCellMar>
          <w:left w:w="0" w:type="dxa"/>
          <w:right w:w="0" w:type="dxa"/>
        </w:tblCellMar>
        <w:tblLook w:val="04A0" w:firstRow="1" w:lastRow="0" w:firstColumn="1" w:lastColumn="0" w:noHBand="0" w:noVBand="1"/>
      </w:tblPr>
      <w:tblGrid>
        <w:gridCol w:w="1417"/>
        <w:gridCol w:w="861"/>
        <w:gridCol w:w="1412"/>
        <w:gridCol w:w="794"/>
        <w:gridCol w:w="1463"/>
        <w:gridCol w:w="1808"/>
      </w:tblGrid>
      <w:tr w:rsidRPr="00E73092" w:rsidR="0011311C" w:rsidTr="00E73092" w14:paraId="456FF258" w14:textId="77777777">
        <w:trPr>
          <w:trHeight w:val="300"/>
        </w:trPr>
        <w:tc>
          <w:tcPr>
            <w:tcW w:w="0" w:type="auto"/>
            <w:tcBorders>
              <w:top w:val="single" w:color="000000" w:sz="12" w:space="0"/>
              <w:left w:val="single" w:color="000000" w:sz="12"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11311C" w:rsidR="0011311C" w:rsidP="0011311C" w:rsidRDefault="0011311C" w14:paraId="18518301" w14:textId="77777777">
            <w:pPr>
              <w:widowControl/>
              <w:jc w:val="center"/>
              <w:rPr>
                <w:rFonts w:asciiTheme="minorHAnsi" w:hAnsiTheme="minorHAnsi"/>
                <w:b/>
                <w:bCs/>
                <w:sz w:val="16"/>
                <w:szCs w:val="16"/>
              </w:rPr>
            </w:pPr>
            <w:r w:rsidRPr="0011311C">
              <w:rPr>
                <w:rFonts w:asciiTheme="minorHAnsi" w:hAnsiTheme="minorHAnsi"/>
                <w:b/>
                <w:bCs/>
                <w:sz w:val="16"/>
                <w:szCs w:val="16"/>
              </w:rPr>
              <w:t>Cost Descriptions</w:t>
            </w:r>
          </w:p>
        </w:tc>
        <w:tc>
          <w:tcPr>
            <w:tcW w:w="0" w:type="auto"/>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11311C" w:rsidR="0011311C" w:rsidP="0011311C" w:rsidRDefault="0011311C" w14:paraId="0A1B823A" w14:textId="77777777">
            <w:pPr>
              <w:widowControl/>
              <w:jc w:val="center"/>
              <w:rPr>
                <w:rFonts w:asciiTheme="minorHAnsi" w:hAnsiTheme="minorHAnsi"/>
                <w:b/>
                <w:bCs/>
                <w:sz w:val="16"/>
                <w:szCs w:val="16"/>
              </w:rPr>
            </w:pPr>
            <w:r w:rsidRPr="0011311C">
              <w:rPr>
                <w:rFonts w:asciiTheme="minorHAnsi" w:hAnsiTheme="minorHAnsi"/>
                <w:b/>
                <w:bCs/>
                <w:sz w:val="16"/>
                <w:szCs w:val="16"/>
              </w:rPr>
              <w:t>Grade/Step</w:t>
            </w:r>
          </w:p>
        </w:tc>
        <w:tc>
          <w:tcPr>
            <w:tcW w:w="0" w:type="auto"/>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11311C" w:rsidR="0011311C" w:rsidP="0011311C" w:rsidRDefault="0011311C" w14:paraId="5C5F9BC6" w14:textId="77777777">
            <w:pPr>
              <w:widowControl/>
              <w:jc w:val="center"/>
              <w:rPr>
                <w:rFonts w:asciiTheme="minorHAnsi" w:hAnsiTheme="minorHAnsi"/>
                <w:b/>
                <w:bCs/>
                <w:sz w:val="16"/>
                <w:szCs w:val="16"/>
              </w:rPr>
            </w:pPr>
            <w:r w:rsidRPr="0011311C">
              <w:rPr>
                <w:rFonts w:asciiTheme="minorHAnsi" w:hAnsiTheme="minorHAnsi"/>
                <w:b/>
                <w:bCs/>
                <w:sz w:val="16"/>
                <w:szCs w:val="16"/>
              </w:rPr>
              <w:t>Loaded Salary /Cost</w:t>
            </w:r>
          </w:p>
        </w:tc>
        <w:tc>
          <w:tcPr>
            <w:tcW w:w="0" w:type="auto"/>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11311C" w:rsidR="0011311C" w:rsidP="0011311C" w:rsidRDefault="0011311C" w14:paraId="5AE7D751" w14:textId="77777777">
            <w:pPr>
              <w:widowControl/>
              <w:jc w:val="center"/>
              <w:rPr>
                <w:rFonts w:asciiTheme="minorHAnsi" w:hAnsiTheme="minorHAnsi"/>
                <w:b/>
                <w:bCs/>
                <w:sz w:val="16"/>
                <w:szCs w:val="16"/>
              </w:rPr>
            </w:pPr>
            <w:r w:rsidRPr="0011311C">
              <w:rPr>
                <w:rFonts w:asciiTheme="minorHAnsi" w:hAnsiTheme="minorHAnsi"/>
                <w:b/>
                <w:bCs/>
                <w:sz w:val="16"/>
                <w:szCs w:val="16"/>
              </w:rPr>
              <w:t>% of Effort</w:t>
            </w:r>
          </w:p>
        </w:tc>
        <w:tc>
          <w:tcPr>
            <w:tcW w:w="0" w:type="auto"/>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11311C" w:rsidR="0011311C" w:rsidP="0011311C" w:rsidRDefault="0011311C" w14:paraId="0B3C16D8" w14:textId="77777777">
            <w:pPr>
              <w:widowControl/>
              <w:jc w:val="center"/>
              <w:rPr>
                <w:rFonts w:asciiTheme="minorHAnsi" w:hAnsiTheme="minorHAnsi"/>
                <w:b/>
                <w:bCs/>
                <w:sz w:val="16"/>
                <w:szCs w:val="16"/>
              </w:rPr>
            </w:pPr>
            <w:r w:rsidRPr="0011311C">
              <w:rPr>
                <w:rFonts w:asciiTheme="minorHAnsi" w:hAnsiTheme="minorHAnsi"/>
                <w:b/>
                <w:bCs/>
                <w:sz w:val="16"/>
                <w:szCs w:val="16"/>
              </w:rPr>
              <w:t>Fringe (if Applicable)</w:t>
            </w:r>
          </w:p>
        </w:tc>
        <w:tc>
          <w:tcPr>
            <w:tcW w:w="0" w:type="auto"/>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11311C" w:rsidR="0011311C" w:rsidP="0011311C" w:rsidRDefault="0011311C" w14:paraId="1B451CD6" w14:textId="77777777">
            <w:pPr>
              <w:widowControl/>
              <w:jc w:val="center"/>
              <w:rPr>
                <w:rFonts w:asciiTheme="minorHAnsi" w:hAnsiTheme="minorHAnsi"/>
                <w:b/>
                <w:bCs/>
                <w:sz w:val="16"/>
                <w:szCs w:val="16"/>
              </w:rPr>
            </w:pPr>
            <w:r w:rsidRPr="0011311C">
              <w:rPr>
                <w:rFonts w:asciiTheme="minorHAnsi" w:hAnsiTheme="minorHAnsi"/>
                <w:b/>
                <w:bCs/>
                <w:sz w:val="16"/>
                <w:szCs w:val="16"/>
              </w:rPr>
              <w:t>Total Cost to Government</w:t>
            </w:r>
          </w:p>
        </w:tc>
      </w:tr>
      <w:tr w:rsidRPr="0011311C" w:rsidR="0011311C" w:rsidTr="00E73092" w14:paraId="117A60D9" w14:textId="77777777">
        <w:trPr>
          <w:trHeight w:val="300"/>
        </w:trPr>
        <w:tc>
          <w:tcPr>
            <w:tcW w:w="0" w:type="auto"/>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72B0E113" w14:textId="77777777">
            <w:pPr>
              <w:widowControl/>
              <w:rPr>
                <w:rFonts w:asciiTheme="minorHAnsi" w:hAnsiTheme="minorHAnsi"/>
                <w:b/>
                <w:bCs/>
                <w:sz w:val="16"/>
                <w:szCs w:val="16"/>
              </w:rPr>
            </w:pPr>
            <w:r w:rsidRPr="0011311C">
              <w:rPr>
                <w:rFonts w:asciiTheme="minorHAnsi" w:hAnsiTheme="minorHAnsi"/>
                <w:b/>
                <w:bCs/>
                <w:sz w:val="16"/>
                <w:szCs w:val="16"/>
              </w:rPr>
              <w:t>Federal Oversight</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06B77E35" w14:textId="77777777">
            <w:pPr>
              <w:widowControl/>
              <w:rPr>
                <w:rFonts w:asciiTheme="minorHAnsi" w:hAnsiTheme="minorHAnsi"/>
                <w:b/>
                <w:bCs/>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487164BC"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413263F4"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11311C" w:rsidR="0011311C" w:rsidP="0011311C" w:rsidRDefault="0011311C" w14:paraId="45315172"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100E5909" w14:textId="77777777">
            <w:pPr>
              <w:widowControl/>
              <w:rPr>
                <w:rFonts w:asciiTheme="minorHAnsi" w:hAnsiTheme="minorHAnsi"/>
                <w:sz w:val="16"/>
                <w:szCs w:val="16"/>
              </w:rPr>
            </w:pPr>
          </w:p>
        </w:tc>
      </w:tr>
      <w:tr w:rsidRPr="0011311C" w:rsidR="0011311C" w:rsidTr="00E73092" w14:paraId="7EE80811" w14:textId="77777777">
        <w:trPr>
          <w:trHeight w:val="300"/>
        </w:trPr>
        <w:tc>
          <w:tcPr>
            <w:tcW w:w="0" w:type="auto"/>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1EE22F9D" w14:textId="60CCF8D6">
            <w:pPr>
              <w:widowControl/>
              <w:rPr>
                <w:rFonts w:asciiTheme="minorHAnsi" w:hAnsiTheme="minorHAnsi"/>
                <w:sz w:val="16"/>
                <w:szCs w:val="16"/>
              </w:rPr>
            </w:pPr>
            <w:r w:rsidRPr="0011311C">
              <w:rPr>
                <w:rFonts w:asciiTheme="minorHAnsi" w:hAnsiTheme="minorHAnsi"/>
                <w:sz w:val="16"/>
                <w:szCs w:val="16"/>
              </w:rPr>
              <w:t>NOAA Program Staff</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66495826" w14:textId="0A171E39">
            <w:pPr>
              <w:widowControl/>
              <w:rPr>
                <w:rFonts w:asciiTheme="minorHAnsi" w:hAnsiTheme="minorHAnsi"/>
                <w:sz w:val="16"/>
                <w:szCs w:val="16"/>
              </w:rPr>
            </w:pPr>
            <w:r w:rsidRPr="0011311C">
              <w:rPr>
                <w:rFonts w:asciiTheme="minorHAnsi" w:hAnsiTheme="minorHAnsi"/>
                <w:sz w:val="16"/>
                <w:szCs w:val="16"/>
              </w:rPr>
              <w:t>ZA-3</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26C799E6" w14:textId="40C33728">
            <w:pPr>
              <w:widowControl/>
              <w:rPr>
                <w:rFonts w:asciiTheme="minorHAnsi" w:hAnsiTheme="minorHAnsi"/>
                <w:sz w:val="16"/>
                <w:szCs w:val="16"/>
              </w:rPr>
            </w:pPr>
            <w:r w:rsidRPr="0011311C">
              <w:rPr>
                <w:rFonts w:asciiTheme="minorHAnsi" w:hAnsiTheme="minorHAnsi"/>
                <w:sz w:val="16"/>
                <w:szCs w:val="16"/>
              </w:rPr>
              <w:t>$155,640</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5267DC34" w14:textId="1791B620">
            <w:pPr>
              <w:widowControl/>
              <w:rPr>
                <w:rFonts w:asciiTheme="minorHAnsi" w:hAnsiTheme="minorHAnsi"/>
                <w:sz w:val="16"/>
                <w:szCs w:val="16"/>
              </w:rPr>
            </w:pPr>
            <w:r w:rsidRPr="0011311C">
              <w:rPr>
                <w:rFonts w:asciiTheme="minorHAnsi" w:hAnsiTheme="minorHAnsi"/>
                <w:sz w:val="16"/>
                <w:szCs w:val="16"/>
              </w:rPr>
              <w:t>5%</w:t>
            </w:r>
          </w:p>
        </w:tc>
        <w:tc>
          <w:tcPr>
            <w:tcW w:w="0" w:type="auto"/>
            <w:tcBorders>
              <w:top w:val="single" w:color="CCCCCC" w:sz="6" w:space="0"/>
              <w:left w:val="single" w:color="CCCCCC" w:sz="6" w:space="0"/>
              <w:bottom w:val="single" w:color="000000" w:sz="6" w:space="0"/>
              <w:right w:val="single" w:color="000000" w:sz="6" w:space="0"/>
            </w:tcBorders>
            <w:shd w:val="clear" w:color="auto" w:fill="000000" w:themeFill="text1"/>
            <w:tcMar>
              <w:top w:w="0" w:type="dxa"/>
              <w:left w:w="45" w:type="dxa"/>
              <w:bottom w:w="0" w:type="dxa"/>
              <w:right w:w="45" w:type="dxa"/>
            </w:tcMar>
            <w:vAlign w:val="bottom"/>
            <w:hideMark/>
          </w:tcPr>
          <w:p w:rsidRPr="0011311C" w:rsidR="0011311C" w:rsidP="0011311C" w:rsidRDefault="0011311C" w14:paraId="757793F3"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0773C20C" w14:textId="0671CA8D">
            <w:pPr>
              <w:widowControl/>
              <w:jc w:val="right"/>
              <w:rPr>
                <w:rFonts w:asciiTheme="minorHAnsi" w:hAnsiTheme="minorHAnsi"/>
                <w:sz w:val="16"/>
                <w:szCs w:val="16"/>
              </w:rPr>
            </w:pPr>
            <w:r w:rsidRPr="0011311C">
              <w:rPr>
                <w:rFonts w:asciiTheme="minorHAnsi" w:hAnsiTheme="minorHAnsi"/>
                <w:sz w:val="16"/>
                <w:szCs w:val="16"/>
              </w:rPr>
              <w:t>$7,782</w:t>
            </w:r>
          </w:p>
        </w:tc>
      </w:tr>
      <w:tr w:rsidRPr="0011311C" w:rsidR="0011311C" w:rsidTr="00E73092" w14:paraId="2DF9773E" w14:textId="77777777">
        <w:trPr>
          <w:trHeight w:val="300"/>
        </w:trPr>
        <w:tc>
          <w:tcPr>
            <w:tcW w:w="0" w:type="auto"/>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268A7FD8" w14:textId="319A4B1C">
            <w:pPr>
              <w:widowControl/>
              <w:rPr>
                <w:rFonts w:asciiTheme="minorHAnsi" w:hAnsiTheme="minorHAnsi"/>
                <w:sz w:val="16"/>
                <w:szCs w:val="16"/>
              </w:rPr>
            </w:pPr>
            <w:r w:rsidRPr="0011311C">
              <w:rPr>
                <w:rFonts w:asciiTheme="minorHAnsi" w:hAnsiTheme="minorHAnsi"/>
                <w:sz w:val="16"/>
                <w:szCs w:val="16"/>
              </w:rPr>
              <w:t>NWS Program Staff</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2A574B20" w14:textId="4E395D07">
            <w:pPr>
              <w:widowControl/>
              <w:rPr>
                <w:rFonts w:asciiTheme="minorHAnsi" w:hAnsiTheme="minorHAnsi"/>
                <w:sz w:val="16"/>
                <w:szCs w:val="16"/>
              </w:rPr>
            </w:pPr>
            <w:r w:rsidRPr="0011311C">
              <w:rPr>
                <w:rFonts w:asciiTheme="minorHAnsi" w:hAnsiTheme="minorHAnsi"/>
                <w:sz w:val="16"/>
                <w:szCs w:val="16"/>
              </w:rPr>
              <w:t>ZA-3</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71E9D34D" w14:textId="532EFEFB">
            <w:pPr>
              <w:widowControl/>
              <w:rPr>
                <w:rFonts w:asciiTheme="minorHAnsi" w:hAnsiTheme="minorHAnsi"/>
                <w:sz w:val="16"/>
                <w:szCs w:val="16"/>
              </w:rPr>
            </w:pPr>
            <w:r w:rsidRPr="0011311C">
              <w:rPr>
                <w:rFonts w:asciiTheme="minorHAnsi" w:hAnsiTheme="minorHAnsi"/>
                <w:sz w:val="16"/>
                <w:szCs w:val="16"/>
              </w:rPr>
              <w:t>$155,640</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325C3885" w14:textId="1C583E30">
            <w:pPr>
              <w:widowControl/>
              <w:rPr>
                <w:rFonts w:asciiTheme="minorHAnsi" w:hAnsiTheme="minorHAnsi"/>
                <w:sz w:val="16"/>
                <w:szCs w:val="16"/>
              </w:rPr>
            </w:pPr>
            <w:r w:rsidRPr="0011311C">
              <w:rPr>
                <w:rFonts w:asciiTheme="minorHAnsi" w:hAnsiTheme="minorHAnsi"/>
                <w:sz w:val="16"/>
                <w:szCs w:val="16"/>
              </w:rPr>
              <w:t>10%</w:t>
            </w:r>
          </w:p>
        </w:tc>
        <w:tc>
          <w:tcPr>
            <w:tcW w:w="0" w:type="auto"/>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11311C" w:rsidR="0011311C" w:rsidP="0011311C" w:rsidRDefault="0011311C" w14:paraId="16F1106C"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390FCB5D" w14:textId="08485F6A">
            <w:pPr>
              <w:widowControl/>
              <w:jc w:val="right"/>
              <w:rPr>
                <w:rFonts w:asciiTheme="minorHAnsi" w:hAnsiTheme="minorHAnsi"/>
                <w:sz w:val="16"/>
                <w:szCs w:val="16"/>
              </w:rPr>
            </w:pPr>
            <w:r w:rsidRPr="0011311C">
              <w:rPr>
                <w:rFonts w:asciiTheme="minorHAnsi" w:hAnsiTheme="minorHAnsi"/>
                <w:sz w:val="16"/>
                <w:szCs w:val="16"/>
              </w:rPr>
              <w:t>$15,564</w:t>
            </w:r>
          </w:p>
        </w:tc>
      </w:tr>
      <w:tr w:rsidRPr="0011311C" w:rsidR="0011311C" w:rsidTr="00E73092" w14:paraId="0A62CC1E" w14:textId="77777777">
        <w:trPr>
          <w:trHeight w:val="300"/>
        </w:trPr>
        <w:tc>
          <w:tcPr>
            <w:tcW w:w="0" w:type="auto"/>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566051CD"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482EFBDD" w14:textId="6195221E">
            <w:pPr>
              <w:widowControl/>
              <w:rPr>
                <w:rFonts w:asciiTheme="minorHAnsi" w:hAnsiTheme="minorHAnsi"/>
                <w:sz w:val="16"/>
                <w:szCs w:val="16"/>
              </w:rPr>
            </w:pPr>
            <w:r w:rsidRPr="0011311C">
              <w:rPr>
                <w:rFonts w:asciiTheme="minorHAnsi" w:hAnsiTheme="minorHAnsi"/>
                <w:sz w:val="16"/>
                <w:szCs w:val="16"/>
              </w:rPr>
              <w:t>ZA-2</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4D8137AF" w14:textId="3BC745A4">
            <w:pPr>
              <w:widowControl/>
              <w:rPr>
                <w:rFonts w:asciiTheme="minorHAnsi" w:hAnsiTheme="minorHAnsi"/>
                <w:sz w:val="16"/>
                <w:szCs w:val="16"/>
              </w:rPr>
            </w:pPr>
            <w:r w:rsidRPr="0011311C">
              <w:rPr>
                <w:rFonts w:asciiTheme="minorHAnsi" w:hAnsiTheme="minorHAnsi"/>
                <w:sz w:val="16"/>
                <w:szCs w:val="16"/>
              </w:rPr>
              <w:t>$117,522</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71420BB7" w14:textId="07D9D6C9">
            <w:pPr>
              <w:widowControl/>
              <w:rPr>
                <w:rFonts w:asciiTheme="minorHAnsi" w:hAnsiTheme="minorHAnsi"/>
                <w:sz w:val="16"/>
                <w:szCs w:val="16"/>
              </w:rPr>
            </w:pPr>
            <w:r w:rsidRPr="0011311C">
              <w:rPr>
                <w:rFonts w:asciiTheme="minorHAnsi" w:hAnsiTheme="minorHAnsi"/>
                <w:sz w:val="16"/>
                <w:szCs w:val="16"/>
              </w:rPr>
              <w:t>10%</w:t>
            </w:r>
          </w:p>
        </w:tc>
        <w:tc>
          <w:tcPr>
            <w:tcW w:w="0" w:type="auto"/>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11311C" w:rsidR="0011311C" w:rsidP="0011311C" w:rsidRDefault="0011311C" w14:paraId="0DC84ED7"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58853C2F" w14:textId="660B88F5">
            <w:pPr>
              <w:widowControl/>
              <w:jc w:val="right"/>
              <w:rPr>
                <w:rFonts w:asciiTheme="minorHAnsi" w:hAnsiTheme="minorHAnsi"/>
                <w:sz w:val="16"/>
                <w:szCs w:val="16"/>
              </w:rPr>
            </w:pPr>
            <w:r w:rsidRPr="0011311C">
              <w:rPr>
                <w:rFonts w:asciiTheme="minorHAnsi" w:hAnsiTheme="minorHAnsi"/>
                <w:sz w:val="16"/>
                <w:szCs w:val="16"/>
              </w:rPr>
              <w:t>$11,752</w:t>
            </w:r>
          </w:p>
        </w:tc>
      </w:tr>
      <w:tr w:rsidRPr="0011311C" w:rsidR="0011311C" w:rsidTr="00E73092" w14:paraId="06DB19B1" w14:textId="77777777">
        <w:trPr>
          <w:trHeight w:val="300"/>
        </w:trPr>
        <w:tc>
          <w:tcPr>
            <w:tcW w:w="0" w:type="auto"/>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0B3D43BD" w14:textId="782680A2">
            <w:pPr>
              <w:widowControl/>
              <w:rPr>
                <w:rFonts w:asciiTheme="minorHAnsi" w:hAnsiTheme="minorHAnsi"/>
                <w:b/>
                <w:bCs/>
                <w:sz w:val="16"/>
                <w:szCs w:val="16"/>
              </w:rPr>
            </w:pPr>
          </w:p>
        </w:tc>
        <w:tc>
          <w:tcPr>
            <w:tcW w:w="0" w:type="auto"/>
            <w:tcBorders>
              <w:top w:val="single" w:color="CCCCCC" w:sz="6" w:space="0"/>
              <w:left w:val="single" w:color="CCCCCC" w:sz="6" w:space="0"/>
              <w:bottom w:val="single" w:color="000000" w:sz="6" w:space="0"/>
              <w:right w:val="single" w:color="000000" w:sz="6" w:space="0"/>
            </w:tcBorders>
            <w:shd w:val="clear" w:color="auto" w:fill="auto"/>
            <w:tcMar>
              <w:top w:w="0" w:type="dxa"/>
              <w:left w:w="45" w:type="dxa"/>
              <w:bottom w:w="0" w:type="dxa"/>
              <w:right w:w="45" w:type="dxa"/>
            </w:tcMar>
            <w:vAlign w:val="bottom"/>
            <w:hideMark/>
          </w:tcPr>
          <w:p w:rsidRPr="0011311C" w:rsidR="0011311C" w:rsidP="0011311C" w:rsidRDefault="0011311C" w14:paraId="485C5CE9" w14:textId="38DBCD4E">
            <w:pPr>
              <w:widowControl/>
              <w:rPr>
                <w:rFonts w:asciiTheme="minorHAnsi" w:hAnsiTheme="minorHAnsi"/>
                <w:bCs/>
                <w:sz w:val="16"/>
                <w:szCs w:val="16"/>
              </w:rPr>
            </w:pPr>
            <w:r w:rsidRPr="0011311C">
              <w:rPr>
                <w:rFonts w:asciiTheme="minorHAnsi" w:hAnsiTheme="minorHAnsi"/>
                <w:bCs/>
                <w:sz w:val="16"/>
                <w:szCs w:val="16"/>
              </w:rPr>
              <w:t>ZA-4</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1A6539C7" w14:textId="6DE3B66C">
            <w:pPr>
              <w:widowControl/>
              <w:rPr>
                <w:rFonts w:asciiTheme="minorHAnsi" w:hAnsiTheme="minorHAnsi"/>
                <w:sz w:val="16"/>
                <w:szCs w:val="16"/>
              </w:rPr>
            </w:pPr>
            <w:r w:rsidRPr="0011311C">
              <w:rPr>
                <w:rFonts w:asciiTheme="minorHAnsi" w:hAnsiTheme="minorHAnsi"/>
                <w:sz w:val="16"/>
                <w:szCs w:val="16"/>
              </w:rPr>
              <w:t>$217,464</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386646AF" w14:textId="2FBC5472">
            <w:pPr>
              <w:widowControl/>
              <w:rPr>
                <w:rFonts w:asciiTheme="minorHAnsi" w:hAnsiTheme="minorHAnsi"/>
                <w:sz w:val="16"/>
                <w:szCs w:val="16"/>
              </w:rPr>
            </w:pPr>
            <w:r w:rsidRPr="0011311C">
              <w:rPr>
                <w:rFonts w:asciiTheme="minorHAnsi" w:hAnsiTheme="minorHAnsi"/>
                <w:sz w:val="16"/>
                <w:szCs w:val="16"/>
              </w:rPr>
              <w:t>2%</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46B274AD"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4732E72A" w14:textId="1EC82209">
            <w:pPr>
              <w:widowControl/>
              <w:jc w:val="right"/>
              <w:rPr>
                <w:rFonts w:asciiTheme="minorHAnsi" w:hAnsiTheme="minorHAnsi"/>
                <w:sz w:val="16"/>
                <w:szCs w:val="16"/>
              </w:rPr>
            </w:pPr>
            <w:r w:rsidRPr="0011311C">
              <w:rPr>
                <w:rFonts w:asciiTheme="minorHAnsi" w:hAnsiTheme="minorHAnsi"/>
                <w:sz w:val="16"/>
                <w:szCs w:val="16"/>
              </w:rPr>
              <w:t>$4,349</w:t>
            </w:r>
          </w:p>
        </w:tc>
      </w:tr>
      <w:tr w:rsidRPr="0011311C" w:rsidR="0011311C" w:rsidTr="00E73092" w14:paraId="1936AC9E" w14:textId="77777777">
        <w:trPr>
          <w:trHeight w:val="300"/>
        </w:trPr>
        <w:tc>
          <w:tcPr>
            <w:tcW w:w="0" w:type="auto"/>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1E755034"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15929783"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33CB2E0B"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14B23158"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11311C" w:rsidR="0011311C" w:rsidP="0011311C" w:rsidRDefault="0011311C" w14:paraId="131BAC2D"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11311C" w:rsidR="0011311C" w:rsidP="0011311C" w:rsidRDefault="0011311C" w14:paraId="27A8FE76" w14:textId="77777777">
            <w:pPr>
              <w:widowControl/>
              <w:jc w:val="right"/>
              <w:rPr>
                <w:rFonts w:asciiTheme="minorHAnsi" w:hAnsiTheme="minorHAnsi"/>
                <w:sz w:val="16"/>
                <w:szCs w:val="16"/>
              </w:rPr>
            </w:pPr>
          </w:p>
        </w:tc>
      </w:tr>
      <w:tr w:rsidRPr="00E73092" w:rsidR="0011311C" w:rsidTr="00E73092" w14:paraId="729447C0" w14:textId="77777777">
        <w:trPr>
          <w:trHeight w:val="300"/>
        </w:trPr>
        <w:tc>
          <w:tcPr>
            <w:tcW w:w="0" w:type="auto"/>
            <w:tcBorders>
              <w:top w:val="single" w:color="CCCCCC" w:sz="6" w:space="0"/>
              <w:left w:val="single" w:color="000000" w:sz="12"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11311C" w:rsidR="0011311C" w:rsidP="0011311C" w:rsidRDefault="0011311C" w14:paraId="5350CCBF" w14:textId="77777777">
            <w:pPr>
              <w:widowControl/>
              <w:rPr>
                <w:rFonts w:asciiTheme="minorHAnsi" w:hAnsiTheme="minorHAnsi"/>
                <w:b/>
                <w:bCs/>
                <w:sz w:val="16"/>
                <w:szCs w:val="16"/>
              </w:rPr>
            </w:pPr>
            <w:bookmarkStart w:name="_GoBack" w:id="0"/>
            <w:bookmarkEnd w:id="0"/>
            <w:r w:rsidRPr="0011311C">
              <w:rPr>
                <w:rFonts w:asciiTheme="minorHAnsi" w:hAnsiTheme="minorHAnsi"/>
                <w:b/>
                <w:bCs/>
                <w:sz w:val="16"/>
                <w:szCs w:val="16"/>
              </w:rPr>
              <w:t>TOTAL</w:t>
            </w:r>
          </w:p>
        </w:tc>
        <w:tc>
          <w:tcPr>
            <w:tcW w:w="0" w:type="auto"/>
            <w:tcBorders>
              <w:top w:val="single" w:color="CCCCCC" w:sz="6" w:space="0"/>
              <w:left w:val="single" w:color="CCCCCC" w:sz="6" w:space="0"/>
              <w:bottom w:val="single" w:color="000000" w:sz="12" w:space="0"/>
              <w:right w:val="single" w:color="000000" w:sz="12" w:space="0"/>
            </w:tcBorders>
            <w:shd w:val="clear" w:color="auto" w:fill="7F7F7F"/>
            <w:tcMar>
              <w:top w:w="0" w:type="dxa"/>
              <w:left w:w="45" w:type="dxa"/>
              <w:bottom w:w="0" w:type="dxa"/>
              <w:right w:w="45" w:type="dxa"/>
            </w:tcMar>
            <w:vAlign w:val="bottom"/>
            <w:hideMark/>
          </w:tcPr>
          <w:p w:rsidRPr="0011311C" w:rsidR="0011311C" w:rsidP="0011311C" w:rsidRDefault="0011311C" w14:paraId="5DCB9DFE" w14:textId="77777777">
            <w:pPr>
              <w:widowControl/>
              <w:rPr>
                <w:rFonts w:asciiTheme="minorHAnsi" w:hAnsiTheme="minorHAnsi"/>
                <w:b/>
                <w:bCs/>
                <w:sz w:val="16"/>
                <w:szCs w:val="16"/>
              </w:rPr>
            </w:pPr>
          </w:p>
        </w:tc>
        <w:tc>
          <w:tcPr>
            <w:tcW w:w="0" w:type="auto"/>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11311C" w:rsidR="0011311C" w:rsidP="0011311C" w:rsidRDefault="0011311C" w14:paraId="6778F49C"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12" w:space="0"/>
              <w:right w:val="single" w:color="000000" w:sz="12" w:space="0"/>
            </w:tcBorders>
            <w:shd w:val="clear" w:color="auto" w:fill="757070"/>
            <w:tcMar>
              <w:top w:w="0" w:type="dxa"/>
              <w:left w:w="45" w:type="dxa"/>
              <w:bottom w:w="0" w:type="dxa"/>
              <w:right w:w="45" w:type="dxa"/>
            </w:tcMar>
            <w:vAlign w:val="bottom"/>
            <w:hideMark/>
          </w:tcPr>
          <w:p w:rsidRPr="0011311C" w:rsidR="0011311C" w:rsidP="0011311C" w:rsidRDefault="0011311C" w14:paraId="264CEE9F"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11311C" w:rsidR="0011311C" w:rsidP="0011311C" w:rsidRDefault="0011311C" w14:paraId="706B1D74" w14:textId="77777777">
            <w:pPr>
              <w:widowControl/>
              <w:rPr>
                <w:rFonts w:asciiTheme="minorHAnsi" w:hAnsiTheme="minorHAnsi"/>
                <w:sz w:val="16"/>
                <w:szCs w:val="16"/>
              </w:rPr>
            </w:pPr>
          </w:p>
        </w:tc>
        <w:tc>
          <w:tcPr>
            <w:tcW w:w="0" w:type="auto"/>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11311C" w:rsidR="0011311C" w:rsidP="0011311C" w:rsidRDefault="0011311C" w14:paraId="5855E739" w14:textId="34E20E4D">
            <w:pPr>
              <w:widowControl/>
              <w:jc w:val="right"/>
              <w:rPr>
                <w:rFonts w:asciiTheme="minorHAnsi" w:hAnsiTheme="minorHAnsi"/>
                <w:b/>
                <w:sz w:val="16"/>
                <w:szCs w:val="16"/>
              </w:rPr>
            </w:pPr>
            <w:r w:rsidRPr="0011311C">
              <w:rPr>
                <w:rFonts w:asciiTheme="minorHAnsi" w:hAnsiTheme="minorHAnsi"/>
                <w:b/>
                <w:sz w:val="16"/>
                <w:szCs w:val="16"/>
              </w:rPr>
              <w:t>$39,447</w:t>
            </w:r>
          </w:p>
        </w:tc>
      </w:tr>
    </w:tbl>
    <w:p w:rsidR="00B72318" w:rsidRDefault="00B72318" w14:paraId="6457AC95" w14:textId="77777777">
      <w:pPr>
        <w:pBdr>
          <w:top w:val="nil"/>
          <w:left w:val="nil"/>
          <w:bottom w:val="nil"/>
          <w:right w:val="nil"/>
          <w:between w:val="nil"/>
        </w:pBdr>
        <w:spacing w:before="9" w:after="1"/>
        <w:rPr>
          <w:b/>
          <w:color w:val="000000"/>
        </w:rPr>
      </w:pPr>
    </w:p>
    <w:p w:rsidR="00B72318" w:rsidRDefault="00CF0BB2" w14:paraId="1284CF0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B72318" w:rsidRDefault="00B72318" w14:paraId="0C0840C1" w14:textId="77777777">
      <w:pPr>
        <w:pBdr>
          <w:top w:val="nil"/>
          <w:left w:val="nil"/>
          <w:bottom w:val="nil"/>
          <w:right w:val="nil"/>
          <w:between w:val="nil"/>
        </w:pBdr>
        <w:spacing w:before="7"/>
        <w:rPr>
          <w:b/>
          <w:color w:val="000000"/>
        </w:rPr>
      </w:pPr>
    </w:p>
    <w:p w:rsidR="003B653C" w:rsidP="003B653C" w:rsidRDefault="00ED24C2" w14:paraId="33A8D879" w14:textId="0DDC0866">
      <w:r>
        <w:t xml:space="preserve">This information collection is being revised to allow for NWS generic collections only.  All other collections will be submitted under a DOC generic collection or as a full information collection.  The collections listed in question 12 above represent ongoing or recurring collections necessary to ensure NWS is able to provide the best products and service possible.  </w:t>
      </w:r>
    </w:p>
    <w:p w:rsidR="00F1357D" w:rsidP="003B653C" w:rsidRDefault="00F1357D" w14:paraId="6F8561D0" w14:textId="77777777"/>
    <w:p w:rsidR="00F1357D" w:rsidP="003B653C" w:rsidRDefault="00F1357D" w14:paraId="6B0649D1" w14:textId="653EBF85">
      <w:r>
        <w:t xml:space="preserve">The current </w:t>
      </w:r>
      <w:r w:rsidR="00C736FA">
        <w:t>number of responses and burden hours is believed to be more accurate.  However, NOAA will continue to evaluate this generic collection to refine the burden in future submissions.</w:t>
      </w:r>
    </w:p>
    <w:p w:rsidR="003B653C" w:rsidP="003B653C" w:rsidRDefault="003B653C" w14:paraId="6B4ACE6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1976"/>
        <w:gridCol w:w="2423"/>
        <w:gridCol w:w="2482"/>
      </w:tblGrid>
      <w:tr w:rsidRPr="00CF0BB2" w:rsidR="003B653C" w:rsidTr="00F1357D" w14:paraId="7CA647FB" w14:textId="77777777">
        <w:tc>
          <w:tcPr>
            <w:tcW w:w="2695" w:type="dxa"/>
            <w:shd w:val="clear" w:color="auto" w:fill="auto"/>
          </w:tcPr>
          <w:p w:rsidRPr="00CF0BB2" w:rsidR="003B653C" w:rsidP="00CE1F76" w:rsidRDefault="003B653C" w14:paraId="2FDE6DBD" w14:textId="77777777">
            <w:pPr>
              <w:rPr>
                <w:rFonts w:asciiTheme="minorHAnsi" w:hAnsiTheme="minorHAnsi" w:cstheme="minorHAnsi"/>
                <w:sz w:val="18"/>
                <w:szCs w:val="18"/>
              </w:rPr>
            </w:pPr>
          </w:p>
        </w:tc>
        <w:tc>
          <w:tcPr>
            <w:tcW w:w="1976" w:type="dxa"/>
            <w:shd w:val="clear" w:color="auto" w:fill="auto"/>
          </w:tcPr>
          <w:p w:rsidRPr="00CF0BB2" w:rsidR="003B653C" w:rsidP="005F399B" w:rsidRDefault="003B653C" w14:paraId="0324B76B" w14:textId="77777777">
            <w:pPr>
              <w:rPr>
                <w:rFonts w:asciiTheme="minorHAnsi" w:hAnsiTheme="minorHAnsi" w:cstheme="minorHAnsi"/>
                <w:b/>
                <w:sz w:val="18"/>
                <w:szCs w:val="18"/>
              </w:rPr>
            </w:pPr>
            <w:r w:rsidRPr="00CF0BB2">
              <w:rPr>
                <w:rFonts w:asciiTheme="minorHAnsi" w:hAnsiTheme="minorHAnsi" w:cstheme="minorHAnsi"/>
                <w:b/>
                <w:sz w:val="18"/>
                <w:szCs w:val="18"/>
              </w:rPr>
              <w:t>201</w:t>
            </w:r>
            <w:r w:rsidRPr="00CF0BB2" w:rsidR="005F399B">
              <w:rPr>
                <w:rFonts w:asciiTheme="minorHAnsi" w:hAnsiTheme="minorHAnsi" w:cstheme="minorHAnsi"/>
                <w:b/>
                <w:sz w:val="18"/>
                <w:szCs w:val="18"/>
              </w:rPr>
              <w:t>8</w:t>
            </w:r>
            <w:r w:rsidRPr="00CF0BB2">
              <w:rPr>
                <w:rFonts w:asciiTheme="minorHAnsi" w:hAnsiTheme="minorHAnsi" w:cstheme="minorHAnsi"/>
                <w:b/>
                <w:sz w:val="18"/>
                <w:szCs w:val="18"/>
              </w:rPr>
              <w:t xml:space="preserve"> estimates</w:t>
            </w:r>
          </w:p>
        </w:tc>
        <w:tc>
          <w:tcPr>
            <w:tcW w:w="2423" w:type="dxa"/>
            <w:shd w:val="clear" w:color="auto" w:fill="auto"/>
          </w:tcPr>
          <w:p w:rsidRPr="00CF0BB2" w:rsidR="003B653C" w:rsidP="00F1357D" w:rsidRDefault="003B653C" w14:paraId="329D297C" w14:textId="77777777">
            <w:pPr>
              <w:rPr>
                <w:rFonts w:asciiTheme="minorHAnsi" w:hAnsiTheme="minorHAnsi" w:cstheme="minorHAnsi"/>
                <w:b/>
                <w:sz w:val="18"/>
                <w:szCs w:val="18"/>
              </w:rPr>
            </w:pPr>
            <w:r w:rsidRPr="00CF0BB2">
              <w:rPr>
                <w:rFonts w:asciiTheme="minorHAnsi" w:hAnsiTheme="minorHAnsi" w:cstheme="minorHAnsi"/>
                <w:b/>
                <w:sz w:val="18"/>
                <w:szCs w:val="18"/>
              </w:rPr>
              <w:t>201</w:t>
            </w:r>
            <w:r w:rsidRPr="00CF0BB2" w:rsidR="00F1357D">
              <w:rPr>
                <w:rFonts w:asciiTheme="minorHAnsi" w:hAnsiTheme="minorHAnsi" w:cstheme="minorHAnsi"/>
                <w:b/>
                <w:sz w:val="18"/>
                <w:szCs w:val="18"/>
              </w:rPr>
              <w:t>8</w:t>
            </w:r>
            <w:r w:rsidRPr="00CF0BB2">
              <w:rPr>
                <w:rFonts w:asciiTheme="minorHAnsi" w:hAnsiTheme="minorHAnsi" w:cstheme="minorHAnsi"/>
                <w:b/>
                <w:sz w:val="18"/>
                <w:szCs w:val="18"/>
              </w:rPr>
              <w:t xml:space="preserve"> -20</w:t>
            </w:r>
            <w:r w:rsidRPr="00CF0BB2" w:rsidR="00F1357D">
              <w:rPr>
                <w:rFonts w:asciiTheme="minorHAnsi" w:hAnsiTheme="minorHAnsi" w:cstheme="minorHAnsi"/>
                <w:b/>
                <w:sz w:val="18"/>
                <w:szCs w:val="18"/>
              </w:rPr>
              <w:t>21</w:t>
            </w:r>
            <w:r w:rsidRPr="00CF0BB2">
              <w:rPr>
                <w:rFonts w:asciiTheme="minorHAnsi" w:hAnsiTheme="minorHAnsi" w:cstheme="minorHAnsi"/>
                <w:b/>
                <w:sz w:val="18"/>
                <w:szCs w:val="18"/>
              </w:rPr>
              <w:t xml:space="preserve"> actuals</w:t>
            </w:r>
          </w:p>
        </w:tc>
        <w:tc>
          <w:tcPr>
            <w:tcW w:w="2482" w:type="dxa"/>
            <w:shd w:val="clear" w:color="auto" w:fill="auto"/>
          </w:tcPr>
          <w:p w:rsidRPr="00CF0BB2" w:rsidR="003B653C" w:rsidP="005F399B" w:rsidRDefault="003B653C" w14:paraId="524D5AEE" w14:textId="77777777">
            <w:pPr>
              <w:rPr>
                <w:rFonts w:asciiTheme="minorHAnsi" w:hAnsiTheme="minorHAnsi" w:cstheme="minorHAnsi"/>
                <w:b/>
                <w:sz w:val="18"/>
                <w:szCs w:val="18"/>
              </w:rPr>
            </w:pPr>
            <w:r w:rsidRPr="00CF0BB2">
              <w:rPr>
                <w:rFonts w:asciiTheme="minorHAnsi" w:hAnsiTheme="minorHAnsi" w:cstheme="minorHAnsi"/>
                <w:b/>
                <w:sz w:val="18"/>
                <w:szCs w:val="18"/>
              </w:rPr>
              <w:t>20</w:t>
            </w:r>
            <w:r w:rsidRPr="00CF0BB2" w:rsidR="005F399B">
              <w:rPr>
                <w:rFonts w:asciiTheme="minorHAnsi" w:hAnsiTheme="minorHAnsi" w:cstheme="minorHAnsi"/>
                <w:b/>
                <w:sz w:val="18"/>
                <w:szCs w:val="18"/>
              </w:rPr>
              <w:t>21</w:t>
            </w:r>
            <w:r w:rsidRPr="00CF0BB2">
              <w:rPr>
                <w:rFonts w:asciiTheme="minorHAnsi" w:hAnsiTheme="minorHAnsi" w:cstheme="minorHAnsi"/>
                <w:b/>
                <w:sz w:val="18"/>
                <w:szCs w:val="18"/>
              </w:rPr>
              <w:t xml:space="preserve"> estimates </w:t>
            </w:r>
          </w:p>
        </w:tc>
      </w:tr>
      <w:tr w:rsidRPr="00CF0BB2" w:rsidR="003B653C" w:rsidTr="00F1357D" w14:paraId="0D51149E" w14:textId="77777777">
        <w:tc>
          <w:tcPr>
            <w:tcW w:w="2695" w:type="dxa"/>
            <w:shd w:val="clear" w:color="auto" w:fill="auto"/>
          </w:tcPr>
          <w:p w:rsidRPr="00CF0BB2" w:rsidR="003B653C" w:rsidP="00F1357D" w:rsidRDefault="003B653C" w14:paraId="12245B20" w14:textId="77777777">
            <w:pPr>
              <w:rPr>
                <w:rFonts w:asciiTheme="minorHAnsi" w:hAnsiTheme="minorHAnsi" w:cstheme="minorHAnsi"/>
                <w:b/>
                <w:sz w:val="18"/>
                <w:szCs w:val="18"/>
              </w:rPr>
            </w:pPr>
            <w:r w:rsidRPr="00CF0BB2">
              <w:rPr>
                <w:rFonts w:asciiTheme="minorHAnsi" w:hAnsiTheme="minorHAnsi" w:cstheme="minorHAnsi"/>
                <w:b/>
                <w:sz w:val="18"/>
                <w:szCs w:val="18"/>
              </w:rPr>
              <w:t xml:space="preserve">Responses </w:t>
            </w:r>
            <w:r w:rsidRPr="00CF0BB2" w:rsidR="00F1357D">
              <w:rPr>
                <w:rFonts w:asciiTheme="minorHAnsi" w:hAnsiTheme="minorHAnsi" w:cstheme="minorHAnsi"/>
                <w:b/>
                <w:sz w:val="18"/>
                <w:szCs w:val="18"/>
              </w:rPr>
              <w:t>(</w:t>
            </w:r>
            <w:r w:rsidRPr="00CF0BB2">
              <w:rPr>
                <w:rFonts w:asciiTheme="minorHAnsi" w:hAnsiTheme="minorHAnsi" w:cstheme="minorHAnsi"/>
                <w:b/>
                <w:sz w:val="18"/>
                <w:szCs w:val="18"/>
              </w:rPr>
              <w:t>3 yr</w:t>
            </w:r>
            <w:r w:rsidRPr="00CF0BB2" w:rsidR="00F1357D">
              <w:rPr>
                <w:rFonts w:asciiTheme="minorHAnsi" w:hAnsiTheme="minorHAnsi" w:cstheme="minorHAnsi"/>
                <w:b/>
                <w:sz w:val="18"/>
                <w:szCs w:val="18"/>
              </w:rPr>
              <w:t xml:space="preserve"> period)</w:t>
            </w:r>
          </w:p>
        </w:tc>
        <w:tc>
          <w:tcPr>
            <w:tcW w:w="1976" w:type="dxa"/>
            <w:shd w:val="clear" w:color="auto" w:fill="auto"/>
          </w:tcPr>
          <w:p w:rsidRPr="00CF0BB2" w:rsidR="003B653C" w:rsidP="00F1357D" w:rsidRDefault="005F399B" w14:paraId="17C8A6AE" w14:textId="77777777">
            <w:pPr>
              <w:jc w:val="center"/>
              <w:rPr>
                <w:rFonts w:asciiTheme="minorHAnsi" w:hAnsiTheme="minorHAnsi" w:cstheme="minorHAnsi"/>
                <w:sz w:val="18"/>
                <w:szCs w:val="18"/>
              </w:rPr>
            </w:pPr>
            <w:r w:rsidRPr="00CF0BB2">
              <w:rPr>
                <w:rFonts w:asciiTheme="minorHAnsi" w:hAnsiTheme="minorHAnsi" w:cstheme="minorHAnsi"/>
                <w:sz w:val="18"/>
                <w:szCs w:val="18"/>
              </w:rPr>
              <w:t>400,037</w:t>
            </w:r>
          </w:p>
        </w:tc>
        <w:tc>
          <w:tcPr>
            <w:tcW w:w="2423" w:type="dxa"/>
            <w:shd w:val="clear" w:color="auto" w:fill="auto"/>
          </w:tcPr>
          <w:p w:rsidRPr="00CF0BB2" w:rsidR="003B653C" w:rsidP="00F1357D" w:rsidRDefault="005F399B" w14:paraId="07AF22B4" w14:textId="77777777">
            <w:pPr>
              <w:jc w:val="center"/>
              <w:rPr>
                <w:rFonts w:asciiTheme="minorHAnsi" w:hAnsiTheme="minorHAnsi" w:cstheme="minorHAnsi"/>
                <w:sz w:val="18"/>
                <w:szCs w:val="18"/>
              </w:rPr>
            </w:pPr>
            <w:r w:rsidRPr="00CF0BB2">
              <w:rPr>
                <w:rFonts w:asciiTheme="minorHAnsi" w:hAnsiTheme="minorHAnsi" w:cstheme="minorHAnsi"/>
                <w:sz w:val="18"/>
                <w:szCs w:val="18"/>
              </w:rPr>
              <w:t>133,727</w:t>
            </w:r>
          </w:p>
        </w:tc>
        <w:tc>
          <w:tcPr>
            <w:tcW w:w="2482" w:type="dxa"/>
            <w:shd w:val="clear" w:color="auto" w:fill="auto"/>
          </w:tcPr>
          <w:p w:rsidRPr="00CF0BB2" w:rsidR="003B653C" w:rsidP="00F1357D" w:rsidRDefault="00ED24C2" w14:paraId="64D2FD6C" w14:textId="33463652">
            <w:pPr>
              <w:jc w:val="center"/>
              <w:rPr>
                <w:rFonts w:asciiTheme="minorHAnsi" w:hAnsiTheme="minorHAnsi" w:cstheme="minorHAnsi"/>
                <w:sz w:val="18"/>
                <w:szCs w:val="18"/>
              </w:rPr>
            </w:pPr>
            <w:r>
              <w:rPr>
                <w:rFonts w:asciiTheme="minorHAnsi" w:hAnsiTheme="minorHAnsi" w:cstheme="minorHAnsi"/>
                <w:sz w:val="18"/>
                <w:szCs w:val="18"/>
              </w:rPr>
              <w:t>232,380</w:t>
            </w:r>
          </w:p>
        </w:tc>
      </w:tr>
      <w:tr w:rsidRPr="00CF0BB2" w:rsidR="003B653C" w:rsidTr="00F1357D" w14:paraId="3BAF543F" w14:textId="77777777">
        <w:tc>
          <w:tcPr>
            <w:tcW w:w="2695" w:type="dxa"/>
            <w:shd w:val="clear" w:color="auto" w:fill="auto"/>
          </w:tcPr>
          <w:p w:rsidRPr="00CF0BB2" w:rsidR="003B653C" w:rsidP="00F1357D" w:rsidRDefault="003B653C" w14:paraId="7A90B8F4" w14:textId="77777777">
            <w:pPr>
              <w:rPr>
                <w:rFonts w:asciiTheme="minorHAnsi" w:hAnsiTheme="minorHAnsi" w:cstheme="minorHAnsi"/>
                <w:b/>
                <w:sz w:val="18"/>
                <w:szCs w:val="18"/>
              </w:rPr>
            </w:pPr>
            <w:r w:rsidRPr="00CF0BB2">
              <w:rPr>
                <w:rFonts w:asciiTheme="minorHAnsi" w:hAnsiTheme="minorHAnsi" w:cstheme="minorHAnsi"/>
                <w:b/>
                <w:sz w:val="18"/>
                <w:szCs w:val="18"/>
              </w:rPr>
              <w:t xml:space="preserve">Hours </w:t>
            </w:r>
            <w:r w:rsidRPr="00CF0BB2" w:rsidR="00F1357D">
              <w:rPr>
                <w:rFonts w:asciiTheme="minorHAnsi" w:hAnsiTheme="minorHAnsi" w:cstheme="minorHAnsi"/>
                <w:b/>
                <w:sz w:val="18"/>
                <w:szCs w:val="18"/>
              </w:rPr>
              <w:t>(</w:t>
            </w:r>
            <w:r w:rsidRPr="00CF0BB2">
              <w:rPr>
                <w:rFonts w:asciiTheme="minorHAnsi" w:hAnsiTheme="minorHAnsi" w:cstheme="minorHAnsi"/>
                <w:b/>
                <w:sz w:val="18"/>
                <w:szCs w:val="18"/>
              </w:rPr>
              <w:t>3 yr</w:t>
            </w:r>
            <w:r w:rsidRPr="00CF0BB2" w:rsidR="00F1357D">
              <w:rPr>
                <w:rFonts w:asciiTheme="minorHAnsi" w:hAnsiTheme="minorHAnsi" w:cstheme="minorHAnsi"/>
                <w:b/>
                <w:sz w:val="18"/>
                <w:szCs w:val="18"/>
              </w:rPr>
              <w:t xml:space="preserve"> period)</w:t>
            </w:r>
          </w:p>
        </w:tc>
        <w:tc>
          <w:tcPr>
            <w:tcW w:w="1976" w:type="dxa"/>
            <w:shd w:val="clear" w:color="auto" w:fill="auto"/>
          </w:tcPr>
          <w:p w:rsidRPr="00CF0BB2" w:rsidR="003B653C" w:rsidP="00F1357D" w:rsidRDefault="005F399B" w14:paraId="1D145464" w14:textId="77777777">
            <w:pPr>
              <w:jc w:val="center"/>
              <w:rPr>
                <w:rFonts w:asciiTheme="minorHAnsi" w:hAnsiTheme="minorHAnsi" w:cstheme="minorHAnsi"/>
                <w:sz w:val="18"/>
                <w:szCs w:val="18"/>
              </w:rPr>
            </w:pPr>
            <w:r w:rsidRPr="00CF0BB2">
              <w:rPr>
                <w:rFonts w:asciiTheme="minorHAnsi" w:hAnsiTheme="minorHAnsi" w:cstheme="minorHAnsi"/>
                <w:sz w:val="18"/>
                <w:szCs w:val="18"/>
              </w:rPr>
              <w:t>51,752</w:t>
            </w:r>
          </w:p>
        </w:tc>
        <w:tc>
          <w:tcPr>
            <w:tcW w:w="2423" w:type="dxa"/>
            <w:shd w:val="clear" w:color="auto" w:fill="auto"/>
          </w:tcPr>
          <w:p w:rsidRPr="00CF0BB2" w:rsidR="003B653C" w:rsidP="00F1357D" w:rsidRDefault="005F399B" w14:paraId="2FF63B99" w14:textId="77777777">
            <w:pPr>
              <w:jc w:val="center"/>
              <w:rPr>
                <w:rFonts w:asciiTheme="minorHAnsi" w:hAnsiTheme="minorHAnsi" w:cstheme="minorHAnsi"/>
                <w:sz w:val="18"/>
                <w:szCs w:val="18"/>
              </w:rPr>
            </w:pPr>
            <w:r w:rsidRPr="00CF0BB2">
              <w:rPr>
                <w:rFonts w:asciiTheme="minorHAnsi" w:hAnsiTheme="minorHAnsi" w:cstheme="minorHAnsi"/>
                <w:sz w:val="18"/>
                <w:szCs w:val="18"/>
              </w:rPr>
              <w:t>17,250</w:t>
            </w:r>
          </w:p>
        </w:tc>
        <w:tc>
          <w:tcPr>
            <w:tcW w:w="2482" w:type="dxa"/>
            <w:shd w:val="clear" w:color="auto" w:fill="auto"/>
          </w:tcPr>
          <w:p w:rsidRPr="00CF0BB2" w:rsidR="003B653C" w:rsidP="00F1357D" w:rsidRDefault="00ED24C2" w14:paraId="14592A10" w14:textId="279EBBEF">
            <w:pPr>
              <w:jc w:val="center"/>
              <w:rPr>
                <w:rFonts w:asciiTheme="minorHAnsi" w:hAnsiTheme="minorHAnsi" w:cstheme="minorHAnsi"/>
                <w:sz w:val="18"/>
                <w:szCs w:val="18"/>
              </w:rPr>
            </w:pPr>
            <w:r>
              <w:rPr>
                <w:rFonts w:asciiTheme="minorHAnsi" w:hAnsiTheme="minorHAnsi" w:cstheme="minorHAnsi"/>
                <w:sz w:val="18"/>
                <w:szCs w:val="18"/>
              </w:rPr>
              <w:t>21,420</w:t>
            </w:r>
          </w:p>
        </w:tc>
      </w:tr>
    </w:tbl>
    <w:p w:rsidR="00B72318" w:rsidP="005758B7" w:rsidRDefault="00CF0BB2" w14:paraId="503FC3B6"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C070F" w:rsidR="00FC070F" w:rsidP="00FC070F" w:rsidRDefault="00B10A5E" w14:paraId="3943FA41" w14:textId="77777777">
      <w:pPr>
        <w:pBdr>
          <w:top w:val="nil"/>
          <w:left w:val="nil"/>
          <w:bottom w:val="nil"/>
          <w:right w:val="nil"/>
          <w:between w:val="nil"/>
        </w:pBdr>
        <w:tabs>
          <w:tab w:val="left" w:pos="360"/>
        </w:tabs>
        <w:spacing w:before="240"/>
      </w:pPr>
      <w:r w:rsidRPr="00FC070F">
        <w:t xml:space="preserve">Feedback collected under this generic clearance will provide useful information, but will not yield (and is not aimed at yielding) data that can be generalized to the population of study. Findings will be used for general service improvement; they are not intended for publication. </w:t>
      </w:r>
    </w:p>
    <w:p w:rsidR="00FC070F" w:rsidP="00FC070F" w:rsidRDefault="00FC070F" w14:paraId="7FE460FB" w14:textId="77777777"/>
    <w:p w:rsidRPr="00FC070F" w:rsidR="00FC070F" w:rsidP="00FC070F" w:rsidRDefault="00FC070F" w14:paraId="7769876C" w14:textId="77777777">
      <w:r w:rsidRPr="00FC070F">
        <w:t xml:space="preserve">Although </w:t>
      </w:r>
      <w:r>
        <w:t>NOAA</w:t>
      </w:r>
      <w:r w:rsidRPr="00FC070F">
        <w:t xml:space="preserve"> does not intend to publish its findings, </w:t>
      </w:r>
      <w:r>
        <w:t>NOAA</w:t>
      </w:r>
      <w:r w:rsidRPr="00FC070F">
        <w:t xml:space="preserve"> may receive requests to release the information (e.g., congressional inquiry, Freedom of Information Act requests).  The Agency will disseminate the findings when appropriate, strictly following the </w:t>
      </w:r>
      <w:r>
        <w:t>Department of Commerce’s</w:t>
      </w:r>
      <w:r w:rsidRPr="00FC070F">
        <w:t xml:space="preserve"> "Guidelines for Ensuring the Quality of Information Disseminated to the Public.” and will include specific discussion of the limitation of the qualitative results discussed above.</w:t>
      </w:r>
    </w:p>
    <w:p w:rsidR="00B72318" w:rsidP="00FC070F" w:rsidRDefault="00CF0BB2" w14:paraId="267D3F62"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If seeking approval to not display the expiration date for OMB approval of the information collection, explain the reasons that display would be inappropriate.</w:t>
      </w:r>
    </w:p>
    <w:p w:rsidRPr="00E157E9" w:rsidR="00B72318" w:rsidRDefault="00CF0BB2" w14:paraId="2DF563E6" w14:textId="77777777">
      <w:pPr>
        <w:spacing w:before="161"/>
      </w:pPr>
      <w:r w:rsidRPr="00E157E9">
        <w:t>The agency plans to display the expiration date for OMB approval of the information</w:t>
      </w:r>
      <w:r w:rsidRPr="00E157E9" w:rsidR="00E157E9">
        <w:t xml:space="preserve"> collection on all instruments.</w:t>
      </w:r>
    </w:p>
    <w:p w:rsidR="00B72318" w:rsidP="003B653C" w:rsidRDefault="00CF0BB2" w14:paraId="3A064B77"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 xml:space="preserve">Explain each exception to the certification statement identified in “Certification for Paperwork </w:t>
      </w:r>
      <w:r>
        <w:rPr>
          <w:b/>
          <w:color w:val="000000"/>
        </w:rPr>
        <w:lastRenderedPageBreak/>
        <w:t>Reduction Act Submissions."</w:t>
      </w:r>
    </w:p>
    <w:p w:rsidR="00B72318" w:rsidRDefault="00CF0BB2" w14:paraId="1E89F710" w14:textId="77777777">
      <w:pPr>
        <w:spacing w:before="221" w:line="259" w:lineRule="auto"/>
        <w:jc w:val="both"/>
      </w:pPr>
      <w:r>
        <w:t xml:space="preserve">The agency certifies compliance with </w:t>
      </w:r>
      <w:hyperlink r:id="rId8">
        <w:r>
          <w:rPr>
            <w:color w:val="0563C1"/>
            <w:u w:val="single"/>
          </w:rPr>
          <w:t>5 CFR 1320.9</w:t>
        </w:r>
      </w:hyperlink>
      <w:hyperlink r:id="rId9">
        <w:r>
          <w:rPr>
            <w:color w:val="0563C1"/>
          </w:rPr>
          <w:t xml:space="preserve"> </w:t>
        </w:r>
      </w:hyperlink>
      <w:r>
        <w:t xml:space="preserve">and the related provisions of </w:t>
      </w:r>
      <w:hyperlink r:id="rId10">
        <w:r>
          <w:rPr>
            <w:color w:val="0563C1"/>
            <w:u w:val="single"/>
          </w:rPr>
          <w:t>5 CFR</w:t>
        </w:r>
      </w:hyperlink>
      <w:r>
        <w:rPr>
          <w:color w:val="0563C1"/>
        </w:rPr>
        <w:t xml:space="preserve"> </w:t>
      </w:r>
      <w:hyperlink r:id="rId11">
        <w:r>
          <w:rPr>
            <w:color w:val="0563C1"/>
            <w:u w:val="single"/>
          </w:rPr>
          <w:t>1320.8(b)(3)</w:t>
        </w:r>
      </w:hyperlink>
      <w:r>
        <w:t>.</w:t>
      </w:r>
    </w:p>
    <w:sectPr w:rsidR="00B72318">
      <w:footerReference w:type="default" r:id="rId12"/>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A4B87" w14:textId="77777777" w:rsidR="00881AA3" w:rsidRDefault="00CF0BB2">
      <w:r>
        <w:separator/>
      </w:r>
    </w:p>
  </w:endnote>
  <w:endnote w:type="continuationSeparator" w:id="0">
    <w:p w14:paraId="70AA7136" w14:textId="77777777" w:rsidR="00881AA3" w:rsidRDefault="00CF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351226"/>
      <w:docPartObj>
        <w:docPartGallery w:val="Page Numbers (Bottom of Page)"/>
        <w:docPartUnique/>
      </w:docPartObj>
    </w:sdtPr>
    <w:sdtEndPr>
      <w:rPr>
        <w:color w:val="7F7F7F" w:themeColor="background1" w:themeShade="7F"/>
        <w:spacing w:val="60"/>
      </w:rPr>
    </w:sdtEndPr>
    <w:sdtContent>
      <w:p w14:paraId="29DEE7BC" w14:textId="420A9389" w:rsidR="00034E33" w:rsidRDefault="00034E3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73092" w:rsidRPr="00E73092">
          <w:rPr>
            <w:b/>
            <w:bCs/>
            <w:noProof/>
          </w:rPr>
          <w:t>1</w:t>
        </w:r>
        <w:r>
          <w:rPr>
            <w:b/>
            <w:bCs/>
            <w:noProof/>
          </w:rPr>
          <w:fldChar w:fldCharType="end"/>
        </w:r>
        <w:r>
          <w:rPr>
            <w:b/>
            <w:bCs/>
          </w:rPr>
          <w:t xml:space="preserve"> | </w:t>
        </w:r>
        <w:r>
          <w:rPr>
            <w:color w:val="7F7F7F" w:themeColor="background1" w:themeShade="7F"/>
            <w:spacing w:val="60"/>
          </w:rPr>
          <w:t>Page</w:t>
        </w:r>
      </w:p>
    </w:sdtContent>
  </w:sdt>
  <w:p w14:paraId="676CE512" w14:textId="77777777" w:rsidR="00B72318" w:rsidRDefault="00B7231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5D1D9" w14:textId="77777777" w:rsidR="00881AA3" w:rsidRDefault="00CF0BB2">
      <w:r>
        <w:separator/>
      </w:r>
    </w:p>
  </w:footnote>
  <w:footnote w:type="continuationSeparator" w:id="0">
    <w:p w14:paraId="6C848972" w14:textId="77777777" w:rsidR="00881AA3" w:rsidRDefault="00CF0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70AB"/>
    <w:multiLevelType w:val="multilevel"/>
    <w:tmpl w:val="415CD44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E299C"/>
    <w:multiLevelType w:val="multilevel"/>
    <w:tmpl w:val="265862C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15:restartNumberingAfterBreak="0">
    <w:nsid w:val="2BDE1B66"/>
    <w:multiLevelType w:val="hybridMultilevel"/>
    <w:tmpl w:val="B0DED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105C4"/>
    <w:multiLevelType w:val="multilevel"/>
    <w:tmpl w:val="103C27F6"/>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35B81479"/>
    <w:multiLevelType w:val="multilevel"/>
    <w:tmpl w:val="37B6B6E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3AB317AC"/>
    <w:multiLevelType w:val="multilevel"/>
    <w:tmpl w:val="BA0002D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542A1357"/>
    <w:multiLevelType w:val="multilevel"/>
    <w:tmpl w:val="44C6CE7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8" w15:restartNumberingAfterBreak="0">
    <w:nsid w:val="65DC70F2"/>
    <w:multiLevelType w:val="multilevel"/>
    <w:tmpl w:val="A6DCE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color w:val="2F5496"/>
        <w:sz w:val="20"/>
        <w:szCs w:val="20"/>
      </w:rPr>
    </w:lvl>
    <w:lvl w:ilvl="2">
      <w:start w:val="1"/>
      <w:numFmt w:val="bullet"/>
      <w:lvlText w:val="•"/>
      <w:lvlJc w:val="left"/>
      <w:pPr>
        <w:ind w:left="2233" w:hanging="360"/>
      </w:pPr>
    </w:lvl>
    <w:lvl w:ilvl="3">
      <w:start w:val="1"/>
      <w:numFmt w:val="bullet"/>
      <w:lvlText w:val="•"/>
      <w:lvlJc w:val="left"/>
      <w:pPr>
        <w:ind w:left="3386" w:hanging="360"/>
      </w:pPr>
    </w:lvl>
    <w:lvl w:ilvl="4">
      <w:start w:val="1"/>
      <w:numFmt w:val="bullet"/>
      <w:lvlText w:val="•"/>
      <w:lvlJc w:val="left"/>
      <w:pPr>
        <w:ind w:left="4540" w:hanging="360"/>
      </w:pPr>
    </w:lvl>
    <w:lvl w:ilvl="5">
      <w:start w:val="1"/>
      <w:numFmt w:val="bullet"/>
      <w:lvlText w:val="•"/>
      <w:lvlJc w:val="left"/>
      <w:pPr>
        <w:ind w:left="5693" w:hanging="360"/>
      </w:pPr>
    </w:lvl>
    <w:lvl w:ilvl="6">
      <w:start w:val="1"/>
      <w:numFmt w:val="bullet"/>
      <w:lvlText w:val="•"/>
      <w:lvlJc w:val="left"/>
      <w:pPr>
        <w:ind w:left="6846" w:hanging="360"/>
      </w:pPr>
    </w:lvl>
    <w:lvl w:ilvl="7">
      <w:start w:val="1"/>
      <w:numFmt w:val="bullet"/>
      <w:lvlText w:val="•"/>
      <w:lvlJc w:val="left"/>
      <w:pPr>
        <w:ind w:left="8000" w:hanging="360"/>
      </w:pPr>
    </w:lvl>
    <w:lvl w:ilvl="8">
      <w:start w:val="1"/>
      <w:numFmt w:val="bullet"/>
      <w:lvlText w:val="•"/>
      <w:lvlJc w:val="left"/>
      <w:pPr>
        <w:ind w:left="9153" w:hanging="360"/>
      </w:pPr>
    </w:lvl>
  </w:abstractNum>
  <w:abstractNum w:abstractNumId="9"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D53D4"/>
    <w:multiLevelType w:val="multilevel"/>
    <w:tmpl w:val="5A364B2E"/>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1" w15:restartNumberingAfterBreak="0">
    <w:nsid w:val="76A5743E"/>
    <w:multiLevelType w:val="multilevel"/>
    <w:tmpl w:val="5C80F22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15:restartNumberingAfterBreak="0">
    <w:nsid w:val="7BAF4A70"/>
    <w:multiLevelType w:val="multilevel"/>
    <w:tmpl w:val="F740EF9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15:restartNumberingAfterBreak="0">
    <w:nsid w:val="7BD97E8A"/>
    <w:multiLevelType w:val="multilevel"/>
    <w:tmpl w:val="87A662C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4"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4"/>
  </w:num>
  <w:num w:numId="4">
    <w:abstractNumId w:val="6"/>
  </w:num>
  <w:num w:numId="5">
    <w:abstractNumId w:val="8"/>
  </w:num>
  <w:num w:numId="6">
    <w:abstractNumId w:val="11"/>
  </w:num>
  <w:num w:numId="7">
    <w:abstractNumId w:val="12"/>
  </w:num>
  <w:num w:numId="8">
    <w:abstractNumId w:val="5"/>
  </w:num>
  <w:num w:numId="9">
    <w:abstractNumId w:val="7"/>
  </w:num>
  <w:num w:numId="10">
    <w:abstractNumId w:val="2"/>
  </w:num>
  <w:num w:numId="11">
    <w:abstractNumId w:val="10"/>
  </w:num>
  <w:num w:numId="12">
    <w:abstractNumId w:val="3"/>
  </w:num>
  <w:num w:numId="13">
    <w:abstractNumId w:val="9"/>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18"/>
    <w:rsid w:val="00034E33"/>
    <w:rsid w:val="000773FC"/>
    <w:rsid w:val="0011311C"/>
    <w:rsid w:val="002A5E15"/>
    <w:rsid w:val="002E2CC3"/>
    <w:rsid w:val="002F0E03"/>
    <w:rsid w:val="00316C4E"/>
    <w:rsid w:val="0034307D"/>
    <w:rsid w:val="00353458"/>
    <w:rsid w:val="00356BE8"/>
    <w:rsid w:val="003B653C"/>
    <w:rsid w:val="003C7971"/>
    <w:rsid w:val="003E1F82"/>
    <w:rsid w:val="004A44A7"/>
    <w:rsid w:val="004F0F94"/>
    <w:rsid w:val="005758B7"/>
    <w:rsid w:val="005F399B"/>
    <w:rsid w:val="00615A98"/>
    <w:rsid w:val="00616B4D"/>
    <w:rsid w:val="0068112F"/>
    <w:rsid w:val="006A0641"/>
    <w:rsid w:val="0070353B"/>
    <w:rsid w:val="00713BFC"/>
    <w:rsid w:val="0072145A"/>
    <w:rsid w:val="0082235C"/>
    <w:rsid w:val="008435EE"/>
    <w:rsid w:val="00845645"/>
    <w:rsid w:val="00881AA3"/>
    <w:rsid w:val="009316E9"/>
    <w:rsid w:val="00A23A80"/>
    <w:rsid w:val="00A52DA9"/>
    <w:rsid w:val="00A62A51"/>
    <w:rsid w:val="00A700CB"/>
    <w:rsid w:val="00B10A5E"/>
    <w:rsid w:val="00B72318"/>
    <w:rsid w:val="00BC5295"/>
    <w:rsid w:val="00C32AA8"/>
    <w:rsid w:val="00C63115"/>
    <w:rsid w:val="00C736FA"/>
    <w:rsid w:val="00CD1405"/>
    <w:rsid w:val="00CF0BB2"/>
    <w:rsid w:val="00D12C87"/>
    <w:rsid w:val="00D30E38"/>
    <w:rsid w:val="00D832B4"/>
    <w:rsid w:val="00DB425A"/>
    <w:rsid w:val="00E157E9"/>
    <w:rsid w:val="00E73092"/>
    <w:rsid w:val="00ED24C2"/>
    <w:rsid w:val="00EE726F"/>
    <w:rsid w:val="00F1357D"/>
    <w:rsid w:val="00FA0930"/>
    <w:rsid w:val="00FC070F"/>
    <w:rsid w:val="00FE6961"/>
    <w:rsid w:val="00FF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02CEDD"/>
  <w15:docId w15:val="{26213996-4B2F-4C37-A360-9AC018D0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2A5E15"/>
    <w:pPr>
      <w:widowControl/>
      <w:spacing w:before="100" w:beforeAutospacing="1" w:after="100" w:afterAutospacing="1"/>
    </w:pPr>
  </w:style>
  <w:style w:type="paragraph" w:styleId="BodyTextIndent">
    <w:name w:val="Body Text Indent"/>
    <w:basedOn w:val="Normal"/>
    <w:link w:val="BodyTextIndentChar"/>
    <w:uiPriority w:val="99"/>
    <w:semiHidden/>
    <w:unhideWhenUsed/>
    <w:rsid w:val="00FA0930"/>
    <w:pPr>
      <w:widowControl/>
      <w:spacing w:after="120"/>
      <w:ind w:left="360"/>
    </w:pPr>
    <w:rPr>
      <w:rFonts w:ascii="Courier" w:hAnsi="Courier"/>
      <w:szCs w:val="20"/>
    </w:rPr>
  </w:style>
  <w:style w:type="character" w:customStyle="1" w:styleId="BodyTextIndentChar">
    <w:name w:val="Body Text Indent Char"/>
    <w:basedOn w:val="DefaultParagraphFont"/>
    <w:link w:val="BodyTextIndent"/>
    <w:uiPriority w:val="99"/>
    <w:semiHidden/>
    <w:rsid w:val="00FA0930"/>
    <w:rPr>
      <w:rFonts w:ascii="Courier" w:hAnsi="Courier"/>
      <w:szCs w:val="20"/>
    </w:rPr>
  </w:style>
  <w:style w:type="paragraph" w:styleId="CommentSubject">
    <w:name w:val="annotation subject"/>
    <w:basedOn w:val="CommentText"/>
    <w:next w:val="CommentText"/>
    <w:link w:val="CommentSubjectChar"/>
    <w:uiPriority w:val="99"/>
    <w:semiHidden/>
    <w:unhideWhenUsed/>
    <w:rsid w:val="00FE696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FE6961"/>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1712">
      <w:bodyDiv w:val="1"/>
      <w:marLeft w:val="0"/>
      <w:marRight w:val="0"/>
      <w:marTop w:val="0"/>
      <w:marBottom w:val="0"/>
      <w:divBdr>
        <w:top w:val="none" w:sz="0" w:space="0" w:color="auto"/>
        <w:left w:val="none" w:sz="0" w:space="0" w:color="auto"/>
        <w:bottom w:val="none" w:sz="0" w:space="0" w:color="auto"/>
        <w:right w:val="none" w:sz="0" w:space="0" w:color="auto"/>
      </w:divBdr>
      <w:divsChild>
        <w:div w:id="1222407116">
          <w:marLeft w:val="-140"/>
          <w:marRight w:val="0"/>
          <w:marTop w:val="0"/>
          <w:marBottom w:val="0"/>
          <w:divBdr>
            <w:top w:val="none" w:sz="0" w:space="0" w:color="auto"/>
            <w:left w:val="none" w:sz="0" w:space="0" w:color="auto"/>
            <w:bottom w:val="none" w:sz="0" w:space="0" w:color="auto"/>
            <w:right w:val="none" w:sz="0" w:space="0" w:color="auto"/>
          </w:divBdr>
        </w:div>
      </w:divsChild>
    </w:div>
    <w:div w:id="135922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0"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gpo.gov/fdsys/pkg/CFR-2014-title5-vol3/pdf/CFR-2014-title5-vol3-sec1320-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2022-05-25T19:27:00Z</dcterms:created>
  <dcterms:modified xsi:type="dcterms:W3CDTF">2022-05-25T19:28:00Z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