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D73D58">
      <w:pPr>
        <w:jc w:val="right"/>
      </w:pPr>
      <w:bookmarkStart w:id="0" w:name="_GoBack"/>
      <w:bookmarkEnd w:id="0"/>
      <w:r>
        <w:t>OMB Control No. 0648-0342</w:t>
      </w:r>
    </w:p>
    <w:p w:rsidR="00D73D58">
      <w:pPr>
        <w:jc w:val="right"/>
        <w:rPr>
          <w:highlight w:val="yellow"/>
        </w:rPr>
      </w:pPr>
      <w:r>
        <w:rPr>
          <w:highlight w:val="yellow"/>
        </w:rPr>
        <w:t>Expiration Date: XX/XX/202X</w:t>
      </w:r>
    </w:p>
    <w:p w:rsidR="00D73D58"/>
    <w:p w:rsidR="00D73D58"/>
    <w:p w:rsidR="00D73D58">
      <w:r>
        <w:t>Paperwork Reduction Act</w:t>
      </w:r>
    </w:p>
    <w:p w:rsidR="00D73D58"/>
    <w:p w:rsidR="00D73D58">
      <w:r>
        <w:t>A Federal agency may not conduct or sponsor, and a person is not required to respond to, nor shall a person be subject to a penalty for failure to comply with an information collection subject to the requirements of the Paperwork Reduction Act of 1995 unle</w:t>
      </w:r>
      <w:r>
        <w:t xml:space="preserve">ss the information collection has a currently valid OMB Control Number. The approved OMB Control Number for this information collection is 0648-0342. Without this approval, we could not conduct this survey. Public reporting for this information collection </w:t>
      </w:r>
      <w:r>
        <w:t xml:space="preserve">is estimated to be approximately 1-5 minutes per response, including the time for reviewing instructions, searching existing data sources, gathering and maintaining the data needed, and completing and reviewing the information collection. All responses to </w:t>
      </w:r>
      <w:r>
        <w:t>this information collection are voluntary. Send comments regarding this burden estimate or any other aspect of this information collection, including suggestions for reducing this burden to the National Weather Service/Analyze, Forecast and Support Office,</w:t>
      </w:r>
      <w:r>
        <w:t xml:space="preserve"> mary.mullusky@noaa.gov.</w:t>
      </w:r>
    </w:p>
    <w:p w:rsidR="00D73D58"/>
    <w:p w:rsidR="00D73D58"/>
    <w:p w:rsidR="00D73D58">
      <w:pPr>
        <w:pStyle w:val="Heading2"/>
      </w:pPr>
      <w:bookmarkStart w:id="1" w:name="_m55pomgqsoe1" w:colFirst="0" w:colLast="0"/>
      <w:bookmarkEnd w:id="1"/>
      <w:r>
        <w:t>Survey Instrument</w:t>
      </w:r>
    </w:p>
    <w:p w:rsidR="00D73D58">
      <w:pPr>
        <w:pStyle w:val="Heading2"/>
      </w:pPr>
      <w:bookmarkStart w:id="2" w:name="_8atlpsc363ea" w:colFirst="0" w:colLast="0"/>
      <w:bookmarkEnd w:id="2"/>
      <w:r>
        <w:t>Introduction</w:t>
      </w:r>
    </w:p>
    <w:p w:rsidR="00D73D58">
      <w:r>
        <w:t xml:space="preserve">Thank you for taking time to provide feedback on how we can improve our messaging! The National Weather Service (NWS) currently uses “Watch”, “Warning”, and “Advisory” headlines to alert the public </w:t>
      </w:r>
      <w:r>
        <w:t xml:space="preserve">of weather and water hazards. </w:t>
      </w:r>
    </w:p>
    <w:p w:rsidR="00D73D58"/>
    <w:p w:rsidR="00D73D58">
      <w:r>
        <w:t xml:space="preserve">The NWS Hazard Simplification (Haz </w:t>
      </w:r>
      <w:r>
        <w:t>Simp</w:t>
      </w:r>
      <w:r>
        <w:t>) project has conducted extensive research on how we might improve our alerting system. In 2021, based on this research and feedback from our partners and public, the NWS decided to dis</w:t>
      </w:r>
      <w:r>
        <w:t xml:space="preserve">continue the “Advisory” headline in favor of plain language headlines (add examples).  NOTE: This change will not be made before 2024. </w:t>
      </w:r>
    </w:p>
    <w:p w:rsidR="00D73D58"/>
    <w:p w:rsidR="00D73D58">
      <w:r>
        <w:t xml:space="preserve">This survey will ask for your feedback on how NWS should </w:t>
      </w:r>
      <w:r>
        <w:rPr>
          <w:i/>
        </w:rPr>
        <w:t>display</w:t>
      </w:r>
      <w:r>
        <w:t xml:space="preserve"> Watches, Warnings, and the forthcoming plain language </w:t>
      </w:r>
      <w:r>
        <w:t>headlines. Feedback will inform how NWS alerts will be displayed on maps and forecast pages in the future.</w:t>
      </w:r>
    </w:p>
    <w:p w:rsidR="00D73D58"/>
    <w:p w:rsidR="00D73D58"/>
    <w:p w:rsidR="00D73D58"/>
    <w:p w:rsidR="00D73D58"/>
    <w:p w:rsidR="00D73D58">
      <w:pPr>
        <w:pStyle w:val="Heading2"/>
        <w:rPr>
          <w:b/>
        </w:rPr>
      </w:pPr>
      <w:bookmarkStart w:id="3" w:name="_ja6zt6brxw1w" w:colFirst="0" w:colLast="0"/>
      <w:bookmarkEnd w:id="3"/>
      <w:r>
        <w:t xml:space="preserve">National Hazards Display </w:t>
      </w:r>
    </w:p>
    <w:p w:rsidR="00D73D58">
      <w:pPr>
        <w:numPr>
          <w:ilvl w:val="0"/>
          <w:numId w:val="1"/>
        </w:numPr>
      </w:pPr>
      <w:r>
        <w:t xml:space="preserve">Are you familiar with the </w:t>
      </w:r>
      <w:r>
        <w:rPr>
          <w:b/>
          <w:i/>
        </w:rPr>
        <w:t>national</w:t>
      </w:r>
      <w:r>
        <w:t xml:space="preserve"> display of hazard alerts (see example shown below)?</w:t>
      </w:r>
    </w:p>
    <w:p w:rsidR="00D73D58">
      <w:pPr>
        <w:numPr>
          <w:ilvl w:val="1"/>
          <w:numId w:val="3"/>
        </w:numPr>
      </w:pPr>
      <w:r>
        <w:t>Yes</w:t>
      </w:r>
    </w:p>
    <w:p w:rsidR="00D73D58">
      <w:pPr>
        <w:numPr>
          <w:ilvl w:val="1"/>
          <w:numId w:val="3"/>
        </w:numPr>
      </w:pPr>
      <w:r>
        <w:t>No (If no, skip #2)</w:t>
      </w:r>
    </w:p>
    <w:p w:rsidR="00D73D58">
      <w:pPr>
        <w:ind w:left="1440"/>
      </w:pPr>
    </w:p>
    <w:p w:rsidR="00D73D58">
      <w:pPr>
        <w:numPr>
          <w:ilvl w:val="0"/>
          <w:numId w:val="3"/>
        </w:numPr>
      </w:pPr>
      <w:r>
        <w:t>How oft</w:t>
      </w:r>
      <w:r>
        <w:t xml:space="preserve">en does the national display of hazard alerts contribute to your decision-making or </w:t>
      </w:r>
      <w:r>
        <w:t>work</w:t>
      </w:r>
    </w:p>
    <w:p w:rsidR="00D73D58">
      <w:pPr>
        <w:numPr>
          <w:ilvl w:val="1"/>
          <w:numId w:val="3"/>
        </w:numPr>
      </w:pPr>
      <w:r>
        <w:t>Often</w:t>
      </w:r>
    </w:p>
    <w:p w:rsidR="00D73D58">
      <w:pPr>
        <w:numPr>
          <w:ilvl w:val="1"/>
          <w:numId w:val="3"/>
        </w:numPr>
      </w:pPr>
      <w:r>
        <w:t>Occasionally</w:t>
      </w:r>
    </w:p>
    <w:p w:rsidR="00D73D58">
      <w:pPr>
        <w:numPr>
          <w:ilvl w:val="1"/>
          <w:numId w:val="3"/>
        </w:numPr>
      </w:pPr>
      <w:r>
        <w:t>Never</w:t>
      </w:r>
    </w:p>
    <w:p w:rsidR="00D73D58">
      <w:pPr>
        <w:ind w:left="1440"/>
      </w:pPr>
    </w:p>
    <w:p w:rsidR="00D73D58">
      <w:pPr>
        <w:pStyle w:val="Heading2"/>
        <w:keepNext w:val="0"/>
        <w:keepLines w:val="0"/>
        <w:widowControl w:val="0"/>
        <w:numPr>
          <w:ilvl w:val="0"/>
          <w:numId w:val="3"/>
        </w:numPr>
        <w:spacing w:before="0" w:after="0" w:line="240" w:lineRule="auto"/>
        <w:rPr>
          <w:sz w:val="22"/>
          <w:szCs w:val="22"/>
        </w:rPr>
      </w:pPr>
      <w:r>
        <w:rPr>
          <w:sz w:val="22"/>
          <w:szCs w:val="22"/>
        </w:rPr>
        <w:t xml:space="preserve">Please select the number that indicates your degree of satisfaction or dissatisfaction. </w:t>
      </w:r>
    </w:p>
    <w:p w:rsidR="00D73D58">
      <w:pPr>
        <w:widowControl w:val="0"/>
        <w:spacing w:before="1" w:line="240" w:lineRule="auto"/>
      </w:pPr>
    </w:p>
    <w:tbl>
      <w:tblPr>
        <w:tblStyle w:val="a"/>
        <w:tblW w:w="94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30"/>
        <w:gridCol w:w="1260"/>
        <w:gridCol w:w="1290"/>
        <w:gridCol w:w="1440"/>
        <w:gridCol w:w="1065"/>
        <w:gridCol w:w="1065"/>
      </w:tblGrid>
      <w:tr>
        <w:tblPrEx>
          <w:tblW w:w="94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885"/>
        </w:trPr>
        <w:tc>
          <w:tcPr>
            <w:tcW w:w="3330" w:type="dxa"/>
          </w:tcPr>
          <w:p w:rsidR="00D73D58">
            <w:pPr>
              <w:widowControl w:val="0"/>
              <w:spacing w:line="216" w:lineRule="auto"/>
              <w:ind w:right="60"/>
              <w:jc w:val="right"/>
            </w:pPr>
          </w:p>
        </w:tc>
        <w:tc>
          <w:tcPr>
            <w:tcW w:w="1260" w:type="dxa"/>
          </w:tcPr>
          <w:p w:rsidR="00D73D58">
            <w:pPr>
              <w:widowControl w:val="0"/>
              <w:spacing w:line="216" w:lineRule="auto"/>
              <w:ind w:left="45" w:right="149"/>
              <w:jc w:val="center"/>
              <w:rPr>
                <w:sz w:val="20"/>
                <w:szCs w:val="20"/>
              </w:rPr>
            </w:pPr>
            <w:r>
              <w:rPr>
                <w:sz w:val="20"/>
                <w:szCs w:val="20"/>
              </w:rPr>
              <w:t>Extremely Dissatisfied</w:t>
            </w:r>
          </w:p>
        </w:tc>
        <w:tc>
          <w:tcPr>
            <w:tcW w:w="1290" w:type="dxa"/>
          </w:tcPr>
          <w:p w:rsidR="00D73D58">
            <w:pPr>
              <w:widowControl w:val="0"/>
              <w:spacing w:before="6" w:line="240" w:lineRule="auto"/>
              <w:ind w:left="45" w:right="163"/>
              <w:jc w:val="center"/>
              <w:rPr>
                <w:sz w:val="20"/>
                <w:szCs w:val="20"/>
              </w:rPr>
            </w:pPr>
            <w:r>
              <w:rPr>
                <w:sz w:val="20"/>
                <w:szCs w:val="20"/>
              </w:rPr>
              <w:t>Dissatisfied</w:t>
            </w:r>
          </w:p>
        </w:tc>
        <w:tc>
          <w:tcPr>
            <w:tcW w:w="1440" w:type="dxa"/>
          </w:tcPr>
          <w:p w:rsidR="00D73D58">
            <w:pPr>
              <w:widowControl w:val="0"/>
              <w:spacing w:before="6" w:line="240" w:lineRule="auto"/>
              <w:ind w:left="91" w:right="76"/>
              <w:jc w:val="center"/>
              <w:rPr>
                <w:sz w:val="20"/>
                <w:szCs w:val="20"/>
              </w:rPr>
            </w:pPr>
            <w:r>
              <w:rPr>
                <w:sz w:val="20"/>
                <w:szCs w:val="20"/>
              </w:rPr>
              <w:t>Neither Satisfied nor Dissatisfied</w:t>
            </w:r>
          </w:p>
        </w:tc>
        <w:tc>
          <w:tcPr>
            <w:tcW w:w="1065" w:type="dxa"/>
          </w:tcPr>
          <w:p w:rsidR="00D73D58">
            <w:pPr>
              <w:widowControl w:val="0"/>
              <w:spacing w:line="216" w:lineRule="auto"/>
              <w:ind w:left="77" w:right="90"/>
              <w:jc w:val="center"/>
              <w:rPr>
                <w:sz w:val="20"/>
                <w:szCs w:val="20"/>
              </w:rPr>
            </w:pPr>
            <w:r>
              <w:rPr>
                <w:sz w:val="20"/>
                <w:szCs w:val="20"/>
              </w:rPr>
              <w:t>Satisfied</w:t>
            </w:r>
          </w:p>
        </w:tc>
        <w:tc>
          <w:tcPr>
            <w:tcW w:w="1065" w:type="dxa"/>
          </w:tcPr>
          <w:p w:rsidR="00D73D58">
            <w:pPr>
              <w:widowControl w:val="0"/>
              <w:spacing w:line="216" w:lineRule="auto"/>
              <w:ind w:left="61" w:right="31"/>
              <w:jc w:val="center"/>
              <w:rPr>
                <w:sz w:val="20"/>
                <w:szCs w:val="20"/>
              </w:rPr>
            </w:pPr>
            <w:r>
              <w:rPr>
                <w:sz w:val="20"/>
                <w:szCs w:val="20"/>
              </w:rPr>
              <w:t>Extremely satisfied</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90"/>
            </w:pPr>
            <w:r>
              <w:t>Ease of understanding the national display of hazard alerts</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90"/>
            </w:pPr>
            <w:r>
              <w:t>Ease of applying the national display of hazard alerts to your decision-making or work</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50"/>
            </w:pPr>
            <w:r>
              <w:t>Overall satisfaction with the national display of hazard alerts</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bl>
    <w:p w:rsidR="00D73D58">
      <w:pPr>
        <w:widowControl w:val="0"/>
        <w:spacing w:before="3" w:line="240" w:lineRule="auto"/>
      </w:pPr>
    </w:p>
    <w:p w:rsidR="00D73D58">
      <w:pPr>
        <w:rPr>
          <w:b/>
        </w:rPr>
      </w:pPr>
      <w:r>
        <w:rPr>
          <w:noProof/>
        </w:rPr>
        <w:drawing>
          <wp:inline distT="114300" distB="114300" distL="114300" distR="114300">
            <wp:extent cx="4633913" cy="3922980"/>
            <wp:effectExtent l="12700" t="12700" r="12700" b="12700"/>
            <wp:docPr id="3" name="image11.png"/>
            <wp:cNvGraphicFramePr/>
            <a:graphic xmlns:a="http://schemas.openxmlformats.org/drawingml/2006/main">
              <a:graphicData uri="http://schemas.openxmlformats.org/drawingml/2006/picture">
                <pic:pic xmlns:pic="http://schemas.openxmlformats.org/drawingml/2006/picture">
                  <pic:nvPicPr>
                    <pic:cNvPr id="3" name="image11.png"/>
                    <pic:cNvPicPr/>
                  </pic:nvPicPr>
                  <pic:blipFill>
                    <a:blip xmlns:r="http://schemas.openxmlformats.org/officeDocument/2006/relationships" r:embed="rId4"/>
                    <a:srcRect t="8946"/>
                    <a:stretch>
                      <a:fillRect/>
                    </a:stretch>
                  </pic:blipFill>
                  <pic:spPr>
                    <a:xfrm>
                      <a:off x="0" y="0"/>
                      <a:ext cx="4633913" cy="3922980"/>
                    </a:xfrm>
                    <a:prstGeom prst="rect">
                      <a:avLst/>
                    </a:prstGeom>
                    <a:ln w="12700">
                      <a:solidFill>
                        <a:srgbClr val="000000"/>
                      </a:solidFill>
                      <a:prstDash val="solid"/>
                    </a:ln>
                  </pic:spPr>
                </pic:pic>
              </a:graphicData>
            </a:graphic>
          </wp:inline>
        </w:drawing>
      </w:r>
    </w:p>
    <w:p w:rsidR="00D73D58">
      <w:pPr>
        <w:rPr>
          <w:b/>
        </w:rPr>
      </w:pPr>
    </w:p>
    <w:p w:rsidR="00D73D58">
      <w:pPr>
        <w:pStyle w:val="Heading2"/>
      </w:pPr>
      <w:bookmarkStart w:id="4" w:name="_d9q95j6t1x1w" w:colFirst="0" w:colLast="0"/>
      <w:bookmarkEnd w:id="4"/>
      <w:r>
        <w:t>Display Options for Hazards Map</w:t>
      </w:r>
    </w:p>
    <w:p w:rsidR="00D73D58">
      <w:pPr>
        <w:rPr>
          <w:b/>
        </w:rPr>
      </w:pPr>
    </w:p>
    <w:p w:rsidR="00D73D58">
      <w:pPr>
        <w:rPr>
          <w:b/>
          <w:i/>
        </w:rPr>
      </w:pPr>
      <w:r>
        <w:t xml:space="preserve">The national and local display of hazard alerts will be adjusted as NWS transitions away from the Advisory term to plain language headlines. We are seeking feedback on potential options for future map displays. </w:t>
      </w:r>
      <w:r>
        <w:rPr>
          <w:b/>
          <w:i/>
        </w:rPr>
        <w:t xml:space="preserve">These options are for demonstration purposes </w:t>
      </w:r>
      <w:r>
        <w:rPr>
          <w:b/>
          <w:i/>
        </w:rPr>
        <w:t>only. In reality, the maps below would be shown at a national scale, but for ease of visualization they are zoomed into a particular region.</w:t>
      </w:r>
    </w:p>
    <w:p w:rsidR="00D73D58"/>
    <w:p w:rsidR="00D73D58">
      <w:r>
        <w:t>Please review the following (4) four options and consider the questions below.</w:t>
      </w:r>
    </w:p>
    <w:p w:rsidR="00D73D58"/>
    <w:p w:rsidR="00D73D58">
      <w:pPr>
        <w:numPr>
          <w:ilvl w:val="0"/>
          <w:numId w:val="3"/>
        </w:numPr>
      </w:pPr>
      <w:r>
        <w:t xml:space="preserve">Which option do you think would be </w:t>
      </w:r>
      <w:r>
        <w:rPr>
          <w:i/>
          <w:u w:val="single"/>
        </w:rPr>
        <w:t>most</w:t>
      </w:r>
      <w:r>
        <w:t xml:space="preserve"> useful to your decision making?</w:t>
      </w:r>
    </w:p>
    <w:p w:rsidR="00D73D58">
      <w:pPr>
        <w:numPr>
          <w:ilvl w:val="1"/>
          <w:numId w:val="3"/>
        </w:numPr>
      </w:pPr>
      <w:r>
        <w:t xml:space="preserve">A </w:t>
      </w:r>
    </w:p>
    <w:p w:rsidR="00D73D58">
      <w:pPr>
        <w:numPr>
          <w:ilvl w:val="1"/>
          <w:numId w:val="3"/>
        </w:numPr>
      </w:pPr>
      <w:r>
        <w:t>B</w:t>
      </w:r>
    </w:p>
    <w:p w:rsidR="00D73D58">
      <w:pPr>
        <w:numPr>
          <w:ilvl w:val="1"/>
          <w:numId w:val="3"/>
        </w:numPr>
      </w:pPr>
      <w:r>
        <w:t>C</w:t>
      </w:r>
    </w:p>
    <w:p w:rsidR="00D73D58">
      <w:pPr>
        <w:numPr>
          <w:ilvl w:val="1"/>
          <w:numId w:val="3"/>
        </w:numPr>
      </w:pPr>
      <w:r>
        <w:t>D</w:t>
      </w:r>
    </w:p>
    <w:p w:rsidR="00D73D58">
      <w:pPr>
        <w:ind w:left="720"/>
      </w:pPr>
    </w:p>
    <w:p w:rsidR="00D73D58">
      <w:pPr>
        <w:numPr>
          <w:ilvl w:val="0"/>
          <w:numId w:val="3"/>
        </w:numPr>
      </w:pPr>
      <w:r>
        <w:t xml:space="preserve">Which option do you think would be </w:t>
      </w:r>
      <w:r>
        <w:rPr>
          <w:i/>
          <w:u w:val="single"/>
        </w:rPr>
        <w:t>least</w:t>
      </w:r>
      <w:r>
        <w:t xml:space="preserve"> useful to your decision making?</w:t>
      </w:r>
    </w:p>
    <w:p w:rsidR="00D73D58">
      <w:pPr>
        <w:numPr>
          <w:ilvl w:val="1"/>
          <w:numId w:val="3"/>
        </w:numPr>
      </w:pPr>
      <w:r>
        <w:t>A</w:t>
      </w:r>
    </w:p>
    <w:p w:rsidR="00D73D58">
      <w:pPr>
        <w:numPr>
          <w:ilvl w:val="1"/>
          <w:numId w:val="3"/>
        </w:numPr>
      </w:pPr>
      <w:r>
        <w:t>B</w:t>
      </w:r>
    </w:p>
    <w:p w:rsidR="00D73D58">
      <w:pPr>
        <w:numPr>
          <w:ilvl w:val="1"/>
          <w:numId w:val="3"/>
        </w:numPr>
      </w:pPr>
      <w:r>
        <w:t>C</w:t>
      </w:r>
    </w:p>
    <w:p w:rsidR="00D73D58">
      <w:pPr>
        <w:numPr>
          <w:ilvl w:val="1"/>
          <w:numId w:val="3"/>
        </w:numPr>
      </w:pPr>
      <w:r>
        <w:t>D</w:t>
      </w:r>
    </w:p>
    <w:p w:rsidR="00D73D58"/>
    <w:p w:rsidR="00D73D58">
      <w:pPr>
        <w:rPr>
          <w:b/>
        </w:rPr>
      </w:pPr>
      <w:r>
        <w:rPr>
          <w:b/>
        </w:rPr>
        <w:t>Option A</w:t>
      </w:r>
    </w:p>
    <w:p w:rsidR="00D73D58">
      <w:pPr>
        <w:rPr>
          <w:color w:val="0000FF"/>
        </w:rPr>
      </w:pPr>
      <w:r>
        <w:rPr>
          <w:color w:val="0000FF"/>
        </w:rPr>
        <w:t>Color-coded by hazard type with all Watches, Warnings, and plain language headlines</w:t>
      </w:r>
    </w:p>
    <w:p w:rsidR="00D73D58">
      <w:pPr>
        <w:rPr>
          <w:b/>
        </w:rPr>
      </w:pPr>
    </w:p>
    <w:p w:rsidR="00D73D58">
      <w:r>
        <w:rPr>
          <w:noProof/>
        </w:rPr>
        <w:drawing>
          <wp:inline distT="114300" distB="114300" distL="114300" distR="114300">
            <wp:extent cx="5943600" cy="2781300"/>
            <wp:effectExtent l="12700" t="12700" r="12700" b="12700"/>
            <wp:docPr id="5" name="image7.png"/>
            <wp:cNvGraphicFramePr/>
            <a:graphic xmlns:a="http://schemas.openxmlformats.org/drawingml/2006/main">
              <a:graphicData uri="http://schemas.openxmlformats.org/drawingml/2006/picture">
                <pic:pic xmlns:pic="http://schemas.openxmlformats.org/drawingml/2006/picture">
                  <pic:nvPicPr>
                    <pic:cNvPr id="5" name="image7.png"/>
                    <pic:cNvPicPr/>
                  </pic:nvPicPr>
                  <pic:blipFill>
                    <a:blip xmlns:r="http://schemas.openxmlformats.org/officeDocument/2006/relationships" r:embed="rId5"/>
                    <a:stretch>
                      <a:fillRect/>
                    </a:stretch>
                  </pic:blipFill>
                  <pic:spPr>
                    <a:xfrm>
                      <a:off x="0" y="0"/>
                      <a:ext cx="5943600" cy="2781300"/>
                    </a:xfrm>
                    <a:prstGeom prst="rect">
                      <a:avLst/>
                    </a:prstGeom>
                    <a:ln w="12700">
                      <a:solidFill>
                        <a:srgbClr val="000000"/>
                      </a:solidFill>
                      <a:prstDash val="solid"/>
                    </a:ln>
                  </pic:spPr>
                </pic:pic>
              </a:graphicData>
            </a:graphic>
          </wp:inline>
        </w:drawing>
      </w:r>
    </w:p>
    <w:p w:rsidR="00D73D58"/>
    <w:p w:rsidR="00D73D58">
      <w:pPr>
        <w:rPr>
          <w:b/>
        </w:rPr>
      </w:pPr>
    </w:p>
    <w:p w:rsidR="00D73D58">
      <w:pPr>
        <w:rPr>
          <w:b/>
        </w:rPr>
      </w:pPr>
    </w:p>
    <w:p w:rsidR="00D73D58">
      <w:pPr>
        <w:rPr>
          <w:b/>
        </w:rPr>
      </w:pPr>
    </w:p>
    <w:p w:rsidR="00D73D58">
      <w:pPr>
        <w:rPr>
          <w:b/>
        </w:rPr>
      </w:pPr>
    </w:p>
    <w:p w:rsidR="00D73D58">
      <w:pPr>
        <w:rPr>
          <w:b/>
        </w:rPr>
      </w:pPr>
      <w:r>
        <w:rPr>
          <w:b/>
        </w:rPr>
        <w:t>Option B</w:t>
      </w:r>
    </w:p>
    <w:p w:rsidR="00D73D58">
      <w:pPr>
        <w:rPr>
          <w:b/>
        </w:rPr>
      </w:pPr>
      <w:r>
        <w:rPr>
          <w:color w:val="0000FF"/>
        </w:rPr>
        <w:t>Color-coded by hazard type for Watches and Warnings. Plain language headlines all appear as gray on the national map.</w:t>
      </w:r>
    </w:p>
    <w:p w:rsidR="00D73D58">
      <w:pPr>
        <w:rPr>
          <w:b/>
        </w:rPr>
      </w:pPr>
      <w:r>
        <w:rPr>
          <w:b/>
          <w:noProof/>
        </w:rPr>
        <w:drawing>
          <wp:inline distT="114300" distB="114300" distL="114300" distR="114300">
            <wp:extent cx="5943600" cy="2806700"/>
            <wp:effectExtent l="12700" t="12700" r="12700" b="12700"/>
            <wp:docPr id="9" name="image10.png"/>
            <wp:cNvGraphicFramePr/>
            <a:graphic xmlns:a="http://schemas.openxmlformats.org/drawingml/2006/main">
              <a:graphicData uri="http://schemas.openxmlformats.org/drawingml/2006/picture">
                <pic:pic xmlns:pic="http://schemas.openxmlformats.org/drawingml/2006/picture">
                  <pic:nvPicPr>
                    <pic:cNvPr id="9" name="image10.png"/>
                    <pic:cNvPicPr/>
                  </pic:nvPicPr>
                  <pic:blipFill>
                    <a:blip xmlns:r="http://schemas.openxmlformats.org/officeDocument/2006/relationships" r:embed="rId6"/>
                    <a:stretch>
                      <a:fillRect/>
                    </a:stretch>
                  </pic:blipFill>
                  <pic:spPr>
                    <a:xfrm>
                      <a:off x="0" y="0"/>
                      <a:ext cx="5943600" cy="2806700"/>
                    </a:xfrm>
                    <a:prstGeom prst="rect">
                      <a:avLst/>
                    </a:prstGeom>
                    <a:ln w="12700">
                      <a:solidFill>
                        <a:srgbClr val="000000"/>
                      </a:solidFill>
                      <a:prstDash val="solid"/>
                    </a:ln>
                  </pic:spPr>
                </pic:pic>
              </a:graphicData>
            </a:graphic>
          </wp:inline>
        </w:drawing>
      </w:r>
    </w:p>
    <w:p w:rsidR="00D73D58">
      <w:pPr>
        <w:rPr>
          <w:b/>
        </w:rPr>
      </w:pPr>
    </w:p>
    <w:p w:rsidR="00D73D58">
      <w:pPr>
        <w:rPr>
          <w:b/>
        </w:rPr>
      </w:pPr>
      <w:r>
        <w:rPr>
          <w:b/>
        </w:rPr>
        <w:t>Option C</w:t>
      </w:r>
    </w:p>
    <w:p w:rsidR="00D73D58">
      <w:pPr>
        <w:rPr>
          <w:b/>
        </w:rPr>
      </w:pPr>
      <w:r>
        <w:rPr>
          <w:color w:val="0000FF"/>
        </w:rPr>
        <w:t>Only Watches and Warnings appear on the national map (color-coded by hazard type)</w:t>
      </w:r>
    </w:p>
    <w:p w:rsidR="00D73D58">
      <w:r>
        <w:rPr>
          <w:noProof/>
        </w:rPr>
        <w:drawing>
          <wp:inline distT="114300" distB="114300" distL="114300" distR="114300">
            <wp:extent cx="5943600" cy="2768600"/>
            <wp:effectExtent l="12700" t="12700" r="12700" b="12700"/>
            <wp:docPr id="10" name="image9.png"/>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xmlns:r="http://schemas.openxmlformats.org/officeDocument/2006/relationships" r:embed="rId7"/>
                    <a:stretch>
                      <a:fillRect/>
                    </a:stretch>
                  </pic:blipFill>
                  <pic:spPr>
                    <a:xfrm>
                      <a:off x="0" y="0"/>
                      <a:ext cx="5943600" cy="2768600"/>
                    </a:xfrm>
                    <a:prstGeom prst="rect">
                      <a:avLst/>
                    </a:prstGeom>
                    <a:ln w="12700">
                      <a:solidFill>
                        <a:srgbClr val="000000"/>
                      </a:solidFill>
                      <a:prstDash val="solid"/>
                    </a:ln>
                  </pic:spPr>
                </pic:pic>
              </a:graphicData>
            </a:graphic>
          </wp:inline>
        </w:drawing>
      </w:r>
    </w:p>
    <w:p w:rsidR="00D73D58"/>
    <w:p w:rsidR="00D73D58">
      <w:pPr>
        <w:rPr>
          <w:b/>
        </w:rPr>
      </w:pPr>
      <w:r>
        <w:rPr>
          <w:b/>
        </w:rPr>
        <w:t>Option D</w:t>
      </w:r>
    </w:p>
    <w:p w:rsidR="00D73D58">
      <w:r>
        <w:rPr>
          <w:color w:val="0000FF"/>
        </w:rPr>
        <w:t xml:space="preserve">All Watches appear as yellow, all Warnings appear as red, and all plain language headlines appear as gray. </w:t>
      </w:r>
    </w:p>
    <w:p w:rsidR="00D73D58">
      <w:pPr>
        <w:rPr>
          <w:b/>
        </w:rPr>
      </w:pPr>
      <w:r>
        <w:rPr>
          <w:noProof/>
        </w:rPr>
        <w:drawing>
          <wp:inline distT="114300" distB="114300" distL="114300" distR="114300">
            <wp:extent cx="5794716" cy="2700338"/>
            <wp:effectExtent l="12700" t="12700" r="12700" b="12700"/>
            <wp:docPr id="7" name="image8.png"/>
            <wp:cNvGraphicFramePr/>
            <a:graphic xmlns:a="http://schemas.openxmlformats.org/drawingml/2006/main">
              <a:graphicData uri="http://schemas.openxmlformats.org/drawingml/2006/picture">
                <pic:pic xmlns:pic="http://schemas.openxmlformats.org/drawingml/2006/picture">
                  <pic:nvPicPr>
                    <pic:cNvPr id="7" name="image8.png"/>
                    <pic:cNvPicPr/>
                  </pic:nvPicPr>
                  <pic:blipFill>
                    <a:blip xmlns:r="http://schemas.openxmlformats.org/officeDocument/2006/relationships" r:embed="rId8"/>
                    <a:stretch>
                      <a:fillRect/>
                    </a:stretch>
                  </pic:blipFill>
                  <pic:spPr>
                    <a:xfrm>
                      <a:off x="0" y="0"/>
                      <a:ext cx="5794716" cy="2700338"/>
                    </a:xfrm>
                    <a:prstGeom prst="rect">
                      <a:avLst/>
                    </a:prstGeom>
                    <a:ln w="12700">
                      <a:solidFill>
                        <a:srgbClr val="000000"/>
                      </a:solidFill>
                      <a:prstDash val="solid"/>
                    </a:ln>
                  </pic:spPr>
                </pic:pic>
              </a:graphicData>
            </a:graphic>
          </wp:inline>
        </w:drawing>
      </w:r>
    </w:p>
    <w:p w:rsidR="00D73D58"/>
    <w:p w:rsidR="00D73D58"/>
    <w:p w:rsidR="00D73D58"/>
    <w:p w:rsidR="00D73D58">
      <w:pPr>
        <w:pStyle w:val="Heading2"/>
      </w:pPr>
      <w:bookmarkStart w:id="5" w:name="_ltd46nps686n" w:colFirst="0" w:colLast="0"/>
      <w:bookmarkEnd w:id="5"/>
      <w:r>
        <w:t>Local Forecast Pages</w:t>
      </w:r>
    </w:p>
    <w:p w:rsidR="00D73D58">
      <w:pPr>
        <w:rPr>
          <w:b/>
        </w:rPr>
      </w:pPr>
    </w:p>
    <w:p w:rsidR="00D73D58">
      <w:r>
        <w:t xml:space="preserve">The below image shows an example of a local forecast display. Currently, </w:t>
      </w:r>
      <w:r>
        <w:rPr>
          <w:b/>
        </w:rPr>
        <w:t xml:space="preserve">Advisories </w:t>
      </w:r>
      <w:r>
        <w:t xml:space="preserve">are colored orange, </w:t>
      </w:r>
      <w:r>
        <w:rPr>
          <w:b/>
        </w:rPr>
        <w:t xml:space="preserve">Warnings </w:t>
      </w:r>
      <w:r>
        <w:t>are red</w:t>
      </w:r>
      <w:r>
        <w:t xml:space="preserve">, and </w:t>
      </w:r>
      <w:r>
        <w:rPr>
          <w:b/>
        </w:rPr>
        <w:t xml:space="preserve">Watches </w:t>
      </w:r>
      <w:r>
        <w:t xml:space="preserve">are yellow. </w:t>
      </w:r>
    </w:p>
    <w:p w:rsidR="00D73D58">
      <w:pPr>
        <w:ind w:left="720"/>
      </w:pPr>
    </w:p>
    <w:p w:rsidR="00D73D58">
      <w:pPr>
        <w:numPr>
          <w:ilvl w:val="0"/>
          <w:numId w:val="3"/>
        </w:numPr>
      </w:pPr>
      <w:r>
        <w:t>Are you familiar with this local forecast display shown below?</w:t>
      </w:r>
    </w:p>
    <w:p w:rsidR="00D73D58">
      <w:pPr>
        <w:numPr>
          <w:ilvl w:val="1"/>
          <w:numId w:val="3"/>
        </w:numPr>
      </w:pPr>
      <w:r>
        <w:t>Yes</w:t>
      </w:r>
    </w:p>
    <w:p w:rsidR="00D73D58">
      <w:pPr>
        <w:numPr>
          <w:ilvl w:val="1"/>
          <w:numId w:val="3"/>
        </w:numPr>
      </w:pPr>
      <w:r>
        <w:t>No (If no, skip #9)</w:t>
      </w:r>
    </w:p>
    <w:p w:rsidR="00D73D58">
      <w:pPr>
        <w:ind w:left="1440"/>
      </w:pPr>
    </w:p>
    <w:p w:rsidR="00D73D58">
      <w:pPr>
        <w:numPr>
          <w:ilvl w:val="0"/>
          <w:numId w:val="3"/>
        </w:numPr>
      </w:pPr>
      <w:r>
        <w:t xml:space="preserve">How often does the national display of hazard alerts contribute to your decision-making or work" with </w:t>
      </w:r>
      <w:r>
        <w:t>answers</w:t>
      </w:r>
    </w:p>
    <w:p w:rsidR="00D73D58">
      <w:pPr>
        <w:numPr>
          <w:ilvl w:val="1"/>
          <w:numId w:val="3"/>
        </w:numPr>
      </w:pPr>
      <w:r>
        <w:t>Often</w:t>
      </w:r>
    </w:p>
    <w:p w:rsidR="00D73D58">
      <w:pPr>
        <w:numPr>
          <w:ilvl w:val="1"/>
          <w:numId w:val="3"/>
        </w:numPr>
      </w:pPr>
      <w:r>
        <w:t>Occasionally</w:t>
      </w:r>
    </w:p>
    <w:p w:rsidR="00D73D58">
      <w:pPr>
        <w:numPr>
          <w:ilvl w:val="1"/>
          <w:numId w:val="3"/>
        </w:numPr>
      </w:pPr>
      <w:r>
        <w:t>Never</w:t>
      </w:r>
    </w:p>
    <w:p w:rsidR="00D73D58">
      <w:pPr>
        <w:ind w:left="720"/>
      </w:pPr>
    </w:p>
    <w:p w:rsidR="00D73D58">
      <w:pPr>
        <w:numPr>
          <w:ilvl w:val="0"/>
          <w:numId w:val="3"/>
        </w:numPr>
      </w:pPr>
      <w:r>
        <w:t>Plea</w:t>
      </w:r>
      <w:r>
        <w:t xml:space="preserve">se select the number that indicates your degree of satisfaction or dissatisfaction.  </w:t>
      </w:r>
    </w:p>
    <w:p w:rsidR="00D73D58">
      <w:pPr>
        <w:widowControl w:val="0"/>
        <w:spacing w:before="1" w:line="240" w:lineRule="auto"/>
      </w:pPr>
    </w:p>
    <w:tbl>
      <w:tblPr>
        <w:tblStyle w:val="a0"/>
        <w:tblW w:w="94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30"/>
        <w:gridCol w:w="1260"/>
        <w:gridCol w:w="1290"/>
        <w:gridCol w:w="1440"/>
        <w:gridCol w:w="1065"/>
        <w:gridCol w:w="1065"/>
      </w:tblGrid>
      <w:tr>
        <w:tblPrEx>
          <w:tblW w:w="94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885"/>
        </w:trPr>
        <w:tc>
          <w:tcPr>
            <w:tcW w:w="3330" w:type="dxa"/>
          </w:tcPr>
          <w:p w:rsidR="00D73D58">
            <w:pPr>
              <w:widowControl w:val="0"/>
              <w:spacing w:line="216" w:lineRule="auto"/>
              <w:ind w:right="60"/>
              <w:jc w:val="right"/>
            </w:pPr>
          </w:p>
        </w:tc>
        <w:tc>
          <w:tcPr>
            <w:tcW w:w="1260" w:type="dxa"/>
          </w:tcPr>
          <w:p w:rsidR="00D73D58">
            <w:pPr>
              <w:widowControl w:val="0"/>
              <w:spacing w:line="216" w:lineRule="auto"/>
              <w:ind w:left="45" w:right="149"/>
              <w:jc w:val="center"/>
              <w:rPr>
                <w:sz w:val="20"/>
                <w:szCs w:val="20"/>
              </w:rPr>
            </w:pPr>
            <w:r>
              <w:rPr>
                <w:sz w:val="20"/>
                <w:szCs w:val="20"/>
              </w:rPr>
              <w:t>Extremely Dissatisfied</w:t>
            </w:r>
          </w:p>
        </w:tc>
        <w:tc>
          <w:tcPr>
            <w:tcW w:w="1290" w:type="dxa"/>
          </w:tcPr>
          <w:p w:rsidR="00D73D58">
            <w:pPr>
              <w:widowControl w:val="0"/>
              <w:spacing w:before="6" w:line="240" w:lineRule="auto"/>
              <w:ind w:left="45" w:right="163"/>
              <w:jc w:val="center"/>
              <w:rPr>
                <w:sz w:val="20"/>
                <w:szCs w:val="20"/>
              </w:rPr>
            </w:pPr>
            <w:r>
              <w:rPr>
                <w:sz w:val="20"/>
                <w:szCs w:val="20"/>
              </w:rPr>
              <w:t>Dissatisfied</w:t>
            </w:r>
          </w:p>
        </w:tc>
        <w:tc>
          <w:tcPr>
            <w:tcW w:w="1440" w:type="dxa"/>
          </w:tcPr>
          <w:p w:rsidR="00D73D58">
            <w:pPr>
              <w:widowControl w:val="0"/>
              <w:spacing w:before="6" w:line="240" w:lineRule="auto"/>
              <w:ind w:left="91" w:right="76"/>
              <w:jc w:val="center"/>
              <w:rPr>
                <w:sz w:val="20"/>
                <w:szCs w:val="20"/>
              </w:rPr>
            </w:pPr>
            <w:r>
              <w:rPr>
                <w:sz w:val="20"/>
                <w:szCs w:val="20"/>
              </w:rPr>
              <w:t>Neither Satisfied nor Dissatisfied</w:t>
            </w:r>
          </w:p>
        </w:tc>
        <w:tc>
          <w:tcPr>
            <w:tcW w:w="1065" w:type="dxa"/>
          </w:tcPr>
          <w:p w:rsidR="00D73D58">
            <w:pPr>
              <w:widowControl w:val="0"/>
              <w:spacing w:line="216" w:lineRule="auto"/>
              <w:ind w:left="77" w:right="90"/>
              <w:jc w:val="center"/>
              <w:rPr>
                <w:sz w:val="20"/>
                <w:szCs w:val="20"/>
              </w:rPr>
            </w:pPr>
            <w:r>
              <w:rPr>
                <w:sz w:val="20"/>
                <w:szCs w:val="20"/>
              </w:rPr>
              <w:t>Satisfied</w:t>
            </w:r>
          </w:p>
        </w:tc>
        <w:tc>
          <w:tcPr>
            <w:tcW w:w="1065" w:type="dxa"/>
          </w:tcPr>
          <w:p w:rsidR="00D73D58">
            <w:pPr>
              <w:widowControl w:val="0"/>
              <w:spacing w:line="216" w:lineRule="auto"/>
              <w:ind w:left="61" w:right="31"/>
              <w:jc w:val="center"/>
              <w:rPr>
                <w:sz w:val="20"/>
                <w:szCs w:val="20"/>
              </w:rPr>
            </w:pPr>
            <w:r>
              <w:rPr>
                <w:sz w:val="20"/>
                <w:szCs w:val="20"/>
              </w:rPr>
              <w:t>Extremely satisfied</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90"/>
            </w:pPr>
            <w:r>
              <w:t>Ease of understanding the local forecast display</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90"/>
            </w:pPr>
            <w:r>
              <w:t>Ease of applying the local forecast display to your decision-making or work</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50"/>
            </w:pPr>
            <w:r>
              <w:t xml:space="preserve">Overall satisfaction with the local forecast display </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bl>
    <w:p w:rsidR="00D73D58">
      <w:pPr>
        <w:widowControl w:val="0"/>
        <w:spacing w:before="3" w:line="240" w:lineRule="auto"/>
      </w:pPr>
    </w:p>
    <w:p w:rsidR="00D73D58"/>
    <w:p w:rsidR="00D73D58">
      <w:r>
        <w:rPr>
          <w:noProof/>
        </w:rPr>
        <w:drawing>
          <wp:inline distT="19050" distB="19050" distL="19050" distR="19050">
            <wp:extent cx="5467350" cy="2066925"/>
            <wp:effectExtent l="9525" t="9525" r="9525" b="9525"/>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xmlns:r="http://schemas.openxmlformats.org/officeDocument/2006/relationships" r:embed="rId9"/>
                    <a:srcRect t="18937" b="18798"/>
                    <a:stretch>
                      <a:fillRect/>
                    </a:stretch>
                  </pic:blipFill>
                  <pic:spPr>
                    <a:xfrm>
                      <a:off x="0" y="0"/>
                      <a:ext cx="5467350" cy="2066925"/>
                    </a:xfrm>
                    <a:prstGeom prst="rect">
                      <a:avLst/>
                    </a:prstGeom>
                    <a:ln w="9525">
                      <a:solidFill>
                        <a:srgbClr val="323B42"/>
                      </a:solidFill>
                      <a:prstDash val="solid"/>
                    </a:ln>
                  </pic:spPr>
                </pic:pic>
              </a:graphicData>
            </a:graphic>
          </wp:inline>
        </w:drawing>
      </w:r>
    </w:p>
    <w:p w:rsidR="00D73D58">
      <w:pPr>
        <w:rPr>
          <w:b/>
        </w:rPr>
      </w:pPr>
    </w:p>
    <w:p w:rsidR="00D73D58">
      <w:pPr>
        <w:pStyle w:val="Heading2"/>
      </w:pPr>
      <w:bookmarkStart w:id="6" w:name="_kmw854i1o2vv" w:colFirst="0" w:colLast="0"/>
      <w:bookmarkEnd w:id="6"/>
      <w:r>
        <w:t>Display Options for Local Forecast</w:t>
      </w:r>
    </w:p>
    <w:p w:rsidR="00D73D58">
      <w:pPr>
        <w:rPr>
          <w:b/>
          <w:i/>
        </w:rPr>
      </w:pPr>
      <w:r>
        <w:t xml:space="preserve">The local forecast display of hazard alerts will be adjusted as NWS transitions away from the Advisory term to plain language headlines. We are seeking feedback on potential options for change. </w:t>
      </w:r>
      <w:r>
        <w:rPr>
          <w:b/>
          <w:i/>
        </w:rPr>
        <w:t>These options are for demonstration purposes only.</w:t>
      </w:r>
    </w:p>
    <w:p w:rsidR="00D73D58"/>
    <w:p w:rsidR="00D73D58">
      <w:r>
        <w:t>Please review the following (3) three options and consider the questions below.</w:t>
      </w:r>
    </w:p>
    <w:p w:rsidR="00D73D58"/>
    <w:p w:rsidR="00D73D58">
      <w:pPr>
        <w:numPr>
          <w:ilvl w:val="0"/>
          <w:numId w:val="3"/>
        </w:numPr>
      </w:pPr>
      <w:r>
        <w:t xml:space="preserve">Which option do you think would be </w:t>
      </w:r>
      <w:r>
        <w:rPr>
          <w:i/>
          <w:u w:val="single"/>
        </w:rPr>
        <w:t>most</w:t>
      </w:r>
      <w:r>
        <w:t xml:space="preserve"> useful to your decision making? </w:t>
      </w:r>
    </w:p>
    <w:p w:rsidR="00D73D58">
      <w:pPr>
        <w:numPr>
          <w:ilvl w:val="1"/>
          <w:numId w:val="3"/>
        </w:numPr>
      </w:pPr>
      <w:r>
        <w:t>A (plain language headlines in gray color)</w:t>
      </w:r>
    </w:p>
    <w:p w:rsidR="00D73D58">
      <w:pPr>
        <w:numPr>
          <w:ilvl w:val="1"/>
          <w:numId w:val="3"/>
        </w:numPr>
      </w:pPr>
      <w:r>
        <w:t>B (plain language headlines in black outline)</w:t>
      </w:r>
    </w:p>
    <w:p w:rsidR="00D73D58">
      <w:pPr>
        <w:numPr>
          <w:ilvl w:val="1"/>
          <w:numId w:val="3"/>
        </w:numPr>
      </w:pPr>
      <w:r>
        <w:t>C (no display</w:t>
      </w:r>
      <w:r>
        <w:t xml:space="preserve"> of plain language headlines)</w:t>
      </w:r>
    </w:p>
    <w:p w:rsidR="00D73D58">
      <w:pPr>
        <w:ind w:left="720"/>
      </w:pPr>
    </w:p>
    <w:p w:rsidR="00D73D58">
      <w:pPr>
        <w:numPr>
          <w:ilvl w:val="0"/>
          <w:numId w:val="3"/>
        </w:numPr>
      </w:pPr>
      <w:r>
        <w:t xml:space="preserve">Which option do you think would be </w:t>
      </w:r>
      <w:r>
        <w:rPr>
          <w:i/>
          <w:u w:val="single"/>
        </w:rPr>
        <w:t>least</w:t>
      </w:r>
      <w:r>
        <w:t xml:space="preserve"> useful to your decision making?</w:t>
      </w:r>
    </w:p>
    <w:p w:rsidR="00D73D58">
      <w:pPr>
        <w:numPr>
          <w:ilvl w:val="1"/>
          <w:numId w:val="3"/>
        </w:numPr>
      </w:pPr>
      <w:r>
        <w:t>A (plain language headlines in gray color)</w:t>
      </w:r>
    </w:p>
    <w:p w:rsidR="00D73D58">
      <w:pPr>
        <w:numPr>
          <w:ilvl w:val="1"/>
          <w:numId w:val="3"/>
        </w:numPr>
      </w:pPr>
      <w:r>
        <w:t>B (plain language headlines in black outline)</w:t>
      </w:r>
    </w:p>
    <w:p w:rsidR="00D73D58">
      <w:pPr>
        <w:numPr>
          <w:ilvl w:val="1"/>
          <w:numId w:val="3"/>
        </w:numPr>
      </w:pPr>
      <w:r>
        <w:t>C (no display of plain language headlines)</w:t>
      </w:r>
    </w:p>
    <w:p w:rsidR="00D73D58"/>
    <w:p w:rsidR="00D73D58">
      <w:pPr>
        <w:rPr>
          <w:b/>
        </w:rPr>
      </w:pPr>
      <w:r>
        <w:rPr>
          <w:b/>
        </w:rPr>
        <w:t>Option A</w:t>
      </w:r>
    </w:p>
    <w:p w:rsidR="00D73D58">
      <w:pPr>
        <w:rPr>
          <w:color w:val="0000FF"/>
        </w:rPr>
      </w:pPr>
      <w:r>
        <w:rPr>
          <w:color w:val="0000FF"/>
        </w:rPr>
        <w:t>Plain language headlines displayed on the local forecast in a gray color. Watch and Warning would retain their current colors (Warning - red, Watch - yellow)</w:t>
      </w:r>
    </w:p>
    <w:p w:rsidR="00D73D58">
      <w:r>
        <w:rPr>
          <w:noProof/>
        </w:rPr>
        <w:drawing>
          <wp:inline distT="114300" distB="114300" distL="114300" distR="114300">
            <wp:extent cx="5943600" cy="2679700"/>
            <wp:effectExtent l="12700" t="12700" r="12700" b="12700"/>
            <wp:docPr id="1" name="image6.png"/>
            <wp:cNvGraphicFramePr/>
            <a:graphic xmlns:a="http://schemas.openxmlformats.org/drawingml/2006/main">
              <a:graphicData uri="http://schemas.openxmlformats.org/drawingml/2006/picture">
                <pic:pic xmlns:pic="http://schemas.openxmlformats.org/drawingml/2006/picture">
                  <pic:nvPicPr>
                    <pic:cNvPr id="1" name="image6.png"/>
                    <pic:cNvPicPr/>
                  </pic:nvPicPr>
                  <pic:blipFill>
                    <a:blip xmlns:r="http://schemas.openxmlformats.org/officeDocument/2006/relationships" r:embed="rId10"/>
                    <a:stretch>
                      <a:fillRect/>
                    </a:stretch>
                  </pic:blipFill>
                  <pic:spPr>
                    <a:xfrm>
                      <a:off x="0" y="0"/>
                      <a:ext cx="5943600" cy="2679700"/>
                    </a:xfrm>
                    <a:prstGeom prst="rect">
                      <a:avLst/>
                    </a:prstGeom>
                    <a:ln w="12700">
                      <a:solidFill>
                        <a:srgbClr val="000000"/>
                      </a:solidFill>
                      <a:prstDash val="solid"/>
                    </a:ln>
                  </pic:spPr>
                </pic:pic>
              </a:graphicData>
            </a:graphic>
          </wp:inline>
        </w:drawing>
      </w:r>
    </w:p>
    <w:p w:rsidR="00D73D58">
      <w:pPr>
        <w:rPr>
          <w:b/>
        </w:rPr>
      </w:pPr>
    </w:p>
    <w:p w:rsidR="00D73D58">
      <w:pPr>
        <w:rPr>
          <w:b/>
        </w:rPr>
      </w:pPr>
      <w:r>
        <w:rPr>
          <w:b/>
        </w:rPr>
        <w:t>Option B</w:t>
      </w:r>
    </w:p>
    <w:p w:rsidR="00D73D58">
      <w:pPr>
        <w:rPr>
          <w:b/>
        </w:rPr>
      </w:pPr>
      <w:r>
        <w:rPr>
          <w:color w:val="0000FF"/>
        </w:rPr>
        <w:t>Plain language alerts displayed on the local forecast in a white box with black outlin</w:t>
      </w:r>
      <w:r>
        <w:rPr>
          <w:color w:val="0000FF"/>
        </w:rPr>
        <w:t>e. Watch and Warning would retain their current colors (Warning - red, Watch - yellow)</w:t>
      </w:r>
    </w:p>
    <w:p w:rsidR="00D73D58">
      <w:pPr>
        <w:rPr>
          <w:b/>
        </w:rPr>
      </w:pPr>
      <w:r>
        <w:rPr>
          <w:b/>
          <w:noProof/>
        </w:rPr>
        <w:drawing>
          <wp:inline distT="114300" distB="114300" distL="114300" distR="114300">
            <wp:extent cx="5943600" cy="2679700"/>
            <wp:effectExtent l="12700" t="12700" r="12700" b="12700"/>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ic:nvPicPr>
                  <pic:blipFill>
                    <a:blip xmlns:r="http://schemas.openxmlformats.org/officeDocument/2006/relationships" r:embed="rId11"/>
                    <a:stretch>
                      <a:fillRect/>
                    </a:stretch>
                  </pic:blipFill>
                  <pic:spPr>
                    <a:xfrm>
                      <a:off x="0" y="0"/>
                      <a:ext cx="5943600" cy="2679700"/>
                    </a:xfrm>
                    <a:prstGeom prst="rect">
                      <a:avLst/>
                    </a:prstGeom>
                    <a:ln w="12700">
                      <a:solidFill>
                        <a:srgbClr val="000000"/>
                      </a:solidFill>
                      <a:prstDash val="solid"/>
                    </a:ln>
                  </pic:spPr>
                </pic:pic>
              </a:graphicData>
            </a:graphic>
          </wp:inline>
        </w:drawing>
      </w:r>
    </w:p>
    <w:p w:rsidR="00D73D58">
      <w:pPr>
        <w:rPr>
          <w:b/>
        </w:rPr>
      </w:pPr>
    </w:p>
    <w:p w:rsidR="00D73D58">
      <w:pPr>
        <w:rPr>
          <w:b/>
        </w:rPr>
      </w:pPr>
      <w:r>
        <w:rPr>
          <w:b/>
        </w:rPr>
        <w:t>Option C</w:t>
      </w:r>
    </w:p>
    <w:p w:rsidR="00D73D58">
      <w:pPr>
        <w:rPr>
          <w:b/>
        </w:rPr>
      </w:pPr>
      <w:r>
        <w:rPr>
          <w:color w:val="0000FF"/>
        </w:rPr>
        <w:t>Only the Watch and Warning would be displayed on the local forecast and they would retain their current colors (Warning - red, Watch - yellow)</w:t>
      </w:r>
    </w:p>
    <w:p w:rsidR="00D73D58">
      <w:pPr>
        <w:rPr>
          <w:b/>
        </w:rPr>
      </w:pPr>
      <w:r>
        <w:rPr>
          <w:b/>
          <w:noProof/>
        </w:rPr>
        <w:drawing>
          <wp:inline distT="114300" distB="114300" distL="114300" distR="114300">
            <wp:extent cx="5943600" cy="2679700"/>
            <wp:effectExtent l="12700" t="12700" r="12700" b="1270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xmlns:r="http://schemas.openxmlformats.org/officeDocument/2006/relationships" r:embed="rId12"/>
                    <a:stretch>
                      <a:fillRect/>
                    </a:stretch>
                  </pic:blipFill>
                  <pic:spPr>
                    <a:xfrm>
                      <a:off x="0" y="0"/>
                      <a:ext cx="5943600" cy="2679700"/>
                    </a:xfrm>
                    <a:prstGeom prst="rect">
                      <a:avLst/>
                    </a:prstGeom>
                    <a:ln w="12700">
                      <a:solidFill>
                        <a:srgbClr val="000000"/>
                      </a:solidFill>
                      <a:prstDash val="solid"/>
                    </a:ln>
                  </pic:spPr>
                </pic:pic>
              </a:graphicData>
            </a:graphic>
          </wp:inline>
        </w:drawing>
      </w:r>
    </w:p>
    <w:p w:rsidR="00D73D58"/>
    <w:p w:rsidR="00D73D58"/>
    <w:p w:rsidR="00D73D58">
      <w:pPr>
        <w:pStyle w:val="Heading2"/>
      </w:pPr>
      <w:bookmarkStart w:id="7" w:name="_9yxjzdrunvy4" w:colFirst="0" w:colLast="0"/>
      <w:bookmarkEnd w:id="7"/>
    </w:p>
    <w:p w:rsidR="00D73D58">
      <w:pPr>
        <w:pStyle w:val="Heading2"/>
      </w:pPr>
      <w:bookmarkStart w:id="8" w:name="_z2pug5ssjvtp" w:colFirst="0" w:colLast="0"/>
      <w:bookmarkEnd w:id="8"/>
      <w:r>
        <w:t>Hazards B</w:t>
      </w:r>
      <w:r>
        <w:t>anner on Local Forecast Page</w:t>
      </w:r>
    </w:p>
    <w:p w:rsidR="00D73D58">
      <w:pPr>
        <w:rPr>
          <w:b/>
        </w:rPr>
      </w:pPr>
    </w:p>
    <w:p w:rsidR="00D73D58">
      <w:pPr>
        <w:numPr>
          <w:ilvl w:val="0"/>
          <w:numId w:val="3"/>
        </w:numPr>
      </w:pPr>
      <w:r>
        <w:t>Are you familiar with the pink “Hazardous Weather Conditions” banner at the top of your local forecast page shown below?</w:t>
      </w:r>
      <w:r>
        <w:rPr>
          <w:b/>
          <w:i/>
        </w:rPr>
        <w:t xml:space="preserve"> Note - This is an example and not necessarily specific to your location.</w:t>
      </w:r>
    </w:p>
    <w:p w:rsidR="00D73D58">
      <w:pPr>
        <w:numPr>
          <w:ilvl w:val="0"/>
          <w:numId w:val="2"/>
        </w:numPr>
      </w:pPr>
      <w:r>
        <w:t>Yes</w:t>
      </w:r>
    </w:p>
    <w:p w:rsidR="00D73D58">
      <w:pPr>
        <w:numPr>
          <w:ilvl w:val="0"/>
          <w:numId w:val="2"/>
        </w:numPr>
      </w:pPr>
      <w:r>
        <w:t>No (If no, skip #14)</w:t>
      </w:r>
    </w:p>
    <w:p w:rsidR="00D73D58">
      <w:pPr>
        <w:ind w:left="1440"/>
      </w:pPr>
    </w:p>
    <w:p w:rsidR="00D73D58">
      <w:pPr>
        <w:numPr>
          <w:ilvl w:val="0"/>
          <w:numId w:val="3"/>
        </w:numPr>
      </w:pPr>
      <w:r>
        <w:t>Please</w:t>
      </w:r>
      <w:r>
        <w:t xml:space="preserve"> select the number that indicates your degree of satisfaction or dissatisfaction.  </w:t>
      </w:r>
    </w:p>
    <w:p w:rsidR="00D73D58">
      <w:pPr>
        <w:widowControl w:val="0"/>
        <w:spacing w:before="1" w:line="240" w:lineRule="auto"/>
      </w:pPr>
    </w:p>
    <w:tbl>
      <w:tblPr>
        <w:tblStyle w:val="a1"/>
        <w:tblW w:w="94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30"/>
        <w:gridCol w:w="1260"/>
        <w:gridCol w:w="1290"/>
        <w:gridCol w:w="1440"/>
        <w:gridCol w:w="1065"/>
        <w:gridCol w:w="1065"/>
      </w:tblGrid>
      <w:tr>
        <w:tblPrEx>
          <w:tblW w:w="94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885"/>
        </w:trPr>
        <w:tc>
          <w:tcPr>
            <w:tcW w:w="3330" w:type="dxa"/>
          </w:tcPr>
          <w:p w:rsidR="00D73D58">
            <w:pPr>
              <w:widowControl w:val="0"/>
              <w:spacing w:line="216" w:lineRule="auto"/>
              <w:ind w:right="60"/>
              <w:jc w:val="right"/>
            </w:pPr>
          </w:p>
        </w:tc>
        <w:tc>
          <w:tcPr>
            <w:tcW w:w="1260" w:type="dxa"/>
          </w:tcPr>
          <w:p w:rsidR="00D73D58">
            <w:pPr>
              <w:widowControl w:val="0"/>
              <w:spacing w:line="216" w:lineRule="auto"/>
              <w:ind w:left="45" w:right="149"/>
              <w:jc w:val="center"/>
              <w:rPr>
                <w:sz w:val="20"/>
                <w:szCs w:val="20"/>
              </w:rPr>
            </w:pPr>
            <w:r>
              <w:rPr>
                <w:sz w:val="20"/>
                <w:szCs w:val="20"/>
              </w:rPr>
              <w:t>Extremely Dissatisfied</w:t>
            </w:r>
          </w:p>
        </w:tc>
        <w:tc>
          <w:tcPr>
            <w:tcW w:w="1290" w:type="dxa"/>
          </w:tcPr>
          <w:p w:rsidR="00D73D58">
            <w:pPr>
              <w:widowControl w:val="0"/>
              <w:spacing w:before="6" w:line="240" w:lineRule="auto"/>
              <w:ind w:left="45" w:right="163"/>
              <w:jc w:val="center"/>
              <w:rPr>
                <w:sz w:val="20"/>
                <w:szCs w:val="20"/>
              </w:rPr>
            </w:pPr>
            <w:r>
              <w:rPr>
                <w:sz w:val="20"/>
                <w:szCs w:val="20"/>
              </w:rPr>
              <w:t>Dissatisfied</w:t>
            </w:r>
          </w:p>
        </w:tc>
        <w:tc>
          <w:tcPr>
            <w:tcW w:w="1440" w:type="dxa"/>
          </w:tcPr>
          <w:p w:rsidR="00D73D58">
            <w:pPr>
              <w:widowControl w:val="0"/>
              <w:spacing w:before="6" w:line="240" w:lineRule="auto"/>
              <w:ind w:left="91" w:right="76"/>
              <w:jc w:val="center"/>
              <w:rPr>
                <w:sz w:val="20"/>
                <w:szCs w:val="20"/>
              </w:rPr>
            </w:pPr>
            <w:r>
              <w:rPr>
                <w:sz w:val="20"/>
                <w:szCs w:val="20"/>
              </w:rPr>
              <w:t>Neither Satisfied nor Dissatisfied</w:t>
            </w:r>
          </w:p>
        </w:tc>
        <w:tc>
          <w:tcPr>
            <w:tcW w:w="1065" w:type="dxa"/>
          </w:tcPr>
          <w:p w:rsidR="00D73D58">
            <w:pPr>
              <w:widowControl w:val="0"/>
              <w:spacing w:line="216" w:lineRule="auto"/>
              <w:ind w:left="77" w:right="90"/>
              <w:jc w:val="center"/>
              <w:rPr>
                <w:sz w:val="20"/>
                <w:szCs w:val="20"/>
              </w:rPr>
            </w:pPr>
            <w:r>
              <w:rPr>
                <w:sz w:val="20"/>
                <w:szCs w:val="20"/>
              </w:rPr>
              <w:t>Satisfied</w:t>
            </w:r>
          </w:p>
        </w:tc>
        <w:tc>
          <w:tcPr>
            <w:tcW w:w="1065" w:type="dxa"/>
          </w:tcPr>
          <w:p w:rsidR="00D73D58">
            <w:pPr>
              <w:widowControl w:val="0"/>
              <w:spacing w:line="216" w:lineRule="auto"/>
              <w:ind w:left="61" w:right="31"/>
              <w:jc w:val="center"/>
              <w:rPr>
                <w:sz w:val="20"/>
                <w:szCs w:val="20"/>
              </w:rPr>
            </w:pPr>
            <w:r>
              <w:rPr>
                <w:sz w:val="20"/>
                <w:szCs w:val="20"/>
              </w:rPr>
              <w:t>Extremely satisfied</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90"/>
            </w:pPr>
            <w:r>
              <w:t>Ease of understanding the banner</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90"/>
            </w:pPr>
            <w:r>
              <w:t>Ease of applying the banner to your decision-making or work</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r>
        <w:tblPrEx>
          <w:tblW w:w="9450" w:type="dxa"/>
          <w:tblInd w:w="117" w:type="dxa"/>
          <w:tblLayout w:type="fixed"/>
          <w:tblLook w:val="0000"/>
        </w:tblPrEx>
        <w:trPr>
          <w:trHeight w:val="575"/>
        </w:trPr>
        <w:tc>
          <w:tcPr>
            <w:tcW w:w="3330" w:type="dxa"/>
          </w:tcPr>
          <w:p w:rsidR="00D73D58">
            <w:pPr>
              <w:widowControl w:val="0"/>
              <w:tabs>
                <w:tab w:val="left" w:pos="552"/>
                <w:tab w:val="right" w:pos="4489"/>
              </w:tabs>
              <w:spacing w:line="240" w:lineRule="auto"/>
              <w:ind w:left="50"/>
            </w:pPr>
            <w:r>
              <w:t>Overall satisfaction with the banner</w:t>
            </w:r>
          </w:p>
        </w:tc>
        <w:tc>
          <w:tcPr>
            <w:tcW w:w="1260" w:type="dxa"/>
          </w:tcPr>
          <w:p w:rsidR="00D73D58">
            <w:pPr>
              <w:widowControl w:val="0"/>
              <w:spacing w:before="140" w:line="240" w:lineRule="auto"/>
              <w:ind w:right="18"/>
              <w:jc w:val="center"/>
            </w:pPr>
            <w:r>
              <w:t>1</w:t>
            </w:r>
          </w:p>
        </w:tc>
        <w:tc>
          <w:tcPr>
            <w:tcW w:w="1290" w:type="dxa"/>
          </w:tcPr>
          <w:p w:rsidR="00D73D58">
            <w:pPr>
              <w:widowControl w:val="0"/>
              <w:spacing w:before="140" w:line="240" w:lineRule="auto"/>
              <w:ind w:right="18"/>
              <w:jc w:val="center"/>
            </w:pPr>
            <w:r>
              <w:t>2</w:t>
            </w:r>
          </w:p>
        </w:tc>
        <w:tc>
          <w:tcPr>
            <w:tcW w:w="1440" w:type="dxa"/>
          </w:tcPr>
          <w:p w:rsidR="00D73D58">
            <w:pPr>
              <w:widowControl w:val="0"/>
              <w:spacing w:before="140" w:line="240" w:lineRule="auto"/>
              <w:ind w:right="26"/>
              <w:jc w:val="center"/>
            </w:pPr>
            <w:r>
              <w:t>3</w:t>
            </w:r>
          </w:p>
        </w:tc>
        <w:tc>
          <w:tcPr>
            <w:tcW w:w="1065" w:type="dxa"/>
          </w:tcPr>
          <w:p w:rsidR="00D73D58">
            <w:pPr>
              <w:widowControl w:val="0"/>
              <w:spacing w:before="140" w:line="240" w:lineRule="auto"/>
              <w:ind w:right="1"/>
              <w:jc w:val="center"/>
            </w:pPr>
            <w:r>
              <w:t>4</w:t>
            </w:r>
          </w:p>
        </w:tc>
        <w:tc>
          <w:tcPr>
            <w:tcW w:w="1065" w:type="dxa"/>
          </w:tcPr>
          <w:p w:rsidR="00D73D58">
            <w:pPr>
              <w:widowControl w:val="0"/>
              <w:spacing w:before="140" w:line="240" w:lineRule="auto"/>
              <w:ind w:right="36"/>
              <w:jc w:val="center"/>
            </w:pPr>
            <w:r>
              <w:t>5</w:t>
            </w:r>
          </w:p>
        </w:tc>
      </w:tr>
    </w:tbl>
    <w:p w:rsidR="00D73D58">
      <w:pPr>
        <w:widowControl w:val="0"/>
        <w:spacing w:before="3" w:line="240" w:lineRule="auto"/>
      </w:pPr>
    </w:p>
    <w:p w:rsidR="00D73D58">
      <w:pPr>
        <w:rPr>
          <w:b/>
        </w:rPr>
      </w:pPr>
    </w:p>
    <w:p w:rsidR="00D73D58">
      <w:pPr>
        <w:rPr>
          <w:b/>
        </w:rPr>
      </w:pPr>
      <w:r>
        <w:rPr>
          <w:b/>
          <w:noProof/>
        </w:rPr>
        <w:drawing>
          <wp:inline distT="19050" distB="19050" distL="19050" distR="19050">
            <wp:extent cx="5700713" cy="3409429"/>
            <wp:effectExtent l="9525" t="9525" r="9525" b="9525"/>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xmlns:r="http://schemas.openxmlformats.org/officeDocument/2006/relationships" r:embed="rId13"/>
                    <a:srcRect r="42607" b="11559"/>
                    <a:stretch>
                      <a:fillRect/>
                    </a:stretch>
                  </pic:blipFill>
                  <pic:spPr>
                    <a:xfrm>
                      <a:off x="0" y="0"/>
                      <a:ext cx="5700713" cy="3409429"/>
                    </a:xfrm>
                    <a:prstGeom prst="rect">
                      <a:avLst/>
                    </a:prstGeom>
                    <a:ln w="9525">
                      <a:solidFill>
                        <a:srgbClr val="595959"/>
                      </a:solidFill>
                      <a:prstDash val="solid"/>
                    </a:ln>
                  </pic:spPr>
                </pic:pic>
              </a:graphicData>
            </a:graphic>
          </wp:inline>
        </w:drawing>
      </w:r>
    </w:p>
    <w:p w:rsidR="00D73D58">
      <w:pPr>
        <w:rPr>
          <w:b/>
        </w:rPr>
      </w:pPr>
    </w:p>
    <w:p w:rsidR="00D73D58">
      <w:pPr>
        <w:rPr>
          <w:b/>
        </w:rPr>
      </w:pPr>
    </w:p>
    <w:p w:rsidR="00D73D58">
      <w:pPr>
        <w:pStyle w:val="Heading2"/>
      </w:pPr>
      <w:bookmarkStart w:id="9" w:name="_ohci8zthfk47" w:colFirst="0" w:colLast="0"/>
      <w:bookmarkEnd w:id="9"/>
      <w:r>
        <w:t>Display Options for Banner</w:t>
      </w:r>
    </w:p>
    <w:p w:rsidR="00D73D58">
      <w:pPr>
        <w:rPr>
          <w:b/>
          <w:i/>
        </w:rPr>
      </w:pPr>
      <w:r>
        <w:t xml:space="preserve">The pink “Hazardous Weather Conditions” banner at the top of your local forecast page will be adjusted as NWS transitions away from the Advisory term to plain language headlines. We are seeking feedback on potential options for change. </w:t>
      </w:r>
      <w:r>
        <w:rPr>
          <w:b/>
          <w:i/>
        </w:rPr>
        <w:t>These options are fo</w:t>
      </w:r>
      <w:r>
        <w:rPr>
          <w:b/>
          <w:i/>
        </w:rPr>
        <w:t>r demonstration purposes only.</w:t>
      </w:r>
    </w:p>
    <w:p w:rsidR="00D73D58"/>
    <w:p w:rsidR="00D73D58">
      <w:r>
        <w:t>Please review the following (2) two options and consider the question below.</w:t>
      </w:r>
    </w:p>
    <w:p w:rsidR="00D73D58"/>
    <w:p w:rsidR="00D73D58">
      <w:pPr>
        <w:numPr>
          <w:ilvl w:val="0"/>
          <w:numId w:val="3"/>
        </w:numPr>
      </w:pPr>
      <w:r>
        <w:t xml:space="preserve">Which option do you think would be </w:t>
      </w:r>
      <w:r>
        <w:rPr>
          <w:i/>
          <w:u w:val="single"/>
        </w:rPr>
        <w:t>most</w:t>
      </w:r>
      <w:r>
        <w:t xml:space="preserve"> useful to your decision making? </w:t>
      </w:r>
    </w:p>
    <w:p w:rsidR="00D73D58">
      <w:pPr>
        <w:numPr>
          <w:ilvl w:val="1"/>
          <w:numId w:val="3"/>
        </w:numPr>
      </w:pPr>
      <w:r>
        <w:t>A: Plain language headline is shown in the banner</w:t>
      </w:r>
    </w:p>
    <w:p w:rsidR="00D73D58">
      <w:pPr>
        <w:numPr>
          <w:ilvl w:val="1"/>
          <w:numId w:val="3"/>
        </w:numPr>
      </w:pPr>
      <w:r>
        <w:t>B: Plain language headl</w:t>
      </w:r>
      <w:r>
        <w:t>ine is NOT shown in the banner</w:t>
      </w:r>
    </w:p>
    <w:p w:rsidR="00D73D58">
      <w:pPr>
        <w:rPr>
          <w:b/>
          <w:color w:val="A80000"/>
          <w:sz w:val="20"/>
          <w:szCs w:val="20"/>
          <w:shd w:val="clear" w:color="auto" w:fill="F2DEDE"/>
        </w:rPr>
      </w:pPr>
    </w:p>
    <w:p w:rsidR="00D73D58">
      <w:pPr>
        <w:widowControl w:val="0"/>
        <w:spacing w:line="264" w:lineRule="auto"/>
        <w:ind w:left="165" w:right="160"/>
        <w:rPr>
          <w:b/>
          <w:sz w:val="20"/>
          <w:szCs w:val="20"/>
        </w:rPr>
      </w:pPr>
    </w:p>
    <w:p w:rsidR="00D73D58">
      <w:pPr>
        <w:widowControl w:val="0"/>
        <w:spacing w:line="264" w:lineRule="auto"/>
        <w:ind w:left="165" w:right="160"/>
        <w:rPr>
          <w:b/>
          <w:sz w:val="20"/>
          <w:szCs w:val="20"/>
        </w:rPr>
      </w:pPr>
      <w:r>
        <w:rPr>
          <w:b/>
          <w:sz w:val="20"/>
          <w:szCs w:val="20"/>
        </w:rPr>
        <w:t xml:space="preserve">Option A: </w:t>
      </w:r>
    </w:p>
    <w:p w:rsidR="00D73D58">
      <w:pPr>
        <w:widowControl w:val="0"/>
        <w:spacing w:line="264" w:lineRule="auto"/>
        <w:ind w:left="165" w:right="160"/>
        <w:rPr>
          <w:b/>
          <w:color w:val="A80000"/>
          <w:sz w:val="20"/>
          <w:szCs w:val="20"/>
          <w:shd w:val="clear" w:color="auto" w:fill="F2DEDE"/>
        </w:rPr>
      </w:pPr>
      <w:r>
        <w:rPr>
          <w:b/>
          <w:color w:val="A80000"/>
          <w:sz w:val="20"/>
          <w:szCs w:val="20"/>
          <w:shd w:val="clear" w:color="auto" w:fill="F2DEDE"/>
        </w:rPr>
        <w:t>Hazardous Weather Conditions</w:t>
      </w:r>
    </w:p>
    <w:p w:rsidR="00D73D58">
      <w:pPr>
        <w:widowControl w:val="0"/>
        <w:spacing w:line="360" w:lineRule="auto"/>
        <w:ind w:left="180" w:right="160"/>
        <w:rPr>
          <w:b/>
          <w:color w:val="A80000"/>
          <w:sz w:val="16"/>
          <w:szCs w:val="16"/>
        </w:rPr>
      </w:pPr>
      <w:r>
        <w:rPr>
          <w:color w:val="A80000"/>
          <w:sz w:val="16"/>
          <w:szCs w:val="16"/>
          <w:u w:val="single"/>
        </w:rPr>
        <w:t>High Wind Warning in effect from June 15, 06:00 AM until June 15, 09:00 PM MDT</w:t>
      </w:r>
    </w:p>
    <w:p w:rsidR="00D73D58">
      <w:pPr>
        <w:widowControl w:val="0"/>
        <w:spacing w:line="360" w:lineRule="auto"/>
        <w:ind w:left="180" w:right="160"/>
        <w:rPr>
          <w:b/>
          <w:color w:val="A80000"/>
          <w:sz w:val="20"/>
          <w:szCs w:val="20"/>
          <w:shd w:val="clear" w:color="auto" w:fill="F2DEDE"/>
        </w:rPr>
      </w:pPr>
      <w:r>
        <w:rPr>
          <w:color w:val="A80000"/>
          <w:sz w:val="16"/>
          <w:szCs w:val="16"/>
          <w:u w:val="single"/>
        </w:rPr>
        <w:t>HEAT: Heat index values up to 100F from June 14, 11:00 AM until June 14, 08:00 PM CDT</w:t>
      </w:r>
    </w:p>
    <w:p w:rsidR="00D73D58">
      <w:pPr>
        <w:widowControl w:val="0"/>
        <w:spacing w:line="264" w:lineRule="auto"/>
        <w:ind w:left="165" w:right="160"/>
        <w:rPr>
          <w:b/>
          <w:color w:val="A80000"/>
          <w:sz w:val="20"/>
          <w:szCs w:val="20"/>
          <w:shd w:val="clear" w:color="auto" w:fill="F2DEDE"/>
        </w:rPr>
      </w:pPr>
    </w:p>
    <w:p w:rsidR="00D73D58">
      <w:pPr>
        <w:widowControl w:val="0"/>
        <w:spacing w:line="264" w:lineRule="auto"/>
        <w:ind w:left="165" w:right="160"/>
        <w:rPr>
          <w:b/>
          <w:sz w:val="20"/>
          <w:szCs w:val="20"/>
        </w:rPr>
      </w:pPr>
      <w:r>
        <w:rPr>
          <w:b/>
          <w:sz w:val="20"/>
          <w:szCs w:val="20"/>
        </w:rPr>
        <w:t xml:space="preserve">Option B: </w:t>
      </w:r>
    </w:p>
    <w:p w:rsidR="00D73D58">
      <w:pPr>
        <w:widowControl w:val="0"/>
        <w:spacing w:line="264" w:lineRule="auto"/>
        <w:ind w:left="165" w:right="160"/>
        <w:rPr>
          <w:b/>
          <w:color w:val="A80000"/>
          <w:sz w:val="20"/>
          <w:szCs w:val="20"/>
          <w:shd w:val="clear" w:color="auto" w:fill="F2DEDE"/>
        </w:rPr>
      </w:pPr>
      <w:r>
        <w:rPr>
          <w:b/>
          <w:color w:val="A80000"/>
          <w:sz w:val="20"/>
          <w:szCs w:val="20"/>
          <w:shd w:val="clear" w:color="auto" w:fill="F2DEDE"/>
        </w:rPr>
        <w:t>Hazardous Weather Conditions</w:t>
      </w:r>
    </w:p>
    <w:p w:rsidR="00D73D58">
      <w:pPr>
        <w:widowControl w:val="0"/>
        <w:spacing w:line="360" w:lineRule="auto"/>
        <w:ind w:right="160" w:firstLine="180"/>
        <w:rPr>
          <w:sz w:val="16"/>
          <w:szCs w:val="16"/>
          <w:u w:val="single"/>
        </w:rPr>
      </w:pPr>
      <w:r>
        <w:rPr>
          <w:color w:val="A80000"/>
          <w:sz w:val="16"/>
          <w:szCs w:val="16"/>
          <w:u w:val="single"/>
        </w:rPr>
        <w:t>High Wind Warning in effect from June 15, 06:00 AM until June 15, 09:00 PM MDT</w:t>
      </w:r>
    </w:p>
    <w:p w:rsidR="00D73D58"/>
    <w:p w:rsidR="00D73D58">
      <w:pPr>
        <w:rPr>
          <w:b/>
        </w:rPr>
      </w:pPr>
      <w:r>
        <w:rPr>
          <w:b/>
        </w:rPr>
        <w:t>Example of local forecast page for context:</w:t>
      </w:r>
    </w:p>
    <w:p w:rsidR="00D73D58">
      <w:r>
        <w:rPr>
          <w:noProof/>
        </w:rPr>
        <w:drawing>
          <wp:inline distT="114300" distB="114300" distL="114300" distR="114300">
            <wp:extent cx="4431464" cy="4424363"/>
            <wp:effectExtent l="12700" t="12700" r="12700" b="1270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xmlns:r="http://schemas.openxmlformats.org/officeDocument/2006/relationships" r:embed="rId14"/>
                    <a:stretch>
                      <a:fillRect/>
                    </a:stretch>
                  </pic:blipFill>
                  <pic:spPr>
                    <a:xfrm>
                      <a:off x="0" y="0"/>
                      <a:ext cx="4431464" cy="4424363"/>
                    </a:xfrm>
                    <a:prstGeom prst="rect">
                      <a:avLst/>
                    </a:prstGeom>
                    <a:ln w="12700">
                      <a:solidFill>
                        <a:srgbClr val="000000"/>
                      </a:solidFill>
                      <a:prstDash val="solid"/>
                    </a:ln>
                  </pic:spPr>
                </pic:pic>
              </a:graphicData>
            </a:graphic>
          </wp:inline>
        </w:drawing>
      </w:r>
    </w:p>
    <w:p w:rsidR="00D73D58">
      <w:pPr>
        <w:pStyle w:val="Heading2"/>
      </w:pPr>
      <w:bookmarkStart w:id="10" w:name="_2eboci17dk8d" w:colFirst="0" w:colLast="0"/>
      <w:bookmarkEnd w:id="10"/>
      <w:r>
        <w:t>Final Question</w:t>
      </w:r>
    </w:p>
    <w:p w:rsidR="00D73D58"/>
    <w:p w:rsidR="00D73D58">
      <w:pPr>
        <w:numPr>
          <w:ilvl w:val="0"/>
          <w:numId w:val="3"/>
        </w:numPr>
      </w:pPr>
      <w:r>
        <w:t>What can NWS do to improve the way we display our alerts?</w:t>
      </w:r>
    </w:p>
    <w:sectPr>
      <w:footerReference w:type="default" r:id="rId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3D58">
    <w:pPr>
      <w:jc w:val="right"/>
    </w:pPr>
    <w:r>
      <w:fldChar w:fldCharType="begin"/>
    </w:r>
    <w:r>
      <w:instrText>PAGE</w:instrText>
    </w:r>
    <w:r>
      <w:fldChar w:fldCharType="separate"/>
    </w:r>
    <w:r>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E87A3F"/>
    <w:multiLevelType w:val="multilevel"/>
    <w:tmpl w:val="2BBAF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9F2559B"/>
    <w:multiLevelType w:val="multilevel"/>
    <w:tmpl w:val="A5DA234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107085F"/>
    <w:multiLevelType w:val="multilevel"/>
    <w:tmpl w:val="93DE42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D58"/>
    <w:rsid w:val="00080924"/>
    <w:rsid w:val="00D73D5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49BF68CE-07C3-4198-B736-A37D6182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0" w:type="dxa"/>
        <w:right w:w="0" w:type="dxa"/>
      </w:tblCellMar>
    </w:tblPr>
  </w:style>
  <w:style w:type="table" w:customStyle="1" w:styleId="a1">
    <w:name w:val="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footer" Target="footer1.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S. Waddell</dc:creator>
  <cp:lastModifiedBy>Monica S. Waddell</cp:lastModifiedBy>
  <cp:revision>2</cp:revision>
  <dcterms:created xsi:type="dcterms:W3CDTF">2023-03-08T14:22:00Z</dcterms:created>
  <dcterms:modified xsi:type="dcterms:W3CDTF">2023-03-08T14:22:00Z</dcterms:modified>
</cp:coreProperties>
</file>