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45EA" w:rsidRPr="008845EA" w:rsidP="00292152" w14:paraId="3787AB62" w14:textId="77777777">
      <w:pPr>
        <w:pStyle w:val="Heading1"/>
        <w:spacing w:before="0" w:after="0" w:line="240" w:lineRule="auto"/>
        <w:jc w:val="center"/>
        <w:rPr>
          <w:rFonts w:ascii="Times New Roman" w:hAnsi="Times New Roman" w:cs="Times New Roman"/>
          <w:b/>
        </w:rPr>
      </w:pPr>
      <w:r w:rsidRPr="008845EA">
        <w:rPr>
          <w:rFonts w:ascii="Times New Roman" w:hAnsi="Times New Roman" w:cs="Times New Roman"/>
          <w:b/>
          <w:color w:val="000000"/>
          <w:sz w:val="24"/>
          <w:szCs w:val="24"/>
        </w:rPr>
        <w:t>SUPPORTING STATEMENT</w:t>
      </w:r>
    </w:p>
    <w:p w:rsidR="008845EA" w:rsidP="00292152" w14:paraId="6AC6A900" w14:textId="77777777">
      <w:pPr>
        <w:pStyle w:val="NormalWeb"/>
        <w:spacing w:before="0" w:beforeAutospacing="0" w:after="0" w:afterAutospacing="0"/>
        <w:ind w:firstLine="14"/>
        <w:jc w:val="center"/>
      </w:pPr>
      <w:r>
        <w:rPr>
          <w:b/>
          <w:bCs/>
          <w:color w:val="000000"/>
        </w:rPr>
        <w:t>U.S. Department of Commerce</w:t>
      </w:r>
    </w:p>
    <w:p w:rsidR="008845EA" w:rsidP="00292152" w14:paraId="624E57CA" w14:textId="77777777">
      <w:pPr>
        <w:pStyle w:val="NormalWeb"/>
        <w:spacing w:before="0" w:beforeAutospacing="0" w:after="0" w:afterAutospacing="0"/>
        <w:ind w:firstLine="14"/>
        <w:jc w:val="center"/>
      </w:pPr>
      <w:r>
        <w:rPr>
          <w:b/>
          <w:bCs/>
          <w:color w:val="000000"/>
        </w:rPr>
        <w:t>National Oceanic &amp; Atmospheric Administration</w:t>
      </w:r>
    </w:p>
    <w:p w:rsidR="00FD206B" w:rsidRPr="00FD206B" w:rsidP="00292152" w14:paraId="778262D2" w14:textId="77777777">
      <w:pPr>
        <w:pStyle w:val="NormalWeb"/>
        <w:spacing w:before="0" w:beforeAutospacing="0" w:after="0" w:afterAutospacing="0"/>
        <w:ind w:left="-6" w:hanging="6"/>
        <w:jc w:val="center"/>
        <w:rPr>
          <w:b/>
          <w:color w:val="000000"/>
          <w:szCs w:val="20"/>
          <w:shd w:val="clear" w:color="auto" w:fill="FFFFFF"/>
        </w:rPr>
      </w:pPr>
      <w:r w:rsidRPr="00FD206B">
        <w:rPr>
          <w:b/>
          <w:color w:val="000000"/>
          <w:szCs w:val="20"/>
          <w:shd w:val="clear" w:color="auto" w:fill="FFFFFF"/>
        </w:rPr>
        <w:t>National Saltwater Angler Registry and State Exemption Program</w:t>
      </w:r>
    </w:p>
    <w:p w:rsidR="008845EA" w:rsidRPr="008845EA" w:rsidP="00292152" w14:paraId="39A78250" w14:textId="5F090143">
      <w:pPr>
        <w:pStyle w:val="NormalWeb"/>
        <w:spacing w:before="0" w:beforeAutospacing="0" w:after="0" w:afterAutospacing="0"/>
        <w:ind w:left="-6" w:hanging="6"/>
        <w:jc w:val="center"/>
      </w:pPr>
      <w:r>
        <w:rPr>
          <w:b/>
          <w:bCs/>
          <w:color w:val="000000"/>
        </w:rPr>
        <w:t>OMB Control No. 0648-0578</w:t>
      </w:r>
    </w:p>
    <w:p w:rsidR="00680EF1" w:rsidRPr="00BD30D4" w14:paraId="35B4A527"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p>
    <w:p w:rsidR="00680EF1" w:rsidRPr="00BD30D4" w:rsidP="00973A0F" w14:paraId="6E30997D"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b/>
          <w:sz w:val="24"/>
          <w:szCs w:val="24"/>
        </w:rPr>
        <w:t>Abstract</w:t>
      </w:r>
    </w:p>
    <w:p w:rsidR="008845EA" w:rsidRPr="008845EA" w:rsidP="00B53A93" w14:paraId="4991D024" w14:textId="15D38C6F">
      <w:pPr>
        <w:spacing w:line="360" w:lineRule="auto"/>
        <w:ind w:firstLine="720"/>
        <w:rPr>
          <w:rFonts w:ascii="Times New Roman" w:hAnsi="Times New Roman" w:cs="Times New Roman"/>
          <w:sz w:val="24"/>
          <w:szCs w:val="24"/>
        </w:rPr>
      </w:pPr>
      <w:r w:rsidRPr="008845EA">
        <w:rPr>
          <w:rFonts w:ascii="Times New Roman" w:hAnsi="Times New Roman" w:cs="Times New Roman"/>
          <w:sz w:val="24"/>
          <w:szCs w:val="24"/>
        </w:rPr>
        <w:t xml:space="preserve">This request is for </w:t>
      </w:r>
      <w:r w:rsidR="000A20B0">
        <w:rPr>
          <w:rFonts w:ascii="Times New Roman" w:hAnsi="Times New Roman" w:cs="Times New Roman"/>
          <w:sz w:val="24"/>
          <w:szCs w:val="24"/>
        </w:rPr>
        <w:t xml:space="preserve">an </w:t>
      </w:r>
      <w:r w:rsidRPr="008845EA">
        <w:rPr>
          <w:rFonts w:ascii="Times New Roman" w:hAnsi="Times New Roman" w:cs="Times New Roman"/>
          <w:sz w:val="24"/>
          <w:szCs w:val="24"/>
        </w:rPr>
        <w:t>extension of a currently a</w:t>
      </w:r>
      <w:r>
        <w:rPr>
          <w:rFonts w:ascii="Times New Roman" w:hAnsi="Times New Roman" w:cs="Times New Roman"/>
          <w:sz w:val="24"/>
          <w:szCs w:val="24"/>
        </w:rPr>
        <w:t xml:space="preserve">pproved information collection. </w:t>
      </w:r>
      <w:r w:rsidRPr="008845EA">
        <w:rPr>
          <w:rFonts w:ascii="Times New Roman" w:hAnsi="Times New Roman" w:cs="Times New Roman"/>
          <w:sz w:val="24"/>
          <w:szCs w:val="24"/>
        </w:rPr>
        <w:t xml:space="preserve">The National Saltwater Angler </w:t>
      </w:r>
      <w:r w:rsidR="00127341">
        <w:rPr>
          <w:rFonts w:ascii="Times New Roman" w:hAnsi="Times New Roman" w:cs="Times New Roman"/>
          <w:sz w:val="24"/>
          <w:szCs w:val="24"/>
        </w:rPr>
        <w:t>Registry Program</w:t>
      </w:r>
      <w:r w:rsidRPr="008845EA">
        <w:rPr>
          <w:rFonts w:ascii="Times New Roman" w:hAnsi="Times New Roman" w:cs="Times New Roman"/>
          <w:sz w:val="24"/>
          <w:szCs w:val="24"/>
        </w:rPr>
        <w:t xml:space="preserve"> and State Exemption Program (</w:t>
      </w:r>
      <w:r w:rsidR="00127341">
        <w:rPr>
          <w:rFonts w:ascii="Times New Roman" w:hAnsi="Times New Roman" w:cs="Times New Roman"/>
          <w:sz w:val="24"/>
          <w:szCs w:val="24"/>
        </w:rPr>
        <w:t>Registry Program</w:t>
      </w:r>
      <w:r w:rsidRPr="008845EA">
        <w:rPr>
          <w:rFonts w:ascii="Times New Roman" w:hAnsi="Times New Roman" w:cs="Times New Roman"/>
          <w:sz w:val="24"/>
          <w:szCs w:val="24"/>
        </w:rPr>
        <w:t>) was established to implement recommendations included in the review of national saltwater angling data collection programs conduct</w:t>
      </w:r>
      <w:r w:rsidRPr="008845EA">
        <w:rPr>
          <w:rFonts w:ascii="Times New Roman" w:hAnsi="Times New Roman" w:cs="Times New Roman"/>
          <w:sz w:val="24"/>
          <w:szCs w:val="24"/>
        </w:rPr>
        <w:t>ed by the National Research Council (NRC) in 2005/2006, and the provisions of the Magnuson-Stevens Reauthorization Act, codified at Section 401(g) of the Magnuson-Stevens Fishery Conservation and Management Act (MSA), which require the Secretary of Commerc</w:t>
      </w:r>
      <w:r w:rsidRPr="008845EA">
        <w:rPr>
          <w:rFonts w:ascii="Times New Roman" w:hAnsi="Times New Roman" w:cs="Times New Roman"/>
          <w:sz w:val="24"/>
          <w:szCs w:val="24"/>
        </w:rPr>
        <w:t xml:space="preserve">e to commence improvements to recreational fisheries surveys, including establishing a national saltwater angler and for-hire vessel registry, by January 1, 2009. A final rule that includes regulatory measures to implement the </w:t>
      </w:r>
      <w:r w:rsidR="00127341">
        <w:rPr>
          <w:rFonts w:ascii="Times New Roman" w:hAnsi="Times New Roman" w:cs="Times New Roman"/>
          <w:sz w:val="24"/>
          <w:szCs w:val="24"/>
        </w:rPr>
        <w:t>Registry Program</w:t>
      </w:r>
      <w:r w:rsidRPr="008845EA">
        <w:rPr>
          <w:rFonts w:ascii="Times New Roman" w:hAnsi="Times New Roman" w:cs="Times New Roman"/>
          <w:sz w:val="24"/>
          <w:szCs w:val="24"/>
        </w:rPr>
        <w:t xml:space="preserve"> (RIN 0648–AW</w:t>
      </w:r>
      <w:r w:rsidRPr="008845EA">
        <w:rPr>
          <w:rFonts w:ascii="Times New Roman" w:hAnsi="Times New Roman" w:cs="Times New Roman"/>
          <w:sz w:val="24"/>
          <w:szCs w:val="24"/>
        </w:rPr>
        <w:t xml:space="preserve">10) was adopted and codified in 50 CFR 600, subpart P. </w:t>
      </w:r>
    </w:p>
    <w:p w:rsidR="008845EA" w:rsidRPr="008845EA" w:rsidP="00B53A93" w14:paraId="79EAD236" w14:textId="14A9F9DD">
      <w:pPr>
        <w:spacing w:line="360" w:lineRule="auto"/>
        <w:ind w:firstLine="720"/>
        <w:rPr>
          <w:rFonts w:ascii="Times New Roman" w:hAnsi="Times New Roman" w:cs="Times New Roman"/>
          <w:sz w:val="24"/>
          <w:szCs w:val="24"/>
        </w:rPr>
      </w:pPr>
      <w:r w:rsidRPr="008845EA">
        <w:rPr>
          <w:rFonts w:ascii="Times New Roman" w:hAnsi="Times New Roman" w:cs="Times New Roman"/>
          <w:sz w:val="24"/>
          <w:szCs w:val="24"/>
        </w:rPr>
        <w:t xml:space="preserve">The </w:t>
      </w:r>
      <w:r w:rsidR="00127341">
        <w:rPr>
          <w:rFonts w:ascii="Times New Roman" w:hAnsi="Times New Roman" w:cs="Times New Roman"/>
          <w:sz w:val="24"/>
          <w:szCs w:val="24"/>
        </w:rPr>
        <w:t>Registry Program</w:t>
      </w:r>
      <w:r w:rsidRPr="008845EA">
        <w:rPr>
          <w:rFonts w:ascii="Times New Roman" w:hAnsi="Times New Roman" w:cs="Times New Roman"/>
          <w:sz w:val="24"/>
          <w:szCs w:val="24"/>
        </w:rPr>
        <w:t xml:space="preserve"> collects identification and contact information from those anglers and for-hire vessels who are involved in recreational fishing in the United States Exclusive Economic Zone</w:t>
      </w:r>
      <w:r w:rsidR="00292152">
        <w:rPr>
          <w:rFonts w:ascii="Times New Roman" w:hAnsi="Times New Roman" w:cs="Times New Roman"/>
          <w:sz w:val="24"/>
          <w:szCs w:val="24"/>
        </w:rPr>
        <w:t xml:space="preserve"> (EEZ)</w:t>
      </w:r>
      <w:r w:rsidRPr="008845EA">
        <w:rPr>
          <w:rFonts w:ascii="Times New Roman" w:hAnsi="Times New Roman" w:cs="Times New Roman"/>
          <w:sz w:val="24"/>
          <w:szCs w:val="24"/>
        </w:rPr>
        <w:t xml:space="preserve"> or for anadromous fish in any waters, unless the anglers or vessels are exempted from the registration requirement. Data collected includes— for anglers: </w:t>
      </w:r>
      <w:r w:rsidR="00292152">
        <w:rPr>
          <w:rFonts w:ascii="Times New Roman" w:hAnsi="Times New Roman" w:cs="Times New Roman"/>
          <w:sz w:val="24"/>
          <w:szCs w:val="24"/>
        </w:rPr>
        <w:t>n</w:t>
      </w:r>
      <w:r w:rsidRPr="008845EA">
        <w:rPr>
          <w:rFonts w:ascii="Times New Roman" w:hAnsi="Times New Roman" w:cs="Times New Roman"/>
          <w:sz w:val="24"/>
          <w:szCs w:val="24"/>
        </w:rPr>
        <w:t>ame, address, date of birth, telephone contact information and region(s) of the country in which the</w:t>
      </w:r>
      <w:r w:rsidRPr="008845EA">
        <w:rPr>
          <w:rFonts w:ascii="Times New Roman" w:hAnsi="Times New Roman" w:cs="Times New Roman"/>
          <w:sz w:val="24"/>
          <w:szCs w:val="24"/>
        </w:rPr>
        <w:t xml:space="preserve">y fish; for for-hire vessels: </w:t>
      </w:r>
      <w:r w:rsidR="00292152">
        <w:rPr>
          <w:rFonts w:ascii="Times New Roman" w:hAnsi="Times New Roman" w:cs="Times New Roman"/>
          <w:sz w:val="24"/>
          <w:szCs w:val="24"/>
        </w:rPr>
        <w:t>o</w:t>
      </w:r>
      <w:r w:rsidRPr="008845EA">
        <w:rPr>
          <w:rFonts w:ascii="Times New Roman" w:hAnsi="Times New Roman" w:cs="Times New Roman"/>
          <w:sz w:val="24"/>
          <w:szCs w:val="24"/>
        </w:rPr>
        <w:t>wner and operator name, address, date of birth, telephone contact information, email address, vessel name and registration/documentation number and home port or primary operating area. This information is compiled into a nati</w:t>
      </w:r>
      <w:r w:rsidRPr="008845EA">
        <w:rPr>
          <w:rFonts w:ascii="Times New Roman" w:hAnsi="Times New Roman" w:cs="Times New Roman"/>
          <w:sz w:val="24"/>
          <w:szCs w:val="24"/>
        </w:rPr>
        <w:t xml:space="preserve">onal and/or series of regional registries that is being used to support surveys of recreational anglers and for-hire vessels to develop estimates of recreational angling effort. </w:t>
      </w:r>
    </w:p>
    <w:p w:rsidR="00680EF1" w:rsidRPr="00BD30D4" w14:paraId="35EC7B68" w14:textId="77777777">
      <w:pPr>
        <w:spacing w:before="240" w:after="240"/>
        <w:rPr>
          <w:rFonts w:ascii="Times New Roman" w:hAnsi="Times New Roman" w:cs="Times New Roman"/>
          <w:b/>
          <w:sz w:val="24"/>
          <w:szCs w:val="24"/>
        </w:rPr>
      </w:pPr>
      <w:r w:rsidRPr="00BD30D4">
        <w:rPr>
          <w:rFonts w:ascii="Times New Roman" w:hAnsi="Times New Roman" w:cs="Times New Roman"/>
          <w:b/>
          <w:sz w:val="24"/>
          <w:szCs w:val="24"/>
        </w:rPr>
        <w:t>Justification</w:t>
      </w:r>
    </w:p>
    <w:p w:rsidR="00680EF1" w:rsidRPr="00BD30D4" w:rsidP="00973A0F" w14:paraId="4C4710C2" w14:textId="77777777">
      <w:pPr>
        <w:spacing w:before="180" w:line="256" w:lineRule="auto"/>
        <w:ind w:left="140"/>
        <w:rPr>
          <w:rFonts w:ascii="Times New Roman" w:eastAsia="Times New Roman" w:hAnsi="Times New Roman" w:cs="Times New Roman"/>
          <w:b/>
          <w:sz w:val="24"/>
          <w:szCs w:val="24"/>
        </w:rPr>
      </w:pPr>
      <w:r w:rsidRPr="00BD30D4">
        <w:rPr>
          <w:rFonts w:ascii="Times New Roman" w:hAnsi="Times New Roman" w:cs="Times New Roman"/>
          <w:b/>
          <w:sz w:val="24"/>
          <w:szCs w:val="24"/>
        </w:rPr>
        <w:t xml:space="preserve">1. </w:t>
      </w:r>
      <w:r w:rsidRPr="00BD30D4">
        <w:rPr>
          <w:rFonts w:ascii="Times New Roman" w:eastAsia="Times New Roman" w:hAnsi="Times New Roman" w:cs="Times New Roman"/>
          <w:b/>
          <w:sz w:val="24"/>
          <w:szCs w:val="24"/>
        </w:rPr>
        <w:t>Explain the circumstances that make the collection of inform</w:t>
      </w:r>
      <w:r w:rsidRPr="00BD30D4">
        <w:rPr>
          <w:rFonts w:ascii="Times New Roman" w:eastAsia="Times New Roman" w:hAnsi="Times New Roman" w:cs="Times New Roman"/>
          <w:b/>
          <w:sz w:val="24"/>
          <w:szCs w:val="24"/>
        </w:rPr>
        <w:t xml:space="preserve">ation necessary. Identify any legal or administrative requirements that necessitate the collection. Attach a copy of </w:t>
      </w:r>
      <w:r w:rsidRPr="00BD30D4">
        <w:rPr>
          <w:rFonts w:ascii="Times New Roman" w:eastAsia="Times New Roman" w:hAnsi="Times New Roman" w:cs="Times New Roman"/>
          <w:b/>
          <w:sz w:val="24"/>
          <w:szCs w:val="24"/>
        </w:rPr>
        <w:t>the appropriate section of each statute and regulation mandating or authorizing the collection of information.</w:t>
      </w:r>
    </w:p>
    <w:p w:rsidR="00973A0F" w:rsidRPr="00BD30D4" w:rsidP="00973A0F" w14:paraId="5D5AC35B" w14:textId="77777777">
      <w:pPr>
        <w:spacing w:before="180" w:line="256" w:lineRule="auto"/>
        <w:ind w:left="140"/>
        <w:rPr>
          <w:rFonts w:ascii="Times New Roman" w:eastAsia="Times New Roman" w:hAnsi="Times New Roman" w:cs="Times New Roman"/>
          <w:b/>
          <w:sz w:val="24"/>
          <w:szCs w:val="24"/>
        </w:rPr>
      </w:pPr>
    </w:p>
    <w:p w:rsidR="00680EF1" w:rsidRPr="00BD30D4" w14:paraId="7E0574F0" w14:textId="332E6EF5">
      <w:pPr>
        <w:rPr>
          <w:rFonts w:ascii="Times New Roman" w:hAnsi="Times New Roman" w:cs="Times New Roman"/>
          <w:sz w:val="24"/>
          <w:szCs w:val="24"/>
        </w:rPr>
      </w:pPr>
      <w:r w:rsidRPr="00BD30D4">
        <w:rPr>
          <w:rFonts w:ascii="Times New Roman" w:hAnsi="Times New Roman" w:cs="Times New Roman"/>
          <w:sz w:val="24"/>
          <w:szCs w:val="24"/>
        </w:rPr>
        <w:t>The National Saltwater Angl</w:t>
      </w:r>
      <w:r w:rsidRPr="00BD30D4">
        <w:rPr>
          <w:rFonts w:ascii="Times New Roman" w:hAnsi="Times New Roman" w:cs="Times New Roman"/>
          <w:sz w:val="24"/>
          <w:szCs w:val="24"/>
        </w:rPr>
        <w:t>er Registry and State Exemption Program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was established to implement recommendations included in the review of national saltwater angling data collection programs conducted by the National Research Council (NRC) in 2005/2006, and the pro</w:t>
      </w:r>
      <w:r w:rsidRPr="00BD30D4">
        <w:rPr>
          <w:rFonts w:ascii="Times New Roman" w:hAnsi="Times New Roman" w:cs="Times New Roman"/>
          <w:sz w:val="24"/>
          <w:szCs w:val="24"/>
        </w:rPr>
        <w:t>visions of the Magnuson-Stevens Reauthorization Act, codified at Section 401(g) of the</w:t>
      </w:r>
      <w:hyperlink r:id="rId4">
        <w:r w:rsidRPr="00BD30D4">
          <w:rPr>
            <w:rFonts w:ascii="Times New Roman" w:hAnsi="Times New Roman" w:cs="Times New Roman"/>
            <w:sz w:val="24"/>
            <w:szCs w:val="24"/>
          </w:rPr>
          <w:t xml:space="preserve"> </w:t>
        </w:r>
      </w:hyperlink>
      <w:hyperlink r:id="rId4">
        <w:r w:rsidRPr="00BD30D4">
          <w:rPr>
            <w:rFonts w:ascii="Times New Roman" w:hAnsi="Times New Roman" w:cs="Times New Roman"/>
            <w:color w:val="0070C0"/>
            <w:sz w:val="24"/>
            <w:szCs w:val="24"/>
            <w:u w:val="single"/>
          </w:rPr>
          <w:t>Magnuson-Stevens Fishery Conservation and Management Act</w:t>
        </w:r>
      </w:hyperlink>
      <w:r w:rsidRPr="00BD30D4">
        <w:rPr>
          <w:rFonts w:ascii="Times New Roman" w:hAnsi="Times New Roman" w:cs="Times New Roman"/>
          <w:color w:val="0070C0"/>
          <w:sz w:val="24"/>
          <w:szCs w:val="24"/>
          <w:u w:val="single"/>
        </w:rPr>
        <w:t xml:space="preserve"> </w:t>
      </w:r>
      <w:r w:rsidRPr="00BD30D4">
        <w:rPr>
          <w:rFonts w:ascii="Times New Roman" w:hAnsi="Times New Roman" w:cs="Times New Roman"/>
          <w:sz w:val="24"/>
          <w:szCs w:val="24"/>
        </w:rPr>
        <w:t>(MSA), which requires the Secretary of Commerce to establish a program to improve recreational fisheries s</w:t>
      </w:r>
      <w:r w:rsidRPr="00BD30D4">
        <w:rPr>
          <w:rFonts w:ascii="Times New Roman" w:hAnsi="Times New Roman" w:cs="Times New Roman"/>
          <w:sz w:val="24"/>
          <w:szCs w:val="24"/>
        </w:rPr>
        <w:t xml:space="preserve">urveys, including establishing a national saltwater angler and for-hire vessel registry, by January 1, 2009.  A final rule to adopt regulatory measures to implement the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xml:space="preserve"> (Regulation Identifier Number (RIN) 0648-AW10) was published in the </w:t>
      </w:r>
      <w:r w:rsidRPr="00BD30D4">
        <w:rPr>
          <w:rFonts w:ascii="Times New Roman" w:hAnsi="Times New Roman" w:cs="Times New Roman"/>
          <w:sz w:val="24"/>
          <w:szCs w:val="24"/>
          <w:u w:val="single"/>
        </w:rPr>
        <w:t>Fe</w:t>
      </w:r>
      <w:r w:rsidRPr="00BD30D4">
        <w:rPr>
          <w:rFonts w:ascii="Times New Roman" w:hAnsi="Times New Roman" w:cs="Times New Roman"/>
          <w:sz w:val="24"/>
          <w:szCs w:val="24"/>
          <w:u w:val="single"/>
        </w:rPr>
        <w:t>deral Register</w:t>
      </w:r>
      <w:r w:rsidRPr="00BD30D4">
        <w:rPr>
          <w:rFonts w:ascii="Times New Roman" w:hAnsi="Times New Roman" w:cs="Times New Roman"/>
          <w:sz w:val="24"/>
          <w:szCs w:val="24"/>
        </w:rPr>
        <w:t xml:space="preserve"> on December 30, 2008, and became effective on January 29, 2009 (</w:t>
      </w:r>
      <w:hyperlink r:id="rId5">
        <w:r w:rsidRPr="00BD30D4">
          <w:rPr>
            <w:rFonts w:ascii="Times New Roman" w:hAnsi="Times New Roman" w:cs="Times New Roman"/>
            <w:color w:val="1155CC"/>
            <w:sz w:val="24"/>
            <w:szCs w:val="24"/>
            <w:u w:val="single"/>
          </w:rPr>
          <w:t>50 CFR 600 Subpart P</w:t>
        </w:r>
      </w:hyperlink>
      <w:r w:rsidRPr="00BD30D4">
        <w:rPr>
          <w:rFonts w:ascii="Times New Roman" w:hAnsi="Times New Roman" w:cs="Times New Roman"/>
          <w:sz w:val="24"/>
          <w:szCs w:val="24"/>
        </w:rPr>
        <w:t xml:space="preserve">). </w:t>
      </w:r>
    </w:p>
    <w:p w:rsidR="00680EF1" w:rsidRPr="00BD30D4" w14:paraId="32641732" w14:textId="068ECFD7">
      <w:pPr>
        <w:spacing w:before="240" w:after="240"/>
        <w:rPr>
          <w:rFonts w:ascii="Times New Roman" w:hAnsi="Times New Roman" w:cs="Times New Roman"/>
          <w:sz w:val="24"/>
          <w:szCs w:val="24"/>
        </w:rPr>
      </w:pPr>
      <w:r>
        <w:rPr>
          <w:rFonts w:ascii="Times New Roman" w:hAnsi="Times New Roman" w:cs="Times New Roman"/>
          <w:sz w:val="24"/>
          <w:szCs w:val="24"/>
        </w:rPr>
        <w:t>The NRC review found th</w:t>
      </w:r>
      <w:r>
        <w:rPr>
          <w:rFonts w:ascii="Times New Roman" w:hAnsi="Times New Roman" w:cs="Times New Roman"/>
          <w:sz w:val="24"/>
          <w:szCs w:val="24"/>
        </w:rPr>
        <w:t xml:space="preserve">at </w:t>
      </w:r>
      <w:r w:rsidRPr="00BD30D4" w:rsidR="007C1D6B">
        <w:rPr>
          <w:rFonts w:ascii="Times New Roman" w:hAnsi="Times New Roman" w:cs="Times New Roman"/>
          <w:sz w:val="24"/>
          <w:szCs w:val="24"/>
        </w:rPr>
        <w:t>recreational survey approaches in use at the time of the review, which relied on random contacts with residents of coastal county households to collect marine recreational fishing effort data, resulted in significant survey over-coverage since relatively few households contain active anglers, and under-coverage since some anglers do not live in coastal counties or they live in coastal counties but do not have landline telephones.  The review advised that over-coverage results in severe sampling inefficiency and that under-coverage may lead to serious bias in the resultant effort estimates since anglers from non-coastal counties are likely to have different effort characteristics than those from coastal counties.  To resolve these problems, the NRC Panel recommended the development of, and subsequent sampling from, a comprehensive national saltwater angler register.  Such a sampling frame could be developed either by implementing a federal registration requirement or by expanding current state saltwater licenses to include all saltwater anglers</w:t>
      </w:r>
    </w:p>
    <w:p w:rsidR="00680EF1" w:rsidRPr="00BD30D4" w:rsidP="00973A0F" w14:paraId="44DAA451" w14:textId="609A99BE">
      <w:pPr>
        <w:spacing w:before="240" w:after="240"/>
        <w:rPr>
          <w:rFonts w:ascii="Times New Roman" w:hAnsi="Times New Roman" w:cs="Times New Roman"/>
          <w:sz w:val="24"/>
          <w:szCs w:val="24"/>
        </w:rPr>
      </w:pPr>
      <w:r w:rsidRPr="00BD30D4">
        <w:rPr>
          <w:rFonts w:ascii="Times New Roman" w:hAnsi="Times New Roman" w:cs="Times New Roman"/>
          <w:sz w:val="24"/>
          <w:szCs w:val="24"/>
        </w:rPr>
        <w:t>In response to the NRC Panel’s findings and recommendations, Congress passed</w:t>
      </w:r>
      <w:hyperlink r:id="rId4">
        <w:r w:rsidRPr="00BD30D4">
          <w:rPr>
            <w:rFonts w:ascii="Times New Roman" w:hAnsi="Times New Roman" w:cs="Times New Roman"/>
            <w:sz w:val="24"/>
            <w:szCs w:val="24"/>
          </w:rPr>
          <w:t xml:space="preserve"> </w:t>
        </w:r>
      </w:hyperlink>
      <w:hyperlink r:id="rId4">
        <w:r w:rsidRPr="00BD30D4">
          <w:rPr>
            <w:rFonts w:ascii="Times New Roman" w:hAnsi="Times New Roman" w:cs="Times New Roman"/>
            <w:color w:val="1155CC"/>
            <w:sz w:val="24"/>
            <w:szCs w:val="24"/>
            <w:u w:val="single"/>
          </w:rPr>
          <w:t>MSA</w:t>
        </w:r>
      </w:hyperlink>
      <w:r w:rsidRPr="00BD30D4">
        <w:rPr>
          <w:rFonts w:ascii="Times New Roman" w:hAnsi="Times New Roman" w:cs="Times New Roman"/>
          <w:sz w:val="24"/>
          <w:szCs w:val="24"/>
        </w:rPr>
        <w:t xml:space="preserve"> §401(g), which mandated the Secretary of Commerce to establish a program to: 1) improve the quality and accuracy of current estimates of marine recreational fishing catch and effort, 2) to do so in a ma</w:t>
      </w:r>
      <w:r w:rsidRPr="00BD30D4">
        <w:rPr>
          <w:rFonts w:ascii="Times New Roman" w:hAnsi="Times New Roman" w:cs="Times New Roman"/>
          <w:sz w:val="24"/>
          <w:szCs w:val="24"/>
        </w:rPr>
        <w:t xml:space="preserve">nner that considers and, to the extent feasible, incorporates the NRC Panel’s recommendations, and 3) to establish the program by January 1, 2009.  The program was established as the Marine Recreational Information Program (MRIP) upon adoption of the MRIP </w:t>
      </w:r>
      <w:r w:rsidRPr="00BD30D4">
        <w:rPr>
          <w:rFonts w:ascii="Times New Roman" w:hAnsi="Times New Roman" w:cs="Times New Roman"/>
          <w:sz w:val="24"/>
          <w:szCs w:val="24"/>
        </w:rPr>
        <w:t>Implementation Plan in October, 2008.  As part of MRIP, MSA §401(g)(1) requires the Secretary to implement a federal requirement for anglers and for-hire vessels to register, and to provide identification and contact information if they fish in the U.S. EE</w:t>
      </w:r>
      <w:r w:rsidRPr="00BD30D4">
        <w:rPr>
          <w:rFonts w:ascii="Times New Roman" w:hAnsi="Times New Roman" w:cs="Times New Roman"/>
          <w:sz w:val="24"/>
          <w:szCs w:val="24"/>
        </w:rPr>
        <w:t>Z for Continental Shelf Resources beyond the EEZ or for anadromous fish (i.e.</w:t>
      </w:r>
      <w:r w:rsidR="00292152">
        <w:rPr>
          <w:rFonts w:ascii="Times New Roman" w:hAnsi="Times New Roman" w:cs="Times New Roman"/>
          <w:sz w:val="24"/>
          <w:szCs w:val="24"/>
        </w:rPr>
        <w:t>,</w:t>
      </w:r>
      <w:r w:rsidRPr="00BD30D4">
        <w:rPr>
          <w:rFonts w:ascii="Times New Roman" w:hAnsi="Times New Roman" w:cs="Times New Roman"/>
          <w:sz w:val="24"/>
          <w:szCs w:val="24"/>
        </w:rPr>
        <w:t xml:space="preserve"> those fish such as salmon, sturgeon, striped bass and shad which migrate from ocean and coastal waters to estuaries and freshwater rivers to spawn) in any waters.  Further, the </w:t>
      </w:r>
      <w:r w:rsidRPr="00BD30D4">
        <w:rPr>
          <w:rFonts w:ascii="Times New Roman" w:hAnsi="Times New Roman" w:cs="Times New Roman"/>
          <w:sz w:val="24"/>
          <w:szCs w:val="24"/>
        </w:rPr>
        <w:t xml:space="preserve">Secretary is to exempt from the federal registration requirement those anglers and vessels that are licensed or registered by a state if the state provides sufficient identification and contact information for use in recreational surveys.  The </w:t>
      </w:r>
      <w:r w:rsidRPr="00BD30D4">
        <w:rPr>
          <w:rFonts w:ascii="Times New Roman" w:hAnsi="Times New Roman" w:cs="Times New Roman"/>
          <w:sz w:val="24"/>
          <w:szCs w:val="24"/>
        </w:rPr>
        <w:t>resultant fe</w:t>
      </w:r>
      <w:r w:rsidRPr="00BD30D4">
        <w:rPr>
          <w:rFonts w:ascii="Times New Roman" w:hAnsi="Times New Roman" w:cs="Times New Roman"/>
          <w:sz w:val="24"/>
          <w:szCs w:val="24"/>
        </w:rPr>
        <w:t xml:space="preserve">deral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xml:space="preserve"> must address both the qualifications and procedures for exempting qualified states’ anglers and vessels from the federal registration requirement and the process for federal registration of anglers and vessels that are not exempted.</w:t>
      </w:r>
    </w:p>
    <w:p w:rsidR="00680EF1" w:rsidRPr="00BD30D4" w14:paraId="12DE9863" w14:textId="40A244B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Accordingly, the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xml:space="preserve"> collects identification and contact information from those anglers and for-hire vessels who are involved in recreational fishing in the U</w:t>
      </w:r>
      <w:r w:rsidR="00292152">
        <w:rPr>
          <w:rFonts w:ascii="Times New Roman" w:hAnsi="Times New Roman" w:cs="Times New Roman"/>
          <w:sz w:val="24"/>
          <w:szCs w:val="24"/>
        </w:rPr>
        <w:t>.</w:t>
      </w:r>
      <w:r w:rsidRPr="00BD30D4">
        <w:rPr>
          <w:rFonts w:ascii="Times New Roman" w:hAnsi="Times New Roman" w:cs="Times New Roman"/>
          <w:sz w:val="24"/>
          <w:szCs w:val="24"/>
        </w:rPr>
        <w:t>S</w:t>
      </w:r>
      <w:r w:rsidR="00292152">
        <w:rPr>
          <w:rFonts w:ascii="Times New Roman" w:hAnsi="Times New Roman" w:cs="Times New Roman"/>
          <w:sz w:val="24"/>
          <w:szCs w:val="24"/>
        </w:rPr>
        <w:t>.</w:t>
      </w:r>
      <w:r w:rsidRPr="00BD30D4">
        <w:rPr>
          <w:rFonts w:ascii="Times New Roman" w:hAnsi="Times New Roman" w:cs="Times New Roman"/>
          <w:sz w:val="24"/>
          <w:szCs w:val="24"/>
        </w:rPr>
        <w:t xml:space="preserve"> EEZ or for anadromous fish in any waters, unless the anglers or vessels are exemp</w:t>
      </w:r>
      <w:r w:rsidRPr="00BD30D4">
        <w:rPr>
          <w:rFonts w:ascii="Times New Roman" w:hAnsi="Times New Roman" w:cs="Times New Roman"/>
          <w:sz w:val="24"/>
          <w:szCs w:val="24"/>
        </w:rPr>
        <w:t>ted from the registration requirement.  The data that will be collected will include:  for anglers – name, address, date of birth, telephone contact information, e-mail address and region(s) of the country in which they fish; for for-hire vessels – owner a</w:t>
      </w:r>
      <w:r w:rsidRPr="00BD30D4">
        <w:rPr>
          <w:rFonts w:ascii="Times New Roman" w:hAnsi="Times New Roman" w:cs="Times New Roman"/>
          <w:sz w:val="24"/>
          <w:szCs w:val="24"/>
        </w:rPr>
        <w:t>nd operator name, address, date of birth, telephone contact information, e-mail address, vessel name and registration/documentation number and home port or primary operating area.  This information is compiled in a national and/or series of regional regist</w:t>
      </w:r>
      <w:r w:rsidRPr="00BD30D4">
        <w:rPr>
          <w:rFonts w:ascii="Times New Roman" w:hAnsi="Times New Roman" w:cs="Times New Roman"/>
          <w:sz w:val="24"/>
          <w:szCs w:val="24"/>
        </w:rPr>
        <w:t>ries that are used to support surveys of recreational anglers and for-hire vessels to develop estimates of recreational angling effort.</w:t>
      </w:r>
    </w:p>
    <w:p w:rsidR="00680EF1" w:rsidRPr="00BD30D4" w14:paraId="0088C318" w14:textId="77777777">
      <w:pPr>
        <w:pStyle w:val="Heading1"/>
        <w:keepNext w:val="0"/>
        <w:keepLines w:val="0"/>
        <w:spacing w:before="200" w:after="0"/>
        <w:ind w:left="140"/>
        <w:rPr>
          <w:rFonts w:ascii="Times New Roman" w:eastAsia="Times New Roman" w:hAnsi="Times New Roman" w:cs="Times New Roman"/>
          <w:b/>
          <w:sz w:val="24"/>
          <w:szCs w:val="24"/>
        </w:rPr>
      </w:pPr>
      <w:bookmarkStart w:id="0" w:name="_xcf36s585jwu" w:colFirst="0" w:colLast="0"/>
      <w:bookmarkEnd w:id="0"/>
      <w:r w:rsidRPr="00BD30D4">
        <w:rPr>
          <w:rFonts w:ascii="Times New Roman" w:hAnsi="Times New Roman" w:cs="Times New Roman"/>
          <w:b/>
          <w:sz w:val="24"/>
          <w:szCs w:val="24"/>
        </w:rPr>
        <w:t xml:space="preserve">2.  </w:t>
      </w:r>
      <w:r w:rsidRPr="00BD30D4">
        <w:rPr>
          <w:rFonts w:ascii="Times New Roman" w:eastAsia="Times New Roman" w:hAnsi="Times New Roman" w:cs="Times New Roman"/>
          <w:b/>
          <w:sz w:val="24"/>
          <w:szCs w:val="24"/>
        </w:rPr>
        <w:t>Indicate how, by whom, and for what purpose the information is to be used. Except for a new collection, indicate the</w:t>
      </w:r>
      <w:r w:rsidRPr="00BD30D4">
        <w:rPr>
          <w:rFonts w:ascii="Times New Roman" w:eastAsia="Times New Roman" w:hAnsi="Times New Roman" w:cs="Times New Roman"/>
          <w:b/>
          <w:sz w:val="24"/>
          <w:szCs w:val="24"/>
        </w:rPr>
        <w:t xml:space="preserve"> actual use the agency has made of the information received from the current collection.</w:t>
      </w:r>
    </w:p>
    <w:p w:rsidR="00680EF1" w:rsidRPr="00BD30D4" w14:paraId="3A60F531" w14:textId="0EEED506">
      <w:pPr>
        <w:spacing w:before="240" w:after="240"/>
        <w:rPr>
          <w:rFonts w:ascii="Times New Roman" w:hAnsi="Times New Roman" w:cs="Times New Roman"/>
          <w:sz w:val="24"/>
          <w:szCs w:val="24"/>
        </w:rPr>
      </w:pPr>
      <w:r w:rsidRPr="00BD30D4">
        <w:rPr>
          <w:rFonts w:ascii="Times New Roman" w:hAnsi="Times New Roman" w:cs="Times New Roman"/>
          <w:sz w:val="24"/>
          <w:szCs w:val="24"/>
        </w:rPr>
        <w:t>The data are used continuously by the National Marine Fisheries Service (NMFS), and those states and regional data collection partnerships that conduct surveys of mari</w:t>
      </w:r>
      <w:r w:rsidRPr="00BD30D4">
        <w:rPr>
          <w:rFonts w:ascii="Times New Roman" w:hAnsi="Times New Roman" w:cs="Times New Roman"/>
          <w:sz w:val="24"/>
          <w:szCs w:val="24"/>
        </w:rPr>
        <w:t>ne recreational</w:t>
      </w:r>
      <w:r w:rsidR="004C2FC9">
        <w:rPr>
          <w:rFonts w:ascii="Times New Roman" w:hAnsi="Times New Roman" w:cs="Times New Roman"/>
          <w:sz w:val="24"/>
          <w:szCs w:val="24"/>
        </w:rPr>
        <w:t xml:space="preserve"> </w:t>
      </w:r>
      <w:r w:rsidRPr="00BD30D4">
        <w:rPr>
          <w:rFonts w:ascii="Times New Roman" w:hAnsi="Times New Roman" w:cs="Times New Roman"/>
          <w:sz w:val="24"/>
          <w:szCs w:val="24"/>
        </w:rPr>
        <w:t>angling.  Anglers and for-hire vessel operators are randomly selected from the registries and asked to provide information about recent fishing activity.  The identification, date of birth and address information in the registry database is</w:t>
      </w:r>
      <w:r w:rsidRPr="00BD30D4">
        <w:rPr>
          <w:rFonts w:ascii="Times New Roman" w:hAnsi="Times New Roman" w:cs="Times New Roman"/>
          <w:sz w:val="24"/>
          <w:szCs w:val="24"/>
        </w:rPr>
        <w:t xml:space="preserve"> used to identify the resultant survey record, and to eliminate duplicative registrations that could bias resultant survey data.  In the Marine Recreational Information Program (MRIP) Fishing Effort Survey (FES), this information is matched to address samp</w:t>
      </w:r>
      <w:r w:rsidRPr="00BD30D4">
        <w:rPr>
          <w:rFonts w:ascii="Times New Roman" w:hAnsi="Times New Roman" w:cs="Times New Roman"/>
          <w:sz w:val="24"/>
          <w:szCs w:val="24"/>
        </w:rPr>
        <w:t xml:space="preserve">les selected from the U.S. Postal Service Delivery Sequence File (DSF), which enables differential sampling rates between matched (registered) and unmatched addresses and improves the efficiency of sampling. In the MRIP </w:t>
      </w:r>
      <w:r w:rsidR="00292152">
        <w:rPr>
          <w:rFonts w:ascii="Times New Roman" w:hAnsi="Times New Roman" w:cs="Times New Roman"/>
          <w:sz w:val="24"/>
          <w:szCs w:val="24"/>
        </w:rPr>
        <w:t>FES</w:t>
      </w:r>
      <w:r w:rsidRPr="00BD30D4">
        <w:rPr>
          <w:rFonts w:ascii="Times New Roman" w:hAnsi="Times New Roman" w:cs="Times New Roman"/>
          <w:sz w:val="24"/>
          <w:szCs w:val="24"/>
        </w:rPr>
        <w:t xml:space="preserve">, licensed vessels are contacted </w:t>
      </w:r>
      <w:r w:rsidRPr="00BD30D4">
        <w:rPr>
          <w:rFonts w:ascii="Times New Roman" w:hAnsi="Times New Roman" w:cs="Times New Roman"/>
          <w:sz w:val="24"/>
          <w:szCs w:val="24"/>
        </w:rPr>
        <w:t>by telephone to request information about recent fishing activity.  The contact information in the registry database is utilized to make actual telephone or mail contact for the purpose of interviewing the anglers and for-hire vessel operators in these sur</w:t>
      </w:r>
      <w:r w:rsidRPr="00BD30D4">
        <w:rPr>
          <w:rFonts w:ascii="Times New Roman" w:hAnsi="Times New Roman" w:cs="Times New Roman"/>
          <w:sz w:val="24"/>
          <w:szCs w:val="24"/>
        </w:rPr>
        <w:t>veys.</w:t>
      </w:r>
    </w:p>
    <w:p w:rsidR="00680EF1" w:rsidRPr="00BD30D4" w14:paraId="34AB3AC5" w14:textId="77777777">
      <w:pPr>
        <w:ind w:right="540"/>
        <w:rPr>
          <w:rFonts w:ascii="Times New Roman" w:hAnsi="Times New Roman" w:cs="Times New Roman"/>
          <w:sz w:val="24"/>
          <w:szCs w:val="24"/>
        </w:rPr>
      </w:pPr>
      <w:r w:rsidRPr="00BD30D4">
        <w:rPr>
          <w:rFonts w:ascii="Times New Roman" w:hAnsi="Times New Roman" w:cs="Times New Roman"/>
          <w:sz w:val="24"/>
          <w:szCs w:val="24"/>
        </w:rPr>
        <w:t>These survey-based data collection methods are described in separate information collection requests for the Marine Recreational Information Program Fishing Effort Survey and the For-Hire Telephone Survey, which have been previously described and app</w:t>
      </w:r>
      <w:r w:rsidRPr="00BD30D4">
        <w:rPr>
          <w:rFonts w:ascii="Times New Roman" w:hAnsi="Times New Roman" w:cs="Times New Roman"/>
          <w:sz w:val="24"/>
          <w:szCs w:val="24"/>
        </w:rPr>
        <w:t>roved pursuant to Office of Management and Budget (OMB) Control Nos. 0648-0652 and 0648-0709, respectively.</w:t>
      </w:r>
    </w:p>
    <w:p w:rsidR="00973A0F" w:rsidRPr="00BD30D4" w:rsidP="00973A0F" w14:paraId="27FA712F" w14:textId="77777777">
      <w:pPr>
        <w:ind w:right="540"/>
        <w:rPr>
          <w:rFonts w:ascii="Times New Roman" w:hAnsi="Times New Roman" w:cs="Times New Roman"/>
          <w:sz w:val="24"/>
          <w:szCs w:val="24"/>
        </w:rPr>
      </w:pPr>
      <w:r w:rsidRPr="00BD30D4">
        <w:rPr>
          <w:rFonts w:ascii="Times New Roman" w:hAnsi="Times New Roman" w:cs="Times New Roman"/>
          <w:sz w:val="24"/>
          <w:szCs w:val="24"/>
        </w:rPr>
        <w:t xml:space="preserve"> </w:t>
      </w:r>
    </w:p>
    <w:p w:rsidR="00680EF1" w:rsidRPr="00BD30D4" w:rsidP="00973A0F" w14:paraId="4DD4D4D7" w14:textId="0EDF983B">
      <w:pPr>
        <w:ind w:right="540"/>
        <w:rPr>
          <w:rFonts w:ascii="Times New Roman" w:hAnsi="Times New Roman" w:cs="Times New Roman"/>
          <w:sz w:val="24"/>
          <w:szCs w:val="24"/>
        </w:rPr>
      </w:pPr>
      <w:r w:rsidRPr="00BD30D4">
        <w:rPr>
          <w:rFonts w:ascii="Times New Roman" w:hAnsi="Times New Roman" w:cs="Times New Roman"/>
          <w:sz w:val="24"/>
          <w:szCs w:val="24"/>
        </w:rPr>
        <w:t>The registries are also being used for other OMB-approved angler surveys on a case-by-case basis.  These include use as sample frames for OMB-appr</w:t>
      </w:r>
      <w:r w:rsidRPr="00BD30D4">
        <w:rPr>
          <w:rFonts w:ascii="Times New Roman" w:hAnsi="Times New Roman" w:cs="Times New Roman"/>
          <w:sz w:val="24"/>
          <w:szCs w:val="24"/>
        </w:rPr>
        <w:t xml:space="preserve">oved social and economic </w:t>
      </w:r>
      <w:r w:rsidRPr="00BD30D4">
        <w:rPr>
          <w:rFonts w:ascii="Times New Roman" w:hAnsi="Times New Roman" w:cs="Times New Roman"/>
          <w:sz w:val="24"/>
          <w:szCs w:val="24"/>
        </w:rPr>
        <w:t>surveys, for example the 2019 Angler Durable Good expenditure survey (nationwide), and the 2022 Angler Trip expenditure survey (nationwide).  Such surveys are required pursuant to the Magnuson-Stevens Fishery Conservation and Manag</w:t>
      </w:r>
      <w:r w:rsidRPr="00BD30D4">
        <w:rPr>
          <w:rFonts w:ascii="Times New Roman" w:hAnsi="Times New Roman" w:cs="Times New Roman"/>
          <w:sz w:val="24"/>
          <w:szCs w:val="24"/>
        </w:rPr>
        <w:t>ement Reauthorization Act of 2006 and various fisheries regulations being considered or implemented.  The surveys collect socio-economic data to be used in fishery policy decisions (such as bag limits, size limits</w:t>
      </w:r>
      <w:r w:rsidR="004F1F27">
        <w:rPr>
          <w:rFonts w:ascii="Times New Roman" w:hAnsi="Times New Roman" w:cs="Times New Roman"/>
          <w:sz w:val="24"/>
          <w:szCs w:val="24"/>
        </w:rPr>
        <w:t>,</w:t>
      </w:r>
      <w:r w:rsidRPr="00BD30D4">
        <w:rPr>
          <w:rFonts w:ascii="Times New Roman" w:hAnsi="Times New Roman" w:cs="Times New Roman"/>
          <w:sz w:val="24"/>
          <w:szCs w:val="24"/>
        </w:rPr>
        <w:t xml:space="preserve"> etc</w:t>
      </w:r>
      <w:r w:rsidRPr="00BD30D4" w:rsidR="0013336E">
        <w:rPr>
          <w:rFonts w:ascii="Times New Roman" w:hAnsi="Times New Roman" w:cs="Times New Roman"/>
          <w:sz w:val="24"/>
          <w:szCs w:val="24"/>
        </w:rPr>
        <w:t>.</w:t>
      </w:r>
      <w:r w:rsidRPr="00BD30D4">
        <w:rPr>
          <w:rFonts w:ascii="Times New Roman" w:hAnsi="Times New Roman" w:cs="Times New Roman"/>
          <w:sz w:val="24"/>
          <w:szCs w:val="24"/>
        </w:rPr>
        <w:t>) to determine how anglers and relate</w:t>
      </w:r>
      <w:r w:rsidRPr="00BD30D4">
        <w:rPr>
          <w:rFonts w:ascii="Times New Roman" w:hAnsi="Times New Roman" w:cs="Times New Roman"/>
          <w:sz w:val="24"/>
          <w:szCs w:val="24"/>
        </w:rPr>
        <w:t xml:space="preserve">d businesses will change their behavior as a result of the proposed policy and how those behavioral changes affect the local or national economy. </w:t>
      </w:r>
    </w:p>
    <w:p w:rsidR="0013336E" w:rsidRPr="00BD30D4" w:rsidP="00973A0F" w14:paraId="78F621DB" w14:textId="77777777">
      <w:pPr>
        <w:ind w:right="540"/>
        <w:rPr>
          <w:rFonts w:ascii="Times New Roman" w:hAnsi="Times New Roman" w:cs="Times New Roman"/>
          <w:sz w:val="24"/>
          <w:szCs w:val="24"/>
        </w:rPr>
      </w:pPr>
    </w:p>
    <w:p w:rsidR="00680EF1" w:rsidRPr="00BD30D4" w14:paraId="157DC207" w14:textId="77777777">
      <w:pPr>
        <w:rPr>
          <w:rFonts w:ascii="Times New Roman" w:hAnsi="Times New Roman" w:cs="Times New Roman"/>
          <w:sz w:val="24"/>
          <w:szCs w:val="24"/>
        </w:rPr>
      </w:pPr>
      <w:r w:rsidRPr="00BD30D4">
        <w:rPr>
          <w:rFonts w:ascii="Times New Roman" w:hAnsi="Times New Roman" w:cs="Times New Roman"/>
          <w:sz w:val="24"/>
          <w:szCs w:val="24"/>
        </w:rPr>
        <w:t xml:space="preserve">The </w:t>
      </w:r>
      <w:r w:rsidRPr="00BD30D4" w:rsidR="007C1D6B">
        <w:rPr>
          <w:rFonts w:ascii="Times New Roman" w:hAnsi="Times New Roman" w:cs="Times New Roman"/>
          <w:sz w:val="24"/>
          <w:szCs w:val="24"/>
        </w:rPr>
        <w:t>National Oceanic and Atmospheric Administration (NOAA),</w:t>
      </w:r>
      <w:hyperlink r:id="rId6">
        <w:r w:rsidRPr="00BD30D4" w:rsidR="007C1D6B">
          <w:rPr>
            <w:rFonts w:ascii="Times New Roman" w:hAnsi="Times New Roman" w:cs="Times New Roman"/>
            <w:sz w:val="24"/>
            <w:szCs w:val="24"/>
          </w:rPr>
          <w:t xml:space="preserve"> </w:t>
        </w:r>
      </w:hyperlink>
      <w:hyperlink r:id="rId6">
        <w:r w:rsidRPr="00BD30D4" w:rsidR="007C1D6B">
          <w:rPr>
            <w:rFonts w:ascii="Times New Roman" w:hAnsi="Times New Roman" w:cs="Times New Roman"/>
            <w:sz w:val="24"/>
            <w:szCs w:val="24"/>
            <w:u w:val="single"/>
          </w:rPr>
          <w:t>National Marine Fisheries Service</w:t>
        </w:r>
      </w:hyperlink>
      <w:r w:rsidRPr="00BD30D4" w:rsidR="007C1D6B">
        <w:rPr>
          <w:rFonts w:ascii="Times New Roman" w:hAnsi="Times New Roman" w:cs="Times New Roman"/>
          <w:sz w:val="24"/>
          <w:szCs w:val="24"/>
        </w:rPr>
        <w:t xml:space="preserve"> (NMFS) retains control over the information and safeguards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w:t>
      </w:r>
      <w:hyperlink r:id="rId7">
        <w:r w:rsidRPr="00BD30D4" w:rsidR="007C1D6B">
          <w:rPr>
            <w:rFonts w:ascii="Times New Roman" w:hAnsi="Times New Roman" w:cs="Times New Roman"/>
            <w:sz w:val="24"/>
            <w:szCs w:val="24"/>
          </w:rPr>
          <w:t xml:space="preserve"> </w:t>
        </w:r>
      </w:hyperlink>
      <w:hyperlink r:id="rId7">
        <w:r w:rsidRPr="00BD30D4" w:rsidR="007C1D6B">
          <w:rPr>
            <w:rFonts w:ascii="Times New Roman" w:hAnsi="Times New Roman" w:cs="Times New Roman"/>
            <w:color w:val="0070C0"/>
            <w:sz w:val="24"/>
            <w:szCs w:val="24"/>
            <w:u w:val="single"/>
          </w:rPr>
          <w:t>Section 515 of Public Law 106-554</w:t>
        </w:r>
      </w:hyperlink>
      <w:r w:rsidRPr="00BD30D4" w:rsidR="007C1D6B">
        <w:rPr>
          <w:rFonts w:ascii="Times New Roman" w:hAnsi="Times New Roman" w:cs="Times New Roman"/>
          <w:sz w:val="24"/>
          <w:szCs w:val="24"/>
        </w:rPr>
        <w:t>.</w:t>
      </w:r>
    </w:p>
    <w:p w:rsidR="00680EF1" w:rsidRPr="00BD30D4" w14:paraId="14893693" w14:textId="77777777">
      <w:pPr>
        <w:rPr>
          <w:rFonts w:ascii="Times New Roman" w:hAnsi="Times New Roman" w:cs="Times New Roman"/>
          <w:sz w:val="24"/>
          <w:szCs w:val="24"/>
        </w:rPr>
      </w:pPr>
      <w:r w:rsidRPr="00BD30D4">
        <w:rPr>
          <w:rFonts w:ascii="Times New Roman" w:hAnsi="Times New Roman" w:cs="Times New Roman"/>
          <w:sz w:val="24"/>
          <w:szCs w:val="24"/>
        </w:rPr>
        <w:t xml:space="preserve"> </w:t>
      </w:r>
    </w:p>
    <w:tbl>
      <w:tblPr>
        <w:tblStyle w:val="a"/>
        <w:tblW w:w="9625" w:type="dxa"/>
        <w:tblBorders>
          <w:top w:val="nil"/>
          <w:left w:val="nil"/>
          <w:bottom w:val="nil"/>
          <w:right w:val="nil"/>
          <w:insideH w:val="nil"/>
          <w:insideV w:val="nil"/>
        </w:tblBorders>
        <w:tblLayout w:type="fixed"/>
        <w:tblLook w:val="0600"/>
      </w:tblPr>
      <w:tblGrid>
        <w:gridCol w:w="985"/>
        <w:gridCol w:w="1980"/>
        <w:gridCol w:w="2340"/>
        <w:gridCol w:w="1980"/>
        <w:gridCol w:w="2340"/>
      </w:tblGrid>
      <w:tr w14:paraId="38C32873" w14:textId="77777777" w:rsidTr="004F1F27">
        <w:tblPrEx>
          <w:tblW w:w="9625" w:type="dxa"/>
          <w:tblBorders>
            <w:top w:val="nil"/>
            <w:left w:val="nil"/>
            <w:bottom w:val="nil"/>
            <w:right w:val="nil"/>
            <w:insideH w:val="nil"/>
            <w:insideV w:val="nil"/>
          </w:tblBorders>
          <w:tblLayout w:type="fixed"/>
          <w:tblLook w:val="0600"/>
        </w:tblPrEx>
        <w:trPr>
          <w:trHeight w:val="575"/>
        </w:trPr>
        <w:tc>
          <w:tcPr>
            <w:tcW w:w="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rsidR="004F1F27" w:rsidRPr="004F1F27" w:rsidP="004F1F27" w14:paraId="577CC4D4" w14:textId="77777777">
            <w:pPr>
              <w:spacing w:before="240" w:after="240"/>
              <w:jc w:val="center"/>
              <w:rPr>
                <w:rFonts w:eastAsia="Times New Roman" w:asciiTheme="majorHAnsi" w:hAnsiTheme="majorHAnsi" w:cstheme="majorHAnsi"/>
                <w:b/>
                <w:color w:val="2F5496"/>
                <w:sz w:val="20"/>
                <w:szCs w:val="20"/>
              </w:rPr>
            </w:pPr>
            <w:r w:rsidRPr="004F1F27">
              <w:rPr>
                <w:rFonts w:eastAsia="Times New Roman" w:asciiTheme="majorHAnsi" w:hAnsiTheme="majorHAnsi" w:cstheme="majorHAnsi"/>
                <w:b/>
                <w:color w:val="2F5496"/>
                <w:sz w:val="20"/>
                <w:szCs w:val="20"/>
              </w:rPr>
              <w:t>Item #</w:t>
            </w:r>
          </w:p>
        </w:tc>
        <w:tc>
          <w:tcPr>
            <w:tcW w:w="1980" w:type="dxa"/>
            <w:tcBorders>
              <w:top w:val="single" w:sz="4" w:space="0" w:color="000000"/>
              <w:left w:val="nil"/>
              <w:bottom w:val="single" w:sz="4" w:space="0" w:color="000000"/>
              <w:right w:val="single" w:sz="4" w:space="0" w:color="000000"/>
            </w:tcBorders>
            <w:shd w:val="clear" w:color="auto" w:fill="DEEAF6"/>
            <w:tcMar>
              <w:top w:w="0" w:type="dxa"/>
              <w:left w:w="0" w:type="dxa"/>
              <w:bottom w:w="0" w:type="dxa"/>
              <w:right w:w="0" w:type="dxa"/>
            </w:tcMar>
            <w:vAlign w:val="center"/>
          </w:tcPr>
          <w:p w:rsidR="004F1F27" w:rsidRPr="004F1F27" w:rsidP="004F1F27" w14:paraId="24F0DCAE" w14:textId="4FC78421">
            <w:pPr>
              <w:spacing w:before="20" w:after="240"/>
              <w:jc w:val="center"/>
              <w:rPr>
                <w:rFonts w:eastAsia="Times New Roman" w:asciiTheme="majorHAnsi" w:hAnsiTheme="majorHAnsi" w:cstheme="majorHAnsi"/>
                <w:b/>
                <w:color w:val="2F5496"/>
                <w:sz w:val="20"/>
                <w:szCs w:val="20"/>
              </w:rPr>
            </w:pPr>
            <w:r w:rsidRPr="004F1F27">
              <w:rPr>
                <w:rFonts w:eastAsia="Times New Roman" w:asciiTheme="majorHAnsi" w:hAnsiTheme="majorHAnsi" w:cstheme="majorHAnsi"/>
                <w:b/>
                <w:color w:val="2F5496"/>
                <w:sz w:val="20"/>
                <w:szCs w:val="20"/>
              </w:rPr>
              <w:t>Requirement</w:t>
            </w:r>
          </w:p>
        </w:tc>
        <w:tc>
          <w:tcPr>
            <w:tcW w:w="2340" w:type="dxa"/>
            <w:tcBorders>
              <w:top w:val="single" w:sz="4" w:space="0" w:color="000000"/>
              <w:left w:val="nil"/>
              <w:bottom w:val="single" w:sz="4" w:space="0" w:color="000000"/>
              <w:right w:val="single" w:sz="4" w:space="0" w:color="000000"/>
            </w:tcBorders>
            <w:shd w:val="clear" w:color="auto" w:fill="DEEAF6"/>
            <w:tcMar>
              <w:top w:w="0" w:type="dxa"/>
              <w:left w:w="0" w:type="dxa"/>
              <w:bottom w:w="0" w:type="dxa"/>
              <w:right w:w="0" w:type="dxa"/>
            </w:tcMar>
            <w:vAlign w:val="center"/>
          </w:tcPr>
          <w:p w:rsidR="004F1F27" w:rsidRPr="004F1F27" w:rsidP="004F1F27" w14:paraId="32888BD5" w14:textId="77777777">
            <w:pPr>
              <w:spacing w:before="240" w:after="240"/>
              <w:jc w:val="center"/>
              <w:rPr>
                <w:rFonts w:eastAsia="Times New Roman" w:asciiTheme="majorHAnsi" w:hAnsiTheme="majorHAnsi" w:cstheme="majorHAnsi"/>
                <w:b/>
                <w:color w:val="2F5496"/>
                <w:sz w:val="20"/>
                <w:szCs w:val="20"/>
              </w:rPr>
            </w:pPr>
            <w:r w:rsidRPr="004F1F27">
              <w:rPr>
                <w:rFonts w:eastAsia="Times New Roman" w:asciiTheme="majorHAnsi" w:hAnsiTheme="majorHAnsi" w:cstheme="majorHAnsi"/>
                <w:b/>
                <w:color w:val="2F5496"/>
                <w:sz w:val="20"/>
                <w:szCs w:val="20"/>
              </w:rPr>
              <w:t>Statute</w:t>
            </w:r>
          </w:p>
        </w:tc>
        <w:tc>
          <w:tcPr>
            <w:tcW w:w="1980" w:type="dxa"/>
            <w:tcBorders>
              <w:top w:val="single" w:sz="4" w:space="0" w:color="000000"/>
              <w:left w:val="nil"/>
              <w:bottom w:val="single" w:sz="4" w:space="0" w:color="000000"/>
              <w:right w:val="single" w:sz="4" w:space="0" w:color="000000"/>
            </w:tcBorders>
            <w:shd w:val="clear" w:color="auto" w:fill="DEEAF6"/>
            <w:tcMar>
              <w:top w:w="0" w:type="dxa"/>
              <w:left w:w="0" w:type="dxa"/>
              <w:bottom w:w="0" w:type="dxa"/>
              <w:right w:w="0" w:type="dxa"/>
            </w:tcMar>
            <w:vAlign w:val="center"/>
          </w:tcPr>
          <w:p w:rsidR="004F1F27" w:rsidRPr="004F1F27" w:rsidP="004F1F27" w14:paraId="4FBE71C6" w14:textId="77777777">
            <w:pPr>
              <w:spacing w:before="240" w:after="240"/>
              <w:jc w:val="center"/>
              <w:rPr>
                <w:rFonts w:eastAsia="Times New Roman" w:asciiTheme="majorHAnsi" w:hAnsiTheme="majorHAnsi" w:cstheme="majorHAnsi"/>
                <w:b/>
                <w:color w:val="2F5496"/>
                <w:sz w:val="20"/>
                <w:szCs w:val="20"/>
              </w:rPr>
            </w:pPr>
            <w:r w:rsidRPr="004F1F27">
              <w:rPr>
                <w:rFonts w:eastAsia="Times New Roman" w:asciiTheme="majorHAnsi" w:hAnsiTheme="majorHAnsi" w:cstheme="majorHAnsi"/>
                <w:b/>
                <w:color w:val="2F5496"/>
                <w:sz w:val="20"/>
                <w:szCs w:val="20"/>
              </w:rPr>
              <w:t>Regulation</w:t>
            </w:r>
          </w:p>
        </w:tc>
        <w:tc>
          <w:tcPr>
            <w:tcW w:w="2340" w:type="dxa"/>
            <w:tcBorders>
              <w:top w:val="single" w:sz="4" w:space="0" w:color="000000"/>
              <w:left w:val="nil"/>
              <w:bottom w:val="single" w:sz="4" w:space="0" w:color="000000"/>
              <w:right w:val="single" w:sz="4" w:space="0" w:color="000000"/>
            </w:tcBorders>
            <w:shd w:val="clear" w:color="auto" w:fill="DEEAF6"/>
            <w:tcMar>
              <w:top w:w="0" w:type="dxa"/>
              <w:left w:w="0" w:type="dxa"/>
              <w:bottom w:w="0" w:type="dxa"/>
              <w:right w:w="0" w:type="dxa"/>
            </w:tcMar>
            <w:vAlign w:val="center"/>
          </w:tcPr>
          <w:p w:rsidR="004F1F27" w:rsidRPr="004F1F27" w:rsidP="004F1F27" w14:paraId="4A018E76" w14:textId="77777777">
            <w:pPr>
              <w:spacing w:before="240" w:after="240"/>
              <w:jc w:val="center"/>
              <w:rPr>
                <w:rFonts w:eastAsia="Times New Roman" w:asciiTheme="majorHAnsi" w:hAnsiTheme="majorHAnsi" w:cstheme="majorHAnsi"/>
                <w:b/>
                <w:color w:val="2F5496"/>
                <w:sz w:val="20"/>
                <w:szCs w:val="20"/>
              </w:rPr>
            </w:pPr>
            <w:r w:rsidRPr="004F1F27">
              <w:rPr>
                <w:rFonts w:eastAsia="Times New Roman" w:asciiTheme="majorHAnsi" w:hAnsiTheme="majorHAnsi" w:cstheme="majorHAnsi"/>
                <w:b/>
                <w:color w:val="2F5496"/>
                <w:sz w:val="20"/>
                <w:szCs w:val="20"/>
              </w:rPr>
              <w:t>Needs and Uses</w:t>
            </w:r>
          </w:p>
        </w:tc>
      </w:tr>
      <w:tr w14:paraId="7EA2F0BC" w14:textId="77777777" w:rsidTr="004F1F27">
        <w:tblPrEx>
          <w:tblW w:w="9625" w:type="dxa"/>
          <w:tblLayout w:type="fixed"/>
          <w:tblLook w:val="0600"/>
        </w:tblPrEx>
        <w:trPr>
          <w:trHeight w:val="1610"/>
        </w:trPr>
        <w:tc>
          <w:tcPr>
            <w:tcW w:w="98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F1F27" w:rsidRPr="004F1F27" w:rsidP="004F1F27" w14:paraId="39C37E20" w14:textId="77777777">
            <w:pPr>
              <w:spacing w:after="240"/>
              <w:rPr>
                <w:rFonts w:eastAsia="Times New Roman" w:asciiTheme="majorHAnsi" w:hAnsiTheme="majorHAnsi" w:cstheme="majorHAnsi"/>
                <w:b/>
                <w:sz w:val="20"/>
                <w:szCs w:val="20"/>
              </w:rPr>
            </w:pPr>
            <w:r w:rsidRPr="004F1F27">
              <w:rPr>
                <w:rFonts w:eastAsia="Times New Roman" w:asciiTheme="majorHAnsi" w:hAnsiTheme="majorHAnsi" w:cstheme="majorHAnsi"/>
                <w:b/>
                <w:sz w:val="20"/>
                <w:szCs w:val="20"/>
              </w:rPr>
              <w:t xml:space="preserve"> </w:t>
            </w:r>
            <w:r w:rsidRPr="004F1F27">
              <w:rPr>
                <w:rFonts w:eastAsia="Times New Roman" w:asciiTheme="majorHAnsi" w:hAnsiTheme="majorHAnsi" w:cstheme="majorHAnsi"/>
                <w:color w:val="2F5496"/>
                <w:sz w:val="20"/>
                <w:szCs w:val="20"/>
              </w:rPr>
              <w:t>1</w:t>
            </w:r>
          </w:p>
        </w:tc>
        <w:tc>
          <w:tcPr>
            <w:tcW w:w="198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1BCA609A" w14:textId="77777777">
            <w:pPr>
              <w:spacing w:after="240"/>
              <w:rPr>
                <w:rFonts w:eastAsia="Times New Roman" w:asciiTheme="majorHAnsi" w:hAnsiTheme="majorHAnsi" w:cstheme="majorHAnsi"/>
                <w:b/>
                <w:sz w:val="20"/>
                <w:szCs w:val="20"/>
              </w:rPr>
            </w:pPr>
            <w:r w:rsidRPr="004F1F27">
              <w:rPr>
                <w:rFonts w:eastAsia="Times New Roman" w:asciiTheme="majorHAnsi" w:hAnsiTheme="majorHAnsi" w:cstheme="majorHAnsi"/>
                <w:b/>
                <w:sz w:val="20"/>
                <w:szCs w:val="20"/>
              </w:rPr>
              <w:t xml:space="preserve"> </w:t>
            </w:r>
            <w:r w:rsidRPr="004F1F27">
              <w:rPr>
                <w:rFonts w:eastAsia="Times New Roman" w:asciiTheme="majorHAnsi" w:hAnsiTheme="majorHAnsi" w:cstheme="majorHAnsi"/>
                <w:sz w:val="20"/>
                <w:szCs w:val="20"/>
              </w:rPr>
              <w:t xml:space="preserve">Anglers submit name, </w:t>
            </w:r>
            <w:r w:rsidRPr="004F1F27">
              <w:rPr>
                <w:rFonts w:eastAsia="Times New Roman" w:asciiTheme="majorHAnsi" w:hAnsiTheme="majorHAnsi" w:cstheme="majorHAnsi"/>
                <w:sz w:val="20"/>
                <w:szCs w:val="20"/>
              </w:rPr>
              <w:t>address, DOB, telephone number and fishing location.</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3DE8B8A8" w14:textId="47686317">
            <w:pPr>
              <w:spacing w:after="240"/>
              <w:rPr>
                <w:rFonts w:eastAsia="Times New Roman" w:asciiTheme="majorHAnsi" w:hAnsiTheme="majorHAnsi" w:cstheme="majorHAnsi"/>
                <w:b/>
                <w:sz w:val="20"/>
                <w:szCs w:val="20"/>
              </w:rPr>
            </w:pPr>
            <w:r w:rsidRPr="004F1F27">
              <w:rPr>
                <w:rFonts w:eastAsia="Times New Roman" w:asciiTheme="majorHAnsi" w:hAnsiTheme="majorHAnsi" w:cstheme="majorHAnsi"/>
                <w:sz w:val="20"/>
                <w:szCs w:val="20"/>
              </w:rPr>
              <w:t>16 U.S.C. 1881.409-479</w:t>
            </w:r>
          </w:p>
        </w:tc>
        <w:tc>
          <w:tcPr>
            <w:tcW w:w="198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2400CE2A" w14:textId="5FDA4CC3">
            <w:pPr>
              <w:spacing w:after="240"/>
              <w:rPr>
                <w:rFonts w:eastAsia="Times New Roman" w:asciiTheme="majorHAnsi" w:hAnsiTheme="majorHAnsi" w:cstheme="majorHAnsi"/>
                <w:sz w:val="20"/>
                <w:szCs w:val="20"/>
              </w:rPr>
            </w:pPr>
            <w:r w:rsidRPr="004F1F27">
              <w:rPr>
                <w:rFonts w:eastAsia="Times New Roman" w:asciiTheme="majorHAnsi" w:hAnsiTheme="majorHAnsi" w:cstheme="majorHAnsi"/>
                <w:sz w:val="20"/>
                <w:szCs w:val="20"/>
              </w:rPr>
              <w:t>50 CFR 600 Subpart P</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5318EF58" w14:textId="77777777">
            <w:pPr>
              <w:spacing w:after="240"/>
              <w:rPr>
                <w:rFonts w:eastAsia="Times New Roman" w:asciiTheme="majorHAnsi" w:hAnsiTheme="majorHAnsi" w:cstheme="majorHAnsi"/>
                <w:sz w:val="20"/>
                <w:szCs w:val="20"/>
              </w:rPr>
            </w:pPr>
            <w:r w:rsidRPr="004F1F27">
              <w:rPr>
                <w:rFonts w:eastAsia="Times New Roman" w:asciiTheme="majorHAnsi" w:hAnsiTheme="majorHAnsi" w:cstheme="majorHAnsi"/>
                <w:sz w:val="20"/>
                <w:szCs w:val="20"/>
              </w:rPr>
              <w:t xml:space="preserve"> Used by NMFS to develop estimates of fishing effort in private boat and shore fishing modes.</w:t>
            </w:r>
          </w:p>
        </w:tc>
      </w:tr>
      <w:tr w14:paraId="0C39D8EF" w14:textId="77777777" w:rsidTr="004F1F27">
        <w:tblPrEx>
          <w:tblW w:w="9625" w:type="dxa"/>
          <w:tblLayout w:type="fixed"/>
          <w:tblLook w:val="0600"/>
        </w:tblPrEx>
        <w:trPr>
          <w:trHeight w:val="2150"/>
        </w:trPr>
        <w:tc>
          <w:tcPr>
            <w:tcW w:w="985"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4F1F27" w:rsidRPr="004F1F27" w:rsidP="004F1F27" w14:paraId="4BFA6078" w14:textId="77777777">
            <w:pPr>
              <w:spacing w:after="240"/>
              <w:rPr>
                <w:rFonts w:eastAsia="Times New Roman" w:asciiTheme="majorHAnsi" w:hAnsiTheme="majorHAnsi" w:cstheme="majorHAnsi"/>
                <w:b/>
                <w:sz w:val="20"/>
                <w:szCs w:val="20"/>
              </w:rPr>
            </w:pPr>
            <w:r w:rsidRPr="004F1F27">
              <w:rPr>
                <w:rFonts w:eastAsia="Times New Roman" w:asciiTheme="majorHAnsi" w:hAnsiTheme="majorHAnsi" w:cstheme="majorHAnsi"/>
                <w:b/>
                <w:sz w:val="20"/>
                <w:szCs w:val="20"/>
              </w:rPr>
              <w:t xml:space="preserve"> </w:t>
            </w:r>
            <w:r w:rsidRPr="004F1F27">
              <w:rPr>
                <w:rFonts w:eastAsia="Times New Roman" w:asciiTheme="majorHAnsi" w:hAnsiTheme="majorHAnsi" w:cstheme="majorHAnsi"/>
                <w:sz w:val="20"/>
                <w:szCs w:val="20"/>
              </w:rPr>
              <w:t>2</w:t>
            </w:r>
          </w:p>
        </w:tc>
        <w:tc>
          <w:tcPr>
            <w:tcW w:w="198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5F53C551" w14:textId="77777777">
            <w:pPr>
              <w:spacing w:after="240"/>
              <w:rPr>
                <w:rFonts w:eastAsia="Times New Roman" w:asciiTheme="majorHAnsi" w:hAnsiTheme="majorHAnsi" w:cstheme="majorHAnsi"/>
                <w:b/>
                <w:sz w:val="20"/>
                <w:szCs w:val="20"/>
              </w:rPr>
            </w:pPr>
            <w:r w:rsidRPr="004F1F27">
              <w:rPr>
                <w:rFonts w:eastAsia="Times New Roman" w:asciiTheme="majorHAnsi" w:hAnsiTheme="majorHAnsi" w:cstheme="majorHAnsi"/>
                <w:sz w:val="20"/>
                <w:szCs w:val="20"/>
              </w:rPr>
              <w:t xml:space="preserve">For hire fishing vessels owners or operators submit name, </w:t>
            </w:r>
            <w:r w:rsidRPr="004F1F27">
              <w:rPr>
                <w:rFonts w:eastAsia="Times New Roman" w:asciiTheme="majorHAnsi" w:hAnsiTheme="majorHAnsi" w:cstheme="majorHAnsi"/>
                <w:sz w:val="20"/>
                <w:szCs w:val="20"/>
              </w:rPr>
              <w:t>address, DOB, telephone number, vessel ID #, and fishing locations</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2BC59995" w14:textId="2E22E263">
            <w:pPr>
              <w:spacing w:after="240"/>
              <w:rPr>
                <w:rFonts w:eastAsia="Times New Roman" w:asciiTheme="majorHAnsi" w:hAnsiTheme="majorHAnsi" w:cstheme="majorHAnsi"/>
                <w:b/>
                <w:sz w:val="20"/>
                <w:szCs w:val="20"/>
              </w:rPr>
            </w:pPr>
            <w:r w:rsidRPr="004F1F27">
              <w:rPr>
                <w:rFonts w:eastAsia="Times New Roman" w:asciiTheme="majorHAnsi" w:hAnsiTheme="majorHAnsi" w:cstheme="majorHAnsi"/>
                <w:sz w:val="20"/>
                <w:szCs w:val="20"/>
              </w:rPr>
              <w:t>16 U.S.C. 1881,409-479</w:t>
            </w:r>
          </w:p>
        </w:tc>
        <w:tc>
          <w:tcPr>
            <w:tcW w:w="198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56A1A4D8" w14:textId="27D20A69">
            <w:pPr>
              <w:spacing w:after="240"/>
              <w:rPr>
                <w:rFonts w:eastAsia="Times New Roman" w:asciiTheme="majorHAnsi" w:hAnsiTheme="majorHAnsi" w:cstheme="majorHAnsi"/>
                <w:sz w:val="20"/>
                <w:szCs w:val="20"/>
              </w:rPr>
            </w:pPr>
            <w:r w:rsidRPr="004F1F27">
              <w:rPr>
                <w:rFonts w:eastAsia="Times New Roman" w:asciiTheme="majorHAnsi" w:hAnsiTheme="majorHAnsi" w:cstheme="majorHAnsi"/>
                <w:sz w:val="20"/>
                <w:szCs w:val="20"/>
              </w:rPr>
              <w:t>50 CFR 600 Subpart P</w:t>
            </w:r>
          </w:p>
        </w:tc>
        <w:tc>
          <w:tcPr>
            <w:tcW w:w="2340" w:type="dxa"/>
            <w:tcBorders>
              <w:top w:val="nil"/>
              <w:left w:val="nil"/>
              <w:bottom w:val="single" w:sz="4" w:space="0" w:color="000000"/>
              <w:right w:val="single" w:sz="4" w:space="0" w:color="000000"/>
            </w:tcBorders>
            <w:tcMar>
              <w:top w:w="0" w:type="dxa"/>
              <w:left w:w="0" w:type="dxa"/>
              <w:bottom w:w="0" w:type="dxa"/>
              <w:right w:w="0" w:type="dxa"/>
            </w:tcMar>
          </w:tcPr>
          <w:p w:rsidR="004F1F27" w:rsidRPr="004F1F27" w:rsidP="004F1F27" w14:paraId="6C3D718B" w14:textId="13D94680">
            <w:pPr>
              <w:spacing w:before="240" w:after="240" w:line="240" w:lineRule="auto"/>
              <w:rPr>
                <w:rFonts w:eastAsia="Times New Roman" w:asciiTheme="majorHAnsi" w:hAnsiTheme="majorHAnsi" w:cstheme="majorHAnsi"/>
                <w:b/>
                <w:sz w:val="20"/>
                <w:szCs w:val="20"/>
              </w:rPr>
            </w:pPr>
            <w:r w:rsidRPr="004F1F27">
              <w:rPr>
                <w:rFonts w:eastAsia="Times New Roman" w:asciiTheme="majorHAnsi" w:hAnsiTheme="majorHAnsi" w:cstheme="majorHAnsi"/>
                <w:sz w:val="20"/>
                <w:szCs w:val="20"/>
              </w:rPr>
              <w:t>Used by NMFS to develop estimates of fishing effort in for hire shore fishing modes</w:t>
            </w:r>
          </w:p>
        </w:tc>
      </w:tr>
    </w:tbl>
    <w:p w:rsidR="00680EF1" w:rsidRPr="00BD30D4" w14:paraId="224410FB" w14:textId="77777777">
      <w:pPr>
        <w:rPr>
          <w:rFonts w:ascii="Times New Roman" w:hAnsi="Times New Roman" w:cs="Times New Roman"/>
          <w:sz w:val="24"/>
          <w:szCs w:val="24"/>
        </w:rPr>
      </w:pPr>
      <w:r w:rsidRPr="00BD30D4">
        <w:rPr>
          <w:rFonts w:ascii="Times New Roman" w:hAnsi="Times New Roman" w:cs="Times New Roman"/>
          <w:sz w:val="24"/>
          <w:szCs w:val="24"/>
        </w:rPr>
        <w:t xml:space="preserve"> </w:t>
      </w:r>
    </w:p>
    <w:p w:rsidR="00680EF1" w:rsidRPr="00BD30D4" w:rsidP="00887E90" w14:paraId="284C43F4" w14:textId="77777777">
      <w:pPr>
        <w:pStyle w:val="Heading1"/>
        <w:keepNext w:val="0"/>
        <w:keepLines w:val="0"/>
        <w:spacing w:before="200" w:after="0"/>
        <w:ind w:left="140"/>
        <w:rPr>
          <w:rFonts w:ascii="Times New Roman" w:eastAsia="Times New Roman" w:hAnsi="Times New Roman" w:cs="Times New Roman"/>
          <w:b/>
          <w:sz w:val="24"/>
          <w:szCs w:val="24"/>
        </w:rPr>
      </w:pPr>
      <w:r w:rsidRPr="00127341">
        <w:rPr>
          <w:rFonts w:ascii="Times New Roman" w:hAnsi="Times New Roman" w:cs="Times New Roman"/>
          <w:b/>
          <w:sz w:val="24"/>
          <w:szCs w:val="24"/>
        </w:rPr>
        <w:t xml:space="preserve">3.  Describe whether, and to what extent, the collection </w:t>
      </w:r>
      <w:r w:rsidRPr="00127341">
        <w:rPr>
          <w:rFonts w:ascii="Times New Roman" w:hAnsi="Times New Roman" w:cs="Times New Roman"/>
          <w:b/>
          <w:sz w:val="24"/>
          <w:szCs w:val="24"/>
        </w:rPr>
        <w:t>of information involves the use of automated, electronic, mechanical, or other technological collection techniques or other forms of information technology, e.g. permitting electronic submission of responses, and</w:t>
      </w:r>
      <w:r w:rsidRPr="00BD30D4">
        <w:rPr>
          <w:rFonts w:ascii="Times New Roman" w:eastAsia="Times New Roman" w:hAnsi="Times New Roman" w:cs="Times New Roman"/>
          <w:b/>
          <w:sz w:val="24"/>
          <w:szCs w:val="24"/>
        </w:rPr>
        <w:t xml:space="preserve"> </w:t>
      </w:r>
      <w:r w:rsidRPr="00BD30D4">
        <w:rPr>
          <w:rFonts w:ascii="Times New Roman" w:eastAsia="Times New Roman" w:hAnsi="Times New Roman" w:cs="Times New Roman"/>
          <w:b/>
          <w:sz w:val="24"/>
          <w:szCs w:val="24"/>
        </w:rPr>
        <w:t>the basis for the decision for adopting thi</w:t>
      </w:r>
      <w:r w:rsidRPr="00BD30D4">
        <w:rPr>
          <w:rFonts w:ascii="Times New Roman" w:eastAsia="Times New Roman" w:hAnsi="Times New Roman" w:cs="Times New Roman"/>
          <w:b/>
          <w:sz w:val="24"/>
          <w:szCs w:val="24"/>
        </w:rPr>
        <w:t>s means of collection. Also, describe any consideration of using information technology to reduce burden.</w:t>
      </w:r>
    </w:p>
    <w:p w:rsidR="00134685" w:rsidRPr="00134685" w:rsidP="00134685" w14:paraId="493C7438" w14:textId="6759A8B8">
      <w:pPr>
        <w:spacing w:before="200"/>
        <w:rPr>
          <w:rFonts w:ascii="Times New Roman" w:eastAsia="Times New Roman" w:hAnsi="Times New Roman" w:cs="Times New Roman"/>
          <w:b/>
          <w:sz w:val="24"/>
          <w:szCs w:val="24"/>
        </w:rPr>
      </w:pPr>
      <w:r w:rsidRPr="00BD30D4">
        <w:rPr>
          <w:rFonts w:ascii="Times New Roman" w:hAnsi="Times New Roman" w:cs="Times New Roman"/>
          <w:sz w:val="24"/>
          <w:szCs w:val="24"/>
        </w:rPr>
        <w:t>Information on registering, and the site for electronic registration is at</w:t>
      </w:r>
      <w:hyperlink r:id="rId8">
        <w:r w:rsidRPr="00BD30D4">
          <w:rPr>
            <w:rFonts w:ascii="Times New Roman" w:hAnsi="Times New Roman" w:cs="Times New Roman"/>
            <w:sz w:val="24"/>
            <w:szCs w:val="24"/>
          </w:rPr>
          <w:t xml:space="preserve"> </w:t>
        </w:r>
      </w:hyperlink>
      <w:r w:rsidRPr="00BD30D4">
        <w:rPr>
          <w:rFonts w:ascii="Times New Roman" w:hAnsi="Times New Roman" w:cs="Times New Roman"/>
          <w:sz w:val="24"/>
          <w:szCs w:val="24"/>
          <w:u w:val="single"/>
        </w:rPr>
        <w:t>.</w:t>
      </w:r>
      <w:r w:rsidRPr="00BD30D4">
        <w:rPr>
          <w:rFonts w:ascii="Times New Roman" w:hAnsi="Times New Roman" w:cs="Times New Roman"/>
          <w:sz w:val="24"/>
          <w:szCs w:val="24"/>
          <w:u w:val="single"/>
        </w:rPr>
        <w:t xml:space="preserve">  https://www.fisheries.noaa.gov/recreational-fishing-data/national-saltwater-angler-registry</w:t>
      </w:r>
    </w:p>
    <w:p w:rsidR="00680EF1" w:rsidRPr="00BD30D4" w14:paraId="01E07668" w14:textId="2870620E">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All </w:t>
      </w:r>
      <w:r w:rsidR="00127341">
        <w:rPr>
          <w:rFonts w:ascii="Times New Roman" w:hAnsi="Times New Roman" w:cs="Times New Roman"/>
          <w:sz w:val="24"/>
          <w:szCs w:val="24"/>
        </w:rPr>
        <w:t>r</w:t>
      </w:r>
      <w:r w:rsidRPr="00BD30D4">
        <w:rPr>
          <w:rFonts w:ascii="Times New Roman" w:hAnsi="Times New Roman" w:cs="Times New Roman"/>
          <w:sz w:val="24"/>
          <w:szCs w:val="24"/>
        </w:rPr>
        <w:t>egistry information is collected electronically.  Anglers and for-hire vessel owners are able to register online only.  A registration number is electronical</w:t>
      </w:r>
      <w:r w:rsidRPr="00BD30D4">
        <w:rPr>
          <w:rFonts w:ascii="Times New Roman" w:hAnsi="Times New Roman" w:cs="Times New Roman"/>
          <w:sz w:val="24"/>
          <w:szCs w:val="24"/>
        </w:rPr>
        <w:t>ly provided and a registration card is available for downloading and printing by, and will be mailed to, the successful registrants.</w:t>
      </w:r>
    </w:p>
    <w:p w:rsidR="00680EF1" w:rsidRPr="00BD30D4" w14:paraId="1B2B3678" w14:textId="37EB4DCB">
      <w:pPr>
        <w:spacing w:before="240"/>
        <w:rPr>
          <w:rFonts w:ascii="Times New Roman" w:hAnsi="Times New Roman" w:cs="Times New Roman"/>
          <w:sz w:val="24"/>
          <w:szCs w:val="24"/>
        </w:rPr>
      </w:pPr>
      <w:r w:rsidRPr="00BD30D4">
        <w:rPr>
          <w:rFonts w:ascii="Times New Roman" w:hAnsi="Times New Roman" w:cs="Times New Roman"/>
          <w:sz w:val="24"/>
          <w:szCs w:val="24"/>
        </w:rPr>
        <w:t xml:space="preserve">The information that is collected via the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xml:space="preserve"> will not be made available to the public via the Internet or any</w:t>
      </w:r>
      <w:r w:rsidRPr="00BD30D4">
        <w:rPr>
          <w:rFonts w:ascii="Times New Roman" w:hAnsi="Times New Roman" w:cs="Times New Roman"/>
          <w:sz w:val="24"/>
          <w:szCs w:val="24"/>
        </w:rPr>
        <w:t xml:space="preserve"> other means.  Because the data to be collected is entirely personal identification, address and contact information, it is not appropriate to make this data available. </w:t>
      </w:r>
    </w:p>
    <w:p w:rsidR="00680EF1" w:rsidRPr="00887E90" w:rsidP="00887E90" w14:paraId="63D56665" w14:textId="77777777">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 xml:space="preserve"> 4.  Describe efforts to identify duplication. Show specifically why any similar infor</w:t>
      </w:r>
      <w:r w:rsidRPr="00887E90">
        <w:rPr>
          <w:rFonts w:ascii="Times New Roman" w:hAnsi="Times New Roman" w:cs="Times New Roman"/>
          <w:b/>
          <w:sz w:val="24"/>
          <w:szCs w:val="24"/>
        </w:rPr>
        <w:t>mation already available cannot be used or modified for use for the purposes described in Question 2</w:t>
      </w:r>
      <w:r w:rsidRPr="00BD30D4">
        <w:rPr>
          <w:rFonts w:ascii="Times New Roman" w:hAnsi="Times New Roman" w:cs="Times New Roman"/>
          <w:b/>
          <w:sz w:val="24"/>
          <w:szCs w:val="24"/>
        </w:rPr>
        <w:t xml:space="preserve"> </w:t>
      </w:r>
    </w:p>
    <w:p w:rsidR="00680EF1" w:rsidRPr="00BD30D4" w14:paraId="0CC62881" w14:textId="77CBDC82">
      <w:pPr>
        <w:ind w:right="240"/>
        <w:rPr>
          <w:rFonts w:ascii="Times New Roman" w:hAnsi="Times New Roman" w:cs="Times New Roman"/>
          <w:sz w:val="24"/>
          <w:szCs w:val="24"/>
        </w:rPr>
      </w:pPr>
      <w:r w:rsidRPr="00BD30D4">
        <w:rPr>
          <w:rFonts w:ascii="Times New Roman" w:hAnsi="Times New Roman" w:cs="Times New Roman"/>
          <w:sz w:val="24"/>
          <w:szCs w:val="24"/>
        </w:rPr>
        <w:t xml:space="preserve">The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xml:space="preserve"> has been designed to prevent duplication of registration requirements.  In order to serve the purpose of supplying identification and</w:t>
      </w:r>
      <w:r w:rsidRPr="00BD30D4">
        <w:rPr>
          <w:rFonts w:ascii="Times New Roman" w:hAnsi="Times New Roman" w:cs="Times New Roman"/>
          <w:sz w:val="24"/>
          <w:szCs w:val="24"/>
        </w:rPr>
        <w:t xml:space="preserve"> contact information for all anglers and for-hire vessels, it is only necessary for an angler or a for-hire vessel to submit that information to a single registry.  If the information can be obtained from another source, the federal registration requiremen</w:t>
      </w:r>
      <w:r w:rsidRPr="00BD30D4">
        <w:rPr>
          <w:rFonts w:ascii="Times New Roman" w:hAnsi="Times New Roman" w:cs="Times New Roman"/>
          <w:sz w:val="24"/>
          <w:szCs w:val="24"/>
        </w:rPr>
        <w:t>t can be waived.</w:t>
      </w:r>
    </w:p>
    <w:p w:rsidR="00680EF1" w:rsidRPr="00BD30D4" w14:paraId="290CA159" w14:textId="568BB13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Accordingly, if states can provide complete directories of anglers and/or for-hire vessels from their license or state registry databases, the states can be granted Exempted State status under the </w:t>
      </w:r>
      <w:r w:rsidR="00127341">
        <w:rPr>
          <w:rFonts w:ascii="Times New Roman" w:hAnsi="Times New Roman" w:cs="Times New Roman"/>
          <w:sz w:val="24"/>
          <w:szCs w:val="24"/>
        </w:rPr>
        <w:t>Registry Program</w:t>
      </w:r>
      <w:r w:rsidRPr="00BD30D4">
        <w:rPr>
          <w:rFonts w:ascii="Times New Roman" w:hAnsi="Times New Roman" w:cs="Times New Roman"/>
          <w:sz w:val="24"/>
          <w:szCs w:val="24"/>
        </w:rPr>
        <w:t>, and their licensed or re</w:t>
      </w:r>
      <w:r w:rsidRPr="00BD30D4">
        <w:rPr>
          <w:rFonts w:ascii="Times New Roman" w:hAnsi="Times New Roman" w:cs="Times New Roman"/>
          <w:sz w:val="24"/>
          <w:szCs w:val="24"/>
        </w:rPr>
        <w:t>gistered anglers and/or for-hire vessels are exempted from the federal registration requirement.  Anglers who fish only on for-hire vessels are exempt, since the vessels themselves will be registered and surveyed.  Also, any for-hire vessel that is require</w:t>
      </w:r>
      <w:r w:rsidRPr="00BD30D4">
        <w:rPr>
          <w:rFonts w:ascii="Times New Roman" w:hAnsi="Times New Roman" w:cs="Times New Roman"/>
          <w:sz w:val="24"/>
          <w:szCs w:val="24"/>
        </w:rPr>
        <w:t>d to obtain a NOAA license or permit via the NPS under other fishery management regulations is also exempt from the registry requirement, since the vessel information is in a NOAA database, and can be accessed and added to the registry directory.  Similarl</w:t>
      </w:r>
      <w:r w:rsidRPr="00BD30D4">
        <w:rPr>
          <w:rFonts w:ascii="Times New Roman" w:hAnsi="Times New Roman" w:cs="Times New Roman"/>
          <w:sz w:val="24"/>
          <w:szCs w:val="24"/>
        </w:rPr>
        <w:t>y, individuals who hold NMFS-issued Highly Migratory Species Angling permits and Main Hawaiian Island Bottomfish permits are also exempt from the registration requirement.</w:t>
      </w:r>
    </w:p>
    <w:p w:rsidR="00680EF1" w:rsidRPr="00887E90" w:rsidP="00887E90" w14:paraId="6496ADEB" w14:textId="77777777">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 xml:space="preserve"> </w:t>
      </w:r>
      <w:r w:rsidRPr="00BD30D4">
        <w:rPr>
          <w:rFonts w:ascii="Times New Roman" w:hAnsi="Times New Roman" w:cs="Times New Roman"/>
          <w:b/>
          <w:sz w:val="24"/>
          <w:szCs w:val="24"/>
        </w:rPr>
        <w:t xml:space="preserve">5.  </w:t>
      </w:r>
      <w:r w:rsidRPr="00887E90">
        <w:rPr>
          <w:rFonts w:ascii="Times New Roman" w:hAnsi="Times New Roman" w:cs="Times New Roman"/>
          <w:b/>
          <w:sz w:val="24"/>
          <w:szCs w:val="24"/>
        </w:rPr>
        <w:t>If the collection of information impacts small businesses or other small entiti</w:t>
      </w:r>
      <w:r w:rsidRPr="00887E90">
        <w:rPr>
          <w:rFonts w:ascii="Times New Roman" w:hAnsi="Times New Roman" w:cs="Times New Roman"/>
          <w:b/>
          <w:sz w:val="24"/>
          <w:szCs w:val="24"/>
        </w:rPr>
        <w:t xml:space="preserve">es, describe any methods used to minimize burden. </w:t>
      </w:r>
    </w:p>
    <w:p w:rsidR="00973A0F" w:rsidRPr="00BD30D4" w14:paraId="039B015E"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The for-hire vessels that are required to register are small entities.  Efforts utilized to minimize the burden on these entities include:</w:t>
      </w:r>
    </w:p>
    <w:p w:rsidR="00680EF1" w:rsidRPr="00BD30D4" w14:paraId="6C902353" w14:textId="201923D8">
      <w:pPr>
        <w:spacing w:before="240" w:after="240"/>
        <w:rPr>
          <w:rFonts w:ascii="Times New Roman" w:hAnsi="Times New Roman" w:cs="Times New Roman"/>
          <w:sz w:val="24"/>
          <w:szCs w:val="24"/>
        </w:rPr>
      </w:pPr>
      <w:r w:rsidRPr="00BD30D4">
        <w:rPr>
          <w:rFonts w:ascii="Times New Roman" w:hAnsi="Times New Roman" w:cs="Times New Roman"/>
          <w:sz w:val="24"/>
          <w:szCs w:val="24"/>
        </w:rPr>
        <w:tab/>
        <w:t xml:space="preserve">a.  minimizing the number of vessels that must register, by </w:t>
      </w:r>
      <w:r w:rsidRPr="00BD30D4">
        <w:rPr>
          <w:rFonts w:ascii="Times New Roman" w:hAnsi="Times New Roman" w:cs="Times New Roman"/>
          <w:sz w:val="24"/>
          <w:szCs w:val="24"/>
        </w:rPr>
        <w:t>eliminating overlapping requirements as noted in</w:t>
      </w:r>
      <w:r w:rsidR="00127341">
        <w:rPr>
          <w:rFonts w:ascii="Times New Roman" w:hAnsi="Times New Roman" w:cs="Times New Roman"/>
          <w:sz w:val="24"/>
          <w:szCs w:val="24"/>
        </w:rPr>
        <w:t xml:space="preserve"> the</w:t>
      </w:r>
      <w:r w:rsidRPr="00BD30D4">
        <w:rPr>
          <w:rFonts w:ascii="Times New Roman" w:hAnsi="Times New Roman" w:cs="Times New Roman"/>
          <w:sz w:val="24"/>
          <w:szCs w:val="24"/>
        </w:rPr>
        <w:t xml:space="preserve"> response above;</w:t>
      </w:r>
    </w:p>
    <w:p w:rsidR="00680EF1" w:rsidRPr="00BD30D4" w14:paraId="7CCCCD75" w14:textId="1F785B4E">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sz w:val="24"/>
          <w:szCs w:val="24"/>
        </w:rPr>
        <w:tab/>
        <w:t>b. limiting the information that must be submitted to the minimal identification, address and contact information required for a complete registry.</w:t>
      </w:r>
    </w:p>
    <w:p w:rsidR="00680EF1" w:rsidRPr="00887E90" w:rsidP="00887E90" w14:paraId="57F2F39E" w14:textId="77777777">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6.  Describe the consequence t</w:t>
      </w:r>
      <w:r w:rsidRPr="00887E90">
        <w:rPr>
          <w:rFonts w:ascii="Times New Roman" w:hAnsi="Times New Roman" w:cs="Times New Roman"/>
          <w:b/>
          <w:sz w:val="24"/>
          <w:szCs w:val="24"/>
        </w:rPr>
        <w:t>o Federal program or policy activities if the collection is not conducted or is conducted less frequently, as well as any technical or legal obstacles to reducing burden.</w:t>
      </w:r>
    </w:p>
    <w:p w:rsidR="00680EF1" w:rsidRPr="00BD30D4" w14:paraId="1E78E6D1" w14:textId="6FD7C34A">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If a complete, annual registry of saltwater anglers is not maintained, NMFS will not </w:t>
      </w:r>
      <w:r w:rsidRPr="00BD30D4">
        <w:rPr>
          <w:rFonts w:ascii="Times New Roman" w:hAnsi="Times New Roman" w:cs="Times New Roman"/>
          <w:sz w:val="24"/>
          <w:szCs w:val="24"/>
        </w:rPr>
        <w:t>be able to effectively implement the FES.  Absent an angler registry, the design feature of the FES that augments address samples with angler registry information would not be possible.  This would reduce the efficiency of sampling and consequently increas</w:t>
      </w:r>
      <w:r w:rsidRPr="00BD30D4">
        <w:rPr>
          <w:rFonts w:ascii="Times New Roman" w:hAnsi="Times New Roman" w:cs="Times New Roman"/>
          <w:sz w:val="24"/>
          <w:szCs w:val="24"/>
        </w:rPr>
        <w:t xml:space="preserve">e the variability of survey estimates. </w:t>
      </w:r>
    </w:p>
    <w:p w:rsidR="00680EF1" w:rsidRPr="00BD30D4" w14:paraId="1F3BA16A" w14:textId="436BDAD4">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If a complete, annual registry of for-hire fishing vessels is not maintained, NMFS and its partners will not be able to contact vessel owners/operators to secure information about the number, location and timing of </w:t>
      </w:r>
      <w:r w:rsidRPr="00BD30D4">
        <w:rPr>
          <w:rFonts w:ascii="Times New Roman" w:hAnsi="Times New Roman" w:cs="Times New Roman"/>
          <w:sz w:val="24"/>
          <w:szCs w:val="24"/>
        </w:rPr>
        <w:t>fishing trips made by anglers fishing on for-hire vessels, resulting in the inability to estimate catch for this large mode of saltwater fishing.</w:t>
      </w:r>
    </w:p>
    <w:p w:rsidR="004C2FC9" w:rsidRPr="00887E90" w:rsidP="00887E90" w14:paraId="2F35AF49" w14:textId="42FADDCE">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7.  Explain any special circumstances</w:t>
      </w:r>
      <w:r w:rsidRPr="00BD30D4">
        <w:rPr>
          <w:rFonts w:ascii="Times New Roman" w:hAnsi="Times New Roman" w:cs="Times New Roman"/>
          <w:b/>
          <w:sz w:val="24"/>
          <w:szCs w:val="24"/>
        </w:rPr>
        <w:t xml:space="preserve"> </w:t>
      </w:r>
      <w:r w:rsidRPr="00887E90">
        <w:rPr>
          <w:rFonts w:ascii="Times New Roman" w:hAnsi="Times New Roman" w:cs="Times New Roman"/>
          <w:b/>
          <w:sz w:val="24"/>
          <w:szCs w:val="24"/>
        </w:rPr>
        <w:t>that would cause an information collection to be conducted in a manner t</w:t>
      </w:r>
      <w:r w:rsidRPr="00887E90">
        <w:rPr>
          <w:rFonts w:ascii="Times New Roman" w:hAnsi="Times New Roman" w:cs="Times New Roman"/>
          <w:b/>
          <w:sz w:val="24"/>
          <w:szCs w:val="24"/>
        </w:rPr>
        <w:t>hat is inconsistent with OMB guidelines.</w:t>
      </w:r>
    </w:p>
    <w:p w:rsidR="00680EF1" w:rsidRPr="00BD30D4" w:rsidP="00973A0F" w14:paraId="4DAC2FE8" w14:textId="19460B8C">
      <w:pPr>
        <w:spacing w:before="240" w:after="240"/>
        <w:rPr>
          <w:rFonts w:ascii="Times New Roman" w:hAnsi="Times New Roman" w:cs="Times New Roman"/>
          <w:sz w:val="24"/>
          <w:szCs w:val="24"/>
        </w:rPr>
      </w:pPr>
      <w:r w:rsidRPr="00BD30D4">
        <w:rPr>
          <w:rFonts w:ascii="Times New Roman" w:eastAsia="Times New Roman" w:hAnsi="Times New Roman" w:cs="Times New Roman"/>
          <w:sz w:val="24"/>
          <w:szCs w:val="24"/>
        </w:rPr>
        <w:t>This information collection is conducted in a manner that is consistent with OMB guidelines.</w:t>
      </w:r>
    </w:p>
    <w:p w:rsidR="00680EF1" w:rsidRPr="00BD30D4" w:rsidP="00887E90" w14:paraId="61B6AD4C" w14:textId="2D1BF1CB">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8.</w:t>
      </w:r>
      <w:r w:rsidRPr="00BD30D4">
        <w:rPr>
          <w:rFonts w:ascii="Times New Roman" w:hAnsi="Times New Roman" w:cs="Times New Roman"/>
          <w:b/>
          <w:sz w:val="24"/>
          <w:szCs w:val="24"/>
        </w:rPr>
        <w:t xml:space="preserve">   </w:t>
      </w:r>
      <w:r w:rsidRPr="00887E90">
        <w:rPr>
          <w:rFonts w:ascii="Times New Roman" w:hAnsi="Times New Roman" w:cs="Times New Roman"/>
          <w:b/>
          <w:sz w:val="24"/>
          <w:szCs w:val="24"/>
        </w:rPr>
        <w:t>If applicable, provide a copy and identify the date and page number of publications in the Federal Register of the ag</w:t>
      </w:r>
      <w:r w:rsidRPr="00887E90">
        <w:rPr>
          <w:rFonts w:ascii="Times New Roman" w:hAnsi="Times New Roman" w:cs="Times New Roman"/>
          <w:b/>
          <w:sz w:val="24"/>
          <w:szCs w:val="24"/>
        </w:rPr>
        <w:t>ency's notice, required by 5 CFR 1320.8 (d), soliciting comments on the information collection prior to submission to OMB. Summarize public comments received in response to that notice and describe actions taken by the agency in response to these comments.</w:t>
      </w:r>
      <w:r w:rsidRPr="00887E90">
        <w:rPr>
          <w:rFonts w:ascii="Times New Roman" w:hAnsi="Times New Roman" w:cs="Times New Roman"/>
          <w:b/>
          <w:sz w:val="24"/>
          <w:szCs w:val="24"/>
        </w:rPr>
        <w:t xml:space="preserve"> Specifically address comments received on cost and hour burden.</w:t>
      </w:r>
    </w:p>
    <w:p w:rsidR="00D10625" w:rsidRPr="00BD30D4" w14:paraId="38232A88" w14:textId="1BB6D50E">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A </w:t>
      </w:r>
      <w:r w:rsidRPr="00BD30D4">
        <w:rPr>
          <w:rFonts w:ascii="Times New Roman" w:hAnsi="Times New Roman" w:cs="Times New Roman"/>
          <w:sz w:val="24"/>
          <w:szCs w:val="24"/>
          <w:u w:val="single"/>
        </w:rPr>
        <w:t>Federal Register</w:t>
      </w:r>
      <w:r w:rsidRPr="00BD30D4">
        <w:rPr>
          <w:rFonts w:ascii="Times New Roman" w:hAnsi="Times New Roman" w:cs="Times New Roman"/>
          <w:sz w:val="24"/>
          <w:szCs w:val="24"/>
        </w:rPr>
        <w:t xml:space="preserve"> Notice was published on </w:t>
      </w:r>
      <w:r w:rsidRPr="00BD30D4" w:rsidR="009A61DF">
        <w:rPr>
          <w:rFonts w:ascii="Times New Roman" w:hAnsi="Times New Roman" w:cs="Times New Roman"/>
          <w:sz w:val="24"/>
          <w:szCs w:val="24"/>
        </w:rPr>
        <w:t xml:space="preserve">March 8, 2024 </w:t>
      </w:r>
      <w:r w:rsidR="00232113">
        <w:rPr>
          <w:rFonts w:ascii="Times New Roman" w:hAnsi="Times New Roman" w:cs="Times New Roman"/>
          <w:sz w:val="24"/>
          <w:szCs w:val="24"/>
        </w:rPr>
        <w:t xml:space="preserve">(89 FR 16732) </w:t>
      </w:r>
      <w:r w:rsidRPr="00BD30D4">
        <w:rPr>
          <w:rFonts w:ascii="Times New Roman" w:hAnsi="Times New Roman" w:cs="Times New Roman"/>
          <w:sz w:val="24"/>
          <w:szCs w:val="24"/>
        </w:rPr>
        <w:t xml:space="preserve">soliciting public comment. NMFS received </w:t>
      </w:r>
      <w:r w:rsidRPr="00BD30D4" w:rsidR="009A61DF">
        <w:rPr>
          <w:rFonts w:ascii="Times New Roman" w:hAnsi="Times New Roman" w:cs="Times New Roman"/>
          <w:sz w:val="24"/>
          <w:szCs w:val="24"/>
        </w:rPr>
        <w:t xml:space="preserve">a single </w:t>
      </w:r>
      <w:r w:rsidRPr="00BD30D4">
        <w:rPr>
          <w:rFonts w:ascii="Times New Roman" w:hAnsi="Times New Roman" w:cs="Times New Roman"/>
          <w:sz w:val="24"/>
          <w:szCs w:val="24"/>
        </w:rPr>
        <w:t>comment</w:t>
      </w:r>
      <w:r w:rsidRPr="00BD30D4" w:rsidR="009A61DF">
        <w:rPr>
          <w:rFonts w:ascii="Times New Roman" w:hAnsi="Times New Roman" w:cs="Times New Roman"/>
          <w:sz w:val="24"/>
          <w:szCs w:val="24"/>
        </w:rPr>
        <w:t>:</w:t>
      </w:r>
    </w:p>
    <w:p w:rsidR="009A61DF" w:rsidRPr="00BD30D4" w:rsidP="00127341" w14:paraId="382368CA" w14:textId="77777777">
      <w:pPr>
        <w:spacing w:before="240" w:after="240"/>
        <w:ind w:left="180" w:right="360"/>
        <w:rPr>
          <w:rFonts w:ascii="Times New Roman" w:hAnsi="Times New Roman" w:cs="Times New Roman"/>
          <w:sz w:val="24"/>
          <w:szCs w:val="24"/>
        </w:rPr>
      </w:pPr>
      <w:r w:rsidRPr="00BD30D4">
        <w:rPr>
          <w:rFonts w:ascii="Times New Roman" w:hAnsi="Times New Roman" w:cs="Times New Roman"/>
          <w:sz w:val="24"/>
          <w:szCs w:val="24"/>
        </w:rPr>
        <w:t xml:space="preserve">This collection of information is very expensive to collect. </w:t>
      </w:r>
      <w:r w:rsidRPr="00BD30D4">
        <w:rPr>
          <w:rFonts w:ascii="Times New Roman" w:hAnsi="Times New Roman" w:cs="Times New Roman"/>
          <w:sz w:val="24"/>
          <w:szCs w:val="24"/>
        </w:rPr>
        <w:t xml:space="preserve">it has been done since 2005 so the taxpayers have paid for this for 18 years so far. this needs to be done less often, say every 4 years. that is often enough. this colelcqtion of information costs taxpayers alot of money and burden for employees for this </w:t>
      </w:r>
      <w:r w:rsidRPr="00BD30D4">
        <w:rPr>
          <w:rFonts w:ascii="Times New Roman" w:hAnsi="Times New Roman" w:cs="Times New Roman"/>
          <w:sz w:val="24"/>
          <w:szCs w:val="24"/>
        </w:rPr>
        <w:t xml:space="preserve">and does nto help to any great extent. it is mainly a political tool used by fishermen to show how many of them there are. </w:t>
      </w:r>
      <w:r w:rsidRPr="00BD30D4" w:rsidR="00D10625">
        <w:rPr>
          <w:rFonts w:ascii="Times New Roman" w:hAnsi="Times New Roman" w:cs="Times New Roman"/>
          <w:sz w:val="24"/>
          <w:szCs w:val="24"/>
        </w:rPr>
        <w:t>t</w:t>
      </w:r>
      <w:r w:rsidRPr="00BD30D4">
        <w:rPr>
          <w:rFonts w:ascii="Times New Roman" w:hAnsi="Times New Roman" w:cs="Times New Roman"/>
          <w:sz w:val="24"/>
          <w:szCs w:val="24"/>
        </w:rPr>
        <w:t>he fws loves collecting this stuff so they can push around animal protectors and say look we have all th</w:t>
      </w:r>
      <w:r w:rsidRPr="00BD30D4" w:rsidR="00D10625">
        <w:rPr>
          <w:rFonts w:ascii="Times New Roman" w:hAnsi="Times New Roman" w:cs="Times New Roman"/>
          <w:sz w:val="24"/>
          <w:szCs w:val="24"/>
        </w:rPr>
        <w:t>ese animal killers under our wi</w:t>
      </w:r>
      <w:r w:rsidRPr="00BD30D4">
        <w:rPr>
          <w:rFonts w:ascii="Times New Roman" w:hAnsi="Times New Roman" w:cs="Times New Roman"/>
          <w:sz w:val="24"/>
          <w:szCs w:val="24"/>
        </w:rPr>
        <w:t>ng. Shut it down for another 3 or 4 years. b ker , save our tax dollars.</w:t>
      </w:r>
    </w:p>
    <w:p w:rsidR="004C2FC9" w:rsidP="00127341" w14:paraId="3C42E48E" w14:textId="77777777">
      <w:pPr>
        <w:pStyle w:val="Default"/>
        <w:spacing w:before="120"/>
      </w:pPr>
      <w:r w:rsidRPr="00BD30D4">
        <w:t>Response:</w:t>
      </w:r>
      <w:r w:rsidRPr="00BD30D4" w:rsidR="009A61DF">
        <w:tab/>
      </w:r>
    </w:p>
    <w:p w:rsidR="009A61DF" w:rsidRPr="00BD30D4" w:rsidP="00127341" w14:paraId="31137A30" w14:textId="6D46F38D">
      <w:pPr>
        <w:pStyle w:val="Default"/>
        <w:spacing w:before="120"/>
      </w:pPr>
      <w:r>
        <w:tab/>
      </w:r>
      <w:r w:rsidRPr="00BD30D4">
        <w:t>a. The program does not involve a substantial net cost to the federal government.  Registrants are required</w:t>
      </w:r>
      <w:r w:rsidRPr="00BD30D4">
        <w:t xml:space="preserve"> to pay a registration fee into the general treasury equivalent to the agency’s administrative cost.</w:t>
      </w:r>
    </w:p>
    <w:p w:rsidR="009A61DF" w:rsidP="00127341" w14:paraId="53435E79" w14:textId="1DB02AE6">
      <w:pPr>
        <w:pStyle w:val="Default"/>
        <w:spacing w:before="120"/>
      </w:pPr>
      <w:r w:rsidRPr="00BD30D4">
        <w:tab/>
        <w:t>b. The program is non-discretionary.  It is mandated by of 16 U.S.C. 1881.409.479.</w:t>
      </w:r>
    </w:p>
    <w:p w:rsidR="00E3568B" w:rsidP="00D10625" w14:paraId="0A6A7281" w14:textId="30B77423">
      <w:pPr>
        <w:pStyle w:val="Default"/>
      </w:pPr>
    </w:p>
    <w:p w:rsidR="00E3568B" w:rsidRPr="00BD30D4" w:rsidP="00D10625" w14:paraId="08EF422D" w14:textId="19435D71">
      <w:pPr>
        <w:pStyle w:val="Default"/>
      </w:pPr>
      <w:r w:rsidRPr="00E3568B">
        <w:t>In addition to the Federal Register notice, NMFS contacted stakeholder</w:t>
      </w:r>
      <w:r w:rsidRPr="00E3568B">
        <w:t>s outside the agency to obtain their views on the availability of data, frequency of collection, the clarity of instructions and recordkeeping, disclosure, or reporting format, and on the data elements to be recorded, disclosed, or reported. No comments we</w:t>
      </w:r>
      <w:r w:rsidRPr="00E3568B">
        <w:t>re received.</w:t>
      </w:r>
    </w:p>
    <w:p w:rsidR="00680EF1" w:rsidRPr="00887E90" w:rsidP="00887E90" w14:paraId="5A8C3C65" w14:textId="2417B6F0">
      <w:pPr>
        <w:pStyle w:val="Heading1"/>
        <w:keepNext w:val="0"/>
        <w:keepLines w:val="0"/>
        <w:spacing w:before="200" w:after="0"/>
        <w:ind w:left="140"/>
        <w:rPr>
          <w:rFonts w:ascii="Times New Roman" w:hAnsi="Times New Roman" w:cs="Times New Roman"/>
          <w:b/>
          <w:sz w:val="24"/>
          <w:szCs w:val="24"/>
        </w:rPr>
      </w:pPr>
      <w:r w:rsidRPr="00BD30D4">
        <w:rPr>
          <w:rFonts w:ascii="Times New Roman" w:hAnsi="Times New Roman" w:cs="Times New Roman"/>
          <w:b/>
          <w:sz w:val="24"/>
          <w:szCs w:val="24"/>
        </w:rPr>
        <w:t xml:space="preserve">9.  Explain any decisions to provide payments or gifts to respondents, other than remuneration of contractors or grantees. </w:t>
      </w:r>
    </w:p>
    <w:p w:rsidR="00680EF1" w:rsidRPr="00BD30D4" w14:paraId="50F5D2DF"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No payments or gifts to respondents are given under this program.</w:t>
      </w:r>
    </w:p>
    <w:p w:rsidR="00680EF1" w:rsidRPr="00887E90" w:rsidP="00887E90" w14:paraId="01A7893C" w14:textId="3CD1E5E3">
      <w:pPr>
        <w:pStyle w:val="Heading1"/>
        <w:keepNext w:val="0"/>
        <w:keepLines w:val="0"/>
        <w:spacing w:before="200" w:after="0"/>
        <w:ind w:left="140"/>
        <w:rPr>
          <w:rFonts w:ascii="Times New Roman" w:hAnsi="Times New Roman" w:cs="Times New Roman"/>
          <w:b/>
          <w:sz w:val="24"/>
          <w:szCs w:val="24"/>
        </w:rPr>
      </w:pPr>
      <w:r w:rsidRPr="00BD30D4">
        <w:rPr>
          <w:rFonts w:ascii="Times New Roman" w:hAnsi="Times New Roman" w:cs="Times New Roman"/>
          <w:b/>
          <w:sz w:val="24"/>
          <w:szCs w:val="24"/>
        </w:rPr>
        <w:t>10.  Describe any assurance of confidentiality provi</w:t>
      </w:r>
      <w:r w:rsidRPr="00BD30D4">
        <w:rPr>
          <w:rFonts w:ascii="Times New Roman" w:hAnsi="Times New Roman" w:cs="Times New Roman"/>
          <w:b/>
          <w:sz w:val="24"/>
          <w:szCs w:val="24"/>
        </w:rPr>
        <w:t>ded to respondents and the basis for assurance in statute, regulation, or agency policy. If the collection requires a systems of records notice (SORN) or privacy impact assessment (PIA), those should be cited and described here.</w:t>
      </w:r>
    </w:p>
    <w:p w:rsidR="00680EF1" w:rsidRPr="00BD30D4" w:rsidP="00973A0F" w14:paraId="13487C92" w14:textId="5B6D00FE">
      <w:pPr>
        <w:spacing w:before="240" w:after="240"/>
        <w:rPr>
          <w:rFonts w:ascii="Times New Roman" w:hAnsi="Times New Roman" w:cs="Times New Roman"/>
          <w:sz w:val="24"/>
          <w:szCs w:val="24"/>
        </w:rPr>
      </w:pPr>
      <w:r w:rsidRPr="00BD30D4">
        <w:rPr>
          <w:rFonts w:ascii="Times New Roman" w:hAnsi="Times New Roman" w:cs="Times New Roman"/>
          <w:sz w:val="24"/>
          <w:szCs w:val="24"/>
        </w:rPr>
        <w:t>Registrants’ responses will</w:t>
      </w:r>
      <w:r w:rsidRPr="00BD30D4">
        <w:rPr>
          <w:rFonts w:ascii="Times New Roman" w:hAnsi="Times New Roman" w:cs="Times New Roman"/>
          <w:sz w:val="24"/>
          <w:szCs w:val="24"/>
        </w:rPr>
        <w:t xml:space="preserve"> be kept confidential as required by section 402(b) of the Magnuson-Stevens and</w:t>
      </w:r>
      <w:hyperlink r:id="rId9">
        <w:r w:rsidRPr="00BD30D4">
          <w:rPr>
            <w:rFonts w:ascii="Times New Roman" w:hAnsi="Times New Roman" w:cs="Times New Roman"/>
            <w:sz w:val="24"/>
            <w:szCs w:val="24"/>
          </w:rPr>
          <w:t xml:space="preserve"> </w:t>
        </w:r>
      </w:hyperlink>
      <w:hyperlink r:id="rId9">
        <w:r w:rsidRPr="00BD30D4">
          <w:rPr>
            <w:rFonts w:ascii="Times New Roman" w:hAnsi="Times New Roman" w:cs="Times New Roman"/>
            <w:color w:val="0070C0"/>
            <w:sz w:val="24"/>
            <w:szCs w:val="24"/>
            <w:u w:val="single"/>
          </w:rPr>
          <w:t>NOAA Administrative Order 216-100</w:t>
        </w:r>
      </w:hyperlink>
      <w:r w:rsidRPr="00BD30D4">
        <w:rPr>
          <w:rFonts w:ascii="Times New Roman" w:hAnsi="Times New Roman" w:cs="Times New Roman"/>
          <w:sz w:val="24"/>
          <w:szCs w:val="24"/>
        </w:rPr>
        <w:t>, Confidentiality of Fisheries Statistics, and will not be released for public use except in aggregate statistical form without identification as to its source.  Section 402(b) stip</w:t>
      </w:r>
      <w:r w:rsidRPr="00BD30D4">
        <w:rPr>
          <w:rFonts w:ascii="Times New Roman" w:hAnsi="Times New Roman" w:cs="Times New Roman"/>
          <w:sz w:val="24"/>
          <w:szCs w:val="24"/>
        </w:rPr>
        <w:t>ulates that data required to be submitted under an FMP shall be confidential and shall not be released except to Federal employees and Council staff responsible for FMP monitoring and development or when required under court order.</w:t>
      </w:r>
    </w:p>
    <w:p w:rsidR="00680EF1" w:rsidRPr="00BD30D4" w14:paraId="5EDFA23D" w14:textId="7FCBEDB5">
      <w:pPr>
        <w:spacing w:before="240"/>
        <w:rPr>
          <w:rFonts w:ascii="Times New Roman" w:hAnsi="Times New Roman" w:cs="Times New Roman"/>
          <w:sz w:val="24"/>
          <w:szCs w:val="24"/>
        </w:rPr>
      </w:pPr>
      <w:r w:rsidRPr="00BD30D4">
        <w:rPr>
          <w:rFonts w:ascii="Times New Roman" w:hAnsi="Times New Roman" w:cs="Times New Roman"/>
          <w:sz w:val="24"/>
          <w:szCs w:val="24"/>
        </w:rPr>
        <w:t>In addition, the informa</w:t>
      </w:r>
      <w:r w:rsidRPr="00BD30D4">
        <w:rPr>
          <w:rFonts w:ascii="Times New Roman" w:hAnsi="Times New Roman" w:cs="Times New Roman"/>
          <w:sz w:val="24"/>
          <w:szCs w:val="24"/>
        </w:rPr>
        <w:t>tion is subject to the provisions of the Privacy Act (5 U.S.C. 552a) in that the information collected is retrievable by identifiable individual.  The Registry data is included in the Permits System of Records, for which a System of Records Notice was publ</w:t>
      </w:r>
      <w:r w:rsidRPr="00BD30D4">
        <w:rPr>
          <w:rFonts w:ascii="Times New Roman" w:hAnsi="Times New Roman" w:cs="Times New Roman"/>
          <w:sz w:val="24"/>
          <w:szCs w:val="24"/>
        </w:rPr>
        <w:t xml:space="preserve">ished in the </w:t>
      </w:r>
      <w:r w:rsidRPr="00BD30D4">
        <w:rPr>
          <w:rFonts w:ascii="Times New Roman" w:hAnsi="Times New Roman" w:cs="Times New Roman"/>
          <w:sz w:val="24"/>
          <w:szCs w:val="24"/>
          <w:u w:val="single"/>
        </w:rPr>
        <w:t>Federal Register</w:t>
      </w:r>
      <w:r w:rsidRPr="00BD30D4">
        <w:rPr>
          <w:rFonts w:ascii="Times New Roman" w:hAnsi="Times New Roman" w:cs="Times New Roman"/>
          <w:sz w:val="24"/>
          <w:szCs w:val="24"/>
        </w:rPr>
        <w:t xml:space="preserve"> on September 15, 2015. </w:t>
      </w:r>
    </w:p>
    <w:p w:rsidR="00680EF1" w:rsidRPr="00887E90" w:rsidP="00887E90" w14:paraId="445FE227" w14:textId="4D6B2600">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11.  Provide additional justification for any questions of a sensitive nature, such as sexual behavior and attitudes, religious beliefs, and other matters that are commonly considered private.  This jus</w:t>
      </w:r>
      <w:r w:rsidRPr="00887E90">
        <w:rPr>
          <w:rFonts w:ascii="Times New Roman" w:hAnsi="Times New Roman" w:cs="Times New Roman"/>
          <w:b/>
          <w:sz w:val="24"/>
          <w:szCs w:val="24"/>
        </w:rPr>
        <w:t>tification should include the reasons why the agency considers the questions necessary, the specific uses to be made of the information, the explanation to be given to persons from whom the information is requested, and any steps to be taken to obtain thei</w:t>
      </w:r>
      <w:r w:rsidRPr="00887E90">
        <w:rPr>
          <w:rFonts w:ascii="Times New Roman" w:hAnsi="Times New Roman" w:cs="Times New Roman"/>
          <w:b/>
          <w:sz w:val="24"/>
          <w:szCs w:val="24"/>
        </w:rPr>
        <w:t>r consent.</w:t>
      </w:r>
    </w:p>
    <w:p w:rsidR="00680EF1" w:rsidRPr="00BD30D4" w:rsidP="00D06C39" w14:paraId="4DD3A0FE" w14:textId="337DAD4A">
      <w:pPr>
        <w:spacing w:before="240" w:after="240"/>
        <w:rPr>
          <w:rFonts w:ascii="Times New Roman" w:hAnsi="Times New Roman" w:cs="Times New Roman"/>
          <w:b/>
          <w:sz w:val="24"/>
          <w:szCs w:val="24"/>
        </w:rPr>
      </w:pPr>
      <w:r w:rsidRPr="00E3568B">
        <w:rPr>
          <w:rFonts w:ascii="Times New Roman" w:hAnsi="Times New Roman" w:cs="Times New Roman"/>
          <w:sz w:val="24"/>
          <w:szCs w:val="24"/>
        </w:rPr>
        <w:t>This information collection does not involve information of a sensitive nature.</w:t>
      </w:r>
      <w:r w:rsidRPr="00BD30D4" w:rsidR="007D37C2">
        <w:rPr>
          <w:rFonts w:ascii="Times New Roman" w:hAnsi="Times New Roman" w:cs="Times New Roman"/>
          <w:b/>
          <w:sz w:val="24"/>
          <w:szCs w:val="24"/>
        </w:rPr>
        <w:t>12.  Provide an estimate in hours of the burden of the collection of information.</w:t>
      </w:r>
    </w:p>
    <w:p w:rsidR="00680EF1" w:rsidRPr="00BD30D4" w14:paraId="4AD41C05"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b/>
          <w:sz w:val="24"/>
          <w:szCs w:val="24"/>
        </w:rPr>
        <w:t>Recreational anglers</w:t>
      </w:r>
      <w:r w:rsidRPr="00BD30D4">
        <w:rPr>
          <w:rFonts w:ascii="Times New Roman" w:hAnsi="Times New Roman" w:cs="Times New Roman"/>
          <w:sz w:val="24"/>
          <w:szCs w:val="24"/>
        </w:rPr>
        <w:t>:  Pursuant to 50 CFR 600.1410, all states and U.S. territories</w:t>
      </w:r>
      <w:r w:rsidRPr="00BD30D4">
        <w:rPr>
          <w:rFonts w:ascii="Times New Roman" w:hAnsi="Times New Roman" w:cs="Times New Roman"/>
          <w:sz w:val="24"/>
          <w:szCs w:val="24"/>
        </w:rPr>
        <w:t xml:space="preserve"> except Hawaii, Puerto Rico and the U.S. Virgin Islands have executed Memoranda of Agreement with NOAA and have been designated as Exempted States.  Anglers who are licensed or registered by Exempted States, or who are residents of Exempted States but are </w:t>
      </w:r>
      <w:r w:rsidRPr="00BD30D4">
        <w:rPr>
          <w:rFonts w:ascii="Times New Roman" w:hAnsi="Times New Roman" w:cs="Times New Roman"/>
          <w:sz w:val="24"/>
          <w:szCs w:val="24"/>
        </w:rPr>
        <w:t>not required to be licensed or registered by such states, are not required to register with NOAA.  Also, anglers who are fishing on a for-hire fishing vessel that is in compliance with applicable state and NMFS licensing and permitting requirements are not</w:t>
      </w:r>
      <w:r w:rsidRPr="00BD30D4">
        <w:rPr>
          <w:rFonts w:ascii="Times New Roman" w:hAnsi="Times New Roman" w:cs="Times New Roman"/>
          <w:sz w:val="24"/>
          <w:szCs w:val="24"/>
        </w:rPr>
        <w:t xml:space="preserve"> required to register with NOAA. </w:t>
      </w:r>
    </w:p>
    <w:p w:rsidR="00680EF1" w:rsidRPr="00BD30D4" w14:paraId="4643CD4C" w14:textId="332B2B3B">
      <w:pPr>
        <w:spacing w:before="240" w:after="240"/>
        <w:rPr>
          <w:rFonts w:ascii="Times New Roman" w:hAnsi="Times New Roman" w:cs="Times New Roman"/>
          <w:sz w:val="24"/>
          <w:szCs w:val="24"/>
        </w:rPr>
      </w:pPr>
      <w:r w:rsidRPr="00BD30D4">
        <w:rPr>
          <w:rFonts w:ascii="Times New Roman" w:hAnsi="Times New Roman" w:cs="Times New Roman"/>
          <w:sz w:val="24"/>
          <w:szCs w:val="24"/>
        </w:rPr>
        <w:t>There are no anadromous fisheries in the state territorial waters of Hawaii, Puerto Rico and the U. S. Virgin Islands.  Accordingly, anglers who fish on private (non-for-hire) vessels in the U.S. Exclusive Economic Zone (E</w:t>
      </w:r>
      <w:r w:rsidRPr="00BD30D4">
        <w:rPr>
          <w:rFonts w:ascii="Times New Roman" w:hAnsi="Times New Roman" w:cs="Times New Roman"/>
          <w:sz w:val="24"/>
          <w:szCs w:val="24"/>
        </w:rPr>
        <w:t>EZ) adjacent to those states/territories are required to register with NOAA, unless those anglers have been licensed or registered by one of the exempted states.  Also, anglers who fish anywhere in the EEZ, or for anadromous species, and are required to be</w:t>
      </w:r>
      <w:r w:rsidRPr="00BD30D4">
        <w:rPr>
          <w:rFonts w:ascii="Times New Roman" w:hAnsi="Times New Roman" w:cs="Times New Roman"/>
          <w:sz w:val="24"/>
          <w:szCs w:val="24"/>
        </w:rPr>
        <w:t xml:space="preserve"> licensed or registered by their state of residence, but are not currently licensed or registered by one of the exempted states, are required to register with NOAA.  For all of calendar year 2023, a total of 480 anglers were registered by NOAA. </w:t>
      </w:r>
    </w:p>
    <w:p w:rsidR="00680EF1" w:rsidRPr="00BD30D4" w14:paraId="3227C283" w14:textId="1A2646E9">
      <w:pPr>
        <w:spacing w:before="240" w:after="240"/>
        <w:rPr>
          <w:rFonts w:ascii="Times New Roman" w:hAnsi="Times New Roman" w:cs="Times New Roman"/>
          <w:sz w:val="24"/>
          <w:szCs w:val="24"/>
        </w:rPr>
      </w:pPr>
      <w:r w:rsidRPr="00BD30D4">
        <w:rPr>
          <w:rFonts w:ascii="Times New Roman" w:hAnsi="Times New Roman" w:cs="Times New Roman"/>
          <w:sz w:val="24"/>
          <w:szCs w:val="24"/>
        </w:rPr>
        <w:t>Presumably</w:t>
      </w:r>
      <w:r w:rsidRPr="00BD30D4">
        <w:rPr>
          <w:rFonts w:ascii="Times New Roman" w:hAnsi="Times New Roman" w:cs="Times New Roman"/>
          <w:sz w:val="24"/>
          <w:szCs w:val="24"/>
        </w:rPr>
        <w:t>, not all anglers who are required to register with NOAA actually do so at present.  Outreach and compliance initiatives may result in increasing the number of registrants.  Therefore, it is assumed that the number of potential registrants is double the nu</w:t>
      </w:r>
      <w:r w:rsidRPr="00BD30D4">
        <w:rPr>
          <w:rFonts w:ascii="Times New Roman" w:hAnsi="Times New Roman" w:cs="Times New Roman"/>
          <w:sz w:val="24"/>
          <w:szCs w:val="24"/>
        </w:rPr>
        <w:t>mber who registered in 2023, or 960.  Using this estimate of the number of anglers who would be required to register (not being part of other registries), the estimated potential burden hours are: estimated number of anglers: 960 x 3 minutes per registrat</w:t>
      </w:r>
      <w:r w:rsidR="00DC387A">
        <w:rPr>
          <w:rFonts w:ascii="Times New Roman" w:hAnsi="Times New Roman" w:cs="Times New Roman"/>
          <w:sz w:val="24"/>
          <w:szCs w:val="24"/>
        </w:rPr>
        <w:t>ion = 2880 minutes/60 minutes =</w:t>
      </w:r>
      <w:r w:rsidRPr="00BD30D4">
        <w:rPr>
          <w:rFonts w:ascii="Times New Roman" w:hAnsi="Times New Roman" w:cs="Times New Roman"/>
          <w:sz w:val="24"/>
          <w:szCs w:val="24"/>
        </w:rPr>
        <w:t xml:space="preserve"> 48 hours.</w:t>
      </w:r>
    </w:p>
    <w:p w:rsidR="00680EF1" w:rsidRPr="00BD30D4" w14:paraId="3A5DF6A1" w14:textId="497B0F44">
      <w:pPr>
        <w:spacing w:before="240" w:after="240"/>
        <w:rPr>
          <w:rFonts w:ascii="Times New Roman" w:hAnsi="Times New Roman" w:cs="Times New Roman"/>
          <w:b/>
          <w:sz w:val="24"/>
          <w:szCs w:val="24"/>
        </w:rPr>
      </w:pPr>
      <w:r w:rsidRPr="00BD30D4">
        <w:rPr>
          <w:rFonts w:ascii="Times New Roman" w:hAnsi="Times New Roman" w:cs="Times New Roman"/>
          <w:b/>
          <w:sz w:val="24"/>
          <w:szCs w:val="24"/>
        </w:rPr>
        <w:t xml:space="preserve">For-hire vessels:  </w:t>
      </w:r>
      <w:r w:rsidRPr="00BD30D4">
        <w:rPr>
          <w:rFonts w:ascii="Times New Roman" w:hAnsi="Times New Roman" w:cs="Times New Roman"/>
          <w:sz w:val="24"/>
          <w:szCs w:val="24"/>
        </w:rPr>
        <w:t>Pursuant to 50 CFR 600 Subpart P, all states and U.S. territories have been designated as Exempted States for for-hire fishing vessels except Hawaii, Puerto Rico and the U.S. Virgin Islands.  For-</w:t>
      </w:r>
      <w:r w:rsidRPr="00BD30D4">
        <w:rPr>
          <w:rFonts w:ascii="Times New Roman" w:hAnsi="Times New Roman" w:cs="Times New Roman"/>
          <w:sz w:val="24"/>
          <w:szCs w:val="24"/>
        </w:rPr>
        <w:t xml:space="preserve">hire vessels that are licensed/registered by Exempted States or by NOAA Fisheries are not required to register with NOAA. </w:t>
      </w:r>
    </w:p>
    <w:p w:rsidR="00680EF1" w:rsidRPr="00BD30D4" w14:paraId="41CB4C90" w14:textId="11058D81">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There are no anadromous fisheries in the state territorial waters of Hawaii, Puerto Rico and the U. S. Virgin Islands.  Accordingly, </w:t>
      </w:r>
      <w:r w:rsidRPr="00BD30D4">
        <w:rPr>
          <w:rFonts w:ascii="Times New Roman" w:hAnsi="Times New Roman" w:cs="Times New Roman"/>
          <w:sz w:val="24"/>
          <w:szCs w:val="24"/>
        </w:rPr>
        <w:t>only non-exempt for-hire vessels that fish in the EEZ adjacent to those states/territories are required to register with NOAA.  In addition, non-exempt for-hire vessels that operate elsewhere in the EEZ, or fish for anadromous species, are required to regi</w:t>
      </w:r>
      <w:r w:rsidRPr="00BD30D4">
        <w:rPr>
          <w:rFonts w:ascii="Times New Roman" w:hAnsi="Times New Roman" w:cs="Times New Roman"/>
          <w:sz w:val="24"/>
          <w:szCs w:val="24"/>
        </w:rPr>
        <w:t>ster with NOAA.  In 2023, the number of for-hire vessels that registered with NOAA was 8.</w:t>
      </w:r>
    </w:p>
    <w:p w:rsidR="00D06C39" w14:paraId="4814A492" w14:textId="77777777">
      <w:pPr>
        <w:spacing w:before="240" w:after="240"/>
        <w:rPr>
          <w:rFonts w:ascii="Times New Roman" w:hAnsi="Times New Roman" w:cs="Times New Roman"/>
          <w:sz w:val="24"/>
          <w:szCs w:val="24"/>
        </w:rPr>
        <w:sectPr w:rsidSect="00D06C39">
          <w:pgSz w:w="12240" w:h="15840"/>
          <w:pgMar w:top="1440" w:right="1440" w:bottom="1440" w:left="1440" w:header="720" w:footer="720" w:gutter="0"/>
          <w:pgNumType w:start="1"/>
          <w:cols w:space="720"/>
          <w:docGrid w:linePitch="299"/>
        </w:sectPr>
      </w:pPr>
      <w:r w:rsidRPr="00BD30D4">
        <w:rPr>
          <w:rFonts w:ascii="Times New Roman" w:hAnsi="Times New Roman" w:cs="Times New Roman"/>
          <w:sz w:val="24"/>
          <w:szCs w:val="24"/>
        </w:rPr>
        <w:t xml:space="preserve"> Presumably, not all for-hire vessels that are required to register with NOAA actually do so at present.  Outreach and compliance initiatives may result </w:t>
      </w:r>
      <w:r w:rsidRPr="00BD30D4">
        <w:rPr>
          <w:rFonts w:ascii="Times New Roman" w:hAnsi="Times New Roman" w:cs="Times New Roman"/>
          <w:sz w:val="24"/>
          <w:szCs w:val="24"/>
        </w:rPr>
        <w:t>in increasing the number of registrants.  Therefore, it is assumed that the number of potential registrants is equal to double the number who registered in 2023, or 16.  Using this estimate of the number of for-hire vessels that would be required to regist</w:t>
      </w:r>
      <w:r w:rsidRPr="00BD30D4">
        <w:rPr>
          <w:rFonts w:ascii="Times New Roman" w:hAnsi="Times New Roman" w:cs="Times New Roman"/>
          <w:sz w:val="24"/>
          <w:szCs w:val="24"/>
        </w:rPr>
        <w:t>er, the estimated potential burden hours are: estimated number of vessels: 16 x 3 minutes per registration = 48 minutes/60 minutes = 0.8 (1) hours.</w:t>
      </w:r>
    </w:p>
    <w:p w:rsidR="00680EF1" w:rsidRPr="00BD30D4" w14:paraId="082FF9FF" w14:textId="77777777">
      <w:pPr>
        <w:spacing w:before="240" w:after="240"/>
        <w:rPr>
          <w:rFonts w:ascii="Times New Roman" w:hAnsi="Times New Roman" w:cs="Times New Roman"/>
          <w:b/>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b/>
          <w:sz w:val="24"/>
          <w:szCs w:val="24"/>
        </w:rPr>
        <w:t xml:space="preserve">Total responses: </w:t>
      </w:r>
      <w:r w:rsidRPr="00BD30D4" w:rsidR="0007552D">
        <w:rPr>
          <w:rFonts w:ascii="Times New Roman" w:hAnsi="Times New Roman" w:cs="Times New Roman"/>
          <w:b/>
          <w:sz w:val="24"/>
          <w:szCs w:val="24"/>
        </w:rPr>
        <w:t>976</w:t>
      </w:r>
      <w:r w:rsidRPr="00BD30D4">
        <w:rPr>
          <w:rFonts w:ascii="Times New Roman" w:hAnsi="Times New Roman" w:cs="Times New Roman"/>
          <w:b/>
          <w:sz w:val="24"/>
          <w:szCs w:val="24"/>
        </w:rPr>
        <w:t>. Total burden hours =</w:t>
      </w:r>
      <w:r w:rsidRPr="00BD30D4" w:rsidR="0007552D">
        <w:rPr>
          <w:rFonts w:ascii="Times New Roman" w:hAnsi="Times New Roman" w:cs="Times New Roman"/>
          <w:b/>
          <w:sz w:val="24"/>
          <w:szCs w:val="24"/>
        </w:rPr>
        <w:t xml:space="preserve"> 49</w:t>
      </w:r>
      <w:r w:rsidRPr="00BD30D4">
        <w:rPr>
          <w:rFonts w:ascii="Times New Roman" w:hAnsi="Times New Roman" w:cs="Times New Roman"/>
          <w:b/>
          <w:sz w:val="24"/>
          <w:szCs w:val="24"/>
        </w:rPr>
        <w:t>.</w:t>
      </w:r>
    </w:p>
    <w:tbl>
      <w:tblPr>
        <w:tblStyle w:val="a0"/>
        <w:tblW w:w="14940" w:type="dxa"/>
        <w:tblInd w:w="-815" w:type="dxa"/>
        <w:tblBorders>
          <w:top w:val="nil"/>
          <w:left w:val="nil"/>
          <w:bottom w:val="nil"/>
          <w:right w:val="nil"/>
          <w:insideH w:val="nil"/>
          <w:insideV w:val="nil"/>
        </w:tblBorders>
        <w:tblLayout w:type="fixed"/>
        <w:tblLook w:val="0600"/>
      </w:tblPr>
      <w:tblGrid>
        <w:gridCol w:w="1980"/>
        <w:gridCol w:w="1620"/>
        <w:gridCol w:w="1620"/>
        <w:gridCol w:w="1620"/>
        <w:gridCol w:w="1620"/>
        <w:gridCol w:w="1350"/>
        <w:gridCol w:w="1710"/>
        <w:gridCol w:w="1620"/>
        <w:gridCol w:w="1800"/>
      </w:tblGrid>
      <w:tr w14:paraId="5593022D" w14:textId="77777777" w:rsidTr="00887E90">
        <w:tblPrEx>
          <w:tblW w:w="14940" w:type="dxa"/>
          <w:tblInd w:w="-815" w:type="dxa"/>
          <w:tblBorders>
            <w:top w:val="nil"/>
            <w:left w:val="nil"/>
            <w:bottom w:val="nil"/>
            <w:right w:val="nil"/>
            <w:insideH w:val="nil"/>
            <w:insideV w:val="nil"/>
          </w:tblBorders>
          <w:tblLayout w:type="fixed"/>
          <w:tblLook w:val="0600"/>
        </w:tblPrEx>
        <w:trPr>
          <w:trHeight w:val="1907"/>
        </w:trPr>
        <w:tc>
          <w:tcPr>
            <w:tcW w:w="198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4C2215C5"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Information Collection</w:t>
            </w:r>
          </w:p>
        </w:tc>
        <w:tc>
          <w:tcPr>
            <w:tcW w:w="162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52AA093F"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Type of Respondent (e.g., Occupationa</w:t>
            </w:r>
            <w:r w:rsidRPr="00887E90">
              <w:rPr>
                <w:rFonts w:asciiTheme="majorHAnsi" w:hAnsiTheme="majorHAnsi" w:cstheme="majorHAnsi"/>
                <w:b/>
                <w:sz w:val="20"/>
                <w:szCs w:val="20"/>
              </w:rPr>
              <w:t>l Title)</w:t>
            </w:r>
          </w:p>
        </w:tc>
        <w:tc>
          <w:tcPr>
            <w:tcW w:w="162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60319831"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 of Respondents/year</w:t>
            </w:r>
            <w:r w:rsidRPr="00887E90">
              <w:rPr>
                <w:rFonts w:asciiTheme="majorHAnsi" w:hAnsiTheme="majorHAnsi" w:cstheme="majorHAnsi"/>
                <w:b/>
                <w:sz w:val="20"/>
                <w:szCs w:val="20"/>
              </w:rPr>
              <w:br/>
              <w:t xml:space="preserve"> (a)</w:t>
            </w:r>
          </w:p>
        </w:tc>
        <w:tc>
          <w:tcPr>
            <w:tcW w:w="162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69A875A0"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Annual # of Responses / Respondent</w:t>
            </w:r>
            <w:r w:rsidRPr="00887E90">
              <w:rPr>
                <w:rFonts w:asciiTheme="majorHAnsi" w:hAnsiTheme="majorHAnsi" w:cstheme="majorHAnsi"/>
                <w:b/>
                <w:sz w:val="20"/>
                <w:szCs w:val="20"/>
              </w:rPr>
              <w:br/>
              <w:t xml:space="preserve"> (b)</w:t>
            </w:r>
          </w:p>
        </w:tc>
        <w:tc>
          <w:tcPr>
            <w:tcW w:w="162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7EB5758E"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 xml:space="preserve"> Total # of Annual Responses</w:t>
            </w:r>
            <w:r w:rsidRPr="00887E90">
              <w:rPr>
                <w:rFonts w:asciiTheme="majorHAnsi" w:hAnsiTheme="majorHAnsi" w:cstheme="majorHAnsi"/>
                <w:b/>
                <w:sz w:val="20"/>
                <w:szCs w:val="20"/>
              </w:rPr>
              <w:br/>
              <w:t xml:space="preserve"> (c) = (a) x (b)</w:t>
            </w:r>
          </w:p>
        </w:tc>
        <w:tc>
          <w:tcPr>
            <w:tcW w:w="135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126BC126"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Burden Hrs / Response</w:t>
            </w:r>
            <w:r w:rsidRPr="00887E90">
              <w:rPr>
                <w:rFonts w:asciiTheme="majorHAnsi" w:hAnsiTheme="majorHAnsi" w:cstheme="majorHAnsi"/>
                <w:b/>
                <w:sz w:val="20"/>
                <w:szCs w:val="20"/>
              </w:rPr>
              <w:br/>
              <w:t xml:space="preserve"> (d)</w:t>
            </w:r>
          </w:p>
        </w:tc>
        <w:tc>
          <w:tcPr>
            <w:tcW w:w="171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4ADD8C52"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Total Annual Burden Hrs</w:t>
            </w:r>
            <w:r w:rsidRPr="00887E90">
              <w:rPr>
                <w:rFonts w:asciiTheme="majorHAnsi" w:hAnsiTheme="majorHAnsi" w:cstheme="majorHAnsi"/>
                <w:b/>
                <w:sz w:val="20"/>
                <w:szCs w:val="20"/>
              </w:rPr>
              <w:br/>
              <w:t xml:space="preserve"> (e)  = (c) x (d)</w:t>
            </w:r>
          </w:p>
        </w:tc>
        <w:tc>
          <w:tcPr>
            <w:tcW w:w="162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305D0480"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Hourly Wage Rate  (for Type of Respondent)</w:t>
            </w:r>
            <w:r w:rsidRPr="00887E90">
              <w:rPr>
                <w:rFonts w:asciiTheme="majorHAnsi" w:hAnsiTheme="majorHAnsi" w:cstheme="majorHAnsi"/>
                <w:b/>
                <w:sz w:val="20"/>
                <w:szCs w:val="20"/>
              </w:rPr>
              <w:br/>
              <w:t xml:space="preserve"> (f)</w:t>
            </w:r>
          </w:p>
        </w:tc>
        <w:tc>
          <w:tcPr>
            <w:tcW w:w="180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887E90" w14:paraId="7B826CC0" w14:textId="77777777">
            <w:pPr>
              <w:spacing w:before="240" w:after="240"/>
              <w:ind w:left="160" w:right="160"/>
              <w:jc w:val="center"/>
              <w:rPr>
                <w:rFonts w:asciiTheme="majorHAnsi" w:hAnsiTheme="majorHAnsi" w:cstheme="majorHAnsi"/>
                <w:b/>
                <w:sz w:val="20"/>
                <w:szCs w:val="20"/>
              </w:rPr>
            </w:pPr>
            <w:r w:rsidRPr="00887E90">
              <w:rPr>
                <w:rFonts w:asciiTheme="majorHAnsi" w:hAnsiTheme="majorHAnsi" w:cstheme="majorHAnsi"/>
                <w:b/>
                <w:sz w:val="20"/>
                <w:szCs w:val="20"/>
              </w:rPr>
              <w:t>Total Annual Wage</w:t>
            </w:r>
            <w:r w:rsidRPr="00887E90">
              <w:rPr>
                <w:rFonts w:asciiTheme="majorHAnsi" w:hAnsiTheme="majorHAnsi" w:cstheme="majorHAnsi"/>
                <w:b/>
                <w:sz w:val="20"/>
                <w:szCs w:val="20"/>
              </w:rPr>
              <w:t xml:space="preserve"> Burden Costs</w:t>
            </w:r>
            <w:r w:rsidRPr="00887E90">
              <w:rPr>
                <w:rFonts w:asciiTheme="majorHAnsi" w:hAnsiTheme="majorHAnsi" w:cstheme="majorHAnsi"/>
                <w:b/>
                <w:sz w:val="20"/>
                <w:szCs w:val="20"/>
              </w:rPr>
              <w:br/>
              <w:t xml:space="preserve"> (g) = (e) x (f)</w:t>
            </w:r>
          </w:p>
        </w:tc>
      </w:tr>
      <w:tr w14:paraId="4141C1C6" w14:textId="77777777" w:rsidTr="00D06C39">
        <w:tblPrEx>
          <w:tblW w:w="14940" w:type="dxa"/>
          <w:tblInd w:w="-815" w:type="dxa"/>
          <w:tblLayout w:type="fixed"/>
          <w:tblLook w:val="0600"/>
        </w:tblPrEx>
        <w:trPr>
          <w:trHeight w:val="818"/>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887E90" w14:paraId="03C75F14" w14:textId="77777777">
            <w:pPr>
              <w:spacing w:before="240" w:after="240"/>
              <w:ind w:left="160" w:right="160"/>
              <w:rPr>
                <w:rFonts w:asciiTheme="majorHAnsi" w:hAnsiTheme="majorHAnsi" w:cstheme="majorHAnsi"/>
                <w:sz w:val="20"/>
                <w:szCs w:val="20"/>
              </w:rPr>
            </w:pPr>
            <w:r w:rsidRPr="00887E90">
              <w:rPr>
                <w:rFonts w:asciiTheme="majorHAnsi" w:hAnsiTheme="majorHAnsi" w:cstheme="majorHAnsi"/>
                <w:sz w:val="20"/>
                <w:szCs w:val="20"/>
              </w:rPr>
              <w:t xml:space="preserve"> Registration of Anglers</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129736DE" w14:textId="77777777">
            <w:pPr>
              <w:spacing w:before="240" w:after="240"/>
              <w:ind w:left="160" w:right="160"/>
              <w:jc w:val="center"/>
              <w:rPr>
                <w:rFonts w:asciiTheme="majorHAnsi" w:hAnsiTheme="majorHAnsi" w:cstheme="majorHAnsi"/>
                <w:sz w:val="20"/>
                <w:szCs w:val="20"/>
              </w:rPr>
            </w:pPr>
            <w:r w:rsidRPr="00887E90">
              <w:rPr>
                <w:rFonts w:asciiTheme="majorHAnsi" w:hAnsiTheme="majorHAnsi" w:cstheme="majorHAnsi"/>
                <w:sz w:val="20"/>
                <w:szCs w:val="20"/>
              </w:rPr>
              <w:t xml:space="preserve">Private angler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4E20A9C1"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960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561D396A"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1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3A306B5A"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960 </w:t>
            </w:r>
          </w:p>
        </w:tc>
        <w:tc>
          <w:tcPr>
            <w:tcW w:w="135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rsidP="0007552D" w14:paraId="6E933F59"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0.05</w:t>
            </w:r>
          </w:p>
        </w:tc>
        <w:tc>
          <w:tcPr>
            <w:tcW w:w="171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21F22980"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48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622EEA31" w14:textId="2DDC3CB5">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w:t>
            </w:r>
            <w:r w:rsidR="00887E90">
              <w:rPr>
                <w:rFonts w:asciiTheme="majorHAnsi" w:hAnsiTheme="majorHAnsi" w:cstheme="majorHAnsi"/>
                <w:sz w:val="20"/>
                <w:szCs w:val="20"/>
              </w:rPr>
              <w:t>31.48</w:t>
            </w:r>
            <w:r w:rsidRPr="00887E90">
              <w:rPr>
                <w:rFonts w:asciiTheme="majorHAnsi" w:hAnsiTheme="majorHAnsi" w:cstheme="majorHAnsi"/>
                <w:sz w:val="20"/>
                <w:szCs w:val="20"/>
              </w:rPr>
              <w:t xml:space="preserve"> </w:t>
            </w:r>
          </w:p>
        </w:tc>
        <w:tc>
          <w:tcPr>
            <w:tcW w:w="180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3CDB39B6" w14:textId="245BCB51">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w:t>
            </w:r>
            <w:r w:rsidR="00887E90">
              <w:rPr>
                <w:rFonts w:asciiTheme="majorHAnsi" w:hAnsiTheme="majorHAnsi" w:cstheme="majorHAnsi"/>
                <w:sz w:val="20"/>
                <w:szCs w:val="20"/>
              </w:rPr>
              <w:t>1,511</w:t>
            </w:r>
            <w:r w:rsidRPr="00887E90">
              <w:rPr>
                <w:rFonts w:asciiTheme="majorHAnsi" w:hAnsiTheme="majorHAnsi" w:cstheme="majorHAnsi"/>
                <w:sz w:val="20"/>
                <w:szCs w:val="20"/>
              </w:rPr>
              <w:t xml:space="preserve"> </w:t>
            </w:r>
          </w:p>
        </w:tc>
      </w:tr>
      <w:tr w14:paraId="7EE730C0" w14:textId="77777777" w:rsidTr="00887E90">
        <w:tblPrEx>
          <w:tblW w:w="14940" w:type="dxa"/>
          <w:tblInd w:w="-815" w:type="dxa"/>
          <w:tblLayout w:type="fixed"/>
          <w:tblLook w:val="0600"/>
        </w:tblPrEx>
        <w:trPr>
          <w:trHeight w:val="522"/>
        </w:trPr>
        <w:tc>
          <w:tcPr>
            <w:tcW w:w="1980"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887E90" w14:paraId="12B3ADC9" w14:textId="77777777">
            <w:pPr>
              <w:spacing w:before="240" w:after="240"/>
              <w:ind w:left="160" w:right="160"/>
              <w:rPr>
                <w:rFonts w:asciiTheme="majorHAnsi" w:hAnsiTheme="majorHAnsi" w:cstheme="majorHAnsi"/>
                <w:sz w:val="20"/>
                <w:szCs w:val="20"/>
              </w:rPr>
            </w:pPr>
            <w:r w:rsidRPr="00887E90">
              <w:rPr>
                <w:rFonts w:asciiTheme="majorHAnsi" w:hAnsiTheme="majorHAnsi" w:cstheme="majorHAnsi"/>
                <w:sz w:val="20"/>
                <w:szCs w:val="20"/>
              </w:rPr>
              <w:t>Registration of For-Hire Vessels</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121EBE3B" w14:textId="77777777">
            <w:pPr>
              <w:spacing w:before="240" w:after="240"/>
              <w:ind w:left="160" w:right="160"/>
              <w:jc w:val="center"/>
              <w:rPr>
                <w:rFonts w:asciiTheme="majorHAnsi" w:hAnsiTheme="majorHAnsi" w:cstheme="majorHAnsi"/>
                <w:sz w:val="20"/>
                <w:szCs w:val="20"/>
              </w:rPr>
            </w:pPr>
            <w:r w:rsidRPr="00887E90">
              <w:rPr>
                <w:rFonts w:asciiTheme="majorHAnsi" w:hAnsiTheme="majorHAnsi" w:cstheme="majorHAnsi"/>
                <w:sz w:val="20"/>
                <w:szCs w:val="20"/>
              </w:rPr>
              <w:t xml:space="preserve">For Hire Vessel Owner/Operator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4074987A"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16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540A5F41"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1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2CF51FC6"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16 </w:t>
            </w:r>
          </w:p>
        </w:tc>
        <w:tc>
          <w:tcPr>
            <w:tcW w:w="135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52D0BCA1"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0.05 </w:t>
            </w:r>
          </w:p>
        </w:tc>
        <w:tc>
          <w:tcPr>
            <w:tcW w:w="171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2CE15431" w14:textId="77777777">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 xml:space="preserve">1 </w:t>
            </w:r>
          </w:p>
        </w:tc>
        <w:tc>
          <w:tcPr>
            <w:tcW w:w="162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5B679E43" w14:textId="65BCDCAF">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w:t>
            </w:r>
            <w:r w:rsidR="00EE486E">
              <w:rPr>
                <w:rFonts w:asciiTheme="majorHAnsi" w:hAnsiTheme="majorHAnsi" w:cstheme="majorHAnsi"/>
                <w:sz w:val="20"/>
                <w:szCs w:val="20"/>
              </w:rPr>
              <w:t>29.23</w:t>
            </w:r>
            <w:r w:rsidRPr="00887E90">
              <w:rPr>
                <w:rFonts w:asciiTheme="majorHAnsi" w:hAnsiTheme="majorHAnsi" w:cstheme="majorHAnsi"/>
                <w:sz w:val="20"/>
                <w:szCs w:val="20"/>
              </w:rPr>
              <w:t xml:space="preserve"> </w:t>
            </w:r>
          </w:p>
        </w:tc>
        <w:tc>
          <w:tcPr>
            <w:tcW w:w="1800"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887E90" w14:paraId="312F4E9A" w14:textId="1A3FD7FE">
            <w:pPr>
              <w:spacing w:before="240" w:after="240"/>
              <w:ind w:left="160" w:right="160"/>
              <w:jc w:val="right"/>
              <w:rPr>
                <w:rFonts w:asciiTheme="majorHAnsi" w:hAnsiTheme="majorHAnsi" w:cstheme="majorHAnsi"/>
                <w:sz w:val="20"/>
                <w:szCs w:val="20"/>
              </w:rPr>
            </w:pPr>
            <w:r w:rsidRPr="00887E90">
              <w:rPr>
                <w:rFonts w:asciiTheme="majorHAnsi" w:hAnsiTheme="majorHAnsi" w:cstheme="majorHAnsi"/>
                <w:sz w:val="20"/>
                <w:szCs w:val="20"/>
              </w:rPr>
              <w:t>$</w:t>
            </w:r>
            <w:r w:rsidR="00EE486E">
              <w:rPr>
                <w:rFonts w:asciiTheme="majorHAnsi" w:hAnsiTheme="majorHAnsi" w:cstheme="majorHAnsi"/>
                <w:sz w:val="20"/>
                <w:szCs w:val="20"/>
              </w:rPr>
              <w:t>29</w:t>
            </w:r>
            <w:r w:rsidRPr="00887E90">
              <w:rPr>
                <w:rFonts w:asciiTheme="majorHAnsi" w:hAnsiTheme="majorHAnsi" w:cstheme="majorHAnsi"/>
                <w:sz w:val="20"/>
                <w:szCs w:val="20"/>
              </w:rPr>
              <w:t xml:space="preserve"> </w:t>
            </w:r>
          </w:p>
        </w:tc>
      </w:tr>
      <w:tr w14:paraId="71B67A67" w14:textId="77777777" w:rsidTr="00D06C39">
        <w:tblPrEx>
          <w:tblW w:w="14940" w:type="dxa"/>
          <w:tblInd w:w="-815" w:type="dxa"/>
          <w:tblLayout w:type="fixed"/>
          <w:tblLook w:val="0600"/>
        </w:tblPrEx>
        <w:trPr>
          <w:trHeight w:val="503"/>
        </w:trPr>
        <w:tc>
          <w:tcPr>
            <w:tcW w:w="1980" w:type="dxa"/>
            <w:tcBorders>
              <w:top w:val="nil"/>
              <w:left w:val="single" w:sz="4" w:space="0" w:color="000000"/>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887E90" w14:paraId="0646288B" w14:textId="77777777">
            <w:pPr>
              <w:spacing w:before="240" w:after="240"/>
              <w:ind w:left="160" w:right="160"/>
              <w:rPr>
                <w:rFonts w:asciiTheme="majorHAnsi" w:hAnsiTheme="majorHAnsi" w:cstheme="majorHAnsi"/>
                <w:b/>
                <w:sz w:val="20"/>
                <w:szCs w:val="20"/>
              </w:rPr>
            </w:pPr>
            <w:r w:rsidRPr="00887E90">
              <w:rPr>
                <w:rFonts w:asciiTheme="majorHAnsi" w:hAnsiTheme="majorHAnsi" w:cstheme="majorHAnsi"/>
                <w:b/>
                <w:sz w:val="20"/>
                <w:szCs w:val="20"/>
              </w:rPr>
              <w:t>Totals</w:t>
            </w:r>
          </w:p>
        </w:tc>
        <w:tc>
          <w:tcPr>
            <w:tcW w:w="1620" w:type="dxa"/>
            <w:tcBorders>
              <w:top w:val="nil"/>
              <w:left w:val="nil"/>
              <w:bottom w:val="single" w:sz="4" w:space="0" w:color="000000"/>
              <w:right w:val="single" w:sz="4" w:space="0" w:color="000000"/>
            </w:tcBorders>
            <w:shd w:val="clear" w:color="auto" w:fill="000000"/>
            <w:tcMar>
              <w:top w:w="0" w:type="dxa"/>
              <w:left w:w="100" w:type="dxa"/>
              <w:bottom w:w="0" w:type="dxa"/>
              <w:right w:w="100" w:type="dxa"/>
            </w:tcMar>
            <w:vAlign w:val="bottom"/>
          </w:tcPr>
          <w:p w:rsidR="00680EF1" w:rsidRPr="00887E90" w14:paraId="4C8E1A76" w14:textId="77777777">
            <w:pPr>
              <w:spacing w:before="240" w:after="240"/>
              <w:ind w:left="160" w:right="160"/>
              <w:rPr>
                <w:rFonts w:eastAsia="Calibri" w:asciiTheme="majorHAnsi" w:hAnsiTheme="majorHAnsi" w:cstheme="majorHAnsi"/>
                <w:b/>
                <w:sz w:val="20"/>
                <w:szCs w:val="20"/>
              </w:rPr>
            </w:pPr>
            <w:r w:rsidRPr="00887E90">
              <w:rPr>
                <w:rFonts w:eastAsia="Calibri" w:asciiTheme="majorHAnsi" w:hAnsiTheme="majorHAnsi" w:cstheme="majorHAnsi"/>
                <w:b/>
                <w:sz w:val="20"/>
                <w:szCs w:val="20"/>
              </w:rPr>
              <w:t xml:space="preserve"> </w:t>
            </w:r>
          </w:p>
        </w:tc>
        <w:tc>
          <w:tcPr>
            <w:tcW w:w="1620" w:type="dxa"/>
            <w:tcBorders>
              <w:top w:val="nil"/>
              <w:left w:val="nil"/>
              <w:bottom w:val="single" w:sz="4" w:space="0" w:color="000000"/>
              <w:right w:val="single" w:sz="4" w:space="0" w:color="000000"/>
            </w:tcBorders>
            <w:shd w:val="clear" w:color="auto" w:fill="000000"/>
            <w:tcMar>
              <w:top w:w="0" w:type="dxa"/>
              <w:left w:w="100" w:type="dxa"/>
              <w:bottom w:w="0" w:type="dxa"/>
              <w:right w:w="100" w:type="dxa"/>
            </w:tcMar>
            <w:vAlign w:val="bottom"/>
          </w:tcPr>
          <w:p w:rsidR="00680EF1" w:rsidRPr="00887E90" w14:paraId="029A0307" w14:textId="77777777">
            <w:pPr>
              <w:spacing w:before="240" w:after="240"/>
              <w:ind w:left="160" w:right="160"/>
              <w:rPr>
                <w:rFonts w:eastAsia="Calibri" w:asciiTheme="majorHAnsi" w:hAnsiTheme="majorHAnsi" w:cstheme="majorHAnsi"/>
                <w:b/>
                <w:sz w:val="20"/>
                <w:szCs w:val="20"/>
              </w:rPr>
            </w:pPr>
          </w:p>
        </w:tc>
        <w:tc>
          <w:tcPr>
            <w:tcW w:w="1620" w:type="dxa"/>
            <w:tcBorders>
              <w:top w:val="nil"/>
              <w:left w:val="nil"/>
              <w:bottom w:val="single" w:sz="4" w:space="0" w:color="000000"/>
              <w:right w:val="single" w:sz="4" w:space="0" w:color="000000"/>
            </w:tcBorders>
            <w:shd w:val="clear" w:color="auto" w:fill="000000"/>
            <w:tcMar>
              <w:top w:w="0" w:type="dxa"/>
              <w:left w:w="100" w:type="dxa"/>
              <w:bottom w:w="0" w:type="dxa"/>
              <w:right w:w="100" w:type="dxa"/>
            </w:tcMar>
            <w:vAlign w:val="bottom"/>
          </w:tcPr>
          <w:p w:rsidR="00680EF1" w:rsidRPr="00887E90" w14:paraId="6972D512" w14:textId="77777777">
            <w:pPr>
              <w:spacing w:before="240" w:after="240"/>
              <w:ind w:left="160" w:right="160"/>
              <w:rPr>
                <w:rFonts w:eastAsia="Calibri" w:asciiTheme="majorHAnsi" w:hAnsiTheme="majorHAnsi" w:cstheme="majorHAnsi"/>
                <w:b/>
                <w:sz w:val="20"/>
                <w:szCs w:val="20"/>
              </w:rPr>
            </w:pPr>
            <w:r w:rsidRPr="00887E90">
              <w:rPr>
                <w:rFonts w:eastAsia="Calibri" w:asciiTheme="majorHAnsi" w:hAnsiTheme="majorHAnsi" w:cstheme="majorHAnsi"/>
                <w:b/>
                <w:sz w:val="20"/>
                <w:szCs w:val="20"/>
              </w:rPr>
              <w:t xml:space="preserve"> </w:t>
            </w:r>
          </w:p>
        </w:tc>
        <w:tc>
          <w:tcPr>
            <w:tcW w:w="1620" w:type="dxa"/>
            <w:tcBorders>
              <w:top w:val="nil"/>
              <w:left w:val="nil"/>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887E90" w:rsidP="0007552D" w14:paraId="7564EFDA" w14:textId="77777777">
            <w:pPr>
              <w:spacing w:before="240" w:after="240"/>
              <w:ind w:left="160" w:right="160"/>
              <w:rPr>
                <w:rFonts w:asciiTheme="majorHAnsi" w:hAnsiTheme="majorHAnsi" w:cstheme="majorHAnsi"/>
                <w:b/>
                <w:sz w:val="20"/>
                <w:szCs w:val="20"/>
              </w:rPr>
            </w:pPr>
            <w:r w:rsidRPr="00887E90">
              <w:rPr>
                <w:rFonts w:asciiTheme="majorHAnsi" w:hAnsiTheme="majorHAnsi" w:cstheme="majorHAnsi"/>
                <w:b/>
                <w:sz w:val="20"/>
                <w:szCs w:val="20"/>
              </w:rPr>
              <w:t xml:space="preserve"> </w:t>
            </w:r>
            <w:r w:rsidRPr="00887E90" w:rsidR="0007552D">
              <w:rPr>
                <w:rFonts w:asciiTheme="majorHAnsi" w:hAnsiTheme="majorHAnsi" w:cstheme="majorHAnsi"/>
                <w:b/>
                <w:sz w:val="20"/>
                <w:szCs w:val="20"/>
              </w:rPr>
              <w:t>976</w:t>
            </w:r>
          </w:p>
        </w:tc>
        <w:tc>
          <w:tcPr>
            <w:tcW w:w="1350" w:type="dxa"/>
            <w:tcBorders>
              <w:top w:val="nil"/>
              <w:left w:val="nil"/>
              <w:bottom w:val="single" w:sz="4" w:space="0" w:color="000000"/>
              <w:right w:val="single" w:sz="4" w:space="0" w:color="000000"/>
            </w:tcBorders>
            <w:shd w:val="clear" w:color="auto" w:fill="000000"/>
            <w:tcMar>
              <w:top w:w="0" w:type="dxa"/>
              <w:left w:w="100" w:type="dxa"/>
              <w:bottom w:w="0" w:type="dxa"/>
              <w:right w:w="100" w:type="dxa"/>
            </w:tcMar>
            <w:vAlign w:val="bottom"/>
          </w:tcPr>
          <w:p w:rsidR="00680EF1" w:rsidRPr="00887E90" w14:paraId="3C5266A5" w14:textId="77777777">
            <w:pPr>
              <w:spacing w:before="240" w:after="240"/>
              <w:ind w:left="160" w:right="160"/>
              <w:rPr>
                <w:rFonts w:asciiTheme="majorHAnsi" w:hAnsiTheme="majorHAnsi" w:cstheme="majorHAnsi"/>
                <w:b/>
                <w:sz w:val="20"/>
                <w:szCs w:val="20"/>
              </w:rPr>
            </w:pPr>
            <w:r w:rsidRPr="00887E90">
              <w:rPr>
                <w:rFonts w:asciiTheme="majorHAnsi" w:hAnsiTheme="majorHAnsi" w:cstheme="majorHAnsi"/>
                <w:b/>
                <w:sz w:val="20"/>
                <w:szCs w:val="20"/>
              </w:rPr>
              <w:t xml:space="preserve"> </w:t>
            </w:r>
          </w:p>
        </w:tc>
        <w:tc>
          <w:tcPr>
            <w:tcW w:w="1710" w:type="dxa"/>
            <w:tcBorders>
              <w:top w:val="nil"/>
              <w:left w:val="nil"/>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887E90" w14:paraId="4038A9DF" w14:textId="77777777">
            <w:pPr>
              <w:spacing w:before="240" w:after="240"/>
              <w:ind w:left="160" w:right="160"/>
              <w:rPr>
                <w:rFonts w:asciiTheme="majorHAnsi" w:hAnsiTheme="majorHAnsi" w:cstheme="majorHAnsi"/>
                <w:b/>
                <w:sz w:val="20"/>
                <w:szCs w:val="20"/>
              </w:rPr>
            </w:pPr>
            <w:r w:rsidRPr="00887E90">
              <w:rPr>
                <w:rFonts w:asciiTheme="majorHAnsi" w:hAnsiTheme="majorHAnsi" w:cstheme="majorHAnsi"/>
                <w:b/>
                <w:sz w:val="20"/>
                <w:szCs w:val="20"/>
              </w:rPr>
              <w:t xml:space="preserve"> 49</w:t>
            </w:r>
          </w:p>
        </w:tc>
        <w:tc>
          <w:tcPr>
            <w:tcW w:w="1620" w:type="dxa"/>
            <w:tcBorders>
              <w:top w:val="nil"/>
              <w:left w:val="nil"/>
              <w:bottom w:val="single" w:sz="4" w:space="0" w:color="000000"/>
              <w:right w:val="single" w:sz="4" w:space="0" w:color="000000"/>
            </w:tcBorders>
            <w:shd w:val="clear" w:color="auto" w:fill="000000"/>
            <w:tcMar>
              <w:top w:w="0" w:type="dxa"/>
              <w:left w:w="100" w:type="dxa"/>
              <w:bottom w:w="0" w:type="dxa"/>
              <w:right w:w="100" w:type="dxa"/>
            </w:tcMar>
            <w:vAlign w:val="bottom"/>
          </w:tcPr>
          <w:p w:rsidR="00680EF1" w:rsidRPr="00887E90" w14:paraId="58D9B95C" w14:textId="77777777">
            <w:pPr>
              <w:spacing w:before="240" w:after="240"/>
              <w:ind w:left="160" w:right="160"/>
              <w:rPr>
                <w:rFonts w:asciiTheme="majorHAnsi" w:hAnsiTheme="majorHAnsi" w:cstheme="majorHAnsi"/>
                <w:b/>
                <w:sz w:val="20"/>
                <w:szCs w:val="20"/>
              </w:rPr>
            </w:pPr>
            <w:r w:rsidRPr="00887E90">
              <w:rPr>
                <w:rFonts w:asciiTheme="majorHAnsi" w:hAnsiTheme="majorHAnsi" w:cstheme="majorHAnsi"/>
                <w:b/>
                <w:sz w:val="20"/>
                <w:szCs w:val="20"/>
              </w:rPr>
              <w:t xml:space="preserve"> </w:t>
            </w:r>
          </w:p>
        </w:tc>
        <w:tc>
          <w:tcPr>
            <w:tcW w:w="1800" w:type="dxa"/>
            <w:tcBorders>
              <w:top w:val="nil"/>
              <w:left w:val="nil"/>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887E90" w14:paraId="33A8E719" w14:textId="1C5F18BD">
            <w:pPr>
              <w:spacing w:before="240" w:after="240"/>
              <w:ind w:left="160" w:right="160"/>
              <w:rPr>
                <w:rFonts w:asciiTheme="majorHAnsi" w:hAnsiTheme="majorHAnsi" w:cstheme="majorHAnsi"/>
                <w:b/>
                <w:sz w:val="20"/>
                <w:szCs w:val="20"/>
              </w:rPr>
            </w:pPr>
            <w:r w:rsidRPr="00887E90">
              <w:rPr>
                <w:rFonts w:asciiTheme="majorHAnsi" w:hAnsiTheme="majorHAnsi" w:cstheme="majorHAnsi"/>
                <w:b/>
                <w:sz w:val="20"/>
                <w:szCs w:val="20"/>
              </w:rPr>
              <w:t xml:space="preserve"> $</w:t>
            </w:r>
            <w:r w:rsidR="00EE486E">
              <w:rPr>
                <w:rFonts w:asciiTheme="majorHAnsi" w:hAnsiTheme="majorHAnsi" w:cstheme="majorHAnsi"/>
                <w:b/>
                <w:sz w:val="20"/>
                <w:szCs w:val="20"/>
              </w:rPr>
              <w:t>1,540</w:t>
            </w:r>
          </w:p>
        </w:tc>
      </w:tr>
    </w:tbl>
    <w:p w:rsidR="00DC387A" w14:paraId="294B67FD" w14:textId="77777777">
      <w:pPr>
        <w:spacing w:before="240" w:after="24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*Numbers </w:t>
      </w:r>
      <w:r>
        <w:rPr>
          <w:rFonts w:ascii="Times New Roman" w:eastAsia="Times New Roman" w:hAnsi="Times New Roman" w:cs="Times New Roman"/>
          <w:sz w:val="24"/>
          <w:szCs w:val="24"/>
          <w:lang w:val="en-US"/>
        </w:rPr>
        <w:t>will display an increase/decrease by 1 due to rounding in ROCIS.</w:t>
      </w:r>
    </w:p>
    <w:p w:rsidR="00680EF1" w:rsidRPr="00BD30D4" w14:paraId="0082B6D6" w14:textId="24CB60C0">
      <w:pPr>
        <w:spacing w:before="240" w:after="240"/>
        <w:rPr>
          <w:rFonts w:ascii="Times New Roman" w:hAnsi="Times New Roman" w:cs="Times New Roman"/>
          <w:sz w:val="24"/>
          <w:szCs w:val="24"/>
        </w:rPr>
      </w:pPr>
      <w:r w:rsidRPr="00BD30D4">
        <w:rPr>
          <w:rFonts w:ascii="Times New Roman" w:hAnsi="Times New Roman" w:cs="Times New Roman"/>
          <w:sz w:val="24"/>
          <w:szCs w:val="24"/>
        </w:rPr>
        <w:t>Wage rates from:</w:t>
      </w:r>
    </w:p>
    <w:p w:rsidR="0007552D" w:rsidRPr="00BD30D4" w14:paraId="31ACD522" w14:textId="12207014">
      <w:pPr>
        <w:spacing w:before="240" w:after="240"/>
        <w:ind w:left="760"/>
        <w:rPr>
          <w:rFonts w:ascii="Times New Roman" w:hAnsi="Times New Roman" w:cs="Times New Roman"/>
          <w:sz w:val="24"/>
          <w:szCs w:val="24"/>
        </w:rPr>
      </w:pPr>
      <w:r w:rsidRPr="00BD30D4">
        <w:rPr>
          <w:rFonts w:ascii="Times New Roman" w:hAnsi="Times New Roman" w:cs="Times New Roman"/>
          <w:sz w:val="24"/>
          <w:szCs w:val="24"/>
        </w:rPr>
        <w:t>·</w:t>
      </w:r>
      <w:r w:rsidRPr="00BD30D4">
        <w:rPr>
          <w:rFonts w:ascii="Times New Roman" w:eastAsia="Times New Roman" w:hAnsi="Times New Roman" w:cs="Times New Roman"/>
          <w:sz w:val="24"/>
          <w:szCs w:val="24"/>
        </w:rPr>
        <w:t xml:space="preserve">         </w:t>
      </w:r>
      <w:r w:rsidRPr="00BD30D4">
        <w:rPr>
          <w:rFonts w:ascii="Times New Roman" w:hAnsi="Times New Roman" w:cs="Times New Roman"/>
          <w:sz w:val="24"/>
          <w:szCs w:val="24"/>
        </w:rPr>
        <w:t>private anglers:  $</w:t>
      </w:r>
      <w:r w:rsidR="00887E90">
        <w:rPr>
          <w:rFonts w:ascii="Times New Roman" w:hAnsi="Times New Roman" w:cs="Times New Roman"/>
          <w:sz w:val="24"/>
          <w:szCs w:val="24"/>
        </w:rPr>
        <w:t>31.48</w:t>
      </w:r>
      <w:r w:rsidRPr="00BD30D4">
        <w:rPr>
          <w:rFonts w:ascii="Times New Roman" w:hAnsi="Times New Roman" w:cs="Times New Roman"/>
          <w:sz w:val="24"/>
          <w:szCs w:val="24"/>
        </w:rPr>
        <w:t xml:space="preserve">/hr. </w:t>
      </w:r>
      <w:r w:rsidR="00887E90">
        <w:rPr>
          <w:rFonts w:ascii="Times New Roman" w:hAnsi="Times New Roman" w:cs="Times New Roman"/>
          <w:sz w:val="24"/>
          <w:szCs w:val="24"/>
        </w:rPr>
        <w:t>Wage rate for All Occupations (00-0000) is used as anglers can be in any profession</w:t>
      </w:r>
      <w:r w:rsidRPr="00BD30D4">
        <w:rPr>
          <w:rFonts w:ascii="Times New Roman" w:hAnsi="Times New Roman" w:cs="Times New Roman"/>
          <w:sz w:val="24"/>
          <w:szCs w:val="24"/>
        </w:rPr>
        <w:t>.</w:t>
      </w:r>
    </w:p>
    <w:p w:rsidR="00D06C39" w14:paraId="50B95383" w14:textId="77777777">
      <w:pPr>
        <w:spacing w:before="240" w:after="240"/>
        <w:ind w:left="760"/>
        <w:rPr>
          <w:rFonts w:ascii="Times New Roman" w:hAnsi="Times New Roman" w:cs="Times New Roman"/>
          <w:sz w:val="24"/>
          <w:szCs w:val="24"/>
        </w:rPr>
        <w:sectPr w:rsidSect="00D06C39">
          <w:pgSz w:w="15840" w:h="12240" w:orient="landscape"/>
          <w:pgMar w:top="1440" w:right="1440" w:bottom="1440" w:left="1440" w:header="720" w:footer="720" w:gutter="0"/>
          <w:pgNumType w:start="1"/>
          <w:cols w:space="720"/>
          <w:docGrid w:linePitch="299"/>
        </w:sectPr>
      </w:pPr>
      <w:r w:rsidRPr="00BD30D4">
        <w:rPr>
          <w:rFonts w:ascii="Times New Roman" w:hAnsi="Times New Roman" w:cs="Times New Roman"/>
          <w:sz w:val="24"/>
          <w:szCs w:val="24"/>
        </w:rPr>
        <w:t>·</w:t>
      </w:r>
      <w:r w:rsidRPr="00BD30D4">
        <w:rPr>
          <w:rFonts w:ascii="Times New Roman" w:eastAsia="Times New Roman" w:hAnsi="Times New Roman" w:cs="Times New Roman"/>
          <w:sz w:val="24"/>
          <w:szCs w:val="24"/>
        </w:rPr>
        <w:t xml:space="preserve">         </w:t>
      </w:r>
      <w:r w:rsidRPr="00BD30D4">
        <w:rPr>
          <w:rFonts w:ascii="Times New Roman" w:hAnsi="Times New Roman" w:cs="Times New Roman"/>
          <w:sz w:val="24"/>
          <w:szCs w:val="24"/>
        </w:rPr>
        <w:t xml:space="preserve">for-hire vessel </w:t>
      </w:r>
      <w:r w:rsidRPr="00BD30D4">
        <w:rPr>
          <w:rFonts w:ascii="Times New Roman" w:hAnsi="Times New Roman" w:cs="Times New Roman"/>
          <w:sz w:val="24"/>
          <w:szCs w:val="24"/>
        </w:rPr>
        <w:t>owners/operators:  $</w:t>
      </w:r>
      <w:r w:rsidR="00EE486E">
        <w:rPr>
          <w:rFonts w:ascii="Times New Roman" w:hAnsi="Times New Roman" w:cs="Times New Roman"/>
          <w:sz w:val="24"/>
          <w:szCs w:val="24"/>
        </w:rPr>
        <w:t>29.23</w:t>
      </w:r>
      <w:r w:rsidRPr="00BD30D4">
        <w:rPr>
          <w:rFonts w:ascii="Times New Roman" w:hAnsi="Times New Roman" w:cs="Times New Roman"/>
          <w:sz w:val="24"/>
          <w:szCs w:val="24"/>
        </w:rPr>
        <w:t>/hr.  From BLS Wage Table data 45-1011, Fishing, Farming, and Forestry Occupations;</w:t>
      </w:r>
      <w:hyperlink r:id="rId10">
        <w:r w:rsidRPr="00BD30D4">
          <w:rPr>
            <w:rFonts w:ascii="Times New Roman" w:hAnsi="Times New Roman" w:cs="Times New Roman"/>
            <w:sz w:val="24"/>
            <w:szCs w:val="24"/>
          </w:rPr>
          <w:t xml:space="preserve"> </w:t>
        </w:r>
      </w:hyperlink>
      <w:hyperlink r:id="rId10">
        <w:r w:rsidRPr="00BD30D4">
          <w:rPr>
            <w:rFonts w:ascii="Times New Roman" w:hAnsi="Times New Roman" w:cs="Times New Roman"/>
            <w:color w:val="1155CC"/>
            <w:sz w:val="24"/>
            <w:szCs w:val="24"/>
            <w:highlight w:val="white"/>
            <w:u w:val="single"/>
          </w:rPr>
          <w:t>First-Line Superv</w:t>
        </w:r>
        <w:r w:rsidRPr="00BD30D4">
          <w:rPr>
            <w:rFonts w:ascii="Times New Roman" w:hAnsi="Times New Roman" w:cs="Times New Roman"/>
            <w:color w:val="1155CC"/>
            <w:sz w:val="24"/>
            <w:szCs w:val="24"/>
            <w:highlight w:val="white"/>
            <w:u w:val="single"/>
          </w:rPr>
          <w:t>isors of Farming, Fishing, and Forestry Workers</w:t>
        </w:r>
      </w:hyperlink>
      <w:r w:rsidRPr="00BD30D4">
        <w:rPr>
          <w:rFonts w:ascii="Times New Roman" w:hAnsi="Times New Roman" w:cs="Times New Roman"/>
          <w:sz w:val="24"/>
          <w:szCs w:val="24"/>
        </w:rPr>
        <w:t xml:space="preserve">  Ship and Boat Captains and Operators </w:t>
      </w:r>
    </w:p>
    <w:p w:rsidR="00680EF1" w:rsidRPr="00BD30D4" w:rsidP="00887E90" w14:paraId="5CE7C1C2" w14:textId="52FD62AB">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 xml:space="preserve">13.  Provide an estimate for the total annual cost burden to respondents or record keepers resulting from the collection of information. (Do not include the cost of any </w:t>
      </w:r>
      <w:r w:rsidRPr="00887E90">
        <w:rPr>
          <w:rFonts w:ascii="Times New Roman" w:hAnsi="Times New Roman" w:cs="Times New Roman"/>
          <w:b/>
          <w:sz w:val="24"/>
          <w:szCs w:val="24"/>
        </w:rPr>
        <w:t>hour burden already reflected on the burden worksheet).</w:t>
      </w:r>
    </w:p>
    <w:p w:rsidR="00680EF1" w:rsidRPr="00BD30D4" w14:paraId="42011C33"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There are no capital costs for respondents.  The only cost beyond the burden hour cost is the cost of the registration fee.</w:t>
      </w:r>
    </w:p>
    <w:p w:rsidR="00680EF1" w:rsidRPr="00BD30D4" w14:paraId="3FA39982"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Since October 12, 2022, an annual registration fee of $15.00 has been requ</w:t>
      </w:r>
      <w:r w:rsidRPr="00BD30D4">
        <w:rPr>
          <w:rFonts w:ascii="Times New Roman" w:hAnsi="Times New Roman" w:cs="Times New Roman"/>
          <w:sz w:val="24"/>
          <w:szCs w:val="24"/>
        </w:rPr>
        <w:t>ired for registration with NOAA.  Total annual cost burden is therefore:</w:t>
      </w:r>
    </w:p>
    <w:p w:rsidR="00680EF1" w:rsidRPr="00BD30D4" w14:paraId="0244E6EC"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sz w:val="24"/>
          <w:szCs w:val="24"/>
        </w:rPr>
        <w:tab/>
        <w:t>Anglers:   960 registrants X $15.00/registration = $14,400</w:t>
      </w:r>
    </w:p>
    <w:p w:rsidR="00680EF1" w:rsidRPr="00BD30D4" w14:paraId="285BA548"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sz w:val="24"/>
          <w:szCs w:val="24"/>
        </w:rPr>
        <w:tab/>
        <w:t>For-hire Vessels: 16 registrants X $15.00/registration = $ 240</w:t>
      </w:r>
    </w:p>
    <w:p w:rsidR="00680EF1" w:rsidRPr="00BD30D4" w14:paraId="5EE081D0" w14:textId="77777777">
      <w:pPr>
        <w:spacing w:before="240" w:after="240"/>
        <w:rPr>
          <w:rFonts w:ascii="Times New Roman" w:hAnsi="Times New Roman" w:cs="Times New Roman"/>
          <w:b/>
          <w:sz w:val="24"/>
          <w:szCs w:val="24"/>
        </w:rPr>
      </w:pPr>
      <w:r w:rsidRPr="00BD30D4">
        <w:rPr>
          <w:rFonts w:ascii="Times New Roman" w:hAnsi="Times New Roman" w:cs="Times New Roman"/>
          <w:sz w:val="24"/>
          <w:szCs w:val="24"/>
        </w:rPr>
        <w:t xml:space="preserve">        </w:t>
      </w:r>
      <w:r w:rsidRPr="00BD30D4">
        <w:rPr>
          <w:rFonts w:ascii="Times New Roman" w:hAnsi="Times New Roman" w:cs="Times New Roman"/>
          <w:sz w:val="24"/>
          <w:szCs w:val="24"/>
        </w:rPr>
        <w:tab/>
      </w:r>
      <w:r w:rsidRPr="00BD30D4">
        <w:rPr>
          <w:rFonts w:ascii="Times New Roman" w:hAnsi="Times New Roman" w:cs="Times New Roman"/>
          <w:b/>
          <w:sz w:val="24"/>
          <w:szCs w:val="24"/>
        </w:rPr>
        <w:t>Total = $ 14,640.</w:t>
      </w:r>
    </w:p>
    <w:p w:rsidR="00680EF1" w14:paraId="65E1046B" w14:textId="3B0DBF91">
      <w:pPr>
        <w:spacing w:before="240" w:after="240"/>
        <w:rPr>
          <w:rFonts w:ascii="Times New Roman" w:hAnsi="Times New Roman" w:cs="Times New Roman"/>
          <w:sz w:val="24"/>
          <w:szCs w:val="24"/>
        </w:rPr>
      </w:pPr>
      <w:r w:rsidRPr="00BD30D4">
        <w:rPr>
          <w:rFonts w:ascii="Times New Roman" w:hAnsi="Times New Roman" w:cs="Times New Roman"/>
          <w:b/>
          <w:sz w:val="24"/>
          <w:szCs w:val="24"/>
        </w:rPr>
        <w:t xml:space="preserve"> </w:t>
      </w:r>
      <w:r w:rsidRPr="00BD30D4">
        <w:rPr>
          <w:rFonts w:ascii="Times New Roman" w:hAnsi="Times New Roman" w:cs="Times New Roman"/>
          <w:sz w:val="24"/>
          <w:szCs w:val="24"/>
        </w:rPr>
        <w:t>There are no record keeping requirements or costs for respondents.</w:t>
      </w:r>
    </w:p>
    <w:tbl>
      <w:tblPr>
        <w:tblStyle w:val="a1"/>
        <w:tblW w:w="10085" w:type="dxa"/>
        <w:tblInd w:w="-725" w:type="dxa"/>
        <w:tblBorders>
          <w:top w:val="nil"/>
          <w:left w:val="nil"/>
          <w:bottom w:val="nil"/>
          <w:right w:val="nil"/>
          <w:insideH w:val="nil"/>
          <w:insideV w:val="nil"/>
        </w:tblBorders>
        <w:tblLayout w:type="fixed"/>
        <w:tblLook w:val="0600"/>
      </w:tblPr>
      <w:tblGrid>
        <w:gridCol w:w="2700"/>
        <w:gridCol w:w="1800"/>
        <w:gridCol w:w="1421"/>
        <w:gridCol w:w="1452"/>
        <w:gridCol w:w="1356"/>
        <w:gridCol w:w="1356"/>
      </w:tblGrid>
      <w:tr w14:paraId="6B8D33F1" w14:textId="77777777" w:rsidTr="00D72BB1">
        <w:tblPrEx>
          <w:tblW w:w="10085" w:type="dxa"/>
          <w:tblInd w:w="-725" w:type="dxa"/>
          <w:tblBorders>
            <w:top w:val="nil"/>
            <w:left w:val="nil"/>
            <w:bottom w:val="nil"/>
            <w:right w:val="nil"/>
            <w:insideH w:val="nil"/>
            <w:insideV w:val="nil"/>
          </w:tblBorders>
          <w:tblLayout w:type="fixed"/>
          <w:tblLook w:val="0600"/>
        </w:tblPrEx>
        <w:trPr>
          <w:trHeight w:val="915"/>
        </w:trPr>
        <w:tc>
          <w:tcPr>
            <w:tcW w:w="27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0" w:type="dxa"/>
              <w:bottom w:w="0" w:type="dxa"/>
              <w:right w:w="100" w:type="dxa"/>
            </w:tcMar>
          </w:tcPr>
          <w:p w:rsidR="00680EF1" w:rsidRPr="00D72BB1" w14:paraId="04736061"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Information Collection</w:t>
            </w:r>
          </w:p>
        </w:tc>
        <w:tc>
          <w:tcPr>
            <w:tcW w:w="1800"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D72BB1" w14:paraId="5945251B"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 of Respondents/year</w:t>
            </w:r>
            <w:r w:rsidRPr="00D72BB1">
              <w:rPr>
                <w:rFonts w:eastAsia="Calibri" w:asciiTheme="majorHAnsi" w:hAnsiTheme="majorHAnsi" w:cstheme="majorHAnsi"/>
                <w:b/>
                <w:sz w:val="20"/>
                <w:szCs w:val="20"/>
              </w:rPr>
              <w:br/>
              <w:t xml:space="preserve"> (a)</w:t>
            </w:r>
          </w:p>
        </w:tc>
        <w:tc>
          <w:tcPr>
            <w:tcW w:w="1421"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D72BB1" w14:paraId="4CAD5BAB"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Annual # of Responses / Respondent</w:t>
            </w:r>
            <w:r w:rsidRPr="00D72BB1">
              <w:rPr>
                <w:rFonts w:eastAsia="Calibri" w:asciiTheme="majorHAnsi" w:hAnsiTheme="majorHAnsi" w:cstheme="majorHAnsi"/>
                <w:b/>
                <w:sz w:val="20"/>
                <w:szCs w:val="20"/>
              </w:rPr>
              <w:br/>
              <w:t xml:space="preserve"> (b)</w:t>
            </w:r>
          </w:p>
        </w:tc>
        <w:tc>
          <w:tcPr>
            <w:tcW w:w="1452"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D72BB1" w14:paraId="31A28750"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 xml:space="preserve"> Total # of Annual Responses</w:t>
            </w:r>
            <w:r w:rsidRPr="00D72BB1">
              <w:rPr>
                <w:rFonts w:eastAsia="Calibri" w:asciiTheme="majorHAnsi" w:hAnsiTheme="majorHAnsi" w:cstheme="majorHAnsi"/>
                <w:b/>
                <w:sz w:val="20"/>
                <w:szCs w:val="20"/>
              </w:rPr>
              <w:br/>
              <w:t xml:space="preserve"> (c) = (a) x (b)</w:t>
            </w:r>
          </w:p>
        </w:tc>
        <w:tc>
          <w:tcPr>
            <w:tcW w:w="1356"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D72BB1" w14:paraId="432DD9E2"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Cost Burden / Respondent</w:t>
            </w:r>
            <w:r w:rsidRPr="00D72BB1">
              <w:rPr>
                <w:rFonts w:eastAsia="Calibri" w:asciiTheme="majorHAnsi" w:hAnsiTheme="majorHAnsi" w:cstheme="majorHAnsi"/>
                <w:b/>
                <w:sz w:val="20"/>
                <w:szCs w:val="20"/>
              </w:rPr>
              <w:br/>
              <w:t xml:space="preserve"> (h)</w:t>
            </w:r>
          </w:p>
        </w:tc>
        <w:tc>
          <w:tcPr>
            <w:tcW w:w="1356" w:type="dxa"/>
            <w:tcBorders>
              <w:top w:val="single" w:sz="4" w:space="0" w:color="000000"/>
              <w:left w:val="nil"/>
              <w:bottom w:val="single" w:sz="4" w:space="0" w:color="000000"/>
              <w:right w:val="single" w:sz="4" w:space="0" w:color="000000"/>
            </w:tcBorders>
            <w:shd w:val="clear" w:color="auto" w:fill="BDD7EE"/>
            <w:tcMar>
              <w:top w:w="0" w:type="dxa"/>
              <w:left w:w="100" w:type="dxa"/>
              <w:bottom w:w="0" w:type="dxa"/>
              <w:right w:w="100" w:type="dxa"/>
            </w:tcMar>
          </w:tcPr>
          <w:p w:rsidR="00680EF1" w:rsidRPr="00D72BB1" w14:paraId="510C9A6D"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Total Annual Cost Burde</w:t>
            </w:r>
            <w:r w:rsidRPr="00D72BB1">
              <w:rPr>
                <w:rFonts w:eastAsia="Calibri" w:asciiTheme="majorHAnsi" w:hAnsiTheme="majorHAnsi" w:cstheme="majorHAnsi"/>
                <w:b/>
                <w:sz w:val="20"/>
                <w:szCs w:val="20"/>
              </w:rPr>
              <w:t>n</w:t>
            </w:r>
            <w:r w:rsidRPr="00D72BB1">
              <w:rPr>
                <w:rFonts w:eastAsia="Calibri" w:asciiTheme="majorHAnsi" w:hAnsiTheme="majorHAnsi" w:cstheme="majorHAnsi"/>
                <w:b/>
                <w:sz w:val="20"/>
                <w:szCs w:val="20"/>
              </w:rPr>
              <w:br/>
              <w:t xml:space="preserve"> (i) = (c) x (h)</w:t>
            </w:r>
          </w:p>
        </w:tc>
      </w:tr>
      <w:tr w14:paraId="54CF72CF" w14:textId="77777777" w:rsidTr="00D72BB1">
        <w:tblPrEx>
          <w:tblW w:w="10085" w:type="dxa"/>
          <w:tblInd w:w="-725" w:type="dxa"/>
          <w:tblLayout w:type="fixed"/>
          <w:tblLook w:val="0600"/>
        </w:tblPrEx>
        <w:trPr>
          <w:trHeight w:val="300"/>
        </w:trPr>
        <w:tc>
          <w:tcPr>
            <w:tcW w:w="2700"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D72BB1" w14:paraId="230E976B" w14:textId="77777777">
            <w:pPr>
              <w:spacing w:before="240" w:after="240"/>
              <w:ind w:left="-20"/>
              <w:rPr>
                <w:rFonts w:asciiTheme="majorHAnsi" w:hAnsiTheme="majorHAnsi" w:cstheme="majorHAnsi"/>
                <w:sz w:val="20"/>
                <w:szCs w:val="20"/>
              </w:rPr>
            </w:pPr>
            <w:r w:rsidRPr="00D72BB1">
              <w:rPr>
                <w:rFonts w:asciiTheme="majorHAnsi" w:hAnsiTheme="majorHAnsi" w:cstheme="majorHAnsi"/>
                <w:sz w:val="20"/>
                <w:szCs w:val="20"/>
              </w:rPr>
              <w:t xml:space="preserve"> Registration of Anglers</w:t>
            </w:r>
          </w:p>
        </w:tc>
        <w:tc>
          <w:tcPr>
            <w:tcW w:w="180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bottom"/>
          </w:tcPr>
          <w:p w:rsidR="00680EF1" w:rsidRPr="00D72BB1" w14:paraId="01D3A8E2" w14:textId="77777777">
            <w:pPr>
              <w:spacing w:before="240" w:after="240"/>
              <w:ind w:left="-20"/>
              <w:jc w:val="right"/>
              <w:rPr>
                <w:rFonts w:asciiTheme="majorHAnsi" w:hAnsiTheme="majorHAnsi" w:cstheme="majorHAnsi"/>
                <w:sz w:val="20"/>
                <w:szCs w:val="20"/>
              </w:rPr>
            </w:pPr>
            <w:r w:rsidRPr="00D72BB1">
              <w:rPr>
                <w:rFonts w:asciiTheme="majorHAnsi" w:hAnsiTheme="majorHAnsi" w:cstheme="majorHAnsi"/>
                <w:sz w:val="20"/>
                <w:szCs w:val="20"/>
              </w:rPr>
              <w:t>960</w:t>
            </w:r>
          </w:p>
        </w:tc>
        <w:tc>
          <w:tcPr>
            <w:tcW w:w="142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bottom"/>
          </w:tcPr>
          <w:p w:rsidR="00680EF1" w:rsidRPr="00D72BB1" w14:paraId="3002A4BE" w14:textId="77777777">
            <w:pPr>
              <w:spacing w:before="240" w:after="240"/>
              <w:ind w:left="-20"/>
              <w:jc w:val="right"/>
              <w:rPr>
                <w:rFonts w:asciiTheme="majorHAnsi" w:hAnsiTheme="majorHAnsi" w:cstheme="majorHAnsi"/>
                <w:sz w:val="20"/>
                <w:szCs w:val="20"/>
              </w:rPr>
            </w:pPr>
            <w:r w:rsidRPr="00D72BB1">
              <w:rPr>
                <w:rFonts w:asciiTheme="majorHAnsi" w:hAnsiTheme="majorHAnsi" w:cstheme="majorHAnsi"/>
                <w:sz w:val="20"/>
                <w:szCs w:val="20"/>
              </w:rPr>
              <w:t xml:space="preserve">1 </w:t>
            </w:r>
          </w:p>
        </w:tc>
        <w:tc>
          <w:tcPr>
            <w:tcW w:w="1452"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bottom"/>
          </w:tcPr>
          <w:p w:rsidR="00680EF1" w:rsidRPr="00D72BB1" w14:paraId="7076E12B" w14:textId="77777777">
            <w:pPr>
              <w:spacing w:before="240" w:after="240"/>
              <w:ind w:left="-20"/>
              <w:jc w:val="right"/>
              <w:rPr>
                <w:rFonts w:asciiTheme="majorHAnsi" w:hAnsiTheme="majorHAnsi" w:cstheme="majorHAnsi"/>
                <w:sz w:val="20"/>
                <w:szCs w:val="20"/>
              </w:rPr>
            </w:pPr>
            <w:r w:rsidRPr="00D72BB1">
              <w:rPr>
                <w:rFonts w:asciiTheme="majorHAnsi" w:hAnsiTheme="majorHAnsi" w:cstheme="majorHAnsi"/>
                <w:sz w:val="20"/>
                <w:szCs w:val="20"/>
              </w:rPr>
              <w:t xml:space="preserve">960 </w:t>
            </w:r>
          </w:p>
        </w:tc>
        <w:tc>
          <w:tcPr>
            <w:tcW w:w="135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rsidR="00680EF1" w:rsidRPr="00D72BB1" w14:paraId="1BA91ECB" w14:textId="77777777">
            <w:pPr>
              <w:spacing w:before="240" w:after="240"/>
              <w:ind w:left="-20"/>
              <w:jc w:val="right"/>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$15 </w:t>
            </w:r>
          </w:p>
        </w:tc>
        <w:tc>
          <w:tcPr>
            <w:tcW w:w="135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rsidR="00680EF1" w:rsidRPr="00D72BB1" w14:paraId="420F0213" w14:textId="77777777">
            <w:pPr>
              <w:spacing w:before="240" w:after="240"/>
              <w:ind w:left="-20"/>
              <w:jc w:val="right"/>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$14,400 </w:t>
            </w:r>
          </w:p>
        </w:tc>
      </w:tr>
      <w:tr w14:paraId="5E7871C3" w14:textId="77777777" w:rsidTr="00D72BB1">
        <w:tblPrEx>
          <w:tblW w:w="10085" w:type="dxa"/>
          <w:tblInd w:w="-725" w:type="dxa"/>
          <w:tblLayout w:type="fixed"/>
          <w:tblLook w:val="0600"/>
        </w:tblPrEx>
        <w:trPr>
          <w:trHeight w:val="570"/>
        </w:trPr>
        <w:tc>
          <w:tcPr>
            <w:tcW w:w="2700"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D72BB1" w14:paraId="35745C39" w14:textId="77777777">
            <w:pPr>
              <w:spacing w:before="240" w:after="240"/>
              <w:ind w:left="-20"/>
              <w:rPr>
                <w:rFonts w:asciiTheme="majorHAnsi" w:hAnsiTheme="majorHAnsi" w:cstheme="majorHAnsi"/>
                <w:sz w:val="20"/>
                <w:szCs w:val="20"/>
              </w:rPr>
            </w:pPr>
            <w:r w:rsidRPr="00D72BB1">
              <w:rPr>
                <w:rFonts w:asciiTheme="majorHAnsi" w:hAnsiTheme="majorHAnsi" w:cstheme="majorHAnsi"/>
                <w:sz w:val="20"/>
                <w:szCs w:val="20"/>
              </w:rPr>
              <w:t>Registration of For-Hire Vessels</w:t>
            </w:r>
          </w:p>
        </w:tc>
        <w:tc>
          <w:tcPr>
            <w:tcW w:w="1800"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bottom"/>
          </w:tcPr>
          <w:p w:rsidR="00680EF1" w:rsidRPr="00D72BB1" w14:paraId="4C02B532" w14:textId="77777777">
            <w:pPr>
              <w:spacing w:before="240" w:after="240"/>
              <w:ind w:left="-20"/>
              <w:jc w:val="right"/>
              <w:rPr>
                <w:rFonts w:asciiTheme="majorHAnsi" w:hAnsiTheme="majorHAnsi" w:cstheme="majorHAnsi"/>
                <w:sz w:val="20"/>
                <w:szCs w:val="20"/>
              </w:rPr>
            </w:pPr>
            <w:r w:rsidRPr="00D72BB1">
              <w:rPr>
                <w:rFonts w:asciiTheme="majorHAnsi" w:hAnsiTheme="majorHAnsi" w:cstheme="majorHAnsi"/>
                <w:sz w:val="20"/>
                <w:szCs w:val="20"/>
              </w:rPr>
              <w:t>16</w:t>
            </w:r>
          </w:p>
        </w:tc>
        <w:tc>
          <w:tcPr>
            <w:tcW w:w="1421"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bottom"/>
          </w:tcPr>
          <w:p w:rsidR="00680EF1" w:rsidRPr="00D72BB1" w14:paraId="1EEE2BBD" w14:textId="77777777">
            <w:pPr>
              <w:spacing w:before="240" w:after="240"/>
              <w:ind w:left="-20"/>
              <w:jc w:val="right"/>
              <w:rPr>
                <w:rFonts w:asciiTheme="majorHAnsi" w:hAnsiTheme="majorHAnsi" w:cstheme="majorHAnsi"/>
                <w:sz w:val="20"/>
                <w:szCs w:val="20"/>
              </w:rPr>
            </w:pPr>
            <w:r w:rsidRPr="00D72BB1">
              <w:rPr>
                <w:rFonts w:asciiTheme="majorHAnsi" w:hAnsiTheme="majorHAnsi" w:cstheme="majorHAnsi"/>
                <w:sz w:val="20"/>
                <w:szCs w:val="20"/>
              </w:rPr>
              <w:t xml:space="preserve">1 </w:t>
            </w:r>
          </w:p>
        </w:tc>
        <w:tc>
          <w:tcPr>
            <w:tcW w:w="1452"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vAlign w:val="bottom"/>
          </w:tcPr>
          <w:p w:rsidR="00680EF1" w:rsidRPr="00D72BB1" w14:paraId="3210ACB4" w14:textId="77777777">
            <w:pPr>
              <w:spacing w:before="240" w:after="240"/>
              <w:ind w:left="-20"/>
              <w:jc w:val="right"/>
              <w:rPr>
                <w:rFonts w:asciiTheme="majorHAnsi" w:hAnsiTheme="majorHAnsi" w:cstheme="majorHAnsi"/>
                <w:sz w:val="20"/>
                <w:szCs w:val="20"/>
              </w:rPr>
            </w:pPr>
            <w:r w:rsidRPr="00D72BB1">
              <w:rPr>
                <w:rFonts w:asciiTheme="majorHAnsi" w:hAnsiTheme="majorHAnsi" w:cstheme="majorHAnsi"/>
                <w:sz w:val="20"/>
                <w:szCs w:val="20"/>
              </w:rPr>
              <w:t>16</w:t>
            </w:r>
          </w:p>
        </w:tc>
        <w:tc>
          <w:tcPr>
            <w:tcW w:w="135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rsidR="00680EF1" w:rsidRPr="00D72BB1" w14:paraId="44BE5453" w14:textId="77777777">
            <w:pPr>
              <w:spacing w:before="240" w:after="240"/>
              <w:ind w:left="-20"/>
              <w:jc w:val="right"/>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$15 </w:t>
            </w:r>
          </w:p>
        </w:tc>
        <w:tc>
          <w:tcPr>
            <w:tcW w:w="1356" w:type="dxa"/>
            <w:tcBorders>
              <w:top w:val="nil"/>
              <w:left w:val="nil"/>
              <w:bottom w:val="single" w:sz="4" w:space="0" w:color="000000"/>
              <w:right w:val="single" w:sz="4" w:space="0" w:color="000000"/>
            </w:tcBorders>
            <w:shd w:val="clear" w:color="auto" w:fill="FFFFFF"/>
            <w:tcMar>
              <w:top w:w="0" w:type="dxa"/>
              <w:left w:w="100" w:type="dxa"/>
              <w:bottom w:w="0" w:type="dxa"/>
              <w:right w:w="100" w:type="dxa"/>
            </w:tcMar>
          </w:tcPr>
          <w:p w:rsidR="00680EF1" w:rsidRPr="00D72BB1" w14:paraId="54B5D34F" w14:textId="77777777">
            <w:pPr>
              <w:spacing w:before="240" w:after="240"/>
              <w:ind w:left="-20"/>
              <w:jc w:val="right"/>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$240 </w:t>
            </w:r>
          </w:p>
        </w:tc>
      </w:tr>
      <w:tr w14:paraId="3B415CD0" w14:textId="77777777" w:rsidTr="00D72BB1">
        <w:tblPrEx>
          <w:tblW w:w="10085" w:type="dxa"/>
          <w:tblInd w:w="-725" w:type="dxa"/>
          <w:tblLayout w:type="fixed"/>
          <w:tblLook w:val="0600"/>
        </w:tblPrEx>
        <w:trPr>
          <w:trHeight w:val="315"/>
        </w:trPr>
        <w:tc>
          <w:tcPr>
            <w:tcW w:w="2700" w:type="dxa"/>
            <w:tcBorders>
              <w:top w:val="nil"/>
              <w:left w:val="single" w:sz="4" w:space="0" w:color="000000"/>
              <w:bottom w:val="single" w:sz="4" w:space="0" w:color="000000"/>
              <w:right w:val="single" w:sz="4" w:space="0" w:color="000000"/>
            </w:tcBorders>
            <w:shd w:val="clear" w:color="auto" w:fill="DDEBF7"/>
            <w:tcMar>
              <w:top w:w="0" w:type="dxa"/>
              <w:left w:w="100" w:type="dxa"/>
              <w:bottom w:w="0" w:type="dxa"/>
              <w:right w:w="100" w:type="dxa"/>
            </w:tcMar>
          </w:tcPr>
          <w:p w:rsidR="00680EF1" w:rsidRPr="00D72BB1" w14:paraId="4DB12D8A" w14:textId="77777777">
            <w:pPr>
              <w:spacing w:before="240" w:after="240"/>
              <w:ind w:left="-20"/>
              <w:jc w:val="right"/>
              <w:rPr>
                <w:rFonts w:eastAsia="Calibri" w:asciiTheme="majorHAnsi" w:hAnsiTheme="majorHAnsi" w:cstheme="majorHAnsi"/>
                <w:b/>
                <w:sz w:val="20"/>
                <w:szCs w:val="20"/>
              </w:rPr>
            </w:pPr>
            <w:r w:rsidRPr="00D72BB1">
              <w:rPr>
                <w:rFonts w:eastAsia="Calibri" w:asciiTheme="majorHAnsi" w:hAnsiTheme="majorHAnsi" w:cstheme="majorHAnsi"/>
                <w:b/>
                <w:sz w:val="20"/>
                <w:szCs w:val="20"/>
              </w:rPr>
              <w:t>TOTALS</w:t>
            </w:r>
          </w:p>
        </w:tc>
        <w:tc>
          <w:tcPr>
            <w:tcW w:w="1800" w:type="dxa"/>
            <w:tcBorders>
              <w:top w:val="nil"/>
              <w:left w:val="nil"/>
              <w:bottom w:val="single" w:sz="4" w:space="0" w:color="000000"/>
              <w:right w:val="single" w:sz="4" w:space="0" w:color="000000"/>
            </w:tcBorders>
            <w:shd w:val="clear" w:color="auto" w:fill="000000" w:themeFill="text1"/>
            <w:tcMar>
              <w:top w:w="0" w:type="dxa"/>
              <w:left w:w="100" w:type="dxa"/>
              <w:bottom w:w="0" w:type="dxa"/>
              <w:right w:w="100" w:type="dxa"/>
            </w:tcMar>
          </w:tcPr>
          <w:p w:rsidR="00680EF1" w:rsidRPr="00D72BB1" w14:paraId="212CEFF6" w14:textId="77777777">
            <w:pPr>
              <w:spacing w:before="240" w:after="240"/>
              <w:ind w:left="-20"/>
              <w:jc w:val="right"/>
              <w:rPr>
                <w:rFonts w:eastAsia="Calibri" w:asciiTheme="majorHAnsi" w:hAnsiTheme="majorHAnsi" w:cstheme="majorHAnsi"/>
                <w:b/>
                <w:sz w:val="20"/>
                <w:szCs w:val="20"/>
              </w:rPr>
            </w:pPr>
            <w:r w:rsidRPr="00D72BB1">
              <w:rPr>
                <w:rFonts w:eastAsia="Calibri" w:asciiTheme="majorHAnsi" w:hAnsiTheme="majorHAnsi" w:cstheme="majorHAnsi"/>
                <w:b/>
                <w:sz w:val="20"/>
                <w:szCs w:val="20"/>
              </w:rPr>
              <w:t xml:space="preserve"> </w:t>
            </w:r>
          </w:p>
        </w:tc>
        <w:tc>
          <w:tcPr>
            <w:tcW w:w="1421" w:type="dxa"/>
            <w:tcBorders>
              <w:top w:val="nil"/>
              <w:left w:val="nil"/>
              <w:bottom w:val="single" w:sz="4" w:space="0" w:color="000000"/>
              <w:right w:val="single" w:sz="4" w:space="0" w:color="000000"/>
            </w:tcBorders>
            <w:shd w:val="clear" w:color="auto" w:fill="000000" w:themeFill="text1"/>
            <w:tcMar>
              <w:top w:w="0" w:type="dxa"/>
              <w:left w:w="100" w:type="dxa"/>
              <w:bottom w:w="0" w:type="dxa"/>
              <w:right w:w="100" w:type="dxa"/>
            </w:tcMar>
          </w:tcPr>
          <w:p w:rsidR="00680EF1" w:rsidRPr="00D72BB1" w14:paraId="53FE6843" w14:textId="77777777">
            <w:pPr>
              <w:spacing w:before="240" w:after="240"/>
              <w:ind w:left="-20"/>
              <w:jc w:val="right"/>
              <w:rPr>
                <w:rFonts w:eastAsia="Calibri" w:asciiTheme="majorHAnsi" w:hAnsiTheme="majorHAnsi" w:cstheme="majorHAnsi"/>
                <w:b/>
                <w:sz w:val="20"/>
                <w:szCs w:val="20"/>
              </w:rPr>
            </w:pPr>
            <w:r w:rsidRPr="00D72BB1">
              <w:rPr>
                <w:rFonts w:eastAsia="Calibri" w:asciiTheme="majorHAnsi" w:hAnsiTheme="majorHAnsi" w:cstheme="majorHAnsi"/>
                <w:b/>
                <w:sz w:val="20"/>
                <w:szCs w:val="20"/>
              </w:rPr>
              <w:t xml:space="preserve"> </w:t>
            </w:r>
          </w:p>
        </w:tc>
        <w:tc>
          <w:tcPr>
            <w:tcW w:w="1452" w:type="dxa"/>
            <w:tcBorders>
              <w:top w:val="nil"/>
              <w:left w:val="nil"/>
              <w:bottom w:val="single" w:sz="4" w:space="0" w:color="000000"/>
              <w:right w:val="single" w:sz="4" w:space="0" w:color="000000"/>
            </w:tcBorders>
            <w:shd w:val="clear" w:color="auto" w:fill="DDEBF7"/>
            <w:tcMar>
              <w:top w:w="0" w:type="dxa"/>
              <w:left w:w="100" w:type="dxa"/>
              <w:bottom w:w="0" w:type="dxa"/>
              <w:right w:w="100" w:type="dxa"/>
            </w:tcMar>
          </w:tcPr>
          <w:p w:rsidR="00680EF1" w:rsidRPr="00D72BB1" w14:paraId="61F2BF82" w14:textId="028D07F5">
            <w:pPr>
              <w:spacing w:before="240" w:after="240"/>
              <w:ind w:left="-20"/>
              <w:jc w:val="right"/>
              <w:rPr>
                <w:rFonts w:eastAsia="Calibri" w:asciiTheme="majorHAnsi" w:hAnsiTheme="majorHAnsi" w:cstheme="majorHAnsi"/>
                <w:b/>
                <w:sz w:val="20"/>
                <w:szCs w:val="20"/>
              </w:rPr>
            </w:pPr>
            <w:r>
              <w:rPr>
                <w:rFonts w:eastAsia="Calibri" w:asciiTheme="majorHAnsi" w:hAnsiTheme="majorHAnsi" w:cstheme="majorHAnsi"/>
                <w:b/>
                <w:sz w:val="20"/>
                <w:szCs w:val="20"/>
              </w:rPr>
              <w:t>976</w:t>
            </w:r>
            <w:r w:rsidRPr="00D72BB1" w:rsidR="007D37C2">
              <w:rPr>
                <w:rFonts w:eastAsia="Calibri" w:asciiTheme="majorHAnsi" w:hAnsiTheme="majorHAnsi" w:cstheme="majorHAnsi"/>
                <w:b/>
                <w:sz w:val="20"/>
                <w:szCs w:val="20"/>
              </w:rPr>
              <w:t xml:space="preserve"> </w:t>
            </w:r>
          </w:p>
        </w:tc>
        <w:tc>
          <w:tcPr>
            <w:tcW w:w="1356" w:type="dxa"/>
            <w:tcBorders>
              <w:top w:val="nil"/>
              <w:left w:val="nil"/>
              <w:bottom w:val="single" w:sz="4" w:space="0" w:color="000000"/>
              <w:right w:val="single" w:sz="4" w:space="0" w:color="000000"/>
            </w:tcBorders>
            <w:shd w:val="clear" w:color="auto" w:fill="000000" w:themeFill="text1"/>
            <w:tcMar>
              <w:top w:w="0" w:type="dxa"/>
              <w:left w:w="100" w:type="dxa"/>
              <w:bottom w:w="0" w:type="dxa"/>
              <w:right w:w="100" w:type="dxa"/>
            </w:tcMar>
          </w:tcPr>
          <w:p w:rsidR="00680EF1" w:rsidRPr="00D72BB1" w14:paraId="38A9D104" w14:textId="7A6446AB">
            <w:pPr>
              <w:spacing w:before="240" w:after="240"/>
              <w:ind w:left="-20"/>
              <w:jc w:val="right"/>
              <w:rPr>
                <w:rFonts w:eastAsia="Calibri" w:asciiTheme="majorHAnsi" w:hAnsiTheme="majorHAnsi" w:cstheme="majorHAnsi"/>
                <w:b/>
                <w:sz w:val="20"/>
                <w:szCs w:val="20"/>
              </w:rPr>
            </w:pPr>
          </w:p>
        </w:tc>
        <w:tc>
          <w:tcPr>
            <w:tcW w:w="1356"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680EF1" w:rsidRPr="00D72BB1" w14:paraId="65C46AC8" w14:textId="77777777">
            <w:pPr>
              <w:spacing w:before="240" w:after="240"/>
              <w:ind w:left="-20"/>
              <w:jc w:val="right"/>
              <w:rPr>
                <w:rFonts w:eastAsia="Calibri" w:asciiTheme="majorHAnsi" w:hAnsiTheme="majorHAnsi" w:cstheme="majorHAnsi"/>
                <w:b/>
                <w:sz w:val="20"/>
                <w:szCs w:val="20"/>
              </w:rPr>
            </w:pPr>
            <w:r w:rsidRPr="00D72BB1">
              <w:rPr>
                <w:rFonts w:eastAsia="Calibri" w:asciiTheme="majorHAnsi" w:hAnsiTheme="majorHAnsi" w:cstheme="majorHAnsi"/>
                <w:b/>
                <w:sz w:val="20"/>
                <w:szCs w:val="20"/>
              </w:rPr>
              <w:t xml:space="preserve">$14,640 </w:t>
            </w:r>
          </w:p>
        </w:tc>
      </w:tr>
    </w:tbl>
    <w:p w:rsidR="00680EF1" w:rsidRPr="00BD30D4" w14:paraId="55926F74"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p>
    <w:p w:rsidR="00680EF1" w:rsidRPr="00887E90" w:rsidP="00887E90" w14:paraId="6DCA9173" w14:textId="77777777">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w:t>
      </w:r>
      <w:r w:rsidRPr="00887E90">
        <w:rPr>
          <w:rFonts w:ascii="Times New Roman" w:hAnsi="Times New Roman" w:cs="Times New Roman"/>
          <w:b/>
          <w:sz w:val="24"/>
          <w:szCs w:val="24"/>
        </w:rPr>
        <w:t>ff), and any other expense that would not have been incurred without this collection of information.</w:t>
      </w:r>
    </w:p>
    <w:p w:rsidR="00680EF1" w:rsidRPr="00BD30D4" w14:paraId="0F3AE097" w14:textId="0FEF01FE">
      <w:pPr>
        <w:spacing w:before="240" w:after="240"/>
        <w:rPr>
          <w:rFonts w:ascii="Times New Roman" w:hAnsi="Times New Roman" w:cs="Times New Roman"/>
          <w:sz w:val="24"/>
          <w:szCs w:val="24"/>
        </w:rPr>
      </w:pPr>
      <w:r w:rsidRPr="00BD30D4">
        <w:rPr>
          <w:rFonts w:ascii="Times New Roman" w:hAnsi="Times New Roman" w:cs="Times New Roman"/>
          <w:sz w:val="24"/>
          <w:szCs w:val="24"/>
        </w:rPr>
        <w:t>The estimated 2024 annual cost to the Federal government is approximately $</w:t>
      </w:r>
      <w:r>
        <w:rPr>
          <w:rFonts w:ascii="Times New Roman" w:hAnsi="Times New Roman" w:cs="Times New Roman"/>
          <w:sz w:val="24"/>
          <w:szCs w:val="24"/>
        </w:rPr>
        <w:t>7,824</w:t>
      </w:r>
      <w:bookmarkStart w:id="1" w:name="_GoBack"/>
      <w:bookmarkEnd w:id="1"/>
      <w:r w:rsidRPr="00BD30D4">
        <w:rPr>
          <w:rFonts w:ascii="Times New Roman" w:hAnsi="Times New Roman" w:cs="Times New Roman"/>
          <w:sz w:val="24"/>
          <w:szCs w:val="24"/>
        </w:rPr>
        <w:t xml:space="preserve"> divided as follows:</w:t>
      </w:r>
    </w:p>
    <w:p w:rsidR="00680EF1" w:rsidRPr="00BD30D4" w14:paraId="60C6C56A" w14:textId="0BB86853">
      <w:pPr>
        <w:spacing w:before="240" w:after="240"/>
        <w:rPr>
          <w:rFonts w:ascii="Times New Roman" w:hAnsi="Times New Roman" w:cs="Times New Roman"/>
          <w:sz w:val="24"/>
          <w:szCs w:val="24"/>
        </w:rPr>
      </w:pPr>
      <w:r w:rsidRPr="00BD30D4">
        <w:rPr>
          <w:rFonts w:ascii="Times New Roman" w:hAnsi="Times New Roman" w:cs="Times New Roman"/>
          <w:sz w:val="24"/>
          <w:szCs w:val="24"/>
        </w:rPr>
        <w:t>$ 3959 in contractual costs, $</w:t>
      </w:r>
      <w:r w:rsidR="00D72BB1">
        <w:rPr>
          <w:rFonts w:ascii="Times New Roman" w:hAnsi="Times New Roman" w:cs="Times New Roman"/>
          <w:sz w:val="24"/>
          <w:szCs w:val="24"/>
        </w:rPr>
        <w:t>2,383</w:t>
      </w:r>
      <w:r w:rsidRPr="00BD30D4">
        <w:rPr>
          <w:rFonts w:ascii="Times New Roman" w:hAnsi="Times New Roman" w:cs="Times New Roman"/>
          <w:sz w:val="24"/>
          <w:szCs w:val="24"/>
        </w:rPr>
        <w:t xml:space="preserve"> in personnel costs and $1482 in distributed (indirect) costs.</w:t>
      </w:r>
    </w:p>
    <w:tbl>
      <w:tblPr>
        <w:tblStyle w:val="a2"/>
        <w:tblW w:w="0" w:type="auto"/>
        <w:tblBorders>
          <w:top w:val="nil"/>
          <w:left w:val="nil"/>
          <w:bottom w:val="nil"/>
          <w:right w:val="nil"/>
          <w:insideH w:val="nil"/>
          <w:insideV w:val="nil"/>
        </w:tblBorders>
        <w:tblLayout w:type="fixed"/>
        <w:tblLook w:val="0600"/>
      </w:tblPr>
      <w:tblGrid>
        <w:gridCol w:w="2444"/>
        <w:gridCol w:w="1421"/>
        <w:gridCol w:w="1225"/>
        <w:gridCol w:w="1316"/>
        <w:gridCol w:w="1462"/>
        <w:gridCol w:w="2297"/>
      </w:tblGrid>
      <w:tr w14:paraId="3D5935D9" w14:textId="77777777" w:rsidTr="00D72BB1">
        <w:tblPrEx>
          <w:tblW w:w="0" w:type="auto"/>
          <w:tblBorders>
            <w:top w:val="nil"/>
            <w:left w:val="nil"/>
            <w:bottom w:val="nil"/>
            <w:right w:val="nil"/>
            <w:insideH w:val="nil"/>
            <w:insideV w:val="nil"/>
          </w:tblBorders>
          <w:tblLayout w:type="fixed"/>
          <w:tblLook w:val="0600"/>
        </w:tblPrEx>
        <w:tc>
          <w:tcPr>
            <w:tcW w:w="2444" w:type="dxa"/>
            <w:tcBorders>
              <w:top w:val="single" w:sz="4" w:space="0" w:color="000000"/>
              <w:left w:val="single" w:sz="4" w:space="0" w:color="000000"/>
              <w:bottom w:val="nil"/>
              <w:right w:val="single" w:sz="4" w:space="0" w:color="000000"/>
            </w:tcBorders>
            <w:shd w:val="clear" w:color="auto" w:fill="BDD7EE"/>
            <w:tcMar>
              <w:top w:w="0" w:type="dxa"/>
              <w:left w:w="100" w:type="dxa"/>
              <w:bottom w:w="0" w:type="dxa"/>
              <w:right w:w="100" w:type="dxa"/>
            </w:tcMar>
          </w:tcPr>
          <w:p w:rsidR="00680EF1" w:rsidRPr="00D72BB1" w14:paraId="44905511"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Cost Descriptions</w:t>
            </w:r>
          </w:p>
        </w:tc>
        <w:tc>
          <w:tcPr>
            <w:tcW w:w="1421" w:type="dxa"/>
            <w:tcBorders>
              <w:top w:val="single" w:sz="4" w:space="0" w:color="000000"/>
              <w:left w:val="nil"/>
              <w:bottom w:val="nil"/>
              <w:right w:val="single" w:sz="4" w:space="0" w:color="000000"/>
            </w:tcBorders>
            <w:shd w:val="clear" w:color="auto" w:fill="BDD7EE"/>
            <w:tcMar>
              <w:top w:w="0" w:type="dxa"/>
              <w:left w:w="100" w:type="dxa"/>
              <w:bottom w:w="0" w:type="dxa"/>
              <w:right w:w="100" w:type="dxa"/>
            </w:tcMar>
          </w:tcPr>
          <w:p w:rsidR="00680EF1" w:rsidRPr="00D72BB1" w14:paraId="701C33AE"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Grade/Step</w:t>
            </w:r>
          </w:p>
        </w:tc>
        <w:tc>
          <w:tcPr>
            <w:tcW w:w="1225" w:type="dxa"/>
            <w:tcBorders>
              <w:top w:val="single" w:sz="4" w:space="0" w:color="000000"/>
              <w:left w:val="nil"/>
              <w:bottom w:val="nil"/>
              <w:right w:val="single" w:sz="4" w:space="0" w:color="000000"/>
            </w:tcBorders>
            <w:shd w:val="clear" w:color="auto" w:fill="BDD7EE"/>
            <w:tcMar>
              <w:top w:w="0" w:type="dxa"/>
              <w:left w:w="100" w:type="dxa"/>
              <w:bottom w:w="0" w:type="dxa"/>
              <w:right w:w="100" w:type="dxa"/>
            </w:tcMar>
          </w:tcPr>
          <w:p w:rsidR="00680EF1" w:rsidRPr="00D72BB1" w14:paraId="04F7977F"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Loaded Salary /Cost</w:t>
            </w:r>
          </w:p>
        </w:tc>
        <w:tc>
          <w:tcPr>
            <w:tcW w:w="1316" w:type="dxa"/>
            <w:tcBorders>
              <w:top w:val="single" w:sz="4" w:space="0" w:color="000000"/>
              <w:left w:val="nil"/>
              <w:bottom w:val="nil"/>
              <w:right w:val="single" w:sz="4" w:space="0" w:color="000000"/>
            </w:tcBorders>
            <w:shd w:val="clear" w:color="auto" w:fill="BDD7EE"/>
            <w:tcMar>
              <w:top w:w="0" w:type="dxa"/>
              <w:left w:w="100" w:type="dxa"/>
              <w:bottom w:w="0" w:type="dxa"/>
              <w:right w:w="100" w:type="dxa"/>
            </w:tcMar>
          </w:tcPr>
          <w:p w:rsidR="00680EF1" w:rsidRPr="00D72BB1" w14:paraId="297B8B3A"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 of Effort</w:t>
            </w:r>
          </w:p>
        </w:tc>
        <w:tc>
          <w:tcPr>
            <w:tcW w:w="1462" w:type="dxa"/>
            <w:tcBorders>
              <w:top w:val="single" w:sz="4" w:space="0" w:color="000000"/>
              <w:left w:val="nil"/>
              <w:bottom w:val="nil"/>
              <w:right w:val="single" w:sz="4" w:space="0" w:color="000000"/>
            </w:tcBorders>
            <w:shd w:val="clear" w:color="auto" w:fill="BDD7EE"/>
            <w:tcMar>
              <w:top w:w="0" w:type="dxa"/>
              <w:left w:w="100" w:type="dxa"/>
              <w:bottom w:w="0" w:type="dxa"/>
              <w:right w:w="100" w:type="dxa"/>
            </w:tcMar>
          </w:tcPr>
          <w:p w:rsidR="00680EF1" w:rsidRPr="00D72BB1" w14:paraId="0398EA5E"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Fringe (if Applicable)</w:t>
            </w:r>
          </w:p>
        </w:tc>
        <w:tc>
          <w:tcPr>
            <w:tcW w:w="2297" w:type="dxa"/>
            <w:tcBorders>
              <w:top w:val="single" w:sz="4" w:space="0" w:color="000000"/>
              <w:left w:val="nil"/>
              <w:bottom w:val="nil"/>
              <w:right w:val="single" w:sz="4" w:space="0" w:color="000000"/>
            </w:tcBorders>
            <w:shd w:val="clear" w:color="auto" w:fill="BDD7EE"/>
            <w:tcMar>
              <w:top w:w="0" w:type="dxa"/>
              <w:left w:w="100" w:type="dxa"/>
              <w:bottom w:w="0" w:type="dxa"/>
              <w:right w:w="100" w:type="dxa"/>
            </w:tcMar>
          </w:tcPr>
          <w:p w:rsidR="00680EF1" w:rsidRPr="00D72BB1" w14:paraId="1C63D7C4" w14:textId="77777777">
            <w:pPr>
              <w:spacing w:before="240" w:after="240"/>
              <w:ind w:left="-20"/>
              <w:jc w:val="center"/>
              <w:rPr>
                <w:rFonts w:eastAsia="Calibri" w:asciiTheme="majorHAnsi" w:hAnsiTheme="majorHAnsi" w:cstheme="majorHAnsi"/>
                <w:b/>
                <w:sz w:val="20"/>
                <w:szCs w:val="20"/>
              </w:rPr>
            </w:pPr>
            <w:r w:rsidRPr="00D72BB1">
              <w:rPr>
                <w:rFonts w:eastAsia="Calibri" w:asciiTheme="majorHAnsi" w:hAnsiTheme="majorHAnsi" w:cstheme="majorHAnsi"/>
                <w:b/>
                <w:sz w:val="20"/>
                <w:szCs w:val="20"/>
              </w:rPr>
              <w:t>Total Cost to Government</w:t>
            </w:r>
          </w:p>
        </w:tc>
      </w:tr>
      <w:tr w14:paraId="12063F4D" w14:textId="77777777" w:rsidTr="00D72BB1">
        <w:tblPrEx>
          <w:tblW w:w="0" w:type="auto"/>
          <w:tblLayout w:type="fixed"/>
          <w:tblLook w:val="0600"/>
        </w:tblPrEx>
        <w:trPr>
          <w:trHeight w:val="548"/>
        </w:trPr>
        <w:tc>
          <w:tcPr>
            <w:tcW w:w="24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D72BB1" w14:paraId="22738FCA" w14:textId="77777777">
            <w:pPr>
              <w:spacing w:before="240" w:after="240"/>
              <w:ind w:left="-20"/>
              <w:rPr>
                <w:rFonts w:eastAsia="Calibri" w:asciiTheme="majorHAnsi" w:hAnsiTheme="majorHAnsi" w:cstheme="majorHAnsi"/>
                <w:b/>
                <w:sz w:val="20"/>
                <w:szCs w:val="20"/>
              </w:rPr>
            </w:pPr>
            <w:r w:rsidRPr="00D72BB1">
              <w:rPr>
                <w:rFonts w:eastAsia="Calibri" w:asciiTheme="majorHAnsi" w:hAnsiTheme="majorHAnsi" w:cstheme="majorHAnsi"/>
                <w:b/>
                <w:sz w:val="20"/>
                <w:szCs w:val="20"/>
              </w:rPr>
              <w:t>Federal Oversight</w:t>
            </w:r>
          </w:p>
        </w:tc>
        <w:tc>
          <w:tcPr>
            <w:tcW w:w="1421"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vAlign w:val="bottom"/>
          </w:tcPr>
          <w:p w:rsidR="00680EF1" w:rsidRPr="00D72BB1" w14:paraId="465FF693"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ZP 04/03</w:t>
            </w:r>
          </w:p>
        </w:tc>
        <w:tc>
          <w:tcPr>
            <w:tcW w:w="122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vAlign w:val="bottom"/>
          </w:tcPr>
          <w:p w:rsidR="00680EF1" w:rsidRPr="00D72BB1" w14:paraId="6A833619" w14:textId="582EE73B">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r w:rsidRPr="00D72BB1" w:rsidR="00D72BB1">
              <w:rPr>
                <w:rFonts w:eastAsia="Calibri" w:asciiTheme="majorHAnsi" w:hAnsiTheme="majorHAnsi" w:cstheme="majorHAnsi"/>
                <w:sz w:val="20"/>
                <w:szCs w:val="20"/>
              </w:rPr>
              <w:t>238,290</w:t>
            </w:r>
          </w:p>
        </w:tc>
        <w:tc>
          <w:tcPr>
            <w:tcW w:w="1316"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vAlign w:val="bottom"/>
          </w:tcPr>
          <w:p w:rsidR="00680EF1" w:rsidRPr="00D72BB1" w14:paraId="46BF4EF9" w14:textId="69AD7151">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1%</w:t>
            </w:r>
          </w:p>
        </w:tc>
        <w:tc>
          <w:tcPr>
            <w:tcW w:w="1462" w:type="dxa"/>
            <w:tcBorders>
              <w:top w:val="single" w:sz="4" w:space="0" w:color="000000"/>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344583E5"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2297" w:type="dxa"/>
            <w:tcBorders>
              <w:top w:val="single" w:sz="4" w:space="0" w:color="000000"/>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69E1AF12" w14:textId="28723A19">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r w:rsidRPr="00D72BB1" w:rsidR="00D72BB1">
              <w:rPr>
                <w:rFonts w:eastAsia="Calibri" w:asciiTheme="majorHAnsi" w:hAnsiTheme="majorHAnsi" w:cstheme="majorHAnsi"/>
                <w:sz w:val="20"/>
                <w:szCs w:val="20"/>
              </w:rPr>
              <w:t>2,383</w:t>
            </w:r>
          </w:p>
        </w:tc>
      </w:tr>
      <w:tr w14:paraId="59B570AE" w14:textId="77777777" w:rsidTr="00D72BB1">
        <w:tblPrEx>
          <w:tblW w:w="0" w:type="auto"/>
          <w:tblLayout w:type="fixed"/>
          <w:tblLook w:val="0600"/>
        </w:tblPrEx>
        <w:trPr>
          <w:trHeight w:val="593"/>
        </w:trPr>
        <w:tc>
          <w:tcPr>
            <w:tcW w:w="2444"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D72BB1" w14:paraId="14B726D2"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Other Federal Positions</w:t>
            </w:r>
          </w:p>
        </w:tc>
        <w:tc>
          <w:tcPr>
            <w:tcW w:w="1421"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51590275"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225"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5EC016DF"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316"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0A3A5716"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462"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7B2B93F2"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2297"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51D7AA84"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r>
      <w:tr w14:paraId="5879E97B" w14:textId="77777777" w:rsidTr="00D72BB1">
        <w:tblPrEx>
          <w:tblW w:w="0" w:type="auto"/>
          <w:tblLayout w:type="fixed"/>
          <w:tblLook w:val="0600"/>
        </w:tblPrEx>
        <w:tc>
          <w:tcPr>
            <w:tcW w:w="2444"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D72BB1" w14:paraId="331FB7EC" w14:textId="77777777">
            <w:pPr>
              <w:spacing w:before="240" w:after="240"/>
              <w:ind w:left="-20"/>
              <w:rPr>
                <w:rFonts w:eastAsia="Calibri" w:asciiTheme="majorHAnsi" w:hAnsiTheme="majorHAnsi" w:cstheme="majorHAnsi"/>
                <w:b/>
                <w:sz w:val="20"/>
                <w:szCs w:val="20"/>
              </w:rPr>
            </w:pPr>
            <w:r w:rsidRPr="00D72BB1">
              <w:rPr>
                <w:rFonts w:eastAsia="Calibri" w:asciiTheme="majorHAnsi" w:hAnsiTheme="majorHAnsi" w:cstheme="majorHAnsi"/>
                <w:b/>
                <w:sz w:val="20"/>
                <w:szCs w:val="20"/>
              </w:rPr>
              <w:t>Contractor Cost</w:t>
            </w:r>
          </w:p>
        </w:tc>
        <w:tc>
          <w:tcPr>
            <w:tcW w:w="1421"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62DFB711"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22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vAlign w:val="bottom"/>
          </w:tcPr>
          <w:p w:rsidR="00680EF1" w:rsidRPr="00D72BB1" w14:paraId="3B7EFB51" w14:textId="21D3311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$3</w:t>
            </w:r>
            <w:r w:rsidR="00D72BB1">
              <w:rPr>
                <w:rFonts w:eastAsia="Calibri" w:asciiTheme="majorHAnsi" w:hAnsiTheme="majorHAnsi" w:cstheme="majorHAnsi"/>
                <w:sz w:val="20"/>
                <w:szCs w:val="20"/>
              </w:rPr>
              <w:t>,</w:t>
            </w:r>
            <w:r w:rsidRPr="00D72BB1">
              <w:rPr>
                <w:rFonts w:eastAsia="Calibri" w:asciiTheme="majorHAnsi" w:hAnsiTheme="majorHAnsi" w:cstheme="majorHAnsi"/>
                <w:sz w:val="20"/>
                <w:szCs w:val="20"/>
              </w:rPr>
              <w:t>959</w:t>
            </w:r>
          </w:p>
        </w:tc>
        <w:tc>
          <w:tcPr>
            <w:tcW w:w="1316"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vAlign w:val="bottom"/>
          </w:tcPr>
          <w:p w:rsidR="00680EF1" w:rsidRPr="00D72BB1" w14:paraId="117C1ABC"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N/A</w:t>
            </w:r>
          </w:p>
        </w:tc>
        <w:tc>
          <w:tcPr>
            <w:tcW w:w="1462"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vAlign w:val="bottom"/>
          </w:tcPr>
          <w:p w:rsidR="00680EF1" w:rsidRPr="00D72BB1" w14:paraId="611A5CA3"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2297"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4B60B7D9" w14:textId="3C86FE36">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$3</w:t>
            </w:r>
            <w:r w:rsidR="00D72BB1">
              <w:rPr>
                <w:rFonts w:eastAsia="Calibri" w:asciiTheme="majorHAnsi" w:hAnsiTheme="majorHAnsi" w:cstheme="majorHAnsi"/>
                <w:sz w:val="20"/>
                <w:szCs w:val="20"/>
              </w:rPr>
              <w:t>,</w:t>
            </w:r>
            <w:r w:rsidRPr="00D72BB1">
              <w:rPr>
                <w:rFonts w:eastAsia="Calibri" w:asciiTheme="majorHAnsi" w:hAnsiTheme="majorHAnsi" w:cstheme="majorHAnsi"/>
                <w:sz w:val="20"/>
                <w:szCs w:val="20"/>
              </w:rPr>
              <w:t>959</w:t>
            </w:r>
          </w:p>
        </w:tc>
      </w:tr>
      <w:tr w14:paraId="52937712" w14:textId="77777777" w:rsidTr="00D72BB1">
        <w:tblPrEx>
          <w:tblW w:w="0" w:type="auto"/>
          <w:tblLayout w:type="fixed"/>
          <w:tblLook w:val="0600"/>
        </w:tblPrEx>
        <w:tc>
          <w:tcPr>
            <w:tcW w:w="2444" w:type="dxa"/>
            <w:tcBorders>
              <w:top w:val="nil"/>
              <w:left w:val="single" w:sz="4" w:space="0" w:color="000000"/>
              <w:bottom w:val="single" w:sz="4" w:space="0" w:color="000000"/>
              <w:right w:val="single" w:sz="4" w:space="0" w:color="000000"/>
            </w:tcBorders>
            <w:tcMar>
              <w:top w:w="0" w:type="dxa"/>
              <w:left w:w="100" w:type="dxa"/>
              <w:bottom w:w="0" w:type="dxa"/>
              <w:right w:w="100" w:type="dxa"/>
            </w:tcMar>
            <w:vAlign w:val="bottom"/>
          </w:tcPr>
          <w:p w:rsidR="00680EF1" w:rsidRPr="00D72BB1" w14:paraId="57FEF1DE" w14:textId="77777777">
            <w:pPr>
              <w:spacing w:before="240" w:after="240"/>
              <w:ind w:left="-20"/>
              <w:rPr>
                <w:rFonts w:eastAsia="Calibri" w:asciiTheme="majorHAnsi" w:hAnsiTheme="majorHAnsi" w:cstheme="majorHAnsi"/>
                <w:b/>
                <w:sz w:val="20"/>
                <w:szCs w:val="20"/>
              </w:rPr>
            </w:pPr>
            <w:r w:rsidRPr="00D72BB1">
              <w:rPr>
                <w:rFonts w:eastAsia="Calibri" w:asciiTheme="majorHAnsi" w:hAnsiTheme="majorHAnsi" w:cstheme="majorHAnsi"/>
                <w:b/>
                <w:sz w:val="20"/>
                <w:szCs w:val="20"/>
              </w:rPr>
              <w:t>Travel</w:t>
            </w:r>
          </w:p>
        </w:tc>
        <w:tc>
          <w:tcPr>
            <w:tcW w:w="1421"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6A91B7D9"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225"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7346F6BE"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316"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0474BAFB"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462"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0D35EEA7"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2297"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69112A5F"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r>
      <w:tr w14:paraId="6D05FCA1" w14:textId="77777777" w:rsidTr="00D72BB1">
        <w:tblPrEx>
          <w:tblW w:w="0" w:type="auto"/>
          <w:tblLayout w:type="fixed"/>
          <w:tblLook w:val="0600"/>
        </w:tblPrEx>
        <w:tc>
          <w:tcPr>
            <w:tcW w:w="2444" w:type="dxa"/>
            <w:tcBorders>
              <w:top w:val="nil"/>
              <w:left w:val="single" w:sz="4" w:space="0" w:color="000000"/>
              <w:bottom w:val="nil"/>
              <w:right w:val="single" w:sz="4" w:space="0" w:color="000000"/>
            </w:tcBorders>
            <w:tcMar>
              <w:top w:w="0" w:type="dxa"/>
              <w:left w:w="100" w:type="dxa"/>
              <w:bottom w:w="0" w:type="dxa"/>
              <w:right w:w="100" w:type="dxa"/>
            </w:tcMar>
          </w:tcPr>
          <w:p w:rsidR="00680EF1" w:rsidRPr="00D72BB1" w14:paraId="7E4BD157" w14:textId="77777777">
            <w:pPr>
              <w:spacing w:before="240" w:after="240"/>
              <w:ind w:left="-20"/>
              <w:rPr>
                <w:rFonts w:eastAsia="Calibri" w:asciiTheme="majorHAnsi" w:hAnsiTheme="majorHAnsi" w:cstheme="majorHAnsi"/>
                <w:b/>
                <w:sz w:val="20"/>
                <w:szCs w:val="20"/>
              </w:rPr>
            </w:pPr>
            <w:r w:rsidRPr="00D72BB1">
              <w:rPr>
                <w:rFonts w:eastAsia="Calibri" w:asciiTheme="majorHAnsi" w:hAnsiTheme="majorHAnsi" w:cstheme="majorHAnsi"/>
                <w:b/>
                <w:sz w:val="20"/>
                <w:szCs w:val="20"/>
              </w:rPr>
              <w:t>Other Costs:</w:t>
            </w:r>
          </w:p>
        </w:tc>
        <w:tc>
          <w:tcPr>
            <w:tcW w:w="1421"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3DAAF4B6"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225"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627AB891"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316"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19077356"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462"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4DE069DB"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2297" w:type="dxa"/>
            <w:tcBorders>
              <w:top w:val="nil"/>
              <w:left w:val="nil"/>
              <w:bottom w:val="single" w:sz="4" w:space="0" w:color="000000"/>
              <w:right w:val="single" w:sz="4" w:space="0" w:color="000000"/>
            </w:tcBorders>
            <w:tcMar>
              <w:top w:w="0" w:type="dxa"/>
              <w:left w:w="100" w:type="dxa"/>
              <w:bottom w:w="0" w:type="dxa"/>
              <w:right w:w="100" w:type="dxa"/>
            </w:tcMar>
            <w:vAlign w:val="bottom"/>
          </w:tcPr>
          <w:p w:rsidR="00680EF1" w:rsidRPr="00D72BB1" w14:paraId="3549D891" w14:textId="3E0F002B">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$1</w:t>
            </w:r>
            <w:r w:rsidR="00D72BB1">
              <w:rPr>
                <w:rFonts w:eastAsia="Calibri" w:asciiTheme="majorHAnsi" w:hAnsiTheme="majorHAnsi" w:cstheme="majorHAnsi"/>
                <w:sz w:val="20"/>
                <w:szCs w:val="20"/>
              </w:rPr>
              <w:t>,</w:t>
            </w:r>
            <w:r w:rsidRPr="00D72BB1">
              <w:rPr>
                <w:rFonts w:eastAsia="Calibri" w:asciiTheme="majorHAnsi" w:hAnsiTheme="majorHAnsi" w:cstheme="majorHAnsi"/>
                <w:sz w:val="20"/>
                <w:szCs w:val="20"/>
              </w:rPr>
              <w:t>482</w:t>
            </w:r>
          </w:p>
        </w:tc>
      </w:tr>
      <w:tr w14:paraId="6BFC4CA5" w14:textId="77777777" w:rsidTr="00D72BB1">
        <w:tblPrEx>
          <w:tblW w:w="0" w:type="auto"/>
          <w:tblLayout w:type="fixed"/>
          <w:tblLook w:val="0600"/>
        </w:tblPrEx>
        <w:tc>
          <w:tcPr>
            <w:tcW w:w="2444" w:type="dxa"/>
            <w:tcBorders>
              <w:top w:val="single" w:sz="4" w:space="0" w:color="000000"/>
              <w:left w:val="single" w:sz="4" w:space="0" w:color="000000"/>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D72BB1" w14:paraId="19B9910B" w14:textId="77777777">
            <w:pPr>
              <w:spacing w:before="240" w:after="240"/>
              <w:ind w:left="-20"/>
              <w:rPr>
                <w:rFonts w:eastAsia="Calibri" w:asciiTheme="majorHAnsi" w:hAnsiTheme="majorHAnsi" w:cstheme="majorHAnsi"/>
                <w:b/>
                <w:sz w:val="20"/>
                <w:szCs w:val="20"/>
              </w:rPr>
            </w:pPr>
            <w:r w:rsidRPr="00D72BB1">
              <w:rPr>
                <w:rFonts w:eastAsia="Calibri" w:asciiTheme="majorHAnsi" w:hAnsiTheme="majorHAnsi" w:cstheme="majorHAnsi"/>
                <w:b/>
                <w:sz w:val="20"/>
                <w:szCs w:val="20"/>
              </w:rPr>
              <w:t>TOTAL</w:t>
            </w:r>
          </w:p>
        </w:tc>
        <w:tc>
          <w:tcPr>
            <w:tcW w:w="1421"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7EFE23D7"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225" w:type="dxa"/>
            <w:tcBorders>
              <w:top w:val="nil"/>
              <w:left w:val="nil"/>
              <w:bottom w:val="single" w:sz="4" w:space="0" w:color="000000"/>
              <w:right w:val="single" w:sz="4" w:space="0" w:color="000000"/>
            </w:tcBorders>
            <w:shd w:val="clear" w:color="auto" w:fill="808080"/>
            <w:tcMar>
              <w:top w:w="0" w:type="dxa"/>
              <w:left w:w="100" w:type="dxa"/>
              <w:bottom w:w="0" w:type="dxa"/>
              <w:right w:w="100" w:type="dxa"/>
            </w:tcMar>
            <w:vAlign w:val="bottom"/>
          </w:tcPr>
          <w:p w:rsidR="00680EF1" w:rsidRPr="00D72BB1" w14:paraId="76B1EEEE"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316" w:type="dxa"/>
            <w:tcBorders>
              <w:top w:val="nil"/>
              <w:left w:val="nil"/>
              <w:bottom w:val="single" w:sz="4" w:space="0" w:color="000000"/>
              <w:right w:val="single" w:sz="4" w:space="0" w:color="000000"/>
            </w:tcBorders>
            <w:shd w:val="clear" w:color="auto" w:fill="757171"/>
            <w:tcMar>
              <w:top w:w="0" w:type="dxa"/>
              <w:left w:w="100" w:type="dxa"/>
              <w:bottom w:w="0" w:type="dxa"/>
              <w:right w:w="100" w:type="dxa"/>
            </w:tcMar>
            <w:vAlign w:val="bottom"/>
          </w:tcPr>
          <w:p w:rsidR="00680EF1" w:rsidRPr="00D72BB1" w14:paraId="23281C2B"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1462" w:type="dxa"/>
            <w:tcBorders>
              <w:top w:val="nil"/>
              <w:left w:val="nil"/>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D72BB1" w14:paraId="54CD7343" w14:textId="77777777">
            <w:pPr>
              <w:spacing w:before="240" w:after="240"/>
              <w:ind w:left="-20"/>
              <w:rPr>
                <w:rFonts w:eastAsia="Calibri" w:asciiTheme="majorHAnsi" w:hAnsiTheme="majorHAnsi" w:cstheme="majorHAnsi"/>
                <w:sz w:val="20"/>
                <w:szCs w:val="20"/>
              </w:rPr>
            </w:pPr>
            <w:r w:rsidRPr="00D72BB1">
              <w:rPr>
                <w:rFonts w:eastAsia="Calibri" w:asciiTheme="majorHAnsi" w:hAnsiTheme="majorHAnsi" w:cstheme="majorHAnsi"/>
                <w:sz w:val="20"/>
                <w:szCs w:val="20"/>
              </w:rPr>
              <w:t xml:space="preserve"> </w:t>
            </w:r>
          </w:p>
        </w:tc>
        <w:tc>
          <w:tcPr>
            <w:tcW w:w="2297" w:type="dxa"/>
            <w:tcBorders>
              <w:top w:val="nil"/>
              <w:left w:val="nil"/>
              <w:bottom w:val="single" w:sz="4" w:space="0" w:color="000000"/>
              <w:right w:val="single" w:sz="4" w:space="0" w:color="000000"/>
            </w:tcBorders>
            <w:shd w:val="clear" w:color="auto" w:fill="DDEBF7"/>
            <w:tcMar>
              <w:top w:w="0" w:type="dxa"/>
              <w:left w:w="100" w:type="dxa"/>
              <w:bottom w:w="0" w:type="dxa"/>
              <w:right w:w="100" w:type="dxa"/>
            </w:tcMar>
            <w:vAlign w:val="bottom"/>
          </w:tcPr>
          <w:p w:rsidR="00680EF1" w:rsidRPr="00D72BB1" w14:paraId="68CBC2C7" w14:textId="59AC6A8A">
            <w:pPr>
              <w:spacing w:before="240" w:after="240"/>
              <w:ind w:left="-20"/>
              <w:rPr>
                <w:rFonts w:eastAsia="Calibri" w:asciiTheme="majorHAnsi" w:hAnsiTheme="majorHAnsi" w:cstheme="majorHAnsi"/>
                <w:b/>
                <w:sz w:val="20"/>
                <w:szCs w:val="20"/>
              </w:rPr>
            </w:pPr>
            <w:r w:rsidRPr="00D72BB1">
              <w:rPr>
                <w:rFonts w:eastAsia="Calibri" w:asciiTheme="majorHAnsi" w:hAnsiTheme="majorHAnsi" w:cstheme="majorHAnsi"/>
                <w:b/>
                <w:sz w:val="20"/>
                <w:szCs w:val="20"/>
              </w:rPr>
              <w:t xml:space="preserve"> $</w:t>
            </w:r>
            <w:r w:rsidRPr="00D72BB1" w:rsidR="00D72BB1">
              <w:rPr>
                <w:rFonts w:eastAsia="Calibri" w:asciiTheme="majorHAnsi" w:hAnsiTheme="majorHAnsi" w:cstheme="majorHAnsi"/>
                <w:b/>
                <w:sz w:val="20"/>
                <w:szCs w:val="20"/>
              </w:rPr>
              <w:t>7,824</w:t>
            </w:r>
          </w:p>
        </w:tc>
      </w:tr>
    </w:tbl>
    <w:p w:rsidR="00E26128" w14:paraId="12D9A0A1" w14:textId="77777777">
      <w:pPr>
        <w:spacing w:before="240" w:after="240"/>
        <w:rPr>
          <w:rFonts w:ascii="Times New Roman" w:hAnsi="Times New Roman" w:cs="Times New Roman"/>
          <w:sz w:val="24"/>
          <w:szCs w:val="24"/>
        </w:rPr>
        <w:sectPr w:rsidSect="00D06C39">
          <w:pgSz w:w="12240" w:h="15840"/>
          <w:pgMar w:top="1440" w:right="1440" w:bottom="1440" w:left="1440" w:header="720" w:footer="720" w:gutter="0"/>
          <w:pgNumType w:start="1"/>
          <w:cols w:space="720"/>
          <w:docGrid w:linePitch="299"/>
        </w:sectPr>
      </w:pPr>
      <w:r w:rsidRPr="00BD30D4">
        <w:rPr>
          <w:rFonts w:ascii="Times New Roman" w:hAnsi="Times New Roman" w:cs="Times New Roman"/>
          <w:sz w:val="24"/>
          <w:szCs w:val="24"/>
        </w:rPr>
        <w:t xml:space="preserve"> </w:t>
      </w:r>
    </w:p>
    <w:p w:rsidR="008845EA" w:rsidRPr="00BD30D4" w14:paraId="4C970711" w14:textId="67E0249E">
      <w:pPr>
        <w:spacing w:before="240" w:after="240"/>
        <w:rPr>
          <w:rFonts w:ascii="Times New Roman" w:hAnsi="Times New Roman" w:cs="Times New Roman"/>
          <w:sz w:val="24"/>
          <w:szCs w:val="24"/>
        </w:rPr>
      </w:pPr>
      <w:r>
        <w:rPr>
          <w:rFonts w:ascii="Times New Roman" w:hAnsi="Times New Roman" w:cs="Times New Roman"/>
          <w:sz w:val="24"/>
          <w:szCs w:val="24"/>
        </w:rPr>
        <w:t xml:space="preserve"> </w:t>
      </w:r>
    </w:p>
    <w:p w:rsidR="00680EF1" w:rsidRPr="005D6B9B" w:rsidP="00887E90" w14:paraId="1523927D" w14:textId="1ECD15EA">
      <w:pPr>
        <w:pStyle w:val="Heading1"/>
        <w:keepNext w:val="0"/>
        <w:keepLines w:val="0"/>
        <w:spacing w:before="200" w:after="0"/>
        <w:ind w:left="140"/>
        <w:rPr>
          <w:rFonts w:ascii="Times New Roman" w:hAnsi="Times New Roman" w:cs="Times New Roman"/>
          <w:b/>
          <w:sz w:val="24"/>
          <w:szCs w:val="24"/>
        </w:rPr>
      </w:pPr>
      <w:r w:rsidRPr="00BD30D4">
        <w:rPr>
          <w:rFonts w:ascii="Times New Roman" w:hAnsi="Times New Roman" w:cs="Times New Roman"/>
          <w:b/>
          <w:sz w:val="24"/>
          <w:szCs w:val="24"/>
        </w:rPr>
        <w:t>15.  Explain the reasons for any program changes or adjustments.</w:t>
      </w:r>
    </w:p>
    <w:tbl>
      <w:tblPr>
        <w:tblW w:w="0" w:type="auto"/>
        <w:tblCellMar>
          <w:top w:w="15" w:type="dxa"/>
          <w:left w:w="15" w:type="dxa"/>
          <w:bottom w:w="15" w:type="dxa"/>
          <w:right w:w="15" w:type="dxa"/>
        </w:tblCellMar>
        <w:tblLook w:val="04A0"/>
      </w:tblPr>
      <w:tblGrid>
        <w:gridCol w:w="1744"/>
        <w:gridCol w:w="1455"/>
        <w:gridCol w:w="1482"/>
        <w:gridCol w:w="1456"/>
        <w:gridCol w:w="1482"/>
        <w:gridCol w:w="1456"/>
        <w:gridCol w:w="1482"/>
        <w:gridCol w:w="2383"/>
      </w:tblGrid>
      <w:tr w14:paraId="5B6E1987" w14:textId="77777777" w:rsidTr="00021AE1">
        <w:tblPrEx>
          <w:tblW w:w="0" w:type="auto"/>
          <w:tblCellMar>
            <w:top w:w="15" w:type="dxa"/>
            <w:left w:w="15" w:type="dxa"/>
            <w:bottom w:w="15" w:type="dxa"/>
            <w:right w:w="15" w:type="dxa"/>
          </w:tblCellMar>
          <w:tblLook w:val="04A0"/>
        </w:tblPrEx>
        <w:trPr>
          <w:trHeight w:val="31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10B78A1F"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6C3A9064"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Respondents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1DC230F6"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Responses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3DDCFEBF"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Burden Hours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6225B3C3"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Reason for change or adjustment</w:t>
            </w:r>
          </w:p>
        </w:tc>
      </w:tr>
      <w:tr w14:paraId="0C036D0F" w14:textId="77777777" w:rsidTr="00021AE1">
        <w:tblPrEx>
          <w:tblW w:w="0" w:type="auto"/>
          <w:tblCellMar>
            <w:top w:w="15" w:type="dxa"/>
            <w:left w:w="15" w:type="dxa"/>
            <w:bottom w:w="15" w:type="dxa"/>
            <w:right w:w="15" w:type="dxa"/>
          </w:tblCellMar>
          <w:tblLook w:val="04A0"/>
        </w:tblPrEx>
        <w:trPr>
          <w:trHeight w:val="6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AE1" w:rsidRPr="00E26128" w:rsidP="00021AE1" w14:paraId="29D63A25" w14:textId="77777777">
            <w:pPr>
              <w:spacing w:line="240" w:lineRule="auto"/>
              <w:rPr>
                <w:rFonts w:eastAsia="Times New Roman" w:asciiTheme="majorHAnsi" w:hAnsiTheme="majorHAnsi" w:cstheme="majorHAnsi"/>
                <w:sz w:val="20"/>
                <w:szCs w:val="20"/>
                <w:lang w:val="en-US"/>
              </w:rPr>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021AE1" w:rsidRPr="00E26128" w:rsidP="00021AE1" w14:paraId="1A8158B6"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021AE1" w:rsidRPr="00E26128" w:rsidP="00021AE1" w14:paraId="6F350B97"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021AE1" w:rsidRPr="00E26128" w:rsidP="00021AE1" w14:paraId="610A9903"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021AE1" w:rsidRPr="00E26128" w:rsidP="00021AE1" w14:paraId="6E9CFD5A"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Previous Renewal / Revision</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021AE1" w:rsidRPr="00E26128" w:rsidP="00021AE1" w14:paraId="17B049CD"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Current Renewal / Revision</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021AE1" w:rsidRPr="00E26128" w:rsidP="00021AE1" w14:paraId="610C0AB9"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Previous Renewal / Revision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AE1" w:rsidRPr="00E26128" w:rsidP="00021AE1" w14:paraId="26043F77" w14:textId="77777777">
            <w:pPr>
              <w:spacing w:line="240" w:lineRule="auto"/>
              <w:rPr>
                <w:rFonts w:eastAsia="Times New Roman" w:asciiTheme="majorHAnsi" w:hAnsiTheme="majorHAnsi" w:cstheme="majorHAnsi"/>
                <w:sz w:val="20"/>
                <w:szCs w:val="20"/>
                <w:lang w:val="en-US"/>
              </w:rPr>
            </w:pPr>
          </w:p>
        </w:tc>
      </w:tr>
      <w:tr w14:paraId="1233C7AD" w14:textId="77777777" w:rsidTr="00021AE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021AE1" w:rsidRPr="00E26128" w:rsidP="00021AE1" w14:paraId="7A7B8E18"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Angler registrations</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71073104"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960 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3BF061DC"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5125BF">
              <w:rPr>
                <w:rFonts w:eastAsia="Times New Roman" w:asciiTheme="majorHAnsi" w:hAnsiTheme="majorHAnsi" w:cstheme="majorHAnsi"/>
                <w:color w:val="000000"/>
                <w:sz w:val="20"/>
                <w:szCs w:val="20"/>
                <w:lang w:val="en-US"/>
              </w:rPr>
              <w:t>1178</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0FE7150F"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960 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2F1F95A6"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5125BF">
              <w:rPr>
                <w:rFonts w:eastAsia="Times New Roman" w:asciiTheme="majorHAnsi" w:hAnsiTheme="majorHAnsi" w:cstheme="majorHAnsi"/>
                <w:color w:val="000000"/>
                <w:sz w:val="20"/>
                <w:szCs w:val="20"/>
                <w:lang w:val="en-US"/>
              </w:rPr>
              <w:t>1178</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69BCD9CB"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48 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0CFC2E72" w14:textId="15D26076">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60</w:t>
            </w:r>
          </w:p>
        </w:tc>
        <w:tc>
          <w:tcPr>
            <w:tcW w:w="0" w:type="auto"/>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418E7BE5"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5125BF">
              <w:rPr>
                <w:rFonts w:eastAsia="Times New Roman" w:asciiTheme="majorHAnsi" w:hAnsiTheme="majorHAnsi" w:cstheme="majorHAnsi"/>
                <w:color w:val="000000"/>
                <w:sz w:val="20"/>
                <w:szCs w:val="20"/>
                <w:lang w:val="en-US"/>
              </w:rPr>
              <w:t>Number of registrants has declined since last renewal</w:t>
            </w:r>
          </w:p>
        </w:tc>
      </w:tr>
      <w:tr w14:paraId="35E4B9FA" w14:textId="77777777" w:rsidTr="00021AE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021AE1" w:rsidRPr="00E26128" w:rsidP="00021AE1" w14:paraId="677FF643"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For Hire Vessel Registrations</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33174DF2"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16 </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2015FC15"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5125BF">
              <w:rPr>
                <w:rFonts w:eastAsia="Times New Roman" w:asciiTheme="majorHAnsi" w:hAnsiTheme="majorHAnsi" w:cstheme="majorHAnsi"/>
                <w:color w:val="000000"/>
                <w:sz w:val="20"/>
                <w:szCs w:val="20"/>
                <w:lang w:val="en-US"/>
              </w:rPr>
              <w:t>26</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067469D4"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16</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3B0CA655"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26 </w:t>
            </w:r>
          </w:p>
        </w:tc>
        <w:tc>
          <w:tcPr>
            <w:tcW w:w="0" w:type="auto"/>
            <w:tcBorders>
              <w:top w:val="dotted" w:sz="4"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6F55ED2F"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1 </w:t>
            </w:r>
          </w:p>
        </w:tc>
        <w:tc>
          <w:tcPr>
            <w:tcW w:w="0" w:type="auto"/>
            <w:tcBorders>
              <w:top w:val="dotted" w:sz="4"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4E7909E7"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2 </w:t>
            </w:r>
          </w:p>
        </w:tc>
        <w:tc>
          <w:tcPr>
            <w:tcW w:w="0" w:type="auto"/>
            <w:tcBorders>
              <w:top w:val="dotted" w:sz="4"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147DB711"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5125BF">
              <w:rPr>
                <w:rFonts w:eastAsia="Times New Roman" w:asciiTheme="majorHAnsi" w:hAnsiTheme="majorHAnsi" w:cstheme="majorHAnsi"/>
                <w:color w:val="000000"/>
                <w:sz w:val="20"/>
                <w:szCs w:val="20"/>
                <w:lang w:val="en-US"/>
              </w:rPr>
              <w:t>Number of registrants has declined since last renewal</w:t>
            </w:r>
          </w:p>
        </w:tc>
      </w:tr>
      <w:tr w14:paraId="3C564FD0" w14:textId="77777777" w:rsidTr="00021AE1">
        <w:tblPrEx>
          <w:tblW w:w="0" w:type="auto"/>
          <w:tblCellMar>
            <w:top w:w="15" w:type="dxa"/>
            <w:left w:w="15" w:type="dxa"/>
            <w:bottom w:w="15" w:type="dxa"/>
            <w:right w:w="15" w:type="dxa"/>
          </w:tblCellMar>
          <w:tblLook w:val="04A0"/>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22BF8B81"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Total for Collection</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21AE1" w:rsidRPr="00E26128" w:rsidP="00021AE1" w14:paraId="2957ABFB"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976</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236D870A"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 </w:t>
            </w:r>
            <w:r w:rsidRPr="00E26128" w:rsidR="005125BF">
              <w:rPr>
                <w:rFonts w:eastAsia="Times New Roman" w:asciiTheme="majorHAnsi" w:hAnsiTheme="majorHAnsi" w:cstheme="majorHAnsi"/>
                <w:b/>
                <w:bCs/>
                <w:color w:val="000000"/>
                <w:sz w:val="20"/>
                <w:szCs w:val="20"/>
                <w:lang w:val="en-US"/>
              </w:rPr>
              <w:t>1204</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21AE1" w:rsidRPr="00E26128" w:rsidP="00021AE1" w14:paraId="3BE24FB8"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 </w:t>
            </w:r>
            <w:r w:rsidRPr="00E26128" w:rsidR="005125BF">
              <w:rPr>
                <w:rFonts w:eastAsia="Times New Roman" w:asciiTheme="majorHAnsi" w:hAnsiTheme="majorHAnsi" w:cstheme="majorHAnsi"/>
                <w:b/>
                <w:bCs/>
                <w:color w:val="000000"/>
                <w:sz w:val="20"/>
                <w:szCs w:val="20"/>
                <w:lang w:val="en-US"/>
              </w:rPr>
              <w:t>976</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74190B73"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 </w:t>
            </w:r>
            <w:r w:rsidRPr="00E26128" w:rsidR="005125BF">
              <w:rPr>
                <w:rFonts w:eastAsia="Times New Roman" w:asciiTheme="majorHAnsi" w:hAnsiTheme="majorHAnsi" w:cstheme="majorHAnsi"/>
                <w:b/>
                <w:bCs/>
                <w:color w:val="000000"/>
                <w:sz w:val="20"/>
                <w:szCs w:val="20"/>
                <w:lang w:val="en-US"/>
              </w:rPr>
              <w:t>1204</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21AE1" w:rsidRPr="00E26128" w:rsidP="00021AE1" w14:paraId="7FD93129"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49 </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4A3FF1CC" w14:textId="38367461">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62</w:t>
            </w:r>
          </w:p>
        </w:tc>
        <w:tc>
          <w:tcPr>
            <w:tcW w:w="0" w:type="auto"/>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021AE1" w:rsidRPr="00E26128" w:rsidP="00021AE1" w14:paraId="122BFB59"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 </w:t>
            </w:r>
          </w:p>
        </w:tc>
      </w:tr>
      <w:tr w14:paraId="2FD433F4" w14:textId="77777777" w:rsidTr="00021AE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021AE1" w:rsidRPr="00E26128" w:rsidP="00021AE1" w14:paraId="5640A72B"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021AE1" w:rsidRPr="00E26128" w:rsidP="00021AE1" w14:paraId="0959F6D7" w14:textId="41F3F829">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w:t>
            </w:r>
            <w:r w:rsidRPr="00E26128" w:rsidR="007D37C2">
              <w:rPr>
                <w:rFonts w:eastAsia="Times New Roman" w:asciiTheme="majorHAnsi" w:hAnsiTheme="majorHAnsi" w:cstheme="majorHAnsi"/>
                <w:color w:val="000000"/>
                <w:sz w:val="20"/>
                <w:szCs w:val="20"/>
                <w:lang w:val="en-US"/>
              </w:rPr>
              <w:t>228 </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021AE1" w:rsidRPr="00E26128" w:rsidP="00021AE1" w14:paraId="5B5F3DE4" w14:textId="47841529">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w:t>
            </w:r>
            <w:r w:rsidRPr="00E26128" w:rsidR="007D37C2">
              <w:rPr>
                <w:rFonts w:eastAsia="Times New Roman" w:asciiTheme="majorHAnsi" w:hAnsiTheme="majorHAnsi" w:cstheme="majorHAnsi"/>
                <w:color w:val="000000"/>
                <w:sz w:val="20"/>
                <w:szCs w:val="20"/>
                <w:lang w:val="en-US"/>
              </w:rPr>
              <w:t>228 </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021AE1" w:rsidRPr="00E26128" w:rsidP="00021AE1" w14:paraId="6FD63EF9" w14:textId="312C9EB0">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w:t>
            </w:r>
            <w:r w:rsidRPr="00E26128" w:rsidR="007D37C2">
              <w:rPr>
                <w:rFonts w:eastAsia="Times New Roman" w:asciiTheme="majorHAnsi" w:hAnsiTheme="majorHAnsi" w:cstheme="majorHAnsi"/>
                <w:color w:val="000000"/>
                <w:sz w:val="20"/>
                <w:szCs w:val="20"/>
                <w:lang w:val="en-US"/>
              </w:rPr>
              <w:t>13</w:t>
            </w:r>
          </w:p>
        </w:tc>
        <w:tc>
          <w:tcPr>
            <w:tcW w:w="0" w:type="auto"/>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021AE1" w:rsidRPr="00E26128" w:rsidP="00021AE1" w14:paraId="093ACCEC"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p>
        </w:tc>
      </w:tr>
    </w:tbl>
    <w:p w:rsidR="00021AE1" w:rsidRPr="00DC387A" w:rsidP="00DC387A" w14:paraId="7AD9F6A5" w14:textId="4284233E">
      <w:pPr>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*Numbers </w:t>
      </w:r>
      <w:r>
        <w:rPr>
          <w:rFonts w:ascii="Times New Roman" w:eastAsia="Times New Roman" w:hAnsi="Times New Roman" w:cs="Times New Roman"/>
          <w:sz w:val="24"/>
          <w:szCs w:val="24"/>
          <w:lang w:val="en-US"/>
        </w:rPr>
        <w:t>will display an increase/decrease by 1 due to rounding in ROCIS.</w:t>
      </w:r>
      <w:r w:rsidRPr="00DC387A">
        <w:rPr>
          <w:rFonts w:ascii="Times New Roman" w:eastAsia="Times New Roman" w:hAnsi="Times New Roman" w:cs="Times New Roman"/>
          <w:sz w:val="24"/>
          <w:szCs w:val="24"/>
          <w:lang w:val="en-US"/>
        </w:rPr>
        <w:br/>
      </w:r>
      <w:r w:rsidRPr="00DC387A">
        <w:rPr>
          <w:rFonts w:ascii="Times New Roman" w:eastAsia="Times New Roman" w:hAnsi="Times New Roman" w:cs="Times New Roman"/>
          <w:sz w:val="24"/>
          <w:szCs w:val="24"/>
          <w:lang w:val="en-US"/>
        </w:rPr>
        <w:br/>
      </w:r>
    </w:p>
    <w:tbl>
      <w:tblPr>
        <w:tblW w:w="0" w:type="auto"/>
        <w:tblCellMar>
          <w:top w:w="15" w:type="dxa"/>
          <w:left w:w="15" w:type="dxa"/>
          <w:bottom w:w="15" w:type="dxa"/>
          <w:right w:w="15" w:type="dxa"/>
        </w:tblCellMar>
        <w:tblLook w:val="04A0"/>
      </w:tblPr>
      <w:tblGrid>
        <w:gridCol w:w="3717"/>
        <w:gridCol w:w="853"/>
        <w:gridCol w:w="928"/>
        <w:gridCol w:w="913"/>
        <w:gridCol w:w="993"/>
        <w:gridCol w:w="3043"/>
      </w:tblGrid>
      <w:tr w14:paraId="09F2F05E" w14:textId="77777777" w:rsidTr="00021AE1">
        <w:tblPrEx>
          <w:tblW w:w="0" w:type="auto"/>
          <w:tblCellMar>
            <w:top w:w="15" w:type="dxa"/>
            <w:left w:w="15" w:type="dxa"/>
            <w:bottom w:w="15" w:type="dxa"/>
            <w:right w:w="15" w:type="dxa"/>
          </w:tblCellMar>
          <w:tblLook w:val="04A0"/>
        </w:tblPrEx>
        <w:trPr>
          <w:trHeight w:val="31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16D8246F"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Information Collection</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7CFA7FFA"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Labor Costs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310C88DE"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Miscellaneous Costs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15" w:type="dxa"/>
              <w:bottom w:w="0" w:type="dxa"/>
              <w:right w:w="115" w:type="dxa"/>
            </w:tcMar>
            <w:vAlign w:val="center"/>
            <w:hideMark/>
          </w:tcPr>
          <w:p w:rsidR="00021AE1" w:rsidRPr="00E26128" w:rsidP="00021AE1" w14:paraId="48EB679E"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Reason for change or adjustment</w:t>
            </w:r>
          </w:p>
        </w:tc>
      </w:tr>
      <w:tr w14:paraId="3299DC34" w14:textId="77777777" w:rsidTr="00021AE1">
        <w:tblPrEx>
          <w:tblW w:w="0" w:type="auto"/>
          <w:tblCellMar>
            <w:top w:w="15" w:type="dxa"/>
            <w:left w:w="15" w:type="dxa"/>
            <w:bottom w:w="15" w:type="dxa"/>
            <w:right w:w="15" w:type="dxa"/>
          </w:tblCellMar>
          <w:tblLook w:val="04A0"/>
        </w:tblPrEx>
        <w:trPr>
          <w:trHeight w:val="6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AE1" w:rsidRPr="00E26128" w:rsidP="00021AE1" w14:paraId="47FC0311" w14:textId="77777777">
            <w:pPr>
              <w:spacing w:line="240" w:lineRule="auto"/>
              <w:rPr>
                <w:rFonts w:eastAsia="Times New Roman" w:asciiTheme="majorHAnsi" w:hAnsiTheme="majorHAnsi" w:cstheme="majorHAnsi"/>
                <w:sz w:val="20"/>
                <w:szCs w:val="20"/>
                <w:lang w:val="en-US"/>
              </w:rPr>
            </w:pP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021AE1" w:rsidRPr="00E26128" w:rsidP="00021AE1" w14:paraId="2A0E7081"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Current</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021AE1" w:rsidRPr="00E26128" w:rsidP="00021AE1" w14:paraId="06FEC9BA"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Previous</w:t>
            </w:r>
          </w:p>
        </w:tc>
        <w:tc>
          <w:tcPr>
            <w:tcW w:w="0" w:type="auto"/>
            <w:tcBorders>
              <w:top w:val="single" w:sz="8" w:space="0" w:color="000000"/>
              <w:left w:val="single" w:sz="8" w:space="0" w:color="000000"/>
              <w:bottom w:val="single" w:sz="8" w:space="0" w:color="000000"/>
              <w:right w:val="dashed" w:sz="8" w:space="0" w:color="000000"/>
            </w:tcBorders>
            <w:shd w:val="clear" w:color="auto" w:fill="FBE4D5"/>
            <w:tcMar>
              <w:top w:w="0" w:type="dxa"/>
              <w:left w:w="115" w:type="dxa"/>
              <w:bottom w:w="0" w:type="dxa"/>
              <w:right w:w="115" w:type="dxa"/>
            </w:tcMar>
            <w:vAlign w:val="center"/>
            <w:hideMark/>
          </w:tcPr>
          <w:p w:rsidR="00021AE1" w:rsidRPr="00E26128" w:rsidP="00021AE1" w14:paraId="778D9545"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Current</w:t>
            </w:r>
          </w:p>
        </w:tc>
        <w:tc>
          <w:tcPr>
            <w:tcW w:w="0" w:type="auto"/>
            <w:tcBorders>
              <w:top w:val="single" w:sz="8" w:space="0" w:color="000000"/>
              <w:left w:val="dashed" w:sz="8" w:space="0" w:color="000000"/>
              <w:bottom w:val="single" w:sz="8" w:space="0" w:color="000000"/>
              <w:right w:val="single" w:sz="8" w:space="0" w:color="000000"/>
            </w:tcBorders>
            <w:shd w:val="clear" w:color="auto" w:fill="FBE4D5"/>
            <w:tcMar>
              <w:top w:w="0" w:type="dxa"/>
              <w:left w:w="115" w:type="dxa"/>
              <w:bottom w:w="0" w:type="dxa"/>
              <w:right w:w="115" w:type="dxa"/>
            </w:tcMar>
            <w:vAlign w:val="center"/>
            <w:hideMark/>
          </w:tcPr>
          <w:p w:rsidR="00021AE1" w:rsidRPr="00E26128" w:rsidP="00021AE1" w14:paraId="0DA47AD2"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Previous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21AE1" w:rsidRPr="00E26128" w:rsidP="00021AE1" w14:paraId="7A087C6A" w14:textId="77777777">
            <w:pPr>
              <w:spacing w:line="240" w:lineRule="auto"/>
              <w:rPr>
                <w:rFonts w:eastAsia="Times New Roman" w:asciiTheme="majorHAnsi" w:hAnsiTheme="majorHAnsi" w:cstheme="majorHAnsi"/>
                <w:sz w:val="20"/>
                <w:szCs w:val="20"/>
                <w:lang w:val="en-US"/>
              </w:rPr>
            </w:pPr>
          </w:p>
        </w:tc>
      </w:tr>
      <w:tr w14:paraId="19676489" w14:textId="77777777" w:rsidTr="00021AE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021AE1" w:rsidRPr="00E26128" w:rsidP="00021AE1" w14:paraId="53A18DBB"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5125BF">
              <w:rPr>
                <w:rFonts w:eastAsia="Times New Roman" w:asciiTheme="majorHAnsi" w:hAnsiTheme="majorHAnsi" w:cstheme="majorHAnsi"/>
                <w:color w:val="000000"/>
                <w:sz w:val="20"/>
                <w:szCs w:val="20"/>
                <w:lang w:val="en-US"/>
              </w:rPr>
              <w:t>Registration of anglers and for hire vessels</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77C72CC6" w14:textId="012A3D71">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1540</w:t>
            </w:r>
            <w:r w:rsidRPr="00E26128" w:rsidR="007D37C2">
              <w:rPr>
                <w:rFonts w:eastAsia="Times New Roman" w:asciiTheme="majorHAnsi" w:hAnsiTheme="majorHAnsi" w:cstheme="majorHAnsi"/>
                <w:color w:val="000000"/>
                <w:sz w:val="20"/>
                <w:szCs w:val="20"/>
                <w:lang w:val="en-US"/>
              </w:rPr>
              <w:t> </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2F0DB313"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1575 </w:t>
            </w:r>
          </w:p>
        </w:tc>
        <w:tc>
          <w:tcPr>
            <w:tcW w:w="0" w:type="auto"/>
            <w:tcBorders>
              <w:top w:val="single" w:sz="8" w:space="0" w:color="000000"/>
              <w:left w:val="single" w:sz="8" w:space="0" w:color="000000"/>
              <w:bottom w:val="dotted" w:sz="4" w:space="0" w:color="000000"/>
              <w:right w:val="dashed" w:sz="8" w:space="0" w:color="000000"/>
            </w:tcBorders>
            <w:tcMar>
              <w:top w:w="0" w:type="dxa"/>
              <w:left w:w="115" w:type="dxa"/>
              <w:bottom w:w="0" w:type="dxa"/>
              <w:right w:w="115" w:type="dxa"/>
            </w:tcMar>
            <w:vAlign w:val="center"/>
            <w:hideMark/>
          </w:tcPr>
          <w:p w:rsidR="00021AE1" w:rsidRPr="00E26128" w:rsidP="00021AE1" w14:paraId="3B9B9F38" w14:textId="6FE6F834">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sz w:val="20"/>
                <w:szCs w:val="20"/>
                <w:lang w:val="en-US"/>
              </w:rPr>
              <w:t>14640</w:t>
            </w:r>
          </w:p>
        </w:tc>
        <w:tc>
          <w:tcPr>
            <w:tcW w:w="0" w:type="auto"/>
            <w:tcBorders>
              <w:top w:val="single" w:sz="8" w:space="0" w:color="000000"/>
              <w:left w:val="dashed"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5C37ED7A" w14:textId="70C8905E">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34,916</w:t>
            </w:r>
            <w:r w:rsidRPr="00E26128">
              <w:rPr>
                <w:rFonts w:eastAsia="Times New Roman" w:asciiTheme="majorHAnsi" w:hAnsiTheme="majorHAnsi" w:cstheme="majorHAnsi"/>
                <w:color w:val="000000"/>
                <w:sz w:val="20"/>
                <w:szCs w:val="20"/>
                <w:lang w:val="en-US"/>
              </w:rPr>
              <w:t> </w:t>
            </w:r>
          </w:p>
        </w:tc>
        <w:tc>
          <w:tcPr>
            <w:tcW w:w="0" w:type="auto"/>
            <w:tcBorders>
              <w:top w:val="single" w:sz="8" w:space="0" w:color="000000"/>
              <w:left w:val="single" w:sz="8" w:space="0" w:color="000000"/>
              <w:bottom w:val="dotted" w:sz="4" w:space="0" w:color="000000"/>
              <w:right w:val="single" w:sz="8" w:space="0" w:color="000000"/>
            </w:tcBorders>
            <w:tcMar>
              <w:top w:w="0" w:type="dxa"/>
              <w:left w:w="115" w:type="dxa"/>
              <w:bottom w:w="0" w:type="dxa"/>
              <w:right w:w="115" w:type="dxa"/>
            </w:tcMar>
            <w:vAlign w:val="center"/>
            <w:hideMark/>
          </w:tcPr>
          <w:p w:rsidR="00021AE1" w:rsidRPr="00E26128" w:rsidP="00021AE1" w14:paraId="689E3BC2"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r w:rsidRPr="00E26128" w:rsidR="007168D4">
              <w:rPr>
                <w:rFonts w:eastAsia="Times New Roman" w:asciiTheme="majorHAnsi" w:hAnsiTheme="majorHAnsi" w:cstheme="majorHAnsi"/>
                <w:color w:val="000000"/>
                <w:sz w:val="20"/>
                <w:szCs w:val="20"/>
                <w:lang w:val="en-US"/>
              </w:rPr>
              <w:t>Decline in number of registrations</w:t>
            </w:r>
          </w:p>
        </w:tc>
      </w:tr>
      <w:tr w14:paraId="06A0BF99" w14:textId="77777777" w:rsidTr="00021AE1">
        <w:tblPrEx>
          <w:tblW w:w="0" w:type="auto"/>
          <w:tblCellMar>
            <w:top w:w="15" w:type="dxa"/>
            <w:left w:w="15" w:type="dxa"/>
            <w:bottom w:w="15" w:type="dxa"/>
            <w:right w:w="15" w:type="dxa"/>
          </w:tblCellMar>
          <w:tblLook w:val="04A0"/>
        </w:tblPrEx>
        <w:trPr>
          <w:trHeight w:val="465"/>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2E889431"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Total for Collection</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21AE1" w:rsidRPr="00E26128" w:rsidP="00021AE1" w14:paraId="48A9ED06" w14:textId="2ADFD0FC">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b/>
                <w:bCs/>
                <w:color w:val="000000"/>
                <w:sz w:val="20"/>
                <w:szCs w:val="20"/>
                <w:lang w:val="en-US"/>
              </w:rPr>
              <w:t>1540</w:t>
            </w:r>
            <w:r w:rsidRPr="00E26128" w:rsidR="007D37C2">
              <w:rPr>
                <w:rFonts w:eastAsia="Times New Roman" w:asciiTheme="majorHAnsi" w:hAnsiTheme="majorHAnsi" w:cstheme="majorHAnsi"/>
                <w:b/>
                <w:bCs/>
                <w:color w:val="000000"/>
                <w:sz w:val="20"/>
                <w:szCs w:val="20"/>
                <w:lang w:val="en-US"/>
              </w:rPr>
              <w:t> </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39F6D520"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1575 </w:t>
            </w:r>
          </w:p>
        </w:tc>
        <w:tc>
          <w:tcPr>
            <w:tcW w:w="0" w:type="auto"/>
            <w:tcBorders>
              <w:top w:val="dotted" w:sz="4" w:space="0" w:color="000000"/>
              <w:left w:val="single" w:sz="8" w:space="0" w:color="000000"/>
              <w:bottom w:val="single" w:sz="8" w:space="0" w:color="000000"/>
              <w:right w:val="dashed" w:sz="8" w:space="0" w:color="000000"/>
            </w:tcBorders>
            <w:shd w:val="clear" w:color="auto" w:fill="BDD6EE"/>
            <w:tcMar>
              <w:top w:w="0" w:type="dxa"/>
              <w:left w:w="115" w:type="dxa"/>
              <w:bottom w:w="0" w:type="dxa"/>
              <w:right w:w="115" w:type="dxa"/>
            </w:tcMar>
            <w:vAlign w:val="center"/>
            <w:hideMark/>
          </w:tcPr>
          <w:p w:rsidR="00021AE1" w:rsidRPr="00E26128" w:rsidP="00021AE1" w14:paraId="4D5AED36" w14:textId="0E0D86CC">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14640</w:t>
            </w:r>
          </w:p>
        </w:tc>
        <w:tc>
          <w:tcPr>
            <w:tcW w:w="0" w:type="auto"/>
            <w:tcBorders>
              <w:top w:val="dotted" w:sz="4" w:space="0" w:color="000000"/>
              <w:left w:val="dashed" w:sz="8" w:space="0" w:color="000000"/>
              <w:bottom w:val="single" w:sz="8" w:space="0" w:color="000000"/>
              <w:right w:val="single" w:sz="8" w:space="0" w:color="000000"/>
            </w:tcBorders>
            <w:shd w:val="clear" w:color="auto" w:fill="BDD6EE"/>
            <w:tcMar>
              <w:top w:w="0" w:type="dxa"/>
              <w:left w:w="115" w:type="dxa"/>
              <w:bottom w:w="0" w:type="dxa"/>
              <w:right w:w="115" w:type="dxa"/>
            </w:tcMar>
            <w:vAlign w:val="center"/>
            <w:hideMark/>
          </w:tcPr>
          <w:p w:rsidR="00021AE1" w:rsidRPr="00E26128" w:rsidP="00021AE1" w14:paraId="344B207C" w14:textId="7D1708DC">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 </w:t>
            </w:r>
            <w:r>
              <w:rPr>
                <w:rFonts w:eastAsia="Times New Roman" w:asciiTheme="majorHAnsi" w:hAnsiTheme="majorHAnsi" w:cstheme="majorHAnsi"/>
                <w:b/>
                <w:bCs/>
                <w:color w:val="000000"/>
                <w:sz w:val="20"/>
                <w:szCs w:val="20"/>
                <w:lang w:val="en-US"/>
              </w:rPr>
              <w:t>34916</w:t>
            </w:r>
          </w:p>
        </w:tc>
        <w:tc>
          <w:tcPr>
            <w:tcW w:w="0" w:type="auto"/>
            <w:tcBorders>
              <w:top w:val="dotted" w:sz="4"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center"/>
            <w:hideMark/>
          </w:tcPr>
          <w:p w:rsidR="00021AE1" w:rsidRPr="00E26128" w:rsidP="00021AE1" w14:paraId="412A1627"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 </w:t>
            </w:r>
          </w:p>
        </w:tc>
      </w:tr>
      <w:tr w14:paraId="77D2BB65" w14:textId="77777777" w:rsidTr="00021AE1">
        <w:tblPrEx>
          <w:tblW w:w="0" w:type="auto"/>
          <w:tblCellMar>
            <w:top w:w="15" w:type="dxa"/>
            <w:left w:w="15" w:type="dxa"/>
            <w:bottom w:w="15" w:type="dxa"/>
            <w:right w:w="15" w:type="dxa"/>
          </w:tblCellMar>
          <w:tblLook w:val="04A0"/>
        </w:tblPrEx>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021AE1" w:rsidRPr="00E26128" w:rsidP="00021AE1" w14:paraId="5FE2F37F" w14:textId="77777777">
            <w:pPr>
              <w:spacing w:line="240" w:lineRule="auto"/>
              <w:jc w:val="center"/>
              <w:rPr>
                <w:rFonts w:eastAsia="Times New Roman" w:asciiTheme="majorHAnsi" w:hAnsiTheme="majorHAnsi" w:cstheme="majorHAnsi"/>
                <w:sz w:val="20"/>
                <w:szCs w:val="20"/>
                <w:lang w:val="en-US"/>
              </w:rPr>
            </w:pPr>
            <w:r w:rsidRPr="00E26128">
              <w:rPr>
                <w:rFonts w:eastAsia="Times New Roman" w:asciiTheme="majorHAnsi" w:hAnsiTheme="majorHAnsi" w:cstheme="majorHAnsi"/>
                <w:b/>
                <w:bCs/>
                <w:color w:val="000000"/>
                <w:sz w:val="20"/>
                <w:szCs w:val="20"/>
                <w:lang w:val="en-US"/>
              </w:rPr>
              <w:t>Difference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CE4D6"/>
            <w:tcMar>
              <w:top w:w="0" w:type="dxa"/>
              <w:left w:w="115" w:type="dxa"/>
              <w:bottom w:w="0" w:type="dxa"/>
              <w:right w:w="115" w:type="dxa"/>
            </w:tcMar>
            <w:vAlign w:val="bottom"/>
            <w:hideMark/>
          </w:tcPr>
          <w:p w:rsidR="00021AE1" w:rsidRPr="00E26128" w:rsidP="00021AE1" w14:paraId="20A441B4" w14:textId="36DE4D30">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-35</w:t>
            </w:r>
            <w:r w:rsidRPr="00E26128" w:rsidR="007D37C2">
              <w:rPr>
                <w:rFonts w:eastAsia="Times New Roman" w:asciiTheme="majorHAnsi" w:hAnsiTheme="majorHAnsi" w:cstheme="majorHAnsi"/>
                <w:color w:val="000000"/>
                <w:sz w:val="20"/>
                <w:szCs w:val="20"/>
                <w:lang w:val="en-US"/>
              </w:rPr>
              <w:t> </w:t>
            </w:r>
          </w:p>
        </w:tc>
        <w:tc>
          <w:tcPr>
            <w:tcW w:w="0" w:type="auto"/>
            <w:gridSpan w:val="2"/>
            <w:tcBorders>
              <w:top w:val="single" w:sz="8" w:space="0" w:color="000000"/>
              <w:left w:val="single" w:sz="8" w:space="0" w:color="000000"/>
              <w:bottom w:val="single" w:sz="8" w:space="0" w:color="000000"/>
              <w:right w:val="single" w:sz="4" w:space="0" w:color="000000"/>
            </w:tcBorders>
            <w:shd w:val="clear" w:color="auto" w:fill="FCE4D6"/>
            <w:tcMar>
              <w:top w:w="0" w:type="dxa"/>
              <w:left w:w="115" w:type="dxa"/>
              <w:bottom w:w="0" w:type="dxa"/>
              <w:right w:w="115" w:type="dxa"/>
            </w:tcMar>
            <w:vAlign w:val="bottom"/>
            <w:hideMark/>
          </w:tcPr>
          <w:p w:rsidR="00021AE1" w:rsidRPr="00E26128" w:rsidP="00021AE1" w14:paraId="587965D0" w14:textId="543194C4">
            <w:pPr>
              <w:spacing w:line="240" w:lineRule="auto"/>
              <w:jc w:val="center"/>
              <w:rPr>
                <w:rFonts w:eastAsia="Times New Roman" w:asciiTheme="majorHAnsi" w:hAnsiTheme="majorHAnsi" w:cstheme="majorHAnsi"/>
                <w:sz w:val="20"/>
                <w:szCs w:val="20"/>
                <w:lang w:val="en-US"/>
              </w:rPr>
            </w:pPr>
            <w:r>
              <w:rPr>
                <w:rFonts w:eastAsia="Times New Roman" w:asciiTheme="majorHAnsi" w:hAnsiTheme="majorHAnsi" w:cstheme="majorHAnsi"/>
                <w:color w:val="000000"/>
                <w:sz w:val="20"/>
                <w:szCs w:val="20"/>
                <w:lang w:val="en-US"/>
              </w:rPr>
              <w:t>-20,276</w:t>
            </w:r>
            <w:r w:rsidRPr="00E26128">
              <w:rPr>
                <w:rFonts w:eastAsia="Times New Roman" w:asciiTheme="majorHAnsi" w:hAnsiTheme="majorHAnsi" w:cstheme="majorHAnsi"/>
                <w:color w:val="000000"/>
                <w:sz w:val="20"/>
                <w:szCs w:val="20"/>
                <w:lang w:val="en-US"/>
              </w:rPr>
              <w:t> </w:t>
            </w:r>
          </w:p>
        </w:tc>
        <w:tc>
          <w:tcPr>
            <w:tcW w:w="0" w:type="auto"/>
            <w:tcBorders>
              <w:top w:val="single" w:sz="8" w:space="0" w:color="000000"/>
              <w:left w:val="single" w:sz="4"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021AE1" w:rsidRPr="00E26128" w:rsidP="00021AE1" w14:paraId="4443CB15" w14:textId="77777777">
            <w:pPr>
              <w:spacing w:line="240" w:lineRule="auto"/>
              <w:rPr>
                <w:rFonts w:eastAsia="Times New Roman" w:asciiTheme="majorHAnsi" w:hAnsiTheme="majorHAnsi" w:cstheme="majorHAnsi"/>
                <w:sz w:val="20"/>
                <w:szCs w:val="20"/>
                <w:lang w:val="en-US"/>
              </w:rPr>
            </w:pPr>
            <w:r w:rsidRPr="00E26128">
              <w:rPr>
                <w:rFonts w:eastAsia="Times New Roman" w:asciiTheme="majorHAnsi" w:hAnsiTheme="majorHAnsi" w:cstheme="majorHAnsi"/>
                <w:color w:val="000000"/>
                <w:sz w:val="20"/>
                <w:szCs w:val="20"/>
                <w:lang w:val="en-US"/>
              </w:rPr>
              <w:t> </w:t>
            </w:r>
          </w:p>
        </w:tc>
      </w:tr>
    </w:tbl>
    <w:p w:rsidR="00887E90" w14:paraId="1B6D163D" w14:textId="77777777">
      <w:pPr>
        <w:spacing w:before="240" w:after="240"/>
        <w:rPr>
          <w:rFonts w:ascii="Times New Roman" w:hAnsi="Times New Roman" w:cs="Times New Roman"/>
          <w:b/>
          <w:sz w:val="24"/>
          <w:szCs w:val="24"/>
        </w:rPr>
        <w:sectPr w:rsidSect="00E26128">
          <w:pgSz w:w="15840" w:h="12240" w:orient="landscape"/>
          <w:pgMar w:top="1440" w:right="1440" w:bottom="1440" w:left="1440" w:header="720" w:footer="720" w:gutter="0"/>
          <w:pgNumType w:start="1"/>
          <w:cols w:space="720"/>
          <w:docGrid w:linePitch="299"/>
        </w:sectPr>
      </w:pPr>
    </w:p>
    <w:p w:rsidR="00680EF1" w:rsidRPr="00887E90" w:rsidP="00887E90" w14:paraId="4B2BBBA6" w14:textId="77777777">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 xml:space="preserve">16.  For collections whose results will be published, outline the plans for tabulation and publication.  Address any complex analytical techniques that will be used. Provide the time schedule for the entire project, including beginning and ending dates of </w:t>
      </w:r>
      <w:r w:rsidRPr="00887E90">
        <w:rPr>
          <w:rFonts w:ascii="Times New Roman" w:hAnsi="Times New Roman" w:cs="Times New Roman"/>
          <w:b/>
          <w:sz w:val="24"/>
          <w:szCs w:val="24"/>
        </w:rPr>
        <w:t>the collection of information, completion of report, publication dates, and other actions.</w:t>
      </w:r>
    </w:p>
    <w:p w:rsidR="00680EF1" w:rsidRPr="00BD30D4" w14:paraId="67CABB80"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Neither the angler nor the for-hire vessel registration data will be published.</w:t>
      </w:r>
    </w:p>
    <w:p w:rsidR="00680EF1" w:rsidRPr="00BD30D4" w:rsidP="00887E90" w14:paraId="6788026D" w14:textId="77777777">
      <w:pPr>
        <w:pStyle w:val="Heading1"/>
        <w:keepNext w:val="0"/>
        <w:keepLines w:val="0"/>
        <w:spacing w:before="200" w:after="0"/>
        <w:ind w:left="140"/>
        <w:rPr>
          <w:rFonts w:ascii="Times New Roman" w:hAnsi="Times New Roman" w:cs="Times New Roman"/>
          <w:b/>
          <w:sz w:val="24"/>
          <w:szCs w:val="24"/>
        </w:rPr>
      </w:pPr>
      <w:r w:rsidRPr="00BD30D4">
        <w:rPr>
          <w:rFonts w:ascii="Times New Roman" w:hAnsi="Times New Roman" w:cs="Times New Roman"/>
          <w:b/>
          <w:sz w:val="24"/>
          <w:szCs w:val="24"/>
        </w:rPr>
        <w:t xml:space="preserve">17.  If seeking approval to not display the expiration date for OMB approval of the </w:t>
      </w:r>
      <w:r w:rsidRPr="00BD30D4">
        <w:rPr>
          <w:rFonts w:ascii="Times New Roman" w:hAnsi="Times New Roman" w:cs="Times New Roman"/>
          <w:b/>
          <w:sz w:val="24"/>
          <w:szCs w:val="24"/>
        </w:rPr>
        <w:t>information collection, explain the reasons why display would be inappropriate.</w:t>
      </w:r>
    </w:p>
    <w:p w:rsidR="007168D4" w:rsidRPr="00BD30D4" w:rsidP="007168D4" w14:paraId="67D20323" w14:textId="77777777">
      <w:pPr>
        <w:spacing w:before="160" w:after="240"/>
        <w:rPr>
          <w:rFonts w:ascii="Times New Roman" w:hAnsi="Times New Roman" w:cs="Times New Roman"/>
          <w:sz w:val="24"/>
          <w:szCs w:val="24"/>
        </w:rPr>
      </w:pPr>
      <w:r w:rsidRPr="00BD30D4">
        <w:rPr>
          <w:rFonts w:ascii="Times New Roman" w:hAnsi="Times New Roman" w:cs="Times New Roman"/>
          <w:sz w:val="24"/>
          <w:szCs w:val="24"/>
        </w:rPr>
        <w:t>The agency plans to display the expiration date for OMB approval of the information collection on all instruments.</w:t>
      </w:r>
    </w:p>
    <w:p w:rsidR="00680EF1" w:rsidRPr="00887E90" w:rsidP="00887E90" w14:paraId="7ECF32FF" w14:textId="77777777">
      <w:pPr>
        <w:pStyle w:val="Heading1"/>
        <w:keepNext w:val="0"/>
        <w:keepLines w:val="0"/>
        <w:spacing w:before="200" w:after="0"/>
        <w:ind w:left="140"/>
        <w:rPr>
          <w:rFonts w:ascii="Times New Roman" w:hAnsi="Times New Roman" w:cs="Times New Roman"/>
          <w:b/>
          <w:sz w:val="24"/>
          <w:szCs w:val="24"/>
        </w:rPr>
      </w:pPr>
      <w:r w:rsidRPr="00887E90">
        <w:rPr>
          <w:rFonts w:ascii="Times New Roman" w:hAnsi="Times New Roman" w:cs="Times New Roman"/>
          <w:b/>
          <w:sz w:val="24"/>
          <w:szCs w:val="24"/>
        </w:rPr>
        <w:t>18.  Explain each exception to the certification statement id</w:t>
      </w:r>
      <w:r w:rsidRPr="00887E90">
        <w:rPr>
          <w:rFonts w:ascii="Times New Roman" w:hAnsi="Times New Roman" w:cs="Times New Roman"/>
          <w:b/>
          <w:sz w:val="24"/>
          <w:szCs w:val="24"/>
        </w:rPr>
        <w:t>entified in “Certification for Paperwork Reduction Act Submissions.</w:t>
      </w:r>
    </w:p>
    <w:p w:rsidR="00680EF1" w:rsidRPr="00BD30D4" w14:paraId="6DE4664E" w14:textId="77777777">
      <w:pPr>
        <w:spacing w:before="220" w:after="240" w:line="256" w:lineRule="auto"/>
        <w:jc w:val="both"/>
        <w:rPr>
          <w:rFonts w:ascii="Times New Roman" w:hAnsi="Times New Roman" w:cs="Times New Roman"/>
          <w:sz w:val="24"/>
          <w:szCs w:val="24"/>
        </w:rPr>
      </w:pPr>
      <w:r w:rsidRPr="00BD30D4">
        <w:rPr>
          <w:rFonts w:ascii="Times New Roman" w:hAnsi="Times New Roman" w:cs="Times New Roman"/>
          <w:sz w:val="24"/>
          <w:szCs w:val="24"/>
        </w:rPr>
        <w:t>The agency certifies compliance with</w:t>
      </w:r>
      <w:hyperlink r:id="rId11">
        <w:r w:rsidRPr="00BD30D4">
          <w:rPr>
            <w:rFonts w:ascii="Times New Roman" w:hAnsi="Times New Roman" w:cs="Times New Roman"/>
            <w:sz w:val="24"/>
            <w:szCs w:val="24"/>
          </w:rPr>
          <w:t xml:space="preserve"> </w:t>
        </w:r>
      </w:hyperlink>
      <w:hyperlink r:id="rId11">
        <w:r w:rsidRPr="00BD30D4">
          <w:rPr>
            <w:rFonts w:ascii="Times New Roman" w:hAnsi="Times New Roman" w:cs="Times New Roman"/>
            <w:color w:val="0563C1"/>
            <w:sz w:val="24"/>
            <w:szCs w:val="24"/>
            <w:u w:val="single"/>
          </w:rPr>
          <w:t>5 CFR 1320.9</w:t>
        </w:r>
      </w:hyperlink>
      <w:r w:rsidRPr="00BD30D4">
        <w:rPr>
          <w:rFonts w:ascii="Times New Roman" w:hAnsi="Times New Roman" w:cs="Times New Roman"/>
          <w:color w:val="0563C1"/>
          <w:sz w:val="24"/>
          <w:szCs w:val="24"/>
          <w:u w:val="single"/>
        </w:rPr>
        <w:t xml:space="preserve"> </w:t>
      </w:r>
      <w:r w:rsidRPr="00BD30D4">
        <w:rPr>
          <w:rFonts w:ascii="Times New Roman" w:hAnsi="Times New Roman" w:cs="Times New Roman"/>
          <w:sz w:val="24"/>
          <w:szCs w:val="24"/>
        </w:rPr>
        <w:t>and the related provisions of</w:t>
      </w:r>
      <w:hyperlink r:id="rId12">
        <w:r w:rsidRPr="00BD30D4">
          <w:rPr>
            <w:rFonts w:ascii="Times New Roman" w:hAnsi="Times New Roman" w:cs="Times New Roman"/>
            <w:sz w:val="24"/>
            <w:szCs w:val="24"/>
          </w:rPr>
          <w:t xml:space="preserve"> </w:t>
        </w:r>
      </w:hyperlink>
      <w:hyperlink r:id="rId12">
        <w:r w:rsidRPr="00BD30D4">
          <w:rPr>
            <w:rFonts w:ascii="Times New Roman" w:hAnsi="Times New Roman" w:cs="Times New Roman"/>
            <w:color w:val="0563C1"/>
            <w:sz w:val="24"/>
            <w:szCs w:val="24"/>
            <w:u w:val="single"/>
          </w:rPr>
          <w:t>5 CFR</w:t>
        </w:r>
      </w:hyperlink>
      <w:hyperlink r:id="rId12">
        <w:r w:rsidRPr="00BD30D4">
          <w:rPr>
            <w:rFonts w:ascii="Times New Roman" w:hAnsi="Times New Roman" w:cs="Times New Roman"/>
            <w:color w:val="0563C1"/>
            <w:sz w:val="24"/>
            <w:szCs w:val="24"/>
          </w:rPr>
          <w:t xml:space="preserve"> </w:t>
        </w:r>
      </w:hyperlink>
      <w:hyperlink r:id="rId12">
        <w:r w:rsidRPr="00BD30D4">
          <w:rPr>
            <w:rFonts w:ascii="Times New Roman" w:hAnsi="Times New Roman" w:cs="Times New Roman"/>
            <w:color w:val="0563C1"/>
            <w:sz w:val="24"/>
            <w:szCs w:val="24"/>
            <w:u w:val="single"/>
          </w:rPr>
          <w:t>1320.8(b)(3)</w:t>
        </w:r>
      </w:hyperlink>
      <w:r w:rsidRPr="00BD30D4">
        <w:rPr>
          <w:rFonts w:ascii="Times New Roman" w:hAnsi="Times New Roman" w:cs="Times New Roman"/>
          <w:sz w:val="24"/>
          <w:szCs w:val="24"/>
        </w:rPr>
        <w:t>.</w:t>
      </w:r>
    </w:p>
    <w:p w:rsidR="00680EF1" w:rsidRPr="00BD30D4" w14:paraId="6E35C056"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p>
    <w:p w:rsidR="00680EF1" w:rsidRPr="00BD30D4" w14:paraId="1F2082C7" w14:textId="77777777">
      <w:pPr>
        <w:spacing w:before="240" w:after="240"/>
        <w:rPr>
          <w:rFonts w:ascii="Times New Roman" w:hAnsi="Times New Roman" w:cs="Times New Roman"/>
          <w:sz w:val="24"/>
          <w:szCs w:val="24"/>
        </w:rPr>
      </w:pPr>
      <w:r w:rsidRPr="00BD30D4">
        <w:rPr>
          <w:rFonts w:ascii="Times New Roman" w:hAnsi="Times New Roman" w:cs="Times New Roman"/>
          <w:sz w:val="24"/>
          <w:szCs w:val="24"/>
        </w:rPr>
        <w:t xml:space="preserve"> </w:t>
      </w:r>
    </w:p>
    <w:p w:rsidR="00680EF1" w:rsidRPr="00BD30D4" w14:paraId="3D45D68C" w14:textId="77777777">
      <w:pPr>
        <w:rPr>
          <w:rFonts w:ascii="Times New Roman" w:hAnsi="Times New Roman" w:cs="Times New Roman"/>
          <w:sz w:val="24"/>
          <w:szCs w:val="24"/>
        </w:rPr>
      </w:pPr>
    </w:p>
    <w:sectPr w:rsidSect="00887E90">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C397D"/>
    <w:multiLevelType w:val="hybridMultilevel"/>
    <w:tmpl w:val="151426BE"/>
    <w:lvl w:ilvl="0">
      <w:start w:val="22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F1"/>
    <w:rsid w:val="00021AE1"/>
    <w:rsid w:val="0007552D"/>
    <w:rsid w:val="000A20B0"/>
    <w:rsid w:val="000B6876"/>
    <w:rsid w:val="00127341"/>
    <w:rsid w:val="0013336E"/>
    <w:rsid w:val="00134685"/>
    <w:rsid w:val="00232065"/>
    <w:rsid w:val="00232113"/>
    <w:rsid w:val="00292152"/>
    <w:rsid w:val="003F2972"/>
    <w:rsid w:val="003F3573"/>
    <w:rsid w:val="004C2FC9"/>
    <w:rsid w:val="004F1F27"/>
    <w:rsid w:val="005125BF"/>
    <w:rsid w:val="005D6B9B"/>
    <w:rsid w:val="006257BC"/>
    <w:rsid w:val="00680EF1"/>
    <w:rsid w:val="0068203E"/>
    <w:rsid w:val="007168D4"/>
    <w:rsid w:val="007C1D6B"/>
    <w:rsid w:val="007D37C2"/>
    <w:rsid w:val="008845EA"/>
    <w:rsid w:val="00887E90"/>
    <w:rsid w:val="00973A0F"/>
    <w:rsid w:val="009A61DF"/>
    <w:rsid w:val="00A06EF5"/>
    <w:rsid w:val="00A52F5A"/>
    <w:rsid w:val="00B44D13"/>
    <w:rsid w:val="00B53A93"/>
    <w:rsid w:val="00BD30D4"/>
    <w:rsid w:val="00C4250D"/>
    <w:rsid w:val="00D06C39"/>
    <w:rsid w:val="00D10625"/>
    <w:rsid w:val="00D54955"/>
    <w:rsid w:val="00D72BB1"/>
    <w:rsid w:val="00DC387A"/>
    <w:rsid w:val="00E26128"/>
    <w:rsid w:val="00E3568B"/>
    <w:rsid w:val="00EC2DE9"/>
    <w:rsid w:val="00EE486E"/>
    <w:rsid w:val="00F931B2"/>
    <w:rsid w:val="00FD206B"/>
    <w:rsid w:val="00FE45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A431F"/>
  <w15:docId w15:val="{B8D1845E-3017-4441-BB1D-555B7C7F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021AE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A61DF"/>
    <w:pPr>
      <w:widowControl w:val="0"/>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unhideWhenUsed/>
    <w:rsid w:val="009A61DF"/>
    <w:rPr>
      <w:color w:val="0000FF"/>
      <w:u w:val="single"/>
    </w:rPr>
  </w:style>
  <w:style w:type="paragraph" w:styleId="BalloonText">
    <w:name w:val="Balloon Text"/>
    <w:basedOn w:val="Normal"/>
    <w:link w:val="BalloonTextChar"/>
    <w:uiPriority w:val="99"/>
    <w:semiHidden/>
    <w:unhideWhenUsed/>
    <w:rsid w:val="009A61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1DF"/>
    <w:rPr>
      <w:rFonts w:ascii="Segoe UI" w:hAnsi="Segoe UI" w:cs="Segoe UI"/>
      <w:sz w:val="18"/>
      <w:szCs w:val="18"/>
    </w:rPr>
  </w:style>
  <w:style w:type="character" w:styleId="CommentReference">
    <w:name w:val="annotation reference"/>
    <w:basedOn w:val="DefaultParagraphFont"/>
    <w:uiPriority w:val="99"/>
    <w:semiHidden/>
    <w:unhideWhenUsed/>
    <w:rsid w:val="000B6876"/>
    <w:rPr>
      <w:sz w:val="16"/>
      <w:szCs w:val="16"/>
    </w:rPr>
  </w:style>
  <w:style w:type="paragraph" w:styleId="CommentText">
    <w:name w:val="annotation text"/>
    <w:basedOn w:val="Normal"/>
    <w:link w:val="CommentTextChar"/>
    <w:uiPriority w:val="99"/>
    <w:semiHidden/>
    <w:unhideWhenUsed/>
    <w:rsid w:val="000B6876"/>
    <w:pPr>
      <w:spacing w:line="240" w:lineRule="auto"/>
    </w:pPr>
    <w:rPr>
      <w:sz w:val="20"/>
      <w:szCs w:val="20"/>
    </w:rPr>
  </w:style>
  <w:style w:type="character" w:customStyle="1" w:styleId="CommentTextChar">
    <w:name w:val="Comment Text Char"/>
    <w:basedOn w:val="DefaultParagraphFont"/>
    <w:link w:val="CommentText"/>
    <w:uiPriority w:val="99"/>
    <w:semiHidden/>
    <w:rsid w:val="000B6876"/>
    <w:rPr>
      <w:sz w:val="20"/>
      <w:szCs w:val="20"/>
    </w:rPr>
  </w:style>
  <w:style w:type="paragraph" w:styleId="CommentSubject">
    <w:name w:val="annotation subject"/>
    <w:basedOn w:val="CommentText"/>
    <w:next w:val="CommentText"/>
    <w:link w:val="CommentSubjectChar"/>
    <w:uiPriority w:val="99"/>
    <w:semiHidden/>
    <w:unhideWhenUsed/>
    <w:rsid w:val="000B6876"/>
    <w:rPr>
      <w:b/>
      <w:bCs/>
    </w:rPr>
  </w:style>
  <w:style w:type="character" w:customStyle="1" w:styleId="CommentSubjectChar">
    <w:name w:val="Comment Subject Char"/>
    <w:basedOn w:val="CommentTextChar"/>
    <w:link w:val="CommentSubject"/>
    <w:uiPriority w:val="99"/>
    <w:semiHidden/>
    <w:rsid w:val="000B6876"/>
    <w:rPr>
      <w:b/>
      <w:bCs/>
      <w:sz w:val="20"/>
      <w:szCs w:val="20"/>
    </w:rPr>
  </w:style>
  <w:style w:type="character" w:styleId="FollowedHyperlink">
    <w:name w:val="FollowedHyperlink"/>
    <w:basedOn w:val="DefaultParagraphFont"/>
    <w:uiPriority w:val="99"/>
    <w:semiHidden/>
    <w:unhideWhenUsed/>
    <w:rsid w:val="003F2972"/>
    <w:rPr>
      <w:color w:val="800080" w:themeColor="followedHyperlink"/>
      <w:u w:val="single"/>
    </w:rPr>
  </w:style>
  <w:style w:type="paragraph" w:styleId="ListParagraph">
    <w:name w:val="List Paragraph"/>
    <w:basedOn w:val="Normal"/>
    <w:uiPriority w:val="34"/>
    <w:qFormat/>
    <w:rsid w:val="00DC3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451011.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mfs.noaa.gov/msa2005/docs/MSA_amended_msa%20_20070112_FINAL.pdf" TargetMode="External" /><Relationship Id="rId5" Type="http://schemas.openxmlformats.org/officeDocument/2006/relationships/hyperlink" Target="https://www.ecfr.gov/cgi-bin/text-idx?SID=b75de8609a1c4cd9cf81e08b4e6a1abe&amp;mc=true&amp;node=sp50.12.600.p&amp;rgn=div6" TargetMode="External" /><Relationship Id="rId6" Type="http://schemas.openxmlformats.org/officeDocument/2006/relationships/hyperlink" Target="http://www.nmfs.noaa.gov/"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s://www.countmyfish.noaa.gov/register/" TargetMode="External" /><Relationship Id="rId9" Type="http://schemas.openxmlformats.org/officeDocument/2006/relationships/hyperlink" Target="http://www.corporateservices.noaa.gov/ames/administrative_orders/chapter_216/216-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4339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Gordon_Colvin</dc:creator>
  <cp:lastModifiedBy>Adrienne.Thomas</cp:lastModifiedBy>
  <cp:revision>2</cp:revision>
  <dcterms:created xsi:type="dcterms:W3CDTF">2024-06-14T13:17:00Z</dcterms:created>
  <dcterms:modified xsi:type="dcterms:W3CDTF">2024-06-14T13:17:00Z</dcterms:modified>
</cp:coreProperties>
</file>