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5C2D" w14:paraId="74C838A2" w14:textId="77777777">
      <w:pPr>
        <w:pStyle w:val="Heading2"/>
        <w:tabs>
          <w:tab w:val="left" w:pos="900"/>
        </w:tabs>
        <w:ind w:right="-180"/>
      </w:pPr>
      <w:bookmarkStart w:id="0" w:name="_heading=h.gjdgxs" w:colFirst="0" w:colLast="0"/>
      <w:bookmarkEnd w:id="0"/>
      <w:r>
        <w:rPr>
          <w:sz w:val="28"/>
          <w:szCs w:val="28"/>
        </w:rPr>
        <w:t>Request for Approval under the “Generic Clearance for the Collection of Routine Customer Feedback” (OMB Control Number: 0690-003</w:t>
      </w:r>
      <w:r w:rsidR="00301450">
        <w:rPr>
          <w:sz w:val="28"/>
          <w:szCs w:val="28"/>
        </w:rPr>
        <w:t>8</w:t>
      </w:r>
      <w:r>
        <w:rPr>
          <w:sz w:val="28"/>
          <w:szCs w:val="28"/>
        </w:rPr>
        <w:t>)</w:t>
      </w:r>
    </w:p>
    <w:p w:rsidR="00D35C2D" w14:paraId="40319A09" w14:textId="77777777">
      <w:pPr>
        <w:rPr>
          <w:b/>
        </w:rPr>
      </w:pPr>
      <w:r>
        <w:rPr>
          <w:noProof/>
        </w:rPr>
        <mc:AlternateContent>
          <mc:Choice Requires="wps">
            <w:drawing>
              <wp:anchor distT="0" distB="0" distL="114300" distR="114300" simplePos="0" relativeHeight="251659264" behindDoc="0" locked="0" layoutInCell="1" allowOverlap="1">
                <wp:simplePos x="0" y="0"/>
                <wp:positionH relativeFrom="column">
                  <wp:posOffset>1</wp:posOffset>
                </wp:positionH>
                <wp:positionV relativeFrom="paragraph">
                  <wp:posOffset>0</wp:posOffset>
                </wp:positionV>
                <wp:extent cx="5943600" cy="19050"/>
                <wp:effectExtent l="0" t="0" r="0" b="0"/>
                <wp:wrapNone/>
                <wp:docPr id="1" name="Straight Arrow Connector 1"/>
                <wp:cNvGraphicFramePr/>
                <a:graphic xmlns:a="http://schemas.openxmlformats.org/drawingml/2006/main">
                  <a:graphicData uri="http://schemas.microsoft.com/office/word/2010/wordprocessingShape">
                    <wps:wsp xmlns:wps="http://schemas.microsoft.com/office/word/2010/wordprocessingShape">
                      <wps:cNvCnPr/>
                      <wps:spPr>
                        <a:xfrm>
                          <a:off x="2374200" y="3780000"/>
                          <a:ext cx="5943600" cy="0"/>
                        </a:xfrm>
                        <a:prstGeom prst="straightConnector1">
                          <a:avLst/>
                        </a:prstGeom>
                        <a:noFill/>
                        <a:ln w="19050">
                          <a:solidFill>
                            <a:srgbClr val="000000"/>
                          </a:solidFill>
                          <a:prstDash val="solid"/>
                          <a:round/>
                          <a:headEnd/>
                          <a:tailEnd/>
                        </a:ln>
                      </wps:spPr>
                      <wps:bodyPr/>
                    </wps:wsp>
                  </a:graphicData>
                </a:graphic>
              </wp:anchor>
            </w:drawing>
          </mc:Choice>
          <mc:Fallback>
            <w:drawing>
              <wp:anchor distT="0" distB="0" distL="114300" distR="114300" simplePos="0" relativeHeight="251658240" behindDoc="0" locked="0" layoutInCell="1" allowOverlap="1">
                <wp:simplePos x="0" y="0"/>
                <wp:positionH relativeFrom="column">
                  <wp:posOffset>1</wp:posOffset>
                </wp:positionH>
                <wp:positionV relativeFrom="paragraph">
                  <wp:posOffset>0</wp:posOffset>
                </wp:positionV>
                <wp:extent cx="5943600" cy="19050"/>
                <wp:effectExtent l="0" t="0" r="0" b="0"/>
                <wp:wrapNone/>
                <wp:docPr id="606936107" name="image1.png"/>
                <wp:cNvGraphicFramePr/>
                <a:graphic xmlns:a="http://schemas.openxmlformats.org/drawingml/2006/main">
                  <a:graphicData uri="http://schemas.openxmlformats.org/drawingml/2006/picture">
                    <pic:pic xmlns:pic="http://schemas.openxmlformats.org/drawingml/2006/picture">
                      <pic:nvPicPr>
                        <pic:cNvPr id="606936107" name="image1.png"/>
                        <pic:cNvPicPr/>
                      </pic:nvPicPr>
                      <pic:blipFill>
                        <a:blip xmlns:r="http://schemas.openxmlformats.org/officeDocument/2006/relationships" r:embed="rId5"/>
                        <a:stretch>
                          <a:fillRect/>
                        </a:stretch>
                      </pic:blipFill>
                      <pic:spPr>
                        <a:xfrm>
                          <a:off x="0" y="0"/>
                          <a:ext cx="5943600" cy="19050"/>
                        </a:xfrm>
                        <a:prstGeom prst="rect">
                          <a:avLst/>
                        </a:prstGeom>
                      </pic:spPr>
                    </pic:pic>
                  </a:graphicData>
                </a:graphic>
              </wp:anchor>
            </w:drawing>
          </mc:Fallback>
        </mc:AlternateContent>
      </w:r>
    </w:p>
    <w:p w:rsidR="00D35C2D" w14:paraId="49EF166C" w14:textId="77777777">
      <w:pPr>
        <w:rPr>
          <w:b/>
        </w:rPr>
      </w:pPr>
      <w:r>
        <w:rPr>
          <w:b/>
        </w:rPr>
        <w:t>TITLE OF INFORMATION COLLECTION:</w:t>
      </w:r>
      <w:r>
        <w:t xml:space="preserve">  </w:t>
      </w:r>
      <w:r w:rsidR="006352E1">
        <w:t>Data Collection Platform Commanding (DCPC) Commitment</w:t>
      </w:r>
    </w:p>
    <w:p w:rsidR="00D35C2D" w14:paraId="743C0E30" w14:textId="77777777"/>
    <w:p w:rsidR="00D35C2D" w14:paraId="3EF9494A" w14:textId="77777777">
      <w:pPr>
        <w:rPr>
          <w:b/>
        </w:rPr>
      </w:pPr>
    </w:p>
    <w:p w:rsidR="00D35C2D" w14:paraId="7C7D6D7A" w14:textId="77777777">
      <w:r>
        <w:rPr>
          <w:b/>
        </w:rPr>
        <w:t xml:space="preserve">PURPOSE:  </w:t>
      </w:r>
      <w:r w:rsidR="006352E1">
        <w:t>This document is provided to current or prospective users of the NOAA provided DCS system to signal their commitment to operationally use DCPC capability, when provided by NOAA.</w:t>
      </w:r>
    </w:p>
    <w:p w:rsidR="006352E1" w14:paraId="72DDDA1A" w14:textId="77777777"/>
    <w:p w:rsidR="006352E1" w14:paraId="44051028" w14:textId="77777777">
      <w:r>
        <w:t>GOES East and West have a latent capability to send Ultra High Frequency (UHF) signals to the terrestrial footprint of each satellite.  In the past this capability was used to interrogate Data Collection Platforms (DCPs) in order to elicit an unscheduled environmental report or other purposes.  This capability has been non-functional for a significant period of time.  Recently, growth of GOES DCS users/DCPs and user interest has convinced the GOES DCS Program to restore this capability to meet GOES DCS system management requirements and support user community requests. The GOES DCS Program has conducted studies and tests over several years that indicate DCPC is a viable capability to conduct remote configuration changes to DCPs. NOAA intends to implement DCPC on GOES DCS for the remaining lifecycle of the system (~2034) and it is included in the Geostationary Extended Operations (</w:t>
      </w:r>
      <w:r>
        <w:t>GeoXO</w:t>
      </w:r>
      <w:r>
        <w:t>) satellites planned for operations after GOES.</w:t>
      </w:r>
    </w:p>
    <w:p w:rsidR="006352E1" w14:paraId="114999FD" w14:textId="77777777"/>
    <w:p w:rsidR="006352E1" w14:paraId="4FA52F03" w14:textId="77777777">
      <w:r>
        <w:t xml:space="preserve">NOAA GOES DCS intends to restore a DCPC capability on the existing GOES DCS that will allow remote configuration changes of DCPs, including the computing and radio telemetry IT infrastructure, to send commands and receive command acknowledgement.  GOES DCS also intends to work with stakeholders to develop communication protocols, specifications, and conduct other development efforts. NOAA intends to include DCPC on the </w:t>
      </w:r>
      <w:r>
        <w:t>GeoXO</w:t>
      </w:r>
      <w:r>
        <w:t xml:space="preserve"> satellite constellation if users have committed to DCPC use to the degree that the return on investment is clearly defensible, qualitatively and quantitatively, at the </w:t>
      </w:r>
      <w:r>
        <w:t>GeoXO</w:t>
      </w:r>
      <w:r>
        <w:t xml:space="preserve"> final design review.</w:t>
      </w:r>
    </w:p>
    <w:p w:rsidR="00D35C2D" w14:paraId="0F097776" w14:textId="77777777">
      <w:pPr>
        <w:widowControl w:val="0"/>
        <w:pBdr>
          <w:top w:val="nil"/>
          <w:left w:val="nil"/>
          <w:bottom w:val="nil"/>
          <w:right w:val="nil"/>
          <w:between w:val="nil"/>
        </w:pBdr>
        <w:tabs>
          <w:tab w:val="center" w:pos="4320"/>
          <w:tab w:val="right" w:pos="8640"/>
        </w:tabs>
        <w:rPr>
          <w:b/>
          <w:color w:val="000000"/>
        </w:rPr>
      </w:pPr>
    </w:p>
    <w:p w:rsidR="00D35C2D" w14:paraId="79389685" w14:textId="77777777">
      <w:pPr>
        <w:widowControl w:val="0"/>
        <w:pBdr>
          <w:top w:val="nil"/>
          <w:left w:val="nil"/>
          <w:bottom w:val="nil"/>
          <w:right w:val="nil"/>
          <w:between w:val="nil"/>
        </w:pBdr>
        <w:tabs>
          <w:tab w:val="center" w:pos="4320"/>
          <w:tab w:val="right" w:pos="8640"/>
        </w:tabs>
        <w:rPr>
          <w:b/>
          <w:color w:val="000000"/>
        </w:rPr>
      </w:pPr>
    </w:p>
    <w:p w:rsidR="00D35C2D" w14:paraId="0AF3766A" w14:textId="77777777">
      <w:pPr>
        <w:widowControl w:val="0"/>
        <w:pBdr>
          <w:top w:val="nil"/>
          <w:left w:val="nil"/>
          <w:bottom w:val="nil"/>
          <w:right w:val="nil"/>
          <w:between w:val="nil"/>
        </w:pBdr>
        <w:tabs>
          <w:tab w:val="center" w:pos="4320"/>
          <w:tab w:val="right" w:pos="8640"/>
        </w:tabs>
        <w:rPr>
          <w:i/>
          <w:color w:val="000000"/>
        </w:rPr>
      </w:pPr>
      <w:r>
        <w:rPr>
          <w:b/>
          <w:color w:val="000000"/>
        </w:rPr>
        <w:t>DESCRIPTION OF RESPONDENTS</w:t>
      </w:r>
      <w:r>
        <w:rPr>
          <w:color w:val="000000"/>
        </w:rPr>
        <w:t xml:space="preserve">: </w:t>
      </w:r>
      <w:r w:rsidR="002740BF">
        <w:rPr>
          <w:color w:val="000000"/>
        </w:rPr>
        <w:t>Users of GOES DCS data.  This includes Business or other for-profit; Not-for-profit institutions; and State, Local, or Tribal Government</w:t>
      </w:r>
      <w:r w:rsidR="006352E1">
        <w:rPr>
          <w:color w:val="000000"/>
        </w:rPr>
        <w:t>.</w:t>
      </w:r>
    </w:p>
    <w:p w:rsidR="00D35C2D" w14:paraId="39126AFE" w14:textId="77777777"/>
    <w:p w:rsidR="00D35C2D" w14:paraId="129F6BBE" w14:textId="77777777">
      <w:pPr>
        <w:rPr>
          <w:b/>
        </w:rPr>
      </w:pPr>
    </w:p>
    <w:p w:rsidR="00D35C2D" w14:paraId="08F506DB" w14:textId="77777777">
      <w:pPr>
        <w:rPr>
          <w:b/>
        </w:rPr>
      </w:pPr>
      <w:r>
        <w:rPr>
          <w:b/>
        </w:rPr>
        <w:t>TYPE OF COLLECTION:</w:t>
      </w:r>
      <w:r>
        <w:t xml:space="preserve"> (Check one)</w:t>
      </w:r>
    </w:p>
    <w:p w:rsidR="00D35C2D" w14:paraId="3B14C731" w14:textId="77777777">
      <w:pPr>
        <w:pBdr>
          <w:top w:val="nil"/>
          <w:left w:val="nil"/>
          <w:bottom w:val="nil"/>
          <w:right w:val="nil"/>
          <w:between w:val="nil"/>
        </w:pBdr>
        <w:tabs>
          <w:tab w:val="left" w:pos="360"/>
        </w:tabs>
        <w:rPr>
          <w:color w:val="000000"/>
          <w:sz w:val="16"/>
          <w:szCs w:val="16"/>
        </w:rPr>
      </w:pPr>
    </w:p>
    <w:p w:rsidR="00D35C2D" w14:paraId="272A6F28" w14:textId="77777777">
      <w:pPr>
        <w:pBdr>
          <w:top w:val="nil"/>
          <w:left w:val="nil"/>
          <w:bottom w:val="nil"/>
          <w:right w:val="nil"/>
          <w:between w:val="nil"/>
        </w:pBdr>
        <w:tabs>
          <w:tab w:val="left" w:pos="360"/>
        </w:tabs>
        <w:rPr>
          <w:color w:val="000000"/>
        </w:rPr>
      </w:pPr>
      <w:r>
        <w:rPr>
          <w:color w:val="000000"/>
        </w:rPr>
        <w:t xml:space="preserve">[ ] Customer Comment Card/Complaint Form </w:t>
      </w:r>
      <w:r>
        <w:rPr>
          <w:color w:val="000000"/>
        </w:rPr>
        <w:tab/>
        <w:t xml:space="preserve">[ ] Customer Satisfaction Survey    </w:t>
      </w:r>
    </w:p>
    <w:p w:rsidR="00D35C2D" w14:paraId="21F70888" w14:textId="77777777">
      <w:pPr>
        <w:pBdr>
          <w:top w:val="nil"/>
          <w:left w:val="nil"/>
          <w:bottom w:val="nil"/>
          <w:right w:val="nil"/>
          <w:between w:val="nil"/>
        </w:pBdr>
        <w:tabs>
          <w:tab w:val="left" w:pos="360"/>
        </w:tabs>
        <w:rPr>
          <w:color w:val="000000"/>
        </w:rPr>
      </w:pPr>
      <w:r>
        <w:rPr>
          <w:color w:val="000000"/>
        </w:rPr>
        <w:t>[ ] Usability Testing (e.g., Website or Software</w:t>
      </w:r>
      <w:r>
        <w:rPr>
          <w:color w:val="000000"/>
        </w:rPr>
        <w:tab/>
        <w:t>[ ] Small Discussion Group</w:t>
      </w:r>
    </w:p>
    <w:p w:rsidR="00D35C2D" w14:paraId="1D0F0953" w14:textId="6E2CC86B">
      <w:pPr>
        <w:pBdr>
          <w:top w:val="nil"/>
          <w:left w:val="nil"/>
          <w:bottom w:val="nil"/>
          <w:right w:val="nil"/>
          <w:between w:val="nil"/>
        </w:pBdr>
        <w:tabs>
          <w:tab w:val="left" w:pos="360"/>
        </w:tabs>
        <w:rPr>
          <w:color w:val="000000"/>
        </w:rPr>
      </w:pPr>
      <w:r>
        <w:rPr>
          <w:color w:val="000000"/>
        </w:rPr>
        <w:t xml:space="preserve">[ ] Focus Group </w:t>
      </w:r>
      <w:r>
        <w:rPr>
          <w:color w:val="000000"/>
        </w:rPr>
        <w:tab/>
      </w:r>
      <w:r>
        <w:rPr>
          <w:color w:val="000000"/>
        </w:rPr>
        <w:tab/>
      </w:r>
      <w:r>
        <w:rPr>
          <w:color w:val="000000"/>
        </w:rPr>
        <w:tab/>
      </w:r>
      <w:r>
        <w:rPr>
          <w:color w:val="000000"/>
        </w:rPr>
        <w:tab/>
      </w:r>
      <w:r>
        <w:rPr>
          <w:color w:val="000000"/>
        </w:rPr>
        <w:tab/>
        <w:t xml:space="preserve">[ </w:t>
      </w:r>
      <w:r w:rsidR="006352E1">
        <w:rPr>
          <w:color w:val="000000"/>
        </w:rPr>
        <w:t xml:space="preserve">X </w:t>
      </w:r>
      <w:r>
        <w:rPr>
          <w:color w:val="000000"/>
        </w:rPr>
        <w:t>] Other:</w:t>
      </w:r>
      <w:r>
        <w:rPr>
          <w:color w:val="000000"/>
          <w:u w:val="single"/>
        </w:rPr>
        <w:t xml:space="preserve"> </w:t>
      </w:r>
      <w:r>
        <w:rPr>
          <w:color w:val="000000"/>
        </w:rPr>
        <w:t>_</w:t>
      </w:r>
      <w:r w:rsidR="006352E1">
        <w:rPr>
          <w:color w:val="000000"/>
        </w:rPr>
        <w:t xml:space="preserve">Statement of </w:t>
      </w:r>
      <w:r w:rsidR="005C444C">
        <w:rPr>
          <w:color w:val="000000"/>
        </w:rPr>
        <w:t>Commitment</w:t>
      </w:r>
      <w:r>
        <w:rPr>
          <w:color w:val="000000"/>
        </w:rPr>
        <w:tab/>
      </w:r>
    </w:p>
    <w:p w:rsidR="00D35C2D" w14:paraId="64E5664E" w14:textId="77777777">
      <w:pPr>
        <w:widowControl w:val="0"/>
        <w:pBdr>
          <w:top w:val="nil"/>
          <w:left w:val="nil"/>
          <w:bottom w:val="nil"/>
          <w:right w:val="nil"/>
          <w:between w:val="nil"/>
        </w:pBdr>
        <w:tabs>
          <w:tab w:val="center" w:pos="4320"/>
          <w:tab w:val="right" w:pos="8640"/>
        </w:tabs>
        <w:rPr>
          <w:color w:val="000000"/>
        </w:rPr>
      </w:pPr>
    </w:p>
    <w:p w:rsidR="00D35C2D" w14:paraId="4F929E2B" w14:textId="77777777">
      <w:pPr>
        <w:rPr>
          <w:b/>
        </w:rPr>
      </w:pPr>
      <w:r>
        <w:rPr>
          <w:b/>
        </w:rPr>
        <w:t>CERTIFICATION:</w:t>
      </w:r>
    </w:p>
    <w:p w:rsidR="00D35C2D" w14:paraId="46CABDAC" w14:textId="77777777">
      <w:pPr>
        <w:rPr>
          <w:sz w:val="16"/>
          <w:szCs w:val="16"/>
        </w:rPr>
      </w:pPr>
    </w:p>
    <w:p w:rsidR="00D35C2D" w14:paraId="6ADB5875" w14:textId="77777777">
      <w:r>
        <w:t xml:space="preserve">I certify the following to be true: </w:t>
      </w:r>
    </w:p>
    <w:p w:rsidR="00D35C2D" w14:paraId="7BDD6CB2" w14:textId="77777777">
      <w:pPr>
        <w:numPr>
          <w:ilvl w:val="0"/>
          <w:numId w:val="1"/>
        </w:numPr>
        <w:pBdr>
          <w:top w:val="nil"/>
          <w:left w:val="nil"/>
          <w:bottom w:val="nil"/>
          <w:right w:val="nil"/>
          <w:between w:val="nil"/>
        </w:pBdr>
      </w:pPr>
      <w:r>
        <w:rPr>
          <w:color w:val="000000"/>
        </w:rPr>
        <w:t xml:space="preserve">The collection is voluntary. </w:t>
      </w:r>
    </w:p>
    <w:p w:rsidR="00D35C2D" w14:paraId="789FF3F4" w14:textId="77777777">
      <w:pPr>
        <w:numPr>
          <w:ilvl w:val="0"/>
          <w:numId w:val="1"/>
        </w:numPr>
        <w:pBdr>
          <w:top w:val="nil"/>
          <w:left w:val="nil"/>
          <w:bottom w:val="nil"/>
          <w:right w:val="nil"/>
          <w:between w:val="nil"/>
        </w:pBdr>
      </w:pPr>
      <w:r>
        <w:rPr>
          <w:color w:val="000000"/>
        </w:rPr>
        <w:t>The collection is low-burden for respondents and low-cost for the Federal Government.</w:t>
      </w:r>
    </w:p>
    <w:p w:rsidR="00D35C2D" w14:paraId="2B5ECB42" w14:textId="77777777">
      <w:pPr>
        <w:numPr>
          <w:ilvl w:val="0"/>
          <w:numId w:val="1"/>
        </w:numPr>
        <w:pBdr>
          <w:top w:val="nil"/>
          <w:left w:val="nil"/>
          <w:bottom w:val="nil"/>
          <w:right w:val="nil"/>
          <w:between w:val="nil"/>
        </w:pBdr>
      </w:pPr>
      <w:r>
        <w:rPr>
          <w:color w:val="000000"/>
        </w:rPr>
        <w:t xml:space="preserve">The collection is non-controversial and does </w:t>
      </w:r>
      <w:r>
        <w:rPr>
          <w:color w:val="000000"/>
          <w:u w:val="single"/>
        </w:rPr>
        <w:t>not</w:t>
      </w:r>
      <w:r>
        <w:rPr>
          <w:color w:val="000000"/>
        </w:rPr>
        <w:t xml:space="preserve"> raise issues of concern to other federal agencies.</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p>
    <w:p w:rsidR="00D35C2D" w14:paraId="6EA860F1" w14:textId="77777777">
      <w:pPr>
        <w:numPr>
          <w:ilvl w:val="0"/>
          <w:numId w:val="1"/>
        </w:numPr>
        <w:pBdr>
          <w:top w:val="nil"/>
          <w:left w:val="nil"/>
          <w:bottom w:val="nil"/>
          <w:right w:val="nil"/>
          <w:between w:val="nil"/>
        </w:pBdr>
      </w:pPr>
      <w:r>
        <w:rPr>
          <w:color w:val="000000"/>
        </w:rPr>
        <w:t xml:space="preserve">The results are </w:t>
      </w:r>
      <w:r>
        <w:rPr>
          <w:color w:val="000000"/>
          <w:u w:val="single"/>
        </w:rPr>
        <w:t>not</w:t>
      </w:r>
      <w:r>
        <w:rPr>
          <w:color w:val="000000"/>
        </w:rPr>
        <w:t xml:space="preserve"> intended to be disseminated to the public.</w:t>
      </w:r>
      <w:r>
        <w:rPr>
          <w:color w:val="000000"/>
        </w:rPr>
        <w:tab/>
      </w:r>
      <w:r>
        <w:rPr>
          <w:color w:val="000000"/>
        </w:rPr>
        <w:tab/>
      </w:r>
    </w:p>
    <w:p w:rsidR="00D35C2D" w14:paraId="4C9BDFB5" w14:textId="77777777">
      <w:pPr>
        <w:numPr>
          <w:ilvl w:val="0"/>
          <w:numId w:val="1"/>
        </w:numPr>
        <w:pBdr>
          <w:top w:val="nil"/>
          <w:left w:val="nil"/>
          <w:bottom w:val="nil"/>
          <w:right w:val="nil"/>
          <w:between w:val="nil"/>
        </w:pBdr>
      </w:pPr>
      <w:r>
        <w:rPr>
          <w:color w:val="000000"/>
        </w:rPr>
        <w:t xml:space="preserve">Information gathered will not be used for the purpose of </w:t>
      </w:r>
      <w:r>
        <w:rPr>
          <w:color w:val="000000"/>
          <w:u w:val="single"/>
        </w:rPr>
        <w:t>substantially</w:t>
      </w:r>
      <w:r>
        <w:rPr>
          <w:color w:val="000000"/>
        </w:rPr>
        <w:t xml:space="preserve"> informing </w:t>
      </w:r>
      <w:r>
        <w:rPr>
          <w:color w:val="000000"/>
          <w:u w:val="single"/>
        </w:rPr>
        <w:t xml:space="preserve">influential </w:t>
      </w:r>
      <w:r>
        <w:rPr>
          <w:color w:val="000000"/>
        </w:rPr>
        <w:t xml:space="preserve">policy decisions. </w:t>
      </w:r>
    </w:p>
    <w:p w:rsidR="00D35C2D" w14:paraId="12E1FACC" w14:textId="77777777">
      <w:pPr>
        <w:numPr>
          <w:ilvl w:val="0"/>
          <w:numId w:val="1"/>
        </w:numPr>
        <w:pBdr>
          <w:top w:val="nil"/>
          <w:left w:val="nil"/>
          <w:bottom w:val="nil"/>
          <w:right w:val="nil"/>
          <w:between w:val="nil"/>
        </w:pBdr>
      </w:pPr>
      <w:r>
        <w:rPr>
          <w:color w:val="000000"/>
        </w:rPr>
        <w:t>The collection is targeted to the solicitation of opinions from respondents who have experience with the program or may have experience with the program in the future.</w:t>
      </w:r>
    </w:p>
    <w:p w:rsidR="00D35C2D" w14:paraId="025F2800" w14:textId="77777777"/>
    <w:p w:rsidR="00D35C2D" w14:paraId="178E2AD8" w14:textId="77777777">
      <w:r>
        <w:t>Name: ____</w:t>
      </w:r>
      <w:r w:rsidR="006352E1">
        <w:t>William Dronen</w:t>
      </w:r>
      <w:r>
        <w:t>_______________________________</w:t>
      </w:r>
    </w:p>
    <w:p w:rsidR="00D35C2D" w14:paraId="440E65B4" w14:textId="77777777">
      <w:pPr>
        <w:pBdr>
          <w:top w:val="nil"/>
          <w:left w:val="nil"/>
          <w:bottom w:val="nil"/>
          <w:right w:val="nil"/>
          <w:between w:val="nil"/>
        </w:pBdr>
        <w:ind w:left="360"/>
        <w:rPr>
          <w:color w:val="000000"/>
        </w:rPr>
      </w:pPr>
    </w:p>
    <w:p w:rsidR="00D35C2D" w14:paraId="776094F0" w14:textId="77777777">
      <w:r>
        <w:t>To assist review, please provide answers to the following question:</w:t>
      </w:r>
    </w:p>
    <w:p w:rsidR="00D35C2D" w14:paraId="4F3EA044" w14:textId="77777777">
      <w:pPr>
        <w:pBdr>
          <w:top w:val="nil"/>
          <w:left w:val="nil"/>
          <w:bottom w:val="nil"/>
          <w:right w:val="nil"/>
          <w:between w:val="nil"/>
        </w:pBdr>
        <w:ind w:left="360"/>
        <w:rPr>
          <w:color w:val="000000"/>
        </w:rPr>
      </w:pPr>
    </w:p>
    <w:p w:rsidR="00D35C2D" w14:paraId="30972BE4" w14:textId="77777777">
      <w:pPr>
        <w:rPr>
          <w:b/>
        </w:rPr>
      </w:pPr>
      <w:r>
        <w:rPr>
          <w:b/>
        </w:rPr>
        <w:t>Personally Identifiable Information:</w:t>
      </w:r>
    </w:p>
    <w:p w:rsidR="00D35C2D" w14:paraId="327BA5D7" w14:textId="77777777">
      <w:pPr>
        <w:numPr>
          <w:ilvl w:val="0"/>
          <w:numId w:val="4"/>
        </w:numPr>
        <w:pBdr>
          <w:top w:val="nil"/>
          <w:left w:val="nil"/>
          <w:bottom w:val="nil"/>
          <w:right w:val="nil"/>
          <w:between w:val="nil"/>
        </w:pBdr>
      </w:pPr>
      <w:r>
        <w:rPr>
          <w:color w:val="000000"/>
        </w:rPr>
        <w:t>Is personally identifiable information (PII) collected?  [</w:t>
      </w:r>
      <w:r w:rsidR="006352E1">
        <w:rPr>
          <w:color w:val="000000"/>
        </w:rPr>
        <w:t>X</w:t>
      </w:r>
      <w:r>
        <w:rPr>
          <w:color w:val="000000"/>
        </w:rPr>
        <w:t xml:space="preserve"> ] Yes [ ] No </w:t>
      </w:r>
    </w:p>
    <w:p w:rsidR="00D35C2D" w14:paraId="4C96050B" w14:textId="77777777">
      <w:pPr>
        <w:numPr>
          <w:ilvl w:val="0"/>
          <w:numId w:val="4"/>
        </w:numPr>
        <w:pBdr>
          <w:top w:val="nil"/>
          <w:left w:val="nil"/>
          <w:bottom w:val="nil"/>
          <w:right w:val="nil"/>
          <w:between w:val="nil"/>
        </w:pBdr>
      </w:pPr>
      <w:r>
        <w:rPr>
          <w:color w:val="000000"/>
        </w:rPr>
        <w:t xml:space="preserve">If Yes, will any information that is collected be included in records that are subject to the Privacy Act of 1974?   [ ] Yes [ </w:t>
      </w:r>
      <w:r w:rsidR="006352E1">
        <w:rPr>
          <w:color w:val="000000"/>
        </w:rPr>
        <w:t xml:space="preserve">X </w:t>
      </w:r>
      <w:r>
        <w:rPr>
          <w:color w:val="000000"/>
        </w:rPr>
        <w:t xml:space="preserve">] No   </w:t>
      </w:r>
    </w:p>
    <w:p w:rsidR="00D35C2D" w14:paraId="324C4BF7" w14:textId="77777777">
      <w:pPr>
        <w:numPr>
          <w:ilvl w:val="0"/>
          <w:numId w:val="4"/>
        </w:numPr>
        <w:pBdr>
          <w:top w:val="nil"/>
          <w:left w:val="nil"/>
          <w:bottom w:val="nil"/>
          <w:right w:val="nil"/>
          <w:between w:val="nil"/>
        </w:pBdr>
      </w:pPr>
      <w:r>
        <w:rPr>
          <w:color w:val="000000"/>
        </w:rPr>
        <w:t>If Yes, has an up-to-date System of Records Notice (SORN) been published?  [ ] Yes [ ] No</w:t>
      </w:r>
    </w:p>
    <w:p w:rsidR="00D35C2D" w14:paraId="340B1BD2" w14:textId="77777777">
      <w:pPr>
        <w:pBdr>
          <w:top w:val="nil"/>
          <w:left w:val="nil"/>
          <w:bottom w:val="nil"/>
          <w:right w:val="nil"/>
          <w:between w:val="nil"/>
        </w:pBdr>
        <w:rPr>
          <w:b/>
          <w:color w:val="000000"/>
        </w:rPr>
      </w:pPr>
    </w:p>
    <w:p w:rsidR="00D35C2D" w14:paraId="29372002" w14:textId="77777777">
      <w:pPr>
        <w:pBdr>
          <w:top w:val="nil"/>
          <w:left w:val="nil"/>
          <w:bottom w:val="nil"/>
          <w:right w:val="nil"/>
          <w:between w:val="nil"/>
        </w:pBdr>
        <w:rPr>
          <w:b/>
          <w:color w:val="000000"/>
        </w:rPr>
      </w:pPr>
      <w:r>
        <w:rPr>
          <w:b/>
          <w:color w:val="000000"/>
        </w:rPr>
        <w:t>Gifts or Payments:</w:t>
      </w:r>
    </w:p>
    <w:p w:rsidR="00D35C2D" w14:paraId="42D3A29A" w14:textId="77777777">
      <w:r>
        <w:t xml:space="preserve">Is an incentive (e.g., money or reimbursement of expenses, token of appreciation) provided to participants?  [ ] Yes [ </w:t>
      </w:r>
      <w:r w:rsidR="006352E1">
        <w:t xml:space="preserve">X </w:t>
      </w:r>
      <w:r>
        <w:t xml:space="preserve">] No  </w:t>
      </w:r>
    </w:p>
    <w:p w:rsidR="00D35C2D" w14:paraId="4C11B86C" w14:textId="77777777">
      <w:pPr>
        <w:rPr>
          <w:b/>
        </w:rPr>
      </w:pPr>
    </w:p>
    <w:p w:rsidR="00D35C2D" w14:paraId="5EDCF634" w14:textId="77777777">
      <w:pPr>
        <w:rPr>
          <w:b/>
        </w:rPr>
      </w:pPr>
    </w:p>
    <w:p w:rsidR="00D35C2D" w14:paraId="5DDE031A" w14:textId="77777777">
      <w:pPr>
        <w:rPr>
          <w:i/>
        </w:rPr>
      </w:pPr>
      <w:r>
        <w:rPr>
          <w:b/>
        </w:rPr>
        <w:t>BURDEN HOURS</w:t>
      </w:r>
      <w:r>
        <w:t xml:space="preserve"> </w:t>
      </w:r>
    </w:p>
    <w:p w:rsidR="00D35C2D" w14:paraId="2929F0F6" w14:textId="77777777">
      <w:pPr>
        <w:keepNext/>
        <w:keepLines/>
        <w:rPr>
          <w:b/>
          <w:sz w:val="16"/>
          <w:szCs w:val="16"/>
        </w:rPr>
      </w:pPr>
    </w:p>
    <w:tbl>
      <w:tblPr>
        <w:tblStyle w:val="a"/>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45"/>
        <w:gridCol w:w="1830"/>
        <w:gridCol w:w="2025"/>
        <w:gridCol w:w="1560"/>
      </w:tblGrid>
      <w:tr w14:paraId="57CF5C3B" w14:textId="77777777">
        <w:tblPrEx>
          <w:tblW w:w="9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Ex>
        <w:trPr>
          <w:trHeight w:val="274"/>
        </w:trPr>
        <w:tc>
          <w:tcPr>
            <w:tcW w:w="4245" w:type="dxa"/>
          </w:tcPr>
          <w:p w:rsidR="00D35C2D" w14:paraId="490DD227" w14:textId="77777777">
            <w:pPr>
              <w:rPr>
                <w:b/>
              </w:rPr>
            </w:pPr>
            <w:r>
              <w:rPr>
                <w:b/>
              </w:rPr>
              <w:t xml:space="preserve">Category of Respondent </w:t>
            </w:r>
          </w:p>
        </w:tc>
        <w:tc>
          <w:tcPr>
            <w:tcW w:w="1830" w:type="dxa"/>
          </w:tcPr>
          <w:p w:rsidR="00D35C2D" w14:paraId="3243F244" w14:textId="77777777">
            <w:pPr>
              <w:rPr>
                <w:b/>
              </w:rPr>
            </w:pPr>
            <w:r>
              <w:rPr>
                <w:b/>
              </w:rPr>
              <w:t>No. of Respondents</w:t>
            </w:r>
          </w:p>
        </w:tc>
        <w:tc>
          <w:tcPr>
            <w:tcW w:w="2025" w:type="dxa"/>
          </w:tcPr>
          <w:p w:rsidR="00D35C2D" w14:paraId="73B1FB35" w14:textId="77777777">
            <w:pPr>
              <w:rPr>
                <w:b/>
              </w:rPr>
            </w:pPr>
            <w:r>
              <w:rPr>
                <w:b/>
              </w:rPr>
              <w:t>Participation Time</w:t>
            </w:r>
          </w:p>
        </w:tc>
        <w:tc>
          <w:tcPr>
            <w:tcW w:w="1560" w:type="dxa"/>
          </w:tcPr>
          <w:p w:rsidR="00D35C2D" w14:paraId="0DFF1EA9" w14:textId="77777777">
            <w:pPr>
              <w:rPr>
                <w:b/>
              </w:rPr>
            </w:pPr>
            <w:r>
              <w:rPr>
                <w:b/>
              </w:rPr>
              <w:t>Burden</w:t>
            </w:r>
          </w:p>
          <w:p w:rsidR="00D35C2D" w14:paraId="0F47FD5C" w14:textId="77777777">
            <w:pPr>
              <w:rPr>
                <w:b/>
              </w:rPr>
            </w:pPr>
            <w:r>
              <w:rPr>
                <w:b/>
              </w:rPr>
              <w:t>Hours</w:t>
            </w:r>
          </w:p>
        </w:tc>
      </w:tr>
      <w:tr w14:paraId="23FE7C01" w14:textId="77777777">
        <w:tblPrEx>
          <w:tblW w:w="9660" w:type="dxa"/>
          <w:tblLayout w:type="fixed"/>
          <w:tblLook w:val="0000"/>
        </w:tblPrEx>
        <w:trPr>
          <w:trHeight w:val="274"/>
        </w:trPr>
        <w:tc>
          <w:tcPr>
            <w:tcW w:w="4245" w:type="dxa"/>
          </w:tcPr>
          <w:p w:rsidR="00D35C2D" w14:paraId="49122AE9" w14:textId="77777777">
            <w:r>
              <w:t>Private Sector</w:t>
            </w:r>
          </w:p>
        </w:tc>
        <w:tc>
          <w:tcPr>
            <w:tcW w:w="1830" w:type="dxa"/>
          </w:tcPr>
          <w:p w:rsidR="00D35C2D" w14:paraId="59050090" w14:textId="77777777">
            <w:r>
              <w:t>1</w:t>
            </w:r>
            <w:r w:rsidR="005F53AA">
              <w:t>5</w:t>
            </w:r>
          </w:p>
        </w:tc>
        <w:tc>
          <w:tcPr>
            <w:tcW w:w="2025" w:type="dxa"/>
          </w:tcPr>
          <w:p w:rsidR="00D35C2D" w14:paraId="2FF37EF0" w14:textId="77777777">
            <w:r>
              <w:t>2 minutes</w:t>
            </w:r>
          </w:p>
        </w:tc>
        <w:tc>
          <w:tcPr>
            <w:tcW w:w="1560" w:type="dxa"/>
          </w:tcPr>
          <w:p w:rsidR="00D35C2D" w14:paraId="2B5982DF" w14:textId="77777777">
            <w:r>
              <w:t>0.5</w:t>
            </w:r>
          </w:p>
        </w:tc>
      </w:tr>
      <w:tr w14:paraId="5663F845" w14:textId="77777777">
        <w:tblPrEx>
          <w:tblW w:w="9660" w:type="dxa"/>
          <w:tblLayout w:type="fixed"/>
          <w:tblLook w:val="0000"/>
        </w:tblPrEx>
        <w:trPr>
          <w:trHeight w:val="274"/>
        </w:trPr>
        <w:tc>
          <w:tcPr>
            <w:tcW w:w="4245" w:type="dxa"/>
          </w:tcPr>
          <w:p w:rsidR="00D35C2D" w14:paraId="74E807C7" w14:textId="77777777">
            <w:r>
              <w:t>State, Local, or Tribal Government</w:t>
            </w:r>
          </w:p>
        </w:tc>
        <w:tc>
          <w:tcPr>
            <w:tcW w:w="1830" w:type="dxa"/>
          </w:tcPr>
          <w:p w:rsidR="00D35C2D" w14:paraId="047F6032" w14:textId="77777777">
            <w:r>
              <w:t>55</w:t>
            </w:r>
          </w:p>
        </w:tc>
        <w:tc>
          <w:tcPr>
            <w:tcW w:w="2025" w:type="dxa"/>
          </w:tcPr>
          <w:p w:rsidR="00D35C2D" w14:paraId="259A1E3B" w14:textId="77777777">
            <w:r>
              <w:t>2 minutes</w:t>
            </w:r>
          </w:p>
        </w:tc>
        <w:tc>
          <w:tcPr>
            <w:tcW w:w="1560" w:type="dxa"/>
          </w:tcPr>
          <w:p w:rsidR="00D35C2D" w14:paraId="24867C86" w14:textId="77777777">
            <w:r>
              <w:t>1.8</w:t>
            </w:r>
          </w:p>
        </w:tc>
      </w:tr>
      <w:tr w14:paraId="534EB704" w14:textId="77777777">
        <w:tblPrEx>
          <w:tblW w:w="9660" w:type="dxa"/>
          <w:tblLayout w:type="fixed"/>
          <w:tblLook w:val="0000"/>
        </w:tblPrEx>
        <w:trPr>
          <w:trHeight w:val="289"/>
        </w:trPr>
        <w:tc>
          <w:tcPr>
            <w:tcW w:w="4245" w:type="dxa"/>
          </w:tcPr>
          <w:p w:rsidR="00D35C2D" w14:paraId="543855DE" w14:textId="77777777">
            <w:pPr>
              <w:rPr>
                <w:b/>
              </w:rPr>
            </w:pPr>
            <w:r>
              <w:rPr>
                <w:b/>
              </w:rPr>
              <w:t>Totals</w:t>
            </w:r>
          </w:p>
        </w:tc>
        <w:tc>
          <w:tcPr>
            <w:tcW w:w="1830" w:type="dxa"/>
          </w:tcPr>
          <w:p w:rsidR="00D35C2D" w14:paraId="10430795" w14:textId="77777777">
            <w:pPr>
              <w:rPr>
                <w:b/>
              </w:rPr>
            </w:pPr>
            <w:r>
              <w:rPr>
                <w:b/>
              </w:rPr>
              <w:t>70</w:t>
            </w:r>
          </w:p>
        </w:tc>
        <w:tc>
          <w:tcPr>
            <w:tcW w:w="2025" w:type="dxa"/>
          </w:tcPr>
          <w:p w:rsidR="00D35C2D" w14:paraId="7686A21D" w14:textId="77777777"/>
        </w:tc>
        <w:tc>
          <w:tcPr>
            <w:tcW w:w="1560" w:type="dxa"/>
          </w:tcPr>
          <w:p w:rsidR="00D35C2D" w14:paraId="26061B36" w14:textId="77777777">
            <w:pPr>
              <w:rPr>
                <w:b/>
              </w:rPr>
            </w:pPr>
            <w:r>
              <w:rPr>
                <w:b/>
              </w:rPr>
              <w:t>2.3</w:t>
            </w:r>
          </w:p>
        </w:tc>
      </w:tr>
    </w:tbl>
    <w:p w:rsidR="00D35C2D" w14:paraId="0DCFEA79" w14:textId="77777777"/>
    <w:p w:rsidR="00D35C2D" w14:paraId="7C62EB83" w14:textId="77777777">
      <w:r>
        <w:rPr>
          <w:b/>
        </w:rPr>
        <w:t xml:space="preserve">FEDERAL COST:  </w:t>
      </w:r>
      <w:r>
        <w:t>The estimated annual cost to the Federal government is __$1,227_____</w:t>
      </w:r>
    </w:p>
    <w:p w:rsidR="00D35C2D" w14:paraId="79F1EC55" w14:textId="77777777">
      <w:r>
        <w:t>The cost was calculated using the Rest of U.S. locality rate for a ZA-2 at 1% effort.</w:t>
      </w:r>
    </w:p>
    <w:p w:rsidR="00D35C2D" w14:paraId="510480DF" w14:textId="77777777">
      <w:pPr>
        <w:rPr>
          <w:b/>
          <w:u w:val="single"/>
        </w:rPr>
      </w:pPr>
    </w:p>
    <w:p w:rsidR="00D35C2D" w14:paraId="34D0DEED" w14:textId="77777777">
      <w:pPr>
        <w:rPr>
          <w:b/>
        </w:rPr>
      </w:pPr>
      <w:r>
        <w:rPr>
          <w:b/>
          <w:u w:val="single"/>
        </w:rPr>
        <w:t>If you are conducting a focus group, survey, or plan to employ statistical methods, please provide answers to the following questions:</w:t>
      </w:r>
    </w:p>
    <w:p w:rsidR="00D35C2D" w14:paraId="4C0503DD" w14:textId="77777777">
      <w:pPr>
        <w:rPr>
          <w:b/>
        </w:rPr>
      </w:pPr>
    </w:p>
    <w:p w:rsidR="00D35C2D" w14:paraId="7771FFFC" w14:textId="77777777">
      <w:pPr>
        <w:rPr>
          <w:b/>
        </w:rPr>
      </w:pPr>
      <w:r>
        <w:rPr>
          <w:b/>
        </w:rPr>
        <w:t>The selection of your targeted respondents</w:t>
      </w:r>
    </w:p>
    <w:p w:rsidR="00D35C2D" w14:paraId="6B766A6B" w14:textId="77777777">
      <w:pPr>
        <w:numPr>
          <w:ilvl w:val="0"/>
          <w:numId w:val="2"/>
        </w:numPr>
        <w:pBdr>
          <w:top w:val="nil"/>
          <w:left w:val="nil"/>
          <w:bottom w:val="nil"/>
          <w:right w:val="nil"/>
          <w:between w:val="nil"/>
        </w:pBdr>
      </w:pPr>
      <w:r>
        <w:rPr>
          <w:color w:val="000000"/>
        </w:rPr>
        <w:t>Do you have a customer list or something similar that defines the universe of potential respondents and do you have a sampling plan for selecting from this universe?</w:t>
      </w:r>
      <w:r>
        <w:rPr>
          <w:color w:val="000000"/>
        </w:rPr>
        <w:tab/>
        <w:t xml:space="preserve">[ </w:t>
      </w:r>
      <w:r w:rsidR="006352E1">
        <w:rPr>
          <w:color w:val="000000"/>
        </w:rPr>
        <w:t xml:space="preserve">X </w:t>
      </w:r>
      <w:r>
        <w:rPr>
          <w:color w:val="000000"/>
        </w:rPr>
        <w:t>] Yes</w:t>
      </w:r>
      <w:r>
        <w:rPr>
          <w:color w:val="000000"/>
        </w:rPr>
        <w:tab/>
        <w:t>[ ] No</w:t>
      </w:r>
    </w:p>
    <w:p w:rsidR="00D35C2D" w14:paraId="38DD7F16" w14:textId="77777777">
      <w:pPr>
        <w:pBdr>
          <w:top w:val="nil"/>
          <w:left w:val="nil"/>
          <w:bottom w:val="nil"/>
          <w:right w:val="nil"/>
          <w:between w:val="nil"/>
        </w:pBdr>
        <w:ind w:left="720"/>
        <w:rPr>
          <w:color w:val="000000"/>
        </w:rPr>
      </w:pPr>
    </w:p>
    <w:p w:rsidR="00D35C2D" w14:paraId="24613E58" w14:textId="77777777">
      <w:r>
        <w:t>If the answer is yes, please provide a description of both below (or attach the sampling plan)?   If the answer is no, please provide a description of how you plan to identify your potential group of respondents and how you will select them?</w:t>
      </w:r>
    </w:p>
    <w:p w:rsidR="00D35C2D" w14:paraId="41A17728" w14:textId="77777777">
      <w:pPr>
        <w:rPr>
          <w:sz w:val="16"/>
          <w:szCs w:val="16"/>
        </w:rPr>
      </w:pPr>
    </w:p>
    <w:p w:rsidR="006352E1" w:rsidRPr="006352E1" w14:paraId="6A65146B" w14:textId="77777777">
      <w:r>
        <w:t xml:space="preserve">The Statement of Intent will be distributed to users of GOES Data Collection System data.  NOAA will reach out to these users via an email associated with their subscription and will provide a link to the statement.  Additionally, NOAA will post the Statement of Intent on the </w:t>
      </w:r>
      <w:r>
        <w:t>GOES website to allow non-subscribers or other organizations to provide a Statement of Intent if they so choose.</w:t>
      </w:r>
    </w:p>
    <w:p w:rsidR="00D35C2D" w14:paraId="42CD3360" w14:textId="77777777">
      <w:pPr>
        <w:rPr>
          <w:sz w:val="16"/>
          <w:szCs w:val="16"/>
        </w:rPr>
      </w:pPr>
    </w:p>
    <w:p w:rsidR="00D35C2D" w14:paraId="5538AFEF" w14:textId="77777777">
      <w:pPr>
        <w:rPr>
          <w:b/>
        </w:rPr>
      </w:pPr>
      <w:r>
        <w:rPr>
          <w:b/>
        </w:rPr>
        <w:t>Administration of the Instrument</w:t>
      </w:r>
    </w:p>
    <w:p w:rsidR="00D35C2D" w14:paraId="7AC2374B" w14:textId="77777777">
      <w:pPr>
        <w:numPr>
          <w:ilvl w:val="0"/>
          <w:numId w:val="3"/>
        </w:numPr>
        <w:pBdr>
          <w:top w:val="nil"/>
          <w:left w:val="nil"/>
          <w:bottom w:val="nil"/>
          <w:right w:val="nil"/>
          <w:between w:val="nil"/>
        </w:pBdr>
      </w:pPr>
      <w:r>
        <w:rPr>
          <w:color w:val="000000"/>
        </w:rPr>
        <w:t>How will you collect the information? (Check all that apply)</w:t>
      </w:r>
    </w:p>
    <w:p w:rsidR="00D35C2D" w14:paraId="07D01F6D" w14:textId="77777777">
      <w:pPr>
        <w:ind w:left="360"/>
      </w:pPr>
      <w:r>
        <w:t xml:space="preserve">[ </w:t>
      </w:r>
      <w:r w:rsidR="00553E66">
        <w:t>X</w:t>
      </w:r>
      <w:r>
        <w:t xml:space="preserve"> ] Web-based or other forms of </w:t>
      </w:r>
      <w:r>
        <w:t>Social Media</w:t>
      </w:r>
      <w:r>
        <w:t xml:space="preserve"> </w:t>
      </w:r>
    </w:p>
    <w:p w:rsidR="00D35C2D" w14:paraId="565250B8" w14:textId="77777777">
      <w:pPr>
        <w:ind w:left="360"/>
      </w:pPr>
      <w:r>
        <w:t>[  ] Telephone</w:t>
      </w:r>
      <w:r>
        <w:tab/>
      </w:r>
    </w:p>
    <w:p w:rsidR="00D35C2D" w14:paraId="2EEF7E8F" w14:textId="77777777">
      <w:pPr>
        <w:ind w:left="360"/>
      </w:pPr>
      <w:r>
        <w:t>[  ] In-person</w:t>
      </w:r>
      <w:r>
        <w:tab/>
      </w:r>
    </w:p>
    <w:p w:rsidR="00D35C2D" w14:paraId="34D6F404" w14:textId="77777777">
      <w:pPr>
        <w:ind w:left="360"/>
      </w:pPr>
      <w:r>
        <w:t xml:space="preserve">[  ] Mail </w:t>
      </w:r>
    </w:p>
    <w:p w:rsidR="00D35C2D" w14:paraId="355BFC8B" w14:textId="77777777">
      <w:pPr>
        <w:ind w:left="360"/>
      </w:pPr>
      <w:r>
        <w:t>[  ] Other, Explain</w:t>
      </w:r>
    </w:p>
    <w:p w:rsidR="00D35C2D" w14:paraId="24F43817" w14:textId="77777777">
      <w:pPr>
        <w:ind w:left="360"/>
      </w:pPr>
    </w:p>
    <w:p w:rsidR="00D35C2D" w14:paraId="48188ACB" w14:textId="77777777">
      <w:pPr>
        <w:numPr>
          <w:ilvl w:val="0"/>
          <w:numId w:val="3"/>
        </w:numPr>
        <w:pBdr>
          <w:top w:val="nil"/>
          <w:left w:val="nil"/>
          <w:bottom w:val="nil"/>
          <w:right w:val="nil"/>
          <w:between w:val="nil"/>
        </w:pBdr>
      </w:pPr>
      <w:r>
        <w:rPr>
          <w:color w:val="000000"/>
        </w:rPr>
        <w:t xml:space="preserve">Will interviewers or facilitators be used?  [  ] Yes [ </w:t>
      </w:r>
      <w:r w:rsidR="00553E66">
        <w:rPr>
          <w:color w:val="000000"/>
        </w:rPr>
        <w:t>X</w:t>
      </w:r>
      <w:r>
        <w:rPr>
          <w:color w:val="000000"/>
        </w:rPr>
        <w:t xml:space="preserve"> ] No</w:t>
      </w:r>
    </w:p>
    <w:p w:rsidR="00D35C2D" w14:paraId="70916FAD" w14:textId="77777777">
      <w:pPr>
        <w:pBdr>
          <w:top w:val="nil"/>
          <w:left w:val="nil"/>
          <w:bottom w:val="nil"/>
          <w:right w:val="nil"/>
          <w:between w:val="nil"/>
        </w:pBdr>
        <w:ind w:left="360"/>
        <w:rPr>
          <w:color w:val="000000"/>
        </w:rPr>
      </w:pPr>
      <w:r>
        <w:rPr>
          <w:color w:val="000000"/>
        </w:rPr>
        <w:t xml:space="preserve"> </w:t>
      </w:r>
    </w:p>
    <w:p w:rsidR="00D35C2D" w14:paraId="16762933" w14:textId="77777777">
      <w:pPr>
        <w:rPr>
          <w:b/>
          <w:u w:val="single"/>
        </w:rPr>
      </w:pPr>
      <w:r>
        <w:rPr>
          <w:b/>
          <w:u w:val="single"/>
        </w:rPr>
        <w:t>Required Additional Information</w:t>
      </w:r>
    </w:p>
    <w:p w:rsidR="00D35C2D" w14:paraId="4E174BFD" w14:textId="77777777">
      <w:pPr>
        <w:rPr>
          <w:b/>
          <w:u w:val="single"/>
        </w:rPr>
      </w:pPr>
    </w:p>
    <w:p w:rsidR="00D35C2D" w14:paraId="6ECB072B" w14:textId="77777777">
      <w:pPr>
        <w:spacing w:line="360" w:lineRule="auto"/>
      </w:pPr>
      <w:r>
        <w:t xml:space="preserve">1.  Line of Business: </w:t>
      </w:r>
      <w:r w:rsidR="00553E66">
        <w:t xml:space="preserve"> General Science &amp; Innovation</w:t>
      </w:r>
    </w:p>
    <w:p w:rsidR="00D35C2D" w14:paraId="7DDEE9CA" w14:textId="77777777">
      <w:pPr>
        <w:spacing w:line="360" w:lineRule="auto"/>
      </w:pPr>
      <w:r>
        <w:t xml:space="preserve">2.  Subfunction:  </w:t>
      </w:r>
      <w:r w:rsidR="00553E66">
        <w:t>Scientific &amp; Technological Research &amp; Innovation</w:t>
      </w:r>
    </w:p>
    <w:p w:rsidR="00D35C2D" w14:paraId="6BBBDD3F" w14:textId="77777777">
      <w:pPr>
        <w:spacing w:line="360" w:lineRule="auto"/>
      </w:pPr>
      <w:r>
        <w:t xml:space="preserve">3.  Privacy Act System of Records:  </w:t>
      </w:r>
      <w:r w:rsidR="00553E66">
        <w:t>COMMERCE/NOAA-11</w:t>
      </w:r>
    </w:p>
    <w:p w:rsidR="00D35C2D" w14:paraId="2123A543" w14:textId="77777777">
      <w:pPr>
        <w:spacing w:line="360" w:lineRule="auto"/>
      </w:pPr>
      <w:r>
        <w:t xml:space="preserve">4.  Federal Registration citation information: </w:t>
      </w:r>
      <w:r w:rsidR="00553E66">
        <w:t>82 FR 3721</w:t>
      </w:r>
    </w:p>
    <w:p w:rsidR="00D35C2D" w14:paraId="6F87BA0D" w14:textId="77777777">
      <w:pPr>
        <w:spacing w:line="360" w:lineRule="auto"/>
      </w:pPr>
      <w:r>
        <w:t xml:space="preserve">5.  Number of respondents for small entities:  </w:t>
      </w:r>
      <w:r w:rsidR="00553E66">
        <w:t>0</w:t>
      </w:r>
    </w:p>
    <w:p w:rsidR="00D35C2D" w14:paraId="44F98633" w14:textId="77777777">
      <w:pPr>
        <w:spacing w:line="480" w:lineRule="auto"/>
      </w:pPr>
      <w:r>
        <w:t xml:space="preserve">6.  Percentage of respondents reporting electronically:  </w:t>
      </w:r>
      <w:r w:rsidR="00553E66">
        <w:t>100</w:t>
      </w:r>
    </w:p>
    <w:p w:rsidR="00D35C2D" w14:paraId="339E2792" w14:textId="77777777">
      <w:pPr>
        <w:rPr>
          <w:b/>
        </w:rPr>
      </w:pPr>
      <w:r>
        <w:rPr>
          <w:b/>
        </w:rPr>
        <w:t xml:space="preserve">Please submit all instruments, instructions, correspondences (emails, letters, etc.) to respondents, and scripts as separate documents along with this request document. </w:t>
      </w:r>
    </w:p>
    <w:p w:rsidR="00D35C2D" w14:paraId="5560EC19" w14:textId="77777777">
      <w:pPr>
        <w:rPr>
          <w:b/>
        </w:rPr>
      </w:pPr>
      <w:r>
        <w:rPr>
          <w:b/>
        </w:rPr>
        <w:t xml:space="preserve">Every instrument must have the following displayed – </w:t>
      </w:r>
    </w:p>
    <w:p w:rsidR="00D35C2D" w14:paraId="024E4FAE" w14:textId="77777777">
      <w:pPr>
        <w:rPr>
          <w:b/>
          <w:sz w:val="16"/>
          <w:szCs w:val="16"/>
        </w:rPr>
      </w:pPr>
    </w:p>
    <w:p w:rsidR="00D35C2D" w14:paraId="11537C76" w14:textId="77777777">
      <w:pPr>
        <w:rPr>
          <w:b/>
        </w:rPr>
      </w:pPr>
      <w:r>
        <w:rPr>
          <w:b/>
        </w:rPr>
        <w:t>OMB Control No. 0690-003</w:t>
      </w:r>
      <w:r w:rsidR="00301450">
        <w:rPr>
          <w:b/>
        </w:rPr>
        <w:t>8</w:t>
      </w:r>
    </w:p>
    <w:p w:rsidR="00D35C2D" w14:paraId="4ADA81D4" w14:textId="77777777">
      <w:r>
        <w:rPr>
          <w:b/>
        </w:rPr>
        <w:t>Expiration Date: 07/31/2026</w:t>
      </w:r>
    </w:p>
    <w:sectPr>
      <w:headerReference w:type="default" r:id="rId6"/>
      <w:footerReference w:type="default" r:id="rId7"/>
      <w:pgSz w:w="12240" w:h="15840"/>
      <w:pgMar w:top="72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C2D" w14:paraId="31091C38" w14:textId="77777777">
    <w:pPr>
      <w:pBdr>
        <w:top w:val="nil"/>
        <w:left w:val="nil"/>
        <w:bottom w:val="nil"/>
        <w:right w:val="nil"/>
        <w:between w:val="nil"/>
      </w:pBdr>
      <w:tabs>
        <w:tab w:val="center" w:pos="4320"/>
        <w:tab w:val="right" w:pos="8640"/>
        <w:tab w:val="right" w:pos="9000"/>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483B77">
      <w:rPr>
        <w:noProof/>
        <w:color w:val="000000"/>
        <w:sz w:val="20"/>
        <w:szCs w:val="20"/>
      </w:rPr>
      <w:t>1</w:t>
    </w:r>
    <w:r>
      <w:rPr>
        <w:color w:val="000000"/>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5C2D" w14:paraId="5625C5AB" w14:textId="77777777">
    <w:pPr>
      <w:widowControl w:val="0"/>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6D65796"/>
    <w:multiLevelType w:val="multilevel"/>
    <w:tmpl w:val="965CB16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2DBE09A5"/>
    <w:multiLevelType w:val="multilevel"/>
    <w:tmpl w:val="7A2C61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nsid w:val="53006F3F"/>
    <w:multiLevelType w:val="multilevel"/>
    <w:tmpl w:val="026C5D1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DCB6F11"/>
    <w:multiLevelType w:val="multilevel"/>
    <w:tmpl w:val="55D4209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045134572">
    <w:abstractNumId w:val="2"/>
  </w:num>
  <w:num w:numId="2" w16cid:durableId="1972520339">
    <w:abstractNumId w:val="3"/>
  </w:num>
  <w:num w:numId="3" w16cid:durableId="742292843">
    <w:abstractNumId w:val="1"/>
  </w:num>
  <w:num w:numId="4" w16cid:durableId="1369455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5C2D"/>
    <w:rsid w:val="002740BF"/>
    <w:rsid w:val="00301450"/>
    <w:rsid w:val="00483B77"/>
    <w:rsid w:val="00553E66"/>
    <w:rsid w:val="005C444C"/>
    <w:rsid w:val="005F53AA"/>
    <w:rsid w:val="006352E1"/>
    <w:rsid w:val="00941C11"/>
    <w:rsid w:val="00C925E8"/>
    <w:rsid w:val="00D35C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640D31E"/>
  <w15:docId w15:val="{A1E8CE46-15DA-4746-809D-BCD3A9F84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ind w:right="-360"/>
      <w:outlineLvl w:val="0"/>
    </w:pPr>
    <w:rPr>
      <w:b/>
    </w:rPr>
  </w:style>
  <w:style w:type="paragraph" w:styleId="Heading2">
    <w:name w:val="heading 2"/>
    <w:basedOn w:val="Normal"/>
    <w:next w:val="Normal"/>
    <w:uiPriority w:val="9"/>
    <w:unhideWhenUsed/>
    <w:qFormat/>
    <w:pPr>
      <w:keepNext/>
      <w:jc w:val="center"/>
      <w:outlineLvl w:val="1"/>
    </w:pPr>
    <w:rPr>
      <w:b/>
    </w:rPr>
  </w:style>
  <w:style w:type="paragraph" w:styleId="Heading3">
    <w:name w:val="heading 3"/>
    <w:basedOn w:val="Normal"/>
    <w:next w:val="Normal"/>
    <w:uiPriority w:val="9"/>
    <w:semiHidden/>
    <w:unhideWhenUsed/>
    <w:qFormat/>
    <w:pPr>
      <w:keepNext/>
      <w:outlineLvl w:val="2"/>
    </w:pPr>
    <w:rPr>
      <w:b/>
    </w:rPr>
  </w:style>
  <w:style w:type="paragraph" w:styleId="Heading4">
    <w:name w:val="heading 4"/>
    <w:basedOn w:val="Normal"/>
    <w:next w:val="Normal"/>
    <w:uiPriority w:val="9"/>
    <w:semiHidden/>
    <w:unhideWhenUsed/>
    <w:qFormat/>
    <w:pPr>
      <w:keepNext/>
      <w:outlineLvl w:val="3"/>
    </w:pPr>
    <w:rPr>
      <w:b/>
      <w:u w:val="single"/>
    </w:rPr>
  </w:style>
  <w:style w:type="paragraph" w:styleId="Heading5">
    <w:name w:val="heading 5"/>
    <w:basedOn w:val="Normal"/>
    <w:next w:val="Normal"/>
    <w:uiPriority w:val="9"/>
    <w:semiHidden/>
    <w:unhideWhenUsed/>
    <w:qFormat/>
    <w:pPr>
      <w:keepNext/>
      <w:outlineLvl w:val="4"/>
    </w:pPr>
    <w:rPr>
      <w:b/>
      <w:u w:val="single"/>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6xij+N4OQH/IE8v2WJARis0ZEA==">CgMxLjAyCGguZ2pkZ3hzOAByITE5TW1YTlh6eHpQZ3RyazA4dDBCMXpvVTc2TEYxN190Uw==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Adrienne.Thomas</dc:creator>
  <cp:lastModifiedBy>Dumas, Sheleen (Federal)</cp:lastModifiedBy>
  <cp:revision>2</cp:revision>
  <dcterms:created xsi:type="dcterms:W3CDTF">2024-01-29T17:57:00Z</dcterms:created>
  <dcterms:modified xsi:type="dcterms:W3CDTF">2024-01-29T17:57:00Z</dcterms:modified>
</cp:coreProperties>
</file>