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12745E" w:rsidP="005C65B8" w14:paraId="12DCEC17" w14:textId="6F01B77D">
      <w:pPr>
        <w:pStyle w:val="NormalWeb"/>
        <w:spacing w:line="288" w:lineRule="atLeast"/>
        <w:jc w:val="center"/>
        <w:rPr>
          <w:rFonts w:ascii="Cambria" w:hAnsi="Cambria" w:cs="Calibri Light"/>
          <w:sz w:val="28"/>
          <w:szCs w:val="28"/>
          <w:u w:val="single"/>
        </w:rPr>
      </w:pPr>
      <w:bookmarkStart w:id="0" w:name="cs31d"/>
      <w:r w:rsidRPr="0012745E">
        <w:rPr>
          <w:rFonts w:ascii="Cambria" w:hAnsi="Cambria" w:cs="Calibri Light"/>
          <w:sz w:val="28"/>
          <w:szCs w:val="28"/>
          <w:u w:val="single"/>
        </w:rPr>
        <w:t>SUPPORTING STATEMENT</w:t>
      </w:r>
      <w:r w:rsidRPr="0012745E" w:rsidR="006F3F40">
        <w:rPr>
          <w:rFonts w:ascii="Cambria" w:hAnsi="Cambria" w:cs="Calibri Light"/>
          <w:sz w:val="28"/>
          <w:szCs w:val="28"/>
          <w:u w:val="single"/>
        </w:rPr>
        <w:t xml:space="preserve"> – PART B</w:t>
      </w:r>
    </w:p>
    <w:p w:rsidR="005E0A0F" w:rsidRPr="0012745E" w:rsidP="00EE2985" w14:paraId="4059E3EE" w14:textId="77777777">
      <w:pPr>
        <w:pStyle w:val="NormalWeb"/>
        <w:spacing w:line="288" w:lineRule="atLeast"/>
        <w:rPr>
          <w:rFonts w:ascii="Cambria" w:hAnsi="Cambria" w:cs="Calibri Light"/>
          <w:u w:val="single"/>
        </w:rPr>
      </w:pPr>
      <w:bookmarkStart w:id="1" w:name="cs32"/>
      <w:bookmarkEnd w:id="0"/>
      <w:r w:rsidRPr="0012745E">
        <w:rPr>
          <w:rFonts w:ascii="Cambria" w:hAnsi="Cambria" w:cs="Calibri Light"/>
        </w:rPr>
        <w:t xml:space="preserve">B.  </w:t>
      </w:r>
      <w:r w:rsidRPr="0012745E">
        <w:rPr>
          <w:rFonts w:ascii="Cambria" w:hAnsi="Cambria" w:cs="Calibri Light"/>
          <w:u w:val="single"/>
        </w:rPr>
        <w:t>COLLECTIONS OF INFORMATION EMPLOYING STATISTICAL METHODS</w:t>
      </w:r>
    </w:p>
    <w:bookmarkEnd w:id="1"/>
    <w:p w:rsidR="005E0A0F" w:rsidRPr="0012745E" w:rsidP="00B91B89" w14:paraId="5389F66E" w14:textId="474B567A">
      <w:pPr>
        <w:pStyle w:val="NormalWeb"/>
        <w:spacing w:before="0" w:beforeAutospacing="0" w:after="0" w:afterAutospacing="0" w:line="288" w:lineRule="atLeast"/>
        <w:rPr>
          <w:rFonts w:ascii="Cambria" w:hAnsi="Cambria" w:cs="Calibri Light"/>
        </w:rPr>
      </w:pPr>
      <w:r w:rsidRPr="0012745E">
        <w:rPr>
          <w:rFonts w:ascii="Cambria" w:hAnsi="Cambria" w:cs="Calibri Light"/>
        </w:rPr>
        <w:t xml:space="preserve">1.  </w:t>
      </w:r>
      <w:r w:rsidRPr="0012745E">
        <w:rPr>
          <w:rFonts w:ascii="Cambria" w:hAnsi="Cambria" w:cs="Calibri Light"/>
          <w:u w:val="single"/>
        </w:rPr>
        <w:t>Description of the Activity</w:t>
      </w:r>
      <w:r w:rsidRPr="0012745E" w:rsidR="00076309">
        <w:rPr>
          <w:rFonts w:ascii="Cambria" w:hAnsi="Cambria" w:cs="Calibri Light"/>
        </w:rPr>
        <w:t xml:space="preserve"> </w:t>
      </w:r>
    </w:p>
    <w:p w:rsidR="00DF6B25" w:rsidRPr="004520F6" w:rsidP="005C65B8" w14:paraId="23F7BB3C" w14:textId="3D69495A">
      <w:pPr>
        <w:pStyle w:val="NormalWeb"/>
        <w:spacing w:line="288" w:lineRule="atLeast"/>
      </w:pPr>
      <w:r w:rsidRPr="0012745E">
        <w:t>This study is a longitudinal examination of performance, attitudes, and behaviors of Option 20 Soldiers,</w:t>
      </w:r>
      <w:r w:rsidRPr="0012745E" w:rsidR="001B0B5C">
        <w:t xml:space="preserve"> </w:t>
      </w:r>
      <w:r w:rsidRPr="0012745E">
        <w:t>who are Soldiers who select to come to Alaska as their first duty station at time of enlistment. Non-Option 20 Soldiers are those who are assigned to Alaska but did not choose it as their first duty station. We expect to collect data from</w:t>
      </w:r>
      <w:r w:rsidRPr="0012745E" w:rsidR="00B963CF">
        <w:t xml:space="preserve"> </w:t>
      </w:r>
      <w:r w:rsidRPr="0012745E" w:rsidR="00B963CF">
        <w:t>Option 20 and Non-Option 20 Soldiers, culminating in a sample of</w:t>
      </w:r>
      <w:r w:rsidRPr="0012745E">
        <w:t xml:space="preserve"> </w:t>
      </w:r>
      <w:r w:rsidRPr="0012745E">
        <w:t>approximately 400 junior enlisted Soldiers in Alaska</w:t>
      </w:r>
      <w:r w:rsidRPr="0012745E">
        <w:t xml:space="preserve"> (see Table 1)</w:t>
      </w:r>
      <w:r w:rsidRPr="0012745E">
        <w:t>.</w:t>
      </w:r>
      <w:r w:rsidRPr="0012745E">
        <w:t xml:space="preserve"> Up to 600 participants may be tasked to show up to the data collection across two posts (e.g., 300 at each post). This is the first data collection, so there are no previous response rates.</w:t>
      </w:r>
    </w:p>
    <w:p w:rsidR="00DF6B25" w:rsidRPr="0012745E" w:rsidP="005C65B8" w14:paraId="734DA8EC" w14:textId="40F38135">
      <w:pPr>
        <w:pStyle w:val="NormalWeb"/>
        <w:spacing w:line="288" w:lineRule="atLeast"/>
        <w:rPr>
          <w:b/>
          <w:bCs/>
        </w:rPr>
      </w:pPr>
      <w:r w:rsidRPr="0012745E">
        <w:rPr>
          <w:b/>
          <w:bCs/>
        </w:rPr>
        <w:t>Table 1</w:t>
      </w:r>
    </w:p>
    <w:p w:rsidR="00DF6B25" w:rsidRPr="0012745E" w:rsidP="005C65B8" w14:paraId="58B098FE" w14:textId="7E2D6167">
      <w:pPr>
        <w:pStyle w:val="NormalWeb"/>
        <w:spacing w:line="288" w:lineRule="atLeast"/>
        <w:rPr>
          <w:i/>
          <w:iCs/>
        </w:rPr>
      </w:pPr>
      <w:r w:rsidRPr="0012745E">
        <w:rPr>
          <w:i/>
          <w:iCs/>
        </w:rPr>
        <w:t>Experiences of Soldiers in Alaska Estimated Sample</w:t>
      </w:r>
    </w:p>
    <w:tbl>
      <w:tblPr>
        <w:tblStyle w:val="TableGrid"/>
        <w:tblW w:w="0" w:type="auto"/>
        <w:tblLook w:val="04A0"/>
      </w:tblPr>
      <w:tblGrid>
        <w:gridCol w:w="3116"/>
        <w:gridCol w:w="3117"/>
        <w:gridCol w:w="3117"/>
      </w:tblGrid>
      <w:tr w14:paraId="6BC877EB" w14:textId="77777777" w:rsidTr="001A1BA5">
        <w:tblPrEx>
          <w:tblW w:w="0" w:type="auto"/>
          <w:tblLook w:val="04A0"/>
        </w:tblPrEx>
        <w:tc>
          <w:tcPr>
            <w:tcW w:w="3116" w:type="dxa"/>
          </w:tcPr>
          <w:p w:rsidR="001A1BA5" w:rsidRPr="0012745E" w:rsidP="005C65B8" w14:paraId="3FB8EE80" w14:textId="3E51F9A0">
            <w:pPr>
              <w:pStyle w:val="NormalWeb"/>
              <w:spacing w:line="288" w:lineRule="atLeast"/>
              <w:rPr>
                <w:b/>
                <w:bCs/>
              </w:rPr>
            </w:pPr>
            <w:r w:rsidRPr="0012745E">
              <w:rPr>
                <w:b/>
                <w:bCs/>
              </w:rPr>
              <w:t>Group</w:t>
            </w:r>
          </w:p>
        </w:tc>
        <w:tc>
          <w:tcPr>
            <w:tcW w:w="3117" w:type="dxa"/>
          </w:tcPr>
          <w:p w:rsidR="001A1BA5" w:rsidRPr="0012745E" w:rsidP="005C65B8" w14:paraId="34A269F6" w14:textId="6A3EBA39">
            <w:pPr>
              <w:pStyle w:val="NormalWeb"/>
              <w:spacing w:line="288" w:lineRule="atLeast"/>
              <w:rPr>
                <w:b/>
                <w:bCs/>
              </w:rPr>
            </w:pPr>
            <w:r w:rsidRPr="0012745E">
              <w:rPr>
                <w:b/>
                <w:bCs/>
              </w:rPr>
              <w:t>Tasked to Attend</w:t>
            </w:r>
          </w:p>
        </w:tc>
        <w:tc>
          <w:tcPr>
            <w:tcW w:w="3117" w:type="dxa"/>
          </w:tcPr>
          <w:p w:rsidR="001A1BA5" w:rsidRPr="0012745E" w:rsidP="005C65B8" w14:paraId="55C7C474" w14:textId="5707CD04">
            <w:pPr>
              <w:pStyle w:val="NormalWeb"/>
              <w:spacing w:line="288" w:lineRule="atLeast"/>
              <w:rPr>
                <w:b/>
                <w:bCs/>
              </w:rPr>
            </w:pPr>
            <w:r w:rsidRPr="0012745E">
              <w:rPr>
                <w:b/>
                <w:bCs/>
              </w:rPr>
              <w:t>Estimated Participants</w:t>
            </w:r>
          </w:p>
        </w:tc>
      </w:tr>
      <w:tr w14:paraId="077EE4BC" w14:textId="77777777" w:rsidTr="001A1BA5">
        <w:tblPrEx>
          <w:tblW w:w="0" w:type="auto"/>
          <w:tblLook w:val="04A0"/>
        </w:tblPrEx>
        <w:tc>
          <w:tcPr>
            <w:tcW w:w="3116" w:type="dxa"/>
          </w:tcPr>
          <w:p w:rsidR="001A1BA5" w:rsidRPr="0012745E" w:rsidP="005C65B8" w14:paraId="04AD7427" w14:textId="145C1D07">
            <w:pPr>
              <w:pStyle w:val="NormalWeb"/>
              <w:spacing w:line="288" w:lineRule="atLeast"/>
            </w:pPr>
            <w:r w:rsidRPr="0012745E">
              <w:t>Option 20</w:t>
            </w:r>
          </w:p>
        </w:tc>
        <w:tc>
          <w:tcPr>
            <w:tcW w:w="3117" w:type="dxa"/>
          </w:tcPr>
          <w:p w:rsidR="001A1BA5" w:rsidRPr="0012745E" w:rsidP="005C65B8" w14:paraId="0D4DA05D" w14:textId="728DEE43">
            <w:pPr>
              <w:pStyle w:val="NormalWeb"/>
              <w:spacing w:line="288" w:lineRule="atLeast"/>
            </w:pPr>
            <w:r w:rsidRPr="0012745E">
              <w:t>300</w:t>
            </w:r>
          </w:p>
        </w:tc>
        <w:tc>
          <w:tcPr>
            <w:tcW w:w="3117" w:type="dxa"/>
          </w:tcPr>
          <w:p w:rsidR="001A1BA5" w:rsidRPr="0012745E" w:rsidP="005C65B8" w14:paraId="760DB8FE" w14:textId="74963DA1">
            <w:pPr>
              <w:pStyle w:val="NormalWeb"/>
              <w:spacing w:line="288" w:lineRule="atLeast"/>
            </w:pPr>
            <w:r w:rsidRPr="0012745E">
              <w:t>200</w:t>
            </w:r>
          </w:p>
        </w:tc>
      </w:tr>
      <w:tr w14:paraId="429B700D" w14:textId="77777777" w:rsidTr="001A1BA5">
        <w:tblPrEx>
          <w:tblW w:w="0" w:type="auto"/>
          <w:tblLook w:val="04A0"/>
        </w:tblPrEx>
        <w:tc>
          <w:tcPr>
            <w:tcW w:w="3116" w:type="dxa"/>
          </w:tcPr>
          <w:p w:rsidR="001A1BA5" w:rsidRPr="0012745E" w:rsidP="005C65B8" w14:paraId="2A19A889" w14:textId="62C3956F">
            <w:pPr>
              <w:pStyle w:val="NormalWeb"/>
              <w:spacing w:line="288" w:lineRule="atLeast"/>
            </w:pPr>
            <w:r w:rsidRPr="0012745E">
              <w:t>Non-Option 20</w:t>
            </w:r>
          </w:p>
        </w:tc>
        <w:tc>
          <w:tcPr>
            <w:tcW w:w="3117" w:type="dxa"/>
          </w:tcPr>
          <w:p w:rsidR="001A1BA5" w:rsidRPr="0012745E" w:rsidP="005C65B8" w14:paraId="35635800" w14:textId="774AA0B2">
            <w:pPr>
              <w:pStyle w:val="NormalWeb"/>
              <w:spacing w:line="288" w:lineRule="atLeast"/>
            </w:pPr>
            <w:r w:rsidRPr="0012745E">
              <w:t>300</w:t>
            </w:r>
          </w:p>
        </w:tc>
        <w:tc>
          <w:tcPr>
            <w:tcW w:w="3117" w:type="dxa"/>
          </w:tcPr>
          <w:p w:rsidR="001A1BA5" w:rsidRPr="0012745E" w:rsidP="005C65B8" w14:paraId="3F33D5BC" w14:textId="7EACBF14">
            <w:pPr>
              <w:pStyle w:val="NormalWeb"/>
              <w:spacing w:line="288" w:lineRule="atLeast"/>
            </w:pPr>
            <w:r w:rsidRPr="0012745E">
              <w:t>200</w:t>
            </w:r>
          </w:p>
        </w:tc>
      </w:tr>
      <w:tr w14:paraId="7DA9176D" w14:textId="77777777" w:rsidTr="001A1BA5">
        <w:tblPrEx>
          <w:tblW w:w="0" w:type="auto"/>
          <w:tblLook w:val="04A0"/>
        </w:tblPrEx>
        <w:tc>
          <w:tcPr>
            <w:tcW w:w="3116" w:type="dxa"/>
          </w:tcPr>
          <w:p w:rsidR="00D84BBB" w:rsidRPr="0012745E" w:rsidP="005C65B8" w14:paraId="3E426A33" w14:textId="30A8F30F">
            <w:pPr>
              <w:pStyle w:val="NormalWeb"/>
              <w:spacing w:line="288" w:lineRule="atLeast"/>
              <w:rPr>
                <w:b/>
                <w:bCs/>
              </w:rPr>
            </w:pPr>
            <w:r w:rsidRPr="0012745E">
              <w:rPr>
                <w:b/>
                <w:bCs/>
              </w:rPr>
              <w:t>Total</w:t>
            </w:r>
          </w:p>
        </w:tc>
        <w:tc>
          <w:tcPr>
            <w:tcW w:w="3117" w:type="dxa"/>
          </w:tcPr>
          <w:p w:rsidR="00D84BBB" w:rsidRPr="0012745E" w:rsidP="005C65B8" w14:paraId="14F103F7" w14:textId="3B688C7E">
            <w:pPr>
              <w:pStyle w:val="NormalWeb"/>
              <w:spacing w:line="288" w:lineRule="atLeast"/>
              <w:rPr>
                <w:b/>
                <w:bCs/>
              </w:rPr>
            </w:pPr>
            <w:r w:rsidRPr="0012745E">
              <w:rPr>
                <w:b/>
                <w:bCs/>
              </w:rPr>
              <w:t>6</w:t>
            </w:r>
            <w:r w:rsidRPr="0012745E">
              <w:rPr>
                <w:b/>
                <w:bCs/>
              </w:rPr>
              <w:t>00</w:t>
            </w:r>
          </w:p>
        </w:tc>
        <w:tc>
          <w:tcPr>
            <w:tcW w:w="3117" w:type="dxa"/>
          </w:tcPr>
          <w:p w:rsidR="00D84BBB" w:rsidRPr="0012745E" w:rsidP="005C65B8" w14:paraId="7D31E19C" w14:textId="39C818CF">
            <w:pPr>
              <w:pStyle w:val="NormalWeb"/>
              <w:spacing w:line="288" w:lineRule="atLeast"/>
              <w:rPr>
                <w:b/>
                <w:bCs/>
              </w:rPr>
            </w:pPr>
            <w:r w:rsidRPr="0012745E">
              <w:rPr>
                <w:b/>
                <w:bCs/>
              </w:rPr>
              <w:t>400</w:t>
            </w:r>
          </w:p>
        </w:tc>
      </w:tr>
    </w:tbl>
    <w:p w:rsidR="005E0A0F" w:rsidRPr="0012745E" w:rsidP="00B91B89" w14:paraId="1B3758CE" w14:textId="0B2FE73A">
      <w:pPr>
        <w:pStyle w:val="NormalWeb"/>
        <w:spacing w:after="0" w:afterAutospacing="0" w:line="288" w:lineRule="atLeast"/>
        <w:rPr>
          <w:rFonts w:ascii="Cambria" w:hAnsi="Cambria" w:cs="Calibri Light"/>
        </w:rPr>
      </w:pPr>
      <w:r w:rsidRPr="0012745E">
        <w:rPr>
          <w:rFonts w:ascii="Cambria" w:hAnsi="Cambria" w:cs="Calibri Light"/>
        </w:rPr>
        <w:t xml:space="preserve">2.  </w:t>
      </w:r>
      <w:r w:rsidRPr="0012745E">
        <w:rPr>
          <w:rFonts w:ascii="Cambria" w:hAnsi="Cambria" w:cs="Calibri Light"/>
          <w:u w:val="single"/>
        </w:rPr>
        <w:t>Procedures for the Collection of Information</w:t>
      </w:r>
      <w:r w:rsidRPr="0012745E" w:rsidR="00076309">
        <w:rPr>
          <w:rFonts w:ascii="Cambria" w:hAnsi="Cambria" w:cs="Calibri Light"/>
        </w:rPr>
        <w:t xml:space="preserve"> </w:t>
      </w:r>
    </w:p>
    <w:p w:rsidR="00C6515C" w:rsidRPr="0012745E" w:rsidP="00C6515C" w14:paraId="6D395472" w14:textId="4B699D23">
      <w:pPr>
        <w:pStyle w:val="NormalWeb"/>
        <w:spacing w:before="0" w:beforeAutospacing="0" w:after="0" w:afterAutospacing="0" w:line="288" w:lineRule="atLeast"/>
        <w:rPr>
          <w:rFonts w:ascii="Cambria" w:hAnsi="Cambria" w:cs="Calibri Light"/>
          <w:i/>
        </w:rPr>
      </w:pPr>
    </w:p>
    <w:p w:rsidR="00C6515C" w:rsidRPr="0012745E" w:rsidP="00C6515C" w14:paraId="2DBE2E25" w14:textId="662EA235">
      <w:pPr>
        <w:pStyle w:val="NormalWeb"/>
        <w:spacing w:before="0" w:beforeAutospacing="0" w:after="0" w:afterAutospacing="0" w:line="288" w:lineRule="atLeast"/>
        <w:rPr>
          <w:rFonts w:ascii="Cambria" w:hAnsi="Cambria" w:cs="Calibri Light"/>
          <w:iCs/>
        </w:rPr>
      </w:pPr>
      <w:r w:rsidRPr="0012745E">
        <w:rPr>
          <w:rFonts w:ascii="Cambria" w:hAnsi="Cambria" w:cs="Calibri Light"/>
          <w:iCs/>
        </w:rPr>
        <w:t>Individuals are eligible to participate in this study if they are junior enlisted Soldiers in their first term of enlistment in Alaska. Data will be stratified by Option 20 status for data analysis (e.g., Option 20 or Non-Option 20 Soldiers)</w:t>
      </w:r>
      <w:r w:rsidRPr="0012745E" w:rsidR="00B05E1E">
        <w:rPr>
          <w:rFonts w:ascii="Cambria" w:hAnsi="Cambria" w:cs="Calibri Light"/>
          <w:iCs/>
        </w:rPr>
        <w:t xml:space="preserve">. </w:t>
      </w:r>
      <w:r w:rsidRPr="0012745E" w:rsidR="007574E8">
        <w:rPr>
          <w:rFonts w:ascii="Cambria" w:hAnsi="Cambria" w:cs="Calibri Light"/>
          <w:iCs/>
        </w:rPr>
        <w:t xml:space="preserve">We will </w:t>
      </w:r>
      <w:r w:rsidRPr="0012745E" w:rsidR="007B1EE4">
        <w:rPr>
          <w:rFonts w:ascii="Cambria" w:hAnsi="Cambria" w:cs="Calibri Light"/>
          <w:iCs/>
        </w:rPr>
        <w:t xml:space="preserve">stratify the sample by using the split file, ANOVA, or a similar analysis. </w:t>
      </w:r>
      <w:r w:rsidRPr="0012745E" w:rsidR="006D4CCD">
        <w:rPr>
          <w:rFonts w:ascii="Cambria" w:hAnsi="Cambria" w:cs="Calibri Light"/>
          <w:iCs/>
        </w:rPr>
        <w:t>Analysis will occur after the data has been cleaned</w:t>
      </w:r>
      <w:r w:rsidRPr="0012745E" w:rsidR="006D4CCD">
        <w:rPr>
          <w:rFonts w:ascii="Cambria" w:hAnsi="Cambria" w:cs="Calibri Light"/>
          <w:iCs/>
        </w:rPr>
        <w:t>.</w:t>
      </w:r>
    </w:p>
    <w:p w:rsidR="00EA12E4" w:rsidRPr="0012745E" w:rsidP="00C6515C" w14:paraId="7F8E5DB9" w14:textId="2E0356AB">
      <w:pPr>
        <w:pStyle w:val="NormalWeb"/>
        <w:spacing w:before="0" w:beforeAutospacing="0" w:after="0" w:afterAutospacing="0" w:line="288" w:lineRule="atLeast"/>
        <w:rPr>
          <w:rFonts w:ascii="Cambria" w:hAnsi="Cambria" w:cs="Calibri Light"/>
          <w:iCs/>
        </w:rPr>
      </w:pPr>
    </w:p>
    <w:p w:rsidR="00EA12E4" w:rsidRPr="0012745E" w:rsidP="00C6515C" w14:paraId="5120A228" w14:textId="0CF09B20">
      <w:pPr>
        <w:pStyle w:val="NormalWeb"/>
        <w:spacing w:before="0" w:beforeAutospacing="0" w:after="0" w:afterAutospacing="0" w:line="288" w:lineRule="atLeast"/>
        <w:rPr>
          <w:rFonts w:ascii="Cambria" w:hAnsi="Cambria" w:cs="Calibri Light"/>
          <w:iCs/>
        </w:rPr>
      </w:pPr>
      <w:r w:rsidRPr="0012745E">
        <w:rPr>
          <w:rFonts w:ascii="Cambria" w:hAnsi="Cambria" w:cs="Calibri Light"/>
          <w:iCs/>
        </w:rPr>
        <w:t xml:space="preserve">We do not expect any unusual problems that </w:t>
      </w:r>
      <w:r w:rsidRPr="0012745E" w:rsidR="000711F8">
        <w:rPr>
          <w:rFonts w:ascii="Cambria" w:hAnsi="Cambria" w:cs="Calibri Light"/>
          <w:iCs/>
        </w:rPr>
        <w:t xml:space="preserve">require more specialized sampling procedures. However, the reason we task Option 20 and Non-Option 20 Soldiers is because our project seeks to investigate if there are differences between those who select Alaska (i.e., Option 20) </w:t>
      </w:r>
      <w:r w:rsidRPr="0012745E" w:rsidR="00B7303C">
        <w:rPr>
          <w:rFonts w:ascii="Cambria" w:hAnsi="Cambria" w:cs="Calibri Light"/>
          <w:iCs/>
        </w:rPr>
        <w:t xml:space="preserve">and those who are assigned to Alaska (i.e., Non-Option 20), so it is critical that we have </w:t>
      </w:r>
      <w:r w:rsidRPr="0012745E" w:rsidR="00B7303C">
        <w:rPr>
          <w:rFonts w:ascii="Cambria" w:hAnsi="Cambria" w:cs="Calibri Light"/>
          <w:iCs/>
        </w:rPr>
        <w:t>both of these</w:t>
      </w:r>
      <w:r w:rsidRPr="0012745E" w:rsidR="00B7303C">
        <w:rPr>
          <w:rFonts w:ascii="Cambria" w:hAnsi="Cambria" w:cs="Calibri Light"/>
          <w:iCs/>
        </w:rPr>
        <w:t xml:space="preserve"> groups of participants represented. </w:t>
      </w:r>
    </w:p>
    <w:p w:rsidR="002D3CF7" w:rsidRPr="0012745E" w:rsidP="00C6515C" w14:paraId="057BD6CC" w14:textId="2B787E9A">
      <w:pPr>
        <w:pStyle w:val="NormalWeb"/>
        <w:spacing w:before="0" w:beforeAutospacing="0" w:after="0" w:afterAutospacing="0" w:line="288" w:lineRule="atLeast"/>
        <w:rPr>
          <w:rFonts w:ascii="Cambria" w:hAnsi="Cambria" w:cs="Calibri Light"/>
          <w:iCs/>
        </w:rPr>
      </w:pPr>
    </w:p>
    <w:p w:rsidR="002D3CF7" w:rsidRPr="0012745E" w:rsidP="00C6515C" w14:paraId="489D961D" w14:textId="56363187">
      <w:pPr>
        <w:pStyle w:val="NormalWeb"/>
        <w:spacing w:before="0" w:beforeAutospacing="0" w:after="0" w:afterAutospacing="0" w:line="288" w:lineRule="atLeast"/>
        <w:rPr>
          <w:rFonts w:ascii="Cambria" w:hAnsi="Cambria" w:cs="Calibri Light"/>
          <w:iCs/>
        </w:rPr>
      </w:pPr>
      <w:r w:rsidRPr="0012745E">
        <w:rPr>
          <w:rFonts w:ascii="Cambria" w:hAnsi="Cambria" w:cs="Calibri Light"/>
          <w:iCs/>
        </w:rPr>
        <w:t xml:space="preserve">We will not be using periodic or cyclical data collections. This data collection will only occur one time, which reduces respondent burden. </w:t>
      </w:r>
    </w:p>
    <w:p w:rsidR="00B91B89" w:rsidRPr="0012745E" w:rsidP="00B91B89" w14:paraId="55BE7C9B" w14:textId="2A1E5F08">
      <w:pPr>
        <w:pStyle w:val="NormalWeb"/>
        <w:spacing w:before="0" w:beforeAutospacing="0" w:after="0" w:afterAutospacing="0" w:line="288" w:lineRule="atLeast"/>
        <w:ind w:firstLine="720"/>
        <w:rPr>
          <w:rFonts w:ascii="Cambria" w:hAnsi="Cambria" w:cs="Calibri Light"/>
          <w:i/>
        </w:rPr>
      </w:pPr>
    </w:p>
    <w:p w:rsidR="005C65B8" w:rsidRPr="0012745E" w:rsidP="00B91B89" w14:paraId="6A3073CB" w14:textId="77777777">
      <w:pPr>
        <w:pStyle w:val="NormalWeb"/>
        <w:spacing w:before="0" w:beforeAutospacing="0" w:after="0" w:afterAutospacing="0" w:line="288" w:lineRule="atLeast"/>
        <w:ind w:firstLine="720"/>
        <w:rPr>
          <w:rFonts w:ascii="Cambria" w:hAnsi="Cambria" w:cs="Calibri Light"/>
          <w:i/>
        </w:rPr>
      </w:pPr>
    </w:p>
    <w:p w:rsidR="006F3F40" w:rsidRPr="004520F6" w:rsidP="00B651B9" w14:paraId="48EB12DE" w14:textId="2611BE45">
      <w:pPr>
        <w:pStyle w:val="NormalWeb"/>
        <w:spacing w:before="0" w:beforeAutospacing="0" w:after="0" w:afterAutospacing="0" w:line="288" w:lineRule="atLeast"/>
        <w:rPr>
          <w:rFonts w:ascii="Cambria" w:hAnsi="Cambria"/>
          <w:i/>
        </w:rPr>
      </w:pPr>
      <w:r w:rsidRPr="0012745E">
        <w:rPr>
          <w:rFonts w:ascii="Cambria" w:hAnsi="Cambria" w:cs="Calibri Light"/>
        </w:rPr>
        <w:t xml:space="preserve">3.  </w:t>
      </w:r>
      <w:r w:rsidRPr="0012745E">
        <w:rPr>
          <w:rFonts w:ascii="Cambria" w:hAnsi="Cambria" w:cs="Calibri Light"/>
          <w:u w:val="single"/>
        </w:rPr>
        <w:t>Maximization of Response Rates, Non-response, and Reliability</w:t>
      </w:r>
      <w:r w:rsidRPr="0012745E" w:rsidR="00076309">
        <w:rPr>
          <w:rFonts w:ascii="Cambria" w:hAnsi="Cambria"/>
        </w:rPr>
        <w:t xml:space="preserve"> </w:t>
      </w:r>
    </w:p>
    <w:p w:rsidR="001B0B5C" w:rsidRPr="0012745E" w:rsidP="00B91B89" w14:paraId="00D4E504" w14:textId="026283DB">
      <w:pPr>
        <w:pStyle w:val="NormalWeb"/>
        <w:spacing w:before="0" w:beforeAutospacing="0" w:after="0" w:afterAutospacing="0" w:line="288" w:lineRule="atLeast"/>
        <w:rPr>
          <w:rFonts w:ascii="Cambria" w:hAnsi="Cambria" w:cs="Calibri Light"/>
          <w:i/>
        </w:rPr>
      </w:pPr>
    </w:p>
    <w:p w:rsidR="001B0B5C" w:rsidRPr="0012745E" w:rsidP="001B0B5C" w14:paraId="186911EA" w14:textId="04FF9CC7">
      <w:pPr>
        <w:pStyle w:val="NormalWeb"/>
        <w:spacing w:line="288" w:lineRule="atLeast"/>
      </w:pPr>
      <w:r w:rsidRPr="0012745E">
        <w:t xml:space="preserve">At least one ARI representative will be present at each data collection, which will maximize response rates. Participants will be tasked to attend the data collection, but participation in the study is voluntary. We are aiming to collect a sample of approximately 400 junior enlisted Soldiers from two Army bases in Alaska </w:t>
      </w:r>
      <w:r w:rsidRPr="0012745E">
        <w:t>in order to</w:t>
      </w:r>
      <w:r w:rsidRPr="0012745E">
        <w:t xml:space="preserve"> increase the generalizability of the data. </w:t>
      </w:r>
      <w:r w:rsidRPr="0012745E" w:rsidR="00B651B9">
        <w:t xml:space="preserve">This sample size will ensure that we have adequate data for analysis. </w:t>
      </w:r>
      <w:r w:rsidRPr="0012745E">
        <w:t xml:space="preserve">All data will be cleaned and screened for careless responding. </w:t>
      </w:r>
    </w:p>
    <w:p w:rsidR="00B91B89" w:rsidRPr="0012745E" w:rsidP="00B91B89" w14:paraId="7D3F9FB8" w14:textId="77777777">
      <w:pPr>
        <w:pStyle w:val="NormalWeb"/>
        <w:spacing w:before="0" w:beforeAutospacing="0" w:after="0" w:afterAutospacing="0" w:line="288" w:lineRule="atLeast"/>
        <w:rPr>
          <w:rFonts w:ascii="Cambria" w:hAnsi="Cambria" w:cs="Calibri Light"/>
          <w:i/>
        </w:rPr>
      </w:pPr>
    </w:p>
    <w:p w:rsidR="005E0A0F" w:rsidRPr="0012745E" w:rsidP="00B91B89" w14:paraId="0CDF4437" w14:textId="77777777">
      <w:pPr>
        <w:pStyle w:val="NormalWeb"/>
        <w:spacing w:before="0" w:beforeAutospacing="0" w:after="0" w:afterAutospacing="0" w:line="288" w:lineRule="atLeast"/>
        <w:rPr>
          <w:rFonts w:ascii="Cambria" w:hAnsi="Cambria" w:cs="Calibri Light"/>
        </w:rPr>
      </w:pPr>
      <w:r w:rsidRPr="0012745E">
        <w:rPr>
          <w:rFonts w:ascii="Cambria" w:hAnsi="Cambria" w:cs="Calibri Light"/>
        </w:rPr>
        <w:t xml:space="preserve">4.  </w:t>
      </w:r>
      <w:r w:rsidRPr="0012745E">
        <w:rPr>
          <w:rFonts w:ascii="Cambria" w:hAnsi="Cambria" w:cs="Calibri Light"/>
          <w:u w:val="single"/>
        </w:rPr>
        <w:t>Tests of Procedures</w:t>
      </w:r>
      <w:r w:rsidRPr="0012745E" w:rsidR="00076309">
        <w:rPr>
          <w:rFonts w:ascii="Cambria" w:hAnsi="Cambria" w:cs="Calibri Light"/>
        </w:rPr>
        <w:t xml:space="preserve"> (1-2 paragraphs)</w:t>
      </w:r>
    </w:p>
    <w:p w:rsidR="005C65B8" w:rsidRPr="0012745E" w:rsidP="00B91B89" w14:paraId="4FDAD7D4" w14:textId="12DC7485">
      <w:pPr>
        <w:pStyle w:val="NormalWeb"/>
        <w:spacing w:after="0" w:afterAutospacing="0" w:line="288" w:lineRule="atLeast"/>
        <w:rPr>
          <w:rFonts w:ascii="Cambria" w:hAnsi="Cambria" w:cs="Calibri Light"/>
        </w:rPr>
      </w:pPr>
      <w:r w:rsidRPr="0012745E">
        <w:rPr>
          <w:rFonts w:ascii="Cambria" w:hAnsi="Cambria" w:cs="Calibri Light"/>
        </w:rPr>
        <w:t xml:space="preserve">We have not conducted any tests of procedures or methods specific to this study. However, ARI has a history of developing and administering assessments, so we were able to utilize similar procedures and methodology. </w:t>
      </w:r>
      <w:r w:rsidRPr="0012745E" w:rsidR="005931F7">
        <w:rPr>
          <w:rFonts w:ascii="Cambria" w:hAnsi="Cambria" w:cs="Calibri Light"/>
        </w:rPr>
        <w:t>Specifically, we are utilizing the same procedures as the V</w:t>
      </w:r>
      <w:r w:rsidRPr="0012745E" w:rsidR="00E84C27">
        <w:rPr>
          <w:rFonts w:ascii="Cambria" w:hAnsi="Cambria" w:cs="Calibri Light"/>
        </w:rPr>
        <w:t>alidation of</w:t>
      </w:r>
      <w:r w:rsidRPr="0012745E" w:rsidR="00A11BD2">
        <w:rPr>
          <w:rFonts w:ascii="Cambria" w:hAnsi="Cambria" w:cs="Calibri Light"/>
        </w:rPr>
        <w:t xml:space="preserve"> Accessions Screening Tools project (VAST)</w:t>
      </w:r>
      <w:r w:rsidRPr="0012745E" w:rsidR="005931F7">
        <w:rPr>
          <w:rFonts w:ascii="Cambria" w:hAnsi="Cambria" w:cs="Calibri Light"/>
        </w:rPr>
        <w:t>, which is a longitudinal validation effort that has been conducted</w:t>
      </w:r>
      <w:r w:rsidRPr="0012745E" w:rsidR="00EB5448">
        <w:rPr>
          <w:rFonts w:ascii="Cambria" w:hAnsi="Cambria" w:cs="Calibri Light"/>
        </w:rPr>
        <w:t xml:space="preserve"> for numerous years. </w:t>
      </w:r>
      <w:r w:rsidRPr="0012745E" w:rsidR="00A5606F">
        <w:rPr>
          <w:rFonts w:ascii="Cambria" w:hAnsi="Cambria" w:cs="Calibri Light"/>
        </w:rPr>
        <w:t>ARI will also test the assessment internally to ensure that all measures are functioning as designed. Testing a small group of</w:t>
      </w:r>
      <w:r w:rsidRPr="0012745E" w:rsidR="00927FC0">
        <w:rPr>
          <w:rFonts w:ascii="Cambria" w:hAnsi="Cambria" w:cs="Calibri Light"/>
        </w:rPr>
        <w:t xml:space="preserve"> potential </w:t>
      </w:r>
      <w:r w:rsidRPr="0012745E" w:rsidR="00A5606F">
        <w:rPr>
          <w:rFonts w:ascii="Cambria" w:hAnsi="Cambria" w:cs="Calibri Light"/>
        </w:rPr>
        <w:t>respondents in Alaska is not feasi</w:t>
      </w:r>
      <w:r w:rsidRPr="0012745E" w:rsidR="005931F7">
        <w:rPr>
          <w:rFonts w:ascii="Cambria" w:hAnsi="Cambria" w:cs="Calibri Light"/>
        </w:rPr>
        <w:t>ble</w:t>
      </w:r>
      <w:r w:rsidRPr="0012745E" w:rsidR="00A5606F">
        <w:rPr>
          <w:rFonts w:ascii="Cambria" w:hAnsi="Cambria" w:cs="Calibri Light"/>
        </w:rPr>
        <w:t xml:space="preserve">. </w:t>
      </w:r>
    </w:p>
    <w:p w:rsidR="005E0A0F" w:rsidRPr="00076309" w:rsidP="00B91B89" w14:paraId="2C7C073D" w14:textId="5B302AE5">
      <w:pPr>
        <w:pStyle w:val="NormalWeb"/>
        <w:spacing w:after="0" w:afterAutospacing="0" w:line="288" w:lineRule="atLeast"/>
      </w:pPr>
      <w:r w:rsidRPr="0012745E">
        <w:rPr>
          <w:rFonts w:ascii="Cambria" w:hAnsi="Cambria" w:cs="Calibri Light"/>
        </w:rPr>
        <w:t xml:space="preserve">5.  </w:t>
      </w:r>
      <w:r w:rsidRPr="0012745E">
        <w:rPr>
          <w:rFonts w:ascii="Cambria" w:hAnsi="Cambria" w:cs="Calibri Light"/>
          <w:u w:val="single"/>
        </w:rPr>
        <w:t>Statistical Consultation and Information Analysis</w:t>
      </w:r>
    </w:p>
    <w:p w:rsidR="00225922" w:rsidRPr="0012745E" w:rsidP="00225922" w14:paraId="3826650A" w14:textId="77777777">
      <w:pPr>
        <w:pStyle w:val="NormalWeb"/>
        <w:spacing w:line="288" w:lineRule="atLeast"/>
      </w:pPr>
      <w:r w:rsidRPr="0012745E">
        <w:t xml:space="preserve">All individuals who will collect and analyze the collected information are ARI personnel. All personnel will be HRPP-approved. </w:t>
      </w:r>
    </w:p>
    <w:p w:rsidR="005E0A0F" w:rsidRPr="0012745E" w:rsidP="004520F6" w14:paraId="3D366630" w14:textId="2D2E7751">
      <w:pPr>
        <w:pStyle w:val="NormalWeb"/>
        <w:spacing w:after="0" w:afterAutospacing="0" w:line="288" w:lineRule="atLeast"/>
      </w:pPr>
      <w:r w:rsidRPr="001A7BBD">
        <w:rPr>
          <w:rFonts w:ascii="Cambria" w:eastAsia="Calibri" w:hAnsi="Cambria"/>
          <w:i/>
          <w:szCs w:val="22"/>
        </w:rPr>
        <w:t>Provide name/telephone number of individual(s) consulted on statistical aspects of the design.</w:t>
      </w:r>
      <w:r w:rsidRPr="004520F6" w:rsidR="00076309">
        <w:rPr>
          <w:rFonts w:ascii="Cambria" w:hAnsi="Cambria"/>
        </w:rPr>
        <w:t xml:space="preserve"> </w:t>
      </w:r>
    </w:p>
    <w:p w:rsidR="00D40A69" w:rsidRPr="0012745E" w:rsidP="00D40A69" w14:paraId="57D0FDE3" w14:textId="77777777">
      <w:pPr>
        <w:pStyle w:val="NormalWeb"/>
        <w:spacing w:line="288" w:lineRule="atLeast"/>
        <w:ind w:firstLine="1260"/>
      </w:pPr>
      <w:r w:rsidRPr="0012745E">
        <w:t>Dr. Tonia S. Heffner, 703-545-4408, tonia.s.heffner.civ@army.mil</w:t>
      </w:r>
    </w:p>
    <w:p w:rsidR="00D40A69" w:rsidRPr="004520F6" w:rsidP="00D40A69" w14:paraId="07A8C3DC" w14:textId="77777777">
      <w:pPr>
        <w:pStyle w:val="NormalWeb"/>
        <w:spacing w:line="288" w:lineRule="atLeast"/>
        <w:ind w:firstLine="1260"/>
        <w:rPr>
          <w:rStyle w:val="Hyperlink"/>
          <w:color w:val="auto"/>
        </w:rPr>
      </w:pPr>
      <w:r w:rsidRPr="0012745E">
        <w:t>Dr. Krystal N. Roach, 703-472-1942, krystal.n.roach.civ@army.mil</w:t>
      </w:r>
    </w:p>
    <w:p w:rsidR="00D40A69" w:rsidRPr="0012745E" w:rsidP="00D40A69" w14:paraId="706E92F4" w14:textId="77777777">
      <w:pPr>
        <w:pStyle w:val="NormalWeb"/>
        <w:spacing w:line="288" w:lineRule="atLeast"/>
        <w:ind w:firstLine="1260"/>
      </w:pPr>
      <w:r w:rsidRPr="0012745E">
        <w:t>Dr. Julia Whitaker, 703-383-4791, julia.h.whitaker.civ@army.mil</w:t>
      </w:r>
    </w:p>
    <w:p w:rsidR="00D40A69" w:rsidRPr="0012745E" w:rsidP="00173C29" w14:paraId="2DC1A6DF" w14:textId="23E6BE2F">
      <w:pPr>
        <w:pStyle w:val="NormalWeb"/>
        <w:spacing w:line="288" w:lineRule="atLeast"/>
        <w:ind w:firstLine="1260"/>
      </w:pPr>
      <w:r w:rsidRPr="0012745E">
        <w:t>Dr. Jamie Striler, 703-819-8672, jamie.n.striler.civ@army.mil</w:t>
      </w:r>
    </w:p>
    <w:p w:rsidR="00D40A69" w:rsidRPr="001A7BBD" w:rsidP="00D40A69" w14:paraId="6AA43531" w14:textId="77777777">
      <w:pPr>
        <w:pStyle w:val="NormalWeb"/>
        <w:spacing w:before="0" w:beforeAutospacing="0" w:after="0" w:afterAutospacing="0" w:line="288" w:lineRule="atLeast"/>
        <w:ind w:left="1080"/>
        <w:rPr>
          <w:rFonts w:ascii="Cambria" w:eastAsia="Calibri" w:hAnsi="Cambria"/>
          <w:i/>
          <w:szCs w:val="22"/>
        </w:rPr>
      </w:pPr>
    </w:p>
    <w:p w:rsidR="00D40A69" w:rsidP="00D40A69" w14:paraId="38997FAE" w14:textId="77777777">
      <w:pPr>
        <w:pStyle w:val="NormalWeb"/>
        <w:spacing w:before="0" w:beforeAutospacing="0" w:after="0" w:afterAutospacing="0" w:line="288" w:lineRule="atLeast"/>
        <w:rPr>
          <w:rFonts w:ascii="Cambria" w:eastAsia="Calibri" w:hAnsi="Cambria"/>
          <w:i/>
          <w:szCs w:val="22"/>
        </w:rPr>
      </w:pPr>
      <w:r w:rsidRPr="001A7BBD">
        <w:rPr>
          <w:rFonts w:ascii="Cambria" w:eastAsia="Calibri" w:hAnsi="Cambria"/>
          <w:i/>
          <w:szCs w:val="22"/>
        </w:rPr>
        <w:t xml:space="preserve">Provide name/organization of person(s) who will </w:t>
      </w:r>
      <w:r w:rsidRPr="001A7BBD">
        <w:rPr>
          <w:rFonts w:ascii="Cambria" w:eastAsia="Calibri" w:hAnsi="Cambria"/>
          <w:i/>
          <w:szCs w:val="22"/>
        </w:rPr>
        <w:t>actually collect</w:t>
      </w:r>
      <w:r w:rsidRPr="001A7BBD">
        <w:rPr>
          <w:rFonts w:ascii="Cambria" w:eastAsia="Calibri" w:hAnsi="Cambria"/>
          <w:i/>
          <w:szCs w:val="22"/>
        </w:rPr>
        <w:t xml:space="preserve"> and analyze any information.</w:t>
      </w:r>
    </w:p>
    <w:p w:rsidR="00D40A69" w:rsidRPr="0012745E" w:rsidP="00D40A69" w14:paraId="2655A80A" w14:textId="77777777">
      <w:pPr>
        <w:pStyle w:val="NormalWeb"/>
        <w:spacing w:line="288" w:lineRule="atLeast"/>
        <w:ind w:firstLine="1260"/>
      </w:pPr>
      <w:r w:rsidRPr="0012745E">
        <w:t>Dr. Tonia S. Heffner, 703-545-4408, tonia.s.heffner.civ@army.mil</w:t>
      </w:r>
    </w:p>
    <w:p w:rsidR="00D40A69" w:rsidRPr="004520F6" w:rsidP="00D40A69" w14:paraId="3F1C3D95" w14:textId="77777777">
      <w:pPr>
        <w:pStyle w:val="NormalWeb"/>
        <w:spacing w:line="288" w:lineRule="atLeast"/>
        <w:ind w:firstLine="1260"/>
        <w:rPr>
          <w:rStyle w:val="Hyperlink"/>
          <w:color w:val="auto"/>
        </w:rPr>
      </w:pPr>
      <w:r w:rsidRPr="0012745E">
        <w:t>Dr. Krystal N. Roach, 703-472-1942, krystal.n.roach.civ@army.mil</w:t>
      </w:r>
    </w:p>
    <w:p w:rsidR="00D40A69" w:rsidRPr="0012745E" w:rsidP="00D40A69" w14:paraId="39734E94" w14:textId="77777777">
      <w:pPr>
        <w:pStyle w:val="NormalWeb"/>
        <w:spacing w:line="288" w:lineRule="atLeast"/>
        <w:ind w:firstLine="1260"/>
      </w:pPr>
      <w:r w:rsidRPr="0012745E">
        <w:t>Dr. Julia Whitaker, 703-383-4791, julia.h.whitaker.civ@army.mil</w:t>
      </w:r>
    </w:p>
    <w:p w:rsidR="00D40A69" w:rsidRPr="0012745E" w:rsidP="00D40A69" w14:paraId="179A4841" w14:textId="77777777">
      <w:pPr>
        <w:pStyle w:val="NormalWeb"/>
        <w:spacing w:line="288" w:lineRule="atLeast"/>
        <w:ind w:firstLine="1260"/>
      </w:pPr>
      <w:r w:rsidRPr="0012745E">
        <w:t>Dr. Jamie Striler, 703-819-8672, jamie.n.striler.civ@army.mil</w:t>
      </w:r>
    </w:p>
    <w:p w:rsidR="00D40A69" w:rsidRPr="0012745E" w:rsidP="00D40A69" w14:paraId="14D299D7" w14:textId="77777777">
      <w:pPr>
        <w:ind w:left="540" w:firstLine="720"/>
        <w:rPr>
          <w:highlight w:val="yellow"/>
        </w:rPr>
      </w:pPr>
      <w:r w:rsidRPr="0012745E">
        <w:t>Dr. Elizabeth D. Salmon, 703-545-4409, elizabeth.d.salmon3.civ@army.mil</w:t>
      </w:r>
    </w:p>
    <w:p w:rsidR="00D40A69" w:rsidRPr="0012745E" w:rsidP="00D40A69" w14:paraId="6E6497BB" w14:textId="77777777"/>
    <w:p w:rsidR="00D40A69" w:rsidRPr="0012745E" w:rsidP="00D40A69" w14:paraId="241DDDD7" w14:textId="77777777">
      <w:pPr>
        <w:ind w:left="540" w:firstLine="720"/>
      </w:pPr>
      <w:r w:rsidRPr="0012745E">
        <w:t>Dr. Kimberly S. Owens, 703-545-2342, kimberly.s.owens10.civ@army.mil</w:t>
      </w:r>
    </w:p>
    <w:p w:rsidR="00D40A69" w:rsidRPr="0012745E" w:rsidP="00D40A69" w14:paraId="28D45327" w14:textId="77777777">
      <w:pPr>
        <w:pStyle w:val="NormalWeb"/>
        <w:spacing w:line="288" w:lineRule="atLeast"/>
        <w:ind w:firstLine="1260"/>
      </w:pPr>
      <w:r w:rsidRPr="0012745E">
        <w:t>Dr. Erin L. O’Brien, 703-545-2422, erin.l.obrien3.civ@army.mil</w:t>
      </w:r>
    </w:p>
    <w:p w:rsidR="00D40A69" w:rsidRPr="004520F6" w:rsidP="00D40A69" w14:paraId="7486D508" w14:textId="77777777">
      <w:pPr>
        <w:pStyle w:val="NormalWeb"/>
        <w:spacing w:line="288" w:lineRule="atLeast"/>
        <w:ind w:firstLine="1260"/>
        <w:rPr>
          <w:rStyle w:val="Hyperlink"/>
          <w:color w:val="auto"/>
        </w:rPr>
      </w:pPr>
      <w:r w:rsidRPr="0012745E">
        <w:t>Dr. Cristina D. Kirkendall, 703-545-2431, cristina.d.kirkendall.civ@army.mil</w:t>
      </w:r>
    </w:p>
    <w:p w:rsidR="00D40A69" w:rsidRPr="004520F6" w:rsidP="00D40A69" w14:paraId="73A79A40" w14:textId="77777777">
      <w:pPr>
        <w:pStyle w:val="NormalWeb"/>
        <w:spacing w:line="288" w:lineRule="atLeast"/>
        <w:ind w:firstLine="1260"/>
        <w:rPr>
          <w:rStyle w:val="Hyperlink"/>
          <w:color w:val="auto"/>
        </w:rPr>
      </w:pPr>
      <w:r w:rsidRPr="0012745E">
        <w:rPr>
          <w:rStyle w:val="Hyperlink"/>
          <w:color w:val="auto"/>
          <w:u w:val="none"/>
        </w:rPr>
        <w:t xml:space="preserve">Dr. Elyssa R. Johnson, </w:t>
      </w:r>
      <w:r w:rsidRPr="0012745E">
        <w:t>703-383-4805, elyssa.r.johnson.civ@army.mil</w:t>
      </w:r>
    </w:p>
    <w:p w:rsidR="00D40A69" w:rsidRPr="0012745E" w:rsidP="00D40A69" w14:paraId="7FD57D4F" w14:textId="77777777">
      <w:pPr>
        <w:pStyle w:val="NormalWeb"/>
        <w:spacing w:line="288" w:lineRule="atLeast"/>
        <w:ind w:firstLine="1260"/>
      </w:pPr>
      <w:r w:rsidRPr="0012745E">
        <w:t xml:space="preserve">Dr. Melissa J. </w:t>
      </w:r>
      <w:r w:rsidRPr="0012745E">
        <w:t>Glorioso</w:t>
      </w:r>
      <w:r w:rsidRPr="0012745E">
        <w:t xml:space="preserve">, </w:t>
      </w:r>
      <w:r w:rsidRPr="004520F6">
        <w:rPr>
          <w:kern w:val="24"/>
        </w:rPr>
        <w:t xml:space="preserve">817-781-3090, </w:t>
      </w:r>
      <w:r w:rsidRPr="0012745E">
        <w:t>melissa.j.glorioso.civ@army.mil</w:t>
      </w:r>
    </w:p>
    <w:p w:rsidR="00D40A69" w:rsidRPr="004520F6" w:rsidP="00D40A69" w14:paraId="3C354DD7" w14:textId="77777777">
      <w:pPr>
        <w:pStyle w:val="NormalWeb"/>
        <w:spacing w:line="288" w:lineRule="atLeast"/>
        <w:ind w:firstLine="1260"/>
      </w:pPr>
      <w:r w:rsidRPr="0012745E">
        <w:t xml:space="preserve">Dr. Megan Drohan, 571-474-7433, </w:t>
      </w:r>
      <w:r w:rsidRPr="004520F6">
        <w:t>megan.m.drohan.civ@army.mil</w:t>
      </w:r>
    </w:p>
    <w:p w:rsidR="00D40A69" w:rsidRPr="004520F6" w:rsidP="00D40A69" w14:paraId="63F7FA9C" w14:textId="77777777">
      <w:pPr>
        <w:pStyle w:val="NormalWeb"/>
        <w:spacing w:line="288" w:lineRule="atLeast"/>
        <w:ind w:firstLine="1260"/>
      </w:pPr>
      <w:r w:rsidRPr="004520F6">
        <w:t>Dr. Alisha Ness, 703-383-4884, alisha.m.ness.civ@army.mil</w:t>
      </w:r>
    </w:p>
    <w:p w:rsidR="00D40A69" w:rsidRPr="004520F6" w:rsidP="00D40A69" w14:paraId="3B5613C8" w14:textId="77777777">
      <w:pPr>
        <w:pStyle w:val="NormalWeb"/>
        <w:spacing w:line="288" w:lineRule="atLeast"/>
        <w:ind w:firstLine="1260"/>
      </w:pPr>
      <w:r w:rsidRPr="004520F6">
        <w:t>Dr. Raychel J. Barkin, 703-383-4802, raychel.j.barkin.civ@army.mil</w:t>
      </w:r>
    </w:p>
    <w:p w:rsidR="00D40A69" w:rsidRPr="0012745E" w:rsidP="00D40A69" w14:paraId="7041A2B7" w14:textId="13ECB59F">
      <w:pPr>
        <w:pStyle w:val="NormalWeb"/>
        <w:spacing w:line="288" w:lineRule="atLeast"/>
        <w:ind w:firstLine="1260"/>
      </w:pPr>
      <w:r w:rsidRPr="004520F6">
        <w:t xml:space="preserve">Dr. Kirby </w:t>
      </w:r>
      <w:r w:rsidRPr="004520F6">
        <w:t>Hockensmith</w:t>
      </w:r>
      <w:r w:rsidRPr="004520F6">
        <w:t xml:space="preserve">, </w:t>
      </w:r>
      <w:r w:rsidRPr="004520F6" w:rsidR="00974C92">
        <w:t>kirby.j.hockensmith.civ@army.mil</w:t>
      </w:r>
    </w:p>
    <w:p w:rsidR="00076309" w:rsidRPr="0012745E" w:rsidP="00076309" w14:paraId="54DEC0A0" w14:textId="68C9360D">
      <w:pPr>
        <w:pStyle w:val="NormalWeb"/>
        <w:spacing w:line="288" w:lineRule="atLeast"/>
        <w:rPr>
          <w:rFonts w:ascii="Cambria" w:hAnsi="Cambria"/>
          <w:i/>
        </w:rPr>
      </w:pPr>
      <w:r w:rsidRPr="004520F6">
        <w:rPr>
          <w:rFonts w:ascii="Cambria" w:eastAsia="Calibri" w:hAnsi="Cambria"/>
        </w:rPr>
        <w:t>No additional consultation apart from soliciting public comments through the Federal Register was conducted for this submission.</w:t>
      </w:r>
      <w:r w:rsidRPr="0012745E">
        <w:rPr>
          <w:rFonts w:ascii="Cambria" w:eastAsia="Calibri" w:hAnsi="Cambria"/>
          <w:szCs w:val="22"/>
        </w:rPr>
        <w:t xml:space="preserve"> </w:t>
      </w:r>
    </w:p>
    <w:p w:rsidR="00076309" w:rsidRPr="0012745E" w:rsidP="00076309" w14:paraId="0090AB6C" w14:textId="77777777">
      <w:pPr>
        <w:pStyle w:val="NormalWeb"/>
        <w:spacing w:before="0" w:beforeAutospacing="0" w:after="0" w:afterAutospacing="0" w:line="288" w:lineRule="atLeast"/>
        <w:ind w:left="1080"/>
        <w:rPr>
          <w:rFonts w:ascii="Cambria" w:hAnsi="Cambria" w:cs="Calibri Light"/>
          <w:i/>
        </w:rPr>
      </w:pPr>
    </w:p>
    <w:p w:rsidR="00F1447C" w:rsidRPr="0012745E" w:rsidP="001A7BBD" w14:paraId="490D0AED" w14:textId="77777777">
      <w:pPr>
        <w:pStyle w:val="NormalWeb"/>
        <w:spacing w:line="288" w:lineRule="atLeast"/>
        <w:ind w:left="432" w:firstLine="720"/>
        <w:rPr>
          <w:rFonts w:ascii="Cambria" w:hAnsi="Cambria" w:cs="Calibri Light"/>
        </w:rPr>
      </w:pPr>
    </w:p>
    <w:sectPr w:rsidSect="00F1447C">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1168A9A0"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0F6" w14:paraId="75C90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1323035">
    <w:abstractNumId w:val="0"/>
  </w:num>
  <w:num w:numId="2" w16cid:durableId="811599142">
    <w:abstractNumId w:val="1"/>
  </w:num>
  <w:num w:numId="3" w16cid:durableId="672604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347BF"/>
    <w:rsid w:val="000711F8"/>
    <w:rsid w:val="00076309"/>
    <w:rsid w:val="0011279F"/>
    <w:rsid w:val="00123481"/>
    <w:rsid w:val="0012745E"/>
    <w:rsid w:val="00146F7E"/>
    <w:rsid w:val="00173C29"/>
    <w:rsid w:val="001A1BA5"/>
    <w:rsid w:val="001A7BBD"/>
    <w:rsid w:val="001B0B5C"/>
    <w:rsid w:val="00225922"/>
    <w:rsid w:val="002526D9"/>
    <w:rsid w:val="002A492F"/>
    <w:rsid w:val="002C006C"/>
    <w:rsid w:val="002D3CF7"/>
    <w:rsid w:val="002D4811"/>
    <w:rsid w:val="002E1B80"/>
    <w:rsid w:val="0030008B"/>
    <w:rsid w:val="0040714D"/>
    <w:rsid w:val="004228CC"/>
    <w:rsid w:val="004520F6"/>
    <w:rsid w:val="005931F7"/>
    <w:rsid w:val="005C1919"/>
    <w:rsid w:val="005C65B8"/>
    <w:rsid w:val="005E0A0F"/>
    <w:rsid w:val="005E7292"/>
    <w:rsid w:val="005F5A68"/>
    <w:rsid w:val="006A5DF8"/>
    <w:rsid w:val="006B2B17"/>
    <w:rsid w:val="006D4CCD"/>
    <w:rsid w:val="006F3F40"/>
    <w:rsid w:val="00733EBE"/>
    <w:rsid w:val="007574E8"/>
    <w:rsid w:val="00764C11"/>
    <w:rsid w:val="007B1EE4"/>
    <w:rsid w:val="007E5A5D"/>
    <w:rsid w:val="00821454"/>
    <w:rsid w:val="00856766"/>
    <w:rsid w:val="008E127E"/>
    <w:rsid w:val="00927FC0"/>
    <w:rsid w:val="00974C92"/>
    <w:rsid w:val="00977A74"/>
    <w:rsid w:val="0099528C"/>
    <w:rsid w:val="009F0B30"/>
    <w:rsid w:val="009F28DB"/>
    <w:rsid w:val="00A11BD2"/>
    <w:rsid w:val="00A5606F"/>
    <w:rsid w:val="00A93CBF"/>
    <w:rsid w:val="00AF0AA9"/>
    <w:rsid w:val="00B05E1E"/>
    <w:rsid w:val="00B651B9"/>
    <w:rsid w:val="00B7303C"/>
    <w:rsid w:val="00B74856"/>
    <w:rsid w:val="00B91B89"/>
    <w:rsid w:val="00B963CF"/>
    <w:rsid w:val="00BF7AC2"/>
    <w:rsid w:val="00C27E84"/>
    <w:rsid w:val="00C34D08"/>
    <w:rsid w:val="00C53FA6"/>
    <w:rsid w:val="00C61007"/>
    <w:rsid w:val="00C6515C"/>
    <w:rsid w:val="00C66D8C"/>
    <w:rsid w:val="00D27DA0"/>
    <w:rsid w:val="00D40A69"/>
    <w:rsid w:val="00D46148"/>
    <w:rsid w:val="00D84BBB"/>
    <w:rsid w:val="00D94CD4"/>
    <w:rsid w:val="00DF6B25"/>
    <w:rsid w:val="00E84C27"/>
    <w:rsid w:val="00EA12E4"/>
    <w:rsid w:val="00EB5448"/>
    <w:rsid w:val="00EE2985"/>
    <w:rsid w:val="00F035AB"/>
    <w:rsid w:val="00F06325"/>
    <w:rsid w:val="00F1447C"/>
    <w:rsid w:val="00F434B6"/>
    <w:rsid w:val="00F92085"/>
    <w:rsid w:val="00F92ACC"/>
    <w:rsid w:val="00FB07EF"/>
    <w:rsid w:val="00FC6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B57FB"/>
  <w15:chartTrackingRefBased/>
  <w15:docId w15:val="{8D523C8B-BD57-4D9D-BB29-9AA0B30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unhideWhenUsed/>
    <w:rsid w:val="00B91B89"/>
    <w:rPr>
      <w:sz w:val="20"/>
      <w:szCs w:val="20"/>
    </w:rPr>
  </w:style>
  <w:style w:type="character" w:customStyle="1" w:styleId="CommentTextChar">
    <w:name w:val="Comment Text Char"/>
    <w:link w:val="CommentText"/>
    <w:uiPriority w:val="99"/>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 w:type="character" w:styleId="Hyperlink">
    <w:name w:val="Hyperlink"/>
    <w:rsid w:val="001B0B5C"/>
    <w:rPr>
      <w:color w:val="0000FF"/>
      <w:u w:val="single"/>
    </w:rPr>
  </w:style>
  <w:style w:type="paragraph" w:styleId="Revision">
    <w:name w:val="Revision"/>
    <w:hidden/>
    <w:uiPriority w:val="99"/>
    <w:semiHidden/>
    <w:rsid w:val="001B0B5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D4811"/>
    <w:rPr>
      <w:color w:val="605E5C"/>
      <w:shd w:val="clear" w:color="auto" w:fill="E1DFDD"/>
    </w:rPr>
  </w:style>
  <w:style w:type="table" w:styleId="TableGrid">
    <w:name w:val="Table Grid"/>
    <w:basedOn w:val="TableNormal"/>
    <w:uiPriority w:val="59"/>
    <w:rsid w:val="001A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2013-01-25T19:13:00Z</cp:lastPrinted>
  <dcterms:created xsi:type="dcterms:W3CDTF">2024-02-28T19:07:00Z</dcterms:created>
  <dcterms:modified xsi:type="dcterms:W3CDTF">2024-02-28T19:07:00Z</dcterms:modified>
</cp:coreProperties>
</file>