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720" w:rsidRPr="00C45431" w:rsidP="00CE5AA9" w14:paraId="22E2A2EA" w14:textId="77777777">
      <w:pPr>
        <w:widowControl/>
        <w:spacing w:before="120"/>
        <w:rPr>
          <w:rFonts w:ascii="Arial" w:hAnsi="Arial" w:cs="Arial"/>
          <w:color w:val="000000"/>
          <w:sz w:val="24"/>
        </w:rPr>
      </w:pPr>
    </w:p>
    <w:p w:rsidR="009B3794" w:rsidRPr="00C45431" w:rsidP="00CE5AA9" w14:paraId="22E2A2EB" w14:textId="77777777">
      <w:pPr>
        <w:widowControl/>
        <w:spacing w:before="120"/>
        <w:rPr>
          <w:rFonts w:ascii="Arial" w:hAnsi="Arial" w:cs="Arial"/>
          <w:color w:val="000000"/>
          <w:sz w:val="24"/>
        </w:rPr>
      </w:pPr>
    </w:p>
    <w:p w:rsidR="00BA1A0C" w:rsidRPr="00F177C2" w:rsidP="00D92512" w14:paraId="22E2A2ED" w14:textId="02979536">
      <w:pPr>
        <w:widowControl/>
        <w:autoSpaceDE/>
        <w:autoSpaceDN/>
        <w:adjustRightInd/>
        <w:jc w:val="center"/>
        <w:rPr>
          <w:rFonts w:ascii="Arial" w:hAnsi="Arial" w:cs="Arial"/>
          <w:b/>
          <w:bCs/>
          <w:sz w:val="32"/>
          <w:szCs w:val="32"/>
        </w:rPr>
      </w:pPr>
      <w:r w:rsidRPr="00F177C2">
        <w:rPr>
          <w:rFonts w:ascii="Arial" w:hAnsi="Arial" w:cs="Arial"/>
          <w:b/>
          <w:bCs/>
          <w:sz w:val="32"/>
          <w:szCs w:val="32"/>
        </w:rPr>
        <w:t xml:space="preserve">Supporting </w:t>
      </w:r>
      <w:r w:rsidRPr="00F177C2">
        <w:rPr>
          <w:rFonts w:ascii="Arial" w:hAnsi="Arial" w:cs="Arial"/>
          <w:b/>
          <w:bCs/>
          <w:sz w:val="32"/>
          <w:szCs w:val="32"/>
        </w:rPr>
        <w:t>Statement</w:t>
      </w:r>
      <w:r w:rsidRPr="00F177C2">
        <w:rPr>
          <w:rFonts w:ascii="Arial" w:hAnsi="Arial" w:cs="Arial"/>
          <w:b/>
          <w:bCs/>
          <w:sz w:val="32"/>
          <w:szCs w:val="32"/>
        </w:rPr>
        <w:t xml:space="preserve"> </w:t>
      </w:r>
      <w:r w:rsidRPr="00F177C2">
        <w:rPr>
          <w:rFonts w:ascii="Arial" w:hAnsi="Arial" w:cs="Arial"/>
          <w:b/>
          <w:bCs/>
          <w:sz w:val="32"/>
          <w:szCs w:val="32"/>
        </w:rPr>
        <w:t>A</w:t>
      </w:r>
    </w:p>
    <w:p w:rsidR="00BA1A0C" w:rsidRPr="00F177C2" w:rsidP="00CE5AA9" w14:paraId="22E2A2EE" w14:textId="77777777">
      <w:pPr>
        <w:tabs>
          <w:tab w:val="center" w:pos="4680"/>
        </w:tabs>
        <w:spacing w:before="120"/>
        <w:jc w:val="center"/>
        <w:rPr>
          <w:rFonts w:ascii="Arial" w:hAnsi="Arial" w:cs="Arial"/>
          <w:b/>
          <w:bCs/>
          <w:sz w:val="32"/>
          <w:szCs w:val="32"/>
        </w:rPr>
      </w:pPr>
    </w:p>
    <w:p w:rsidR="00D92512" w:rsidRPr="00F177C2" w:rsidP="00374377" w14:paraId="2D89C8B0" w14:textId="77777777">
      <w:pPr>
        <w:tabs>
          <w:tab w:val="center" w:pos="4680"/>
        </w:tabs>
        <w:spacing w:before="120"/>
        <w:jc w:val="center"/>
        <w:rPr>
          <w:rFonts w:ascii="Arial" w:hAnsi="Arial" w:cs="Arial"/>
          <w:b/>
          <w:bCs/>
          <w:sz w:val="32"/>
          <w:szCs w:val="32"/>
        </w:rPr>
      </w:pPr>
      <w:r w:rsidRPr="00F177C2">
        <w:rPr>
          <w:rFonts w:ascii="Arial" w:hAnsi="Arial" w:cs="Arial"/>
          <w:b/>
          <w:bCs/>
          <w:sz w:val="32"/>
          <w:szCs w:val="32"/>
        </w:rPr>
        <w:t>Home Visiting Assessment of Implementation Quality Study: Understanding Supervisor Supports in Home Visiting</w:t>
      </w:r>
    </w:p>
    <w:p w:rsidR="00BA1A0C" w:rsidRPr="00F177C2" w:rsidP="00CE5AA9" w14:paraId="22E2A2F0" w14:textId="77777777">
      <w:pPr>
        <w:tabs>
          <w:tab w:val="center" w:pos="4680"/>
        </w:tabs>
        <w:spacing w:before="120"/>
        <w:jc w:val="center"/>
        <w:rPr>
          <w:rFonts w:ascii="Arial" w:hAnsi="Arial" w:cs="Arial"/>
          <w:b/>
          <w:bCs/>
          <w:sz w:val="32"/>
          <w:szCs w:val="32"/>
        </w:rPr>
      </w:pPr>
    </w:p>
    <w:p w:rsidR="00BA1A0C" w:rsidRPr="00F177C2" w:rsidP="00CE5AA9" w14:paraId="22E2A2F1" w14:textId="0433FFBC">
      <w:pPr>
        <w:tabs>
          <w:tab w:val="center" w:pos="4680"/>
        </w:tabs>
        <w:spacing w:before="120"/>
        <w:jc w:val="center"/>
        <w:rPr>
          <w:rFonts w:ascii="Arial" w:hAnsi="Arial" w:cs="Arial"/>
          <w:b/>
          <w:bCs/>
          <w:sz w:val="32"/>
          <w:szCs w:val="32"/>
        </w:rPr>
      </w:pPr>
      <w:r w:rsidRPr="00F177C2">
        <w:rPr>
          <w:rFonts w:ascii="Arial" w:hAnsi="Arial" w:cs="Arial"/>
          <w:b/>
          <w:bCs/>
          <w:sz w:val="32"/>
          <w:szCs w:val="32"/>
        </w:rPr>
        <w:t xml:space="preserve">OMB Control No. </w:t>
      </w:r>
      <w:r w:rsidRPr="00F177C2" w:rsidR="00C96292">
        <w:rPr>
          <w:rFonts w:ascii="Arial" w:hAnsi="Arial" w:cs="Arial"/>
          <w:b/>
          <w:bCs/>
          <w:color w:val="00B050"/>
          <w:sz w:val="32"/>
          <w:szCs w:val="32"/>
        </w:rPr>
        <w:t>0906</w:t>
      </w:r>
      <w:r w:rsidRPr="00F177C2">
        <w:rPr>
          <w:rFonts w:ascii="Arial" w:hAnsi="Arial" w:cs="Arial"/>
          <w:b/>
          <w:bCs/>
          <w:sz w:val="32"/>
          <w:szCs w:val="32"/>
        </w:rPr>
        <w:t>-XXXX</w:t>
      </w:r>
    </w:p>
    <w:p w:rsidR="00BA1A0C" w:rsidRPr="002D1043" w:rsidP="00CE5AA9" w14:paraId="22E2A2F2" w14:textId="77777777">
      <w:pPr>
        <w:tabs>
          <w:tab w:val="center" w:pos="4680"/>
        </w:tabs>
        <w:spacing w:before="120"/>
        <w:jc w:val="center"/>
        <w:rPr>
          <w:rFonts w:asciiTheme="minorHAnsi" w:hAnsiTheme="minorHAnsi" w:cstheme="minorHAnsi"/>
          <w:b/>
          <w:bCs/>
          <w:sz w:val="32"/>
          <w:szCs w:val="32"/>
        </w:rPr>
      </w:pPr>
    </w:p>
    <w:p w:rsidR="009B3794" w:rsidRPr="004907DD" w:rsidP="00CE5AA9" w14:paraId="22E2A2F4" w14:textId="016B387B">
      <w:pPr>
        <w:spacing w:before="120"/>
        <w:rPr>
          <w:rFonts w:ascii="Calibri Light" w:hAnsi="Calibri Light" w:cs="Calibri Light"/>
          <w:bCs/>
          <w:color w:val="2F5496"/>
          <w:sz w:val="32"/>
          <w:szCs w:val="32"/>
        </w:rPr>
      </w:pPr>
      <w:r w:rsidRPr="004907DD">
        <w:rPr>
          <w:rFonts w:ascii="Calibri Light" w:hAnsi="Calibri Light" w:cs="Calibri Light"/>
          <w:bCs/>
          <w:color w:val="2F5496"/>
          <w:sz w:val="32"/>
          <w:szCs w:val="32"/>
        </w:rPr>
        <w:t>Terms of Clearance</w:t>
      </w:r>
      <w:r w:rsidRPr="004907DD" w:rsidR="00BA1A0C">
        <w:rPr>
          <w:rFonts w:ascii="Calibri Light" w:hAnsi="Calibri Light" w:cs="Calibri Light"/>
          <w:bCs/>
          <w:color w:val="2F5496"/>
          <w:sz w:val="32"/>
          <w:szCs w:val="32"/>
        </w:rPr>
        <w:t xml:space="preserve">:  </w:t>
      </w:r>
      <w:r w:rsidRPr="004907DD" w:rsidR="00805F0F">
        <w:rPr>
          <w:rFonts w:ascii="Calibri Light" w:hAnsi="Calibri Light" w:cs="Calibri Light"/>
          <w:bCs/>
          <w:color w:val="2F5496"/>
          <w:sz w:val="32"/>
          <w:szCs w:val="32"/>
        </w:rPr>
        <w:t>None</w:t>
      </w:r>
      <w:r w:rsidRPr="004907DD" w:rsidR="00BA1A0C">
        <w:rPr>
          <w:rFonts w:ascii="Calibri Light" w:hAnsi="Calibri Light" w:cs="Calibri Light"/>
          <w:bCs/>
          <w:color w:val="2F5496"/>
          <w:sz w:val="32"/>
          <w:szCs w:val="32"/>
        </w:rPr>
        <w:t xml:space="preserve"> </w:t>
      </w:r>
    </w:p>
    <w:p w:rsidR="009B3794" w:rsidRPr="004907DD" w:rsidP="00CA3DA6" w14:paraId="22E2A2F5" w14:textId="77777777">
      <w:pPr>
        <w:spacing w:before="120"/>
        <w:rPr>
          <w:rFonts w:ascii="Calibri Light" w:hAnsi="Calibri Light" w:cs="Calibri Light"/>
          <w:bCs/>
          <w:color w:val="2F5496"/>
          <w:sz w:val="32"/>
          <w:szCs w:val="32"/>
        </w:rPr>
      </w:pPr>
      <w:r w:rsidRPr="004907DD">
        <w:rPr>
          <w:rFonts w:ascii="Calibri Light" w:hAnsi="Calibri Light" w:cs="Calibri Light"/>
          <w:bCs/>
          <w:color w:val="2F5496"/>
          <w:sz w:val="32"/>
          <w:szCs w:val="32"/>
        </w:rPr>
        <w:t>A.</w:t>
      </w:r>
      <w:r w:rsidRPr="004907DD">
        <w:rPr>
          <w:rFonts w:ascii="Calibri Light" w:hAnsi="Calibri Light" w:cs="Calibri Light"/>
          <w:bCs/>
          <w:color w:val="2F5496"/>
          <w:sz w:val="32"/>
          <w:szCs w:val="32"/>
        </w:rPr>
        <w:tab/>
        <w:t>Justification</w:t>
      </w:r>
    </w:p>
    <w:p w:rsidR="009B3794" w:rsidRPr="004907DD" w:rsidP="00CA3DA6" w14:paraId="22E2A2F6" w14:textId="77777777">
      <w:pPr>
        <w:numPr>
          <w:ilvl w:val="0"/>
          <w:numId w:val="2"/>
        </w:numPr>
        <w:tabs>
          <w:tab w:val="num" w:pos="360"/>
          <w:tab w:val="clear" w:pos="1080"/>
        </w:tabs>
        <w:spacing w:before="240"/>
        <w:ind w:left="360"/>
        <w:rPr>
          <w:rFonts w:ascii="Calibri Light" w:hAnsi="Calibri Light" w:cs="Calibri Light"/>
          <w:bCs/>
          <w:color w:val="2F5496"/>
          <w:sz w:val="26"/>
          <w:szCs w:val="26"/>
        </w:rPr>
      </w:pPr>
      <w:r w:rsidRPr="004907DD">
        <w:rPr>
          <w:rFonts w:ascii="Calibri Light" w:hAnsi="Calibri Light" w:cs="Calibri Light"/>
          <w:bCs/>
          <w:color w:val="2F5496"/>
          <w:sz w:val="26"/>
          <w:szCs w:val="26"/>
        </w:rPr>
        <w:t>Circumstances Making the Collection of Information Necessary</w:t>
      </w:r>
    </w:p>
    <w:p w:rsidR="00662439" w:rsidRPr="002D1043" w:rsidP="00662439" w14:paraId="75ED02F1" w14:textId="16328599">
      <w:pPr>
        <w:pStyle w:val="paragraph"/>
        <w:textAlignment w:val="baseline"/>
        <w:rPr>
          <w:rStyle w:val="normaltextrun"/>
          <w:rFonts w:asciiTheme="minorHAnsi" w:eastAsiaTheme="majorEastAsia" w:hAnsiTheme="minorHAnsi" w:cstheme="minorHAnsi"/>
          <w:color w:val="000000"/>
          <w:sz w:val="22"/>
          <w:szCs w:val="22"/>
          <w:shd w:val="clear" w:color="auto" w:fill="FFFFFF"/>
        </w:rPr>
      </w:pPr>
      <w:r w:rsidRPr="002D1043">
        <w:rPr>
          <w:rStyle w:val="normaltextrun"/>
          <w:rFonts w:asciiTheme="minorHAnsi" w:eastAsiaTheme="majorEastAsia" w:hAnsiTheme="minorHAnsi" w:cstheme="minorHAnsi"/>
          <w:color w:val="000000"/>
          <w:sz w:val="22"/>
          <w:szCs w:val="22"/>
          <w:shd w:val="clear" w:color="auto" w:fill="FFFFFF"/>
        </w:rPr>
        <w:t>This is a new Information Collection Request (ICR). The Health Resources and Services Administration (HRSA) requests Office of Management and Budget (OMB) approval to initiate data collection as part of the Home Visiting Assessments of Implementation Quality (HV-AIM) Study to explore how</w:t>
      </w:r>
      <w:r w:rsidRPr="002D1043" w:rsidR="00E9102D">
        <w:rPr>
          <w:rStyle w:val="normaltextrun"/>
          <w:rFonts w:asciiTheme="minorHAnsi" w:eastAsiaTheme="majorEastAsia" w:hAnsiTheme="minorHAnsi" w:cstheme="minorHAnsi"/>
          <w:color w:val="000000"/>
          <w:sz w:val="22"/>
          <w:szCs w:val="22"/>
          <w:shd w:val="clear" w:color="auto" w:fill="FFFFFF"/>
        </w:rPr>
        <w:t xml:space="preserve"> </w:t>
      </w:r>
      <w:r w:rsidR="00DC52CF">
        <w:rPr>
          <w:rStyle w:val="normaltextrun"/>
          <w:rFonts w:asciiTheme="minorHAnsi" w:eastAsiaTheme="majorEastAsia" w:hAnsiTheme="minorHAnsi" w:cstheme="minorHAnsi"/>
          <w:color w:val="000000"/>
          <w:sz w:val="22"/>
          <w:szCs w:val="22"/>
          <w:shd w:val="clear" w:color="auto" w:fill="FFFFFF"/>
        </w:rPr>
        <w:t xml:space="preserve">the </w:t>
      </w:r>
      <w:r w:rsidRPr="002D1043">
        <w:rPr>
          <w:rStyle w:val="normaltextrun"/>
          <w:rFonts w:asciiTheme="minorHAnsi" w:eastAsiaTheme="majorEastAsia" w:hAnsiTheme="minorHAnsi" w:cstheme="minorHAnsi"/>
          <w:color w:val="000000"/>
          <w:sz w:val="22"/>
          <w:szCs w:val="22"/>
          <w:shd w:val="clear" w:color="auto" w:fill="FFFFFF"/>
        </w:rPr>
        <w:t xml:space="preserve">Maternal, Infant, and Early Childhood Home Visiting (MIECHV) </w:t>
      </w:r>
      <w:r w:rsidR="00DC52CF">
        <w:rPr>
          <w:rStyle w:val="normaltextrun"/>
          <w:rFonts w:asciiTheme="minorHAnsi" w:eastAsiaTheme="majorEastAsia" w:hAnsiTheme="minorHAnsi" w:cstheme="minorHAnsi"/>
          <w:color w:val="000000"/>
          <w:sz w:val="22"/>
          <w:szCs w:val="22"/>
          <w:shd w:val="clear" w:color="auto" w:fill="FFFFFF"/>
        </w:rPr>
        <w:t>P</w:t>
      </w:r>
      <w:r w:rsidRPr="002D1043">
        <w:rPr>
          <w:rStyle w:val="normaltextrun"/>
          <w:rFonts w:asciiTheme="minorHAnsi" w:eastAsiaTheme="majorEastAsia" w:hAnsiTheme="minorHAnsi" w:cstheme="minorHAnsi"/>
          <w:color w:val="000000"/>
          <w:sz w:val="22"/>
          <w:szCs w:val="22"/>
          <w:shd w:val="clear" w:color="auto" w:fill="FFFFFF"/>
        </w:rPr>
        <w:t>rogram</w:t>
      </w:r>
      <w:r w:rsidRPr="002D1043" w:rsidR="00706832">
        <w:rPr>
          <w:rStyle w:val="normaltextrun"/>
          <w:rFonts w:asciiTheme="minorHAnsi" w:eastAsiaTheme="majorEastAsia" w:hAnsiTheme="minorHAnsi" w:cstheme="minorHAnsi"/>
          <w:color w:val="000000"/>
          <w:sz w:val="22"/>
          <w:szCs w:val="22"/>
          <w:shd w:val="clear" w:color="auto" w:fill="FFFFFF"/>
        </w:rPr>
        <w:t xml:space="preserve"> support</w:t>
      </w:r>
      <w:r w:rsidR="00DC52CF">
        <w:rPr>
          <w:rStyle w:val="normaltextrun"/>
          <w:rFonts w:asciiTheme="minorHAnsi" w:eastAsiaTheme="majorEastAsia" w:hAnsiTheme="minorHAnsi" w:cstheme="minorHAnsi"/>
          <w:color w:val="000000"/>
          <w:sz w:val="22"/>
          <w:szCs w:val="22"/>
          <w:shd w:val="clear" w:color="auto" w:fill="FFFFFF"/>
        </w:rPr>
        <w:t>s</w:t>
      </w:r>
      <w:r w:rsidRPr="002D1043" w:rsidR="00706832">
        <w:rPr>
          <w:rStyle w:val="normaltextrun"/>
          <w:rFonts w:asciiTheme="minorHAnsi" w:eastAsiaTheme="majorEastAsia" w:hAnsiTheme="minorHAnsi" w:cstheme="minorHAnsi"/>
          <w:color w:val="000000"/>
          <w:sz w:val="22"/>
          <w:szCs w:val="22"/>
          <w:shd w:val="clear" w:color="auto" w:fill="FFFFFF"/>
        </w:rPr>
        <w:t xml:space="preserve"> supervision for home visitors through training supervisors</w:t>
      </w:r>
      <w:r w:rsidRPr="002D1043">
        <w:rPr>
          <w:rStyle w:val="normaltextrun"/>
          <w:rFonts w:asciiTheme="minorHAnsi" w:eastAsiaTheme="majorEastAsia" w:hAnsiTheme="minorHAnsi" w:cstheme="minorHAnsi"/>
          <w:color w:val="000000"/>
          <w:sz w:val="22"/>
          <w:szCs w:val="22"/>
          <w:shd w:val="clear" w:color="auto" w:fill="FFFFFF"/>
        </w:rPr>
        <w:t xml:space="preserve">. </w:t>
      </w:r>
    </w:p>
    <w:p w:rsidR="00016DB5" w:rsidP="00016DB5" w14:paraId="728E395C" w14:textId="031FB2C7">
      <w:pPr>
        <w:pStyle w:val="paragraph"/>
        <w:textAlignment w:val="baseline"/>
        <w:rPr>
          <w:rStyle w:val="normaltextrun"/>
          <w:rFonts w:asciiTheme="minorHAnsi" w:eastAsiaTheme="majorEastAsia" w:hAnsiTheme="minorHAnsi" w:cstheme="minorHAnsi"/>
          <w:color w:val="000000"/>
          <w:sz w:val="22"/>
          <w:szCs w:val="22"/>
          <w:shd w:val="clear" w:color="auto" w:fill="FFFFFF"/>
        </w:rPr>
      </w:pPr>
      <w:r w:rsidRPr="002D1043">
        <w:rPr>
          <w:rStyle w:val="normaltextrun"/>
          <w:rFonts w:asciiTheme="minorHAnsi" w:eastAsiaTheme="majorEastAsia" w:hAnsiTheme="minorHAnsi" w:cstheme="minorHAnsi"/>
          <w:color w:val="000000"/>
          <w:sz w:val="22"/>
          <w:szCs w:val="22"/>
          <w:shd w:val="clear" w:color="auto" w:fill="FFFFFF"/>
        </w:rPr>
        <w:t>Home visiting is a service delivery strategy that matches expectant parents and caregivers of young children with a designated support person—typically a trained nurse, social worker, or early childhood specialist—who supports healthy pregnancy practices, encourages early language development and early learning at home, teaches positive parenting skills, connects families to other resources in their community, and provides information to support family health and well-being.</w:t>
      </w:r>
      <w:r>
        <w:rPr>
          <w:rStyle w:val="EndnoteReference"/>
          <w:rFonts w:asciiTheme="minorHAnsi" w:eastAsiaTheme="majorEastAsia" w:hAnsiTheme="minorHAnsi" w:cstheme="minorHAnsi"/>
          <w:color w:val="000000"/>
          <w:szCs w:val="22"/>
          <w:shd w:val="clear" w:color="auto" w:fill="FFFFFF"/>
        </w:rPr>
        <w:endnoteReference w:id="3"/>
      </w:r>
      <w:r w:rsidRPr="002D1043">
        <w:rPr>
          <w:rStyle w:val="normaltextrun"/>
          <w:rFonts w:asciiTheme="minorHAnsi" w:eastAsiaTheme="majorEastAsia" w:hAnsiTheme="minorHAnsi" w:cstheme="minorHAnsi"/>
          <w:color w:val="000000"/>
          <w:sz w:val="22"/>
          <w:szCs w:val="22"/>
          <w:shd w:val="clear" w:color="auto" w:fill="FFFFFF"/>
          <w:vertAlign w:val="superscript"/>
        </w:rPr>
        <w:t xml:space="preserve"> </w:t>
      </w:r>
      <w:r w:rsidRPr="002D1043">
        <w:rPr>
          <w:rStyle w:val="normaltextrun"/>
          <w:rFonts w:asciiTheme="minorHAnsi" w:eastAsiaTheme="majorEastAsia" w:hAnsiTheme="minorHAnsi" w:cstheme="minorHAnsi"/>
          <w:color w:val="000000"/>
          <w:sz w:val="22"/>
          <w:szCs w:val="22"/>
          <w:shd w:val="clear" w:color="auto" w:fill="FFFFFF"/>
        </w:rPr>
        <w:t xml:space="preserve"> Services are voluntary and provided in the family’s home or another location of the family’s choice. </w:t>
      </w:r>
      <w:r w:rsidRPr="00B54715" w:rsidR="003D2850">
        <w:rPr>
          <w:rStyle w:val="normaltextrun"/>
          <w:rFonts w:asciiTheme="minorHAnsi" w:eastAsiaTheme="majorEastAsia" w:hAnsiTheme="minorHAnsi" w:cstheme="minorHAnsi"/>
          <w:color w:val="000000"/>
          <w:sz w:val="22"/>
          <w:szCs w:val="22"/>
          <w:shd w:val="clear" w:color="auto" w:fill="FFFFFF"/>
        </w:rPr>
        <w:t xml:space="preserve">The MIECHV Program is administered by the Maternal and Child Health Bureau (MCHB) within HRSA in partnership with the Administration for Children and Families, and provides support to all 56 states and jurisdictions, as well as tribes and tribal organizations. </w:t>
      </w:r>
      <w:r w:rsidRPr="002D1043" w:rsidR="003D2850">
        <w:rPr>
          <w:rStyle w:val="normaltextrun"/>
          <w:rFonts w:asciiTheme="minorHAnsi" w:eastAsiaTheme="majorEastAsia" w:hAnsiTheme="minorHAnsi" w:cstheme="minorHAnsi"/>
          <w:color w:val="000000"/>
          <w:sz w:val="22"/>
          <w:szCs w:val="22"/>
          <w:shd w:val="clear" w:color="auto" w:fill="FFFFFF"/>
        </w:rPr>
        <w:t xml:space="preserve">MIECHV funding </w:t>
      </w:r>
      <w:r w:rsidRPr="002D1043" w:rsidR="008A740E">
        <w:rPr>
          <w:rStyle w:val="normaltextrun"/>
          <w:rFonts w:asciiTheme="minorHAnsi" w:eastAsiaTheme="majorEastAsia" w:hAnsiTheme="minorHAnsi" w:cstheme="minorHAnsi"/>
          <w:color w:val="000000"/>
          <w:sz w:val="22"/>
          <w:szCs w:val="22"/>
          <w:shd w:val="clear" w:color="auto" w:fill="FFFFFF"/>
        </w:rPr>
        <w:t>recipient</w:t>
      </w:r>
      <w:r w:rsidRPr="002D1043">
        <w:rPr>
          <w:rStyle w:val="normaltextrun"/>
          <w:rFonts w:asciiTheme="minorHAnsi" w:eastAsiaTheme="majorEastAsia" w:hAnsiTheme="minorHAnsi" w:cstheme="minorHAnsi"/>
          <w:color w:val="000000"/>
          <w:sz w:val="22"/>
          <w:szCs w:val="22"/>
          <w:shd w:val="clear" w:color="auto" w:fill="FFFFFF"/>
        </w:rPr>
        <w:t>s</w:t>
      </w:r>
      <w:r w:rsidRPr="002D1043" w:rsidR="008A740E">
        <w:rPr>
          <w:rStyle w:val="normaltextrun"/>
          <w:rFonts w:asciiTheme="minorHAnsi" w:eastAsiaTheme="majorEastAsia" w:hAnsiTheme="minorHAnsi" w:cstheme="minorHAnsi"/>
          <w:color w:val="000000"/>
          <w:sz w:val="22"/>
          <w:szCs w:val="22"/>
          <w:shd w:val="clear" w:color="auto" w:fill="FFFFFF"/>
        </w:rPr>
        <w:t xml:space="preserve"> </w:t>
      </w:r>
      <w:r w:rsidRPr="002D1043">
        <w:rPr>
          <w:rStyle w:val="normaltextrun"/>
          <w:rFonts w:asciiTheme="minorHAnsi" w:eastAsiaTheme="majorEastAsia" w:hAnsiTheme="minorHAnsi" w:cstheme="minorHAnsi"/>
          <w:color w:val="000000"/>
          <w:sz w:val="22"/>
          <w:szCs w:val="22"/>
          <w:shd w:val="clear" w:color="auto" w:fill="FFFFFF"/>
        </w:rPr>
        <w:t>have the flexibility to develop, implement, and tailor their home visiting programs based on community needs, capacity, and resources within the parameters of statutory and programmatic requirements. State and jurisdiction awardees often contract with local implementing agencies (LIAs) to provide home visiting services in the</w:t>
      </w:r>
      <w:r w:rsidRPr="002D1043">
        <w:rPr>
          <w:rStyle w:val="normaltextrun"/>
          <w:rFonts w:asciiTheme="minorHAnsi" w:eastAsiaTheme="majorEastAsia" w:hAnsiTheme="minorHAnsi" w:cstheme="minorHAnsi"/>
          <w:color w:val="000000"/>
          <w:sz w:val="22"/>
          <w:szCs w:val="22"/>
          <w:shd w:val="clear" w:color="auto" w:fill="FFFFFF"/>
        </w:rPr>
        <w:t>ir</w:t>
      </w:r>
      <w:r w:rsidRPr="002D1043">
        <w:rPr>
          <w:rStyle w:val="normaltextrun"/>
          <w:rFonts w:asciiTheme="minorHAnsi" w:eastAsiaTheme="majorEastAsia" w:hAnsiTheme="minorHAnsi" w:cstheme="minorHAnsi"/>
          <w:color w:val="000000"/>
          <w:sz w:val="22"/>
          <w:szCs w:val="22"/>
          <w:shd w:val="clear" w:color="auto" w:fill="FFFFFF"/>
        </w:rPr>
        <w:t xml:space="preserve"> communities. </w:t>
      </w:r>
    </w:p>
    <w:p w:rsidR="00232EE6" w:rsidRPr="002D1043" w:rsidP="004A69E1" w14:paraId="509CD7B9" w14:textId="30BFC450">
      <w:pPr>
        <w:widowControl/>
        <w:autoSpaceDE/>
        <w:autoSpaceDN/>
        <w:adjustRightInd/>
        <w:rPr>
          <w:rStyle w:val="normaltextrun"/>
          <w:rFonts w:asciiTheme="minorHAnsi" w:eastAsiaTheme="majorEastAsia" w:hAnsiTheme="minorHAnsi" w:cstheme="minorHAnsi"/>
          <w:color w:val="000000"/>
          <w:sz w:val="22"/>
          <w:szCs w:val="22"/>
          <w:shd w:val="clear" w:color="auto" w:fill="FFFFFF"/>
        </w:rPr>
      </w:pPr>
      <w:r w:rsidRPr="00F035A0">
        <w:rPr>
          <w:rStyle w:val="normaltextrun"/>
          <w:rFonts w:asciiTheme="minorHAnsi" w:eastAsiaTheme="majorEastAsia" w:hAnsiTheme="minorHAnsi" w:cstheme="minorHAnsi"/>
          <w:color w:val="000000"/>
          <w:sz w:val="22"/>
          <w:szCs w:val="22"/>
          <w:shd w:val="clear" w:color="auto" w:fill="FFFFFF"/>
        </w:rPr>
        <w:t xml:space="preserve">The MIECHV </w:t>
      </w:r>
      <w:r>
        <w:rPr>
          <w:rStyle w:val="normaltextrun"/>
          <w:rFonts w:asciiTheme="minorHAnsi" w:eastAsiaTheme="majorEastAsia" w:hAnsiTheme="minorHAnsi" w:cstheme="minorHAnsi"/>
          <w:color w:val="000000"/>
          <w:sz w:val="22"/>
          <w:szCs w:val="22"/>
          <w:shd w:val="clear" w:color="auto" w:fill="FFFFFF"/>
        </w:rPr>
        <w:t xml:space="preserve">Program </w:t>
      </w:r>
      <w:r w:rsidRPr="00F035A0">
        <w:rPr>
          <w:rStyle w:val="normaltextrun"/>
          <w:rFonts w:asciiTheme="minorHAnsi" w:eastAsiaTheme="majorEastAsia" w:hAnsiTheme="minorHAnsi" w:cstheme="minorHAnsi"/>
          <w:color w:val="000000"/>
          <w:sz w:val="22"/>
          <w:szCs w:val="22"/>
          <w:shd w:val="clear" w:color="auto" w:fill="FFFFFF"/>
        </w:rPr>
        <w:t>is authorized by the Social Security Act, Title V, § 511(c), as amended by Section 6101 of the Consolidated Appropriations Act, 2023 (P.L. 117-328).</w:t>
      </w:r>
      <w:r>
        <w:rPr>
          <w:rStyle w:val="normaltextrun"/>
          <w:rFonts w:asciiTheme="minorHAnsi" w:eastAsiaTheme="majorEastAsia" w:hAnsiTheme="minorHAnsi" w:cstheme="minorHAnsi"/>
          <w:color w:val="000000"/>
          <w:sz w:val="22"/>
          <w:szCs w:val="22"/>
          <w:shd w:val="clear" w:color="auto" w:fill="FFFFFF"/>
        </w:rPr>
        <w:t xml:space="preserve"> </w:t>
      </w:r>
      <w:r w:rsidRPr="00232EE6">
        <w:rPr>
          <w:rFonts w:ascii="Calibri" w:eastAsia="Yu Gothic Light" w:hAnsi="Calibri" w:cs="Calibri"/>
          <w:color w:val="000000"/>
          <w:sz w:val="22"/>
          <w:szCs w:val="22"/>
          <w:shd w:val="clear" w:color="auto" w:fill="FFFFFF"/>
        </w:rPr>
        <w:t xml:space="preserve">HRSA provides grants to states, jurisdictions, and Tribal entities, who then have the flexibility to develop, implement, and tailor their home visiting programs based on community needs, capacity, and resources within the parameters of statutory and programmatic requirements. State and jurisdiction awardees often contract with local implementing agencies (LIAs) to provide home visiting services in the communities. Home visiting is a service delivery strategy that matches expectant parents and caregivers of young children with a </w:t>
      </w:r>
      <w:r w:rsidRPr="00232EE6">
        <w:rPr>
          <w:rFonts w:ascii="Calibri" w:eastAsia="Yu Gothic Light" w:hAnsi="Calibri" w:cs="Calibri"/>
          <w:color w:val="000000"/>
          <w:sz w:val="22"/>
          <w:szCs w:val="22"/>
          <w:shd w:val="clear" w:color="auto" w:fill="FFFFFF"/>
        </w:rPr>
        <w:t>designated support person—typically a trained nurse, social worker, or early childhood specialist—who supports healthy pregnancy practices, encourages early language development and early learning at home, teaches positive parenting skills, connects families to other resources in their community, and provides information to support family health and well-being.</w:t>
      </w:r>
      <w:r>
        <w:rPr>
          <w:rFonts w:ascii="Calibri" w:eastAsia="Yu Gothic Light" w:hAnsi="Calibri" w:cs="Calibri"/>
          <w:color w:val="000000"/>
          <w:sz w:val="22"/>
          <w:szCs w:val="22"/>
          <w:shd w:val="clear" w:color="auto" w:fill="FFFFFF"/>
          <w:vertAlign w:val="superscript"/>
        </w:rPr>
        <w:endnoteReference w:id="4"/>
      </w:r>
      <w:r w:rsidRPr="00232EE6">
        <w:rPr>
          <w:rFonts w:ascii="Calibri" w:eastAsia="Yu Gothic Light" w:hAnsi="Calibri" w:cs="Calibri"/>
          <w:color w:val="000000"/>
          <w:sz w:val="22"/>
          <w:szCs w:val="22"/>
          <w:shd w:val="clear" w:color="auto" w:fill="FFFFFF"/>
          <w:vertAlign w:val="superscript"/>
        </w:rPr>
        <w:t xml:space="preserve"> </w:t>
      </w:r>
      <w:r w:rsidRPr="00232EE6">
        <w:rPr>
          <w:rFonts w:ascii="Calibri" w:eastAsia="Yu Gothic Light" w:hAnsi="Calibri" w:cs="Calibri"/>
          <w:color w:val="000000"/>
          <w:sz w:val="22"/>
          <w:szCs w:val="22"/>
          <w:shd w:val="clear" w:color="auto" w:fill="FFFFFF"/>
        </w:rPr>
        <w:t xml:space="preserve"> Services are voluntary and provided in the family’s home or another location of the family’s choice. </w:t>
      </w:r>
    </w:p>
    <w:p w:rsidR="00436CFD" w:rsidRPr="002D1043" w:rsidP="00436CFD" w14:paraId="3E156FAE" w14:textId="7C803805">
      <w:pPr>
        <w:widowControl/>
        <w:autoSpaceDE/>
        <w:autoSpaceDN/>
        <w:adjustRightInd/>
        <w:spacing w:after="160" w:line="259" w:lineRule="auto"/>
        <w:rPr>
          <w:rFonts w:eastAsia="Calibri" w:asciiTheme="minorHAnsi" w:hAnsiTheme="minorHAnsi" w:cstheme="minorHAnsi"/>
          <w:sz w:val="22"/>
          <w:szCs w:val="22"/>
        </w:rPr>
      </w:pPr>
      <w:r w:rsidRPr="002D1043">
        <w:rPr>
          <w:rFonts w:eastAsia="Calibri" w:asciiTheme="minorHAnsi" w:hAnsiTheme="minorHAnsi" w:cstheme="minorHAnsi"/>
          <w:sz w:val="22"/>
          <w:szCs w:val="22"/>
        </w:rPr>
        <w:t>The HV-AIM Study assesses relationships between home visiting implementation quality, program service delivery, and child and family outcomes in the MIECHV Program, to better understand components, or “implementation quality threads</w:t>
      </w:r>
      <w:r w:rsidRPr="002D1043" w:rsidR="00B302EA">
        <w:rPr>
          <w:rFonts w:eastAsia="Calibri" w:asciiTheme="minorHAnsi" w:hAnsiTheme="minorHAnsi" w:cstheme="minorHAnsi"/>
          <w:sz w:val="22"/>
          <w:szCs w:val="22"/>
        </w:rPr>
        <w:t>,</w:t>
      </w:r>
      <w:r w:rsidRPr="002D1043">
        <w:rPr>
          <w:rFonts w:eastAsia="Calibri" w:asciiTheme="minorHAnsi" w:hAnsiTheme="minorHAnsi" w:cstheme="minorHAnsi"/>
          <w:sz w:val="22"/>
          <w:szCs w:val="22"/>
        </w:rPr>
        <w:t>” included in a conceptual model of home visiting implementation quality developed through a previous project.</w:t>
      </w:r>
      <w:r>
        <w:rPr>
          <w:rFonts w:eastAsia="Calibri" w:asciiTheme="minorHAnsi" w:hAnsiTheme="minorHAnsi" w:cstheme="minorHAnsi"/>
          <w:sz w:val="22"/>
          <w:szCs w:val="22"/>
          <w:vertAlign w:val="superscript"/>
        </w:rPr>
        <w:endnoteReference w:id="5"/>
      </w:r>
      <w:r w:rsidRPr="002D1043">
        <w:rPr>
          <w:rFonts w:eastAsia="Calibri" w:asciiTheme="minorHAnsi" w:hAnsiTheme="minorHAnsi" w:cstheme="minorHAnsi"/>
          <w:sz w:val="22"/>
          <w:szCs w:val="22"/>
          <w:vertAlign w:val="superscript"/>
        </w:rPr>
        <w:t>,</w:t>
      </w:r>
      <w:r>
        <w:rPr>
          <w:rFonts w:eastAsia="Calibri" w:asciiTheme="minorHAnsi" w:hAnsiTheme="minorHAnsi" w:cstheme="minorHAnsi"/>
          <w:sz w:val="22"/>
          <w:szCs w:val="22"/>
          <w:vertAlign w:val="superscript"/>
        </w:rPr>
        <w:endnoteReference w:id="6"/>
      </w:r>
      <w:r w:rsidRPr="002D1043">
        <w:rPr>
          <w:rFonts w:eastAsia="Calibri" w:asciiTheme="minorHAnsi" w:hAnsiTheme="minorHAnsi" w:cstheme="minorHAnsi"/>
          <w:sz w:val="22"/>
          <w:szCs w:val="22"/>
        </w:rPr>
        <w:t xml:space="preserve"> One of the three quality components the HV-AIM Study will focus on is </w:t>
      </w:r>
      <w:r w:rsidRPr="002D1043" w:rsidR="006F6F49">
        <w:rPr>
          <w:rFonts w:eastAsia="Calibri" w:asciiTheme="minorHAnsi" w:hAnsiTheme="minorHAnsi" w:cstheme="minorHAnsi"/>
          <w:sz w:val="22"/>
          <w:szCs w:val="22"/>
        </w:rPr>
        <w:t>support for supervisors of home visitors</w:t>
      </w:r>
      <w:r w:rsidRPr="002D1043">
        <w:rPr>
          <w:rFonts w:eastAsia="Calibri" w:asciiTheme="minorHAnsi" w:hAnsiTheme="minorHAnsi" w:cstheme="minorHAnsi"/>
          <w:sz w:val="22"/>
          <w:szCs w:val="22"/>
        </w:rPr>
        <w:t xml:space="preserve">.  </w:t>
      </w:r>
      <w:r w:rsidRPr="002D1043" w:rsidR="00D21D98">
        <w:rPr>
          <w:rFonts w:eastAsia="Calibri" w:asciiTheme="minorHAnsi" w:hAnsiTheme="minorHAnsi" w:cstheme="minorHAnsi"/>
          <w:sz w:val="22"/>
          <w:szCs w:val="22"/>
        </w:rPr>
        <w:t>A qualified</w:t>
      </w:r>
      <w:r w:rsidRPr="002D1043" w:rsidR="00E57D55">
        <w:rPr>
          <w:rFonts w:eastAsia="Calibri" w:asciiTheme="minorHAnsi" w:hAnsiTheme="minorHAnsi" w:cstheme="minorHAnsi"/>
          <w:sz w:val="22"/>
          <w:szCs w:val="22"/>
        </w:rPr>
        <w:t>, stable, and supported home visitor workforce is an important quality component</w:t>
      </w:r>
      <w:r w:rsidRPr="002D1043" w:rsidR="00AE21DA">
        <w:rPr>
          <w:rFonts w:eastAsia="Calibri" w:asciiTheme="minorHAnsi" w:hAnsiTheme="minorHAnsi" w:cstheme="minorHAnsi"/>
          <w:sz w:val="22"/>
          <w:szCs w:val="22"/>
        </w:rPr>
        <w:t>, and supervision is a key part of supporting that workforce</w:t>
      </w:r>
      <w:r w:rsidRPr="002D1043" w:rsidR="00FE1BF3">
        <w:rPr>
          <w:rFonts w:eastAsia="Calibri" w:asciiTheme="minorHAnsi" w:hAnsiTheme="minorHAnsi" w:cstheme="minorHAnsi"/>
          <w:sz w:val="22"/>
          <w:szCs w:val="22"/>
        </w:rPr>
        <w:t xml:space="preserve">. </w:t>
      </w:r>
      <w:r w:rsidRPr="002D1043" w:rsidR="00642BA5">
        <w:rPr>
          <w:rFonts w:eastAsia="Calibri" w:asciiTheme="minorHAnsi" w:hAnsiTheme="minorHAnsi" w:cstheme="minorHAnsi"/>
          <w:sz w:val="22"/>
          <w:szCs w:val="22"/>
        </w:rPr>
        <w:t>High-quality s</w:t>
      </w:r>
      <w:r w:rsidRPr="002D1043" w:rsidR="00AE21DA">
        <w:rPr>
          <w:rFonts w:eastAsia="Calibri" w:asciiTheme="minorHAnsi" w:hAnsiTheme="minorHAnsi" w:cstheme="minorHAnsi"/>
          <w:sz w:val="22"/>
          <w:szCs w:val="22"/>
        </w:rPr>
        <w:t xml:space="preserve">upervision </w:t>
      </w:r>
      <w:r w:rsidRPr="002D1043" w:rsidR="00660717">
        <w:rPr>
          <w:rFonts w:eastAsia="Calibri" w:asciiTheme="minorHAnsi" w:hAnsiTheme="minorHAnsi" w:cstheme="minorHAnsi"/>
          <w:sz w:val="22"/>
          <w:szCs w:val="22"/>
        </w:rPr>
        <w:t>practices have been associated with positive outcomes for both</w:t>
      </w:r>
      <w:r w:rsidRPr="002D1043" w:rsidR="00B6584D">
        <w:rPr>
          <w:rFonts w:eastAsia="Calibri" w:asciiTheme="minorHAnsi" w:hAnsiTheme="minorHAnsi" w:cstheme="minorHAnsi"/>
          <w:sz w:val="22"/>
          <w:szCs w:val="22"/>
        </w:rPr>
        <w:t xml:space="preserve"> home visitors</w:t>
      </w:r>
      <w:r>
        <w:rPr>
          <w:rStyle w:val="EndnoteReference"/>
          <w:rFonts w:eastAsia="Calibri" w:asciiTheme="minorHAnsi" w:hAnsiTheme="minorHAnsi" w:cstheme="minorHAnsi"/>
          <w:szCs w:val="22"/>
        </w:rPr>
        <w:endnoteReference w:id="7"/>
      </w:r>
      <w:r w:rsidR="006824A5">
        <w:rPr>
          <w:rFonts w:eastAsia="Calibri" w:asciiTheme="minorHAnsi" w:hAnsiTheme="minorHAnsi" w:cstheme="minorHAnsi"/>
          <w:sz w:val="22"/>
          <w:szCs w:val="22"/>
          <w:vertAlign w:val="superscript"/>
        </w:rPr>
        <w:t>,</w:t>
      </w:r>
      <w:r>
        <w:rPr>
          <w:rStyle w:val="EndnoteReference"/>
          <w:rFonts w:eastAsia="Calibri" w:asciiTheme="minorHAnsi" w:hAnsiTheme="minorHAnsi" w:cstheme="minorHAnsi"/>
          <w:szCs w:val="22"/>
        </w:rPr>
        <w:endnoteReference w:id="8"/>
      </w:r>
      <w:r w:rsidR="006824A5">
        <w:rPr>
          <w:rFonts w:eastAsia="Calibri" w:asciiTheme="minorHAnsi" w:hAnsiTheme="minorHAnsi" w:cstheme="minorHAnsi"/>
          <w:sz w:val="22"/>
          <w:szCs w:val="22"/>
          <w:vertAlign w:val="superscript"/>
        </w:rPr>
        <w:t>,</w:t>
      </w:r>
      <w:r>
        <w:rPr>
          <w:rStyle w:val="EndnoteReference"/>
          <w:rFonts w:eastAsia="Calibri" w:asciiTheme="minorHAnsi" w:hAnsiTheme="minorHAnsi" w:cstheme="minorHAnsi"/>
          <w:szCs w:val="22"/>
        </w:rPr>
        <w:endnoteReference w:id="9"/>
      </w:r>
      <w:r w:rsidRPr="002D1043" w:rsidR="00B6584D">
        <w:rPr>
          <w:rFonts w:eastAsia="Calibri" w:asciiTheme="minorHAnsi" w:hAnsiTheme="minorHAnsi" w:cstheme="minorHAnsi"/>
          <w:sz w:val="22"/>
          <w:szCs w:val="22"/>
        </w:rPr>
        <w:t xml:space="preserve"> and families</w:t>
      </w:r>
      <w:r w:rsidRPr="002D1043">
        <w:rPr>
          <w:rFonts w:eastAsia="Calibri" w:asciiTheme="minorHAnsi" w:hAnsiTheme="minorHAnsi" w:cstheme="minorHAnsi"/>
          <w:sz w:val="22"/>
          <w:szCs w:val="22"/>
        </w:rPr>
        <w:t>.</w:t>
      </w:r>
      <w:r>
        <w:rPr>
          <w:rStyle w:val="EndnoteReference"/>
          <w:rFonts w:eastAsia="Calibri" w:asciiTheme="minorHAnsi" w:hAnsiTheme="minorHAnsi" w:cstheme="minorHAnsi"/>
          <w:szCs w:val="22"/>
        </w:rPr>
        <w:endnoteReference w:id="10"/>
      </w:r>
      <w:r w:rsidRPr="002D1043">
        <w:rPr>
          <w:rFonts w:eastAsia="Calibri" w:asciiTheme="minorHAnsi" w:hAnsiTheme="minorHAnsi" w:cstheme="minorHAnsi"/>
          <w:sz w:val="22"/>
          <w:szCs w:val="22"/>
        </w:rPr>
        <w:t xml:space="preserve"> </w:t>
      </w:r>
    </w:p>
    <w:p w:rsidR="00440976" w:rsidRPr="002D1043" w:rsidP="00436CFD" w14:paraId="3E5D1930" w14:textId="1878DE13">
      <w:pPr>
        <w:widowControl/>
        <w:autoSpaceDE/>
        <w:autoSpaceDN/>
        <w:adjustRightInd/>
        <w:spacing w:after="160" w:line="259" w:lineRule="auto"/>
        <w:rPr>
          <w:rFonts w:eastAsia="Calibri" w:asciiTheme="minorHAnsi" w:hAnsiTheme="minorHAnsi" w:cstheme="minorHAnsi"/>
          <w:sz w:val="22"/>
          <w:szCs w:val="22"/>
        </w:rPr>
      </w:pPr>
      <w:r w:rsidRPr="002D1043">
        <w:rPr>
          <w:rFonts w:eastAsia="Calibri" w:asciiTheme="minorHAnsi" w:hAnsiTheme="minorHAnsi" w:cstheme="minorHAnsi"/>
          <w:sz w:val="22"/>
          <w:szCs w:val="22"/>
        </w:rPr>
        <w:t xml:space="preserve"> However, </w:t>
      </w:r>
      <w:r w:rsidRPr="002D1043" w:rsidR="00E11D66">
        <w:rPr>
          <w:rFonts w:eastAsia="Calibri" w:asciiTheme="minorHAnsi" w:hAnsiTheme="minorHAnsi" w:cstheme="minorHAnsi"/>
          <w:sz w:val="22"/>
          <w:szCs w:val="22"/>
        </w:rPr>
        <w:t xml:space="preserve">there remain significant gaps in the research on </w:t>
      </w:r>
      <w:r w:rsidRPr="002D1043" w:rsidR="00C73635">
        <w:rPr>
          <w:rFonts w:eastAsia="Calibri" w:asciiTheme="minorHAnsi" w:hAnsiTheme="minorHAnsi" w:cstheme="minorHAnsi"/>
          <w:sz w:val="22"/>
          <w:szCs w:val="22"/>
        </w:rPr>
        <w:t>the training for supervisors</w:t>
      </w:r>
      <w:r w:rsidRPr="002D1043" w:rsidR="00123991">
        <w:rPr>
          <w:rFonts w:eastAsia="Calibri" w:asciiTheme="minorHAnsi" w:hAnsiTheme="minorHAnsi" w:cstheme="minorHAnsi"/>
          <w:sz w:val="22"/>
          <w:szCs w:val="22"/>
        </w:rPr>
        <w:t xml:space="preserve"> and how it is connected to </w:t>
      </w:r>
      <w:r w:rsidRPr="002D1043" w:rsidR="00B302EA">
        <w:rPr>
          <w:rFonts w:eastAsia="Calibri" w:asciiTheme="minorHAnsi" w:hAnsiTheme="minorHAnsi" w:cstheme="minorHAnsi"/>
          <w:sz w:val="22"/>
          <w:szCs w:val="22"/>
        </w:rPr>
        <w:t>positive</w:t>
      </w:r>
      <w:r w:rsidRPr="002D1043" w:rsidR="00123991">
        <w:rPr>
          <w:rFonts w:eastAsia="Calibri" w:asciiTheme="minorHAnsi" w:hAnsiTheme="minorHAnsi" w:cstheme="minorHAnsi"/>
          <w:sz w:val="22"/>
          <w:szCs w:val="22"/>
        </w:rPr>
        <w:t xml:space="preserve"> outcomes</w:t>
      </w:r>
      <w:r w:rsidRPr="002D1043" w:rsidR="00A941DD">
        <w:rPr>
          <w:rFonts w:eastAsia="Calibri" w:asciiTheme="minorHAnsi" w:hAnsiTheme="minorHAnsi" w:cstheme="minorHAnsi"/>
          <w:sz w:val="22"/>
          <w:szCs w:val="22"/>
        </w:rPr>
        <w:t xml:space="preserve"> for home visitors and better service delivery</w:t>
      </w:r>
      <w:r w:rsidRPr="002D1043" w:rsidR="00123991">
        <w:rPr>
          <w:rFonts w:eastAsia="Calibri" w:asciiTheme="minorHAnsi" w:hAnsiTheme="minorHAnsi" w:cstheme="minorHAnsi"/>
          <w:sz w:val="22"/>
          <w:szCs w:val="22"/>
        </w:rPr>
        <w:t xml:space="preserve">. </w:t>
      </w:r>
      <w:r w:rsidRPr="002D1043" w:rsidR="003F63ED">
        <w:rPr>
          <w:rFonts w:eastAsia="Calibri" w:asciiTheme="minorHAnsi" w:hAnsiTheme="minorHAnsi" w:cstheme="minorHAnsi"/>
          <w:sz w:val="22"/>
          <w:szCs w:val="22"/>
        </w:rPr>
        <w:t xml:space="preserve">The focus of this ICR is supervision at the home visiting program level.  </w:t>
      </w:r>
      <w:r w:rsidRPr="002D1043" w:rsidR="00E80DDE">
        <w:rPr>
          <w:rFonts w:eastAsia="Calibri" w:asciiTheme="minorHAnsi" w:hAnsiTheme="minorHAnsi" w:cstheme="minorHAnsi"/>
          <w:sz w:val="22"/>
          <w:szCs w:val="22"/>
        </w:rPr>
        <w:t xml:space="preserve">This ICR will </w:t>
      </w:r>
      <w:r w:rsidRPr="002D1043" w:rsidR="00A941DD">
        <w:rPr>
          <w:rFonts w:eastAsia="Calibri" w:asciiTheme="minorHAnsi" w:hAnsiTheme="minorHAnsi" w:cstheme="minorHAnsi"/>
          <w:sz w:val="22"/>
          <w:szCs w:val="22"/>
        </w:rPr>
        <w:t xml:space="preserve">promote better </w:t>
      </w:r>
      <w:r w:rsidRPr="002D1043" w:rsidR="00E80DDE">
        <w:rPr>
          <w:rFonts w:eastAsia="Calibri" w:asciiTheme="minorHAnsi" w:hAnsiTheme="minorHAnsi" w:cstheme="minorHAnsi"/>
          <w:sz w:val="22"/>
          <w:szCs w:val="22"/>
        </w:rPr>
        <w:t>understand</w:t>
      </w:r>
      <w:r w:rsidRPr="002D1043" w:rsidR="00A941DD">
        <w:rPr>
          <w:rFonts w:eastAsia="Calibri" w:asciiTheme="minorHAnsi" w:hAnsiTheme="minorHAnsi" w:cstheme="minorHAnsi"/>
          <w:sz w:val="22"/>
          <w:szCs w:val="22"/>
        </w:rPr>
        <w:t>ing of</w:t>
      </w:r>
      <w:r w:rsidRPr="002D1043" w:rsidR="00E80DDE">
        <w:rPr>
          <w:rFonts w:eastAsia="Calibri" w:asciiTheme="minorHAnsi" w:hAnsiTheme="minorHAnsi" w:cstheme="minorHAnsi"/>
          <w:sz w:val="22"/>
          <w:szCs w:val="22"/>
        </w:rPr>
        <w:t xml:space="preserve"> the supports that supervisors are currently receiving and how </w:t>
      </w:r>
      <w:r w:rsidRPr="002D1043" w:rsidR="00A941DD">
        <w:rPr>
          <w:rFonts w:eastAsia="Calibri" w:asciiTheme="minorHAnsi" w:hAnsiTheme="minorHAnsi" w:cstheme="minorHAnsi"/>
          <w:sz w:val="22"/>
          <w:szCs w:val="22"/>
        </w:rPr>
        <w:t xml:space="preserve">those supports </w:t>
      </w:r>
      <w:r w:rsidRPr="002D1043" w:rsidR="00E80DDE">
        <w:rPr>
          <w:rFonts w:eastAsia="Calibri" w:asciiTheme="minorHAnsi" w:hAnsiTheme="minorHAnsi" w:cstheme="minorHAnsi"/>
          <w:sz w:val="22"/>
          <w:szCs w:val="22"/>
        </w:rPr>
        <w:t xml:space="preserve">may impact </w:t>
      </w:r>
      <w:r w:rsidRPr="002D1043" w:rsidR="00424297">
        <w:rPr>
          <w:rFonts w:eastAsia="Calibri" w:asciiTheme="minorHAnsi" w:hAnsiTheme="minorHAnsi" w:cstheme="minorHAnsi"/>
          <w:sz w:val="22"/>
          <w:szCs w:val="22"/>
        </w:rPr>
        <w:t>home visitors</w:t>
      </w:r>
      <w:r w:rsidRPr="002D1043" w:rsidR="00812782">
        <w:rPr>
          <w:rFonts w:eastAsia="Calibri" w:asciiTheme="minorHAnsi" w:hAnsiTheme="minorHAnsi" w:cstheme="minorHAnsi"/>
          <w:sz w:val="22"/>
          <w:szCs w:val="22"/>
        </w:rPr>
        <w:t xml:space="preserve"> and ultimately, families</w:t>
      </w:r>
      <w:r w:rsidRPr="002D1043" w:rsidR="00424297">
        <w:rPr>
          <w:rFonts w:eastAsia="Calibri" w:asciiTheme="minorHAnsi" w:hAnsiTheme="minorHAnsi" w:cstheme="minorHAnsi"/>
          <w:sz w:val="22"/>
          <w:szCs w:val="22"/>
        </w:rPr>
        <w:t xml:space="preserve">. This data collection will provide valuable insight </w:t>
      </w:r>
      <w:r w:rsidRPr="002D1043" w:rsidR="00812782">
        <w:rPr>
          <w:rFonts w:eastAsia="Calibri" w:asciiTheme="minorHAnsi" w:hAnsiTheme="minorHAnsi" w:cstheme="minorHAnsi"/>
          <w:sz w:val="22"/>
          <w:szCs w:val="22"/>
        </w:rPr>
        <w:t xml:space="preserve">into </w:t>
      </w:r>
      <w:r w:rsidRPr="002D1043" w:rsidR="00D34DDE">
        <w:rPr>
          <w:rFonts w:eastAsia="Calibri" w:asciiTheme="minorHAnsi" w:hAnsiTheme="minorHAnsi" w:cstheme="minorHAnsi"/>
          <w:sz w:val="22"/>
          <w:szCs w:val="22"/>
        </w:rPr>
        <w:t>current supervision practices.</w:t>
      </w:r>
    </w:p>
    <w:p w:rsidR="004A69E1" w:rsidRPr="002D1043" w:rsidP="00C51DE9" w14:paraId="41E9EA9B" w14:textId="2C3F6D0C">
      <w:pPr>
        <w:widowControl/>
        <w:autoSpaceDE/>
        <w:autoSpaceDN/>
        <w:adjustRightInd/>
        <w:spacing w:after="160" w:line="259" w:lineRule="auto"/>
        <w:rPr>
          <w:rFonts w:eastAsia="Calibri" w:asciiTheme="minorHAnsi" w:hAnsiTheme="minorHAnsi" w:cstheme="minorHAnsi"/>
          <w:sz w:val="22"/>
          <w:szCs w:val="22"/>
        </w:rPr>
      </w:pPr>
      <w:r w:rsidRPr="00F370B7">
        <w:rPr>
          <w:rFonts w:eastAsia="Calibri" w:asciiTheme="minorHAnsi" w:hAnsiTheme="minorHAnsi" w:cstheme="minorHAnsi"/>
          <w:sz w:val="22"/>
          <w:szCs w:val="22"/>
        </w:rPr>
        <w:t xml:space="preserve">While there </w:t>
      </w:r>
      <w:r w:rsidRPr="00F370B7">
        <w:rPr>
          <w:rFonts w:eastAsia="Calibri" w:asciiTheme="minorHAnsi" w:hAnsiTheme="minorHAnsi" w:cstheme="minorHAnsi"/>
          <w:sz w:val="22"/>
          <w:szCs w:val="22"/>
        </w:rPr>
        <w:t>is</w:t>
      </w:r>
      <w:r w:rsidRPr="00F370B7">
        <w:rPr>
          <w:rFonts w:eastAsia="Calibri" w:asciiTheme="minorHAnsi" w:hAnsiTheme="minorHAnsi" w:cstheme="minorHAnsi"/>
          <w:sz w:val="22"/>
          <w:szCs w:val="22"/>
        </w:rPr>
        <w:t xml:space="preserve"> no legal or administrative requirements that necessitate this data collection, subsection 511(h)(3) of the Social Security Act authorizes the Secretary to “carry out a continuous program of research and evaluation activities in order to increase knowledge about the implementation and effectiveness of home visiting programs.</w:t>
      </w:r>
    </w:p>
    <w:p w:rsidR="009B3794" w:rsidRPr="004907DD" w:rsidP="00CA3DA6" w14:paraId="22E2A2FB" w14:textId="311CE727">
      <w:pPr>
        <w:numPr>
          <w:ilvl w:val="0"/>
          <w:numId w:val="2"/>
        </w:numPr>
        <w:tabs>
          <w:tab w:val="num" w:pos="360"/>
          <w:tab w:val="clear" w:pos="1080"/>
        </w:tabs>
        <w:spacing w:before="240"/>
        <w:ind w:left="360"/>
        <w:rPr>
          <w:rFonts w:ascii="Calibri Light" w:hAnsi="Calibri Light" w:cs="Calibri Light"/>
          <w:bCs/>
          <w:color w:val="2F5496"/>
          <w:sz w:val="26"/>
          <w:szCs w:val="26"/>
        </w:rPr>
      </w:pPr>
      <w:r w:rsidRPr="004907DD">
        <w:rPr>
          <w:rFonts w:ascii="Calibri Light" w:hAnsi="Calibri Light" w:cs="Calibri Light"/>
          <w:bCs/>
          <w:color w:val="2F5496"/>
          <w:sz w:val="26"/>
          <w:szCs w:val="26"/>
        </w:rPr>
        <w:t>Purpose and Use of Information Collection</w:t>
      </w:r>
    </w:p>
    <w:p w:rsidR="009B3794" w:rsidRPr="002D1043" w:rsidP="00CA3DA6" w14:paraId="22E2A2FC" w14:textId="5264B2BF">
      <w:pPr>
        <w:spacing w:before="120"/>
        <w:rPr>
          <w:rFonts w:asciiTheme="minorHAnsi" w:hAnsiTheme="minorHAnsi" w:cstheme="minorHAnsi"/>
          <w:sz w:val="22"/>
          <w:szCs w:val="22"/>
        </w:rPr>
      </w:pPr>
      <w:r w:rsidRPr="002D1043">
        <w:rPr>
          <w:rFonts w:asciiTheme="minorHAnsi" w:hAnsiTheme="minorHAnsi" w:cstheme="minorHAnsi"/>
          <w:sz w:val="22"/>
          <w:szCs w:val="22"/>
        </w:rPr>
        <w:t>The purpose of this information collection</w:t>
      </w:r>
      <w:r w:rsidRPr="002D1043" w:rsidR="000B7489">
        <w:rPr>
          <w:rFonts w:asciiTheme="minorHAnsi" w:hAnsiTheme="minorHAnsi" w:cstheme="minorHAnsi"/>
          <w:sz w:val="22"/>
          <w:szCs w:val="22"/>
        </w:rPr>
        <w:t xml:space="preserve"> is to better understand the </w:t>
      </w:r>
      <w:r w:rsidRPr="002D1043" w:rsidR="00DE0C11">
        <w:rPr>
          <w:rFonts w:asciiTheme="minorHAnsi" w:hAnsiTheme="minorHAnsi" w:cstheme="minorHAnsi"/>
          <w:sz w:val="22"/>
          <w:szCs w:val="22"/>
        </w:rPr>
        <w:t>training that supervisors in MIECHV</w:t>
      </w:r>
      <w:r w:rsidRPr="002D1043" w:rsidR="00E916DE">
        <w:rPr>
          <w:rFonts w:asciiTheme="minorHAnsi" w:hAnsiTheme="minorHAnsi" w:cstheme="minorHAnsi"/>
          <w:sz w:val="22"/>
          <w:szCs w:val="22"/>
        </w:rPr>
        <w:t>-funded</w:t>
      </w:r>
      <w:r w:rsidRPr="002D1043" w:rsidR="00DE0C11">
        <w:rPr>
          <w:rFonts w:asciiTheme="minorHAnsi" w:hAnsiTheme="minorHAnsi" w:cstheme="minorHAnsi"/>
          <w:sz w:val="22"/>
          <w:szCs w:val="22"/>
        </w:rPr>
        <w:t xml:space="preserve"> programs currently receive</w:t>
      </w:r>
      <w:r w:rsidRPr="002D1043" w:rsidR="00D20FD4">
        <w:rPr>
          <w:rFonts w:asciiTheme="minorHAnsi" w:hAnsiTheme="minorHAnsi" w:cstheme="minorHAnsi"/>
          <w:sz w:val="22"/>
          <w:szCs w:val="22"/>
        </w:rPr>
        <w:t xml:space="preserve"> and how it supports home visitors</w:t>
      </w:r>
      <w:r w:rsidRPr="002D1043" w:rsidR="007A00FA">
        <w:rPr>
          <w:rFonts w:asciiTheme="minorHAnsi" w:hAnsiTheme="minorHAnsi" w:cstheme="minorHAnsi"/>
          <w:sz w:val="22"/>
          <w:szCs w:val="22"/>
        </w:rPr>
        <w:t xml:space="preserve"> and ultimately families</w:t>
      </w:r>
      <w:r w:rsidRPr="002D1043" w:rsidR="00D20FD4">
        <w:rPr>
          <w:rFonts w:asciiTheme="minorHAnsi" w:hAnsiTheme="minorHAnsi" w:cstheme="minorHAnsi"/>
          <w:sz w:val="22"/>
          <w:szCs w:val="22"/>
        </w:rPr>
        <w:t>.</w:t>
      </w:r>
    </w:p>
    <w:p w:rsidR="00DC74ED" w:rsidRPr="002D1043" w:rsidP="00CA3DA6" w14:paraId="08CB9716" w14:textId="5CB0B792">
      <w:pPr>
        <w:spacing w:before="120"/>
        <w:rPr>
          <w:rFonts w:asciiTheme="minorHAnsi" w:hAnsiTheme="minorHAnsi" w:cstheme="minorHAnsi"/>
          <w:sz w:val="22"/>
          <w:szCs w:val="22"/>
        </w:rPr>
      </w:pPr>
      <w:r w:rsidRPr="002D1043">
        <w:rPr>
          <w:rFonts w:asciiTheme="minorHAnsi" w:hAnsiTheme="minorHAnsi" w:cstheme="minorHAnsi"/>
          <w:sz w:val="22"/>
          <w:szCs w:val="22"/>
        </w:rPr>
        <w:t xml:space="preserve">The first </w:t>
      </w:r>
      <w:r w:rsidR="006B3343">
        <w:rPr>
          <w:rFonts w:asciiTheme="minorHAnsi" w:hAnsiTheme="minorHAnsi" w:cstheme="minorHAnsi"/>
          <w:sz w:val="22"/>
          <w:szCs w:val="22"/>
        </w:rPr>
        <w:t xml:space="preserve">phase </w:t>
      </w:r>
      <w:r w:rsidRPr="002D1043">
        <w:rPr>
          <w:rFonts w:asciiTheme="minorHAnsi" w:hAnsiTheme="minorHAnsi" w:cstheme="minorHAnsi"/>
          <w:sz w:val="22"/>
          <w:szCs w:val="22"/>
        </w:rPr>
        <w:t xml:space="preserve">of this study, which is not part of this ICR, </w:t>
      </w:r>
      <w:r w:rsidRPr="002D1043" w:rsidR="00EC57AB">
        <w:rPr>
          <w:rFonts w:asciiTheme="minorHAnsi" w:hAnsiTheme="minorHAnsi" w:cstheme="minorHAnsi"/>
          <w:sz w:val="22"/>
          <w:szCs w:val="22"/>
        </w:rPr>
        <w:t>analyzed</w:t>
      </w:r>
      <w:r w:rsidRPr="002D1043" w:rsidR="00E95E31">
        <w:rPr>
          <w:rFonts w:asciiTheme="minorHAnsi" w:hAnsiTheme="minorHAnsi" w:cstheme="minorHAnsi"/>
          <w:sz w:val="22"/>
          <w:szCs w:val="22"/>
        </w:rPr>
        <w:t xml:space="preserve"> existing quantitative data to </w:t>
      </w:r>
      <w:r w:rsidRPr="002D1043" w:rsidR="00EC57AB">
        <w:rPr>
          <w:rFonts w:asciiTheme="minorHAnsi" w:hAnsiTheme="minorHAnsi" w:cstheme="minorHAnsi"/>
          <w:sz w:val="22"/>
          <w:szCs w:val="22"/>
        </w:rPr>
        <w:t xml:space="preserve">explore the role training for supervisors plays in </w:t>
      </w:r>
      <w:r w:rsidRPr="002D1043" w:rsidR="00F86EF0">
        <w:rPr>
          <w:rFonts w:asciiTheme="minorHAnsi" w:hAnsiTheme="minorHAnsi" w:cstheme="minorHAnsi"/>
          <w:sz w:val="22"/>
          <w:szCs w:val="22"/>
        </w:rPr>
        <w:t xml:space="preserve">(1) </w:t>
      </w:r>
      <w:r w:rsidRPr="002D1043" w:rsidR="00EC57AB">
        <w:rPr>
          <w:rFonts w:asciiTheme="minorHAnsi" w:hAnsiTheme="minorHAnsi" w:cstheme="minorHAnsi"/>
          <w:sz w:val="22"/>
          <w:szCs w:val="22"/>
        </w:rPr>
        <w:t>home visitor job satisfaction</w:t>
      </w:r>
      <w:r w:rsidRPr="002D1043" w:rsidR="00F86EF0">
        <w:rPr>
          <w:rFonts w:asciiTheme="minorHAnsi" w:hAnsiTheme="minorHAnsi" w:cstheme="minorHAnsi"/>
          <w:sz w:val="22"/>
          <w:szCs w:val="22"/>
        </w:rPr>
        <w:t xml:space="preserve"> and (2)</w:t>
      </w:r>
      <w:r w:rsidRPr="002D1043" w:rsidR="00080FB6">
        <w:rPr>
          <w:rFonts w:asciiTheme="minorHAnsi" w:hAnsiTheme="minorHAnsi" w:cstheme="minorHAnsi"/>
          <w:sz w:val="22"/>
          <w:szCs w:val="22"/>
        </w:rPr>
        <w:t xml:space="preserve"> the extent to which home visitors talk to families about </w:t>
      </w:r>
      <w:r w:rsidRPr="002D1043" w:rsidR="00080FB6">
        <w:rPr>
          <w:rFonts w:asciiTheme="minorHAnsi" w:hAnsiTheme="minorHAnsi" w:cstheme="minorHAnsi"/>
          <w:sz w:val="22"/>
          <w:szCs w:val="22"/>
        </w:rPr>
        <w:t>particular topics</w:t>
      </w:r>
      <w:r w:rsidRPr="002D1043" w:rsidR="00080FB6">
        <w:rPr>
          <w:rFonts w:asciiTheme="minorHAnsi" w:hAnsiTheme="minorHAnsi" w:cstheme="minorHAnsi"/>
          <w:sz w:val="22"/>
          <w:szCs w:val="22"/>
        </w:rPr>
        <w:t xml:space="preserve"> (</w:t>
      </w:r>
      <w:r w:rsidR="003132F2">
        <w:rPr>
          <w:rFonts w:asciiTheme="minorHAnsi" w:hAnsiTheme="minorHAnsi" w:cstheme="minorHAnsi"/>
          <w:sz w:val="22"/>
          <w:szCs w:val="22"/>
        </w:rPr>
        <w:t xml:space="preserve">e.g., </w:t>
      </w:r>
      <w:r w:rsidRPr="002D1043" w:rsidR="00080FB6">
        <w:rPr>
          <w:rFonts w:asciiTheme="minorHAnsi" w:hAnsiTheme="minorHAnsi" w:cstheme="minorHAnsi"/>
          <w:sz w:val="22"/>
          <w:szCs w:val="22"/>
        </w:rPr>
        <w:t>substance use</w:t>
      </w:r>
      <w:r w:rsidR="003132F2">
        <w:rPr>
          <w:rFonts w:asciiTheme="minorHAnsi" w:hAnsiTheme="minorHAnsi" w:cstheme="minorHAnsi"/>
          <w:sz w:val="22"/>
          <w:szCs w:val="22"/>
        </w:rPr>
        <w:t xml:space="preserve"> and</w:t>
      </w:r>
      <w:r w:rsidRPr="002D1043" w:rsidR="003132F2">
        <w:rPr>
          <w:rFonts w:asciiTheme="minorHAnsi" w:hAnsiTheme="minorHAnsi" w:cstheme="minorHAnsi"/>
          <w:sz w:val="22"/>
          <w:szCs w:val="22"/>
        </w:rPr>
        <w:t xml:space="preserve"> </w:t>
      </w:r>
      <w:r w:rsidRPr="002D1043" w:rsidR="00080FB6">
        <w:rPr>
          <w:rFonts w:asciiTheme="minorHAnsi" w:hAnsiTheme="minorHAnsi" w:cstheme="minorHAnsi"/>
          <w:sz w:val="22"/>
          <w:szCs w:val="22"/>
        </w:rPr>
        <w:t>intimate partner violence, etc.).</w:t>
      </w:r>
      <w:r w:rsidRPr="002D1043" w:rsidR="006D2B8B">
        <w:rPr>
          <w:rFonts w:asciiTheme="minorHAnsi" w:hAnsiTheme="minorHAnsi" w:cstheme="minorHAnsi"/>
          <w:sz w:val="22"/>
          <w:szCs w:val="22"/>
        </w:rPr>
        <w:t xml:space="preserve"> </w:t>
      </w:r>
      <w:r w:rsidR="00D346EF">
        <w:rPr>
          <w:rFonts w:asciiTheme="minorHAnsi" w:hAnsiTheme="minorHAnsi" w:cstheme="minorHAnsi"/>
          <w:sz w:val="22"/>
          <w:szCs w:val="22"/>
        </w:rPr>
        <w:t>While the</w:t>
      </w:r>
      <w:r w:rsidRPr="002D1043" w:rsidR="00A05507">
        <w:rPr>
          <w:rFonts w:asciiTheme="minorHAnsi" w:hAnsiTheme="minorHAnsi" w:cstheme="minorHAnsi"/>
          <w:sz w:val="22"/>
          <w:szCs w:val="22"/>
        </w:rPr>
        <w:t xml:space="preserve"> datasets used for </w:t>
      </w:r>
      <w:r w:rsidR="00D346EF">
        <w:rPr>
          <w:rFonts w:asciiTheme="minorHAnsi" w:hAnsiTheme="minorHAnsi" w:cstheme="minorHAnsi"/>
          <w:sz w:val="22"/>
          <w:szCs w:val="22"/>
        </w:rPr>
        <w:t xml:space="preserve">this </w:t>
      </w:r>
      <w:r w:rsidR="006B3343">
        <w:rPr>
          <w:rFonts w:asciiTheme="minorHAnsi" w:hAnsiTheme="minorHAnsi" w:cstheme="minorHAnsi"/>
          <w:sz w:val="22"/>
          <w:szCs w:val="22"/>
        </w:rPr>
        <w:t>phase</w:t>
      </w:r>
      <w:r w:rsidRPr="002D1043" w:rsidR="00A05507">
        <w:rPr>
          <w:rFonts w:asciiTheme="minorHAnsi" w:hAnsiTheme="minorHAnsi" w:cstheme="minorHAnsi"/>
          <w:sz w:val="22"/>
          <w:szCs w:val="22"/>
        </w:rPr>
        <w:t xml:space="preserve"> </w:t>
      </w:r>
      <w:r w:rsidR="00D346EF">
        <w:rPr>
          <w:rFonts w:asciiTheme="minorHAnsi" w:hAnsiTheme="minorHAnsi" w:cstheme="minorHAnsi"/>
          <w:sz w:val="22"/>
          <w:szCs w:val="22"/>
        </w:rPr>
        <w:t>are informative,</w:t>
      </w:r>
      <w:r w:rsidRPr="002D1043" w:rsidR="008F3371">
        <w:rPr>
          <w:rFonts w:asciiTheme="minorHAnsi" w:hAnsiTheme="minorHAnsi" w:cstheme="minorHAnsi"/>
          <w:sz w:val="22"/>
          <w:szCs w:val="22"/>
        </w:rPr>
        <w:t xml:space="preserve"> both have limitations</w:t>
      </w:r>
      <w:r w:rsidRPr="002D1043" w:rsidR="00334C41">
        <w:rPr>
          <w:rFonts w:asciiTheme="minorHAnsi" w:hAnsiTheme="minorHAnsi" w:cstheme="minorHAnsi"/>
          <w:sz w:val="22"/>
          <w:szCs w:val="22"/>
        </w:rPr>
        <w:t xml:space="preserve">. One dataset </w:t>
      </w:r>
      <w:r w:rsidRPr="002D1043" w:rsidR="00AA73DB">
        <w:rPr>
          <w:rFonts w:asciiTheme="minorHAnsi" w:hAnsiTheme="minorHAnsi" w:cstheme="minorHAnsi"/>
          <w:sz w:val="22"/>
          <w:szCs w:val="22"/>
        </w:rPr>
        <w:t xml:space="preserve">is from </w:t>
      </w:r>
      <w:r w:rsidRPr="002D1043" w:rsidR="000D6B4B">
        <w:rPr>
          <w:rFonts w:asciiTheme="minorHAnsi" w:hAnsiTheme="minorHAnsi" w:cstheme="minorHAnsi"/>
          <w:sz w:val="22"/>
          <w:szCs w:val="22"/>
        </w:rPr>
        <w:t>a decade ago</w:t>
      </w:r>
      <w:r w:rsidRPr="002D1043" w:rsidR="00E00ED4">
        <w:rPr>
          <w:rFonts w:asciiTheme="minorHAnsi" w:hAnsiTheme="minorHAnsi" w:cstheme="minorHAnsi"/>
          <w:sz w:val="22"/>
          <w:szCs w:val="22"/>
        </w:rPr>
        <w:t xml:space="preserve"> </w:t>
      </w:r>
      <w:r w:rsidRPr="002D1043" w:rsidR="003C7276">
        <w:rPr>
          <w:rFonts w:asciiTheme="minorHAnsi" w:hAnsiTheme="minorHAnsi" w:cstheme="minorHAnsi"/>
          <w:sz w:val="22"/>
          <w:szCs w:val="22"/>
        </w:rPr>
        <w:t>so</w:t>
      </w:r>
      <w:r w:rsidRPr="002D1043" w:rsidR="00E00ED4">
        <w:rPr>
          <w:rFonts w:asciiTheme="minorHAnsi" w:hAnsiTheme="minorHAnsi" w:cstheme="minorHAnsi"/>
          <w:sz w:val="22"/>
          <w:szCs w:val="22"/>
        </w:rPr>
        <w:t xml:space="preserve"> findings may not hold true today</w:t>
      </w:r>
      <w:r w:rsidRPr="002D1043" w:rsidR="00602BD2">
        <w:rPr>
          <w:rFonts w:asciiTheme="minorHAnsi" w:hAnsiTheme="minorHAnsi" w:cstheme="minorHAnsi"/>
          <w:sz w:val="22"/>
          <w:szCs w:val="22"/>
        </w:rPr>
        <w:t xml:space="preserve">. The other </w:t>
      </w:r>
      <w:r w:rsidRPr="002D1043" w:rsidR="003C7276">
        <w:rPr>
          <w:rFonts w:asciiTheme="minorHAnsi" w:hAnsiTheme="minorHAnsi" w:cstheme="minorHAnsi"/>
          <w:sz w:val="22"/>
          <w:szCs w:val="22"/>
        </w:rPr>
        <w:t xml:space="preserve">dataset </w:t>
      </w:r>
      <w:r w:rsidRPr="002D1043" w:rsidR="00602BD2">
        <w:rPr>
          <w:rFonts w:asciiTheme="minorHAnsi" w:hAnsiTheme="minorHAnsi" w:cstheme="minorHAnsi"/>
          <w:sz w:val="22"/>
          <w:szCs w:val="22"/>
        </w:rPr>
        <w:t xml:space="preserve">contains data from </w:t>
      </w:r>
      <w:r w:rsidRPr="002D1043" w:rsidR="00334C41">
        <w:rPr>
          <w:rFonts w:asciiTheme="minorHAnsi" w:hAnsiTheme="minorHAnsi" w:cstheme="minorHAnsi"/>
          <w:sz w:val="22"/>
          <w:szCs w:val="22"/>
        </w:rPr>
        <w:t xml:space="preserve">only one state </w:t>
      </w:r>
      <w:r w:rsidRPr="002D1043" w:rsidR="00602BD2">
        <w:rPr>
          <w:rFonts w:asciiTheme="minorHAnsi" w:hAnsiTheme="minorHAnsi" w:cstheme="minorHAnsi"/>
          <w:sz w:val="22"/>
          <w:szCs w:val="22"/>
        </w:rPr>
        <w:t xml:space="preserve">and the data were collected </w:t>
      </w:r>
      <w:r w:rsidRPr="002D1043" w:rsidR="000D6B4B">
        <w:rPr>
          <w:rFonts w:asciiTheme="minorHAnsi" w:hAnsiTheme="minorHAnsi" w:cstheme="minorHAnsi"/>
          <w:sz w:val="22"/>
          <w:szCs w:val="22"/>
        </w:rPr>
        <w:t xml:space="preserve">during the height of the COVID-19 </w:t>
      </w:r>
      <w:r w:rsidR="00F370B7">
        <w:rPr>
          <w:rFonts w:asciiTheme="minorHAnsi" w:hAnsiTheme="minorHAnsi" w:cstheme="minorHAnsi"/>
          <w:sz w:val="22"/>
          <w:szCs w:val="22"/>
        </w:rPr>
        <w:t>public health emergency</w:t>
      </w:r>
      <w:r w:rsidRPr="002D1043" w:rsidR="00F370B7">
        <w:rPr>
          <w:rFonts w:asciiTheme="minorHAnsi" w:hAnsiTheme="minorHAnsi" w:cstheme="minorHAnsi"/>
          <w:sz w:val="22"/>
          <w:szCs w:val="22"/>
        </w:rPr>
        <w:t xml:space="preserve"> </w:t>
      </w:r>
      <w:r w:rsidRPr="002D1043" w:rsidR="00692F1F">
        <w:rPr>
          <w:rFonts w:asciiTheme="minorHAnsi" w:hAnsiTheme="minorHAnsi" w:cstheme="minorHAnsi"/>
          <w:sz w:val="22"/>
          <w:szCs w:val="22"/>
        </w:rPr>
        <w:t>and during a transition period when home visiting programs operated virtually</w:t>
      </w:r>
      <w:r w:rsidRPr="002D1043" w:rsidR="003C7276">
        <w:rPr>
          <w:rFonts w:asciiTheme="minorHAnsi" w:hAnsiTheme="minorHAnsi" w:cstheme="minorHAnsi"/>
          <w:sz w:val="22"/>
          <w:szCs w:val="22"/>
        </w:rPr>
        <w:t>, which raises concerns about the generalizability of the findings</w:t>
      </w:r>
      <w:r w:rsidRPr="002D1043" w:rsidR="000D6B4B">
        <w:rPr>
          <w:rFonts w:asciiTheme="minorHAnsi" w:hAnsiTheme="minorHAnsi" w:cstheme="minorHAnsi"/>
          <w:sz w:val="22"/>
          <w:szCs w:val="22"/>
        </w:rPr>
        <w:t xml:space="preserve">. </w:t>
      </w:r>
      <w:r w:rsidRPr="002D1043" w:rsidR="006D2B8B">
        <w:rPr>
          <w:rFonts w:asciiTheme="minorHAnsi" w:hAnsiTheme="minorHAnsi" w:cstheme="minorHAnsi"/>
          <w:sz w:val="22"/>
          <w:szCs w:val="22"/>
        </w:rPr>
        <w:t xml:space="preserve">The second </w:t>
      </w:r>
      <w:r w:rsidR="006B3343">
        <w:rPr>
          <w:rFonts w:asciiTheme="minorHAnsi" w:hAnsiTheme="minorHAnsi" w:cstheme="minorHAnsi"/>
          <w:sz w:val="22"/>
          <w:szCs w:val="22"/>
        </w:rPr>
        <w:t>phase</w:t>
      </w:r>
      <w:r w:rsidRPr="002D1043" w:rsidR="006D2B8B">
        <w:rPr>
          <w:rFonts w:asciiTheme="minorHAnsi" w:hAnsiTheme="minorHAnsi" w:cstheme="minorHAnsi"/>
          <w:sz w:val="22"/>
          <w:szCs w:val="22"/>
        </w:rPr>
        <w:t xml:space="preserve"> of this study, which is the focus of this ICR, </w:t>
      </w:r>
      <w:r w:rsidRPr="002D1043" w:rsidR="00A05507">
        <w:rPr>
          <w:rFonts w:asciiTheme="minorHAnsi" w:hAnsiTheme="minorHAnsi" w:cstheme="minorHAnsi"/>
          <w:sz w:val="22"/>
          <w:szCs w:val="22"/>
        </w:rPr>
        <w:t xml:space="preserve">is meant to supplement </w:t>
      </w:r>
      <w:r w:rsidRPr="002D1043" w:rsidR="003C7276">
        <w:rPr>
          <w:rFonts w:asciiTheme="minorHAnsi" w:hAnsiTheme="minorHAnsi" w:cstheme="minorHAnsi"/>
          <w:sz w:val="22"/>
          <w:szCs w:val="22"/>
        </w:rPr>
        <w:t>these</w:t>
      </w:r>
      <w:r w:rsidRPr="002D1043" w:rsidR="00A05507">
        <w:rPr>
          <w:rFonts w:asciiTheme="minorHAnsi" w:hAnsiTheme="minorHAnsi" w:cstheme="minorHAnsi"/>
          <w:sz w:val="22"/>
          <w:szCs w:val="22"/>
        </w:rPr>
        <w:t xml:space="preserve"> quantitative analyses</w:t>
      </w:r>
      <w:r w:rsidRPr="002D1043" w:rsidR="00F8520B">
        <w:rPr>
          <w:rFonts w:asciiTheme="minorHAnsi" w:hAnsiTheme="minorHAnsi" w:cstheme="minorHAnsi"/>
          <w:sz w:val="22"/>
          <w:szCs w:val="22"/>
        </w:rPr>
        <w:t>. The</w:t>
      </w:r>
      <w:r w:rsidRPr="002D1043" w:rsidR="00F8520B">
        <w:rPr>
          <w:rFonts w:asciiTheme="minorHAnsi" w:hAnsiTheme="minorHAnsi" w:cstheme="minorHAnsi"/>
        </w:rPr>
        <w:t xml:space="preserve"> </w:t>
      </w:r>
      <w:r w:rsidRPr="002D1043" w:rsidR="00F8520B">
        <w:rPr>
          <w:rFonts w:asciiTheme="minorHAnsi" w:hAnsiTheme="minorHAnsi" w:cstheme="minorHAnsi"/>
          <w:sz w:val="22"/>
          <w:szCs w:val="22"/>
        </w:rPr>
        <w:t xml:space="preserve">qualitative information collected in </w:t>
      </w:r>
      <w:r w:rsidR="006B3343">
        <w:rPr>
          <w:rFonts w:asciiTheme="minorHAnsi" w:hAnsiTheme="minorHAnsi" w:cstheme="minorHAnsi"/>
          <w:sz w:val="22"/>
          <w:szCs w:val="22"/>
        </w:rPr>
        <w:t>this phase</w:t>
      </w:r>
      <w:r w:rsidRPr="002D1043" w:rsidR="00F8520B">
        <w:rPr>
          <w:rFonts w:asciiTheme="minorHAnsi" w:hAnsiTheme="minorHAnsi" w:cstheme="minorHAnsi"/>
          <w:sz w:val="22"/>
          <w:szCs w:val="22"/>
        </w:rPr>
        <w:t xml:space="preserve"> will allow us to identify whether the findings based on</w:t>
      </w:r>
      <w:r w:rsidR="001D5B8D">
        <w:rPr>
          <w:rFonts w:asciiTheme="minorHAnsi" w:hAnsiTheme="minorHAnsi" w:cstheme="minorHAnsi"/>
          <w:sz w:val="22"/>
          <w:szCs w:val="22"/>
        </w:rPr>
        <w:t xml:space="preserve"> this</w:t>
      </w:r>
      <w:r w:rsidRPr="002D1043" w:rsidR="00F8520B">
        <w:rPr>
          <w:rFonts w:asciiTheme="minorHAnsi" w:hAnsiTheme="minorHAnsi" w:cstheme="minorHAnsi"/>
          <w:sz w:val="22"/>
          <w:szCs w:val="22"/>
        </w:rPr>
        <w:t xml:space="preserve"> older or non-representative data align with home visitors’ and supervisors’ current experiences in a post-COVID</w:t>
      </w:r>
      <w:r w:rsidR="001D5B8D">
        <w:rPr>
          <w:rFonts w:asciiTheme="minorHAnsi" w:hAnsiTheme="minorHAnsi" w:cstheme="minorHAnsi"/>
          <w:sz w:val="22"/>
          <w:szCs w:val="22"/>
        </w:rPr>
        <w:t>-19</w:t>
      </w:r>
      <w:r w:rsidRPr="002D1043" w:rsidR="00F8520B">
        <w:rPr>
          <w:rFonts w:asciiTheme="minorHAnsi" w:hAnsiTheme="minorHAnsi" w:cstheme="minorHAnsi"/>
          <w:sz w:val="22"/>
          <w:szCs w:val="22"/>
        </w:rPr>
        <w:t xml:space="preserve"> era. Qualitative data collection will also allow us to describe if and how supervision support has changed in recent years and identify any additional or different supports supervisors need.</w:t>
      </w:r>
    </w:p>
    <w:p w:rsidR="00D20FD4" w:rsidRPr="002D1043" w:rsidP="00CA3DA6" w14:paraId="60ADFFC7" w14:textId="73E9DCAD">
      <w:pPr>
        <w:spacing w:before="120"/>
        <w:rPr>
          <w:rFonts w:asciiTheme="minorHAnsi" w:hAnsiTheme="minorHAnsi" w:cstheme="minorHAnsi"/>
          <w:sz w:val="22"/>
          <w:szCs w:val="22"/>
        </w:rPr>
      </w:pPr>
      <w:r w:rsidRPr="002D1043">
        <w:rPr>
          <w:rFonts w:asciiTheme="minorHAnsi" w:hAnsiTheme="minorHAnsi" w:cstheme="minorHAnsi"/>
          <w:sz w:val="22"/>
          <w:szCs w:val="22"/>
        </w:rPr>
        <w:t xml:space="preserve">The </w:t>
      </w:r>
      <w:r w:rsidRPr="002D1043">
        <w:rPr>
          <w:rFonts w:asciiTheme="minorHAnsi" w:hAnsiTheme="minorHAnsi" w:cstheme="minorHAnsi"/>
          <w:sz w:val="22"/>
          <w:szCs w:val="22"/>
        </w:rPr>
        <w:t xml:space="preserve">research questions </w:t>
      </w:r>
      <w:r w:rsidRPr="002D1043">
        <w:rPr>
          <w:rFonts w:asciiTheme="minorHAnsi" w:hAnsiTheme="minorHAnsi" w:cstheme="minorHAnsi"/>
          <w:sz w:val="22"/>
          <w:szCs w:val="22"/>
        </w:rPr>
        <w:t>for this ICR are</w:t>
      </w:r>
      <w:r w:rsidRPr="002D1043">
        <w:rPr>
          <w:rFonts w:asciiTheme="minorHAnsi" w:hAnsiTheme="minorHAnsi" w:cstheme="minorHAnsi"/>
          <w:sz w:val="22"/>
          <w:szCs w:val="22"/>
        </w:rPr>
        <w:t>:</w:t>
      </w:r>
    </w:p>
    <w:p w:rsidR="00D20FD4" w:rsidRPr="00CE19C0" w:rsidP="00D20FD4" w14:paraId="5F1ABF0A" w14:textId="1C2E9BE0">
      <w:pPr>
        <w:pStyle w:val="ListParagraph"/>
        <w:numPr>
          <w:ilvl w:val="0"/>
          <w:numId w:val="48"/>
        </w:numPr>
        <w:spacing w:before="120"/>
        <w:rPr>
          <w:rFonts w:asciiTheme="minorHAnsi" w:hAnsiTheme="minorHAnsi" w:cstheme="minorHAnsi"/>
          <w:bCs/>
          <w:sz w:val="22"/>
          <w:szCs w:val="22"/>
        </w:rPr>
      </w:pPr>
      <w:r w:rsidRPr="00CE19C0">
        <w:rPr>
          <w:rFonts w:asciiTheme="minorHAnsi" w:hAnsiTheme="minorHAnsi" w:cstheme="minorHAnsi"/>
          <w:bCs/>
          <w:sz w:val="22"/>
          <w:szCs w:val="22"/>
        </w:rPr>
        <w:t xml:space="preserve">To what extent do findings from previous quantitative analyses resonate with current </w:t>
      </w:r>
      <w:r w:rsidRPr="00CE19C0" w:rsidR="00D200D9">
        <w:rPr>
          <w:rFonts w:asciiTheme="minorHAnsi" w:hAnsiTheme="minorHAnsi" w:cstheme="minorHAnsi"/>
          <w:bCs/>
          <w:sz w:val="22"/>
          <w:szCs w:val="22"/>
        </w:rPr>
        <w:t>leaders of home visiting programs</w:t>
      </w:r>
      <w:r w:rsidRPr="00CE19C0" w:rsidR="00026C26">
        <w:rPr>
          <w:rFonts w:asciiTheme="minorHAnsi" w:hAnsiTheme="minorHAnsi" w:cstheme="minorHAnsi"/>
          <w:bCs/>
          <w:sz w:val="22"/>
          <w:szCs w:val="22"/>
        </w:rPr>
        <w:t>, supervisors, and home visitors?</w:t>
      </w:r>
    </w:p>
    <w:p w:rsidR="00477757" w:rsidRPr="00CE19C0" w:rsidP="00D20FD4" w14:paraId="1C2A410D" w14:textId="2D389DE8">
      <w:pPr>
        <w:pStyle w:val="ListParagraph"/>
        <w:numPr>
          <w:ilvl w:val="0"/>
          <w:numId w:val="48"/>
        </w:numPr>
        <w:spacing w:before="120"/>
        <w:rPr>
          <w:rFonts w:asciiTheme="minorHAnsi" w:hAnsiTheme="minorHAnsi" w:cstheme="minorHAnsi"/>
          <w:bCs/>
          <w:sz w:val="22"/>
          <w:szCs w:val="22"/>
        </w:rPr>
      </w:pPr>
      <w:r w:rsidRPr="00CE19C0">
        <w:rPr>
          <w:rFonts w:asciiTheme="minorHAnsi" w:hAnsiTheme="minorHAnsi" w:cstheme="minorHAnsi"/>
          <w:bCs/>
          <w:sz w:val="22"/>
          <w:szCs w:val="22"/>
        </w:rPr>
        <w:t>What does training currently look like for home visiting supervisors?</w:t>
      </w:r>
    </w:p>
    <w:p w:rsidR="00477757" w:rsidRPr="009972F3" w:rsidP="00D20FD4" w14:paraId="7C98A8A8" w14:textId="0A84BC8E">
      <w:pPr>
        <w:pStyle w:val="ListParagraph"/>
        <w:numPr>
          <w:ilvl w:val="0"/>
          <w:numId w:val="48"/>
        </w:numPr>
        <w:spacing w:before="120"/>
        <w:rPr>
          <w:rFonts w:asciiTheme="minorHAnsi" w:hAnsiTheme="minorHAnsi" w:cstheme="minorHAnsi"/>
          <w:bCs/>
          <w:sz w:val="22"/>
          <w:szCs w:val="22"/>
        </w:rPr>
      </w:pPr>
      <w:r w:rsidRPr="009972F3">
        <w:rPr>
          <w:rFonts w:asciiTheme="minorHAnsi" w:hAnsiTheme="minorHAnsi" w:cstheme="minorHAnsi"/>
          <w:bCs/>
          <w:sz w:val="22"/>
          <w:szCs w:val="22"/>
        </w:rPr>
        <w:t xml:space="preserve">Do </w:t>
      </w:r>
      <w:r w:rsidRPr="009972F3" w:rsidR="00935C87">
        <w:rPr>
          <w:rFonts w:asciiTheme="minorHAnsi" w:hAnsiTheme="minorHAnsi" w:cstheme="minorHAnsi"/>
          <w:bCs/>
          <w:sz w:val="22"/>
          <w:szCs w:val="22"/>
        </w:rPr>
        <w:t>leaders of home visiting programs</w:t>
      </w:r>
      <w:r w:rsidRPr="009972F3">
        <w:rPr>
          <w:rFonts w:asciiTheme="minorHAnsi" w:hAnsiTheme="minorHAnsi" w:cstheme="minorHAnsi"/>
          <w:bCs/>
          <w:sz w:val="22"/>
          <w:szCs w:val="22"/>
        </w:rPr>
        <w:t xml:space="preserve">, supervisors, and home visitors believe there are additional or different trainings and supports needed? </w:t>
      </w:r>
    </w:p>
    <w:p w:rsidR="00477757" w:rsidRPr="002D1043" w:rsidP="00477757" w14:paraId="44A73817" w14:textId="168C973D">
      <w:pPr>
        <w:spacing w:before="120"/>
        <w:rPr>
          <w:rFonts w:asciiTheme="minorHAnsi" w:hAnsiTheme="minorHAnsi" w:cstheme="minorHAnsi"/>
          <w:bCs/>
          <w:sz w:val="22"/>
          <w:szCs w:val="22"/>
        </w:rPr>
      </w:pPr>
      <w:r w:rsidRPr="009972F3">
        <w:rPr>
          <w:rFonts w:asciiTheme="minorHAnsi" w:hAnsiTheme="minorHAnsi" w:cstheme="minorHAnsi"/>
          <w:bCs/>
          <w:sz w:val="22"/>
          <w:szCs w:val="22"/>
        </w:rPr>
        <w:t xml:space="preserve">We will utilize qualitative methods to answer these questions, specifically through </w:t>
      </w:r>
      <w:r w:rsidRPr="009972F3" w:rsidR="0041277B">
        <w:rPr>
          <w:rFonts w:asciiTheme="minorHAnsi" w:hAnsiTheme="minorHAnsi" w:cstheme="minorHAnsi"/>
          <w:bCs/>
          <w:sz w:val="22"/>
          <w:szCs w:val="22"/>
        </w:rPr>
        <w:t xml:space="preserve">focus groups and interviews with </w:t>
      </w:r>
      <w:r w:rsidRPr="009972F3" w:rsidR="00935C87">
        <w:rPr>
          <w:rFonts w:asciiTheme="minorHAnsi" w:hAnsiTheme="minorHAnsi" w:cstheme="minorHAnsi"/>
          <w:bCs/>
          <w:sz w:val="22"/>
          <w:szCs w:val="22"/>
        </w:rPr>
        <w:t>leaders of home visiting programs</w:t>
      </w:r>
      <w:r w:rsidRPr="009972F3">
        <w:rPr>
          <w:rFonts w:asciiTheme="minorHAnsi" w:hAnsiTheme="minorHAnsi" w:cstheme="minorHAnsi"/>
          <w:bCs/>
          <w:sz w:val="22"/>
          <w:szCs w:val="22"/>
        </w:rPr>
        <w:t xml:space="preserve">, supervisors, and home visiting staff. </w:t>
      </w:r>
      <w:r w:rsidRPr="009972F3" w:rsidR="00BC052D">
        <w:rPr>
          <w:rFonts w:asciiTheme="minorHAnsi" w:hAnsiTheme="minorHAnsi" w:cstheme="minorHAnsi"/>
          <w:bCs/>
          <w:sz w:val="22"/>
          <w:szCs w:val="22"/>
        </w:rPr>
        <w:t xml:space="preserve">To recruit participants, we </w:t>
      </w:r>
      <w:r w:rsidR="00E40C7C">
        <w:rPr>
          <w:rFonts w:asciiTheme="minorHAnsi" w:hAnsiTheme="minorHAnsi" w:cstheme="minorHAnsi"/>
          <w:bCs/>
          <w:sz w:val="22"/>
          <w:szCs w:val="22"/>
        </w:rPr>
        <w:t>will work</w:t>
      </w:r>
      <w:r w:rsidRPr="009972F3" w:rsidR="00BC052D">
        <w:rPr>
          <w:rFonts w:asciiTheme="minorHAnsi" w:hAnsiTheme="minorHAnsi" w:cstheme="minorHAnsi"/>
          <w:bCs/>
          <w:sz w:val="22"/>
          <w:szCs w:val="22"/>
        </w:rPr>
        <w:t xml:space="preserve"> with MIECHV state, jurisdiction, and Tribal Project Directors to distribute an announcement inviting leaders of </w:t>
      </w:r>
      <w:r w:rsidR="000E6C1B">
        <w:rPr>
          <w:rFonts w:asciiTheme="minorHAnsi" w:hAnsiTheme="minorHAnsi" w:cstheme="minorHAnsi"/>
          <w:bCs/>
          <w:sz w:val="22"/>
          <w:szCs w:val="22"/>
        </w:rPr>
        <w:t xml:space="preserve">MIECHV-funded </w:t>
      </w:r>
      <w:r w:rsidRPr="009972F3" w:rsidR="00BC052D">
        <w:rPr>
          <w:rFonts w:asciiTheme="minorHAnsi" w:hAnsiTheme="minorHAnsi" w:cstheme="minorHAnsi"/>
          <w:bCs/>
          <w:sz w:val="22"/>
          <w:szCs w:val="22"/>
        </w:rPr>
        <w:t>home visiting programs, supervisors, and home visitors to participate. Interested individuals will be provided a link to a short recruitment survey</w:t>
      </w:r>
      <w:r w:rsidRPr="009972F3" w:rsidR="00581F05">
        <w:rPr>
          <w:rFonts w:asciiTheme="minorHAnsi" w:hAnsiTheme="minorHAnsi" w:cstheme="minorHAnsi"/>
          <w:bCs/>
          <w:sz w:val="22"/>
          <w:szCs w:val="22"/>
        </w:rPr>
        <w:t xml:space="preserve"> that asks </w:t>
      </w:r>
      <w:r w:rsidRPr="009972F3" w:rsidR="004C77D3">
        <w:rPr>
          <w:rFonts w:asciiTheme="minorHAnsi" w:hAnsiTheme="minorHAnsi" w:cstheme="minorHAnsi"/>
          <w:bCs/>
          <w:sz w:val="22"/>
          <w:szCs w:val="22"/>
        </w:rPr>
        <w:t xml:space="preserve">the individuals for information about their role, tenure, home visiting program, size of program, and more to help ensure </w:t>
      </w:r>
      <w:r w:rsidRPr="009972F3" w:rsidR="00BB7F36">
        <w:rPr>
          <w:rFonts w:asciiTheme="minorHAnsi" w:hAnsiTheme="minorHAnsi" w:cstheme="minorHAnsi"/>
          <w:bCs/>
          <w:sz w:val="22"/>
          <w:szCs w:val="22"/>
        </w:rPr>
        <w:t>we include a diverse array of perspectives in our ultimate sample.</w:t>
      </w:r>
      <w:r w:rsidRPr="009972F3" w:rsidR="00BC052D">
        <w:rPr>
          <w:rFonts w:asciiTheme="minorHAnsi" w:hAnsiTheme="minorHAnsi" w:cstheme="minorHAnsi"/>
          <w:bCs/>
          <w:sz w:val="22"/>
          <w:szCs w:val="22"/>
        </w:rPr>
        <w:t xml:space="preserve"> </w:t>
      </w:r>
      <w:r w:rsidRPr="009972F3" w:rsidR="00724C25">
        <w:rPr>
          <w:rFonts w:asciiTheme="minorHAnsi" w:hAnsiTheme="minorHAnsi" w:cstheme="minorHAnsi"/>
          <w:bCs/>
          <w:sz w:val="22"/>
          <w:szCs w:val="22"/>
        </w:rPr>
        <w:t>See Table 1 for more detail on how information will be collected for each research question.</w:t>
      </w:r>
      <w:r w:rsidRPr="002D1043" w:rsidR="00724C25">
        <w:rPr>
          <w:rFonts w:asciiTheme="minorHAnsi" w:hAnsiTheme="minorHAnsi" w:cstheme="minorHAnsi"/>
          <w:bCs/>
          <w:sz w:val="22"/>
          <w:szCs w:val="22"/>
        </w:rPr>
        <w:t xml:space="preserve"> </w:t>
      </w:r>
    </w:p>
    <w:p w:rsidR="00993DE7" w:rsidRPr="002D1043" w:rsidP="00477757" w14:paraId="25FF1039" w14:textId="49874FC1">
      <w:pPr>
        <w:spacing w:before="120"/>
        <w:rPr>
          <w:rFonts w:asciiTheme="minorHAnsi" w:hAnsiTheme="minorHAnsi" w:cstheme="minorHAnsi"/>
          <w:b/>
          <w:sz w:val="22"/>
          <w:szCs w:val="22"/>
        </w:rPr>
      </w:pPr>
      <w:r w:rsidRPr="002D1043">
        <w:rPr>
          <w:rFonts w:asciiTheme="minorHAnsi" w:hAnsiTheme="minorHAnsi" w:cstheme="minorHAnsi"/>
          <w:b/>
          <w:sz w:val="22"/>
          <w:szCs w:val="22"/>
        </w:rPr>
        <w:t xml:space="preserve">Table </w:t>
      </w:r>
      <w:r w:rsidRPr="002D1043" w:rsidR="00641C23">
        <w:rPr>
          <w:rFonts w:asciiTheme="minorHAnsi" w:hAnsiTheme="minorHAnsi" w:cstheme="minorHAnsi"/>
          <w:b/>
          <w:sz w:val="22"/>
          <w:szCs w:val="22"/>
        </w:rPr>
        <w:t xml:space="preserve">1. Overview of Research Design </w:t>
      </w:r>
    </w:p>
    <w:tbl>
      <w:tblPr>
        <w:tblStyle w:val="TableGrid"/>
        <w:tblW w:w="0" w:type="auto"/>
        <w:jc w:val="center"/>
        <w:tblLook w:val="04A0"/>
      </w:tblPr>
      <w:tblGrid>
        <w:gridCol w:w="3145"/>
        <w:gridCol w:w="1710"/>
        <w:gridCol w:w="2157"/>
        <w:gridCol w:w="2338"/>
      </w:tblGrid>
      <w:tr w14:paraId="5EC5B516" w14:textId="77777777" w:rsidTr="004A69E1">
        <w:tblPrEx>
          <w:tblW w:w="0" w:type="auto"/>
          <w:jc w:val="center"/>
          <w:tblLook w:val="04A0"/>
        </w:tblPrEx>
        <w:trPr>
          <w:jc w:val="center"/>
        </w:trPr>
        <w:tc>
          <w:tcPr>
            <w:tcW w:w="3145" w:type="dxa"/>
            <w:vMerge w:val="restart"/>
            <w:shd w:val="clear" w:color="auto" w:fill="1F497D" w:themeFill="text2"/>
            <w:vAlign w:val="center"/>
          </w:tcPr>
          <w:p w:rsidR="007B7A31" w:rsidRPr="002D1043" w:rsidP="004907DD" w14:paraId="2B1CB523" w14:textId="55101613">
            <w:pPr>
              <w:spacing w:before="120"/>
              <w:jc w:val="center"/>
              <w:rPr>
                <w:rFonts w:asciiTheme="minorHAnsi" w:hAnsiTheme="minorHAnsi" w:cstheme="minorHAnsi"/>
                <w:b/>
                <w:sz w:val="22"/>
                <w:szCs w:val="22"/>
              </w:rPr>
            </w:pPr>
            <w:r w:rsidRPr="002D1043">
              <w:rPr>
                <w:rFonts w:asciiTheme="minorHAnsi" w:hAnsiTheme="minorHAnsi" w:cstheme="minorHAnsi"/>
                <w:b/>
                <w:color w:val="FFFFFF" w:themeColor="background1"/>
                <w:sz w:val="22"/>
                <w:szCs w:val="22"/>
              </w:rPr>
              <w:t>Research Question</w:t>
            </w:r>
          </w:p>
        </w:tc>
        <w:tc>
          <w:tcPr>
            <w:tcW w:w="6205" w:type="dxa"/>
            <w:gridSpan w:val="3"/>
            <w:shd w:val="clear" w:color="auto" w:fill="548DD4" w:themeFill="text2" w:themeFillTint="99"/>
            <w:vAlign w:val="center"/>
          </w:tcPr>
          <w:p w:rsidR="007B7A31" w:rsidRPr="002D1043" w:rsidP="004907DD" w14:paraId="248D60C2" w14:textId="4D0E5E50">
            <w:pPr>
              <w:spacing w:before="120"/>
              <w:jc w:val="center"/>
              <w:rPr>
                <w:rFonts w:asciiTheme="minorHAnsi" w:hAnsiTheme="minorHAnsi" w:cstheme="minorHAnsi"/>
                <w:b/>
                <w:color w:val="FFFFFF" w:themeColor="background1"/>
                <w:sz w:val="22"/>
                <w:szCs w:val="22"/>
              </w:rPr>
            </w:pPr>
            <w:r w:rsidRPr="002D1043">
              <w:rPr>
                <w:rFonts w:asciiTheme="minorHAnsi" w:hAnsiTheme="minorHAnsi" w:cstheme="minorHAnsi"/>
                <w:b/>
                <w:color w:val="FFFFFF" w:themeColor="background1"/>
                <w:sz w:val="22"/>
                <w:szCs w:val="22"/>
              </w:rPr>
              <w:t>Information Collection Activity</w:t>
            </w:r>
          </w:p>
        </w:tc>
      </w:tr>
      <w:tr w14:paraId="20BE9313" w14:textId="77777777" w:rsidTr="004A69E1">
        <w:tblPrEx>
          <w:tblW w:w="0" w:type="auto"/>
          <w:jc w:val="center"/>
          <w:tblLook w:val="04A0"/>
        </w:tblPrEx>
        <w:trPr>
          <w:jc w:val="center"/>
        </w:trPr>
        <w:tc>
          <w:tcPr>
            <w:tcW w:w="3145" w:type="dxa"/>
            <w:vMerge/>
            <w:shd w:val="clear" w:color="auto" w:fill="1F497D" w:themeFill="text2"/>
            <w:vAlign w:val="center"/>
          </w:tcPr>
          <w:p w:rsidR="007B7A31" w:rsidRPr="002D1043" w:rsidP="004907DD" w14:paraId="61C0F930" w14:textId="77777777">
            <w:pPr>
              <w:spacing w:before="120"/>
              <w:jc w:val="center"/>
              <w:rPr>
                <w:rFonts w:asciiTheme="minorHAnsi" w:hAnsiTheme="minorHAnsi" w:cstheme="minorHAnsi"/>
                <w:bCs/>
                <w:sz w:val="22"/>
                <w:szCs w:val="22"/>
              </w:rPr>
            </w:pPr>
          </w:p>
        </w:tc>
        <w:tc>
          <w:tcPr>
            <w:tcW w:w="1710" w:type="dxa"/>
            <w:shd w:val="clear" w:color="auto" w:fill="548DD4" w:themeFill="text2" w:themeFillTint="99"/>
            <w:vAlign w:val="center"/>
          </w:tcPr>
          <w:p w:rsidR="007B7A31" w:rsidRPr="002D1043" w:rsidP="004907DD" w14:paraId="43248B5E" w14:textId="63433202">
            <w:pPr>
              <w:spacing w:before="120"/>
              <w:jc w:val="center"/>
              <w:rPr>
                <w:rFonts w:asciiTheme="minorHAnsi" w:hAnsiTheme="minorHAnsi" w:cstheme="minorHAnsi"/>
                <w:b/>
                <w:color w:val="FFFFFF" w:themeColor="background1"/>
                <w:sz w:val="22"/>
                <w:szCs w:val="22"/>
              </w:rPr>
            </w:pPr>
            <w:r w:rsidRPr="002D1043">
              <w:rPr>
                <w:rFonts w:asciiTheme="minorHAnsi" w:hAnsiTheme="minorHAnsi" w:cstheme="minorHAnsi"/>
                <w:b/>
                <w:color w:val="FFFFFF" w:themeColor="background1"/>
                <w:sz w:val="22"/>
                <w:szCs w:val="22"/>
              </w:rPr>
              <w:t>Home Visitor Focus Group</w:t>
            </w:r>
          </w:p>
        </w:tc>
        <w:tc>
          <w:tcPr>
            <w:tcW w:w="2157" w:type="dxa"/>
            <w:shd w:val="clear" w:color="auto" w:fill="548DD4" w:themeFill="text2" w:themeFillTint="99"/>
            <w:vAlign w:val="center"/>
          </w:tcPr>
          <w:p w:rsidR="007B7A31" w:rsidRPr="002D1043" w:rsidP="004907DD" w14:paraId="6C036252" w14:textId="7772E1ED">
            <w:pPr>
              <w:spacing w:before="120"/>
              <w:jc w:val="center"/>
              <w:rPr>
                <w:rFonts w:asciiTheme="minorHAnsi" w:hAnsiTheme="minorHAnsi" w:cstheme="minorHAnsi"/>
                <w:b/>
                <w:color w:val="FFFFFF" w:themeColor="background1"/>
                <w:sz w:val="22"/>
                <w:szCs w:val="22"/>
              </w:rPr>
            </w:pPr>
            <w:r w:rsidRPr="002D1043">
              <w:rPr>
                <w:rFonts w:asciiTheme="minorHAnsi" w:hAnsiTheme="minorHAnsi" w:cstheme="minorHAnsi"/>
                <w:b/>
                <w:color w:val="FFFFFF" w:themeColor="background1"/>
                <w:sz w:val="22"/>
                <w:szCs w:val="22"/>
              </w:rPr>
              <w:t>Supervisor Focus Group</w:t>
            </w:r>
          </w:p>
        </w:tc>
        <w:tc>
          <w:tcPr>
            <w:tcW w:w="2338" w:type="dxa"/>
            <w:shd w:val="clear" w:color="auto" w:fill="548DD4" w:themeFill="text2" w:themeFillTint="99"/>
            <w:vAlign w:val="center"/>
          </w:tcPr>
          <w:p w:rsidR="007B7A31" w:rsidRPr="002D1043" w:rsidP="004907DD" w14:paraId="58DFE770" w14:textId="7CA1E149">
            <w:pPr>
              <w:spacing w:before="120"/>
              <w:jc w:val="center"/>
              <w:rPr>
                <w:rFonts w:asciiTheme="minorHAnsi" w:hAnsiTheme="minorHAnsi" w:cstheme="minorHAnsi"/>
                <w:b/>
                <w:color w:val="FFFFFF" w:themeColor="background1"/>
                <w:sz w:val="22"/>
                <w:szCs w:val="22"/>
              </w:rPr>
            </w:pPr>
            <w:r w:rsidRPr="002D1043">
              <w:rPr>
                <w:rFonts w:asciiTheme="minorHAnsi" w:hAnsiTheme="minorHAnsi" w:cstheme="minorHAnsi"/>
                <w:b/>
                <w:color w:val="FFFFFF" w:themeColor="background1"/>
                <w:sz w:val="22"/>
                <w:szCs w:val="22"/>
              </w:rPr>
              <w:t>Home Visiting Program</w:t>
            </w:r>
            <w:r w:rsidRPr="002D1043" w:rsidR="00CC68B6">
              <w:rPr>
                <w:rFonts w:asciiTheme="minorHAnsi" w:hAnsiTheme="minorHAnsi" w:cstheme="minorHAnsi"/>
                <w:b/>
                <w:color w:val="FFFFFF" w:themeColor="background1"/>
                <w:sz w:val="22"/>
                <w:szCs w:val="22"/>
              </w:rPr>
              <w:t xml:space="preserve"> Leader</w:t>
            </w:r>
            <w:r w:rsidRPr="002D1043">
              <w:rPr>
                <w:rFonts w:asciiTheme="minorHAnsi" w:hAnsiTheme="minorHAnsi" w:cstheme="minorHAnsi"/>
                <w:b/>
                <w:color w:val="FFFFFF" w:themeColor="background1"/>
                <w:sz w:val="22"/>
                <w:szCs w:val="22"/>
              </w:rPr>
              <w:t xml:space="preserve"> </w:t>
            </w:r>
            <w:r w:rsidR="00DD0640">
              <w:rPr>
                <w:rFonts w:asciiTheme="minorHAnsi" w:hAnsiTheme="minorHAnsi" w:cstheme="minorHAnsi"/>
                <w:b/>
                <w:color w:val="FFFFFF" w:themeColor="background1"/>
                <w:sz w:val="22"/>
                <w:szCs w:val="22"/>
              </w:rPr>
              <w:t>Interview</w:t>
            </w:r>
            <w:r w:rsidRPr="002D1043">
              <w:rPr>
                <w:rFonts w:asciiTheme="minorHAnsi" w:hAnsiTheme="minorHAnsi" w:cstheme="minorHAnsi"/>
                <w:b/>
                <w:color w:val="FFFFFF" w:themeColor="background1"/>
                <w:sz w:val="22"/>
                <w:szCs w:val="22"/>
              </w:rPr>
              <w:t xml:space="preserve"> </w:t>
            </w:r>
          </w:p>
        </w:tc>
      </w:tr>
      <w:tr w14:paraId="09251689" w14:textId="77777777" w:rsidTr="004A69E1">
        <w:tblPrEx>
          <w:tblW w:w="0" w:type="auto"/>
          <w:jc w:val="center"/>
          <w:tblLook w:val="04A0"/>
        </w:tblPrEx>
        <w:trPr>
          <w:jc w:val="center"/>
        </w:trPr>
        <w:tc>
          <w:tcPr>
            <w:tcW w:w="3145" w:type="dxa"/>
          </w:tcPr>
          <w:p w:rsidR="0084351D" w:rsidRPr="002D1043" w:rsidP="00A06FEA" w14:paraId="608F15DB" w14:textId="442962A3">
            <w:pPr>
              <w:pStyle w:val="ListParagraph"/>
              <w:numPr>
                <w:ilvl w:val="0"/>
                <w:numId w:val="50"/>
              </w:numPr>
              <w:spacing w:before="120"/>
              <w:rPr>
                <w:rFonts w:asciiTheme="minorHAnsi" w:hAnsiTheme="minorHAnsi" w:cstheme="minorHAnsi"/>
                <w:bCs/>
                <w:sz w:val="22"/>
                <w:szCs w:val="22"/>
              </w:rPr>
            </w:pPr>
            <w:r w:rsidRPr="002D1043">
              <w:rPr>
                <w:rFonts w:asciiTheme="minorHAnsi" w:hAnsiTheme="minorHAnsi" w:cstheme="minorHAnsi"/>
                <w:bCs/>
                <w:sz w:val="22"/>
                <w:szCs w:val="22"/>
              </w:rPr>
              <w:t xml:space="preserve">To what extent do findings from previous quantitative analyses resonate with current </w:t>
            </w:r>
            <w:r w:rsidRPr="002D1043" w:rsidR="00935C87">
              <w:rPr>
                <w:rFonts w:asciiTheme="minorHAnsi" w:hAnsiTheme="minorHAnsi" w:cstheme="minorHAnsi"/>
                <w:bCs/>
                <w:sz w:val="22"/>
                <w:szCs w:val="22"/>
              </w:rPr>
              <w:t>leaders of home visiting programs</w:t>
            </w:r>
            <w:r w:rsidRPr="002D1043">
              <w:rPr>
                <w:rFonts w:asciiTheme="minorHAnsi" w:hAnsiTheme="minorHAnsi" w:cstheme="minorHAnsi"/>
                <w:bCs/>
                <w:sz w:val="22"/>
                <w:szCs w:val="22"/>
              </w:rPr>
              <w:t>, supervisors, and home visitors?</w:t>
            </w:r>
          </w:p>
        </w:tc>
        <w:tc>
          <w:tcPr>
            <w:tcW w:w="1710" w:type="dxa"/>
            <w:vAlign w:val="center"/>
          </w:tcPr>
          <w:p w:rsidR="0084351D" w:rsidRPr="002D1043" w:rsidP="00BE29E0" w14:paraId="6C466ECA" w14:textId="164AB089">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c>
          <w:tcPr>
            <w:tcW w:w="2157" w:type="dxa"/>
            <w:vAlign w:val="center"/>
          </w:tcPr>
          <w:p w:rsidR="0084351D" w:rsidRPr="002D1043" w:rsidP="00BE29E0" w14:paraId="65151B5D" w14:textId="7CD7C49F">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c>
          <w:tcPr>
            <w:tcW w:w="2338" w:type="dxa"/>
            <w:vAlign w:val="center"/>
          </w:tcPr>
          <w:p w:rsidR="0084351D" w:rsidRPr="002D1043" w:rsidP="00BE29E0" w14:paraId="75C7B2D9" w14:textId="487FA8AA">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r>
      <w:tr w14:paraId="4C2355DF" w14:textId="77777777" w:rsidTr="004A69E1">
        <w:tblPrEx>
          <w:tblW w:w="0" w:type="auto"/>
          <w:jc w:val="center"/>
          <w:tblLook w:val="04A0"/>
        </w:tblPrEx>
        <w:trPr>
          <w:jc w:val="center"/>
        </w:trPr>
        <w:tc>
          <w:tcPr>
            <w:tcW w:w="3145" w:type="dxa"/>
          </w:tcPr>
          <w:p w:rsidR="007B7A31" w:rsidRPr="002D1043" w:rsidP="00A06FEA" w14:paraId="78805D2B" w14:textId="0BE0DD83">
            <w:pPr>
              <w:pStyle w:val="ListParagraph"/>
              <w:numPr>
                <w:ilvl w:val="0"/>
                <w:numId w:val="50"/>
              </w:numPr>
              <w:spacing w:before="120"/>
              <w:rPr>
                <w:rFonts w:asciiTheme="minorHAnsi" w:hAnsiTheme="minorHAnsi" w:cstheme="minorHAnsi"/>
                <w:bCs/>
                <w:sz w:val="22"/>
                <w:szCs w:val="22"/>
              </w:rPr>
            </w:pPr>
            <w:r w:rsidRPr="002D1043">
              <w:rPr>
                <w:rFonts w:asciiTheme="minorHAnsi" w:hAnsiTheme="minorHAnsi" w:cstheme="minorHAnsi"/>
                <w:bCs/>
                <w:sz w:val="22"/>
                <w:szCs w:val="22"/>
              </w:rPr>
              <w:t>What does training currently look like for home visiting supervisors?</w:t>
            </w:r>
          </w:p>
        </w:tc>
        <w:tc>
          <w:tcPr>
            <w:tcW w:w="1710" w:type="dxa"/>
            <w:vAlign w:val="center"/>
          </w:tcPr>
          <w:p w:rsidR="007B7A31" w:rsidRPr="002D1043" w:rsidP="00BE29E0" w14:paraId="6F83380C" w14:textId="77777777">
            <w:pPr>
              <w:spacing w:before="120"/>
              <w:jc w:val="center"/>
              <w:rPr>
                <w:rFonts w:asciiTheme="minorHAnsi" w:hAnsiTheme="minorHAnsi" w:cstheme="minorHAnsi"/>
                <w:bCs/>
                <w:sz w:val="22"/>
                <w:szCs w:val="22"/>
              </w:rPr>
            </w:pPr>
          </w:p>
        </w:tc>
        <w:tc>
          <w:tcPr>
            <w:tcW w:w="2157" w:type="dxa"/>
            <w:vAlign w:val="center"/>
          </w:tcPr>
          <w:p w:rsidR="007B7A31" w:rsidRPr="002D1043" w:rsidP="00BE29E0" w14:paraId="180A2743" w14:textId="529B58A9">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c>
          <w:tcPr>
            <w:tcW w:w="2338" w:type="dxa"/>
            <w:vAlign w:val="center"/>
          </w:tcPr>
          <w:p w:rsidR="007B7A31" w:rsidRPr="002D1043" w:rsidP="00BE29E0" w14:paraId="5890F567" w14:textId="472C6D59">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r>
      <w:tr w14:paraId="6C7DD0DE" w14:textId="77777777" w:rsidTr="004A69E1">
        <w:tblPrEx>
          <w:tblW w:w="0" w:type="auto"/>
          <w:jc w:val="center"/>
          <w:tblLook w:val="04A0"/>
        </w:tblPrEx>
        <w:trPr>
          <w:jc w:val="center"/>
        </w:trPr>
        <w:tc>
          <w:tcPr>
            <w:tcW w:w="3145" w:type="dxa"/>
          </w:tcPr>
          <w:p w:rsidR="007B7A31" w:rsidRPr="002D1043" w:rsidP="00A06FEA" w14:paraId="58C926E6" w14:textId="1003A551">
            <w:pPr>
              <w:pStyle w:val="ListParagraph"/>
              <w:numPr>
                <w:ilvl w:val="0"/>
                <w:numId w:val="50"/>
              </w:numPr>
              <w:spacing w:before="120"/>
              <w:rPr>
                <w:rFonts w:asciiTheme="minorHAnsi" w:hAnsiTheme="minorHAnsi" w:cstheme="minorHAnsi"/>
                <w:bCs/>
                <w:sz w:val="22"/>
                <w:szCs w:val="22"/>
              </w:rPr>
            </w:pPr>
            <w:r w:rsidRPr="002D1043">
              <w:rPr>
                <w:rFonts w:asciiTheme="minorHAnsi" w:hAnsiTheme="minorHAnsi" w:cstheme="minorHAnsi"/>
                <w:bCs/>
                <w:sz w:val="22"/>
                <w:szCs w:val="22"/>
              </w:rPr>
              <w:t xml:space="preserve">Do </w:t>
            </w:r>
            <w:r w:rsidRPr="002D1043" w:rsidR="00D70AE3">
              <w:rPr>
                <w:rFonts w:asciiTheme="minorHAnsi" w:hAnsiTheme="minorHAnsi" w:cstheme="minorHAnsi"/>
                <w:bCs/>
                <w:sz w:val="22"/>
                <w:szCs w:val="22"/>
              </w:rPr>
              <w:t>leaders of home visiting programs</w:t>
            </w:r>
            <w:r w:rsidRPr="002D1043">
              <w:rPr>
                <w:rFonts w:asciiTheme="minorHAnsi" w:hAnsiTheme="minorHAnsi" w:cstheme="minorHAnsi"/>
                <w:bCs/>
                <w:sz w:val="22"/>
                <w:szCs w:val="22"/>
              </w:rPr>
              <w:t xml:space="preserve">, supervisors, and home visitors believe there are additional or different trainings and supports needed? </w:t>
            </w:r>
          </w:p>
        </w:tc>
        <w:tc>
          <w:tcPr>
            <w:tcW w:w="1710" w:type="dxa"/>
            <w:vAlign w:val="center"/>
          </w:tcPr>
          <w:p w:rsidR="007B7A31" w:rsidRPr="002D1043" w:rsidP="00BE29E0" w14:paraId="37E63D11" w14:textId="379F41F5">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c>
          <w:tcPr>
            <w:tcW w:w="2157" w:type="dxa"/>
            <w:vAlign w:val="center"/>
          </w:tcPr>
          <w:p w:rsidR="007B7A31" w:rsidRPr="002D1043" w:rsidP="00BE29E0" w14:paraId="16C18427" w14:textId="133CC42C">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c>
          <w:tcPr>
            <w:tcW w:w="2338" w:type="dxa"/>
            <w:vAlign w:val="center"/>
          </w:tcPr>
          <w:p w:rsidR="007B7A31" w:rsidRPr="002D1043" w:rsidP="00BE29E0" w14:paraId="18F790E1" w14:textId="1D3E9065">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r>
    </w:tbl>
    <w:p w:rsidR="0084351D" w:rsidRPr="002D1043" w:rsidP="00477757" w14:paraId="0000A20A" w14:textId="77777777">
      <w:pPr>
        <w:spacing w:before="120"/>
        <w:rPr>
          <w:rFonts w:asciiTheme="minorHAnsi" w:hAnsiTheme="minorHAnsi" w:cstheme="minorHAnsi"/>
          <w:bCs/>
          <w:sz w:val="22"/>
          <w:szCs w:val="22"/>
        </w:rPr>
      </w:pPr>
    </w:p>
    <w:p w:rsidR="004622FB" w:rsidRPr="002D1043" w:rsidP="00477757" w14:paraId="3AED765F" w14:textId="6384541F">
      <w:pPr>
        <w:spacing w:before="120"/>
        <w:rPr>
          <w:rFonts w:asciiTheme="minorHAnsi" w:hAnsiTheme="minorHAnsi" w:cstheme="minorHAnsi"/>
          <w:bCs/>
          <w:sz w:val="22"/>
          <w:szCs w:val="22"/>
        </w:rPr>
      </w:pPr>
      <w:r w:rsidRPr="002D1043">
        <w:rPr>
          <w:rFonts w:asciiTheme="minorHAnsi" w:hAnsiTheme="minorHAnsi" w:cstheme="minorHAnsi"/>
          <w:bCs/>
          <w:sz w:val="22"/>
          <w:szCs w:val="22"/>
        </w:rPr>
        <w:t>This information collection will</w:t>
      </w:r>
      <w:r w:rsidRPr="002D1043" w:rsidR="002E7F56">
        <w:rPr>
          <w:rFonts w:asciiTheme="minorHAnsi" w:hAnsiTheme="minorHAnsi" w:cstheme="minorHAnsi"/>
          <w:bCs/>
          <w:sz w:val="22"/>
          <w:szCs w:val="22"/>
        </w:rPr>
        <w:t xml:space="preserve"> build on findings from secondary quantitative data analysis</w:t>
      </w:r>
      <w:r w:rsidRPr="002D1043" w:rsidR="007A2859">
        <w:rPr>
          <w:rFonts w:asciiTheme="minorHAnsi" w:hAnsiTheme="minorHAnsi" w:cstheme="minorHAnsi"/>
          <w:bCs/>
          <w:sz w:val="22"/>
          <w:szCs w:val="22"/>
        </w:rPr>
        <w:t xml:space="preserve"> of older or non-representative data. It will </w:t>
      </w:r>
      <w:r w:rsidRPr="002D1043" w:rsidR="00BC399D">
        <w:rPr>
          <w:rFonts w:asciiTheme="minorHAnsi" w:hAnsiTheme="minorHAnsi" w:cstheme="minorHAnsi"/>
          <w:bCs/>
          <w:sz w:val="22"/>
          <w:szCs w:val="22"/>
        </w:rPr>
        <w:t xml:space="preserve">provide information </w:t>
      </w:r>
      <w:r w:rsidRPr="002D1043" w:rsidR="00E30AF5">
        <w:rPr>
          <w:rFonts w:asciiTheme="minorHAnsi" w:hAnsiTheme="minorHAnsi" w:cstheme="minorHAnsi"/>
          <w:bCs/>
          <w:sz w:val="22"/>
          <w:szCs w:val="22"/>
        </w:rPr>
        <w:t>on</w:t>
      </w:r>
      <w:r w:rsidRPr="002D1043" w:rsidR="008124E6">
        <w:rPr>
          <w:rFonts w:asciiTheme="minorHAnsi" w:hAnsiTheme="minorHAnsi" w:cstheme="minorHAnsi"/>
          <w:bCs/>
          <w:sz w:val="22"/>
          <w:szCs w:val="22"/>
        </w:rPr>
        <w:t xml:space="preserve"> </w:t>
      </w:r>
      <w:r w:rsidRPr="002D1043" w:rsidR="00BC399D">
        <w:rPr>
          <w:rFonts w:asciiTheme="minorHAnsi" w:hAnsiTheme="minorHAnsi" w:cstheme="minorHAnsi"/>
          <w:bCs/>
          <w:sz w:val="22"/>
          <w:szCs w:val="22"/>
        </w:rPr>
        <w:t>the types of</w:t>
      </w:r>
      <w:r w:rsidRPr="002D1043" w:rsidR="00E30AF5">
        <w:rPr>
          <w:rFonts w:asciiTheme="minorHAnsi" w:hAnsiTheme="minorHAnsi" w:cstheme="minorHAnsi"/>
          <w:bCs/>
          <w:sz w:val="22"/>
          <w:szCs w:val="22"/>
        </w:rPr>
        <w:t xml:space="preserve"> supervision training and supports</w:t>
      </w:r>
      <w:r w:rsidRPr="002D1043" w:rsidR="00BC399D">
        <w:rPr>
          <w:rFonts w:asciiTheme="minorHAnsi" w:hAnsiTheme="minorHAnsi" w:cstheme="minorHAnsi"/>
          <w:bCs/>
          <w:sz w:val="22"/>
          <w:szCs w:val="22"/>
        </w:rPr>
        <w:t xml:space="preserve"> MIECHV supervisors are currently receiving</w:t>
      </w:r>
      <w:r w:rsidRPr="002D1043" w:rsidR="007A2859">
        <w:rPr>
          <w:rFonts w:asciiTheme="minorHAnsi" w:hAnsiTheme="minorHAnsi" w:cstheme="minorHAnsi"/>
          <w:bCs/>
          <w:sz w:val="22"/>
          <w:szCs w:val="22"/>
        </w:rPr>
        <w:t xml:space="preserve"> and </w:t>
      </w:r>
      <w:r w:rsidRPr="002D1043" w:rsidR="00555841">
        <w:rPr>
          <w:rFonts w:asciiTheme="minorHAnsi" w:hAnsiTheme="minorHAnsi" w:cstheme="minorHAnsi"/>
          <w:bCs/>
          <w:sz w:val="22"/>
          <w:szCs w:val="22"/>
        </w:rPr>
        <w:t xml:space="preserve">help </w:t>
      </w:r>
      <w:r w:rsidRPr="002D1043" w:rsidR="00E5499B">
        <w:rPr>
          <w:rFonts w:asciiTheme="minorHAnsi" w:hAnsiTheme="minorHAnsi" w:cstheme="minorHAnsi"/>
          <w:bCs/>
          <w:sz w:val="22"/>
          <w:szCs w:val="22"/>
        </w:rPr>
        <w:t xml:space="preserve">provide information on how these supports </w:t>
      </w:r>
      <w:r w:rsidRPr="002D1043" w:rsidR="00256F07">
        <w:rPr>
          <w:rFonts w:asciiTheme="minorHAnsi" w:hAnsiTheme="minorHAnsi" w:cstheme="minorHAnsi"/>
          <w:bCs/>
          <w:sz w:val="22"/>
          <w:szCs w:val="22"/>
        </w:rPr>
        <w:t xml:space="preserve">may be </w:t>
      </w:r>
      <w:r w:rsidRPr="002D1043" w:rsidR="00E5499B">
        <w:rPr>
          <w:rFonts w:asciiTheme="minorHAnsi" w:hAnsiTheme="minorHAnsi" w:cstheme="minorHAnsi"/>
          <w:bCs/>
          <w:sz w:val="22"/>
          <w:szCs w:val="22"/>
        </w:rPr>
        <w:t xml:space="preserve">associated with </w:t>
      </w:r>
      <w:r w:rsidRPr="002D1043" w:rsidR="006231B9">
        <w:rPr>
          <w:rFonts w:asciiTheme="minorHAnsi" w:hAnsiTheme="minorHAnsi" w:cstheme="minorHAnsi"/>
          <w:bCs/>
          <w:sz w:val="22"/>
          <w:szCs w:val="22"/>
        </w:rPr>
        <w:t>positive home visitor outcomes</w:t>
      </w:r>
      <w:r w:rsidRPr="002D1043" w:rsidR="00256F07">
        <w:rPr>
          <w:rFonts w:asciiTheme="minorHAnsi" w:hAnsiTheme="minorHAnsi" w:cstheme="minorHAnsi"/>
          <w:bCs/>
          <w:sz w:val="22"/>
          <w:szCs w:val="22"/>
        </w:rPr>
        <w:t xml:space="preserve"> and improved service delivery</w:t>
      </w:r>
      <w:r w:rsidRPr="002D1043" w:rsidR="006231B9">
        <w:rPr>
          <w:rFonts w:asciiTheme="minorHAnsi" w:hAnsiTheme="minorHAnsi" w:cstheme="minorHAnsi"/>
          <w:bCs/>
          <w:sz w:val="22"/>
          <w:szCs w:val="22"/>
        </w:rPr>
        <w:t xml:space="preserve">. Findings will be used to </w:t>
      </w:r>
      <w:r w:rsidRPr="002D1043" w:rsidR="00053B88">
        <w:rPr>
          <w:rFonts w:asciiTheme="minorHAnsi" w:hAnsiTheme="minorHAnsi" w:cstheme="minorHAnsi"/>
          <w:bCs/>
          <w:sz w:val="22"/>
          <w:szCs w:val="22"/>
        </w:rPr>
        <w:t>identify practices that MIECHV</w:t>
      </w:r>
      <w:r w:rsidRPr="002D1043" w:rsidR="000F2498">
        <w:rPr>
          <w:rFonts w:asciiTheme="minorHAnsi" w:hAnsiTheme="minorHAnsi" w:cstheme="minorHAnsi"/>
          <w:bCs/>
          <w:sz w:val="22"/>
          <w:szCs w:val="22"/>
        </w:rPr>
        <w:t>-funded</w:t>
      </w:r>
      <w:r w:rsidRPr="002D1043" w:rsidR="00256F07">
        <w:rPr>
          <w:rFonts w:asciiTheme="minorHAnsi" w:hAnsiTheme="minorHAnsi" w:cstheme="minorHAnsi"/>
          <w:bCs/>
          <w:sz w:val="22"/>
          <w:szCs w:val="22"/>
        </w:rPr>
        <w:t xml:space="preserve"> home visiting programs</w:t>
      </w:r>
      <w:r w:rsidRPr="002D1043" w:rsidR="00053B88">
        <w:rPr>
          <w:rFonts w:asciiTheme="minorHAnsi" w:hAnsiTheme="minorHAnsi" w:cstheme="minorHAnsi"/>
          <w:bCs/>
          <w:sz w:val="22"/>
          <w:szCs w:val="22"/>
        </w:rPr>
        <w:t xml:space="preserve"> could use to best support home visiting supervisors</w:t>
      </w:r>
      <w:r w:rsidRPr="002D1043" w:rsidR="00E857D0">
        <w:rPr>
          <w:rFonts w:asciiTheme="minorHAnsi" w:hAnsiTheme="minorHAnsi" w:cstheme="minorHAnsi"/>
          <w:bCs/>
          <w:sz w:val="22"/>
          <w:szCs w:val="22"/>
        </w:rPr>
        <w:t>, improving home v</w:t>
      </w:r>
      <w:r w:rsidRPr="002D1043" w:rsidR="00A85695">
        <w:rPr>
          <w:rFonts w:asciiTheme="minorHAnsi" w:hAnsiTheme="minorHAnsi" w:cstheme="minorHAnsi"/>
          <w:bCs/>
          <w:sz w:val="22"/>
          <w:szCs w:val="22"/>
        </w:rPr>
        <w:t xml:space="preserve">isitors’ ability to deliver high-quality home visiting services. </w:t>
      </w:r>
      <w:r w:rsidRPr="002D1043" w:rsidR="006231B9">
        <w:rPr>
          <w:rFonts w:asciiTheme="minorHAnsi" w:hAnsiTheme="minorHAnsi" w:cstheme="minorHAnsi"/>
          <w:bCs/>
          <w:sz w:val="22"/>
          <w:szCs w:val="22"/>
        </w:rPr>
        <w:t xml:space="preserve"> </w:t>
      </w:r>
    </w:p>
    <w:p w:rsidR="009B3794" w:rsidRPr="00D8632A" w:rsidP="004D0967" w14:paraId="22E2A300" w14:textId="6520645C">
      <w:pPr>
        <w:numPr>
          <w:ilvl w:val="0"/>
          <w:numId w:val="2"/>
        </w:numPr>
        <w:tabs>
          <w:tab w:val="num" w:pos="360"/>
          <w:tab w:val="clear" w:pos="1080"/>
        </w:tabs>
        <w:spacing w:before="240"/>
        <w:ind w:left="360"/>
        <w:rPr>
          <w:rFonts w:ascii="Calibri Light" w:hAnsi="Calibri Light" w:cs="Calibri Light"/>
          <w:bCs/>
          <w:color w:val="2F5496"/>
          <w:sz w:val="26"/>
          <w:szCs w:val="26"/>
        </w:rPr>
      </w:pPr>
      <w:r w:rsidRPr="002D1043">
        <w:rPr>
          <w:rFonts w:asciiTheme="minorHAnsi" w:hAnsiTheme="minorHAnsi" w:cstheme="minorHAnsi"/>
          <w:sz w:val="22"/>
          <w:szCs w:val="22"/>
        </w:rPr>
        <w:t xml:space="preserve">The </w:t>
      </w:r>
      <w:r w:rsidR="008D62BB">
        <w:rPr>
          <w:rFonts w:asciiTheme="minorHAnsi" w:hAnsiTheme="minorHAnsi" w:cstheme="minorHAnsi"/>
          <w:sz w:val="22"/>
          <w:szCs w:val="22"/>
        </w:rPr>
        <w:t>findings will also</w:t>
      </w:r>
      <w:r w:rsidRPr="002D1043">
        <w:rPr>
          <w:rFonts w:asciiTheme="minorHAnsi" w:hAnsiTheme="minorHAnsi" w:cstheme="minorHAnsi"/>
          <w:sz w:val="22"/>
          <w:szCs w:val="22"/>
        </w:rPr>
        <w:t xml:space="preserve"> contribute to the body of knowledge on the MIECHV Program, which engages in a broad portfolio of research, evaluation, and performance measurement through the MIECHV Learning Agenda, </w:t>
      </w:r>
      <w:r w:rsidR="00291110">
        <w:rPr>
          <w:rFonts w:asciiTheme="minorHAnsi" w:hAnsiTheme="minorHAnsi" w:cstheme="minorHAnsi"/>
          <w:sz w:val="22"/>
          <w:szCs w:val="22"/>
        </w:rPr>
        <w:t xml:space="preserve">to </w:t>
      </w:r>
      <w:r w:rsidRPr="002D1043">
        <w:rPr>
          <w:rFonts w:asciiTheme="minorHAnsi" w:hAnsiTheme="minorHAnsi" w:cstheme="minorHAnsi"/>
          <w:sz w:val="22"/>
          <w:szCs w:val="22"/>
        </w:rPr>
        <w:t>promote activities that can be used concurrently and in tandem to improve home visiting services and family outcomes.</w:t>
      </w:r>
      <w:r>
        <w:rPr>
          <w:rFonts w:asciiTheme="minorHAnsi" w:hAnsiTheme="minorHAnsi" w:cstheme="minorHAnsi"/>
          <w:sz w:val="22"/>
          <w:szCs w:val="22"/>
          <w:vertAlign w:val="superscript"/>
        </w:rPr>
        <w:endnoteReference w:id="11"/>
      </w:r>
      <w:r w:rsidRPr="002D1043">
        <w:rPr>
          <w:rFonts w:asciiTheme="minorHAnsi" w:hAnsiTheme="minorHAnsi" w:cstheme="minorHAnsi"/>
          <w:sz w:val="22"/>
          <w:szCs w:val="22"/>
        </w:rPr>
        <w:t xml:space="preserve"> </w:t>
      </w:r>
      <w:r w:rsidR="003A6502">
        <w:rPr>
          <w:rFonts w:asciiTheme="minorHAnsi" w:hAnsiTheme="minorHAnsi" w:cstheme="minorHAnsi"/>
          <w:sz w:val="22"/>
          <w:szCs w:val="22"/>
        </w:rPr>
        <w:t>This i</w:t>
      </w:r>
      <w:r w:rsidRPr="002D1043">
        <w:rPr>
          <w:rFonts w:asciiTheme="minorHAnsi" w:hAnsiTheme="minorHAnsi" w:cstheme="minorHAnsi"/>
          <w:sz w:val="22"/>
          <w:szCs w:val="22"/>
        </w:rPr>
        <w:t xml:space="preserve">nformation may be used to support future technical assistance to MIECHV-funded programs, support home visiting programs’ continuous </w:t>
      </w:r>
      <w:r w:rsidRPr="002D1043">
        <w:rPr>
          <w:rFonts w:asciiTheme="minorHAnsi" w:hAnsiTheme="minorHAnsi" w:cstheme="minorHAnsi"/>
          <w:sz w:val="22"/>
          <w:szCs w:val="22"/>
        </w:rPr>
        <w:t xml:space="preserve">quality improvement work, and guide future research and evaluation efforts. </w:t>
      </w:r>
      <w:r w:rsidR="005D2E76">
        <w:rPr>
          <w:rFonts w:asciiTheme="minorHAnsi" w:hAnsiTheme="minorHAnsi" w:cstheme="minorHAnsi"/>
          <w:sz w:val="22"/>
          <w:szCs w:val="22"/>
        </w:rPr>
        <w:t xml:space="preserve">For example, </w:t>
      </w:r>
      <w:r w:rsidR="004D0967">
        <w:rPr>
          <w:rFonts w:asciiTheme="minorHAnsi" w:hAnsiTheme="minorHAnsi" w:cstheme="minorHAnsi"/>
          <w:sz w:val="22"/>
          <w:szCs w:val="22"/>
        </w:rPr>
        <w:t xml:space="preserve">technical assistance materials could be provided to home visiting programs that </w:t>
      </w:r>
      <w:r w:rsidR="00E178E6">
        <w:rPr>
          <w:rFonts w:asciiTheme="minorHAnsi" w:hAnsiTheme="minorHAnsi" w:cstheme="minorHAnsi"/>
          <w:sz w:val="22"/>
          <w:szCs w:val="22"/>
        </w:rPr>
        <w:t>specify</w:t>
      </w:r>
      <w:r w:rsidR="002C17B2">
        <w:rPr>
          <w:rFonts w:asciiTheme="minorHAnsi" w:hAnsiTheme="minorHAnsi" w:cstheme="minorHAnsi"/>
          <w:sz w:val="22"/>
          <w:szCs w:val="22"/>
        </w:rPr>
        <w:t xml:space="preserve"> the</w:t>
      </w:r>
      <w:r w:rsidR="00E178E6">
        <w:rPr>
          <w:rFonts w:asciiTheme="minorHAnsi" w:hAnsiTheme="minorHAnsi" w:cstheme="minorHAnsi"/>
          <w:sz w:val="22"/>
          <w:szCs w:val="22"/>
        </w:rPr>
        <w:t xml:space="preserve"> </w:t>
      </w:r>
      <w:r w:rsidR="00E178E6">
        <w:rPr>
          <w:rFonts w:asciiTheme="minorHAnsi" w:hAnsiTheme="minorHAnsi" w:cstheme="minorHAnsi"/>
          <w:sz w:val="22"/>
          <w:szCs w:val="22"/>
        </w:rPr>
        <w:t>particular areas</w:t>
      </w:r>
      <w:r w:rsidR="00E178E6">
        <w:rPr>
          <w:rFonts w:asciiTheme="minorHAnsi" w:hAnsiTheme="minorHAnsi" w:cstheme="minorHAnsi"/>
          <w:sz w:val="22"/>
          <w:szCs w:val="22"/>
        </w:rPr>
        <w:t xml:space="preserve"> for supervisor training</w:t>
      </w:r>
      <w:r w:rsidR="002C17B2">
        <w:rPr>
          <w:rFonts w:asciiTheme="minorHAnsi" w:hAnsiTheme="minorHAnsi" w:cstheme="minorHAnsi"/>
          <w:sz w:val="22"/>
          <w:szCs w:val="22"/>
        </w:rPr>
        <w:t xml:space="preserve"> that have been identified through this work as </w:t>
      </w:r>
      <w:r w:rsidR="00E40C7C">
        <w:rPr>
          <w:rFonts w:asciiTheme="minorHAnsi" w:hAnsiTheme="minorHAnsi" w:cstheme="minorHAnsi"/>
          <w:sz w:val="22"/>
          <w:szCs w:val="22"/>
        </w:rPr>
        <w:t xml:space="preserve">needed to </w:t>
      </w:r>
      <w:r w:rsidR="002C17B2">
        <w:rPr>
          <w:rFonts w:asciiTheme="minorHAnsi" w:hAnsiTheme="minorHAnsi" w:cstheme="minorHAnsi"/>
          <w:sz w:val="22"/>
          <w:szCs w:val="22"/>
        </w:rPr>
        <w:t>improv</w:t>
      </w:r>
      <w:r w:rsidR="00E40C7C">
        <w:rPr>
          <w:rFonts w:asciiTheme="minorHAnsi" w:hAnsiTheme="minorHAnsi" w:cstheme="minorHAnsi"/>
          <w:sz w:val="22"/>
          <w:szCs w:val="22"/>
        </w:rPr>
        <w:t>e</w:t>
      </w:r>
      <w:r w:rsidR="002C17B2">
        <w:rPr>
          <w:rFonts w:asciiTheme="minorHAnsi" w:hAnsiTheme="minorHAnsi" w:cstheme="minorHAnsi"/>
          <w:sz w:val="22"/>
          <w:szCs w:val="22"/>
        </w:rPr>
        <w:t xml:space="preserve"> home visitor well-being</w:t>
      </w:r>
      <w:r w:rsidR="00E178E6">
        <w:rPr>
          <w:rFonts w:asciiTheme="minorHAnsi" w:hAnsiTheme="minorHAnsi" w:cstheme="minorHAnsi"/>
          <w:sz w:val="22"/>
          <w:szCs w:val="22"/>
        </w:rPr>
        <w:t xml:space="preserve">. </w:t>
      </w:r>
      <w:r w:rsidRPr="00D8632A">
        <w:rPr>
          <w:rFonts w:ascii="Calibri Light" w:hAnsi="Calibri Light" w:cs="Calibri Light"/>
          <w:bCs/>
          <w:color w:val="2F5496"/>
          <w:sz w:val="26"/>
          <w:szCs w:val="26"/>
        </w:rPr>
        <w:t>Use of Improved Information Technology and Burden Reduction</w:t>
      </w:r>
    </w:p>
    <w:p w:rsidR="004F552E" w:rsidRPr="002D1043" w:rsidP="004F552E" w14:paraId="491BF8D0" w14:textId="037D72D9">
      <w:pPr>
        <w:spacing w:before="240"/>
        <w:rPr>
          <w:rFonts w:asciiTheme="minorHAnsi" w:hAnsiTheme="minorHAnsi" w:cstheme="minorHAnsi"/>
          <w:bCs/>
          <w:sz w:val="22"/>
          <w:szCs w:val="22"/>
        </w:rPr>
      </w:pPr>
      <w:r w:rsidRPr="002D1043">
        <w:rPr>
          <w:rFonts w:asciiTheme="minorHAnsi" w:hAnsiTheme="minorHAnsi" w:cstheme="minorHAnsi"/>
          <w:bCs/>
          <w:sz w:val="22"/>
          <w:szCs w:val="22"/>
        </w:rPr>
        <w:t xml:space="preserve">The planned information collection includes the use of technological data collection techniques. </w:t>
      </w:r>
      <w:r w:rsidRPr="002D1043" w:rsidR="00BF6947">
        <w:rPr>
          <w:rFonts w:asciiTheme="minorHAnsi" w:hAnsiTheme="minorHAnsi" w:cstheme="minorHAnsi"/>
          <w:bCs/>
          <w:sz w:val="22"/>
          <w:szCs w:val="22"/>
        </w:rPr>
        <w:t xml:space="preserve">Specifically, the Recruitment Survey will be administered using </w:t>
      </w:r>
      <w:r w:rsidRPr="002D1043" w:rsidR="00BF6947">
        <w:rPr>
          <w:rFonts w:asciiTheme="minorHAnsi" w:hAnsiTheme="minorHAnsi" w:cstheme="minorHAnsi"/>
          <w:bCs/>
          <w:sz w:val="22"/>
          <w:szCs w:val="22"/>
        </w:rPr>
        <w:t>REDCap</w:t>
      </w:r>
      <w:r w:rsidRPr="002D1043" w:rsidR="00BF6947">
        <w:rPr>
          <w:rFonts w:asciiTheme="minorHAnsi" w:hAnsiTheme="minorHAnsi" w:cstheme="minorHAnsi"/>
          <w:bCs/>
          <w:sz w:val="22"/>
          <w:szCs w:val="22"/>
        </w:rPr>
        <w:t>, a secure web-based platform, to reduce participant burden. Web-based surveys allow for efficiencies and reductions in respondent burden, for example by using skip logic to quickly advance to the next relevant question depending upon a respondent’s answer selection. They also provide ways to limit invalid responses and reduce the burden related to completing and mailing (or otherwise submitting) paper forms. The proposed survey capture</w:t>
      </w:r>
      <w:r w:rsidRPr="002D1043" w:rsidR="004C6CEE">
        <w:rPr>
          <w:rFonts w:asciiTheme="minorHAnsi" w:hAnsiTheme="minorHAnsi" w:cstheme="minorHAnsi"/>
          <w:bCs/>
          <w:sz w:val="22"/>
          <w:szCs w:val="22"/>
        </w:rPr>
        <w:t>s</w:t>
      </w:r>
      <w:r w:rsidRPr="002D1043" w:rsidR="00BF6947">
        <w:rPr>
          <w:rFonts w:asciiTheme="minorHAnsi" w:hAnsiTheme="minorHAnsi" w:cstheme="minorHAnsi"/>
          <w:bCs/>
          <w:sz w:val="22"/>
          <w:szCs w:val="22"/>
        </w:rPr>
        <w:t xml:space="preserve"> content that is appropriate for collection in this format.</w:t>
      </w:r>
    </w:p>
    <w:p w:rsidR="0001765E" w:rsidRPr="002D1043" w:rsidP="0001765E" w14:paraId="6BB8FD3A" w14:textId="2C7E0995">
      <w:pPr>
        <w:spacing w:before="240"/>
        <w:rPr>
          <w:rFonts w:asciiTheme="minorHAnsi" w:hAnsiTheme="minorHAnsi" w:cstheme="minorHAnsi"/>
          <w:bCs/>
          <w:sz w:val="22"/>
          <w:szCs w:val="22"/>
        </w:rPr>
      </w:pPr>
      <w:r w:rsidRPr="002D1043">
        <w:rPr>
          <w:rFonts w:asciiTheme="minorHAnsi" w:hAnsiTheme="minorHAnsi" w:cstheme="minorHAnsi"/>
          <w:bCs/>
          <w:sz w:val="22"/>
          <w:szCs w:val="22"/>
        </w:rPr>
        <w:t>Th</w:t>
      </w:r>
      <w:r w:rsidRPr="002D1043" w:rsidR="008F490F">
        <w:rPr>
          <w:rFonts w:asciiTheme="minorHAnsi" w:hAnsiTheme="minorHAnsi" w:cstheme="minorHAnsi"/>
          <w:bCs/>
          <w:sz w:val="22"/>
          <w:szCs w:val="22"/>
        </w:rPr>
        <w:t>e</w:t>
      </w:r>
      <w:r w:rsidR="00A6115E">
        <w:rPr>
          <w:rFonts w:asciiTheme="minorHAnsi" w:hAnsiTheme="minorHAnsi" w:cstheme="minorHAnsi"/>
          <w:bCs/>
          <w:sz w:val="22"/>
          <w:szCs w:val="22"/>
        </w:rPr>
        <w:t xml:space="preserve"> i</w:t>
      </w:r>
      <w:r w:rsidRPr="002D1043">
        <w:rPr>
          <w:rFonts w:asciiTheme="minorHAnsi" w:hAnsiTheme="minorHAnsi" w:cstheme="minorHAnsi"/>
          <w:bCs/>
          <w:sz w:val="22"/>
          <w:szCs w:val="22"/>
        </w:rPr>
        <w:t xml:space="preserve">nformation collection requires direct person-to-person communication. All focus groups and interviews will be completed via telephone or video conferencing platform to reduce participant burden. Interviews and focus groups will be recorded (upon participant agreement) so that participants do not need to repeat responses or wait for the facilitator to document detailed responses. Though the semi-structured interview and focus group format may be more burdensome than an alternative form of computerized assisted data collection (such as a survey or questionnaire), the interview and focus group discussion guides are designed to collect information about complex concepts that may be difficult and time-consuming to capture by hand through a survey or questionnaire. Interviews and focus groups allow the facilitator to probe as necessary and to move through questions at a faster pace depending on how long the interview/focus group is running. </w:t>
      </w:r>
    </w:p>
    <w:p w:rsidR="006E00BD" w:rsidRPr="002D1043" w:rsidP="004F552E" w14:paraId="4D30386D" w14:textId="7E508C67">
      <w:pPr>
        <w:spacing w:before="240"/>
        <w:rPr>
          <w:rFonts w:asciiTheme="minorHAnsi" w:hAnsiTheme="minorHAnsi" w:cstheme="minorHAnsi"/>
          <w:bCs/>
          <w:sz w:val="22"/>
          <w:szCs w:val="22"/>
        </w:rPr>
      </w:pPr>
      <w:r w:rsidRPr="002D1043">
        <w:rPr>
          <w:rFonts w:asciiTheme="minorHAnsi" w:hAnsiTheme="minorHAnsi" w:cstheme="minorHAnsi"/>
          <w:bCs/>
          <w:sz w:val="22"/>
          <w:szCs w:val="22"/>
        </w:rPr>
        <w:t>Data elements that are expected to yield high-quality data through a survey format have been included in our surveys; data elements where the semi-structured focus group or interview format is expected to yield higher quality data than would be possible in a survey are included in the semi-structured focus groups or interview.</w:t>
      </w:r>
      <w:r w:rsidRPr="002D1043" w:rsidR="00626507">
        <w:rPr>
          <w:rFonts w:asciiTheme="minorHAnsi" w:hAnsiTheme="minorHAnsi" w:cstheme="minorHAnsi"/>
          <w:bCs/>
          <w:sz w:val="22"/>
          <w:szCs w:val="22"/>
        </w:rPr>
        <w:t xml:space="preserve"> Most data collection will be through structured focus groups and interviews.</w:t>
      </w:r>
    </w:p>
    <w:p w:rsidR="009B3794" w:rsidRPr="00D8632A" w:rsidP="6981A5CD" w14:paraId="22E2A305" w14:textId="63A2E3AA">
      <w:pPr>
        <w:numPr>
          <w:ilvl w:val="0"/>
          <w:numId w:val="2"/>
        </w:numPr>
        <w:tabs>
          <w:tab w:val="num" w:pos="360"/>
          <w:tab w:val="clear" w:pos="1080"/>
        </w:tabs>
        <w:spacing w:before="240"/>
        <w:ind w:left="360"/>
        <w:rPr>
          <w:rFonts w:ascii="Calibri Light" w:hAnsi="Calibri Light" w:cs="Calibri Light"/>
          <w:color w:val="2F5496"/>
          <w:sz w:val="26"/>
          <w:szCs w:val="26"/>
        </w:rPr>
      </w:pPr>
      <w:r w:rsidRPr="00D8632A">
        <w:rPr>
          <w:rFonts w:ascii="Calibri Light" w:hAnsi="Calibri Light" w:cs="Calibri Light"/>
          <w:color w:val="2F5496"/>
          <w:sz w:val="26"/>
          <w:szCs w:val="26"/>
        </w:rPr>
        <w:t>Efforts to Identify Duplication and Use of Similar Information</w:t>
      </w:r>
    </w:p>
    <w:p w:rsidR="002B08F8" w:rsidRPr="002D1043" w:rsidP="002B08F8" w14:paraId="47C429D6" w14:textId="062CBF59">
      <w:pPr>
        <w:spacing w:before="240"/>
        <w:rPr>
          <w:rFonts w:asciiTheme="minorHAnsi" w:hAnsiTheme="minorHAnsi" w:cstheme="minorHAnsi"/>
          <w:sz w:val="22"/>
          <w:szCs w:val="22"/>
        </w:rPr>
      </w:pPr>
      <w:r w:rsidRPr="002D1043">
        <w:rPr>
          <w:rFonts w:asciiTheme="minorHAnsi" w:hAnsiTheme="minorHAnsi" w:cstheme="minorHAnsi"/>
          <w:sz w:val="22"/>
          <w:szCs w:val="22"/>
        </w:rPr>
        <w:t>This project seeks to understand supervision supports and how they contribute to positive outcomes for home visitors</w:t>
      </w:r>
      <w:r w:rsidRPr="002D1043" w:rsidR="004237B8">
        <w:rPr>
          <w:rFonts w:asciiTheme="minorHAnsi" w:hAnsiTheme="minorHAnsi" w:cstheme="minorHAnsi"/>
          <w:sz w:val="22"/>
          <w:szCs w:val="22"/>
        </w:rPr>
        <w:t>, and ultimately better service delivery for families</w:t>
      </w:r>
      <w:r w:rsidRPr="002D1043">
        <w:rPr>
          <w:rFonts w:asciiTheme="minorHAnsi" w:hAnsiTheme="minorHAnsi" w:cstheme="minorHAnsi"/>
          <w:sz w:val="22"/>
          <w:szCs w:val="22"/>
        </w:rPr>
        <w:t xml:space="preserve">. </w:t>
      </w:r>
      <w:r w:rsidRPr="002D1043" w:rsidR="00CE1AFA">
        <w:rPr>
          <w:rFonts w:asciiTheme="minorHAnsi" w:hAnsiTheme="minorHAnsi" w:cstheme="minorHAnsi"/>
          <w:sz w:val="22"/>
          <w:szCs w:val="22"/>
        </w:rPr>
        <w:t xml:space="preserve">Prior research has </w:t>
      </w:r>
      <w:r w:rsidRPr="002D1043" w:rsidR="00134949">
        <w:rPr>
          <w:rFonts w:asciiTheme="minorHAnsi" w:hAnsiTheme="minorHAnsi" w:cstheme="minorHAnsi"/>
          <w:sz w:val="22"/>
          <w:szCs w:val="22"/>
        </w:rPr>
        <w:t xml:space="preserve">collected quantitative data on </w:t>
      </w:r>
      <w:r w:rsidRPr="002D1043" w:rsidR="00CD4A8A">
        <w:rPr>
          <w:rFonts w:asciiTheme="minorHAnsi" w:hAnsiTheme="minorHAnsi" w:cstheme="minorHAnsi"/>
          <w:sz w:val="22"/>
          <w:szCs w:val="22"/>
        </w:rPr>
        <w:t xml:space="preserve">home visiting and </w:t>
      </w:r>
      <w:r w:rsidRPr="002D1043" w:rsidR="0091372C">
        <w:rPr>
          <w:rFonts w:asciiTheme="minorHAnsi" w:hAnsiTheme="minorHAnsi" w:cstheme="minorHAnsi"/>
          <w:sz w:val="22"/>
          <w:szCs w:val="22"/>
        </w:rPr>
        <w:t>supervision;</w:t>
      </w:r>
      <w:r w:rsidRPr="002D1043" w:rsidR="00CD4A8A">
        <w:rPr>
          <w:rFonts w:asciiTheme="minorHAnsi" w:hAnsiTheme="minorHAnsi" w:cstheme="minorHAnsi"/>
          <w:sz w:val="22"/>
          <w:szCs w:val="22"/>
        </w:rPr>
        <w:t xml:space="preserve"> </w:t>
      </w:r>
      <w:r w:rsidRPr="002D1043" w:rsidR="0091372C">
        <w:rPr>
          <w:rFonts w:asciiTheme="minorHAnsi" w:hAnsiTheme="minorHAnsi" w:cstheme="minorHAnsi"/>
          <w:sz w:val="22"/>
          <w:szCs w:val="22"/>
        </w:rPr>
        <w:t>however,</w:t>
      </w:r>
      <w:r w:rsidRPr="002D1043" w:rsidR="000C2427">
        <w:rPr>
          <w:rFonts w:asciiTheme="minorHAnsi" w:hAnsiTheme="minorHAnsi" w:cstheme="minorHAnsi"/>
          <w:sz w:val="22"/>
          <w:szCs w:val="22"/>
        </w:rPr>
        <w:t xml:space="preserve"> this data is now either outdated</w:t>
      </w:r>
      <w:r w:rsidRPr="002D1043" w:rsidR="005A0A34">
        <w:rPr>
          <w:rFonts w:asciiTheme="minorHAnsi" w:hAnsiTheme="minorHAnsi" w:cstheme="minorHAnsi"/>
          <w:sz w:val="22"/>
          <w:szCs w:val="22"/>
        </w:rPr>
        <w:t xml:space="preserve"> and/or </w:t>
      </w:r>
      <w:r w:rsidRPr="002D1043" w:rsidR="000C2427">
        <w:rPr>
          <w:rFonts w:asciiTheme="minorHAnsi" w:hAnsiTheme="minorHAnsi" w:cstheme="minorHAnsi"/>
          <w:sz w:val="22"/>
          <w:szCs w:val="22"/>
        </w:rPr>
        <w:t xml:space="preserve">unrepresentative of </w:t>
      </w:r>
      <w:r w:rsidRPr="002D1043" w:rsidR="005A0A34">
        <w:rPr>
          <w:rFonts w:asciiTheme="minorHAnsi" w:hAnsiTheme="minorHAnsi" w:cstheme="minorHAnsi"/>
          <w:sz w:val="22"/>
          <w:szCs w:val="22"/>
        </w:rPr>
        <w:t xml:space="preserve">a diverse, nationwide workforce. </w:t>
      </w:r>
      <w:r w:rsidRPr="002D1043" w:rsidR="006A7D2A">
        <w:rPr>
          <w:rFonts w:asciiTheme="minorHAnsi" w:hAnsiTheme="minorHAnsi" w:cstheme="minorHAnsi"/>
          <w:sz w:val="22"/>
          <w:szCs w:val="22"/>
        </w:rPr>
        <w:t xml:space="preserve">This data collection is intended to </w:t>
      </w:r>
      <w:r w:rsidRPr="002D1043" w:rsidR="00245A5A">
        <w:rPr>
          <w:rFonts w:asciiTheme="minorHAnsi" w:hAnsiTheme="minorHAnsi" w:cstheme="minorHAnsi"/>
          <w:sz w:val="22"/>
          <w:szCs w:val="22"/>
        </w:rPr>
        <w:t xml:space="preserve">validate this existing </w:t>
      </w:r>
      <w:r w:rsidRPr="002D1043" w:rsidR="007657DE">
        <w:rPr>
          <w:rFonts w:asciiTheme="minorHAnsi" w:hAnsiTheme="minorHAnsi" w:cstheme="minorHAnsi"/>
          <w:sz w:val="22"/>
          <w:szCs w:val="22"/>
        </w:rPr>
        <w:t xml:space="preserve">data with a sample that is more representative of the current </w:t>
      </w:r>
      <w:r w:rsidRPr="002D1043" w:rsidR="004237B8">
        <w:rPr>
          <w:rFonts w:asciiTheme="minorHAnsi" w:hAnsiTheme="minorHAnsi" w:cstheme="minorHAnsi"/>
          <w:sz w:val="22"/>
          <w:szCs w:val="22"/>
        </w:rPr>
        <w:t xml:space="preserve">home visiting </w:t>
      </w:r>
      <w:r w:rsidRPr="002D1043" w:rsidR="00D46BD8">
        <w:rPr>
          <w:rFonts w:asciiTheme="minorHAnsi" w:hAnsiTheme="minorHAnsi" w:cstheme="minorHAnsi"/>
          <w:sz w:val="22"/>
          <w:szCs w:val="22"/>
        </w:rPr>
        <w:t>workforce and</w:t>
      </w:r>
      <w:r w:rsidRPr="002D1043" w:rsidR="009A7595">
        <w:rPr>
          <w:rFonts w:asciiTheme="minorHAnsi" w:hAnsiTheme="minorHAnsi" w:cstheme="minorHAnsi"/>
          <w:sz w:val="22"/>
          <w:szCs w:val="22"/>
        </w:rPr>
        <w:t xml:space="preserve"> c</w:t>
      </w:r>
      <w:r w:rsidRPr="002D1043" w:rsidR="00580E32">
        <w:rPr>
          <w:rFonts w:asciiTheme="minorHAnsi" w:hAnsiTheme="minorHAnsi" w:cstheme="minorHAnsi"/>
          <w:sz w:val="22"/>
          <w:szCs w:val="22"/>
        </w:rPr>
        <w:t>ollect</w:t>
      </w:r>
      <w:r w:rsidRPr="002D1043" w:rsidR="009A7595">
        <w:rPr>
          <w:rFonts w:asciiTheme="minorHAnsi" w:hAnsiTheme="minorHAnsi" w:cstheme="minorHAnsi"/>
          <w:sz w:val="22"/>
          <w:szCs w:val="22"/>
        </w:rPr>
        <w:t xml:space="preserve"> information that is difficult to </w:t>
      </w:r>
      <w:r w:rsidRPr="002D1043" w:rsidR="00580E32">
        <w:rPr>
          <w:rFonts w:asciiTheme="minorHAnsi" w:hAnsiTheme="minorHAnsi" w:cstheme="minorHAnsi"/>
          <w:sz w:val="22"/>
          <w:szCs w:val="22"/>
        </w:rPr>
        <w:t xml:space="preserve">capture with quantitative data such as </w:t>
      </w:r>
      <w:r w:rsidRPr="002D1043" w:rsidR="009649AA">
        <w:rPr>
          <w:rFonts w:asciiTheme="minorHAnsi" w:hAnsiTheme="minorHAnsi" w:cstheme="minorHAnsi"/>
          <w:sz w:val="22"/>
          <w:szCs w:val="22"/>
        </w:rPr>
        <w:t xml:space="preserve">why supervision supports </w:t>
      </w:r>
      <w:r w:rsidRPr="002D1043" w:rsidR="00486353">
        <w:rPr>
          <w:rFonts w:asciiTheme="minorHAnsi" w:hAnsiTheme="minorHAnsi" w:cstheme="minorHAnsi"/>
          <w:sz w:val="22"/>
          <w:szCs w:val="22"/>
        </w:rPr>
        <w:t xml:space="preserve">do or do not contribute to </w:t>
      </w:r>
      <w:r w:rsidRPr="002D1043" w:rsidR="00AD67D4">
        <w:rPr>
          <w:rFonts w:asciiTheme="minorHAnsi" w:hAnsiTheme="minorHAnsi" w:cstheme="minorHAnsi"/>
          <w:sz w:val="22"/>
          <w:szCs w:val="22"/>
        </w:rPr>
        <w:t>outcomes of interest</w:t>
      </w:r>
      <w:r w:rsidRPr="002D1043" w:rsidR="00580E32">
        <w:rPr>
          <w:rFonts w:asciiTheme="minorHAnsi" w:hAnsiTheme="minorHAnsi" w:cstheme="minorHAnsi"/>
          <w:sz w:val="22"/>
          <w:szCs w:val="22"/>
        </w:rPr>
        <w:t xml:space="preserve"> or if other</w:t>
      </w:r>
      <w:r w:rsidRPr="002D1043" w:rsidR="00AD67D4">
        <w:rPr>
          <w:rFonts w:asciiTheme="minorHAnsi" w:hAnsiTheme="minorHAnsi" w:cstheme="minorHAnsi"/>
          <w:sz w:val="22"/>
          <w:szCs w:val="22"/>
        </w:rPr>
        <w:t xml:space="preserve"> supervisor</w:t>
      </w:r>
      <w:r w:rsidRPr="002D1043" w:rsidR="00580E32">
        <w:rPr>
          <w:rFonts w:asciiTheme="minorHAnsi" w:hAnsiTheme="minorHAnsi" w:cstheme="minorHAnsi"/>
          <w:sz w:val="22"/>
          <w:szCs w:val="22"/>
        </w:rPr>
        <w:t xml:space="preserve"> </w:t>
      </w:r>
      <w:r w:rsidRPr="002D1043" w:rsidR="00BE780C">
        <w:rPr>
          <w:rFonts w:asciiTheme="minorHAnsi" w:hAnsiTheme="minorHAnsi" w:cstheme="minorHAnsi"/>
          <w:sz w:val="22"/>
          <w:szCs w:val="22"/>
        </w:rPr>
        <w:t>supports are needed</w:t>
      </w:r>
      <w:r w:rsidRPr="002D1043" w:rsidR="007657DE">
        <w:rPr>
          <w:rFonts w:asciiTheme="minorHAnsi" w:hAnsiTheme="minorHAnsi" w:cstheme="minorHAnsi"/>
          <w:sz w:val="22"/>
          <w:szCs w:val="22"/>
        </w:rPr>
        <w:t xml:space="preserve">. </w:t>
      </w:r>
      <w:r w:rsidRPr="002D1043" w:rsidR="006A7D2A">
        <w:rPr>
          <w:rFonts w:asciiTheme="minorHAnsi" w:hAnsiTheme="minorHAnsi" w:cstheme="minorHAnsi"/>
          <w:sz w:val="22"/>
          <w:szCs w:val="22"/>
        </w:rPr>
        <w:t>The study team has reviewed existing research, evaluation, and technical assistance materials and incorporated relevant information into data collection protocols.</w:t>
      </w:r>
    </w:p>
    <w:p w:rsidR="009B3794" w:rsidRPr="00D8632A" w:rsidP="00CA3DA6" w14:paraId="22E2A307" w14:textId="77777777">
      <w:pPr>
        <w:numPr>
          <w:ilvl w:val="0"/>
          <w:numId w:val="2"/>
        </w:numPr>
        <w:tabs>
          <w:tab w:val="num" w:pos="360"/>
          <w:tab w:val="clear" w:pos="1080"/>
        </w:tabs>
        <w:spacing w:before="240"/>
        <w:ind w:left="360"/>
        <w:rPr>
          <w:rFonts w:ascii="Calibri Light" w:hAnsi="Calibri Light" w:cs="Calibri Light"/>
          <w:bCs/>
          <w:color w:val="2F5496"/>
          <w:sz w:val="26"/>
          <w:szCs w:val="26"/>
        </w:rPr>
      </w:pPr>
      <w:r w:rsidRPr="00D8632A">
        <w:rPr>
          <w:rFonts w:ascii="Calibri Light" w:hAnsi="Calibri Light" w:cs="Calibri Light"/>
          <w:bCs/>
          <w:color w:val="2F5496"/>
          <w:sz w:val="26"/>
          <w:szCs w:val="26"/>
        </w:rPr>
        <w:t>Impact on Small Businesses or Other Small Entities</w:t>
      </w:r>
    </w:p>
    <w:p w:rsidR="00A87F31" w:rsidRPr="002D1043" w:rsidP="00A87F31" w14:paraId="165312EE" w14:textId="77777777">
      <w:pPr>
        <w:rPr>
          <w:rFonts w:eastAsia="Calibri" w:asciiTheme="minorHAnsi" w:hAnsiTheme="minorHAnsi" w:cstheme="minorHAnsi"/>
          <w:color w:val="000000" w:themeColor="text1"/>
          <w:sz w:val="22"/>
          <w:szCs w:val="22"/>
        </w:rPr>
      </w:pPr>
      <w:r w:rsidRPr="002D1043">
        <w:rPr>
          <w:rFonts w:eastAsia="Calibri" w:asciiTheme="minorHAnsi" w:hAnsiTheme="minorHAnsi" w:cstheme="minorHAnsi"/>
          <w:color w:val="000000" w:themeColor="text1"/>
          <w:sz w:val="22"/>
          <w:szCs w:val="22"/>
        </w:rPr>
        <w:t>This information collection will not have a significant economic impact on a substantial number of small businesses or other small entities.</w:t>
      </w:r>
    </w:p>
    <w:p w:rsidR="00A87F31" w:rsidRPr="002D1043" w:rsidP="00A87F31" w14:paraId="6758B270" w14:textId="77777777">
      <w:pPr>
        <w:rPr>
          <w:rFonts w:eastAsia="Calibri" w:asciiTheme="minorHAnsi" w:hAnsiTheme="minorHAnsi" w:cstheme="minorHAnsi"/>
          <w:color w:val="000000" w:themeColor="text1"/>
          <w:sz w:val="22"/>
          <w:szCs w:val="22"/>
        </w:rPr>
      </w:pPr>
    </w:p>
    <w:p w:rsidR="00A87F31" w:rsidRPr="002D1043" w:rsidP="00A87F31" w14:paraId="0C09ECA9" w14:textId="59BBF783">
      <w:pPr>
        <w:rPr>
          <w:rFonts w:eastAsia="Calibri" w:asciiTheme="minorHAnsi" w:hAnsiTheme="minorHAnsi" w:cstheme="minorHAnsi"/>
          <w:color w:val="000000" w:themeColor="text1"/>
          <w:sz w:val="22"/>
          <w:szCs w:val="22"/>
        </w:rPr>
      </w:pPr>
      <w:r w:rsidRPr="002D1043">
        <w:rPr>
          <w:rFonts w:eastAsia="Calibri" w:asciiTheme="minorHAnsi" w:hAnsiTheme="minorHAnsi" w:cstheme="minorHAnsi"/>
          <w:color w:val="000000" w:themeColor="text1"/>
          <w:sz w:val="22"/>
          <w:szCs w:val="22"/>
        </w:rPr>
        <w:t xml:space="preserve">Information will be collected from individuals employed by </w:t>
      </w:r>
      <w:r w:rsidRPr="002D1043" w:rsidR="00AD67D4">
        <w:rPr>
          <w:rFonts w:eastAsia="Calibri" w:asciiTheme="minorHAnsi" w:hAnsiTheme="minorHAnsi" w:cstheme="minorHAnsi"/>
          <w:color w:val="000000" w:themeColor="text1"/>
          <w:sz w:val="22"/>
          <w:szCs w:val="22"/>
        </w:rPr>
        <w:t>home visiting programs</w:t>
      </w:r>
      <w:r w:rsidRPr="002D1043" w:rsidR="00F068E8">
        <w:rPr>
          <w:rFonts w:eastAsia="Calibri" w:asciiTheme="minorHAnsi" w:hAnsiTheme="minorHAnsi" w:cstheme="minorHAnsi"/>
          <w:color w:val="000000" w:themeColor="text1"/>
          <w:sz w:val="22"/>
          <w:szCs w:val="22"/>
        </w:rPr>
        <w:t xml:space="preserve">. These home visiting programs may be </w:t>
      </w:r>
      <w:r w:rsidRPr="002D1043" w:rsidR="009304F8">
        <w:rPr>
          <w:rFonts w:eastAsia="Calibri" w:asciiTheme="minorHAnsi" w:hAnsiTheme="minorHAnsi" w:cstheme="minorHAnsi"/>
          <w:color w:val="000000" w:themeColor="text1"/>
          <w:sz w:val="22"/>
          <w:szCs w:val="22"/>
        </w:rPr>
        <w:t>entities contracted by funding recipients</w:t>
      </w:r>
      <w:r w:rsidRPr="002D1043">
        <w:rPr>
          <w:rFonts w:eastAsia="Calibri" w:asciiTheme="minorHAnsi" w:hAnsiTheme="minorHAnsi" w:cstheme="minorHAnsi"/>
          <w:color w:val="000000" w:themeColor="text1"/>
          <w:sz w:val="22"/>
          <w:szCs w:val="22"/>
        </w:rPr>
        <w:t xml:space="preserve"> to provide home visiting services</w:t>
      </w:r>
      <w:r w:rsidR="00D46BD8">
        <w:rPr>
          <w:rFonts w:eastAsia="Calibri" w:asciiTheme="minorHAnsi" w:hAnsiTheme="minorHAnsi" w:cstheme="minorHAnsi"/>
          <w:color w:val="000000" w:themeColor="text1"/>
          <w:sz w:val="22"/>
          <w:szCs w:val="22"/>
        </w:rPr>
        <w:t xml:space="preserve"> and </w:t>
      </w:r>
      <w:r w:rsidRPr="002D1043">
        <w:rPr>
          <w:rFonts w:eastAsia="Calibri" w:asciiTheme="minorHAnsi" w:hAnsiTheme="minorHAnsi" w:cstheme="minorHAnsi"/>
          <w:color w:val="000000" w:themeColor="text1"/>
          <w:sz w:val="22"/>
          <w:szCs w:val="22"/>
        </w:rPr>
        <w:t>may be small businesses</w:t>
      </w:r>
      <w:r w:rsidRPr="002D1043" w:rsidR="00F068E8">
        <w:rPr>
          <w:rFonts w:eastAsia="Calibri" w:asciiTheme="minorHAnsi" w:hAnsiTheme="minorHAnsi" w:cstheme="minorHAnsi"/>
          <w:color w:val="000000" w:themeColor="text1"/>
          <w:sz w:val="22"/>
          <w:szCs w:val="22"/>
        </w:rPr>
        <w:t xml:space="preserve"> or </w:t>
      </w:r>
      <w:r w:rsidR="00DD0640">
        <w:rPr>
          <w:rFonts w:eastAsia="Calibri" w:asciiTheme="minorHAnsi" w:hAnsiTheme="minorHAnsi" w:cstheme="minorHAnsi"/>
          <w:color w:val="000000" w:themeColor="text1"/>
          <w:sz w:val="22"/>
          <w:szCs w:val="22"/>
        </w:rPr>
        <w:t xml:space="preserve">other </w:t>
      </w:r>
      <w:r w:rsidRPr="002D1043" w:rsidR="00F068E8">
        <w:rPr>
          <w:rFonts w:eastAsia="Calibri" w:asciiTheme="minorHAnsi" w:hAnsiTheme="minorHAnsi" w:cstheme="minorHAnsi"/>
          <w:color w:val="000000" w:themeColor="text1"/>
          <w:sz w:val="22"/>
          <w:szCs w:val="22"/>
        </w:rPr>
        <w:t>small entities</w:t>
      </w:r>
      <w:r w:rsidRPr="002D1043">
        <w:rPr>
          <w:rFonts w:eastAsia="Calibri" w:asciiTheme="minorHAnsi" w:hAnsiTheme="minorHAnsi" w:cstheme="minorHAnsi"/>
          <w:color w:val="000000" w:themeColor="text1"/>
          <w:sz w:val="22"/>
          <w:szCs w:val="22"/>
        </w:rPr>
        <w:t xml:space="preserve">. Because information collection may involve small businesses or </w:t>
      </w:r>
      <w:r w:rsidRPr="002D1043">
        <w:rPr>
          <w:rFonts w:eastAsia="Calibri" w:asciiTheme="minorHAnsi" w:hAnsiTheme="minorHAnsi" w:cstheme="minorHAnsi"/>
          <w:color w:val="000000" w:themeColor="text1"/>
          <w:sz w:val="22"/>
          <w:szCs w:val="22"/>
        </w:rPr>
        <w:t xml:space="preserve">other small entities, the information being requested has been held to the absolute minimum necessary for the intended use of the data.  </w:t>
      </w:r>
    </w:p>
    <w:p w:rsidR="009B3794" w:rsidRPr="00D8632A" w:rsidP="00CA3DA6" w14:paraId="22E2A30D" w14:textId="77777777">
      <w:pPr>
        <w:numPr>
          <w:ilvl w:val="0"/>
          <w:numId w:val="2"/>
        </w:numPr>
        <w:tabs>
          <w:tab w:val="num" w:pos="360"/>
          <w:tab w:val="clear" w:pos="1080"/>
        </w:tabs>
        <w:spacing w:before="240"/>
        <w:ind w:left="360"/>
        <w:rPr>
          <w:rFonts w:ascii="Calibri Light" w:hAnsi="Calibri Light" w:cs="Calibri Light"/>
          <w:bCs/>
          <w:color w:val="2F5496"/>
          <w:sz w:val="26"/>
          <w:szCs w:val="26"/>
        </w:rPr>
      </w:pPr>
      <w:r w:rsidRPr="00D8632A">
        <w:rPr>
          <w:rFonts w:ascii="Calibri Light" w:hAnsi="Calibri Light" w:cs="Calibri Light"/>
          <w:bCs/>
          <w:color w:val="2F5496"/>
          <w:sz w:val="26"/>
          <w:szCs w:val="26"/>
        </w:rPr>
        <w:t>Consequences of Collecting the Information Less Frequent</w:t>
      </w:r>
      <w:r w:rsidRPr="00D8632A" w:rsidR="001325B2">
        <w:rPr>
          <w:rFonts w:ascii="Calibri Light" w:hAnsi="Calibri Light" w:cs="Calibri Light"/>
          <w:bCs/>
          <w:color w:val="2F5496"/>
          <w:sz w:val="26"/>
          <w:szCs w:val="26"/>
        </w:rPr>
        <w:t>ly</w:t>
      </w:r>
    </w:p>
    <w:p w:rsidR="00833ABC" w:rsidRPr="002D1043" w:rsidP="00BE780C" w14:paraId="4A81E758" w14:textId="1B133FCC">
      <w:pPr>
        <w:widowControl/>
        <w:autoSpaceDE/>
        <w:autoSpaceDN/>
        <w:adjustRightInd/>
        <w:spacing w:before="120"/>
        <w:rPr>
          <w:rFonts w:asciiTheme="minorHAnsi" w:hAnsiTheme="minorHAnsi" w:cstheme="minorHAnsi"/>
          <w:sz w:val="22"/>
          <w:szCs w:val="22"/>
        </w:rPr>
      </w:pPr>
      <w:r w:rsidRPr="002D1043">
        <w:rPr>
          <w:rFonts w:asciiTheme="minorHAnsi" w:hAnsiTheme="minorHAnsi" w:cstheme="minorHAnsi"/>
          <w:sz w:val="22"/>
          <w:szCs w:val="22"/>
        </w:rPr>
        <w:t xml:space="preserve">The information collection for all data collection activities will occur only one time for each respondent. </w:t>
      </w:r>
    </w:p>
    <w:p w:rsidR="009B3794" w:rsidRPr="002D1043" w:rsidP="00BE780C" w14:paraId="22E2A311" w14:textId="508CC63A">
      <w:pPr>
        <w:widowControl/>
        <w:autoSpaceDE/>
        <w:autoSpaceDN/>
        <w:adjustRightInd/>
        <w:spacing w:before="120"/>
        <w:rPr>
          <w:rFonts w:asciiTheme="minorHAnsi" w:hAnsiTheme="minorHAnsi" w:cstheme="minorHAnsi"/>
          <w:sz w:val="22"/>
          <w:szCs w:val="22"/>
        </w:rPr>
      </w:pPr>
      <w:r w:rsidRPr="002D1043">
        <w:rPr>
          <w:rFonts w:asciiTheme="minorHAnsi" w:hAnsiTheme="minorHAnsi" w:cstheme="minorHAnsi"/>
          <w:sz w:val="22"/>
          <w:szCs w:val="22"/>
        </w:rPr>
        <w:t xml:space="preserve">There are no legal obstacles to reduce the burden. </w:t>
      </w:r>
      <w:r w:rsidRPr="002D1043">
        <w:rPr>
          <w:rFonts w:asciiTheme="minorHAnsi" w:hAnsiTheme="minorHAnsi" w:cstheme="minorHAnsi"/>
          <w:sz w:val="22"/>
          <w:szCs w:val="22"/>
        </w:rPr>
        <w:tab/>
      </w:r>
    </w:p>
    <w:p w:rsidR="009B3794" w:rsidRPr="00D8632A" w:rsidP="00CA3DA6" w14:paraId="22E2A312" w14:textId="77777777">
      <w:pPr>
        <w:numPr>
          <w:ilvl w:val="0"/>
          <w:numId w:val="2"/>
        </w:numPr>
        <w:tabs>
          <w:tab w:val="num" w:pos="360"/>
          <w:tab w:val="clear" w:pos="1080"/>
        </w:tabs>
        <w:spacing w:before="240"/>
        <w:ind w:left="360"/>
        <w:rPr>
          <w:rFonts w:ascii="Calibri Light" w:hAnsi="Calibri Light" w:cs="Calibri Light"/>
          <w:bCs/>
          <w:color w:val="2F5496"/>
          <w:sz w:val="26"/>
          <w:szCs w:val="26"/>
        </w:rPr>
      </w:pPr>
      <w:r w:rsidRPr="00D8632A">
        <w:rPr>
          <w:rFonts w:ascii="Calibri Light" w:hAnsi="Calibri Light" w:cs="Calibri Light"/>
          <w:bCs/>
          <w:color w:val="2F5496"/>
          <w:sz w:val="26"/>
          <w:szCs w:val="26"/>
        </w:rPr>
        <w:t>Special Circumstances Relating to the Guidelines of 5 CFR 1320.5</w:t>
      </w:r>
    </w:p>
    <w:p w:rsidR="009B3794" w:rsidRPr="002D1043" w:rsidP="000B43A8" w14:paraId="22E2A31B" w14:textId="14DADD5F">
      <w:pPr>
        <w:widowControl/>
        <w:spacing w:before="120"/>
        <w:rPr>
          <w:rFonts w:asciiTheme="minorHAnsi" w:hAnsiTheme="minorHAnsi" w:cstheme="minorHAnsi"/>
          <w:b/>
          <w:sz w:val="22"/>
          <w:szCs w:val="22"/>
        </w:rPr>
      </w:pPr>
      <w:r w:rsidRPr="002D1043">
        <w:rPr>
          <w:rFonts w:asciiTheme="minorHAnsi" w:hAnsiTheme="minorHAnsi" w:cstheme="minorHAnsi"/>
          <w:sz w:val="22"/>
          <w:szCs w:val="22"/>
        </w:rPr>
        <w:t>This request fully complies with the regulation.</w:t>
      </w:r>
    </w:p>
    <w:p w:rsidR="009B3794" w:rsidRPr="00D8632A" w:rsidP="00CA3DA6" w14:paraId="22E2A31C" w14:textId="77777777">
      <w:pPr>
        <w:numPr>
          <w:ilvl w:val="0"/>
          <w:numId w:val="2"/>
        </w:numPr>
        <w:tabs>
          <w:tab w:val="num" w:pos="360"/>
          <w:tab w:val="clear" w:pos="1080"/>
        </w:tabs>
        <w:spacing w:before="240"/>
        <w:ind w:left="360"/>
        <w:rPr>
          <w:rFonts w:ascii="Calibri Light" w:hAnsi="Calibri Light" w:cs="Calibri Light"/>
          <w:bCs/>
          <w:color w:val="2F5496"/>
          <w:sz w:val="26"/>
          <w:szCs w:val="26"/>
        </w:rPr>
      </w:pPr>
      <w:r w:rsidRPr="00D8632A">
        <w:rPr>
          <w:rFonts w:ascii="Calibri Light" w:hAnsi="Calibri Light" w:cs="Calibri Light"/>
          <w:bCs/>
          <w:iCs/>
          <w:color w:val="2F5496"/>
          <w:sz w:val="26"/>
          <w:szCs w:val="26"/>
        </w:rPr>
        <w:t>Comments in Response to the Federal Register</w:t>
      </w:r>
      <w:r w:rsidRPr="00D8632A">
        <w:rPr>
          <w:rFonts w:ascii="Calibri Light" w:hAnsi="Calibri Light" w:cs="Calibri Light"/>
          <w:bCs/>
          <w:color w:val="2F5496"/>
          <w:sz w:val="26"/>
          <w:szCs w:val="26"/>
        </w:rPr>
        <w:t xml:space="preserve"> Notice/Outside Consultation</w:t>
      </w:r>
    </w:p>
    <w:p w:rsidR="00DE3A45" w:rsidRPr="008332D2" w:rsidP="00CA3DA6" w14:paraId="22E2A31D" w14:textId="1E1860CF">
      <w:pPr>
        <w:spacing w:before="120"/>
        <w:rPr>
          <w:rFonts w:ascii="Calibri Light" w:hAnsi="Calibri Light" w:cs="Calibri Light"/>
          <w:bCs/>
          <w:color w:val="1F3763"/>
          <w:sz w:val="24"/>
        </w:rPr>
      </w:pPr>
      <w:r w:rsidRPr="008332D2">
        <w:rPr>
          <w:rFonts w:ascii="Calibri Light" w:hAnsi="Calibri Light" w:cs="Calibri Light"/>
          <w:bCs/>
          <w:color w:val="1F3763"/>
          <w:sz w:val="24"/>
        </w:rPr>
        <w:t>8A</w:t>
      </w:r>
      <w:r w:rsidRPr="008332D2" w:rsidR="00BE780C">
        <w:rPr>
          <w:rFonts w:ascii="Calibri Light" w:hAnsi="Calibri Light" w:cs="Calibri Light"/>
          <w:bCs/>
          <w:color w:val="1F3763"/>
          <w:sz w:val="24"/>
        </w:rPr>
        <w:t>. Response to Public Comments</w:t>
      </w:r>
    </w:p>
    <w:p w:rsidR="00BE780C" w:rsidRPr="002D1043" w:rsidP="00CA3DA6" w14:paraId="075D7A4C" w14:textId="070F92EA">
      <w:pPr>
        <w:spacing w:before="120"/>
        <w:rPr>
          <w:rFonts w:asciiTheme="minorHAnsi" w:hAnsiTheme="minorHAnsi" w:cstheme="minorHAnsi"/>
          <w:bCs/>
          <w:sz w:val="22"/>
          <w:szCs w:val="22"/>
        </w:rPr>
      </w:pPr>
      <w:r w:rsidRPr="002D1043">
        <w:rPr>
          <w:rFonts w:asciiTheme="minorHAnsi" w:hAnsiTheme="minorHAnsi" w:cstheme="minorHAnsi"/>
          <w:bCs/>
          <w:sz w:val="22"/>
          <w:szCs w:val="22"/>
        </w:rPr>
        <w:t xml:space="preserve">A 60-day </w:t>
      </w:r>
      <w:r w:rsidRPr="00DD0640" w:rsidR="00DD0640">
        <w:rPr>
          <w:rFonts w:asciiTheme="minorHAnsi" w:hAnsiTheme="minorHAnsi" w:cstheme="minorHAnsi"/>
          <w:bCs/>
          <w:sz w:val="22"/>
          <w:szCs w:val="22"/>
        </w:rPr>
        <w:t xml:space="preserve">Federal Register Notice was published in the Federal Register on </w:t>
      </w:r>
      <w:r w:rsidR="00DD0640">
        <w:rPr>
          <w:rFonts w:asciiTheme="minorHAnsi" w:hAnsiTheme="minorHAnsi" w:cstheme="minorHAnsi"/>
          <w:bCs/>
          <w:sz w:val="22"/>
          <w:szCs w:val="22"/>
        </w:rPr>
        <w:t>February 2, 2024</w:t>
      </w:r>
      <w:r w:rsidRPr="00DD0640" w:rsidR="00DD0640">
        <w:rPr>
          <w:rFonts w:asciiTheme="minorHAnsi" w:hAnsiTheme="minorHAnsi" w:cstheme="minorHAnsi"/>
          <w:bCs/>
          <w:sz w:val="22"/>
          <w:szCs w:val="22"/>
        </w:rPr>
        <w:t>, vol. 89, No. 23; pp. 7400-01 (Appendix A)</w:t>
      </w:r>
      <w:r w:rsidRPr="002D1043">
        <w:rPr>
          <w:rFonts w:asciiTheme="minorHAnsi" w:hAnsiTheme="minorHAnsi" w:cstheme="minorHAnsi"/>
          <w:bCs/>
          <w:sz w:val="22"/>
          <w:szCs w:val="22"/>
        </w:rPr>
        <w:t xml:space="preserve">. Public comments were requested by </w:t>
      </w:r>
      <w:r w:rsidR="00DD0640">
        <w:rPr>
          <w:rFonts w:asciiTheme="minorHAnsi" w:hAnsiTheme="minorHAnsi" w:cstheme="minorHAnsi"/>
          <w:bCs/>
          <w:sz w:val="22"/>
          <w:szCs w:val="22"/>
        </w:rPr>
        <w:t>April 2, 2024</w:t>
      </w:r>
      <w:r w:rsidRPr="001855BF">
        <w:rPr>
          <w:rFonts w:asciiTheme="minorHAnsi" w:hAnsiTheme="minorHAnsi" w:cstheme="minorHAnsi"/>
          <w:bCs/>
          <w:sz w:val="22"/>
          <w:szCs w:val="22"/>
        </w:rPr>
        <w:t xml:space="preserve">. </w:t>
      </w:r>
      <w:r w:rsidRPr="004A69E1">
        <w:rPr>
          <w:rFonts w:asciiTheme="minorHAnsi" w:hAnsiTheme="minorHAnsi" w:cstheme="minorHAnsi"/>
          <w:bCs/>
          <w:sz w:val="22"/>
          <w:szCs w:val="22"/>
        </w:rPr>
        <w:t xml:space="preserve">HRSA received </w:t>
      </w:r>
      <w:r w:rsidRPr="004A69E1" w:rsidR="00515F02">
        <w:rPr>
          <w:rFonts w:asciiTheme="minorHAnsi" w:hAnsiTheme="minorHAnsi" w:cstheme="minorHAnsi"/>
          <w:bCs/>
          <w:sz w:val="22"/>
          <w:szCs w:val="22"/>
        </w:rPr>
        <w:t xml:space="preserve">no </w:t>
      </w:r>
      <w:r w:rsidRPr="004A69E1">
        <w:rPr>
          <w:rFonts w:asciiTheme="minorHAnsi" w:hAnsiTheme="minorHAnsi" w:cstheme="minorHAnsi"/>
          <w:bCs/>
          <w:sz w:val="22"/>
          <w:szCs w:val="22"/>
        </w:rPr>
        <w:t xml:space="preserve"> comments. </w:t>
      </w:r>
    </w:p>
    <w:p w:rsidR="00DE3A45" w:rsidRPr="008332D2" w:rsidP="03FB37A8" w14:paraId="22E2A321" w14:textId="0732941D">
      <w:pPr>
        <w:spacing w:before="120"/>
        <w:rPr>
          <w:rFonts w:ascii="Calibri Light" w:hAnsi="Calibri Light" w:cs="Calibri Light"/>
          <w:color w:val="1F3763"/>
          <w:sz w:val="24"/>
        </w:rPr>
      </w:pPr>
      <w:r w:rsidRPr="008332D2">
        <w:rPr>
          <w:rFonts w:ascii="Calibri Light" w:hAnsi="Calibri Light" w:cs="Calibri Light"/>
          <w:color w:val="1F3763"/>
          <w:sz w:val="24"/>
        </w:rPr>
        <w:t>8B</w:t>
      </w:r>
      <w:r w:rsidRPr="008332D2" w:rsidR="0045744F">
        <w:rPr>
          <w:rFonts w:ascii="Calibri Light" w:hAnsi="Calibri Light" w:cs="Calibri Light"/>
          <w:color w:val="1F3763"/>
          <w:sz w:val="24"/>
        </w:rPr>
        <w:t>. Outside Consultation</w:t>
      </w:r>
    </w:p>
    <w:p w:rsidR="00D260F7" w:rsidRPr="00C51B2C" w:rsidP="00CA3DA6" w14:paraId="003D6880" w14:textId="61166AE4">
      <w:pPr>
        <w:spacing w:before="120"/>
        <w:rPr>
          <w:rFonts w:asciiTheme="minorHAnsi" w:hAnsiTheme="minorHAnsi" w:cstheme="minorHAnsi"/>
          <w:sz w:val="22"/>
          <w:szCs w:val="22"/>
        </w:rPr>
      </w:pPr>
      <w:r w:rsidRPr="002D1043">
        <w:rPr>
          <w:rFonts w:asciiTheme="minorHAnsi" w:hAnsiTheme="minorHAnsi" w:cstheme="minorHAnsi"/>
          <w:bCs/>
          <w:sz w:val="22"/>
          <w:szCs w:val="22"/>
        </w:rPr>
        <w:t>In 202</w:t>
      </w:r>
      <w:r w:rsidR="002C17B2">
        <w:rPr>
          <w:rFonts w:asciiTheme="minorHAnsi" w:hAnsiTheme="minorHAnsi" w:cstheme="minorHAnsi"/>
          <w:bCs/>
          <w:sz w:val="22"/>
          <w:szCs w:val="22"/>
        </w:rPr>
        <w:t>4</w:t>
      </w:r>
      <w:r w:rsidRPr="002D1043">
        <w:rPr>
          <w:rFonts w:asciiTheme="minorHAnsi" w:hAnsiTheme="minorHAnsi" w:cstheme="minorHAnsi"/>
          <w:bCs/>
          <w:sz w:val="22"/>
          <w:szCs w:val="22"/>
        </w:rPr>
        <w:t xml:space="preserve">, the study team consulted </w:t>
      </w:r>
      <w:r w:rsidRPr="00796ADD">
        <w:rPr>
          <w:rFonts w:asciiTheme="minorHAnsi" w:hAnsiTheme="minorHAnsi" w:cstheme="minorHAnsi"/>
          <w:bCs/>
          <w:sz w:val="22"/>
          <w:szCs w:val="22"/>
        </w:rPr>
        <w:t xml:space="preserve">with </w:t>
      </w:r>
      <w:r w:rsidRPr="004A69E1" w:rsidR="00033B2B">
        <w:rPr>
          <w:rFonts w:asciiTheme="minorHAnsi" w:hAnsiTheme="minorHAnsi" w:cstheme="minorHAnsi"/>
          <w:bCs/>
          <w:sz w:val="22"/>
          <w:szCs w:val="22"/>
        </w:rPr>
        <w:t>5</w:t>
      </w:r>
      <w:r w:rsidRPr="00796ADD">
        <w:rPr>
          <w:rFonts w:asciiTheme="minorHAnsi" w:hAnsiTheme="minorHAnsi" w:cstheme="minorHAnsi"/>
          <w:bCs/>
          <w:sz w:val="22"/>
          <w:szCs w:val="22"/>
        </w:rPr>
        <w:t xml:space="preserve"> experts</w:t>
      </w:r>
      <w:r w:rsidRPr="002D1043">
        <w:rPr>
          <w:rFonts w:asciiTheme="minorHAnsi" w:hAnsiTheme="minorHAnsi" w:cstheme="minorHAnsi"/>
          <w:bCs/>
          <w:sz w:val="22"/>
          <w:szCs w:val="22"/>
        </w:rPr>
        <w:t xml:space="preserve">, detailed in Table 2, below, to review data collection instruments. </w:t>
      </w:r>
      <w:r w:rsidRPr="00C51B2C" w:rsidR="00C51B2C">
        <w:rPr>
          <w:rFonts w:asciiTheme="minorHAnsi" w:hAnsiTheme="minorHAnsi" w:cstheme="minorHAnsi"/>
          <w:sz w:val="22"/>
          <w:szCs w:val="22"/>
        </w:rPr>
        <w:t xml:space="preserve"> </w:t>
      </w:r>
      <w:r w:rsidR="00C51B2C">
        <w:rPr>
          <w:rFonts w:asciiTheme="minorHAnsi" w:hAnsiTheme="minorHAnsi" w:cstheme="minorHAnsi"/>
          <w:sz w:val="22"/>
          <w:szCs w:val="22"/>
        </w:rPr>
        <w:t xml:space="preserve">Based on expert consultation, the study team adjusted collection instruments to use more plain, simplified language and tailored questions specific to the audience of each tool. </w:t>
      </w:r>
    </w:p>
    <w:p w:rsidR="00D260F7" w:rsidRPr="002D1043" w:rsidP="00CA3DA6" w14:paraId="0EF3FC45" w14:textId="385CD885">
      <w:pPr>
        <w:spacing w:before="120"/>
        <w:rPr>
          <w:rFonts w:asciiTheme="minorHAnsi" w:hAnsiTheme="minorHAnsi" w:cstheme="minorHAnsi"/>
          <w:b/>
          <w:sz w:val="22"/>
          <w:szCs w:val="22"/>
        </w:rPr>
      </w:pPr>
      <w:r w:rsidRPr="002D1043">
        <w:rPr>
          <w:rFonts w:asciiTheme="minorHAnsi" w:hAnsiTheme="minorHAnsi" w:cstheme="minorHAnsi"/>
          <w:b/>
          <w:sz w:val="22"/>
          <w:szCs w:val="22"/>
        </w:rPr>
        <w:t xml:space="preserve">Table 2. Experts Providing Outside Consultation </w:t>
      </w:r>
    </w:p>
    <w:tbl>
      <w:tblPr>
        <w:tblStyle w:val="TableGrid"/>
        <w:tblW w:w="0" w:type="auto"/>
        <w:tblLook w:val="04A0"/>
      </w:tblPr>
      <w:tblGrid>
        <w:gridCol w:w="4675"/>
        <w:gridCol w:w="4675"/>
      </w:tblGrid>
      <w:tr w14:paraId="0C0DF626" w14:textId="77777777" w:rsidTr="00D260F7">
        <w:tblPrEx>
          <w:tblW w:w="0" w:type="auto"/>
          <w:tblLook w:val="04A0"/>
        </w:tblPrEx>
        <w:tc>
          <w:tcPr>
            <w:tcW w:w="4675" w:type="dxa"/>
            <w:shd w:val="clear" w:color="auto" w:fill="548DD4" w:themeFill="text2" w:themeFillTint="99"/>
          </w:tcPr>
          <w:p w:rsidR="00D260F7" w:rsidRPr="002D1043" w:rsidP="00D260F7" w14:paraId="7D157C31" w14:textId="63DB4713">
            <w:pPr>
              <w:spacing w:before="120"/>
              <w:jc w:val="center"/>
              <w:rPr>
                <w:rFonts w:asciiTheme="minorHAnsi" w:hAnsiTheme="minorHAnsi" w:cstheme="minorHAnsi"/>
                <w:b/>
                <w:color w:val="FFFFFF" w:themeColor="background1"/>
                <w:sz w:val="22"/>
                <w:szCs w:val="22"/>
              </w:rPr>
            </w:pPr>
            <w:r w:rsidRPr="002D1043">
              <w:rPr>
                <w:rFonts w:asciiTheme="minorHAnsi" w:hAnsiTheme="minorHAnsi" w:cstheme="minorHAnsi"/>
                <w:b/>
                <w:color w:val="FFFFFF" w:themeColor="background1"/>
                <w:sz w:val="22"/>
                <w:szCs w:val="22"/>
              </w:rPr>
              <w:t>Role</w:t>
            </w:r>
          </w:p>
        </w:tc>
        <w:tc>
          <w:tcPr>
            <w:tcW w:w="4675" w:type="dxa"/>
            <w:shd w:val="clear" w:color="auto" w:fill="548DD4" w:themeFill="text2" w:themeFillTint="99"/>
          </w:tcPr>
          <w:p w:rsidR="00D260F7" w:rsidRPr="002D1043" w:rsidP="00D260F7" w14:paraId="3C4A5E3C" w14:textId="11E9855C">
            <w:pPr>
              <w:spacing w:before="120"/>
              <w:jc w:val="center"/>
              <w:rPr>
                <w:rFonts w:asciiTheme="minorHAnsi" w:hAnsiTheme="minorHAnsi" w:cstheme="minorHAnsi"/>
                <w:b/>
                <w:color w:val="FFFFFF" w:themeColor="background1"/>
                <w:sz w:val="22"/>
                <w:szCs w:val="22"/>
              </w:rPr>
            </w:pPr>
            <w:r w:rsidRPr="002D1043">
              <w:rPr>
                <w:rFonts w:asciiTheme="minorHAnsi" w:hAnsiTheme="minorHAnsi" w:cstheme="minorHAnsi"/>
                <w:b/>
                <w:color w:val="FFFFFF" w:themeColor="background1"/>
                <w:sz w:val="22"/>
                <w:szCs w:val="22"/>
              </w:rPr>
              <w:t>Organization</w:t>
            </w:r>
          </w:p>
        </w:tc>
      </w:tr>
      <w:tr w14:paraId="68243381" w14:textId="77777777" w:rsidTr="00D260F7">
        <w:tblPrEx>
          <w:tblW w:w="0" w:type="auto"/>
          <w:tblLook w:val="04A0"/>
        </w:tblPrEx>
        <w:tc>
          <w:tcPr>
            <w:tcW w:w="4675" w:type="dxa"/>
          </w:tcPr>
          <w:p w:rsidR="00D260F7" w:rsidRPr="002D1043" w:rsidP="00CA3DA6" w14:paraId="0EA8B4D3" w14:textId="50A4550C">
            <w:pPr>
              <w:spacing w:before="120"/>
              <w:rPr>
                <w:rFonts w:asciiTheme="minorHAnsi" w:hAnsiTheme="minorHAnsi" w:cstheme="minorHAnsi"/>
                <w:b/>
                <w:sz w:val="22"/>
                <w:szCs w:val="22"/>
              </w:rPr>
            </w:pPr>
            <w:r>
              <w:rPr>
                <w:rFonts w:asciiTheme="minorHAnsi" w:hAnsiTheme="minorHAnsi" w:cstheme="minorHAnsi"/>
                <w:b/>
                <w:sz w:val="22"/>
                <w:szCs w:val="22"/>
              </w:rPr>
              <w:t>Home visitor</w:t>
            </w:r>
          </w:p>
        </w:tc>
        <w:tc>
          <w:tcPr>
            <w:tcW w:w="4675" w:type="dxa"/>
          </w:tcPr>
          <w:p w:rsidR="00D260F7" w:rsidRPr="002D1043" w:rsidP="00CA3DA6" w14:paraId="792DABC9" w14:textId="71280324">
            <w:pPr>
              <w:spacing w:before="120"/>
              <w:rPr>
                <w:rFonts w:asciiTheme="minorHAnsi" w:hAnsiTheme="minorHAnsi" w:cstheme="minorHAnsi"/>
                <w:b/>
                <w:sz w:val="22"/>
                <w:szCs w:val="22"/>
              </w:rPr>
            </w:pPr>
            <w:r>
              <w:rPr>
                <w:rFonts w:asciiTheme="minorHAnsi" w:hAnsiTheme="minorHAnsi" w:cstheme="minorHAnsi"/>
                <w:b/>
                <w:sz w:val="22"/>
                <w:szCs w:val="22"/>
              </w:rPr>
              <w:t>Healthy Families America (North Carolina)</w:t>
            </w:r>
          </w:p>
        </w:tc>
      </w:tr>
      <w:tr w14:paraId="536A9607" w14:textId="77777777" w:rsidTr="00D260F7">
        <w:tblPrEx>
          <w:tblW w:w="0" w:type="auto"/>
          <w:tblLook w:val="04A0"/>
        </w:tblPrEx>
        <w:tc>
          <w:tcPr>
            <w:tcW w:w="4675" w:type="dxa"/>
          </w:tcPr>
          <w:p w:rsidR="00D70F83" w:rsidP="00CA3DA6" w14:paraId="6BC21CA3" w14:textId="401AE499">
            <w:pPr>
              <w:spacing w:before="120"/>
              <w:rPr>
                <w:rFonts w:asciiTheme="minorHAnsi" w:hAnsiTheme="minorHAnsi" w:cstheme="minorHAnsi"/>
                <w:b/>
                <w:sz w:val="22"/>
                <w:szCs w:val="22"/>
              </w:rPr>
            </w:pPr>
            <w:r>
              <w:rPr>
                <w:rFonts w:asciiTheme="minorHAnsi" w:hAnsiTheme="minorHAnsi" w:cstheme="minorHAnsi"/>
                <w:b/>
                <w:sz w:val="22"/>
                <w:szCs w:val="22"/>
              </w:rPr>
              <w:t>Home visiting s</w:t>
            </w:r>
            <w:r>
              <w:rPr>
                <w:rFonts w:asciiTheme="minorHAnsi" w:hAnsiTheme="minorHAnsi" w:cstheme="minorHAnsi"/>
                <w:b/>
                <w:sz w:val="22"/>
                <w:szCs w:val="22"/>
              </w:rPr>
              <w:t>upervisor</w:t>
            </w:r>
          </w:p>
        </w:tc>
        <w:tc>
          <w:tcPr>
            <w:tcW w:w="4675" w:type="dxa"/>
          </w:tcPr>
          <w:p w:rsidR="00D70F83" w:rsidP="00CA3DA6" w14:paraId="10D195C0" w14:textId="553ED0D4">
            <w:pPr>
              <w:spacing w:before="120"/>
              <w:rPr>
                <w:rFonts w:asciiTheme="minorHAnsi" w:hAnsiTheme="minorHAnsi" w:cstheme="minorHAnsi"/>
                <w:b/>
                <w:sz w:val="22"/>
                <w:szCs w:val="22"/>
              </w:rPr>
            </w:pPr>
            <w:r>
              <w:rPr>
                <w:rFonts w:asciiTheme="minorHAnsi" w:hAnsiTheme="minorHAnsi" w:cstheme="minorHAnsi"/>
                <w:b/>
                <w:sz w:val="22"/>
                <w:szCs w:val="22"/>
              </w:rPr>
              <w:t>Healthy Families America (Georgia)</w:t>
            </w:r>
          </w:p>
        </w:tc>
      </w:tr>
      <w:tr w14:paraId="1C37BE37" w14:textId="77777777" w:rsidTr="00D260F7">
        <w:tblPrEx>
          <w:tblW w:w="0" w:type="auto"/>
          <w:tblLook w:val="04A0"/>
        </w:tblPrEx>
        <w:tc>
          <w:tcPr>
            <w:tcW w:w="4675" w:type="dxa"/>
          </w:tcPr>
          <w:p w:rsidR="002A6458" w:rsidP="00CA3DA6" w14:paraId="716DD8B0" w14:textId="79EA7EAD">
            <w:pPr>
              <w:spacing w:before="120"/>
              <w:rPr>
                <w:rFonts w:asciiTheme="minorHAnsi" w:hAnsiTheme="minorHAnsi" w:cstheme="minorHAnsi"/>
                <w:b/>
                <w:sz w:val="22"/>
                <w:szCs w:val="22"/>
              </w:rPr>
            </w:pPr>
            <w:r>
              <w:rPr>
                <w:rFonts w:asciiTheme="minorHAnsi" w:hAnsiTheme="minorHAnsi" w:cstheme="minorHAnsi"/>
                <w:b/>
                <w:sz w:val="22"/>
                <w:szCs w:val="22"/>
              </w:rPr>
              <w:t>MIECHV awardee</w:t>
            </w:r>
          </w:p>
        </w:tc>
        <w:tc>
          <w:tcPr>
            <w:tcW w:w="4675" w:type="dxa"/>
          </w:tcPr>
          <w:p w:rsidR="002A6458" w:rsidP="00CA3DA6" w14:paraId="1E1EBCA5" w14:textId="4EB1B0A8">
            <w:pPr>
              <w:spacing w:before="120"/>
              <w:rPr>
                <w:rFonts w:asciiTheme="minorHAnsi" w:hAnsiTheme="minorHAnsi" w:cstheme="minorHAnsi"/>
                <w:b/>
                <w:sz w:val="22"/>
                <w:szCs w:val="22"/>
              </w:rPr>
            </w:pPr>
            <w:r>
              <w:rPr>
                <w:rFonts w:asciiTheme="minorHAnsi" w:hAnsiTheme="minorHAnsi" w:cstheme="minorHAnsi"/>
                <w:b/>
                <w:sz w:val="22"/>
                <w:szCs w:val="22"/>
              </w:rPr>
              <w:t>Alabama</w:t>
            </w:r>
          </w:p>
        </w:tc>
      </w:tr>
      <w:tr w14:paraId="67CD7AF2" w14:textId="77777777" w:rsidTr="00D260F7">
        <w:tblPrEx>
          <w:tblW w:w="0" w:type="auto"/>
          <w:tblLook w:val="04A0"/>
        </w:tblPrEx>
        <w:tc>
          <w:tcPr>
            <w:tcW w:w="4675" w:type="dxa"/>
          </w:tcPr>
          <w:p w:rsidR="002A6458" w:rsidP="00CA3DA6" w14:paraId="6BE71067" w14:textId="44D88B0C">
            <w:pPr>
              <w:spacing w:before="120"/>
              <w:rPr>
                <w:rFonts w:asciiTheme="minorHAnsi" w:hAnsiTheme="minorHAnsi" w:cstheme="minorHAnsi"/>
                <w:b/>
                <w:sz w:val="22"/>
                <w:szCs w:val="22"/>
              </w:rPr>
            </w:pPr>
            <w:r>
              <w:rPr>
                <w:rFonts w:asciiTheme="minorHAnsi" w:hAnsiTheme="minorHAnsi" w:cstheme="minorHAnsi"/>
                <w:b/>
                <w:sz w:val="22"/>
                <w:szCs w:val="22"/>
              </w:rPr>
              <w:t>Home visiting s</w:t>
            </w:r>
            <w:r w:rsidR="005D5A06">
              <w:rPr>
                <w:rFonts w:asciiTheme="minorHAnsi" w:hAnsiTheme="minorHAnsi" w:cstheme="minorHAnsi"/>
                <w:b/>
                <w:sz w:val="22"/>
                <w:szCs w:val="22"/>
              </w:rPr>
              <w:t>upervisor</w:t>
            </w:r>
          </w:p>
        </w:tc>
        <w:tc>
          <w:tcPr>
            <w:tcW w:w="4675" w:type="dxa"/>
          </w:tcPr>
          <w:p w:rsidR="002A6458" w:rsidP="00CA3DA6" w14:paraId="1A6D2267" w14:textId="51ED7689">
            <w:pPr>
              <w:spacing w:before="120"/>
              <w:rPr>
                <w:rFonts w:asciiTheme="minorHAnsi" w:hAnsiTheme="minorHAnsi" w:cstheme="minorHAnsi"/>
                <w:b/>
                <w:sz w:val="22"/>
                <w:szCs w:val="22"/>
              </w:rPr>
            </w:pPr>
            <w:r>
              <w:rPr>
                <w:rFonts w:asciiTheme="minorHAnsi" w:hAnsiTheme="minorHAnsi" w:cstheme="minorHAnsi"/>
                <w:b/>
                <w:sz w:val="22"/>
                <w:szCs w:val="22"/>
              </w:rPr>
              <w:t>Healthy Families America &amp; Nurse-Family Partnership (</w:t>
            </w:r>
            <w:r w:rsidR="00253F50">
              <w:rPr>
                <w:rFonts w:asciiTheme="minorHAnsi" w:hAnsiTheme="minorHAnsi" w:cstheme="minorHAnsi"/>
                <w:b/>
                <w:sz w:val="22"/>
                <w:szCs w:val="22"/>
              </w:rPr>
              <w:t>Ohio</w:t>
            </w:r>
            <w:r>
              <w:rPr>
                <w:rFonts w:asciiTheme="minorHAnsi" w:hAnsiTheme="minorHAnsi" w:cstheme="minorHAnsi"/>
                <w:b/>
                <w:sz w:val="22"/>
                <w:szCs w:val="22"/>
              </w:rPr>
              <w:t>)</w:t>
            </w:r>
          </w:p>
        </w:tc>
      </w:tr>
      <w:tr w14:paraId="6FE2B785" w14:textId="77777777" w:rsidTr="00D260F7">
        <w:tblPrEx>
          <w:tblW w:w="0" w:type="auto"/>
          <w:tblLook w:val="04A0"/>
        </w:tblPrEx>
        <w:tc>
          <w:tcPr>
            <w:tcW w:w="4675" w:type="dxa"/>
          </w:tcPr>
          <w:p w:rsidR="002A6458" w:rsidP="00CA3DA6" w14:paraId="750B5D98" w14:textId="1E868969">
            <w:pPr>
              <w:spacing w:before="120"/>
              <w:rPr>
                <w:rFonts w:asciiTheme="minorHAnsi" w:hAnsiTheme="minorHAnsi" w:cstheme="minorHAnsi"/>
                <w:b/>
                <w:sz w:val="22"/>
                <w:szCs w:val="22"/>
              </w:rPr>
            </w:pPr>
            <w:r>
              <w:rPr>
                <w:rFonts w:asciiTheme="minorHAnsi" w:hAnsiTheme="minorHAnsi" w:cstheme="minorHAnsi"/>
                <w:b/>
                <w:sz w:val="22"/>
                <w:szCs w:val="22"/>
              </w:rPr>
              <w:t>Home visiting</w:t>
            </w:r>
            <w:r w:rsidR="00437A04">
              <w:rPr>
                <w:rFonts w:asciiTheme="minorHAnsi" w:hAnsiTheme="minorHAnsi" w:cstheme="minorHAnsi"/>
                <w:b/>
                <w:sz w:val="22"/>
                <w:szCs w:val="22"/>
              </w:rPr>
              <w:t xml:space="preserve"> participant</w:t>
            </w:r>
          </w:p>
        </w:tc>
        <w:tc>
          <w:tcPr>
            <w:tcW w:w="4675" w:type="dxa"/>
          </w:tcPr>
          <w:p w:rsidR="002A6458" w:rsidP="00CA3DA6" w14:paraId="50127A17" w14:textId="3883E45D">
            <w:pPr>
              <w:spacing w:before="120"/>
              <w:rPr>
                <w:rFonts w:asciiTheme="minorHAnsi" w:hAnsiTheme="minorHAnsi" w:cstheme="minorHAnsi"/>
                <w:b/>
                <w:sz w:val="22"/>
                <w:szCs w:val="22"/>
              </w:rPr>
            </w:pPr>
            <w:r>
              <w:rPr>
                <w:rFonts w:asciiTheme="minorHAnsi" w:hAnsiTheme="minorHAnsi" w:cstheme="minorHAnsi"/>
                <w:b/>
                <w:sz w:val="22"/>
                <w:szCs w:val="22"/>
              </w:rPr>
              <w:t>New Mexico</w:t>
            </w:r>
          </w:p>
        </w:tc>
      </w:tr>
    </w:tbl>
    <w:p w:rsidR="009B3794" w:rsidRPr="008332D2" w:rsidP="00CA3DA6" w14:paraId="22E2A32A" w14:textId="77777777">
      <w:pPr>
        <w:numPr>
          <w:ilvl w:val="0"/>
          <w:numId w:val="2"/>
        </w:numPr>
        <w:tabs>
          <w:tab w:val="num" w:pos="360"/>
          <w:tab w:val="clear" w:pos="1080"/>
        </w:tabs>
        <w:spacing w:before="240"/>
        <w:ind w:left="360"/>
        <w:rPr>
          <w:rFonts w:ascii="Calibri Light" w:hAnsi="Calibri Light" w:cs="Calibri Light"/>
          <w:bCs/>
          <w:color w:val="1F3763"/>
          <w:sz w:val="26"/>
          <w:szCs w:val="26"/>
        </w:rPr>
      </w:pPr>
      <w:r w:rsidRPr="008332D2">
        <w:rPr>
          <w:rFonts w:ascii="Calibri Light" w:hAnsi="Calibri Light" w:cs="Calibri Light"/>
          <w:bCs/>
          <w:color w:val="2F5496"/>
          <w:sz w:val="26"/>
          <w:szCs w:val="26"/>
        </w:rPr>
        <w:t>Explanation of any Payment/Gift to Respondents</w:t>
      </w:r>
    </w:p>
    <w:p w:rsidR="00935E77" w:rsidRPr="002D1043" w:rsidP="00BA6885" w14:paraId="22E2A32D" w14:textId="41DF68AE">
      <w:pPr>
        <w:spacing w:before="120"/>
        <w:rPr>
          <w:rFonts w:asciiTheme="minorHAnsi" w:hAnsiTheme="minorHAnsi" w:cstheme="minorHAnsi"/>
          <w:sz w:val="22"/>
          <w:szCs w:val="22"/>
        </w:rPr>
      </w:pPr>
      <w:r w:rsidRPr="002D1043">
        <w:rPr>
          <w:rFonts w:asciiTheme="minorHAnsi" w:hAnsiTheme="minorHAnsi" w:cstheme="minorHAnsi"/>
          <w:sz w:val="22"/>
          <w:szCs w:val="22"/>
        </w:rPr>
        <w:t xml:space="preserve">Incentives are proposed for </w:t>
      </w:r>
      <w:r w:rsidRPr="002D1043" w:rsidR="006F47C8">
        <w:rPr>
          <w:rFonts w:asciiTheme="minorHAnsi" w:hAnsiTheme="minorHAnsi" w:cstheme="minorHAnsi"/>
          <w:sz w:val="22"/>
          <w:szCs w:val="22"/>
        </w:rPr>
        <w:t>leaders of home visiting programs</w:t>
      </w:r>
      <w:r w:rsidRPr="002D1043" w:rsidR="00BB3751">
        <w:rPr>
          <w:rFonts w:asciiTheme="minorHAnsi" w:hAnsiTheme="minorHAnsi" w:cstheme="minorHAnsi"/>
          <w:sz w:val="22"/>
          <w:szCs w:val="22"/>
        </w:rPr>
        <w:t xml:space="preserve">, supervisors, and home visitors who participate in a focus group or interview. </w:t>
      </w:r>
      <w:r w:rsidRPr="002D1043" w:rsidR="00B85EDC">
        <w:rPr>
          <w:rFonts w:asciiTheme="minorHAnsi" w:hAnsiTheme="minorHAnsi" w:cstheme="minorHAnsi"/>
          <w:sz w:val="22"/>
          <w:szCs w:val="22"/>
        </w:rPr>
        <w:t>Incentives can improve the quality and efficiency of research by encouraging participation, reducing non-response bias, and increasing response rates among underrepresented groups.</w:t>
      </w:r>
      <w:r>
        <w:rPr>
          <w:rFonts w:asciiTheme="minorHAnsi" w:hAnsiTheme="minorHAnsi" w:cstheme="minorHAnsi"/>
          <w:sz w:val="22"/>
          <w:szCs w:val="22"/>
          <w:vertAlign w:val="superscript"/>
        </w:rPr>
        <w:endnoteReference w:id="12"/>
      </w:r>
      <w:r w:rsidRPr="002D1043" w:rsidR="00B85EDC">
        <w:rPr>
          <w:rFonts w:asciiTheme="minorHAnsi" w:hAnsiTheme="minorHAnsi" w:cstheme="minorHAnsi"/>
          <w:sz w:val="22"/>
          <w:szCs w:val="22"/>
          <w:vertAlign w:val="superscript"/>
        </w:rPr>
        <w:t>,</w:t>
      </w:r>
      <w:r>
        <w:rPr>
          <w:rFonts w:asciiTheme="minorHAnsi" w:hAnsiTheme="minorHAnsi" w:cstheme="minorHAnsi"/>
          <w:sz w:val="22"/>
          <w:szCs w:val="22"/>
          <w:vertAlign w:val="superscript"/>
        </w:rPr>
        <w:endnoteReference w:id="13"/>
      </w:r>
      <w:r w:rsidRPr="002D1043" w:rsidR="00B85EDC">
        <w:rPr>
          <w:rFonts w:asciiTheme="minorHAnsi" w:hAnsiTheme="minorHAnsi" w:cstheme="minorHAnsi"/>
          <w:sz w:val="22"/>
          <w:szCs w:val="22"/>
          <w:vertAlign w:val="superscript"/>
        </w:rPr>
        <w:t>,</w:t>
      </w:r>
      <w:r>
        <w:rPr>
          <w:rFonts w:asciiTheme="minorHAnsi" w:hAnsiTheme="minorHAnsi" w:cstheme="minorHAnsi"/>
          <w:sz w:val="22"/>
          <w:szCs w:val="22"/>
          <w:vertAlign w:val="superscript"/>
        </w:rPr>
        <w:endnoteReference w:id="14"/>
      </w:r>
      <w:r w:rsidRPr="002D1043" w:rsidR="00B85EDC">
        <w:rPr>
          <w:rFonts w:asciiTheme="minorHAnsi" w:hAnsiTheme="minorHAnsi" w:cstheme="minorHAnsi"/>
          <w:sz w:val="22"/>
          <w:szCs w:val="22"/>
          <w:vertAlign w:val="superscript"/>
        </w:rPr>
        <w:t xml:space="preserve"> </w:t>
      </w:r>
      <w:r w:rsidRPr="002D1043" w:rsidR="009078BF">
        <w:rPr>
          <w:rFonts w:asciiTheme="minorHAnsi" w:hAnsiTheme="minorHAnsi" w:cstheme="minorHAnsi"/>
          <w:sz w:val="22"/>
          <w:szCs w:val="22"/>
          <w:vertAlign w:val="superscript"/>
        </w:rPr>
        <w:t xml:space="preserve"> </w:t>
      </w:r>
      <w:r w:rsidRPr="002D1043" w:rsidR="009078BF">
        <w:rPr>
          <w:rFonts w:asciiTheme="minorHAnsi" w:hAnsiTheme="minorHAnsi" w:cstheme="minorHAnsi"/>
          <w:sz w:val="22"/>
          <w:szCs w:val="22"/>
        </w:rPr>
        <w:t xml:space="preserve"> Table</w:t>
      </w:r>
      <w:r w:rsidRPr="002D1043" w:rsidR="00FC1ED2">
        <w:rPr>
          <w:rFonts w:asciiTheme="minorHAnsi" w:hAnsiTheme="minorHAnsi" w:cstheme="minorHAnsi"/>
          <w:sz w:val="22"/>
          <w:szCs w:val="22"/>
        </w:rPr>
        <w:t xml:space="preserve"> </w:t>
      </w:r>
      <w:r w:rsidRPr="002D1043" w:rsidR="00520FA3">
        <w:rPr>
          <w:rFonts w:asciiTheme="minorHAnsi" w:hAnsiTheme="minorHAnsi" w:cstheme="minorHAnsi"/>
          <w:sz w:val="22"/>
          <w:szCs w:val="22"/>
        </w:rPr>
        <w:t>3 provides</w:t>
      </w:r>
      <w:r w:rsidRPr="002D1043" w:rsidR="00FC1ED2">
        <w:rPr>
          <w:rFonts w:asciiTheme="minorHAnsi" w:hAnsiTheme="minorHAnsi" w:cstheme="minorHAnsi"/>
          <w:sz w:val="22"/>
          <w:szCs w:val="22"/>
        </w:rPr>
        <w:t xml:space="preserve"> an overview of the respondent type and number, the estimated burden, the planned incentive, and rationale for the incentive for each of the data collection activities. As shown, </w:t>
      </w:r>
      <w:r w:rsidRPr="002D1043" w:rsidR="00BA6885">
        <w:rPr>
          <w:rFonts w:asciiTheme="minorHAnsi" w:hAnsiTheme="minorHAnsi" w:cstheme="minorHAnsi"/>
          <w:sz w:val="22"/>
          <w:szCs w:val="22"/>
        </w:rPr>
        <w:t>participants will receive</w:t>
      </w:r>
      <w:r w:rsidRPr="002D1043" w:rsidR="00E6338F">
        <w:rPr>
          <w:rFonts w:asciiTheme="minorHAnsi" w:hAnsiTheme="minorHAnsi" w:cstheme="minorHAnsi"/>
          <w:sz w:val="22"/>
          <w:szCs w:val="22"/>
        </w:rPr>
        <w:t xml:space="preserve"> $</w:t>
      </w:r>
      <w:r w:rsidR="00477C8A">
        <w:rPr>
          <w:rFonts w:asciiTheme="minorHAnsi" w:hAnsiTheme="minorHAnsi" w:cstheme="minorHAnsi"/>
          <w:sz w:val="22"/>
          <w:szCs w:val="22"/>
        </w:rPr>
        <w:t>4</w:t>
      </w:r>
      <w:r w:rsidRPr="002D1043" w:rsidR="00E6338F">
        <w:rPr>
          <w:rFonts w:asciiTheme="minorHAnsi" w:hAnsiTheme="minorHAnsi" w:cstheme="minorHAnsi"/>
          <w:sz w:val="22"/>
          <w:szCs w:val="22"/>
        </w:rPr>
        <w:t>0</w:t>
      </w:r>
      <w:r w:rsidRPr="002D1043" w:rsidR="00F51390">
        <w:rPr>
          <w:rFonts w:asciiTheme="minorHAnsi" w:hAnsiTheme="minorHAnsi" w:cstheme="minorHAnsi"/>
          <w:sz w:val="22"/>
          <w:szCs w:val="22"/>
        </w:rPr>
        <w:t xml:space="preserve"> for their participation in a one-hour interview or</w:t>
      </w:r>
      <w:r w:rsidR="00477C8A">
        <w:rPr>
          <w:rFonts w:asciiTheme="minorHAnsi" w:hAnsiTheme="minorHAnsi" w:cstheme="minorHAnsi"/>
          <w:sz w:val="22"/>
          <w:szCs w:val="22"/>
        </w:rPr>
        <w:t xml:space="preserve"> $50 for their participation in a</w:t>
      </w:r>
      <w:r w:rsidRPr="002D1043" w:rsidR="00F51390">
        <w:rPr>
          <w:rFonts w:asciiTheme="minorHAnsi" w:hAnsiTheme="minorHAnsi" w:cstheme="minorHAnsi"/>
          <w:sz w:val="22"/>
          <w:szCs w:val="22"/>
        </w:rPr>
        <w:t xml:space="preserve"> 90</w:t>
      </w:r>
      <w:r w:rsidR="00477C8A">
        <w:rPr>
          <w:rFonts w:asciiTheme="minorHAnsi" w:hAnsiTheme="minorHAnsi" w:cstheme="minorHAnsi"/>
          <w:sz w:val="22"/>
          <w:szCs w:val="22"/>
        </w:rPr>
        <w:t>-</w:t>
      </w:r>
      <w:r w:rsidRPr="002D1043" w:rsidR="00F51390">
        <w:rPr>
          <w:rFonts w:asciiTheme="minorHAnsi" w:hAnsiTheme="minorHAnsi" w:cstheme="minorHAnsi"/>
          <w:sz w:val="22"/>
          <w:szCs w:val="22"/>
        </w:rPr>
        <w:t xml:space="preserve">minute </w:t>
      </w:r>
      <w:r w:rsidRPr="002D1043" w:rsidR="005B4602">
        <w:rPr>
          <w:rFonts w:asciiTheme="minorHAnsi" w:hAnsiTheme="minorHAnsi" w:cstheme="minorHAnsi"/>
          <w:sz w:val="22"/>
          <w:szCs w:val="22"/>
        </w:rPr>
        <w:t xml:space="preserve">focus group. </w:t>
      </w:r>
      <w:r w:rsidRPr="002D1043" w:rsidR="005616BA">
        <w:rPr>
          <w:rFonts w:asciiTheme="minorHAnsi" w:hAnsiTheme="minorHAnsi" w:cstheme="minorHAnsi"/>
          <w:sz w:val="22"/>
          <w:szCs w:val="22"/>
        </w:rPr>
        <w:t>While there is no consensus in the field about what an appropriate compensation amount is for study participation,</w:t>
      </w:r>
      <w:r>
        <w:rPr>
          <w:rFonts w:asciiTheme="minorHAnsi" w:hAnsiTheme="minorHAnsi" w:cstheme="minorHAnsi"/>
          <w:sz w:val="22"/>
          <w:szCs w:val="22"/>
          <w:vertAlign w:val="superscript"/>
        </w:rPr>
        <w:endnoteReference w:id="15"/>
      </w:r>
      <w:r w:rsidRPr="002D1043" w:rsidR="005616BA">
        <w:rPr>
          <w:rFonts w:asciiTheme="minorHAnsi" w:hAnsiTheme="minorHAnsi" w:cstheme="minorHAnsi"/>
          <w:sz w:val="22"/>
          <w:szCs w:val="22"/>
        </w:rPr>
        <w:t xml:space="preserve">  prior research, including in the home visiting field, suggests that higher incentive amounts increase response rates.</w:t>
      </w:r>
      <w:r>
        <w:rPr>
          <w:rFonts w:asciiTheme="minorHAnsi" w:hAnsiTheme="minorHAnsi" w:cstheme="minorHAnsi"/>
          <w:sz w:val="22"/>
          <w:szCs w:val="22"/>
          <w:vertAlign w:val="superscript"/>
        </w:rPr>
        <w:endnoteReference w:id="16"/>
      </w:r>
      <w:r w:rsidRPr="002D1043" w:rsidR="005616BA">
        <w:rPr>
          <w:rFonts w:asciiTheme="minorHAnsi" w:hAnsiTheme="minorHAnsi" w:cstheme="minorHAnsi"/>
          <w:sz w:val="22"/>
          <w:szCs w:val="22"/>
          <w:vertAlign w:val="superscript"/>
        </w:rPr>
        <w:t>,</w:t>
      </w:r>
      <w:r>
        <w:rPr>
          <w:rFonts w:asciiTheme="minorHAnsi" w:hAnsiTheme="minorHAnsi" w:cstheme="minorHAnsi"/>
          <w:sz w:val="22"/>
          <w:szCs w:val="22"/>
          <w:vertAlign w:val="superscript"/>
        </w:rPr>
        <w:endnoteReference w:id="17"/>
      </w:r>
      <w:r w:rsidRPr="002D1043" w:rsidR="005616BA">
        <w:rPr>
          <w:rFonts w:asciiTheme="minorHAnsi" w:hAnsiTheme="minorHAnsi" w:cstheme="minorHAnsi"/>
          <w:sz w:val="22"/>
          <w:szCs w:val="22"/>
          <w:vertAlign w:val="superscript"/>
        </w:rPr>
        <w:t>,</w:t>
      </w:r>
      <w:r>
        <w:rPr>
          <w:rFonts w:asciiTheme="minorHAnsi" w:hAnsiTheme="minorHAnsi" w:cstheme="minorHAnsi"/>
          <w:sz w:val="22"/>
          <w:szCs w:val="22"/>
          <w:vertAlign w:val="superscript"/>
        </w:rPr>
        <w:endnoteReference w:id="18"/>
      </w:r>
      <w:r w:rsidRPr="002D1043" w:rsidR="005616BA">
        <w:rPr>
          <w:rFonts w:asciiTheme="minorHAnsi" w:hAnsiTheme="minorHAnsi" w:cstheme="minorHAnsi"/>
          <w:sz w:val="22"/>
          <w:szCs w:val="22"/>
        </w:rPr>
        <w:t xml:space="preserve"> The proposed incentive amounts are not meant as compensation, and are not tied in any way to the respondent wages </w:t>
      </w:r>
      <w:r w:rsidRPr="002609EB" w:rsidR="005616BA">
        <w:rPr>
          <w:rFonts w:asciiTheme="minorHAnsi" w:hAnsiTheme="minorHAnsi" w:cstheme="minorHAnsi"/>
          <w:sz w:val="22"/>
          <w:szCs w:val="22"/>
        </w:rPr>
        <w:t xml:space="preserve">listed in Table </w:t>
      </w:r>
      <w:r w:rsidRPr="002609EB" w:rsidR="002609EB">
        <w:rPr>
          <w:rFonts w:asciiTheme="minorHAnsi" w:hAnsiTheme="minorHAnsi" w:cstheme="minorHAnsi"/>
          <w:sz w:val="22"/>
          <w:szCs w:val="22"/>
        </w:rPr>
        <w:t>5</w:t>
      </w:r>
      <w:r w:rsidRPr="002609EB" w:rsidR="005616BA">
        <w:rPr>
          <w:rFonts w:asciiTheme="minorHAnsi" w:hAnsiTheme="minorHAnsi" w:cstheme="minorHAnsi"/>
          <w:sz w:val="22"/>
          <w:szCs w:val="22"/>
        </w:rPr>
        <w:t xml:space="preserve"> (see Table </w:t>
      </w:r>
      <w:r w:rsidRPr="002609EB" w:rsidR="002609EB">
        <w:rPr>
          <w:rFonts w:asciiTheme="minorHAnsi" w:hAnsiTheme="minorHAnsi" w:cstheme="minorHAnsi"/>
          <w:sz w:val="22"/>
          <w:szCs w:val="22"/>
        </w:rPr>
        <w:t>5</w:t>
      </w:r>
      <w:r w:rsidRPr="002609EB" w:rsidR="005616BA">
        <w:rPr>
          <w:rFonts w:asciiTheme="minorHAnsi" w:hAnsiTheme="minorHAnsi" w:cstheme="minorHAnsi"/>
          <w:sz w:val="22"/>
          <w:szCs w:val="22"/>
        </w:rPr>
        <w:t>). Rather</w:t>
      </w:r>
      <w:r w:rsidRPr="002D1043" w:rsidR="005616BA">
        <w:rPr>
          <w:rFonts w:asciiTheme="minorHAnsi" w:hAnsiTheme="minorHAnsi" w:cstheme="minorHAnsi"/>
          <w:sz w:val="22"/>
          <w:szCs w:val="22"/>
        </w:rPr>
        <w:t xml:space="preserve">, the incentives are intended to provide extra money beyond </w:t>
      </w:r>
      <w:r w:rsidRPr="002D1043" w:rsidR="005616BA">
        <w:rPr>
          <w:rFonts w:asciiTheme="minorHAnsi" w:hAnsiTheme="minorHAnsi" w:cstheme="minorHAnsi"/>
          <w:sz w:val="22"/>
          <w:szCs w:val="22"/>
        </w:rPr>
        <w:t>cost-compensation—to show appreciation for participants’ time, efforts, and knowledge. To be inclusive and equitable, we propose similar incentive amounts across respondents regardless of job title.</w:t>
      </w:r>
      <w:r>
        <w:rPr>
          <w:rFonts w:asciiTheme="minorHAnsi" w:hAnsiTheme="minorHAnsi" w:cstheme="minorHAnsi"/>
          <w:sz w:val="22"/>
          <w:szCs w:val="22"/>
          <w:vertAlign w:val="superscript"/>
        </w:rPr>
        <w:endnoteReference w:id="19"/>
      </w:r>
      <w:r w:rsidRPr="002D1043" w:rsidR="005616BA">
        <w:rPr>
          <w:rFonts w:asciiTheme="minorHAnsi" w:hAnsiTheme="minorHAnsi" w:cstheme="minorHAnsi"/>
          <w:sz w:val="22"/>
          <w:szCs w:val="22"/>
          <w:vertAlign w:val="superscript"/>
        </w:rPr>
        <w:t>,</w:t>
      </w:r>
      <w:r>
        <w:rPr>
          <w:rFonts w:asciiTheme="minorHAnsi" w:hAnsiTheme="minorHAnsi" w:cstheme="minorHAnsi"/>
          <w:sz w:val="22"/>
          <w:szCs w:val="22"/>
          <w:vertAlign w:val="superscript"/>
        </w:rPr>
        <w:endnoteReference w:id="20"/>
      </w:r>
    </w:p>
    <w:p w:rsidR="00350AD9" w:rsidRPr="002D1043" w:rsidP="00BA6885" w14:paraId="3DB3FC55" w14:textId="5B32E880">
      <w:pPr>
        <w:spacing w:before="120"/>
        <w:rPr>
          <w:rFonts w:asciiTheme="minorHAnsi" w:hAnsiTheme="minorHAnsi" w:cstheme="minorHAnsi"/>
          <w:sz w:val="22"/>
          <w:szCs w:val="22"/>
        </w:rPr>
      </w:pPr>
      <w:r w:rsidRPr="002D1043">
        <w:rPr>
          <w:rFonts w:asciiTheme="minorHAnsi" w:hAnsiTheme="minorHAnsi" w:cstheme="minorHAnsi"/>
          <w:sz w:val="22"/>
          <w:szCs w:val="22"/>
        </w:rPr>
        <w:t xml:space="preserve">Respondents will not receive any payments or gifts for completing the initial </w:t>
      </w:r>
      <w:r w:rsidRPr="002D1043" w:rsidR="00E5254A">
        <w:rPr>
          <w:rFonts w:asciiTheme="minorHAnsi" w:hAnsiTheme="minorHAnsi" w:cstheme="minorHAnsi"/>
          <w:sz w:val="22"/>
          <w:szCs w:val="22"/>
        </w:rPr>
        <w:t xml:space="preserve">recruitment </w:t>
      </w:r>
      <w:r w:rsidRPr="002D1043">
        <w:rPr>
          <w:rFonts w:asciiTheme="minorHAnsi" w:hAnsiTheme="minorHAnsi" w:cstheme="minorHAnsi"/>
          <w:sz w:val="22"/>
          <w:szCs w:val="22"/>
        </w:rPr>
        <w:t xml:space="preserve">survey. </w:t>
      </w:r>
    </w:p>
    <w:p w:rsidR="00A61B13" w:rsidRPr="002D1043" w:rsidP="00BA6885" w14:paraId="5577E688" w14:textId="580AC207">
      <w:pPr>
        <w:spacing w:before="120"/>
        <w:rPr>
          <w:rFonts w:asciiTheme="minorHAnsi" w:hAnsiTheme="minorHAnsi" w:cstheme="minorHAnsi"/>
          <w:b/>
          <w:bCs/>
          <w:sz w:val="22"/>
          <w:szCs w:val="22"/>
        </w:rPr>
      </w:pPr>
      <w:r w:rsidRPr="002D1043">
        <w:rPr>
          <w:rFonts w:asciiTheme="minorHAnsi" w:hAnsiTheme="minorHAnsi" w:cstheme="minorHAnsi"/>
          <w:b/>
          <w:bCs/>
          <w:sz w:val="22"/>
          <w:szCs w:val="22"/>
        </w:rPr>
        <w:t xml:space="preserve">Table </w:t>
      </w:r>
      <w:r w:rsidRPr="002D1043" w:rsidR="00FC1ED2">
        <w:rPr>
          <w:rFonts w:asciiTheme="minorHAnsi" w:hAnsiTheme="minorHAnsi" w:cstheme="minorHAnsi"/>
          <w:b/>
          <w:bCs/>
          <w:sz w:val="22"/>
          <w:szCs w:val="22"/>
        </w:rPr>
        <w:t>3</w:t>
      </w:r>
      <w:r w:rsidRPr="002D1043">
        <w:rPr>
          <w:rFonts w:asciiTheme="minorHAnsi" w:hAnsiTheme="minorHAnsi" w:cstheme="minorHAnsi"/>
          <w:b/>
          <w:bCs/>
          <w:sz w:val="22"/>
          <w:szCs w:val="22"/>
        </w:rPr>
        <w:t>. Planned Incentives</w:t>
      </w:r>
    </w:p>
    <w:tbl>
      <w:tblPr>
        <w:tblW w:w="9352" w:type="dxa"/>
        <w:jc w:val="center"/>
        <w:tblLayout w:type="fixed"/>
        <w:tblCellMar>
          <w:left w:w="100" w:type="dxa"/>
          <w:right w:w="100" w:type="dxa"/>
        </w:tblCellMar>
        <w:tblLook w:val="0000"/>
      </w:tblPr>
      <w:tblGrid>
        <w:gridCol w:w="1702"/>
        <w:gridCol w:w="1620"/>
        <w:gridCol w:w="1350"/>
        <w:gridCol w:w="1170"/>
        <w:gridCol w:w="990"/>
        <w:gridCol w:w="2520"/>
      </w:tblGrid>
      <w:tr w14:paraId="148AC721" w14:textId="77777777" w:rsidTr="004A69E1">
        <w:tblPrEx>
          <w:tblW w:w="9352" w:type="dxa"/>
          <w:jc w:val="center"/>
          <w:tblLayout w:type="fixed"/>
          <w:tblCellMar>
            <w:left w:w="100" w:type="dxa"/>
            <w:right w:w="100" w:type="dxa"/>
          </w:tblCellMar>
          <w:tblLook w:val="0000"/>
        </w:tblPrEx>
        <w:trPr>
          <w:cantSplit/>
          <w:trHeight w:val="403"/>
          <w:tblHeader/>
          <w:jc w:val="center"/>
        </w:trPr>
        <w:tc>
          <w:tcPr>
            <w:tcW w:w="1702" w:type="dxa"/>
            <w:tcBorders>
              <w:top w:val="single" w:sz="6" w:space="0" w:color="auto"/>
              <w:left w:val="single" w:sz="6" w:space="0" w:color="auto"/>
              <w:bottom w:val="double" w:sz="4" w:space="0" w:color="auto"/>
              <w:right w:val="nil"/>
            </w:tcBorders>
            <w:vAlign w:val="center"/>
          </w:tcPr>
          <w:p w:rsidR="00CC4B2F" w:rsidRPr="002D1043" w:rsidP="00CA5A39" w14:paraId="01D25790" w14:textId="77777777">
            <w:pPr>
              <w:jc w:val="center"/>
              <w:rPr>
                <w:rFonts w:asciiTheme="minorHAnsi" w:hAnsiTheme="minorHAnsi" w:cstheme="minorHAnsi"/>
                <w:b/>
              </w:rPr>
            </w:pPr>
            <w:r w:rsidRPr="002D1043">
              <w:rPr>
                <w:rFonts w:asciiTheme="minorHAnsi" w:hAnsiTheme="minorHAnsi" w:cstheme="minorHAnsi"/>
                <w:b/>
              </w:rPr>
              <w:t>Form Name</w:t>
            </w:r>
          </w:p>
        </w:tc>
        <w:tc>
          <w:tcPr>
            <w:tcW w:w="1620" w:type="dxa"/>
            <w:tcBorders>
              <w:top w:val="single" w:sz="6" w:space="0" w:color="auto"/>
              <w:left w:val="single" w:sz="6" w:space="0" w:color="auto"/>
              <w:bottom w:val="double" w:sz="4" w:space="0" w:color="auto"/>
              <w:right w:val="nil"/>
            </w:tcBorders>
            <w:vAlign w:val="center"/>
          </w:tcPr>
          <w:p w:rsidR="00CC4B2F" w:rsidRPr="002D1043" w:rsidP="00CA5A39" w14:paraId="7D75DC6A" w14:textId="77777777">
            <w:pPr>
              <w:jc w:val="center"/>
              <w:rPr>
                <w:rFonts w:asciiTheme="minorHAnsi" w:hAnsiTheme="minorHAnsi" w:cstheme="minorHAnsi"/>
                <w:b/>
              </w:rPr>
            </w:pPr>
            <w:r w:rsidRPr="002D1043">
              <w:rPr>
                <w:rFonts w:asciiTheme="minorHAnsi" w:hAnsiTheme="minorHAnsi" w:cstheme="minorHAnsi"/>
                <w:b/>
              </w:rPr>
              <w:t>Type of Respondent</w:t>
            </w:r>
          </w:p>
        </w:tc>
        <w:tc>
          <w:tcPr>
            <w:tcW w:w="1350" w:type="dxa"/>
            <w:tcBorders>
              <w:top w:val="single" w:sz="6" w:space="0" w:color="auto"/>
              <w:left w:val="single" w:sz="6" w:space="0" w:color="auto"/>
              <w:bottom w:val="double" w:sz="4" w:space="0" w:color="auto"/>
              <w:right w:val="nil"/>
            </w:tcBorders>
            <w:vAlign w:val="center"/>
          </w:tcPr>
          <w:p w:rsidR="00CC4B2F" w:rsidRPr="002D1043" w:rsidP="00CA5A39" w14:paraId="2D95DC0D" w14:textId="77777777">
            <w:pPr>
              <w:jc w:val="center"/>
              <w:rPr>
                <w:rFonts w:asciiTheme="minorHAnsi" w:hAnsiTheme="minorHAnsi" w:cstheme="minorHAnsi"/>
                <w:b/>
              </w:rPr>
            </w:pPr>
            <w:r w:rsidRPr="002D1043">
              <w:rPr>
                <w:rFonts w:asciiTheme="minorHAnsi" w:hAnsiTheme="minorHAnsi" w:cstheme="minorHAnsi"/>
                <w:b/>
                <w:color w:val="000000"/>
                <w:szCs w:val="20"/>
              </w:rPr>
              <w:t>Estimated Number of Respondents</w:t>
            </w:r>
            <w:r w:rsidRPr="002D1043">
              <w:rPr>
                <w:rFonts w:asciiTheme="minorHAnsi" w:hAnsiTheme="minorHAnsi" w:cstheme="minorHAnsi"/>
                <w:b/>
                <w:bCs/>
                <w:color w:val="000000"/>
                <w:szCs w:val="20"/>
              </w:rPr>
              <w:t>*</w:t>
            </w:r>
          </w:p>
        </w:tc>
        <w:tc>
          <w:tcPr>
            <w:tcW w:w="1170" w:type="dxa"/>
            <w:tcBorders>
              <w:top w:val="single" w:sz="6" w:space="0" w:color="auto"/>
              <w:left w:val="single" w:sz="6" w:space="0" w:color="auto"/>
              <w:bottom w:val="double" w:sz="4" w:space="0" w:color="auto"/>
              <w:right w:val="nil"/>
            </w:tcBorders>
            <w:vAlign w:val="center"/>
          </w:tcPr>
          <w:p w:rsidR="00CC4B2F" w:rsidRPr="002D1043" w:rsidP="00CA5A39" w14:paraId="6927ADC5" w14:textId="77777777">
            <w:pPr>
              <w:jc w:val="center"/>
              <w:rPr>
                <w:rFonts w:asciiTheme="minorHAnsi" w:hAnsiTheme="minorHAnsi" w:cstheme="minorHAnsi"/>
                <w:b/>
              </w:rPr>
            </w:pPr>
            <w:r w:rsidRPr="002D1043">
              <w:rPr>
                <w:rFonts w:asciiTheme="minorHAnsi" w:hAnsiTheme="minorHAnsi" w:cstheme="minorHAnsi"/>
                <w:b/>
                <w:color w:val="000000" w:themeColor="text1"/>
              </w:rPr>
              <w:t>Average Burden per Response (hours)</w:t>
            </w:r>
          </w:p>
        </w:tc>
        <w:tc>
          <w:tcPr>
            <w:tcW w:w="990" w:type="dxa"/>
            <w:tcBorders>
              <w:top w:val="single" w:sz="6" w:space="0" w:color="auto"/>
              <w:left w:val="single" w:sz="6" w:space="0" w:color="auto"/>
              <w:bottom w:val="double" w:sz="4" w:space="0" w:color="auto"/>
              <w:right w:val="nil"/>
            </w:tcBorders>
            <w:vAlign w:val="center"/>
          </w:tcPr>
          <w:p w:rsidR="00CC4B2F" w:rsidRPr="002D1043" w:rsidP="00CA5A39" w14:paraId="3242509C" w14:textId="77777777">
            <w:pPr>
              <w:contextualSpacing/>
              <w:jc w:val="center"/>
              <w:rPr>
                <w:rFonts w:asciiTheme="minorHAnsi" w:hAnsiTheme="minorHAnsi" w:cstheme="minorHAnsi"/>
                <w:b/>
                <w:bCs/>
                <w:color w:val="000000"/>
              </w:rPr>
            </w:pPr>
            <w:r w:rsidRPr="002D1043">
              <w:rPr>
                <w:rFonts w:asciiTheme="minorHAnsi" w:hAnsiTheme="minorHAnsi" w:cstheme="minorHAnsi"/>
                <w:b/>
                <w:bCs/>
                <w:color w:val="000000"/>
              </w:rPr>
              <w:t>Incentive</w:t>
            </w:r>
          </w:p>
          <w:p w:rsidR="00CC4B2F" w:rsidRPr="002D1043" w:rsidP="00CA5A39" w14:paraId="351B35AF" w14:textId="77777777">
            <w:pPr>
              <w:jc w:val="center"/>
              <w:rPr>
                <w:rFonts w:asciiTheme="minorHAnsi" w:hAnsiTheme="minorHAnsi" w:cstheme="minorHAnsi"/>
              </w:rPr>
            </w:pPr>
          </w:p>
        </w:tc>
        <w:tc>
          <w:tcPr>
            <w:tcW w:w="2520" w:type="dxa"/>
            <w:tcBorders>
              <w:top w:val="single" w:sz="6" w:space="0" w:color="auto"/>
              <w:left w:val="single" w:sz="6" w:space="0" w:color="auto"/>
              <w:bottom w:val="double" w:sz="4" w:space="0" w:color="auto"/>
              <w:right w:val="single" w:sz="6" w:space="0" w:color="auto"/>
            </w:tcBorders>
            <w:vAlign w:val="center"/>
          </w:tcPr>
          <w:p w:rsidR="00CC4B2F" w:rsidRPr="002D1043" w:rsidP="00CA5A39" w14:paraId="6FE73936" w14:textId="77777777">
            <w:pPr>
              <w:jc w:val="center"/>
              <w:rPr>
                <w:rFonts w:asciiTheme="minorHAnsi" w:hAnsiTheme="minorHAnsi" w:cstheme="minorHAnsi"/>
                <w:b/>
              </w:rPr>
            </w:pPr>
            <w:r w:rsidRPr="002D1043">
              <w:rPr>
                <w:rFonts w:asciiTheme="minorHAnsi" w:hAnsiTheme="minorHAnsi" w:cstheme="minorHAnsi"/>
                <w:b/>
                <w:bCs/>
                <w:color w:val="000000"/>
              </w:rPr>
              <w:t>Incentive Rationale</w:t>
            </w:r>
          </w:p>
        </w:tc>
      </w:tr>
      <w:tr w14:paraId="16EAA2D3" w14:textId="77777777" w:rsidTr="004A69E1">
        <w:tblPrEx>
          <w:tblW w:w="9352" w:type="dxa"/>
          <w:jc w:val="center"/>
          <w:tblLayout w:type="fixed"/>
          <w:tblCellMar>
            <w:left w:w="100" w:type="dxa"/>
            <w:right w:w="100" w:type="dxa"/>
          </w:tblCellMar>
          <w:tblLook w:val="0000"/>
        </w:tblPrEx>
        <w:trPr>
          <w:cantSplit/>
          <w:trHeight w:val="403"/>
          <w:jc w:val="center"/>
        </w:trPr>
        <w:tc>
          <w:tcPr>
            <w:tcW w:w="1702" w:type="dxa"/>
            <w:tcBorders>
              <w:top w:val="single" w:sz="6" w:space="0" w:color="auto"/>
              <w:left w:val="single" w:sz="6" w:space="0" w:color="auto"/>
              <w:bottom w:val="nil"/>
              <w:right w:val="nil"/>
            </w:tcBorders>
            <w:vAlign w:val="bottom"/>
          </w:tcPr>
          <w:p w:rsidR="00CC4B2F" w:rsidRPr="002D1043" w:rsidP="000E6C1B" w14:paraId="2B05EFDE" w14:textId="683ECA93">
            <w:pPr>
              <w:jc w:val="center"/>
              <w:rPr>
                <w:rFonts w:asciiTheme="minorHAnsi" w:hAnsiTheme="minorHAnsi" w:cstheme="minorHAnsi"/>
                <w:b/>
                <w:bCs/>
              </w:rPr>
            </w:pPr>
            <w:r w:rsidRPr="002D1043">
              <w:rPr>
                <w:rFonts w:asciiTheme="minorHAnsi" w:hAnsiTheme="minorHAnsi" w:cstheme="minorHAnsi"/>
                <w:b/>
                <w:bCs/>
              </w:rPr>
              <w:t>Home Visiting Program Leader</w:t>
            </w:r>
            <w:r w:rsidRPr="002D1043" w:rsidR="00BE26B9">
              <w:rPr>
                <w:rFonts w:asciiTheme="minorHAnsi" w:hAnsiTheme="minorHAnsi" w:cstheme="minorHAnsi"/>
                <w:b/>
                <w:bCs/>
              </w:rPr>
              <w:t xml:space="preserve"> Interview Guide</w:t>
            </w:r>
          </w:p>
        </w:tc>
        <w:tc>
          <w:tcPr>
            <w:tcW w:w="1620" w:type="dxa"/>
            <w:tcBorders>
              <w:top w:val="single" w:sz="6" w:space="0" w:color="auto"/>
              <w:left w:val="single" w:sz="6" w:space="0" w:color="auto"/>
              <w:bottom w:val="nil"/>
              <w:right w:val="nil"/>
            </w:tcBorders>
            <w:vAlign w:val="bottom"/>
          </w:tcPr>
          <w:p w:rsidR="00CC4B2F" w:rsidRPr="002D1043" w:rsidP="000E6C1B" w14:paraId="1DCFD7F0" w14:textId="0EDE5ECF">
            <w:pPr>
              <w:jc w:val="center"/>
              <w:rPr>
                <w:rFonts w:asciiTheme="minorHAnsi" w:hAnsiTheme="minorHAnsi" w:cstheme="minorHAnsi"/>
                <w:szCs w:val="20"/>
              </w:rPr>
            </w:pPr>
            <w:r w:rsidRPr="002D1043">
              <w:rPr>
                <w:rFonts w:asciiTheme="minorHAnsi" w:hAnsiTheme="minorHAnsi" w:cstheme="minorHAnsi"/>
                <w:szCs w:val="20"/>
              </w:rPr>
              <w:t>Leaders of home visiting programs</w:t>
            </w:r>
          </w:p>
        </w:tc>
        <w:tc>
          <w:tcPr>
            <w:tcW w:w="135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499BE62F" w14:textId="6E424448">
            <w:pPr>
              <w:jc w:val="right"/>
              <w:rPr>
                <w:rFonts w:asciiTheme="minorHAnsi" w:hAnsiTheme="minorHAnsi" w:cstheme="minorHAnsi"/>
                <w:color w:val="000000"/>
              </w:rPr>
            </w:pPr>
            <w:r w:rsidRPr="002D1043">
              <w:rPr>
                <w:rFonts w:asciiTheme="minorHAnsi" w:hAnsiTheme="minorHAnsi" w:cstheme="minorHAnsi"/>
                <w:color w:val="000000"/>
              </w:rPr>
              <w:t>50</w:t>
            </w:r>
          </w:p>
        </w:tc>
        <w:tc>
          <w:tcPr>
            <w:tcW w:w="117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7CDA644D" w14:textId="3CE34CEC">
            <w:pPr>
              <w:jc w:val="right"/>
              <w:rPr>
                <w:rFonts w:asciiTheme="minorHAnsi" w:hAnsiTheme="minorHAnsi" w:cstheme="minorHAnsi"/>
                <w:color w:val="000000"/>
              </w:rPr>
            </w:pPr>
            <w:r w:rsidRPr="002D1043">
              <w:rPr>
                <w:rFonts w:asciiTheme="minorHAnsi" w:hAnsiTheme="minorHAnsi" w:cstheme="minorHAnsi"/>
                <w:color w:val="000000"/>
              </w:rPr>
              <w:t>1.0</w:t>
            </w:r>
          </w:p>
        </w:tc>
        <w:tc>
          <w:tcPr>
            <w:tcW w:w="99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6146C5E6" w14:textId="15591933">
            <w:pPr>
              <w:jc w:val="right"/>
              <w:rPr>
                <w:rFonts w:asciiTheme="minorHAnsi" w:hAnsiTheme="minorHAnsi" w:cstheme="minorHAnsi"/>
                <w:color w:val="000000"/>
              </w:rPr>
            </w:pPr>
            <w:r w:rsidRPr="002D1043">
              <w:rPr>
                <w:rFonts w:asciiTheme="minorHAnsi" w:hAnsiTheme="minorHAnsi" w:cstheme="minorHAnsi"/>
                <w:color w:val="000000"/>
              </w:rPr>
              <w:t>$</w:t>
            </w:r>
            <w:r w:rsidR="00477C8A">
              <w:rPr>
                <w:rFonts w:asciiTheme="minorHAnsi" w:hAnsiTheme="minorHAnsi" w:cstheme="minorHAnsi"/>
                <w:color w:val="000000"/>
              </w:rPr>
              <w:t>4</w:t>
            </w:r>
            <w:r w:rsidRPr="002D1043" w:rsidR="003E0900">
              <w:rPr>
                <w:rFonts w:asciiTheme="minorHAnsi" w:hAnsiTheme="minorHAnsi" w:cstheme="minorHAnsi"/>
                <w:color w:val="000000"/>
              </w:rPr>
              <w:t>0</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bottom"/>
          </w:tcPr>
          <w:p w:rsidR="000D1175" w:rsidRPr="002D1043" w:rsidP="000D1175" w14:paraId="18AD0F7A" w14:textId="77777777">
            <w:pPr>
              <w:rPr>
                <w:rFonts w:asciiTheme="minorHAnsi" w:hAnsiTheme="minorHAnsi" w:cstheme="minorHAnsi"/>
                <w:color w:val="000000" w:themeColor="text1"/>
              </w:rPr>
            </w:pPr>
            <w:r w:rsidRPr="002D1043">
              <w:rPr>
                <w:rFonts w:asciiTheme="minorHAnsi" w:hAnsiTheme="minorHAnsi" w:cstheme="minorHAnsi"/>
                <w:color w:val="000000" w:themeColor="text1"/>
              </w:rPr>
              <w:t xml:space="preserve"> </w:t>
            </w:r>
            <w:r w:rsidRPr="002D1043">
              <w:rPr>
                <w:rFonts w:asciiTheme="minorHAnsi" w:hAnsiTheme="minorHAnsi" w:cstheme="minorHAnsi"/>
                <w:color w:val="000000" w:themeColor="text1"/>
              </w:rPr>
              <w:t>-Encourage sharing of experiences</w:t>
            </w:r>
          </w:p>
          <w:p w:rsidR="00CC4B2F" w:rsidRPr="002D1043" w:rsidP="00CA5A39" w14:paraId="1BF81281" w14:textId="0B9AE7A1">
            <w:pPr>
              <w:rPr>
                <w:rFonts w:asciiTheme="minorHAnsi" w:hAnsiTheme="minorHAnsi" w:cstheme="minorHAnsi"/>
                <w:color w:val="000000" w:themeColor="text1"/>
              </w:rPr>
            </w:pPr>
            <w:r w:rsidRPr="002D1043">
              <w:rPr>
                <w:rFonts w:asciiTheme="minorHAnsi" w:hAnsiTheme="minorHAnsi" w:cstheme="minorHAnsi"/>
                <w:color w:val="000000" w:themeColor="text1"/>
              </w:rPr>
              <w:t>-Reduce nonresponse bias</w:t>
            </w:r>
          </w:p>
        </w:tc>
      </w:tr>
      <w:tr w14:paraId="1C1EB0AA" w14:textId="77777777" w:rsidTr="004A69E1">
        <w:tblPrEx>
          <w:tblW w:w="9352" w:type="dxa"/>
          <w:jc w:val="center"/>
          <w:tblLayout w:type="fixed"/>
          <w:tblCellMar>
            <w:left w:w="100" w:type="dxa"/>
            <w:right w:w="100" w:type="dxa"/>
          </w:tblCellMar>
          <w:tblLook w:val="0000"/>
        </w:tblPrEx>
        <w:trPr>
          <w:cantSplit/>
          <w:trHeight w:val="403"/>
          <w:jc w:val="center"/>
        </w:trPr>
        <w:tc>
          <w:tcPr>
            <w:tcW w:w="1702" w:type="dxa"/>
            <w:tcBorders>
              <w:top w:val="single" w:sz="6" w:space="0" w:color="auto"/>
              <w:left w:val="single" w:sz="6" w:space="0" w:color="auto"/>
              <w:bottom w:val="nil"/>
              <w:right w:val="nil"/>
            </w:tcBorders>
            <w:vAlign w:val="bottom"/>
          </w:tcPr>
          <w:p w:rsidR="00CC4B2F" w:rsidRPr="002D1043" w:rsidP="000E6C1B" w14:paraId="427548D3" w14:textId="4D04BC58">
            <w:pPr>
              <w:jc w:val="center"/>
              <w:rPr>
                <w:rFonts w:asciiTheme="minorHAnsi" w:hAnsiTheme="minorHAnsi" w:cstheme="minorHAnsi"/>
                <w:b/>
                <w:bCs/>
              </w:rPr>
            </w:pPr>
            <w:r w:rsidRPr="002D1043">
              <w:rPr>
                <w:rFonts w:asciiTheme="minorHAnsi" w:hAnsiTheme="minorHAnsi" w:cstheme="minorHAnsi"/>
                <w:b/>
                <w:bCs/>
              </w:rPr>
              <w:t>Supervisor Focus Group Protocol</w:t>
            </w:r>
          </w:p>
        </w:tc>
        <w:tc>
          <w:tcPr>
            <w:tcW w:w="1620" w:type="dxa"/>
            <w:tcBorders>
              <w:top w:val="single" w:sz="6" w:space="0" w:color="auto"/>
              <w:left w:val="single" w:sz="6" w:space="0" w:color="auto"/>
              <w:bottom w:val="nil"/>
              <w:right w:val="nil"/>
            </w:tcBorders>
            <w:vAlign w:val="bottom"/>
          </w:tcPr>
          <w:p w:rsidR="00CC4B2F" w:rsidRPr="002D1043" w:rsidP="000E6C1B" w14:paraId="2877AE21" w14:textId="2EC3C8AC">
            <w:pPr>
              <w:jc w:val="center"/>
              <w:rPr>
                <w:rFonts w:asciiTheme="minorHAnsi" w:hAnsiTheme="minorHAnsi" w:cstheme="minorHAnsi"/>
                <w:szCs w:val="20"/>
              </w:rPr>
            </w:pPr>
            <w:r w:rsidRPr="002D1043">
              <w:rPr>
                <w:rFonts w:asciiTheme="minorHAnsi" w:hAnsiTheme="minorHAnsi" w:cstheme="minorHAnsi"/>
                <w:szCs w:val="20"/>
              </w:rPr>
              <w:t>Home Visiting Supervisors</w:t>
            </w:r>
          </w:p>
        </w:tc>
        <w:tc>
          <w:tcPr>
            <w:tcW w:w="135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125FFBE9" w14:textId="6F8305D2">
            <w:pPr>
              <w:jc w:val="right"/>
              <w:rPr>
                <w:rFonts w:asciiTheme="minorHAnsi" w:hAnsiTheme="minorHAnsi" w:cstheme="minorHAnsi"/>
                <w:color w:val="000000"/>
              </w:rPr>
            </w:pPr>
            <w:r w:rsidRPr="002D1043">
              <w:rPr>
                <w:rFonts w:asciiTheme="minorHAnsi" w:hAnsiTheme="minorHAnsi" w:cstheme="minorHAnsi"/>
                <w:color w:val="000000"/>
              </w:rPr>
              <w:t>50</w:t>
            </w:r>
          </w:p>
        </w:tc>
        <w:tc>
          <w:tcPr>
            <w:tcW w:w="117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074FDDE8" w14:textId="27709162">
            <w:pPr>
              <w:jc w:val="right"/>
              <w:rPr>
                <w:rFonts w:asciiTheme="minorHAnsi" w:hAnsiTheme="minorHAnsi" w:cstheme="minorHAnsi"/>
                <w:color w:val="000000"/>
              </w:rPr>
            </w:pPr>
            <w:r w:rsidRPr="002D1043">
              <w:rPr>
                <w:rFonts w:asciiTheme="minorHAnsi" w:hAnsiTheme="minorHAnsi" w:cstheme="minorHAnsi"/>
                <w:color w:val="000000"/>
              </w:rPr>
              <w:t>1.5</w:t>
            </w:r>
          </w:p>
        </w:tc>
        <w:tc>
          <w:tcPr>
            <w:tcW w:w="99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1E00D2F8" w14:textId="77777777">
            <w:pPr>
              <w:jc w:val="right"/>
              <w:rPr>
                <w:rFonts w:asciiTheme="minorHAnsi" w:hAnsiTheme="minorHAnsi" w:cstheme="minorHAnsi"/>
                <w:color w:val="000000"/>
              </w:rPr>
            </w:pPr>
            <w:r w:rsidRPr="002D1043">
              <w:rPr>
                <w:rFonts w:asciiTheme="minorHAnsi" w:hAnsiTheme="minorHAnsi" w:cstheme="minorHAnsi"/>
                <w:color w:val="000000"/>
              </w:rPr>
              <w:t>$50</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bottom"/>
          </w:tcPr>
          <w:p w:rsidR="00CC4B2F" w:rsidRPr="002D1043" w:rsidP="00CA5A39" w14:paraId="20AA24B9" w14:textId="77777777">
            <w:pPr>
              <w:rPr>
                <w:rFonts w:asciiTheme="minorHAnsi" w:hAnsiTheme="minorHAnsi" w:cstheme="minorHAnsi"/>
                <w:color w:val="000000" w:themeColor="text1"/>
              </w:rPr>
            </w:pPr>
            <w:r w:rsidRPr="002D1043">
              <w:rPr>
                <w:rFonts w:asciiTheme="minorHAnsi" w:hAnsiTheme="minorHAnsi" w:cstheme="minorHAnsi"/>
                <w:color w:val="000000" w:themeColor="text1"/>
              </w:rPr>
              <w:t>-Encourage sharing of experiences</w:t>
            </w:r>
          </w:p>
          <w:p w:rsidR="00CC4B2F" w:rsidRPr="002D1043" w:rsidP="00CA5A39" w14:paraId="3A4FA2A0" w14:textId="77777777">
            <w:pPr>
              <w:rPr>
                <w:rFonts w:asciiTheme="minorHAnsi" w:hAnsiTheme="minorHAnsi" w:cstheme="minorHAnsi"/>
                <w:color w:val="000000" w:themeColor="text1"/>
              </w:rPr>
            </w:pPr>
            <w:r w:rsidRPr="002D1043">
              <w:rPr>
                <w:rFonts w:asciiTheme="minorHAnsi" w:hAnsiTheme="minorHAnsi" w:cstheme="minorHAnsi"/>
                <w:color w:val="000000" w:themeColor="text1"/>
              </w:rPr>
              <w:t>-Reduce nonresponse bias</w:t>
            </w:r>
          </w:p>
        </w:tc>
      </w:tr>
      <w:tr w14:paraId="510DE57C" w14:textId="77777777" w:rsidTr="004A69E1">
        <w:tblPrEx>
          <w:tblW w:w="9352" w:type="dxa"/>
          <w:jc w:val="center"/>
          <w:tblLayout w:type="fixed"/>
          <w:tblCellMar>
            <w:left w:w="100" w:type="dxa"/>
            <w:right w:w="100" w:type="dxa"/>
          </w:tblCellMar>
          <w:tblLook w:val="0000"/>
        </w:tblPrEx>
        <w:trPr>
          <w:cantSplit/>
          <w:trHeight w:val="403"/>
          <w:jc w:val="center"/>
        </w:trPr>
        <w:tc>
          <w:tcPr>
            <w:tcW w:w="1702" w:type="dxa"/>
            <w:tcBorders>
              <w:top w:val="single" w:sz="6" w:space="0" w:color="auto"/>
              <w:left w:val="single" w:sz="6" w:space="0" w:color="auto"/>
              <w:bottom w:val="nil"/>
              <w:right w:val="nil"/>
            </w:tcBorders>
            <w:vAlign w:val="bottom"/>
          </w:tcPr>
          <w:p w:rsidR="00CC4B2F" w:rsidRPr="002D1043" w:rsidP="000E6C1B" w14:paraId="606C29BF" w14:textId="46667BBA">
            <w:pPr>
              <w:jc w:val="center"/>
              <w:rPr>
                <w:rFonts w:asciiTheme="minorHAnsi" w:hAnsiTheme="minorHAnsi" w:cstheme="minorHAnsi"/>
                <w:b/>
                <w:bCs/>
              </w:rPr>
            </w:pPr>
            <w:r w:rsidRPr="002D1043">
              <w:rPr>
                <w:rFonts w:asciiTheme="minorHAnsi" w:hAnsiTheme="minorHAnsi" w:cstheme="minorHAnsi"/>
                <w:b/>
                <w:bCs/>
              </w:rPr>
              <w:t>Home Visitor Focus Group Protocol</w:t>
            </w:r>
          </w:p>
        </w:tc>
        <w:tc>
          <w:tcPr>
            <w:tcW w:w="1620" w:type="dxa"/>
            <w:tcBorders>
              <w:top w:val="single" w:sz="6" w:space="0" w:color="auto"/>
              <w:left w:val="single" w:sz="6" w:space="0" w:color="auto"/>
              <w:bottom w:val="nil"/>
              <w:right w:val="nil"/>
            </w:tcBorders>
            <w:vAlign w:val="bottom"/>
          </w:tcPr>
          <w:p w:rsidR="00CC4B2F" w:rsidRPr="002D1043" w:rsidP="000E6C1B" w14:paraId="308A62DF" w14:textId="204A8EB7">
            <w:pPr>
              <w:jc w:val="center"/>
              <w:rPr>
                <w:rFonts w:asciiTheme="minorHAnsi" w:hAnsiTheme="minorHAnsi" w:cstheme="minorHAnsi"/>
              </w:rPr>
            </w:pPr>
            <w:r w:rsidRPr="002D1043">
              <w:rPr>
                <w:rFonts w:asciiTheme="minorHAnsi" w:hAnsiTheme="minorHAnsi" w:cstheme="minorHAnsi"/>
              </w:rPr>
              <w:t xml:space="preserve">Home </w:t>
            </w:r>
            <w:r w:rsidRPr="002D1043" w:rsidR="00BE26B9">
              <w:rPr>
                <w:rFonts w:asciiTheme="minorHAnsi" w:hAnsiTheme="minorHAnsi" w:cstheme="minorHAnsi"/>
              </w:rPr>
              <w:t>Visitors</w:t>
            </w:r>
          </w:p>
        </w:tc>
        <w:tc>
          <w:tcPr>
            <w:tcW w:w="135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47FFE0B9" w14:textId="5C248B80">
            <w:pPr>
              <w:jc w:val="right"/>
              <w:rPr>
                <w:rFonts w:asciiTheme="minorHAnsi" w:hAnsiTheme="minorHAnsi" w:cstheme="minorHAnsi"/>
                <w:color w:val="000000"/>
              </w:rPr>
            </w:pPr>
            <w:r w:rsidRPr="002D1043">
              <w:rPr>
                <w:rFonts w:asciiTheme="minorHAnsi" w:hAnsiTheme="minorHAnsi" w:cstheme="minorHAnsi"/>
                <w:color w:val="000000"/>
              </w:rPr>
              <w:t>50</w:t>
            </w:r>
          </w:p>
        </w:tc>
        <w:tc>
          <w:tcPr>
            <w:tcW w:w="117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3E5CFFA2" w14:textId="688E2A67">
            <w:pPr>
              <w:jc w:val="right"/>
              <w:rPr>
                <w:rFonts w:asciiTheme="minorHAnsi" w:hAnsiTheme="minorHAnsi" w:cstheme="minorHAnsi"/>
                <w:color w:val="000000"/>
              </w:rPr>
            </w:pPr>
            <w:r w:rsidRPr="002D1043">
              <w:rPr>
                <w:rFonts w:asciiTheme="minorHAnsi" w:hAnsiTheme="minorHAnsi" w:cstheme="minorHAnsi"/>
                <w:color w:val="000000"/>
              </w:rPr>
              <w:t>1.5</w:t>
            </w:r>
          </w:p>
        </w:tc>
        <w:tc>
          <w:tcPr>
            <w:tcW w:w="99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10C7CF4F" w14:textId="77777777">
            <w:pPr>
              <w:jc w:val="right"/>
              <w:rPr>
                <w:rFonts w:asciiTheme="minorHAnsi" w:hAnsiTheme="minorHAnsi" w:cstheme="minorHAnsi"/>
                <w:color w:val="000000"/>
              </w:rPr>
            </w:pPr>
            <w:r w:rsidRPr="002D1043">
              <w:rPr>
                <w:rFonts w:asciiTheme="minorHAnsi" w:hAnsiTheme="minorHAnsi" w:cstheme="minorHAnsi"/>
                <w:color w:val="000000"/>
              </w:rPr>
              <w:t>$50</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bottom"/>
          </w:tcPr>
          <w:p w:rsidR="00CC4B2F" w:rsidRPr="002D1043" w:rsidP="00CA5A39" w14:paraId="5C68BAED" w14:textId="77777777">
            <w:pPr>
              <w:rPr>
                <w:rFonts w:asciiTheme="minorHAnsi" w:hAnsiTheme="minorHAnsi" w:cstheme="minorHAnsi"/>
                <w:color w:val="000000" w:themeColor="text1"/>
              </w:rPr>
            </w:pPr>
            <w:r w:rsidRPr="002D1043">
              <w:rPr>
                <w:rFonts w:asciiTheme="minorHAnsi" w:hAnsiTheme="minorHAnsi" w:cstheme="minorHAnsi"/>
                <w:color w:val="000000" w:themeColor="text1"/>
              </w:rPr>
              <w:t>-Encourage sharing of experiences</w:t>
            </w:r>
          </w:p>
          <w:p w:rsidR="00CC4B2F" w:rsidRPr="002D1043" w:rsidP="00CA5A39" w14:paraId="38D7FCE6" w14:textId="77777777">
            <w:pPr>
              <w:rPr>
                <w:rFonts w:asciiTheme="minorHAnsi" w:hAnsiTheme="minorHAnsi" w:cstheme="minorHAnsi"/>
                <w:color w:val="000000" w:themeColor="text1"/>
              </w:rPr>
            </w:pPr>
            <w:r w:rsidRPr="002D1043">
              <w:rPr>
                <w:rFonts w:asciiTheme="minorHAnsi" w:hAnsiTheme="minorHAnsi" w:cstheme="minorHAnsi"/>
                <w:color w:val="000000" w:themeColor="text1"/>
              </w:rPr>
              <w:t>-Reduce nonresponse bias</w:t>
            </w:r>
          </w:p>
        </w:tc>
      </w:tr>
      <w:tr w14:paraId="3D926A26" w14:textId="77777777" w:rsidTr="004A69E1">
        <w:tblPrEx>
          <w:tblW w:w="9352" w:type="dxa"/>
          <w:jc w:val="center"/>
          <w:tblLayout w:type="fixed"/>
          <w:tblCellMar>
            <w:left w:w="100" w:type="dxa"/>
            <w:right w:w="100" w:type="dxa"/>
          </w:tblCellMar>
          <w:tblLook w:val="0000"/>
        </w:tblPrEx>
        <w:trPr>
          <w:cantSplit/>
          <w:trHeight w:val="384"/>
          <w:jc w:val="center"/>
        </w:trPr>
        <w:tc>
          <w:tcPr>
            <w:tcW w:w="1702" w:type="dxa"/>
            <w:tcBorders>
              <w:top w:val="double" w:sz="4" w:space="0" w:color="auto"/>
              <w:left w:val="single" w:sz="6" w:space="0" w:color="auto"/>
              <w:bottom w:val="single" w:sz="2" w:space="0" w:color="auto"/>
              <w:right w:val="nil"/>
            </w:tcBorders>
            <w:vAlign w:val="bottom"/>
          </w:tcPr>
          <w:p w:rsidR="00CC4B2F" w:rsidRPr="002D1043" w:rsidP="000E6C1B" w14:paraId="2A28AA57" w14:textId="77777777">
            <w:pPr>
              <w:jc w:val="center"/>
              <w:rPr>
                <w:rFonts w:asciiTheme="minorHAnsi" w:hAnsiTheme="minorHAnsi" w:cstheme="minorHAnsi"/>
                <w:b/>
                <w:bCs/>
              </w:rPr>
            </w:pPr>
            <w:r w:rsidRPr="002D1043">
              <w:rPr>
                <w:rFonts w:asciiTheme="minorHAnsi" w:hAnsiTheme="minorHAnsi" w:cstheme="minorHAnsi"/>
                <w:b/>
                <w:bCs/>
              </w:rPr>
              <w:t>Total</w:t>
            </w:r>
          </w:p>
        </w:tc>
        <w:tc>
          <w:tcPr>
            <w:tcW w:w="1620" w:type="dxa"/>
            <w:tcBorders>
              <w:top w:val="double" w:sz="4" w:space="0" w:color="auto"/>
              <w:left w:val="single" w:sz="6" w:space="0" w:color="auto"/>
              <w:bottom w:val="single" w:sz="2" w:space="0" w:color="auto"/>
              <w:right w:val="nil"/>
            </w:tcBorders>
            <w:vAlign w:val="bottom"/>
          </w:tcPr>
          <w:p w:rsidR="00CC4B2F" w:rsidRPr="002D1043" w:rsidP="00CA5A39" w14:paraId="751B84EC" w14:textId="77777777">
            <w:pPr>
              <w:jc w:val="center"/>
              <w:rPr>
                <w:rFonts w:asciiTheme="minorHAnsi" w:hAnsiTheme="minorHAnsi" w:cstheme="minorHAnsi"/>
                <w:b/>
                <w:bCs/>
              </w:rPr>
            </w:pPr>
          </w:p>
        </w:tc>
        <w:tc>
          <w:tcPr>
            <w:tcW w:w="1350" w:type="dxa"/>
            <w:tcBorders>
              <w:top w:val="double" w:sz="4" w:space="0" w:color="auto"/>
              <w:left w:val="single" w:sz="6" w:space="0" w:color="auto"/>
              <w:bottom w:val="single" w:sz="2" w:space="0" w:color="auto"/>
              <w:right w:val="nil"/>
            </w:tcBorders>
            <w:vAlign w:val="bottom"/>
          </w:tcPr>
          <w:p w:rsidR="00CC4B2F" w:rsidRPr="002D1043" w:rsidP="00CA5A39" w14:paraId="3BC75037" w14:textId="53F5469A">
            <w:pPr>
              <w:jc w:val="right"/>
              <w:rPr>
                <w:rFonts w:asciiTheme="minorHAnsi" w:hAnsiTheme="minorHAnsi" w:cstheme="minorHAnsi"/>
                <w:bCs/>
              </w:rPr>
            </w:pPr>
            <w:r w:rsidRPr="002D1043">
              <w:rPr>
                <w:rFonts w:asciiTheme="minorHAnsi" w:hAnsiTheme="minorHAnsi" w:cstheme="minorHAnsi"/>
                <w:bCs/>
              </w:rPr>
              <w:t>150</w:t>
            </w:r>
          </w:p>
        </w:tc>
        <w:tc>
          <w:tcPr>
            <w:tcW w:w="1170" w:type="dxa"/>
            <w:tcBorders>
              <w:top w:val="double" w:sz="4" w:space="0" w:color="auto"/>
              <w:left w:val="single" w:sz="6" w:space="0" w:color="auto"/>
              <w:bottom w:val="single" w:sz="2" w:space="0" w:color="auto"/>
              <w:right w:val="nil"/>
            </w:tcBorders>
            <w:vAlign w:val="bottom"/>
          </w:tcPr>
          <w:p w:rsidR="00CC4B2F" w:rsidRPr="002D1043" w:rsidP="00CA5A39" w14:paraId="685D18D5" w14:textId="77777777">
            <w:pPr>
              <w:jc w:val="right"/>
              <w:rPr>
                <w:rFonts w:asciiTheme="minorHAnsi" w:hAnsiTheme="minorHAnsi" w:cstheme="minorHAnsi"/>
              </w:rPr>
            </w:pPr>
          </w:p>
        </w:tc>
        <w:tc>
          <w:tcPr>
            <w:tcW w:w="990" w:type="dxa"/>
            <w:tcBorders>
              <w:top w:val="double" w:sz="4" w:space="0" w:color="auto"/>
              <w:left w:val="single" w:sz="6" w:space="0" w:color="auto"/>
              <w:bottom w:val="single" w:sz="2" w:space="0" w:color="auto"/>
              <w:right w:val="nil"/>
            </w:tcBorders>
            <w:vAlign w:val="bottom"/>
          </w:tcPr>
          <w:p w:rsidR="00CC4B2F" w:rsidRPr="002D1043" w:rsidP="00CA5A39" w14:paraId="568E8ED3" w14:textId="77777777">
            <w:pPr>
              <w:jc w:val="right"/>
              <w:rPr>
                <w:rFonts w:asciiTheme="minorHAnsi" w:hAnsiTheme="minorHAnsi" w:cstheme="minorHAnsi"/>
                <w:bCs/>
              </w:rPr>
            </w:pPr>
          </w:p>
        </w:tc>
        <w:tc>
          <w:tcPr>
            <w:tcW w:w="2520" w:type="dxa"/>
            <w:tcBorders>
              <w:top w:val="double" w:sz="4" w:space="0" w:color="auto"/>
              <w:left w:val="single" w:sz="6" w:space="0" w:color="auto"/>
              <w:bottom w:val="single" w:sz="2" w:space="0" w:color="auto"/>
              <w:right w:val="single" w:sz="6" w:space="0" w:color="auto"/>
            </w:tcBorders>
            <w:vAlign w:val="bottom"/>
          </w:tcPr>
          <w:p w:rsidR="00CC4B2F" w:rsidRPr="002D1043" w:rsidP="00CA5A39" w14:paraId="360A20A0" w14:textId="77777777">
            <w:pPr>
              <w:jc w:val="right"/>
              <w:rPr>
                <w:rFonts w:asciiTheme="minorHAnsi" w:hAnsiTheme="minorHAnsi" w:cstheme="minorHAnsi"/>
                <w:color w:val="000000"/>
              </w:rPr>
            </w:pPr>
          </w:p>
        </w:tc>
      </w:tr>
    </w:tbl>
    <w:p w:rsidR="000F73B2" w:rsidRPr="002D1043" w:rsidP="00B3565C" w14:paraId="3D91DE41" w14:textId="30AA735A">
      <w:pPr>
        <w:rPr>
          <w:rFonts w:asciiTheme="minorHAnsi" w:hAnsiTheme="minorHAnsi" w:cstheme="minorHAnsi"/>
        </w:rPr>
      </w:pPr>
      <w:r w:rsidRPr="002D1043">
        <w:rPr>
          <w:rFonts w:asciiTheme="minorHAnsi" w:hAnsiTheme="minorHAnsi" w:cstheme="minorHAnsi"/>
          <w:b/>
          <w:bCs/>
        </w:rPr>
        <w:t>*</w:t>
      </w:r>
      <w:r w:rsidRPr="002D1043">
        <w:rPr>
          <w:rFonts w:asciiTheme="minorHAnsi" w:hAnsiTheme="minorHAnsi" w:cstheme="minorHAnsi"/>
          <w:szCs w:val="20"/>
        </w:rPr>
        <w:t>There may be variation in the number of study participants.</w:t>
      </w:r>
    </w:p>
    <w:p w:rsidR="009B3794" w:rsidRPr="008332D2" w:rsidP="00CA3DA6" w14:paraId="22E2A32E" w14:textId="77777777">
      <w:pPr>
        <w:numPr>
          <w:ilvl w:val="0"/>
          <w:numId w:val="2"/>
        </w:numPr>
        <w:tabs>
          <w:tab w:val="num" w:pos="360"/>
          <w:tab w:val="clear" w:pos="1080"/>
        </w:tabs>
        <w:spacing w:before="240"/>
        <w:ind w:left="360"/>
        <w:rPr>
          <w:rFonts w:ascii="Calibri Light" w:hAnsi="Calibri Light" w:cs="Calibri Light"/>
          <w:bCs/>
          <w:color w:val="2F5496"/>
          <w:sz w:val="26"/>
          <w:szCs w:val="26"/>
        </w:rPr>
      </w:pPr>
      <w:r w:rsidRPr="008332D2">
        <w:rPr>
          <w:rFonts w:ascii="Calibri Light" w:hAnsi="Calibri Light" w:cs="Calibri Light"/>
          <w:bCs/>
          <w:color w:val="2F5496"/>
          <w:sz w:val="26"/>
          <w:szCs w:val="26"/>
        </w:rPr>
        <w:t>Assurance of Confidentiality Provided to Respondents</w:t>
      </w:r>
    </w:p>
    <w:p w:rsidR="00A91A59" w:rsidRPr="002D1043" w:rsidP="00A91A59" w14:paraId="0D2AEAA8" w14:textId="466E693A">
      <w:pPr>
        <w:rPr>
          <w:rFonts w:asciiTheme="minorHAnsi" w:hAnsiTheme="minorHAnsi" w:cstheme="minorHAnsi"/>
          <w:sz w:val="22"/>
          <w:szCs w:val="22"/>
        </w:rPr>
      </w:pPr>
      <w:r w:rsidRPr="002D1043">
        <w:rPr>
          <w:rFonts w:eastAsia="Calibri" w:asciiTheme="minorHAnsi" w:hAnsiTheme="minorHAnsi" w:cstheme="minorHAnsi"/>
          <w:color w:val="000000" w:themeColor="text1"/>
          <w:sz w:val="22"/>
          <w:szCs w:val="22"/>
        </w:rPr>
        <w:t xml:space="preserve">Participation in all data collection activities is voluntary. All respondents will be informed that their responses will be kept private to the extent allowable by the law. </w:t>
      </w:r>
      <w:r w:rsidRPr="002D1043">
        <w:rPr>
          <w:rStyle w:val="normaltextrun"/>
          <w:rFonts w:asciiTheme="minorHAnsi" w:hAnsiTheme="minorHAnsi" w:cstheme="minorHAnsi"/>
          <w:color w:val="000000"/>
          <w:sz w:val="22"/>
          <w:szCs w:val="22"/>
          <w:shd w:val="clear" w:color="auto" w:fill="FFFFFF"/>
        </w:rPr>
        <w:t xml:space="preserve">For </w:t>
      </w:r>
      <w:r w:rsidRPr="002D1043" w:rsidR="58DF2E2E">
        <w:rPr>
          <w:rStyle w:val="normaltextrun"/>
          <w:rFonts w:asciiTheme="minorHAnsi" w:hAnsiTheme="minorHAnsi" w:cstheme="minorHAnsi"/>
          <w:color w:val="000000"/>
          <w:sz w:val="22"/>
          <w:szCs w:val="22"/>
          <w:shd w:val="clear" w:color="auto" w:fill="FFFFFF"/>
        </w:rPr>
        <w:t xml:space="preserve">the recruitment survey and </w:t>
      </w:r>
      <w:r w:rsidRPr="002D1043">
        <w:rPr>
          <w:rStyle w:val="normaltextrun"/>
          <w:rFonts w:asciiTheme="minorHAnsi" w:hAnsiTheme="minorHAnsi" w:cstheme="minorHAnsi"/>
          <w:color w:val="000000"/>
          <w:sz w:val="22"/>
          <w:szCs w:val="22"/>
          <w:shd w:val="clear" w:color="auto" w:fill="FFFFFF"/>
        </w:rPr>
        <w:t xml:space="preserve">interviews, this means that their </w:t>
      </w:r>
      <w:r w:rsidRPr="002D1043" w:rsidR="003F1E95">
        <w:rPr>
          <w:rStyle w:val="normaltextrun"/>
          <w:rFonts w:asciiTheme="minorHAnsi" w:hAnsiTheme="minorHAnsi" w:cstheme="minorHAnsi"/>
          <w:color w:val="000000" w:themeColor="text1"/>
          <w:sz w:val="22"/>
          <w:szCs w:val="22"/>
        </w:rPr>
        <w:t xml:space="preserve">individual </w:t>
      </w:r>
      <w:r w:rsidRPr="002D1043">
        <w:rPr>
          <w:rStyle w:val="normaltextrun"/>
          <w:rFonts w:asciiTheme="minorHAnsi" w:hAnsiTheme="minorHAnsi" w:cstheme="minorHAnsi"/>
          <w:color w:val="000000"/>
          <w:sz w:val="22"/>
          <w:szCs w:val="22"/>
          <w:shd w:val="clear" w:color="auto" w:fill="FFFFFF"/>
        </w:rPr>
        <w:t xml:space="preserve">responses will not be shared with anyone outside of the study team. For focus groups, this means that the study team will not share any of their individual responses with </w:t>
      </w:r>
      <w:r w:rsidR="000E6C1B">
        <w:rPr>
          <w:rStyle w:val="normaltextrun"/>
          <w:rFonts w:asciiTheme="minorHAnsi" w:hAnsiTheme="minorHAnsi" w:cstheme="minorHAnsi"/>
          <w:color w:val="000000"/>
          <w:sz w:val="22"/>
          <w:szCs w:val="22"/>
          <w:shd w:val="clear" w:color="auto" w:fill="FFFFFF"/>
        </w:rPr>
        <w:t>anyone outside of the study team</w:t>
      </w:r>
      <w:r w:rsidRPr="002D1043">
        <w:rPr>
          <w:rStyle w:val="normaltextrun"/>
          <w:rFonts w:asciiTheme="minorHAnsi" w:hAnsiTheme="minorHAnsi" w:cstheme="minorHAnsi"/>
          <w:color w:val="000000"/>
          <w:sz w:val="22"/>
          <w:szCs w:val="22"/>
          <w:shd w:val="clear" w:color="auto" w:fill="FFFFFF"/>
        </w:rPr>
        <w:t xml:space="preserve"> or</w:t>
      </w:r>
      <w:r w:rsidR="000E6C1B">
        <w:rPr>
          <w:rStyle w:val="normaltextrun"/>
          <w:rFonts w:asciiTheme="minorHAnsi" w:hAnsiTheme="minorHAnsi" w:cstheme="minorHAnsi"/>
          <w:color w:val="000000"/>
          <w:sz w:val="22"/>
          <w:szCs w:val="22"/>
          <w:shd w:val="clear" w:color="auto" w:fill="FFFFFF"/>
        </w:rPr>
        <w:t xml:space="preserve"> identified</w:t>
      </w:r>
      <w:r w:rsidRPr="002D1043">
        <w:rPr>
          <w:rStyle w:val="normaltextrun"/>
          <w:rFonts w:asciiTheme="minorHAnsi" w:hAnsiTheme="minorHAnsi" w:cstheme="minorHAnsi"/>
          <w:color w:val="000000"/>
          <w:sz w:val="22"/>
          <w:szCs w:val="22"/>
          <w:shd w:val="clear" w:color="auto" w:fill="FFFFFF"/>
        </w:rPr>
        <w:t xml:space="preserve"> in any report. However, given the nature of a focus group (i.e., multiple respondents sharing information together), all respondents will hear responses from the group and privacy cannot be fully guaranteed. The focus group facilitators will ask that respondents do not share any information or personal experiences that they hear from others during the group. </w:t>
      </w:r>
      <w:r w:rsidRPr="002D1043">
        <w:rPr>
          <w:rFonts w:asciiTheme="minorHAnsi" w:hAnsiTheme="minorHAnsi" w:cstheme="minorHAnsi"/>
          <w:sz w:val="22"/>
          <w:szCs w:val="22"/>
        </w:rPr>
        <w:t>Respondents will also be told the purposes for which the information is collected and that any identifiable information about them will not be used or disclosed for any other purpose. All data will be aggregated and de-identified for reporting purposes.</w:t>
      </w:r>
    </w:p>
    <w:p w:rsidR="00A91A59" w:rsidRPr="002D1043" w:rsidP="00A91A59" w14:paraId="5B92D61C" w14:textId="77777777">
      <w:pPr>
        <w:rPr>
          <w:rFonts w:asciiTheme="minorHAnsi" w:hAnsiTheme="minorHAnsi" w:cstheme="minorHAnsi"/>
          <w:color w:val="000000"/>
          <w:sz w:val="22"/>
          <w:szCs w:val="22"/>
          <w:shd w:val="clear" w:color="auto" w:fill="FFFFFF"/>
        </w:rPr>
      </w:pPr>
    </w:p>
    <w:p w:rsidR="00A91A59" w:rsidRPr="002D1043" w:rsidP="00A91A59" w14:paraId="32B045BC" w14:textId="5B66F9DF">
      <w:pPr>
        <w:rPr>
          <w:rFonts w:eastAsia="Calibri" w:asciiTheme="minorHAnsi" w:hAnsiTheme="minorHAnsi" w:cstheme="minorHAnsi"/>
          <w:color w:val="000000" w:themeColor="text1"/>
          <w:sz w:val="22"/>
          <w:szCs w:val="22"/>
        </w:rPr>
      </w:pPr>
      <w:r w:rsidRPr="002D1043">
        <w:rPr>
          <w:rFonts w:eastAsia="Calibri" w:asciiTheme="minorHAnsi" w:hAnsiTheme="minorHAnsi" w:cstheme="minorHAnsi"/>
          <w:color w:val="000000" w:themeColor="text1"/>
          <w:sz w:val="22"/>
          <w:szCs w:val="22"/>
        </w:rPr>
        <w:t xml:space="preserve">All individual </w:t>
      </w:r>
      <w:r w:rsidRPr="002D1043" w:rsidR="003F1E95">
        <w:rPr>
          <w:rFonts w:eastAsia="Calibri" w:asciiTheme="minorHAnsi" w:hAnsiTheme="minorHAnsi" w:cstheme="minorHAnsi"/>
          <w:color w:val="000000" w:themeColor="text1"/>
          <w:sz w:val="22"/>
          <w:szCs w:val="22"/>
        </w:rPr>
        <w:t xml:space="preserve">recruitment survey </w:t>
      </w:r>
      <w:r w:rsidRPr="002D1043">
        <w:rPr>
          <w:rFonts w:eastAsia="Calibri" w:asciiTheme="minorHAnsi" w:hAnsiTheme="minorHAnsi" w:cstheme="minorHAnsi"/>
          <w:color w:val="000000" w:themeColor="text1"/>
          <w:sz w:val="22"/>
          <w:szCs w:val="22"/>
        </w:rPr>
        <w:t xml:space="preserve">data, as well as names and email addresses which are needed for incentives, will be stored in </w:t>
      </w:r>
      <w:r w:rsidRPr="002D1043">
        <w:rPr>
          <w:rFonts w:eastAsia="Calibri" w:asciiTheme="minorHAnsi" w:hAnsiTheme="minorHAnsi" w:cstheme="minorHAnsi"/>
          <w:color w:val="000000" w:themeColor="text1"/>
          <w:sz w:val="22"/>
          <w:szCs w:val="22"/>
        </w:rPr>
        <w:t>REDCap</w:t>
      </w:r>
      <w:r w:rsidRPr="002D1043">
        <w:rPr>
          <w:rFonts w:eastAsia="Calibri" w:asciiTheme="minorHAnsi" w:hAnsiTheme="minorHAnsi" w:cstheme="minorHAnsi"/>
          <w:color w:val="000000" w:themeColor="text1"/>
          <w:sz w:val="22"/>
          <w:szCs w:val="22"/>
        </w:rPr>
        <w:t xml:space="preserve">. For the </w:t>
      </w:r>
      <w:r w:rsidR="00B65146">
        <w:rPr>
          <w:rFonts w:eastAsia="Calibri" w:asciiTheme="minorHAnsi" w:hAnsiTheme="minorHAnsi" w:cstheme="minorHAnsi"/>
          <w:color w:val="000000" w:themeColor="text1"/>
          <w:sz w:val="22"/>
          <w:szCs w:val="22"/>
        </w:rPr>
        <w:t>r</w:t>
      </w:r>
      <w:r w:rsidRPr="002D1043" w:rsidR="004903E7">
        <w:rPr>
          <w:rFonts w:eastAsia="Calibri" w:asciiTheme="minorHAnsi" w:hAnsiTheme="minorHAnsi" w:cstheme="minorHAnsi"/>
          <w:color w:val="000000" w:themeColor="text1"/>
          <w:sz w:val="22"/>
          <w:szCs w:val="22"/>
        </w:rPr>
        <w:t xml:space="preserve">ecruitment </w:t>
      </w:r>
      <w:r w:rsidR="00B65146">
        <w:rPr>
          <w:rFonts w:eastAsia="Calibri" w:asciiTheme="minorHAnsi" w:hAnsiTheme="minorHAnsi" w:cstheme="minorHAnsi"/>
          <w:color w:val="000000" w:themeColor="text1"/>
          <w:sz w:val="22"/>
          <w:szCs w:val="22"/>
        </w:rPr>
        <w:t>s</w:t>
      </w:r>
      <w:r w:rsidRPr="002D1043">
        <w:rPr>
          <w:rFonts w:eastAsia="Calibri" w:asciiTheme="minorHAnsi" w:hAnsiTheme="minorHAnsi" w:cstheme="minorHAnsi"/>
          <w:color w:val="000000" w:themeColor="text1"/>
          <w:sz w:val="22"/>
          <w:szCs w:val="22"/>
        </w:rPr>
        <w:t>urvey</w:t>
      </w:r>
      <w:r w:rsidRPr="002D1043" w:rsidR="004903E7">
        <w:rPr>
          <w:rFonts w:eastAsia="Calibri" w:asciiTheme="minorHAnsi" w:hAnsiTheme="minorHAnsi" w:cstheme="minorHAnsi"/>
          <w:color w:val="000000" w:themeColor="text1"/>
          <w:sz w:val="22"/>
          <w:szCs w:val="22"/>
        </w:rPr>
        <w:t xml:space="preserve">, </w:t>
      </w:r>
      <w:r w:rsidRPr="002D1043">
        <w:rPr>
          <w:rFonts w:eastAsia="Calibri" w:asciiTheme="minorHAnsi" w:hAnsiTheme="minorHAnsi" w:cstheme="minorHAnsi"/>
          <w:color w:val="000000" w:themeColor="text1"/>
          <w:sz w:val="22"/>
          <w:szCs w:val="22"/>
        </w:rPr>
        <w:t xml:space="preserve">respondents' names and email addresses will be accessible by the study team in </w:t>
      </w:r>
      <w:r w:rsidRPr="002D1043">
        <w:rPr>
          <w:rFonts w:eastAsia="Calibri" w:asciiTheme="minorHAnsi" w:hAnsiTheme="minorHAnsi" w:cstheme="minorHAnsi"/>
          <w:color w:val="000000" w:themeColor="text1"/>
          <w:sz w:val="22"/>
          <w:szCs w:val="22"/>
        </w:rPr>
        <w:t>REDCap</w:t>
      </w:r>
      <w:r w:rsidRPr="002D1043">
        <w:rPr>
          <w:rFonts w:eastAsia="Calibri" w:asciiTheme="minorHAnsi" w:hAnsiTheme="minorHAnsi" w:cstheme="minorHAnsi"/>
          <w:color w:val="000000" w:themeColor="text1"/>
          <w:sz w:val="22"/>
          <w:szCs w:val="22"/>
        </w:rPr>
        <w:t xml:space="preserve"> so that the study team can reach out directly to respondents who are interested in participating in interviews and focus group</w:t>
      </w:r>
      <w:r w:rsidRPr="002D1043" w:rsidR="00136BB2">
        <w:rPr>
          <w:rFonts w:eastAsia="Calibri" w:asciiTheme="minorHAnsi" w:hAnsiTheme="minorHAnsi" w:cstheme="minorHAnsi"/>
          <w:color w:val="000000" w:themeColor="text1"/>
          <w:sz w:val="22"/>
          <w:szCs w:val="22"/>
        </w:rPr>
        <w:t>. P</w:t>
      </w:r>
      <w:r w:rsidRPr="002D1043">
        <w:rPr>
          <w:rFonts w:eastAsia="Calibri" w:asciiTheme="minorHAnsi" w:hAnsiTheme="minorHAnsi" w:cstheme="minorHAnsi"/>
          <w:color w:val="000000" w:themeColor="text1"/>
          <w:sz w:val="22"/>
          <w:szCs w:val="22"/>
        </w:rPr>
        <w:t>eople participating in interviews or focus groups will be asked to share their first names during the interview and focus groups so that interviewers and facilitators can refer to respondents by their names. Interview and focus group data will also be stored in an electronic system separately from personal identifiers.  All interviews and focus groups will occur on Microsoft Teams, a secure video-conferencing platform. Focus groups and interviews will be recorded. The recordings, notes, and transcriptions will be saved to a secure drive and only the study team will have access to it.</w:t>
      </w:r>
    </w:p>
    <w:p w:rsidR="009B3794" w:rsidRPr="002D1043" w:rsidP="00A91A59" w14:paraId="22E2A335" w14:textId="006A0E81">
      <w:pPr>
        <w:widowControl/>
        <w:spacing w:before="120"/>
        <w:rPr>
          <w:rFonts w:asciiTheme="minorHAnsi" w:hAnsiTheme="minorHAnsi" w:cstheme="minorHAnsi"/>
          <w:sz w:val="22"/>
          <w:szCs w:val="22"/>
        </w:rPr>
      </w:pPr>
      <w:r w:rsidRPr="00DB2C22">
        <w:rPr>
          <w:rFonts w:eastAsia="Calibri" w:asciiTheme="minorHAnsi" w:hAnsiTheme="minorHAnsi" w:cstheme="minorHAnsi"/>
          <w:color w:val="000000" w:themeColor="text1"/>
          <w:sz w:val="22"/>
          <w:szCs w:val="22"/>
        </w:rPr>
        <w:t xml:space="preserve">This </w:t>
      </w:r>
      <w:r w:rsidRPr="00DB2C22" w:rsidR="00694C85">
        <w:rPr>
          <w:rFonts w:eastAsia="Calibri" w:asciiTheme="minorHAnsi" w:hAnsiTheme="minorHAnsi" w:cstheme="minorHAnsi"/>
          <w:color w:val="000000" w:themeColor="text1"/>
          <w:sz w:val="22"/>
          <w:szCs w:val="22"/>
        </w:rPr>
        <w:t>information collection</w:t>
      </w:r>
      <w:r w:rsidRPr="00DB2C22">
        <w:rPr>
          <w:rFonts w:eastAsia="Calibri" w:asciiTheme="minorHAnsi" w:hAnsiTheme="minorHAnsi" w:cstheme="minorHAnsi"/>
          <w:color w:val="000000" w:themeColor="text1"/>
          <w:sz w:val="22"/>
          <w:szCs w:val="22"/>
        </w:rPr>
        <w:t xml:space="preserve"> was reviewed and approved by the Child Trends Institutional Review Board (IRB). See Appendix </w:t>
      </w:r>
      <w:r w:rsidR="00796ADD">
        <w:rPr>
          <w:rFonts w:eastAsia="Calibri" w:asciiTheme="minorHAnsi" w:hAnsiTheme="minorHAnsi" w:cstheme="minorHAnsi"/>
          <w:color w:val="000000" w:themeColor="text1"/>
          <w:sz w:val="22"/>
          <w:szCs w:val="22"/>
        </w:rPr>
        <w:t>B</w:t>
      </w:r>
      <w:r w:rsidRPr="00DB2C22">
        <w:rPr>
          <w:rFonts w:eastAsia="Calibri" w:asciiTheme="minorHAnsi" w:hAnsiTheme="minorHAnsi" w:cstheme="minorHAnsi"/>
          <w:color w:val="000000" w:themeColor="text1"/>
          <w:sz w:val="22"/>
          <w:szCs w:val="22"/>
        </w:rPr>
        <w:t xml:space="preserve"> for documentation of initial IRB approval. The Child Trends IRB operates under Federal-wide Assurance Number 00005835, and thereby adheres to the requirements in the HHS </w:t>
      </w:r>
      <w:r w:rsidRPr="00DB2C22">
        <w:rPr>
          <w:rFonts w:eastAsia="Calibri" w:asciiTheme="minorHAnsi" w:hAnsiTheme="minorHAnsi" w:cstheme="minorHAnsi"/>
          <w:color w:val="000000" w:themeColor="text1"/>
          <w:sz w:val="22"/>
          <w:szCs w:val="22"/>
        </w:rPr>
        <w:t>Protection of Human Subjects regulations at 45 CFR Part 46. Final IRB approval will be obtained prior to the beginning of any data collection activities when OMB and any local approvals are in place.</w:t>
      </w:r>
    </w:p>
    <w:p w:rsidR="009B3794" w:rsidRPr="008332D2" w:rsidP="00CA3DA6" w14:paraId="22E2A336" w14:textId="77777777">
      <w:pPr>
        <w:numPr>
          <w:ilvl w:val="0"/>
          <w:numId w:val="2"/>
        </w:numPr>
        <w:tabs>
          <w:tab w:val="num" w:pos="360"/>
          <w:tab w:val="clear" w:pos="1080"/>
        </w:tabs>
        <w:spacing w:before="240"/>
        <w:ind w:left="360"/>
        <w:rPr>
          <w:rFonts w:ascii="Calibri Light" w:hAnsi="Calibri Light" w:cs="Calibri Light"/>
          <w:bCs/>
          <w:color w:val="2F5496"/>
          <w:sz w:val="26"/>
          <w:szCs w:val="26"/>
        </w:rPr>
      </w:pPr>
      <w:r w:rsidRPr="008332D2">
        <w:rPr>
          <w:rFonts w:ascii="Calibri Light" w:hAnsi="Calibri Light" w:cs="Calibri Light"/>
          <w:bCs/>
          <w:color w:val="2F5496"/>
          <w:sz w:val="26"/>
          <w:szCs w:val="26"/>
        </w:rPr>
        <w:t>Justification for Sensitive Questions</w:t>
      </w:r>
    </w:p>
    <w:p w:rsidR="004D3089" w:rsidRPr="002D1043" w:rsidP="004D3089" w14:paraId="2BCF505F" w14:textId="6D108E4A">
      <w:pPr>
        <w:spacing w:before="240"/>
        <w:rPr>
          <w:rFonts w:asciiTheme="minorHAnsi" w:hAnsiTheme="minorHAnsi" w:cstheme="minorHAnsi"/>
          <w:sz w:val="22"/>
          <w:szCs w:val="22"/>
        </w:rPr>
      </w:pPr>
      <w:r w:rsidRPr="002D1043">
        <w:rPr>
          <w:rFonts w:asciiTheme="minorHAnsi" w:hAnsiTheme="minorHAnsi" w:cstheme="minorHAnsi"/>
          <w:sz w:val="22"/>
          <w:szCs w:val="22"/>
        </w:rPr>
        <w:t xml:space="preserve">In support of HRSA’s commitment to incorporating racially equitable approaches into research and the Executive Order </w:t>
      </w:r>
      <w:r w:rsidRPr="002D1043">
        <w:rPr>
          <w:rFonts w:asciiTheme="minorHAnsi" w:hAnsiTheme="minorHAnsi" w:cstheme="minorHAnsi"/>
          <w:i/>
          <w:iCs/>
          <w:sz w:val="22"/>
          <w:szCs w:val="22"/>
        </w:rPr>
        <w:t>Advancing Racial Equity and Support for Underserved Communities Through the Federal Government</w:t>
      </w:r>
      <w:r w:rsidRPr="002D1043">
        <w:rPr>
          <w:rFonts w:asciiTheme="minorHAnsi" w:hAnsiTheme="minorHAnsi" w:cstheme="minorHAnsi"/>
          <w:sz w:val="22"/>
          <w:szCs w:val="22"/>
        </w:rPr>
        <w:t xml:space="preserve"> (January 21, 2021), this information collection will collect race and ethnicity data through the Recruitment Survey.</w:t>
      </w:r>
      <w:r w:rsidRPr="002D1043" w:rsidR="005058B0">
        <w:rPr>
          <w:rFonts w:asciiTheme="minorHAnsi" w:hAnsiTheme="minorHAnsi" w:cstheme="minorHAnsi"/>
          <w:sz w:val="22"/>
          <w:szCs w:val="22"/>
        </w:rPr>
        <w:t xml:space="preserve"> </w:t>
      </w:r>
      <w:r w:rsidRPr="002D1043" w:rsidR="00283CB5">
        <w:rPr>
          <w:rFonts w:asciiTheme="minorHAnsi" w:hAnsiTheme="minorHAnsi" w:cstheme="minorHAnsi"/>
          <w:sz w:val="22"/>
          <w:szCs w:val="22"/>
        </w:rPr>
        <w:t xml:space="preserve">Completing these survey questions will be optional. This information will be used to describe the study </w:t>
      </w:r>
      <w:r w:rsidRPr="002D1043" w:rsidR="00136BB2">
        <w:rPr>
          <w:rFonts w:asciiTheme="minorHAnsi" w:hAnsiTheme="minorHAnsi" w:cstheme="minorHAnsi"/>
          <w:sz w:val="22"/>
          <w:szCs w:val="22"/>
        </w:rPr>
        <w:t>sample and</w:t>
      </w:r>
      <w:r w:rsidRPr="002D1043" w:rsidR="00D92F80">
        <w:rPr>
          <w:rFonts w:asciiTheme="minorHAnsi" w:hAnsiTheme="minorHAnsi" w:cstheme="minorHAnsi"/>
          <w:sz w:val="22"/>
          <w:szCs w:val="22"/>
        </w:rPr>
        <w:t xml:space="preserve"> </w:t>
      </w:r>
      <w:r w:rsidRPr="002D1043" w:rsidR="002E7BBA">
        <w:rPr>
          <w:rFonts w:asciiTheme="minorHAnsi" w:hAnsiTheme="minorHAnsi" w:cstheme="minorHAnsi"/>
          <w:sz w:val="22"/>
          <w:szCs w:val="22"/>
        </w:rPr>
        <w:t xml:space="preserve">ensure that participants from historically underserved and marginalized populations are included in this information collection. </w:t>
      </w:r>
    </w:p>
    <w:p w:rsidR="00EF7C60" w:rsidRPr="002D1043" w:rsidP="004D3089" w14:paraId="288FAD94" w14:textId="24A4DA69">
      <w:pPr>
        <w:spacing w:before="240"/>
        <w:rPr>
          <w:rFonts w:asciiTheme="minorHAnsi" w:hAnsiTheme="minorHAnsi" w:cstheme="minorHAnsi"/>
          <w:sz w:val="22"/>
          <w:szCs w:val="22"/>
        </w:rPr>
      </w:pPr>
      <w:r w:rsidRPr="002D1043">
        <w:rPr>
          <w:rFonts w:asciiTheme="minorHAnsi" w:hAnsiTheme="minorHAnsi" w:cstheme="minorHAnsi"/>
          <w:sz w:val="22"/>
          <w:szCs w:val="22"/>
        </w:rPr>
        <w:t xml:space="preserve">Respondents will also be asked to </w:t>
      </w:r>
      <w:r w:rsidRPr="002D1043" w:rsidR="006E7723">
        <w:rPr>
          <w:rFonts w:asciiTheme="minorHAnsi" w:hAnsiTheme="minorHAnsi" w:cstheme="minorHAnsi"/>
          <w:sz w:val="22"/>
          <w:szCs w:val="22"/>
        </w:rPr>
        <w:t xml:space="preserve">answer questions related to their experiences with supervision. </w:t>
      </w:r>
      <w:r w:rsidRPr="002D1043" w:rsidR="00C502A4">
        <w:rPr>
          <w:rFonts w:asciiTheme="minorHAnsi" w:hAnsiTheme="minorHAnsi" w:cstheme="minorHAnsi"/>
          <w:sz w:val="22"/>
          <w:szCs w:val="22"/>
        </w:rPr>
        <w:t xml:space="preserve">If they have had negative experiences with supervision, this could cause discomfort. </w:t>
      </w:r>
      <w:r w:rsidRPr="002D1043" w:rsidR="00E72DB3">
        <w:rPr>
          <w:rFonts w:asciiTheme="minorHAnsi" w:hAnsiTheme="minorHAnsi" w:cstheme="minorHAnsi"/>
          <w:sz w:val="22"/>
          <w:szCs w:val="22"/>
        </w:rPr>
        <w:t xml:space="preserve">The study team will mitigate this risk by allowing and reminding participants to skip questions that they are not comfortable answering. Some participants </w:t>
      </w:r>
      <w:r w:rsidRPr="002D1043" w:rsidR="00136299">
        <w:rPr>
          <w:rFonts w:asciiTheme="minorHAnsi" w:hAnsiTheme="minorHAnsi" w:cstheme="minorHAnsi"/>
          <w:sz w:val="22"/>
          <w:szCs w:val="22"/>
        </w:rPr>
        <w:t xml:space="preserve">may also be concerned that their responses will affect their job or role. To minimize this risk, in addition to reminding participants that they can refrain from answering </w:t>
      </w:r>
      <w:r w:rsidRPr="002D1043" w:rsidR="00E43BF8">
        <w:rPr>
          <w:rFonts w:asciiTheme="minorHAnsi" w:hAnsiTheme="minorHAnsi" w:cstheme="minorHAnsi"/>
          <w:sz w:val="22"/>
          <w:szCs w:val="22"/>
        </w:rPr>
        <w:t>questions that</w:t>
      </w:r>
      <w:r w:rsidRPr="002D1043" w:rsidR="00136299">
        <w:rPr>
          <w:rFonts w:asciiTheme="minorHAnsi" w:hAnsiTheme="minorHAnsi" w:cstheme="minorHAnsi"/>
          <w:sz w:val="22"/>
          <w:szCs w:val="22"/>
        </w:rPr>
        <w:t xml:space="preserve"> make them uncomfortable, interview participants will be reminded that their answers are confidential. Focus group participants will be told about the importance of maintaining confidentiality and reminded that </w:t>
      </w:r>
      <w:r w:rsidRPr="002D1043" w:rsidR="00947DBA">
        <w:rPr>
          <w:rFonts w:asciiTheme="minorHAnsi" w:hAnsiTheme="minorHAnsi" w:cstheme="minorHAnsi"/>
          <w:sz w:val="22"/>
          <w:szCs w:val="22"/>
        </w:rPr>
        <w:t xml:space="preserve">confidentiality cannot be guaranteed in a focus group setting. </w:t>
      </w:r>
      <w:r w:rsidRPr="002D1043" w:rsidR="005A10B5">
        <w:rPr>
          <w:rFonts w:asciiTheme="minorHAnsi" w:hAnsiTheme="minorHAnsi" w:cstheme="minorHAnsi"/>
          <w:sz w:val="22"/>
          <w:szCs w:val="22"/>
        </w:rPr>
        <w:t>We will also mitigate this risk by</w:t>
      </w:r>
      <w:r w:rsidRPr="002D1043" w:rsidR="00397B1F">
        <w:rPr>
          <w:rFonts w:asciiTheme="minorHAnsi" w:hAnsiTheme="minorHAnsi" w:cstheme="minorHAnsi"/>
          <w:sz w:val="22"/>
          <w:szCs w:val="22"/>
        </w:rPr>
        <w:t xml:space="preserve"> not</w:t>
      </w:r>
      <w:r w:rsidRPr="002D1043" w:rsidR="001D46AD">
        <w:rPr>
          <w:rFonts w:asciiTheme="minorHAnsi" w:hAnsiTheme="minorHAnsi" w:cstheme="minorHAnsi"/>
          <w:sz w:val="22"/>
          <w:szCs w:val="22"/>
        </w:rPr>
        <w:t xml:space="preserve"> including</w:t>
      </w:r>
      <w:r w:rsidRPr="002D1043" w:rsidR="00397B1F">
        <w:rPr>
          <w:rFonts w:asciiTheme="minorHAnsi" w:hAnsiTheme="minorHAnsi" w:cstheme="minorHAnsi"/>
          <w:sz w:val="22"/>
          <w:szCs w:val="22"/>
        </w:rPr>
        <w:t xml:space="preserve"> supervisors and home visitors in the same focus groups.</w:t>
      </w:r>
    </w:p>
    <w:p w:rsidR="009B3794" w:rsidRPr="008332D2" w:rsidP="00CA3DA6" w14:paraId="22E2A33C" w14:textId="3FB20750">
      <w:pPr>
        <w:numPr>
          <w:ilvl w:val="0"/>
          <w:numId w:val="2"/>
        </w:numPr>
        <w:tabs>
          <w:tab w:val="num" w:pos="360"/>
          <w:tab w:val="clear" w:pos="1080"/>
        </w:tabs>
        <w:spacing w:before="240"/>
        <w:ind w:left="360"/>
        <w:rPr>
          <w:rFonts w:ascii="Calibri Light" w:hAnsi="Calibri Light" w:cs="Calibri Light"/>
          <w:bCs/>
          <w:color w:val="2F5496"/>
          <w:sz w:val="26"/>
          <w:szCs w:val="26"/>
        </w:rPr>
      </w:pPr>
      <w:r w:rsidRPr="008332D2">
        <w:rPr>
          <w:rFonts w:ascii="Calibri Light" w:hAnsi="Calibri Light" w:cs="Calibri Light"/>
          <w:bCs/>
          <w:color w:val="2F5496"/>
          <w:sz w:val="26"/>
          <w:szCs w:val="26"/>
        </w:rPr>
        <w:t xml:space="preserve">Estimates of Annualized Hour and Cost Burden  </w:t>
      </w:r>
    </w:p>
    <w:p w:rsidR="009B3794" w:rsidRPr="008332D2" w:rsidP="00CA3DA6" w14:paraId="22E2A33F" w14:textId="5D0D5CE4">
      <w:pPr>
        <w:widowControl/>
        <w:tabs>
          <w:tab w:val="num" w:pos="720"/>
        </w:tabs>
        <w:spacing w:before="120"/>
        <w:rPr>
          <w:rFonts w:ascii="Calibri Light" w:hAnsi="Calibri Light" w:cs="Calibri Light"/>
          <w:bCs/>
          <w:color w:val="1F3763"/>
          <w:sz w:val="24"/>
        </w:rPr>
      </w:pPr>
      <w:r w:rsidRPr="008332D2">
        <w:rPr>
          <w:rFonts w:ascii="Calibri Light" w:hAnsi="Calibri Light" w:cs="Calibri Light"/>
          <w:bCs/>
          <w:color w:val="1F3763"/>
          <w:sz w:val="24"/>
        </w:rPr>
        <w:t>12A</w:t>
      </w:r>
      <w:r w:rsidRPr="008332D2" w:rsidR="001676CF">
        <w:rPr>
          <w:rFonts w:ascii="Calibri Light" w:hAnsi="Calibri Light" w:cs="Calibri Light"/>
          <w:bCs/>
          <w:color w:val="1F3763"/>
          <w:sz w:val="24"/>
        </w:rPr>
        <w:t xml:space="preserve">. </w:t>
      </w:r>
      <w:r w:rsidRPr="008332D2">
        <w:rPr>
          <w:rFonts w:ascii="Calibri Light" w:hAnsi="Calibri Light" w:cs="Calibri Light"/>
          <w:bCs/>
          <w:color w:val="1F3763"/>
          <w:sz w:val="24"/>
        </w:rPr>
        <w:t>Estimated Annualized Burden Hours</w:t>
      </w:r>
    </w:p>
    <w:p w:rsidR="00303C92" w:rsidRPr="002D1043" w:rsidP="00303C92" w14:paraId="461B2B04" w14:textId="0E2C0FCA">
      <w:pPr>
        <w:widowControl/>
        <w:tabs>
          <w:tab w:val="num" w:pos="720"/>
        </w:tabs>
        <w:spacing w:before="120"/>
        <w:rPr>
          <w:rFonts w:asciiTheme="minorHAnsi" w:hAnsiTheme="minorHAnsi" w:cstheme="minorHAnsi"/>
          <w:bCs/>
          <w:sz w:val="22"/>
          <w:szCs w:val="22"/>
        </w:rPr>
      </w:pPr>
      <w:r w:rsidRPr="002D1043">
        <w:rPr>
          <w:rFonts w:asciiTheme="minorHAnsi" w:hAnsiTheme="minorHAnsi" w:cstheme="minorHAnsi"/>
          <w:bCs/>
          <w:sz w:val="22"/>
          <w:szCs w:val="22"/>
        </w:rPr>
        <w:t xml:space="preserve">For each data collection protocol, the data collection process will be conducted only once. The </w:t>
      </w:r>
      <w:r w:rsidRPr="00DB2C22">
        <w:rPr>
          <w:rFonts w:asciiTheme="minorHAnsi" w:hAnsiTheme="minorHAnsi" w:cstheme="minorHAnsi"/>
          <w:bCs/>
          <w:sz w:val="22"/>
          <w:szCs w:val="22"/>
        </w:rPr>
        <w:t xml:space="preserve">estimated burden per respondent varies (as shown in Table </w:t>
      </w:r>
      <w:r w:rsidRPr="00DB2C22" w:rsidR="00922DE4">
        <w:rPr>
          <w:rFonts w:asciiTheme="minorHAnsi" w:hAnsiTheme="minorHAnsi" w:cstheme="minorHAnsi"/>
          <w:bCs/>
          <w:sz w:val="22"/>
          <w:szCs w:val="22"/>
        </w:rPr>
        <w:t>4</w:t>
      </w:r>
      <w:r w:rsidRPr="00DB2C22">
        <w:rPr>
          <w:rFonts w:asciiTheme="minorHAnsi" w:hAnsiTheme="minorHAnsi" w:cstheme="minorHAnsi"/>
          <w:bCs/>
          <w:sz w:val="22"/>
          <w:szCs w:val="22"/>
        </w:rPr>
        <w:t xml:space="preserve">). The total burden for this information collection is </w:t>
      </w:r>
      <w:r w:rsidRPr="00DB2C22" w:rsidR="00B027FA">
        <w:rPr>
          <w:rFonts w:asciiTheme="minorHAnsi" w:hAnsiTheme="minorHAnsi" w:cstheme="minorHAnsi"/>
          <w:bCs/>
          <w:sz w:val="22"/>
          <w:szCs w:val="22"/>
        </w:rPr>
        <w:t>242.5</w:t>
      </w:r>
      <w:r w:rsidRPr="00DB2C22">
        <w:rPr>
          <w:rFonts w:asciiTheme="minorHAnsi" w:hAnsiTheme="minorHAnsi" w:cstheme="minorHAnsi"/>
          <w:bCs/>
          <w:sz w:val="22"/>
          <w:szCs w:val="22"/>
        </w:rPr>
        <w:t xml:space="preserve"> hours. There</w:t>
      </w:r>
      <w:r w:rsidRPr="002D1043">
        <w:rPr>
          <w:rFonts w:asciiTheme="minorHAnsi" w:hAnsiTheme="minorHAnsi" w:cstheme="minorHAnsi"/>
          <w:bCs/>
          <w:sz w:val="22"/>
          <w:szCs w:val="22"/>
        </w:rPr>
        <w:t xml:space="preserve"> may be variation in the number of respondents; the total burden hours presented here assumes the maximum number of respondents. This burden estimate includes the time expended by persons to generate, maintain, retain, disclose, or provide the information requested. This includes the time needed to review instructions; to develop, acquire, install, and utilize technology and systems for the purpose of collecting, validating, and verifying information, processing, and maintaining information, and disclosing and providing information; to complete and review the collection of information; and to transmit or otherwise disclose the information. </w:t>
      </w:r>
    </w:p>
    <w:p w:rsidR="001676CF" w:rsidRPr="00AA4E42" w:rsidP="00CA3DA6" w14:paraId="6E434232" w14:textId="27D222BC">
      <w:pPr>
        <w:widowControl/>
        <w:tabs>
          <w:tab w:val="num" w:pos="720"/>
        </w:tabs>
        <w:spacing w:before="120"/>
        <w:rPr>
          <w:rFonts w:asciiTheme="minorHAnsi" w:hAnsiTheme="minorHAnsi" w:cstheme="minorHAnsi"/>
          <w:bCs/>
          <w:i/>
          <w:iCs/>
          <w:color w:val="2F5496"/>
          <w:sz w:val="22"/>
          <w:szCs w:val="22"/>
        </w:rPr>
      </w:pPr>
      <w:r w:rsidRPr="00AA4E42">
        <w:rPr>
          <w:rFonts w:asciiTheme="minorHAnsi" w:hAnsiTheme="minorHAnsi" w:cstheme="minorHAnsi"/>
          <w:bCs/>
          <w:i/>
          <w:iCs/>
          <w:color w:val="2F5496"/>
          <w:sz w:val="22"/>
          <w:szCs w:val="22"/>
        </w:rPr>
        <w:t>Explanation of Burden Estimates</w:t>
      </w:r>
    </w:p>
    <w:p w:rsidR="00303C92" w:rsidRPr="002D1043" w:rsidP="00CA3DA6" w14:paraId="54DFD14B" w14:textId="6B9D82D6">
      <w:pPr>
        <w:widowControl/>
        <w:tabs>
          <w:tab w:val="num" w:pos="720"/>
        </w:tabs>
        <w:spacing w:before="120"/>
        <w:rPr>
          <w:rFonts w:asciiTheme="minorHAnsi" w:hAnsiTheme="minorHAnsi" w:cstheme="minorHAnsi"/>
          <w:bCs/>
          <w:sz w:val="22"/>
          <w:szCs w:val="22"/>
        </w:rPr>
      </w:pPr>
      <w:r w:rsidRPr="002D1043">
        <w:rPr>
          <w:rFonts w:asciiTheme="minorHAnsi" w:hAnsiTheme="minorHAnsi" w:cstheme="minorHAnsi"/>
          <w:b/>
          <w:sz w:val="22"/>
          <w:szCs w:val="22"/>
        </w:rPr>
        <w:t xml:space="preserve">Recruitment Survey: </w:t>
      </w:r>
      <w:r w:rsidR="00C8512D">
        <w:rPr>
          <w:rFonts w:asciiTheme="minorHAnsi" w:hAnsiTheme="minorHAnsi" w:cstheme="minorHAnsi"/>
          <w:bCs/>
          <w:sz w:val="22"/>
          <w:szCs w:val="22"/>
        </w:rPr>
        <w:t>We anticipate</w:t>
      </w:r>
      <w:r w:rsidR="005B5684">
        <w:rPr>
          <w:rFonts w:asciiTheme="minorHAnsi" w:hAnsiTheme="minorHAnsi" w:cstheme="minorHAnsi"/>
          <w:bCs/>
          <w:sz w:val="22"/>
          <w:szCs w:val="22"/>
        </w:rPr>
        <w:t xml:space="preserve"> collecting up to 250 responses to the recruitment survey, from a mix of </w:t>
      </w:r>
      <w:r w:rsidR="00F51408">
        <w:rPr>
          <w:rFonts w:asciiTheme="minorHAnsi" w:hAnsiTheme="minorHAnsi" w:cstheme="minorHAnsi"/>
          <w:bCs/>
          <w:sz w:val="22"/>
          <w:szCs w:val="22"/>
        </w:rPr>
        <w:t xml:space="preserve">home visiting program leaders, supervisors, and home visitors. We </w:t>
      </w:r>
      <w:r w:rsidR="00933072">
        <w:rPr>
          <w:rFonts w:asciiTheme="minorHAnsi" w:hAnsiTheme="minorHAnsi" w:cstheme="minorHAnsi"/>
          <w:bCs/>
          <w:sz w:val="22"/>
          <w:szCs w:val="22"/>
        </w:rPr>
        <w:t>plan to</w:t>
      </w:r>
      <w:r w:rsidR="00F51408">
        <w:rPr>
          <w:rFonts w:asciiTheme="minorHAnsi" w:hAnsiTheme="minorHAnsi" w:cstheme="minorHAnsi"/>
          <w:bCs/>
          <w:sz w:val="22"/>
          <w:szCs w:val="22"/>
        </w:rPr>
        <w:t xml:space="preserve"> speak</w:t>
      </w:r>
      <w:r w:rsidR="00933072">
        <w:rPr>
          <w:rFonts w:asciiTheme="minorHAnsi" w:hAnsiTheme="minorHAnsi" w:cstheme="minorHAnsi"/>
          <w:bCs/>
          <w:sz w:val="22"/>
          <w:szCs w:val="22"/>
        </w:rPr>
        <w:t xml:space="preserve"> with up to</w:t>
      </w:r>
      <w:r w:rsidR="00F51408">
        <w:rPr>
          <w:rFonts w:asciiTheme="minorHAnsi" w:hAnsiTheme="minorHAnsi" w:cstheme="minorHAnsi"/>
          <w:bCs/>
          <w:sz w:val="22"/>
          <w:szCs w:val="22"/>
        </w:rPr>
        <w:t xml:space="preserve"> 150 people in </w:t>
      </w:r>
      <w:r w:rsidR="00933072">
        <w:rPr>
          <w:rFonts w:asciiTheme="minorHAnsi" w:hAnsiTheme="minorHAnsi" w:cstheme="minorHAnsi"/>
          <w:bCs/>
          <w:sz w:val="22"/>
          <w:szCs w:val="22"/>
        </w:rPr>
        <w:t xml:space="preserve">interviews or </w:t>
      </w:r>
      <w:r w:rsidR="00F51408">
        <w:rPr>
          <w:rFonts w:asciiTheme="minorHAnsi" w:hAnsiTheme="minorHAnsi" w:cstheme="minorHAnsi"/>
          <w:bCs/>
          <w:sz w:val="22"/>
          <w:szCs w:val="22"/>
        </w:rPr>
        <w:t>focus groups</w:t>
      </w:r>
      <w:r w:rsidR="00C06460">
        <w:rPr>
          <w:rFonts w:asciiTheme="minorHAnsi" w:hAnsiTheme="minorHAnsi" w:cstheme="minorHAnsi"/>
          <w:bCs/>
          <w:sz w:val="22"/>
          <w:szCs w:val="22"/>
        </w:rPr>
        <w:t xml:space="preserve">; </w:t>
      </w:r>
      <w:r w:rsidR="00153242">
        <w:rPr>
          <w:rFonts w:asciiTheme="minorHAnsi" w:hAnsiTheme="minorHAnsi" w:cstheme="minorHAnsi"/>
          <w:bCs/>
          <w:sz w:val="22"/>
          <w:szCs w:val="22"/>
        </w:rPr>
        <w:t>we believe a sample of 250 people</w:t>
      </w:r>
      <w:r w:rsidR="006F7DAB">
        <w:rPr>
          <w:rFonts w:asciiTheme="minorHAnsi" w:hAnsiTheme="minorHAnsi" w:cstheme="minorHAnsi"/>
          <w:bCs/>
          <w:sz w:val="22"/>
          <w:szCs w:val="22"/>
        </w:rPr>
        <w:t xml:space="preserve"> from which to</w:t>
      </w:r>
      <w:r w:rsidR="00153242">
        <w:rPr>
          <w:rFonts w:asciiTheme="minorHAnsi" w:hAnsiTheme="minorHAnsi" w:cstheme="minorHAnsi"/>
          <w:bCs/>
          <w:sz w:val="22"/>
          <w:szCs w:val="22"/>
        </w:rPr>
        <w:t xml:space="preserve"> recruit will</w:t>
      </w:r>
      <w:r w:rsidR="009D3AF2">
        <w:rPr>
          <w:rFonts w:asciiTheme="minorHAnsi" w:hAnsiTheme="minorHAnsi" w:cstheme="minorHAnsi"/>
          <w:bCs/>
          <w:sz w:val="22"/>
          <w:szCs w:val="22"/>
        </w:rPr>
        <w:t xml:space="preserve"> ensure a diverse sample and account for </w:t>
      </w:r>
      <w:r w:rsidR="00447D83">
        <w:rPr>
          <w:rFonts w:asciiTheme="minorHAnsi" w:hAnsiTheme="minorHAnsi" w:cstheme="minorHAnsi"/>
          <w:bCs/>
          <w:sz w:val="22"/>
          <w:szCs w:val="22"/>
        </w:rPr>
        <w:t>participant dropout</w:t>
      </w:r>
      <w:r w:rsidR="009D3AF2">
        <w:rPr>
          <w:rFonts w:asciiTheme="minorHAnsi" w:hAnsiTheme="minorHAnsi" w:cstheme="minorHAnsi"/>
          <w:bCs/>
          <w:sz w:val="22"/>
          <w:szCs w:val="22"/>
        </w:rPr>
        <w:t>.</w:t>
      </w:r>
      <w:r w:rsidRPr="002D1043" w:rsidR="00A60DB7">
        <w:rPr>
          <w:rFonts w:asciiTheme="minorHAnsi" w:hAnsiTheme="minorHAnsi" w:cstheme="minorHAnsi"/>
          <w:bCs/>
          <w:sz w:val="22"/>
          <w:szCs w:val="22"/>
        </w:rPr>
        <w:t xml:space="preserve"> The burden estimate is based on participants tak</w:t>
      </w:r>
      <w:r w:rsidRPr="002D1043" w:rsidR="00951A83">
        <w:rPr>
          <w:rFonts w:asciiTheme="minorHAnsi" w:hAnsiTheme="minorHAnsi" w:cstheme="minorHAnsi"/>
          <w:bCs/>
          <w:sz w:val="22"/>
          <w:szCs w:val="22"/>
        </w:rPr>
        <w:t>ing</w:t>
      </w:r>
      <w:r w:rsidRPr="002D1043" w:rsidR="00A60DB7">
        <w:rPr>
          <w:rFonts w:asciiTheme="minorHAnsi" w:hAnsiTheme="minorHAnsi" w:cstheme="minorHAnsi"/>
          <w:bCs/>
          <w:sz w:val="22"/>
          <w:szCs w:val="22"/>
        </w:rPr>
        <w:t xml:space="preserve"> a maximum of </w:t>
      </w:r>
      <w:r w:rsidRPr="002D1043" w:rsidR="00470190">
        <w:rPr>
          <w:rFonts w:asciiTheme="minorHAnsi" w:hAnsiTheme="minorHAnsi" w:cstheme="minorHAnsi"/>
          <w:bCs/>
          <w:sz w:val="22"/>
          <w:szCs w:val="22"/>
        </w:rPr>
        <w:t>10 minutes to complete the survey</w:t>
      </w:r>
      <w:r w:rsidRPr="002D1043" w:rsidR="00B34735">
        <w:rPr>
          <w:rFonts w:asciiTheme="minorHAnsi" w:hAnsiTheme="minorHAnsi" w:cstheme="minorHAnsi"/>
          <w:bCs/>
          <w:sz w:val="22"/>
          <w:szCs w:val="22"/>
        </w:rPr>
        <w:t>. To ensure the burden is not underestimated, we conservatively used the higher end of the estimate.</w:t>
      </w:r>
    </w:p>
    <w:p w:rsidR="00B34735" w:rsidRPr="002D1043" w:rsidP="00CA3DA6" w14:paraId="24B4EE5A" w14:textId="656DCF0A">
      <w:pPr>
        <w:widowControl/>
        <w:tabs>
          <w:tab w:val="num" w:pos="720"/>
        </w:tabs>
        <w:spacing w:before="120"/>
        <w:rPr>
          <w:rFonts w:asciiTheme="minorHAnsi" w:hAnsiTheme="minorHAnsi" w:cstheme="minorHAnsi"/>
          <w:bCs/>
          <w:sz w:val="22"/>
          <w:szCs w:val="22"/>
        </w:rPr>
      </w:pPr>
      <w:r w:rsidRPr="002D1043">
        <w:rPr>
          <w:rFonts w:asciiTheme="minorHAnsi" w:hAnsiTheme="minorHAnsi" w:cstheme="minorHAnsi"/>
          <w:b/>
          <w:sz w:val="22"/>
          <w:szCs w:val="22"/>
        </w:rPr>
        <w:t>Home Visiting Program Leader</w:t>
      </w:r>
      <w:r w:rsidRPr="002D1043" w:rsidR="00636D70">
        <w:rPr>
          <w:rFonts w:asciiTheme="minorHAnsi" w:hAnsiTheme="minorHAnsi" w:cstheme="minorHAnsi"/>
          <w:b/>
          <w:sz w:val="22"/>
          <w:szCs w:val="22"/>
        </w:rPr>
        <w:t xml:space="preserve"> Interview Guide: </w:t>
      </w:r>
      <w:r w:rsidRPr="002D1043" w:rsidR="001963D2">
        <w:rPr>
          <w:rFonts w:asciiTheme="minorHAnsi" w:hAnsiTheme="minorHAnsi" w:cstheme="minorHAnsi"/>
          <w:bCs/>
          <w:sz w:val="22"/>
          <w:szCs w:val="22"/>
        </w:rPr>
        <w:t xml:space="preserve">We anticipate that speaking to 50 </w:t>
      </w:r>
      <w:r w:rsidRPr="002D1043" w:rsidR="009F1B65">
        <w:rPr>
          <w:rFonts w:asciiTheme="minorHAnsi" w:hAnsiTheme="minorHAnsi" w:cstheme="minorHAnsi"/>
          <w:bCs/>
          <w:sz w:val="22"/>
          <w:szCs w:val="22"/>
        </w:rPr>
        <w:t>leaders of home visiting programs</w:t>
      </w:r>
      <w:r w:rsidRPr="002D1043" w:rsidR="001963D2">
        <w:rPr>
          <w:rFonts w:asciiTheme="minorHAnsi" w:hAnsiTheme="minorHAnsi" w:cstheme="minorHAnsi"/>
          <w:bCs/>
          <w:sz w:val="22"/>
          <w:szCs w:val="22"/>
        </w:rPr>
        <w:t xml:space="preserve"> will allow us to hear from a diverse group and reach saturation.</w:t>
      </w:r>
      <w:bookmarkStart w:id="0" w:name="_Ref158368908"/>
      <w:r>
        <w:rPr>
          <w:rStyle w:val="EndnoteReference"/>
          <w:rFonts w:asciiTheme="minorHAnsi" w:hAnsiTheme="minorHAnsi" w:cstheme="minorHAnsi"/>
          <w:bCs/>
          <w:szCs w:val="22"/>
        </w:rPr>
        <w:endnoteReference w:id="21"/>
      </w:r>
      <w:bookmarkEnd w:id="0"/>
      <w:r w:rsidRPr="002D1043" w:rsidR="00C7481A">
        <w:rPr>
          <w:rFonts w:asciiTheme="minorHAnsi" w:hAnsiTheme="minorHAnsi" w:cstheme="minorHAnsi"/>
          <w:bCs/>
          <w:sz w:val="22"/>
          <w:szCs w:val="22"/>
        </w:rPr>
        <w:t xml:space="preserve"> </w:t>
      </w:r>
      <w:r w:rsidRPr="002D1043" w:rsidR="00D850D7">
        <w:rPr>
          <w:rFonts w:asciiTheme="minorHAnsi" w:hAnsiTheme="minorHAnsi" w:cstheme="minorHAnsi"/>
          <w:bCs/>
          <w:sz w:val="22"/>
          <w:szCs w:val="22"/>
        </w:rPr>
        <w:t xml:space="preserve">The burden estimate is based on interviews taking a maximum of </w:t>
      </w:r>
      <w:r w:rsidRPr="002D1043" w:rsidR="00D7332B">
        <w:rPr>
          <w:rFonts w:asciiTheme="minorHAnsi" w:hAnsiTheme="minorHAnsi" w:cstheme="minorHAnsi"/>
          <w:bCs/>
          <w:sz w:val="22"/>
          <w:szCs w:val="22"/>
        </w:rPr>
        <w:t>one</w:t>
      </w:r>
      <w:r w:rsidRPr="002D1043" w:rsidR="00D850D7">
        <w:rPr>
          <w:rFonts w:asciiTheme="minorHAnsi" w:hAnsiTheme="minorHAnsi" w:cstheme="minorHAnsi"/>
          <w:bCs/>
          <w:sz w:val="22"/>
          <w:szCs w:val="22"/>
        </w:rPr>
        <w:t xml:space="preserve"> hour.</w:t>
      </w:r>
    </w:p>
    <w:p w:rsidR="00C7481A" w:rsidRPr="002D1043" w:rsidP="00CA3DA6" w14:paraId="44B99A84" w14:textId="7FAEFE3D">
      <w:pPr>
        <w:widowControl/>
        <w:tabs>
          <w:tab w:val="num" w:pos="720"/>
        </w:tabs>
        <w:spacing w:before="120"/>
        <w:rPr>
          <w:rFonts w:asciiTheme="minorHAnsi" w:hAnsiTheme="minorHAnsi" w:cstheme="minorHAnsi"/>
          <w:bCs/>
          <w:sz w:val="22"/>
          <w:szCs w:val="22"/>
        </w:rPr>
      </w:pPr>
      <w:r w:rsidRPr="002D1043">
        <w:rPr>
          <w:rFonts w:asciiTheme="minorHAnsi" w:hAnsiTheme="minorHAnsi" w:cstheme="minorHAnsi"/>
          <w:b/>
          <w:sz w:val="22"/>
          <w:szCs w:val="22"/>
        </w:rPr>
        <w:t xml:space="preserve">Supervisor Focus Group Protocol: </w:t>
      </w:r>
      <w:r w:rsidRPr="002D1043" w:rsidR="007D3492">
        <w:rPr>
          <w:rFonts w:asciiTheme="minorHAnsi" w:hAnsiTheme="minorHAnsi" w:cstheme="minorHAnsi"/>
          <w:bCs/>
          <w:sz w:val="22"/>
          <w:szCs w:val="22"/>
        </w:rPr>
        <w:t xml:space="preserve">We anticipate that speaking to 50 </w:t>
      </w:r>
      <w:r w:rsidRPr="002D1043" w:rsidR="006378DF">
        <w:rPr>
          <w:rFonts w:asciiTheme="minorHAnsi" w:hAnsiTheme="minorHAnsi" w:cstheme="minorHAnsi"/>
          <w:sz w:val="22"/>
          <w:szCs w:val="22"/>
        </w:rPr>
        <w:t>supervisors</w:t>
      </w:r>
      <w:r w:rsidRPr="002D1043" w:rsidR="007D3492">
        <w:rPr>
          <w:rFonts w:asciiTheme="minorHAnsi" w:hAnsiTheme="minorHAnsi" w:cstheme="minorHAnsi"/>
          <w:bCs/>
          <w:sz w:val="22"/>
          <w:szCs w:val="22"/>
        </w:rPr>
        <w:t xml:space="preserve"> will allow us to hear from a diverse group</w:t>
      </w:r>
      <w:r w:rsidRPr="002D1043" w:rsidR="001963D2">
        <w:rPr>
          <w:rFonts w:asciiTheme="minorHAnsi" w:hAnsiTheme="minorHAnsi" w:cstheme="minorHAnsi"/>
          <w:bCs/>
          <w:sz w:val="22"/>
          <w:szCs w:val="22"/>
        </w:rPr>
        <w:t xml:space="preserve"> and reach saturation</w:t>
      </w:r>
      <w:r w:rsidRPr="00643E4B" w:rsidR="007D3492">
        <w:rPr>
          <w:rFonts w:ascii="Calibri" w:hAnsi="Calibri" w:cs="Calibri"/>
          <w:bCs/>
          <w:sz w:val="22"/>
          <w:szCs w:val="22"/>
        </w:rPr>
        <w:t>.</w:t>
      </w:r>
      <w:r w:rsidRPr="00643E4B" w:rsidR="00397ED3">
        <w:rPr>
          <w:rStyle w:val="EndnoteReference"/>
          <w:rFonts w:cs="Calibri"/>
          <w:szCs w:val="22"/>
        </w:rPr>
        <w:fldChar w:fldCharType="begin"/>
      </w:r>
      <w:r w:rsidRPr="00643E4B" w:rsidR="00397ED3">
        <w:rPr>
          <w:rStyle w:val="EndnoteReference"/>
          <w:rFonts w:cs="Calibri"/>
          <w:szCs w:val="22"/>
        </w:rPr>
        <w:instrText xml:space="preserve"> NOTEREF _Ref158368908 \h </w:instrText>
      </w:r>
      <w:r w:rsidRPr="00643E4B" w:rsidR="001420EB">
        <w:rPr>
          <w:rStyle w:val="EndnoteReference"/>
          <w:rFonts w:cs="Calibri"/>
          <w:szCs w:val="22"/>
        </w:rPr>
        <w:instrText xml:space="preserve"> \* MERGEFORMAT </w:instrText>
      </w:r>
      <w:r w:rsidRPr="00643E4B" w:rsidR="00397ED3">
        <w:rPr>
          <w:rStyle w:val="EndnoteReference"/>
          <w:rFonts w:cs="Calibri"/>
          <w:szCs w:val="22"/>
        </w:rPr>
        <w:fldChar w:fldCharType="separate"/>
      </w:r>
      <w:r w:rsidRPr="00643E4B" w:rsidR="00397ED3">
        <w:rPr>
          <w:rStyle w:val="EndnoteReference"/>
          <w:rFonts w:cs="Calibri"/>
          <w:szCs w:val="22"/>
        </w:rPr>
        <w:t>18</w:t>
      </w:r>
      <w:r w:rsidRPr="00643E4B" w:rsidR="00397ED3">
        <w:rPr>
          <w:rStyle w:val="EndnoteReference"/>
          <w:rFonts w:cs="Calibri"/>
          <w:szCs w:val="22"/>
        </w:rPr>
        <w:fldChar w:fldCharType="end"/>
      </w:r>
      <w:r w:rsidRPr="002D1043" w:rsidR="007D3492">
        <w:rPr>
          <w:rFonts w:asciiTheme="minorHAnsi" w:hAnsiTheme="minorHAnsi" w:cstheme="minorHAnsi"/>
          <w:bCs/>
          <w:sz w:val="22"/>
          <w:szCs w:val="22"/>
        </w:rPr>
        <w:t xml:space="preserve"> </w:t>
      </w:r>
      <w:r w:rsidRPr="002D1043" w:rsidR="00EB684C">
        <w:rPr>
          <w:rFonts w:asciiTheme="minorHAnsi" w:hAnsiTheme="minorHAnsi" w:cstheme="minorHAnsi"/>
          <w:bCs/>
          <w:sz w:val="22"/>
          <w:szCs w:val="22"/>
        </w:rPr>
        <w:t xml:space="preserve">The </w:t>
      </w:r>
      <w:r w:rsidRPr="002D1043" w:rsidR="00C13581">
        <w:rPr>
          <w:rFonts w:asciiTheme="minorHAnsi" w:hAnsiTheme="minorHAnsi" w:cstheme="minorHAnsi"/>
          <w:bCs/>
          <w:sz w:val="22"/>
          <w:szCs w:val="22"/>
        </w:rPr>
        <w:t xml:space="preserve">burden estimate is based on focus groups lasting a maximum of </w:t>
      </w:r>
      <w:r w:rsidRPr="002D1043" w:rsidR="006C37B2">
        <w:rPr>
          <w:rFonts w:asciiTheme="minorHAnsi" w:hAnsiTheme="minorHAnsi" w:cstheme="minorHAnsi"/>
          <w:bCs/>
          <w:sz w:val="22"/>
          <w:szCs w:val="22"/>
        </w:rPr>
        <w:t>1.5 hours.</w:t>
      </w:r>
    </w:p>
    <w:p w:rsidR="00ED3587" w:rsidP="00CA3DA6" w14:paraId="0603925B" w14:textId="5C608460">
      <w:pPr>
        <w:widowControl/>
        <w:tabs>
          <w:tab w:val="num" w:pos="720"/>
        </w:tabs>
        <w:spacing w:before="120"/>
        <w:rPr>
          <w:rFonts w:asciiTheme="minorHAnsi" w:hAnsiTheme="minorHAnsi" w:cstheme="minorHAnsi"/>
          <w:bCs/>
          <w:sz w:val="22"/>
          <w:szCs w:val="22"/>
        </w:rPr>
      </w:pPr>
      <w:r w:rsidRPr="002D1043">
        <w:rPr>
          <w:rFonts w:asciiTheme="minorHAnsi" w:hAnsiTheme="minorHAnsi" w:cstheme="minorHAnsi"/>
          <w:b/>
          <w:sz w:val="22"/>
          <w:szCs w:val="22"/>
        </w:rPr>
        <w:t xml:space="preserve">Home Visitor Focus Group Protocol: </w:t>
      </w:r>
      <w:r w:rsidRPr="002D1043" w:rsidR="00245298">
        <w:rPr>
          <w:rFonts w:asciiTheme="minorHAnsi" w:hAnsiTheme="minorHAnsi" w:cstheme="minorHAnsi"/>
          <w:bCs/>
          <w:sz w:val="22"/>
          <w:szCs w:val="22"/>
        </w:rPr>
        <w:t xml:space="preserve">We anticipate that speaking to 50 home visitors will </w:t>
      </w:r>
      <w:r w:rsidRPr="002D1043" w:rsidR="007D3492">
        <w:rPr>
          <w:rFonts w:asciiTheme="minorHAnsi" w:hAnsiTheme="minorHAnsi" w:cstheme="minorHAnsi"/>
          <w:bCs/>
          <w:sz w:val="22"/>
          <w:szCs w:val="22"/>
        </w:rPr>
        <w:t>allow us to hear from a diverse group</w:t>
      </w:r>
      <w:r w:rsidRPr="002D1043" w:rsidR="001963D2">
        <w:rPr>
          <w:rFonts w:asciiTheme="minorHAnsi" w:hAnsiTheme="minorHAnsi" w:cstheme="minorHAnsi"/>
          <w:bCs/>
          <w:sz w:val="22"/>
          <w:szCs w:val="22"/>
        </w:rPr>
        <w:t xml:space="preserve"> and reach saturation</w:t>
      </w:r>
      <w:r w:rsidRPr="002D1043" w:rsidR="007D3492">
        <w:rPr>
          <w:rFonts w:asciiTheme="minorHAnsi" w:hAnsiTheme="minorHAnsi" w:cstheme="minorHAnsi"/>
          <w:bCs/>
          <w:sz w:val="22"/>
          <w:szCs w:val="22"/>
        </w:rPr>
        <w:t>.</w:t>
      </w:r>
      <w:r w:rsidRPr="00E63A92" w:rsidR="00643E4B">
        <w:rPr>
          <w:rStyle w:val="EndnoteReference"/>
        </w:rPr>
        <w:fldChar w:fldCharType="begin"/>
      </w:r>
      <w:r w:rsidRPr="00E63A92" w:rsidR="00643E4B">
        <w:rPr>
          <w:rStyle w:val="EndnoteReference"/>
        </w:rPr>
        <w:instrText xml:space="preserve"> NOTEREF _Ref158368908 \h </w:instrText>
      </w:r>
      <w:r w:rsidR="00E63A92">
        <w:rPr>
          <w:rStyle w:val="EndnoteReference"/>
        </w:rPr>
        <w:instrText xml:space="preserve"> \* MERGEFORMAT </w:instrText>
      </w:r>
      <w:r w:rsidRPr="00E63A92" w:rsidR="00643E4B">
        <w:rPr>
          <w:rStyle w:val="EndnoteReference"/>
        </w:rPr>
        <w:fldChar w:fldCharType="separate"/>
      </w:r>
      <w:r w:rsidRPr="00E63A92" w:rsidR="00643E4B">
        <w:rPr>
          <w:rStyle w:val="EndnoteReference"/>
        </w:rPr>
        <w:t>18</w:t>
      </w:r>
      <w:r w:rsidRPr="00E63A92" w:rsidR="00643E4B">
        <w:rPr>
          <w:rStyle w:val="EndnoteReference"/>
        </w:rPr>
        <w:fldChar w:fldCharType="end"/>
      </w:r>
      <w:r w:rsidRPr="002D1043" w:rsidR="007D3492">
        <w:rPr>
          <w:rFonts w:asciiTheme="minorHAnsi" w:hAnsiTheme="minorHAnsi" w:cstheme="minorHAnsi"/>
          <w:b/>
          <w:sz w:val="22"/>
          <w:szCs w:val="22"/>
        </w:rPr>
        <w:t xml:space="preserve"> </w:t>
      </w:r>
      <w:r w:rsidRPr="002D1043" w:rsidR="006C37B2">
        <w:rPr>
          <w:rFonts w:asciiTheme="minorHAnsi" w:hAnsiTheme="minorHAnsi" w:cstheme="minorHAnsi"/>
          <w:bCs/>
          <w:sz w:val="22"/>
          <w:szCs w:val="22"/>
        </w:rPr>
        <w:t>The burden estimate is based on focus groups lasting a maximum of 1.5 hours.</w:t>
      </w:r>
    </w:p>
    <w:p w:rsidR="00ED3587" w:rsidRPr="002D1043" w:rsidP="00CA3DA6" w14:paraId="2EBF2CCA" w14:textId="77777777">
      <w:pPr>
        <w:widowControl/>
        <w:tabs>
          <w:tab w:val="num" w:pos="720"/>
        </w:tabs>
        <w:spacing w:before="120"/>
        <w:rPr>
          <w:rFonts w:asciiTheme="minorHAnsi" w:hAnsiTheme="minorHAnsi" w:cstheme="minorHAnsi"/>
          <w:sz w:val="22"/>
          <w:szCs w:val="22"/>
        </w:rPr>
      </w:pPr>
    </w:p>
    <w:p w:rsidR="0095303D" w:rsidRPr="002D1043" w:rsidP="00CA3DA6" w14:paraId="1AE99FFE" w14:textId="638B93E6">
      <w:pPr>
        <w:widowControl/>
        <w:tabs>
          <w:tab w:val="num" w:pos="72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 xml:space="preserve">Table </w:t>
      </w:r>
      <w:r w:rsidRPr="002D1043" w:rsidR="00922DE4">
        <w:rPr>
          <w:rFonts w:asciiTheme="minorHAnsi" w:hAnsiTheme="minorHAnsi" w:cstheme="minorHAnsi"/>
          <w:b/>
          <w:bCs/>
          <w:sz w:val="22"/>
          <w:szCs w:val="22"/>
        </w:rPr>
        <w:t>4</w:t>
      </w:r>
      <w:r w:rsidRPr="002D1043" w:rsidR="005205F1">
        <w:rPr>
          <w:rFonts w:asciiTheme="minorHAnsi" w:hAnsiTheme="minorHAnsi" w:cstheme="minorHAnsi"/>
          <w:b/>
          <w:bCs/>
          <w:sz w:val="22"/>
          <w:szCs w:val="22"/>
        </w:rPr>
        <w:t>. Estimated Annualized Burden Hours*</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96"/>
        <w:gridCol w:w="1439"/>
        <w:gridCol w:w="1797"/>
        <w:gridCol w:w="1438"/>
        <w:gridCol w:w="1348"/>
        <w:gridCol w:w="1436"/>
      </w:tblGrid>
      <w:tr w14:paraId="4DB0E11C" w14:textId="77777777" w:rsidTr="0095303D">
        <w:tblPrEx>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5303D" w:rsidRPr="002D1043" w:rsidP="0095303D" w14:paraId="0F2A2339"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 </w:t>
            </w:r>
          </w:p>
          <w:p w:rsidR="0095303D" w:rsidRPr="002D1043" w:rsidP="0095303D" w14:paraId="5E9609F0"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Form Name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5303D" w:rsidRPr="002D1043" w:rsidP="0095303D" w14:paraId="3D0819EC"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Number of Respondents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5303D" w:rsidRPr="002D1043" w:rsidP="0095303D" w14:paraId="7AD7557D"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 </w:t>
            </w:r>
          </w:p>
          <w:p w:rsidR="0095303D" w:rsidRPr="002D1043" w:rsidP="0095303D" w14:paraId="31F785B0"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Number of Responses per Respondent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5303D" w:rsidRPr="002D1043" w:rsidP="0095303D" w14:paraId="7FD06C5A"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 </w:t>
            </w:r>
          </w:p>
          <w:p w:rsidR="0095303D" w:rsidRPr="002D1043" w:rsidP="0095303D" w14:paraId="79D9BA78"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Total Responses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5303D" w:rsidRPr="002D1043" w:rsidP="0095303D" w14:paraId="3CA9373D" w14:textId="2BF8756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 Average Burden per Response (in hours)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5303D" w:rsidRPr="002D1043" w:rsidP="0095303D" w14:paraId="42B8FC39"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Total Burden Hours </w:t>
            </w:r>
          </w:p>
        </w:tc>
      </w:tr>
      <w:tr w14:paraId="25AA9723" w14:textId="77777777" w:rsidTr="0095303D">
        <w:tblPrEx>
          <w:tblW w:w="0" w:type="dxa"/>
          <w:tblInd w:w="90" w:type="dxa"/>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5B8D72D"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Recruitment Survey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6F23915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250 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428AC49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60A3B72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250 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03B55FA2"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0.17 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602279E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42.5 </w:t>
            </w:r>
          </w:p>
        </w:tc>
      </w:tr>
      <w:tr w14:paraId="5CB667B3" w14:textId="77777777" w:rsidTr="0095303D">
        <w:tblPrEx>
          <w:tblW w:w="0" w:type="dxa"/>
          <w:tblInd w:w="90" w:type="dxa"/>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C74F0DC" w14:textId="55E3B19F">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Home Visiting Program Leader</w:t>
            </w:r>
            <w:r w:rsidRPr="002D1043">
              <w:rPr>
                <w:rFonts w:asciiTheme="minorHAnsi" w:hAnsiTheme="minorHAnsi" w:cstheme="minorHAnsi"/>
                <w:sz w:val="22"/>
                <w:szCs w:val="22"/>
              </w:rPr>
              <w:t xml:space="preserve"> Interview Guide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4D48E4EA"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0082B94E"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320BA613"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03EEFE59"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1.00 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02A05A57"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50.0 </w:t>
            </w:r>
          </w:p>
        </w:tc>
      </w:tr>
      <w:tr w14:paraId="3595D707" w14:textId="77777777" w:rsidTr="0095303D">
        <w:tblPrEx>
          <w:tblW w:w="0" w:type="dxa"/>
          <w:tblInd w:w="90" w:type="dxa"/>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5CB5270A"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Supervisor Focus Group Protocol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2CA79E19"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3568FB67"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7815B7D"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589F7F4F"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1.50 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79E3DCAD"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75.0 </w:t>
            </w:r>
          </w:p>
        </w:tc>
      </w:tr>
      <w:tr w14:paraId="2E0EC18D" w14:textId="77777777" w:rsidTr="0095303D">
        <w:tblPrEx>
          <w:tblW w:w="0" w:type="dxa"/>
          <w:tblInd w:w="90" w:type="dxa"/>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5066FCE3"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Home Visitor Focus Group Protocol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A006609"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C572B62"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57280659"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3588639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1.50 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4C608658"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75.0 </w:t>
            </w:r>
          </w:p>
        </w:tc>
      </w:tr>
      <w:tr w14:paraId="5853F263" w14:textId="77777777" w:rsidTr="0095303D">
        <w:tblPrEx>
          <w:tblW w:w="0" w:type="dxa"/>
          <w:tblInd w:w="90" w:type="dxa"/>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07240110"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Total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0B49773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400 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C6E450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4D5A05AA"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400 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1981D7B"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3AFBF8B"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242.5 </w:t>
            </w:r>
          </w:p>
        </w:tc>
      </w:tr>
    </w:tbl>
    <w:p w:rsidR="00935E77" w:rsidRPr="002D1043" w:rsidP="00F3114C" w14:paraId="22E2A371" w14:textId="35715C58">
      <w:pPr>
        <w:widowControl/>
        <w:tabs>
          <w:tab w:val="num" w:pos="990"/>
        </w:tabs>
        <w:spacing w:before="120"/>
        <w:rPr>
          <w:rFonts w:asciiTheme="minorHAnsi" w:hAnsiTheme="minorHAnsi" w:cstheme="minorHAnsi"/>
          <w:b/>
          <w:bCs/>
          <w:color w:val="00B050"/>
          <w:sz w:val="24"/>
        </w:rPr>
      </w:pPr>
    </w:p>
    <w:p w:rsidR="00D92E1D" w:rsidRPr="004434A7" w:rsidP="00CA3DA6" w14:paraId="22E2A372" w14:textId="4327E6C9">
      <w:pPr>
        <w:widowControl/>
        <w:spacing w:before="120"/>
        <w:rPr>
          <w:rFonts w:ascii="Calibri Light" w:hAnsi="Calibri Light" w:cs="Calibri Light"/>
          <w:bCs/>
          <w:color w:val="1F3763"/>
          <w:sz w:val="24"/>
        </w:rPr>
      </w:pPr>
      <w:r w:rsidRPr="004434A7">
        <w:rPr>
          <w:rFonts w:ascii="Calibri Light" w:hAnsi="Calibri Light" w:cs="Calibri Light"/>
          <w:bCs/>
          <w:color w:val="1F3763"/>
          <w:sz w:val="24"/>
        </w:rPr>
        <w:t xml:space="preserve">12B.  </w:t>
      </w:r>
      <w:r w:rsidRPr="004434A7" w:rsidR="00625929">
        <w:rPr>
          <w:rFonts w:ascii="Calibri Light" w:hAnsi="Calibri Light" w:cs="Calibri Light"/>
          <w:bCs/>
          <w:color w:val="1F3763"/>
          <w:sz w:val="24"/>
        </w:rPr>
        <w:t>Estimated Annualized Burden Costs</w:t>
      </w:r>
    </w:p>
    <w:p w:rsidR="00C633C4" w:rsidRPr="002D1043" w:rsidP="00C633C4" w14:paraId="65282689" w14:textId="1A696DDA">
      <w:pPr>
        <w:widowControl/>
        <w:spacing w:before="120"/>
        <w:rPr>
          <w:rFonts w:asciiTheme="minorHAnsi" w:hAnsiTheme="minorHAnsi" w:cstheme="minorHAnsi"/>
          <w:sz w:val="22"/>
          <w:szCs w:val="22"/>
        </w:rPr>
      </w:pPr>
      <w:r w:rsidRPr="002D1043">
        <w:rPr>
          <w:rFonts w:asciiTheme="minorHAnsi" w:hAnsiTheme="minorHAnsi" w:cstheme="minorHAnsi"/>
          <w:sz w:val="22"/>
          <w:szCs w:val="22"/>
        </w:rPr>
        <w:t xml:space="preserve">The estimated total cost to respondents is approximately </w:t>
      </w:r>
      <w:r w:rsidRPr="002D1043" w:rsidR="005862E8">
        <w:rPr>
          <w:rFonts w:asciiTheme="minorHAnsi" w:hAnsiTheme="minorHAnsi" w:cstheme="minorHAnsi"/>
          <w:sz w:val="22"/>
          <w:szCs w:val="22"/>
        </w:rPr>
        <w:t>$</w:t>
      </w:r>
      <w:r w:rsidRPr="002D1043" w:rsidR="00837B8F">
        <w:rPr>
          <w:rFonts w:asciiTheme="minorHAnsi" w:hAnsiTheme="minorHAnsi" w:cstheme="minorHAnsi"/>
          <w:sz w:val="22"/>
          <w:szCs w:val="22"/>
        </w:rPr>
        <w:t>1</w:t>
      </w:r>
      <w:r w:rsidR="00837B8F">
        <w:rPr>
          <w:rFonts w:asciiTheme="minorHAnsi" w:hAnsiTheme="minorHAnsi" w:cstheme="minorHAnsi"/>
          <w:sz w:val="22"/>
          <w:szCs w:val="22"/>
        </w:rPr>
        <w:t>2,896</w:t>
      </w:r>
      <w:r w:rsidRPr="002D1043" w:rsidR="00837B8F">
        <w:rPr>
          <w:rFonts w:asciiTheme="minorHAnsi" w:hAnsiTheme="minorHAnsi" w:cstheme="minorHAnsi"/>
          <w:sz w:val="22"/>
          <w:szCs w:val="22"/>
        </w:rPr>
        <w:t>.</w:t>
      </w:r>
      <w:r w:rsidR="00837B8F">
        <w:rPr>
          <w:rFonts w:asciiTheme="minorHAnsi" w:hAnsiTheme="minorHAnsi" w:cstheme="minorHAnsi"/>
          <w:sz w:val="22"/>
          <w:szCs w:val="22"/>
        </w:rPr>
        <w:t>74</w:t>
      </w:r>
      <w:r w:rsidRPr="002D1043" w:rsidR="00837B8F">
        <w:rPr>
          <w:rFonts w:asciiTheme="minorHAnsi" w:hAnsiTheme="minorHAnsi" w:cstheme="minorHAnsi"/>
          <w:sz w:val="22"/>
          <w:szCs w:val="22"/>
        </w:rPr>
        <w:t xml:space="preserve"> </w:t>
      </w:r>
      <w:r w:rsidRPr="002D1043">
        <w:rPr>
          <w:rFonts w:asciiTheme="minorHAnsi" w:hAnsiTheme="minorHAnsi" w:cstheme="minorHAnsi"/>
          <w:sz w:val="22"/>
          <w:szCs w:val="22"/>
        </w:rPr>
        <w:t xml:space="preserve">(as shown in Table </w:t>
      </w:r>
      <w:r w:rsidR="00837B8F">
        <w:rPr>
          <w:rFonts w:asciiTheme="minorHAnsi" w:hAnsiTheme="minorHAnsi" w:cstheme="minorHAnsi"/>
          <w:sz w:val="22"/>
          <w:szCs w:val="22"/>
        </w:rPr>
        <w:t>5</w:t>
      </w:r>
      <w:r w:rsidRPr="002D1043">
        <w:rPr>
          <w:rFonts w:asciiTheme="minorHAnsi" w:hAnsiTheme="minorHAnsi" w:cstheme="minorHAnsi"/>
          <w:sz w:val="22"/>
          <w:szCs w:val="22"/>
        </w:rPr>
        <w:t xml:space="preserve">). There may be variation in the number of respondents for each data collection form; the total respondent cost presented here assumes the maximum number of respondents. </w:t>
      </w:r>
    </w:p>
    <w:p w:rsidR="008E00B6" w:rsidRPr="002D1043" w:rsidP="008E00B6" w14:paraId="55EFDD8C" w14:textId="0F88E4B1">
      <w:pPr>
        <w:widowControl/>
        <w:spacing w:before="120"/>
        <w:rPr>
          <w:rFonts w:asciiTheme="minorHAnsi" w:hAnsiTheme="minorHAnsi" w:cstheme="minorHAnsi"/>
          <w:sz w:val="22"/>
          <w:szCs w:val="22"/>
        </w:rPr>
      </w:pPr>
      <w:r w:rsidRPr="002D1043">
        <w:rPr>
          <w:rFonts w:asciiTheme="minorHAnsi" w:hAnsiTheme="minorHAnsi" w:cstheme="minorHAnsi"/>
          <w:sz w:val="22"/>
          <w:szCs w:val="22"/>
        </w:rPr>
        <w:t xml:space="preserve">For data collection with </w:t>
      </w:r>
      <w:r w:rsidRPr="002D1043" w:rsidR="00414552">
        <w:rPr>
          <w:rFonts w:asciiTheme="minorHAnsi" w:hAnsiTheme="minorHAnsi" w:cstheme="minorHAnsi"/>
          <w:sz w:val="22"/>
          <w:szCs w:val="22"/>
        </w:rPr>
        <w:t>home visiting program leaders</w:t>
      </w:r>
      <w:r w:rsidRPr="002D1043">
        <w:rPr>
          <w:rFonts w:asciiTheme="minorHAnsi" w:hAnsiTheme="minorHAnsi" w:cstheme="minorHAnsi"/>
          <w:sz w:val="22"/>
          <w:szCs w:val="22"/>
        </w:rPr>
        <w:t xml:space="preserve"> (</w:t>
      </w:r>
      <w:r w:rsidRPr="002D1043" w:rsidR="003903B8">
        <w:rPr>
          <w:rFonts w:asciiTheme="minorHAnsi" w:hAnsiTheme="minorHAnsi" w:cstheme="minorHAnsi"/>
          <w:sz w:val="22"/>
          <w:szCs w:val="22"/>
        </w:rPr>
        <w:t xml:space="preserve">Recruitment Survey, </w:t>
      </w:r>
      <w:r w:rsidRPr="002D1043" w:rsidR="00414552">
        <w:rPr>
          <w:rFonts w:asciiTheme="minorHAnsi" w:hAnsiTheme="minorHAnsi" w:cstheme="minorHAnsi"/>
          <w:sz w:val="22"/>
          <w:szCs w:val="22"/>
        </w:rPr>
        <w:t xml:space="preserve">Home Visiting Program Leader </w:t>
      </w:r>
      <w:r w:rsidRPr="002D1043" w:rsidR="003903B8">
        <w:rPr>
          <w:rFonts w:asciiTheme="minorHAnsi" w:hAnsiTheme="minorHAnsi" w:cstheme="minorHAnsi"/>
          <w:sz w:val="22"/>
          <w:szCs w:val="22"/>
        </w:rPr>
        <w:t>Interview Guide)</w:t>
      </w:r>
      <w:r w:rsidRPr="002D1043">
        <w:rPr>
          <w:rFonts w:asciiTheme="minorHAnsi" w:hAnsiTheme="minorHAnsi" w:cstheme="minorHAnsi"/>
          <w:sz w:val="22"/>
          <w:szCs w:val="22"/>
        </w:rPr>
        <w:t xml:space="preserve"> the cost to respondents is based on the median hourly wage for social and community service manage</w:t>
      </w:r>
      <w:r w:rsidR="00103FD2">
        <w:rPr>
          <w:rFonts w:asciiTheme="minorHAnsi" w:hAnsiTheme="minorHAnsi" w:cstheme="minorHAnsi"/>
          <w:sz w:val="22"/>
          <w:szCs w:val="22"/>
        </w:rPr>
        <w:t>rs</w:t>
      </w:r>
      <w:r w:rsidR="002144F3">
        <w:rPr>
          <w:rFonts w:asciiTheme="minorHAnsi" w:hAnsiTheme="minorHAnsi" w:cstheme="minorHAnsi"/>
          <w:sz w:val="22"/>
          <w:szCs w:val="22"/>
        </w:rPr>
        <w:t xml:space="preserve"> for </w:t>
      </w:r>
      <w:r w:rsidR="00103FD2">
        <w:rPr>
          <w:rFonts w:asciiTheme="minorHAnsi" w:hAnsiTheme="minorHAnsi" w:cstheme="minorHAnsi"/>
          <w:sz w:val="22"/>
          <w:szCs w:val="22"/>
        </w:rPr>
        <w:t>individual and family services</w:t>
      </w:r>
      <w:r w:rsidRPr="002D1043">
        <w:rPr>
          <w:rFonts w:asciiTheme="minorHAnsi" w:hAnsiTheme="minorHAnsi" w:cstheme="minorHAnsi"/>
          <w:sz w:val="22"/>
          <w:szCs w:val="22"/>
        </w:rPr>
        <w:t xml:space="preserve"> from the 2022 U.S. Bureau of Labor Statistics Occupational Employment and Wages Statistics (Occupation Code: </w:t>
      </w:r>
      <w:r w:rsidR="00F86267">
        <w:rPr>
          <w:rFonts w:asciiTheme="minorHAnsi" w:hAnsiTheme="minorHAnsi" w:cstheme="minorHAnsi"/>
          <w:sz w:val="22"/>
          <w:szCs w:val="22"/>
        </w:rPr>
        <w:t>624100</w:t>
      </w:r>
      <w:r w:rsidRPr="002D1043" w:rsidR="001A0636">
        <w:rPr>
          <w:rFonts w:asciiTheme="minorHAnsi" w:hAnsiTheme="minorHAnsi" w:cstheme="minorHAnsi"/>
          <w:sz w:val="22"/>
          <w:szCs w:val="22"/>
        </w:rPr>
        <w:t>-</w:t>
      </w:r>
      <w:r w:rsidR="00D461D6">
        <w:rPr>
          <w:rFonts w:asciiTheme="minorHAnsi" w:hAnsiTheme="minorHAnsi" w:cstheme="minorHAnsi"/>
          <w:sz w:val="22"/>
          <w:szCs w:val="22"/>
        </w:rPr>
        <w:t>11</w:t>
      </w:r>
      <w:r w:rsidRPr="002D1043">
        <w:rPr>
          <w:rFonts w:asciiTheme="minorHAnsi" w:hAnsiTheme="minorHAnsi" w:cstheme="minorHAnsi"/>
          <w:sz w:val="22"/>
          <w:szCs w:val="22"/>
        </w:rPr>
        <w:t>-</w:t>
      </w:r>
      <w:r w:rsidR="00D461D6">
        <w:rPr>
          <w:rFonts w:asciiTheme="minorHAnsi" w:hAnsiTheme="minorHAnsi" w:cstheme="minorHAnsi"/>
          <w:sz w:val="22"/>
          <w:szCs w:val="22"/>
        </w:rPr>
        <w:t>9151</w:t>
      </w:r>
      <w:r w:rsidRPr="002D1043">
        <w:rPr>
          <w:rFonts w:asciiTheme="minorHAnsi" w:hAnsiTheme="minorHAnsi" w:cstheme="minorHAnsi"/>
          <w:sz w:val="22"/>
          <w:szCs w:val="22"/>
        </w:rPr>
        <w:t>).</w:t>
      </w:r>
      <w:r>
        <w:rPr>
          <w:rFonts w:asciiTheme="minorHAnsi" w:hAnsiTheme="minorHAnsi" w:cstheme="minorHAnsi"/>
          <w:sz w:val="22"/>
          <w:szCs w:val="22"/>
          <w:vertAlign w:val="superscript"/>
        </w:rPr>
        <w:endnoteReference w:id="22"/>
      </w:r>
      <w:r w:rsidRPr="002D1043">
        <w:rPr>
          <w:rFonts w:asciiTheme="minorHAnsi" w:hAnsiTheme="minorHAnsi" w:cstheme="minorHAnsi"/>
          <w:sz w:val="22"/>
          <w:szCs w:val="22"/>
        </w:rPr>
        <w:t xml:space="preserve"> This wage category was used because it mostly closely approximates the role of </w:t>
      </w:r>
      <w:r w:rsidRPr="002D1043" w:rsidR="00414552">
        <w:rPr>
          <w:rFonts w:asciiTheme="minorHAnsi" w:hAnsiTheme="minorHAnsi" w:cstheme="minorHAnsi"/>
          <w:sz w:val="22"/>
          <w:szCs w:val="22"/>
        </w:rPr>
        <w:t>a home visiting program leader</w:t>
      </w:r>
      <w:r w:rsidRPr="002D1043">
        <w:rPr>
          <w:rFonts w:asciiTheme="minorHAnsi" w:hAnsiTheme="minorHAnsi" w:cstheme="minorHAnsi"/>
          <w:sz w:val="22"/>
          <w:szCs w:val="22"/>
        </w:rPr>
        <w:t xml:space="preserve">. </w:t>
      </w:r>
    </w:p>
    <w:p w:rsidR="006D40A3" w:rsidRPr="002D1043" w:rsidP="00CA3DA6" w14:paraId="3A0CEC42" w14:textId="2560D0F3">
      <w:pPr>
        <w:widowControl/>
        <w:spacing w:before="120"/>
        <w:rPr>
          <w:rFonts w:asciiTheme="minorHAnsi" w:hAnsiTheme="minorHAnsi" w:cstheme="minorHAnsi"/>
          <w:sz w:val="22"/>
          <w:szCs w:val="22"/>
        </w:rPr>
      </w:pPr>
      <w:r w:rsidRPr="002D1043">
        <w:rPr>
          <w:rFonts w:asciiTheme="minorHAnsi" w:hAnsiTheme="minorHAnsi" w:cstheme="minorHAnsi"/>
          <w:sz w:val="22"/>
          <w:szCs w:val="22"/>
        </w:rPr>
        <w:t>For data collection with  home visiting supervisors and home visitors (Recruitment Survey, Supervisor Focus Group Protocol, Home Visitor Focus Group Protocol), the cost to respondents is based on the median hourly wage of community and social services occupations from the 2022 U.S. Bureau of Labor Statistics Occupational Employment and Wages Statistics (Occupation Code: 21-0000).</w:t>
      </w:r>
      <w:r>
        <w:rPr>
          <w:rFonts w:asciiTheme="minorHAnsi" w:hAnsiTheme="minorHAnsi" w:cstheme="minorHAnsi"/>
          <w:sz w:val="22"/>
          <w:szCs w:val="22"/>
          <w:vertAlign w:val="superscript"/>
        </w:rPr>
        <w:endnoteReference w:id="23"/>
      </w:r>
      <w:r w:rsidRPr="002D1043">
        <w:rPr>
          <w:rFonts w:asciiTheme="minorHAnsi" w:hAnsiTheme="minorHAnsi" w:cstheme="minorHAnsi"/>
          <w:sz w:val="22"/>
          <w:szCs w:val="22"/>
        </w:rPr>
        <w:t xml:space="preserve"> This wage category was used because it includes a range of providers (e.g., health education specialists, counselors, social workers), and broadly reflects the type of respondents who will participate in these activities, including the range of roles held by program staff who may participate. </w:t>
      </w:r>
    </w:p>
    <w:p w:rsidR="00915CF2" w:rsidRPr="002D1043" w:rsidP="00CA3DA6" w14:paraId="669DA492" w14:textId="23993629">
      <w:pPr>
        <w:widowControl/>
        <w:spacing w:before="120"/>
        <w:rPr>
          <w:rFonts w:asciiTheme="minorHAnsi" w:hAnsiTheme="minorHAnsi" w:cstheme="minorHAnsi"/>
          <w:sz w:val="22"/>
          <w:szCs w:val="22"/>
        </w:rPr>
      </w:pPr>
      <w:r w:rsidRPr="002D1043">
        <w:rPr>
          <w:rFonts w:asciiTheme="minorHAnsi" w:hAnsiTheme="minorHAnsi" w:cstheme="minorHAnsi"/>
          <w:sz w:val="22"/>
          <w:szCs w:val="22"/>
        </w:rPr>
        <w:t xml:space="preserve">For all respondent types, the median hourly rate is used, as opposed to adjusting for locality, since recipients are spread across the country. For all forms, the average hourly wage was doubled to account for overhead costs. </w:t>
      </w:r>
    </w:p>
    <w:p w:rsidR="00D11CA3" w:rsidRPr="002D1043" w:rsidP="00D11CA3" w14:paraId="22E2A390" w14:textId="34B6A16E">
      <w:pPr>
        <w:spacing w:before="240"/>
        <w:ind w:left="360"/>
        <w:rPr>
          <w:rFonts w:asciiTheme="minorHAnsi" w:hAnsiTheme="minorHAnsi" w:cstheme="minorHAnsi"/>
          <w:b/>
          <w:sz w:val="22"/>
          <w:szCs w:val="22"/>
        </w:rPr>
      </w:pPr>
      <w:r w:rsidRPr="002D1043">
        <w:rPr>
          <w:rFonts w:asciiTheme="minorHAnsi" w:hAnsiTheme="minorHAnsi" w:cstheme="minorHAnsi"/>
          <w:b/>
          <w:sz w:val="22"/>
          <w:szCs w:val="22"/>
        </w:rPr>
        <w:t xml:space="preserve">Table </w:t>
      </w:r>
      <w:r w:rsidRPr="002D1043" w:rsidR="00682B23">
        <w:rPr>
          <w:rFonts w:asciiTheme="minorHAnsi" w:hAnsiTheme="minorHAnsi" w:cstheme="minorHAnsi"/>
          <w:b/>
          <w:sz w:val="22"/>
          <w:szCs w:val="22"/>
        </w:rPr>
        <w:t>5.</w:t>
      </w:r>
      <w:r w:rsidRPr="002D1043">
        <w:rPr>
          <w:rFonts w:asciiTheme="minorHAnsi" w:hAnsiTheme="minorHAnsi" w:cstheme="minorHAnsi"/>
          <w:b/>
          <w:sz w:val="22"/>
          <w:szCs w:val="22"/>
        </w:rPr>
        <w:t xml:space="preserve"> </w:t>
      </w:r>
      <w:r w:rsidRPr="002D1043" w:rsidR="009B3794">
        <w:rPr>
          <w:rFonts w:asciiTheme="minorHAnsi" w:hAnsiTheme="minorHAnsi" w:cstheme="minorHAnsi"/>
          <w:b/>
          <w:sz w:val="22"/>
          <w:szCs w:val="22"/>
        </w:rPr>
        <w:t xml:space="preserve">Estimated Annualized </w:t>
      </w:r>
      <w:r w:rsidRPr="002D1043">
        <w:rPr>
          <w:rFonts w:asciiTheme="minorHAnsi" w:hAnsiTheme="minorHAnsi" w:cstheme="minorHAnsi"/>
          <w:b/>
          <w:sz w:val="22"/>
          <w:szCs w:val="22"/>
        </w:rPr>
        <w:t>Cost to Respondents*</w:t>
      </w:r>
    </w:p>
    <w:tbl>
      <w:tblPr>
        <w:tblW w:w="9442"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72"/>
        <w:gridCol w:w="1710"/>
        <w:gridCol w:w="1350"/>
        <w:gridCol w:w="900"/>
        <w:gridCol w:w="2070"/>
        <w:gridCol w:w="1440"/>
      </w:tblGrid>
      <w:tr w14:paraId="353C7FCD" w14:textId="4EAC0BEF" w:rsidTr="00893DD9">
        <w:tblPrEx>
          <w:tblW w:w="9442"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FE40BB" w:rsidRPr="002D1043" w:rsidP="00893DD9" w14:paraId="4235D18B" w14:textId="4EE005CC">
            <w:pPr>
              <w:widowControl/>
              <w:tabs>
                <w:tab w:val="num" w:pos="1080"/>
              </w:tabs>
              <w:spacing w:before="120"/>
              <w:jc w:val="center"/>
              <w:rPr>
                <w:rFonts w:asciiTheme="minorHAnsi" w:hAnsiTheme="minorHAnsi" w:cstheme="minorHAnsi"/>
                <w:b/>
                <w:sz w:val="22"/>
                <w:szCs w:val="22"/>
              </w:rPr>
            </w:pPr>
          </w:p>
          <w:p w:rsidR="00FE40BB" w:rsidRPr="002D1043" w:rsidP="00893DD9" w14:paraId="25B497E4" w14:textId="034B5574">
            <w:pPr>
              <w:widowControl/>
              <w:tabs>
                <w:tab w:val="num" w:pos="1080"/>
              </w:tabs>
              <w:spacing w:before="120"/>
              <w:jc w:val="center"/>
              <w:rPr>
                <w:rFonts w:asciiTheme="minorHAnsi" w:hAnsiTheme="minorHAnsi" w:cstheme="minorHAnsi"/>
                <w:b/>
                <w:sz w:val="22"/>
                <w:szCs w:val="22"/>
              </w:rPr>
            </w:pPr>
            <w:r w:rsidRPr="002D1043">
              <w:rPr>
                <w:rFonts w:asciiTheme="minorHAnsi" w:hAnsiTheme="minorHAnsi" w:cstheme="minorHAnsi"/>
                <w:b/>
                <w:sz w:val="22"/>
                <w:szCs w:val="22"/>
              </w:rPr>
              <w:t>Form Name</w:t>
            </w:r>
          </w:p>
        </w:tc>
        <w:tc>
          <w:tcPr>
            <w:tcW w:w="1710" w:type="dxa"/>
            <w:tcBorders>
              <w:top w:val="single" w:sz="6" w:space="0" w:color="auto"/>
              <w:left w:val="single" w:sz="6" w:space="0" w:color="auto"/>
              <w:bottom w:val="single" w:sz="6" w:space="0" w:color="auto"/>
              <w:right w:val="single" w:sz="6" w:space="0" w:color="auto"/>
            </w:tcBorders>
            <w:vAlign w:val="bottom"/>
          </w:tcPr>
          <w:p w:rsidR="003660FF" w:rsidRPr="002D1043" w:rsidP="00893DD9" w14:paraId="21837550" w14:textId="5ACEE97B">
            <w:pPr>
              <w:widowControl/>
              <w:tabs>
                <w:tab w:val="num" w:pos="1080"/>
              </w:tabs>
              <w:spacing w:before="120"/>
              <w:jc w:val="center"/>
              <w:rPr>
                <w:rFonts w:asciiTheme="minorHAnsi" w:hAnsiTheme="minorHAnsi" w:cstheme="minorHAnsi"/>
                <w:b/>
                <w:sz w:val="22"/>
                <w:szCs w:val="22"/>
              </w:rPr>
            </w:pPr>
            <w:r w:rsidRPr="002D1043">
              <w:rPr>
                <w:rFonts w:asciiTheme="minorHAnsi" w:hAnsiTheme="minorHAnsi" w:cstheme="minorHAnsi"/>
                <w:b/>
                <w:sz w:val="22"/>
                <w:szCs w:val="22"/>
              </w:rPr>
              <w:t>Type of Respondent Category</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FE40BB" w:rsidRPr="002D1043" w:rsidP="00893DD9" w14:paraId="1C33C9DE" w14:textId="7C19FDA8">
            <w:pPr>
              <w:widowControl/>
              <w:tabs>
                <w:tab w:val="num" w:pos="1080"/>
              </w:tabs>
              <w:spacing w:before="120"/>
              <w:jc w:val="center"/>
              <w:rPr>
                <w:rFonts w:asciiTheme="minorHAnsi" w:hAnsiTheme="minorHAnsi" w:cstheme="minorHAnsi"/>
                <w:b/>
                <w:sz w:val="22"/>
                <w:szCs w:val="22"/>
              </w:rPr>
            </w:pPr>
            <w:r w:rsidRPr="002D1043">
              <w:rPr>
                <w:rFonts w:asciiTheme="minorHAnsi" w:hAnsiTheme="minorHAnsi" w:cstheme="minorHAnsi"/>
                <w:b/>
                <w:sz w:val="22"/>
                <w:szCs w:val="22"/>
              </w:rPr>
              <w:t>Number of Respondents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FE40BB" w:rsidRPr="002D1043" w:rsidP="00893DD9" w14:paraId="11E5BAD0" w14:textId="0C2510EB">
            <w:pPr>
              <w:widowControl/>
              <w:tabs>
                <w:tab w:val="num" w:pos="1080"/>
              </w:tabs>
              <w:spacing w:before="120"/>
              <w:jc w:val="center"/>
              <w:rPr>
                <w:rFonts w:asciiTheme="minorHAnsi" w:hAnsiTheme="minorHAnsi" w:cstheme="minorHAnsi"/>
                <w:b/>
                <w:sz w:val="22"/>
                <w:szCs w:val="22"/>
              </w:rPr>
            </w:pPr>
            <w:r w:rsidRPr="002D1043">
              <w:rPr>
                <w:rFonts w:asciiTheme="minorHAnsi" w:hAnsiTheme="minorHAnsi" w:cstheme="minorHAnsi"/>
                <w:b/>
                <w:sz w:val="22"/>
                <w:szCs w:val="22"/>
              </w:rPr>
              <w:t>Total Burden Hours</w:t>
            </w:r>
          </w:p>
        </w:tc>
        <w:tc>
          <w:tcPr>
            <w:tcW w:w="2070" w:type="dxa"/>
            <w:tcBorders>
              <w:top w:val="single" w:sz="6" w:space="0" w:color="auto"/>
              <w:left w:val="single" w:sz="6" w:space="0" w:color="auto"/>
              <w:bottom w:val="single" w:sz="6" w:space="0" w:color="auto"/>
              <w:right w:val="single" w:sz="6" w:space="0" w:color="auto"/>
            </w:tcBorders>
            <w:vAlign w:val="bottom"/>
          </w:tcPr>
          <w:p w:rsidR="003649EC" w:rsidRPr="002D1043" w:rsidP="00893DD9" w14:paraId="1202DB0F" w14:textId="7A812F66">
            <w:pPr>
              <w:widowControl/>
              <w:tabs>
                <w:tab w:val="num" w:pos="1080"/>
              </w:tabs>
              <w:spacing w:before="120"/>
              <w:jc w:val="center"/>
              <w:rPr>
                <w:rFonts w:asciiTheme="minorHAnsi" w:hAnsiTheme="minorHAnsi" w:cstheme="minorHAnsi"/>
                <w:b/>
                <w:sz w:val="22"/>
                <w:szCs w:val="22"/>
              </w:rPr>
            </w:pPr>
            <w:r w:rsidRPr="002D1043">
              <w:rPr>
                <w:rFonts w:asciiTheme="minorHAnsi" w:hAnsiTheme="minorHAnsi" w:cstheme="minorHAnsi"/>
                <w:b/>
                <w:bCs/>
                <w:sz w:val="22"/>
                <w:szCs w:val="22"/>
              </w:rPr>
              <w:t>Average Hourly Wage</w:t>
            </w:r>
            <w:r w:rsidRPr="002D1043" w:rsidR="002F69A7">
              <w:rPr>
                <w:rFonts w:asciiTheme="minorHAnsi" w:hAnsiTheme="minorHAnsi" w:cstheme="minorHAnsi"/>
                <w:b/>
                <w:bCs/>
                <w:sz w:val="22"/>
                <w:szCs w:val="22"/>
              </w:rPr>
              <w:t xml:space="preserve"> </w:t>
            </w:r>
            <w:r w:rsidRPr="002D1043" w:rsidR="002F69A7">
              <w:rPr>
                <w:rFonts w:asciiTheme="minorHAnsi" w:hAnsiTheme="minorHAnsi" w:cstheme="minorHAnsi"/>
                <w:sz w:val="22"/>
                <w:szCs w:val="22"/>
              </w:rPr>
              <w:t xml:space="preserve">(Multiplied by 2 </w:t>
            </w:r>
            <w:r w:rsidRPr="002D1043" w:rsidR="005B7D65">
              <w:rPr>
                <w:rFonts w:asciiTheme="minorHAnsi" w:hAnsiTheme="minorHAnsi" w:cstheme="minorHAnsi"/>
                <w:sz w:val="22"/>
                <w:szCs w:val="22"/>
              </w:rPr>
              <w:t xml:space="preserve">to calculate </w:t>
            </w:r>
            <w:r w:rsidRPr="002D1043" w:rsidR="00006E9E">
              <w:rPr>
                <w:rFonts w:asciiTheme="minorHAnsi" w:hAnsiTheme="minorHAnsi" w:cstheme="minorHAnsi"/>
                <w:sz w:val="22"/>
                <w:szCs w:val="22"/>
              </w:rPr>
              <w:t>total overhead respondent cost)</w:t>
            </w:r>
          </w:p>
        </w:tc>
        <w:tc>
          <w:tcPr>
            <w:tcW w:w="1440" w:type="dxa"/>
            <w:tcBorders>
              <w:top w:val="single" w:sz="6" w:space="0" w:color="auto"/>
              <w:left w:val="single" w:sz="6" w:space="0" w:color="auto"/>
              <w:bottom w:val="single" w:sz="6" w:space="0" w:color="auto"/>
              <w:right w:val="single" w:sz="6" w:space="0" w:color="auto"/>
            </w:tcBorders>
            <w:vAlign w:val="bottom"/>
          </w:tcPr>
          <w:p w:rsidR="003649EC" w:rsidRPr="002D1043" w:rsidP="00893DD9" w14:paraId="308C7D74" w14:textId="34D48BEB">
            <w:pPr>
              <w:widowControl/>
              <w:tabs>
                <w:tab w:val="num" w:pos="1080"/>
              </w:tabs>
              <w:spacing w:before="120"/>
              <w:jc w:val="center"/>
              <w:rPr>
                <w:rFonts w:asciiTheme="minorHAnsi" w:hAnsiTheme="minorHAnsi" w:cstheme="minorHAnsi"/>
                <w:b/>
                <w:sz w:val="22"/>
                <w:szCs w:val="22"/>
              </w:rPr>
            </w:pPr>
            <w:r w:rsidRPr="002D1043">
              <w:rPr>
                <w:rFonts w:asciiTheme="minorHAnsi" w:hAnsiTheme="minorHAnsi" w:cstheme="minorHAnsi"/>
                <w:b/>
                <w:sz w:val="22"/>
                <w:szCs w:val="22"/>
              </w:rPr>
              <w:t>Total Respondent Cost ($)</w:t>
            </w:r>
          </w:p>
        </w:tc>
      </w:tr>
      <w:tr w14:paraId="4E1949D1" w14:textId="359D503F" w:rsidTr="00CA5A3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B44333" w:rsidRPr="002D1043" w14:paraId="6CFFA4D3" w14:textId="77777777">
            <w:pPr>
              <w:widowControl/>
              <w:tabs>
                <w:tab w:val="num" w:pos="1080"/>
              </w:tabs>
              <w:spacing w:before="120"/>
              <w:rPr>
                <w:rFonts w:asciiTheme="minorHAnsi" w:hAnsiTheme="minorHAnsi" w:cstheme="minorHAnsi"/>
                <w:b/>
                <w:sz w:val="22"/>
                <w:szCs w:val="22"/>
              </w:rPr>
            </w:pPr>
            <w:r w:rsidRPr="002D1043">
              <w:rPr>
                <w:rFonts w:asciiTheme="minorHAnsi" w:hAnsiTheme="minorHAnsi" w:cstheme="minorHAnsi"/>
                <w:b/>
                <w:sz w:val="22"/>
                <w:szCs w:val="22"/>
              </w:rPr>
              <w:t>Recruitment Survey </w:t>
            </w:r>
          </w:p>
        </w:tc>
        <w:tc>
          <w:tcPr>
            <w:tcW w:w="7470" w:type="dxa"/>
            <w:gridSpan w:val="5"/>
            <w:tcBorders>
              <w:top w:val="single" w:sz="6" w:space="0" w:color="auto"/>
              <w:left w:val="single" w:sz="6" w:space="0" w:color="auto"/>
              <w:bottom w:val="single" w:sz="6" w:space="0" w:color="auto"/>
              <w:right w:val="single" w:sz="6" w:space="0" w:color="auto"/>
            </w:tcBorders>
          </w:tcPr>
          <w:p w:rsidR="00B44333" w:rsidRPr="002D1043" w14:paraId="337F7D85" w14:textId="34FD4EE4">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 </w:t>
            </w:r>
          </w:p>
        </w:tc>
      </w:tr>
      <w:tr w14:paraId="0920285B" w14:textId="77777777"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tcPr>
          <w:p w:rsidR="00265D66" w:rsidRPr="002D1043" w:rsidP="00C438DC" w14:paraId="61D18A15" w14:textId="791A5800">
            <w:pPr>
              <w:widowControl/>
              <w:tabs>
                <w:tab w:val="num" w:pos="1080"/>
              </w:tabs>
              <w:spacing w:before="120"/>
              <w:jc w:val="center"/>
              <w:rPr>
                <w:rFonts w:asciiTheme="minorHAnsi" w:hAnsiTheme="minorHAnsi" w:cstheme="minorHAnsi"/>
                <w:sz w:val="22"/>
                <w:szCs w:val="22"/>
              </w:rPr>
            </w:pPr>
            <w:r w:rsidRPr="002D1043">
              <w:rPr>
                <w:rFonts w:asciiTheme="minorHAnsi" w:hAnsiTheme="minorHAnsi" w:cstheme="minorHAnsi"/>
                <w:sz w:val="22"/>
                <w:szCs w:val="22"/>
              </w:rPr>
              <w:t>Home Visiting Program Leaders</w:t>
            </w:r>
          </w:p>
        </w:tc>
        <w:tc>
          <w:tcPr>
            <w:tcW w:w="1710" w:type="dxa"/>
            <w:tcBorders>
              <w:top w:val="single" w:sz="6" w:space="0" w:color="auto"/>
              <w:left w:val="single" w:sz="6" w:space="0" w:color="auto"/>
              <w:bottom w:val="single" w:sz="6" w:space="0" w:color="auto"/>
              <w:right w:val="single" w:sz="6" w:space="0" w:color="auto"/>
            </w:tcBorders>
          </w:tcPr>
          <w:p w:rsidR="00265D66" w:rsidRPr="002D1043" w:rsidP="00DE7C1A" w14:paraId="3EAB2211" w14:textId="2BB036D3">
            <w:pPr>
              <w:widowControl/>
              <w:tabs>
                <w:tab w:val="num" w:pos="1080"/>
              </w:tabs>
              <w:spacing w:before="120"/>
              <w:rPr>
                <w:rFonts w:asciiTheme="minorHAnsi" w:hAnsiTheme="minorHAnsi" w:cstheme="minorHAnsi"/>
                <w:sz w:val="22"/>
                <w:szCs w:val="22"/>
              </w:rPr>
            </w:pPr>
            <w:r>
              <w:rPr>
                <w:rFonts w:asciiTheme="minorHAnsi" w:hAnsiTheme="minorHAnsi" w:cstheme="minorHAnsi"/>
                <w:sz w:val="22"/>
                <w:szCs w:val="22"/>
              </w:rPr>
              <w:t>Individual and family services: Social and community service managers</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265D66" w:rsidRPr="002D1043" w:rsidP="00DE7C1A" w14:paraId="4646C93B" w14:textId="57468FA4">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70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265D66" w:rsidRPr="002D1043" w:rsidP="00DE7C1A" w14:paraId="24A2BB38" w14:textId="506B9894">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11.9</w:t>
            </w:r>
          </w:p>
        </w:tc>
        <w:tc>
          <w:tcPr>
            <w:tcW w:w="2070" w:type="dxa"/>
            <w:tcBorders>
              <w:top w:val="single" w:sz="6" w:space="0" w:color="auto"/>
              <w:left w:val="single" w:sz="6" w:space="0" w:color="auto"/>
              <w:bottom w:val="single" w:sz="6" w:space="0" w:color="auto"/>
              <w:right w:val="single" w:sz="6" w:space="0" w:color="auto"/>
            </w:tcBorders>
          </w:tcPr>
          <w:p w:rsidR="00265D66" w:rsidRPr="002D1043" w:rsidP="00DE7C1A" w14:paraId="11F52492" w14:textId="4719D9A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00103FD2">
              <w:rPr>
                <w:rFonts w:asciiTheme="minorHAnsi" w:hAnsiTheme="minorHAnsi" w:cstheme="minorHAnsi"/>
                <w:sz w:val="22"/>
                <w:szCs w:val="22"/>
              </w:rPr>
              <w:t>34.91</w:t>
            </w:r>
          </w:p>
        </w:tc>
        <w:tc>
          <w:tcPr>
            <w:tcW w:w="1440" w:type="dxa"/>
            <w:tcBorders>
              <w:top w:val="single" w:sz="6" w:space="0" w:color="auto"/>
              <w:left w:val="single" w:sz="6" w:space="0" w:color="auto"/>
              <w:bottom w:val="single" w:sz="6" w:space="0" w:color="auto"/>
              <w:right w:val="single" w:sz="6" w:space="0" w:color="auto"/>
            </w:tcBorders>
          </w:tcPr>
          <w:p w:rsidR="00265D66" w:rsidRPr="002D1043" w:rsidP="00DE7C1A" w14:paraId="0488A49F" w14:textId="4885BCBB">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001C4E68">
              <w:rPr>
                <w:rFonts w:asciiTheme="minorHAnsi" w:hAnsiTheme="minorHAnsi" w:cstheme="minorHAnsi"/>
                <w:sz w:val="22"/>
                <w:szCs w:val="22"/>
              </w:rPr>
              <w:t>830.86</w:t>
            </w:r>
          </w:p>
        </w:tc>
      </w:tr>
      <w:tr w14:paraId="692B2EDC" w14:textId="77777777"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tcPr>
          <w:p w:rsidR="00265D66" w:rsidRPr="002D1043" w:rsidP="00C438DC" w14:paraId="353171F4" w14:textId="20D5C916">
            <w:pPr>
              <w:widowControl/>
              <w:tabs>
                <w:tab w:val="num" w:pos="1080"/>
              </w:tabs>
              <w:spacing w:before="120"/>
              <w:jc w:val="center"/>
              <w:rPr>
                <w:rFonts w:asciiTheme="minorHAnsi" w:hAnsiTheme="minorHAnsi" w:cstheme="minorHAnsi"/>
                <w:sz w:val="22"/>
                <w:szCs w:val="22"/>
              </w:rPr>
            </w:pPr>
            <w:r w:rsidRPr="002D1043">
              <w:rPr>
                <w:rFonts w:asciiTheme="minorHAnsi" w:hAnsiTheme="minorHAnsi" w:cstheme="minorHAnsi"/>
                <w:sz w:val="22"/>
                <w:szCs w:val="22"/>
              </w:rPr>
              <w:t>Supervisors</w:t>
            </w:r>
          </w:p>
        </w:tc>
        <w:tc>
          <w:tcPr>
            <w:tcW w:w="1710" w:type="dxa"/>
            <w:tcBorders>
              <w:top w:val="single" w:sz="6" w:space="0" w:color="auto"/>
              <w:left w:val="single" w:sz="6" w:space="0" w:color="auto"/>
              <w:bottom w:val="single" w:sz="6" w:space="0" w:color="auto"/>
              <w:right w:val="single" w:sz="6" w:space="0" w:color="auto"/>
            </w:tcBorders>
          </w:tcPr>
          <w:p w:rsidR="00265D66" w:rsidRPr="002D1043" w:rsidP="00DE7C1A" w14:paraId="44ED7468" w14:textId="251DC25F">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Community and social service occupations</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265D66" w:rsidRPr="002D1043" w:rsidP="00DE7C1A" w14:paraId="6497A0A8" w14:textId="558652E9">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90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265D66" w:rsidRPr="002D1043" w:rsidP="00DE7C1A" w14:paraId="27FB35EF" w14:textId="31CFD77A">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15.3</w:t>
            </w:r>
          </w:p>
        </w:tc>
        <w:tc>
          <w:tcPr>
            <w:tcW w:w="2070" w:type="dxa"/>
            <w:tcBorders>
              <w:top w:val="single" w:sz="6" w:space="0" w:color="auto"/>
              <w:left w:val="single" w:sz="6" w:space="0" w:color="auto"/>
              <w:bottom w:val="single" w:sz="6" w:space="0" w:color="auto"/>
              <w:right w:val="single" w:sz="6" w:space="0" w:color="auto"/>
            </w:tcBorders>
          </w:tcPr>
          <w:p w:rsidR="00265D66" w:rsidRPr="002D1043" w:rsidP="00DE7C1A" w14:paraId="6B50D0B0" w14:textId="3206905A">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$23.</w:t>
            </w:r>
            <w:r w:rsidRPr="002D1043" w:rsidR="00744DBB">
              <w:rPr>
                <w:rFonts w:asciiTheme="minorHAnsi" w:hAnsiTheme="minorHAnsi" w:cstheme="minorHAnsi"/>
                <w:sz w:val="22"/>
                <w:szCs w:val="22"/>
              </w:rPr>
              <w:t>74</w:t>
            </w:r>
          </w:p>
        </w:tc>
        <w:tc>
          <w:tcPr>
            <w:tcW w:w="1440" w:type="dxa"/>
            <w:tcBorders>
              <w:top w:val="single" w:sz="6" w:space="0" w:color="auto"/>
              <w:left w:val="single" w:sz="6" w:space="0" w:color="auto"/>
              <w:bottom w:val="single" w:sz="6" w:space="0" w:color="auto"/>
              <w:right w:val="single" w:sz="6" w:space="0" w:color="auto"/>
            </w:tcBorders>
          </w:tcPr>
          <w:p w:rsidR="00265D66" w:rsidRPr="002D1043" w:rsidP="00DE7C1A" w14:paraId="1662D8FD" w14:textId="3B0EBFFC">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Pr="002D1043" w:rsidR="00C300B9">
              <w:rPr>
                <w:rFonts w:asciiTheme="minorHAnsi" w:hAnsiTheme="minorHAnsi" w:cstheme="minorHAnsi"/>
                <w:sz w:val="22"/>
                <w:szCs w:val="22"/>
              </w:rPr>
              <w:t>726.44</w:t>
            </w:r>
          </w:p>
        </w:tc>
      </w:tr>
      <w:tr w14:paraId="52E4E9A8" w14:textId="77777777"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tcPr>
          <w:p w:rsidR="00510F55" w:rsidRPr="002D1043" w:rsidP="00C438DC" w14:paraId="414320E4" w14:textId="25E1B7A7">
            <w:pPr>
              <w:widowControl/>
              <w:tabs>
                <w:tab w:val="num" w:pos="1080"/>
              </w:tabs>
              <w:spacing w:before="120"/>
              <w:jc w:val="center"/>
              <w:rPr>
                <w:rFonts w:asciiTheme="minorHAnsi" w:hAnsiTheme="minorHAnsi" w:cstheme="minorHAnsi"/>
                <w:sz w:val="22"/>
                <w:szCs w:val="22"/>
              </w:rPr>
            </w:pPr>
            <w:r w:rsidRPr="002D1043">
              <w:rPr>
                <w:rFonts w:asciiTheme="minorHAnsi" w:hAnsiTheme="minorHAnsi" w:cstheme="minorHAnsi"/>
                <w:sz w:val="22"/>
                <w:szCs w:val="22"/>
              </w:rPr>
              <w:t>Home Visitors</w:t>
            </w:r>
          </w:p>
        </w:tc>
        <w:tc>
          <w:tcPr>
            <w:tcW w:w="1710" w:type="dxa"/>
            <w:tcBorders>
              <w:top w:val="single" w:sz="6" w:space="0" w:color="auto"/>
              <w:left w:val="single" w:sz="6" w:space="0" w:color="auto"/>
              <w:bottom w:val="single" w:sz="6" w:space="0" w:color="auto"/>
              <w:right w:val="single" w:sz="6" w:space="0" w:color="auto"/>
            </w:tcBorders>
          </w:tcPr>
          <w:p w:rsidR="00510F55" w:rsidRPr="002D1043" w:rsidP="00DE7C1A" w14:paraId="4751A6B1" w14:textId="43A17BF8">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Community and social service occupations</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510F55" w:rsidRPr="002D1043" w:rsidP="00DE7C1A" w14:paraId="2274A24E" w14:textId="154F31A8">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90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510F55" w:rsidRPr="002D1043" w:rsidP="00DE7C1A" w14:paraId="6F83412E" w14:textId="7DB09698">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15.3</w:t>
            </w:r>
          </w:p>
        </w:tc>
        <w:tc>
          <w:tcPr>
            <w:tcW w:w="2070" w:type="dxa"/>
            <w:tcBorders>
              <w:top w:val="single" w:sz="6" w:space="0" w:color="auto"/>
              <w:left w:val="single" w:sz="6" w:space="0" w:color="auto"/>
              <w:bottom w:val="single" w:sz="6" w:space="0" w:color="auto"/>
              <w:right w:val="single" w:sz="6" w:space="0" w:color="auto"/>
            </w:tcBorders>
          </w:tcPr>
          <w:p w:rsidR="00510F55" w:rsidRPr="002D1043" w:rsidP="00DE7C1A" w14:paraId="1968806B" w14:textId="5E69FD3F">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$23.74</w:t>
            </w:r>
          </w:p>
        </w:tc>
        <w:tc>
          <w:tcPr>
            <w:tcW w:w="1440" w:type="dxa"/>
            <w:tcBorders>
              <w:top w:val="single" w:sz="6" w:space="0" w:color="auto"/>
              <w:left w:val="single" w:sz="6" w:space="0" w:color="auto"/>
              <w:bottom w:val="single" w:sz="6" w:space="0" w:color="auto"/>
              <w:right w:val="single" w:sz="6" w:space="0" w:color="auto"/>
            </w:tcBorders>
          </w:tcPr>
          <w:p w:rsidR="00510F55" w:rsidRPr="002D1043" w:rsidP="00DE7C1A" w14:paraId="59134257" w14:textId="3B4D2EEC">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Pr="002D1043" w:rsidR="00C318BC">
              <w:rPr>
                <w:rFonts w:asciiTheme="minorHAnsi" w:hAnsiTheme="minorHAnsi" w:cstheme="minorHAnsi"/>
                <w:sz w:val="22"/>
                <w:szCs w:val="22"/>
              </w:rPr>
              <w:t>726.44</w:t>
            </w:r>
          </w:p>
        </w:tc>
      </w:tr>
      <w:tr w14:paraId="2C51B8B3" w14:textId="13DC0DC5"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3B31A7B3" w14:textId="35F7F671">
            <w:pPr>
              <w:widowControl/>
              <w:tabs>
                <w:tab w:val="num" w:pos="1080"/>
              </w:tabs>
              <w:spacing w:before="120"/>
              <w:rPr>
                <w:rFonts w:asciiTheme="minorHAnsi" w:hAnsiTheme="minorHAnsi" w:cstheme="minorHAnsi"/>
                <w:b/>
                <w:sz w:val="22"/>
                <w:szCs w:val="22"/>
              </w:rPr>
            </w:pPr>
            <w:r w:rsidRPr="002D1043">
              <w:rPr>
                <w:rFonts w:asciiTheme="minorHAnsi" w:hAnsiTheme="minorHAnsi" w:cstheme="minorHAnsi"/>
                <w:b/>
                <w:sz w:val="22"/>
                <w:szCs w:val="22"/>
              </w:rPr>
              <w:t>Home Visiting Program Leader</w:t>
            </w:r>
            <w:r w:rsidRPr="002D1043">
              <w:rPr>
                <w:rFonts w:asciiTheme="minorHAnsi" w:hAnsiTheme="minorHAnsi" w:cstheme="minorHAnsi"/>
                <w:b/>
                <w:sz w:val="22"/>
                <w:szCs w:val="22"/>
              </w:rPr>
              <w:t xml:space="preserve"> Interview Guide </w:t>
            </w:r>
          </w:p>
        </w:tc>
        <w:tc>
          <w:tcPr>
            <w:tcW w:w="1710" w:type="dxa"/>
            <w:tcBorders>
              <w:top w:val="single" w:sz="6" w:space="0" w:color="auto"/>
              <w:left w:val="single" w:sz="6" w:space="0" w:color="auto"/>
              <w:bottom w:val="single" w:sz="6" w:space="0" w:color="auto"/>
              <w:right w:val="single" w:sz="6" w:space="0" w:color="auto"/>
            </w:tcBorders>
          </w:tcPr>
          <w:p w:rsidR="003660FF" w:rsidRPr="002D1043" w14:paraId="5F779F47" w14:textId="1D907C6A">
            <w:pPr>
              <w:widowControl/>
              <w:tabs>
                <w:tab w:val="num" w:pos="1080"/>
              </w:tabs>
              <w:spacing w:before="120"/>
              <w:rPr>
                <w:rFonts w:asciiTheme="minorHAnsi" w:hAnsiTheme="minorHAnsi" w:cstheme="minorHAnsi"/>
                <w:b/>
                <w:sz w:val="22"/>
                <w:szCs w:val="22"/>
              </w:rPr>
            </w:pPr>
            <w:r>
              <w:rPr>
                <w:rFonts w:asciiTheme="minorHAnsi" w:hAnsiTheme="minorHAnsi" w:cstheme="minorHAnsi"/>
                <w:sz w:val="22"/>
                <w:szCs w:val="22"/>
              </w:rPr>
              <w:t>Individual and family services: Social and community service managers</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7AFB5085" w14:textId="26A6938F">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590EEAC7"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50.0 </w:t>
            </w:r>
          </w:p>
        </w:tc>
        <w:tc>
          <w:tcPr>
            <w:tcW w:w="2070" w:type="dxa"/>
            <w:tcBorders>
              <w:top w:val="single" w:sz="6" w:space="0" w:color="auto"/>
              <w:left w:val="single" w:sz="6" w:space="0" w:color="auto"/>
              <w:bottom w:val="single" w:sz="6" w:space="0" w:color="auto"/>
              <w:right w:val="single" w:sz="6" w:space="0" w:color="auto"/>
            </w:tcBorders>
          </w:tcPr>
          <w:p w:rsidR="003649EC" w:rsidRPr="002D1043" w14:paraId="45F6AA15" w14:textId="5ECA4441">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color w:val="000000"/>
                <w:sz w:val="22"/>
                <w:szCs w:val="22"/>
              </w:rPr>
              <w:t>$</w:t>
            </w:r>
            <w:r w:rsidR="0051032A">
              <w:rPr>
                <w:rFonts w:asciiTheme="minorHAnsi" w:hAnsiTheme="minorHAnsi" w:cstheme="minorHAnsi"/>
                <w:color w:val="000000"/>
                <w:sz w:val="22"/>
                <w:szCs w:val="22"/>
              </w:rPr>
              <w:t>34.91</w:t>
            </w:r>
          </w:p>
        </w:tc>
        <w:tc>
          <w:tcPr>
            <w:tcW w:w="1440" w:type="dxa"/>
            <w:tcBorders>
              <w:top w:val="single" w:sz="6" w:space="0" w:color="auto"/>
              <w:left w:val="single" w:sz="6" w:space="0" w:color="auto"/>
              <w:bottom w:val="single" w:sz="6" w:space="0" w:color="auto"/>
              <w:right w:val="single" w:sz="6" w:space="0" w:color="auto"/>
            </w:tcBorders>
          </w:tcPr>
          <w:p w:rsidR="003649EC" w:rsidRPr="002D1043" w14:paraId="6BC40339" w14:textId="36D45EA6">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0051032A">
              <w:rPr>
                <w:rFonts w:asciiTheme="minorHAnsi" w:hAnsiTheme="minorHAnsi" w:cstheme="minorHAnsi"/>
                <w:sz w:val="22"/>
                <w:szCs w:val="22"/>
              </w:rPr>
              <w:t>3491</w:t>
            </w:r>
            <w:r w:rsidRPr="002D1043" w:rsidR="00A66A12">
              <w:rPr>
                <w:rFonts w:asciiTheme="minorHAnsi" w:hAnsiTheme="minorHAnsi" w:cstheme="minorHAnsi"/>
                <w:sz w:val="22"/>
                <w:szCs w:val="22"/>
              </w:rPr>
              <w:t>.00</w:t>
            </w:r>
          </w:p>
        </w:tc>
      </w:tr>
      <w:tr w14:paraId="0C02325B" w14:textId="38A9FA13"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56276DCA" w14:textId="77777777">
            <w:pPr>
              <w:widowControl/>
              <w:tabs>
                <w:tab w:val="num" w:pos="1080"/>
              </w:tabs>
              <w:spacing w:before="120"/>
              <w:rPr>
                <w:rFonts w:asciiTheme="minorHAnsi" w:hAnsiTheme="minorHAnsi" w:cstheme="minorHAnsi"/>
                <w:b/>
                <w:sz w:val="22"/>
                <w:szCs w:val="22"/>
              </w:rPr>
            </w:pPr>
            <w:r w:rsidRPr="002D1043">
              <w:rPr>
                <w:rFonts w:asciiTheme="minorHAnsi" w:hAnsiTheme="minorHAnsi" w:cstheme="minorHAnsi"/>
                <w:b/>
                <w:sz w:val="22"/>
                <w:szCs w:val="22"/>
              </w:rPr>
              <w:t>Supervisor Focus Group Protocol </w:t>
            </w:r>
          </w:p>
        </w:tc>
        <w:tc>
          <w:tcPr>
            <w:tcW w:w="1710" w:type="dxa"/>
            <w:tcBorders>
              <w:top w:val="single" w:sz="6" w:space="0" w:color="auto"/>
              <w:left w:val="single" w:sz="6" w:space="0" w:color="auto"/>
              <w:bottom w:val="single" w:sz="6" w:space="0" w:color="auto"/>
              <w:right w:val="single" w:sz="6" w:space="0" w:color="auto"/>
            </w:tcBorders>
          </w:tcPr>
          <w:p w:rsidR="003660FF" w:rsidRPr="002D1043" w14:paraId="0A8F223C" w14:textId="586110BF">
            <w:pPr>
              <w:widowControl/>
              <w:tabs>
                <w:tab w:val="num" w:pos="1080"/>
              </w:tabs>
              <w:spacing w:before="120"/>
              <w:rPr>
                <w:rFonts w:asciiTheme="minorHAnsi" w:hAnsiTheme="minorHAnsi" w:cstheme="minorHAnsi"/>
                <w:b/>
                <w:sz w:val="22"/>
                <w:szCs w:val="22"/>
              </w:rPr>
            </w:pPr>
            <w:r w:rsidRPr="002D1043">
              <w:rPr>
                <w:rFonts w:asciiTheme="minorHAnsi" w:hAnsiTheme="minorHAnsi" w:cstheme="minorHAnsi"/>
                <w:sz w:val="22"/>
                <w:szCs w:val="22"/>
              </w:rPr>
              <w:t>Community and social service occupations</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41ABB227" w14:textId="11DA9B93">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37607F58"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75.0 </w:t>
            </w:r>
          </w:p>
        </w:tc>
        <w:tc>
          <w:tcPr>
            <w:tcW w:w="2070" w:type="dxa"/>
            <w:tcBorders>
              <w:top w:val="single" w:sz="6" w:space="0" w:color="auto"/>
              <w:left w:val="single" w:sz="6" w:space="0" w:color="auto"/>
              <w:bottom w:val="single" w:sz="6" w:space="0" w:color="auto"/>
              <w:right w:val="single" w:sz="6" w:space="0" w:color="auto"/>
            </w:tcBorders>
          </w:tcPr>
          <w:p w:rsidR="003649EC" w:rsidRPr="002D1043" w14:paraId="6A4C5E85" w14:textId="6D7EC7A2">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color w:val="000000"/>
                <w:sz w:val="22"/>
                <w:szCs w:val="22"/>
              </w:rPr>
              <w:t>$23.74</w:t>
            </w:r>
          </w:p>
        </w:tc>
        <w:tc>
          <w:tcPr>
            <w:tcW w:w="1440" w:type="dxa"/>
            <w:tcBorders>
              <w:top w:val="single" w:sz="6" w:space="0" w:color="auto"/>
              <w:left w:val="single" w:sz="6" w:space="0" w:color="auto"/>
              <w:bottom w:val="single" w:sz="6" w:space="0" w:color="auto"/>
              <w:right w:val="single" w:sz="6" w:space="0" w:color="auto"/>
            </w:tcBorders>
          </w:tcPr>
          <w:p w:rsidR="003649EC" w:rsidRPr="002D1043" w14:paraId="52B468CF" w14:textId="65812A2C">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Pr="002D1043" w:rsidR="001D19D8">
              <w:rPr>
                <w:rFonts w:asciiTheme="minorHAnsi" w:hAnsiTheme="minorHAnsi" w:cstheme="minorHAnsi"/>
                <w:sz w:val="22"/>
                <w:szCs w:val="22"/>
              </w:rPr>
              <w:t>3,561</w:t>
            </w:r>
            <w:r w:rsidRPr="002D1043" w:rsidR="00AA359E">
              <w:rPr>
                <w:rFonts w:asciiTheme="minorHAnsi" w:hAnsiTheme="minorHAnsi" w:cstheme="minorHAnsi"/>
                <w:sz w:val="22"/>
                <w:szCs w:val="22"/>
              </w:rPr>
              <w:t>.00</w:t>
            </w:r>
          </w:p>
        </w:tc>
      </w:tr>
      <w:tr w14:paraId="42F9B7B2" w14:textId="7DA3EBD7"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4B52894D" w14:textId="77777777">
            <w:pPr>
              <w:widowControl/>
              <w:tabs>
                <w:tab w:val="num" w:pos="1080"/>
              </w:tabs>
              <w:spacing w:before="120"/>
              <w:rPr>
                <w:rFonts w:asciiTheme="minorHAnsi" w:hAnsiTheme="minorHAnsi" w:cstheme="minorHAnsi"/>
                <w:b/>
                <w:sz w:val="22"/>
                <w:szCs w:val="22"/>
              </w:rPr>
            </w:pPr>
            <w:r w:rsidRPr="002D1043">
              <w:rPr>
                <w:rFonts w:asciiTheme="minorHAnsi" w:hAnsiTheme="minorHAnsi" w:cstheme="minorHAnsi"/>
                <w:b/>
                <w:sz w:val="22"/>
                <w:szCs w:val="22"/>
              </w:rPr>
              <w:t>Home Visitor Focus Group Protocol </w:t>
            </w:r>
          </w:p>
        </w:tc>
        <w:tc>
          <w:tcPr>
            <w:tcW w:w="1710" w:type="dxa"/>
            <w:tcBorders>
              <w:top w:val="single" w:sz="6" w:space="0" w:color="auto"/>
              <w:left w:val="single" w:sz="6" w:space="0" w:color="auto"/>
              <w:bottom w:val="single" w:sz="6" w:space="0" w:color="auto"/>
              <w:right w:val="single" w:sz="6" w:space="0" w:color="auto"/>
            </w:tcBorders>
          </w:tcPr>
          <w:p w:rsidR="003660FF" w:rsidRPr="002D1043" w14:paraId="7AE65162" w14:textId="27A5EC5C">
            <w:pPr>
              <w:widowControl/>
              <w:tabs>
                <w:tab w:val="num" w:pos="1080"/>
              </w:tabs>
              <w:spacing w:before="120"/>
              <w:rPr>
                <w:rFonts w:asciiTheme="minorHAnsi" w:hAnsiTheme="minorHAnsi" w:cstheme="minorHAnsi"/>
                <w:b/>
                <w:sz w:val="22"/>
                <w:szCs w:val="22"/>
              </w:rPr>
            </w:pPr>
            <w:r w:rsidRPr="002D1043">
              <w:rPr>
                <w:rFonts w:asciiTheme="minorHAnsi" w:hAnsiTheme="minorHAnsi" w:cstheme="minorHAnsi"/>
                <w:sz w:val="22"/>
                <w:szCs w:val="22"/>
              </w:rPr>
              <w:t>Community and social service occupations</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386A2A50" w14:textId="2B0506E5">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6BFC23E3"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75.0 </w:t>
            </w:r>
          </w:p>
        </w:tc>
        <w:tc>
          <w:tcPr>
            <w:tcW w:w="2070" w:type="dxa"/>
            <w:tcBorders>
              <w:top w:val="single" w:sz="6" w:space="0" w:color="auto"/>
              <w:left w:val="single" w:sz="6" w:space="0" w:color="auto"/>
              <w:bottom w:val="single" w:sz="6" w:space="0" w:color="auto"/>
              <w:right w:val="single" w:sz="6" w:space="0" w:color="auto"/>
            </w:tcBorders>
          </w:tcPr>
          <w:p w:rsidR="003649EC" w:rsidRPr="002D1043" w14:paraId="0FFAF1CB" w14:textId="4D4E673C">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color w:val="000000"/>
                <w:sz w:val="22"/>
                <w:szCs w:val="22"/>
              </w:rPr>
              <w:t>$23.74</w:t>
            </w:r>
          </w:p>
        </w:tc>
        <w:tc>
          <w:tcPr>
            <w:tcW w:w="1440" w:type="dxa"/>
            <w:tcBorders>
              <w:top w:val="single" w:sz="6" w:space="0" w:color="auto"/>
              <w:left w:val="single" w:sz="6" w:space="0" w:color="auto"/>
              <w:bottom w:val="single" w:sz="6" w:space="0" w:color="auto"/>
              <w:right w:val="single" w:sz="6" w:space="0" w:color="auto"/>
            </w:tcBorders>
          </w:tcPr>
          <w:p w:rsidR="003649EC" w:rsidRPr="002D1043" w14:paraId="5301FA13" w14:textId="506CD033">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Pr="002D1043" w:rsidR="00AA359E">
              <w:rPr>
                <w:rFonts w:asciiTheme="minorHAnsi" w:hAnsiTheme="minorHAnsi" w:cstheme="minorHAnsi"/>
                <w:sz w:val="22"/>
                <w:szCs w:val="22"/>
              </w:rPr>
              <w:t>3,561.00</w:t>
            </w:r>
          </w:p>
        </w:tc>
      </w:tr>
      <w:tr w14:paraId="065CF9D8" w14:textId="13442D18"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010907CD"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Total </w:t>
            </w:r>
          </w:p>
        </w:tc>
        <w:tc>
          <w:tcPr>
            <w:tcW w:w="1710" w:type="dxa"/>
            <w:tcBorders>
              <w:top w:val="single" w:sz="6" w:space="0" w:color="auto"/>
              <w:left w:val="single" w:sz="6" w:space="0" w:color="auto"/>
              <w:bottom w:val="single" w:sz="6" w:space="0" w:color="auto"/>
              <w:right w:val="single" w:sz="6" w:space="0" w:color="auto"/>
            </w:tcBorders>
          </w:tcPr>
          <w:p w:rsidR="003660FF" w:rsidRPr="002D1043" w14:paraId="65224676" w14:textId="77777777">
            <w:pPr>
              <w:widowControl/>
              <w:tabs>
                <w:tab w:val="num" w:pos="1080"/>
              </w:tabs>
              <w:spacing w:before="120"/>
              <w:rPr>
                <w:rFonts w:asciiTheme="minorHAnsi" w:hAnsiTheme="minorHAnsi" w:cstheme="minorHAnsi"/>
                <w:b/>
                <w:sz w:val="22"/>
                <w:szCs w:val="22"/>
              </w:rPr>
            </w:pP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527CF8AC" w14:textId="236B442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400 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601E52D7"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242.5 </w:t>
            </w:r>
          </w:p>
        </w:tc>
        <w:tc>
          <w:tcPr>
            <w:tcW w:w="2070" w:type="dxa"/>
            <w:tcBorders>
              <w:top w:val="single" w:sz="6" w:space="0" w:color="auto"/>
              <w:left w:val="single" w:sz="6" w:space="0" w:color="auto"/>
              <w:bottom w:val="single" w:sz="6" w:space="0" w:color="auto"/>
              <w:right w:val="single" w:sz="6" w:space="0" w:color="auto"/>
            </w:tcBorders>
          </w:tcPr>
          <w:p w:rsidR="003649EC" w:rsidRPr="002D1043" w14:paraId="6D6364D8" w14:textId="77777777">
            <w:pPr>
              <w:widowControl/>
              <w:tabs>
                <w:tab w:val="num" w:pos="1080"/>
              </w:tabs>
              <w:spacing w:before="120"/>
              <w:rPr>
                <w:rFonts w:asciiTheme="minorHAnsi" w:hAnsiTheme="minorHAnsi" w:cstheme="minorHAnsi"/>
                <w:sz w:val="22"/>
                <w:szCs w:val="22"/>
              </w:rPr>
            </w:pPr>
          </w:p>
        </w:tc>
        <w:tc>
          <w:tcPr>
            <w:tcW w:w="1440" w:type="dxa"/>
            <w:tcBorders>
              <w:top w:val="single" w:sz="6" w:space="0" w:color="auto"/>
              <w:left w:val="single" w:sz="6" w:space="0" w:color="auto"/>
              <w:bottom w:val="single" w:sz="6" w:space="0" w:color="auto"/>
              <w:right w:val="single" w:sz="6" w:space="0" w:color="auto"/>
            </w:tcBorders>
          </w:tcPr>
          <w:p w:rsidR="003649EC" w:rsidRPr="002D1043" w14:paraId="51EA24AD" w14:textId="7D2C4FAD">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Pr="002D1043" w:rsidR="00F94367">
              <w:rPr>
                <w:rFonts w:asciiTheme="minorHAnsi" w:hAnsiTheme="minorHAnsi" w:cstheme="minorHAnsi"/>
                <w:sz w:val="22"/>
                <w:szCs w:val="22"/>
              </w:rPr>
              <w:t>1</w:t>
            </w:r>
            <w:r w:rsidR="00837B8F">
              <w:rPr>
                <w:rFonts w:asciiTheme="minorHAnsi" w:hAnsiTheme="minorHAnsi" w:cstheme="minorHAnsi"/>
                <w:sz w:val="22"/>
                <w:szCs w:val="22"/>
              </w:rPr>
              <w:t>2,896</w:t>
            </w:r>
            <w:r w:rsidRPr="002D1043" w:rsidR="00F94367">
              <w:rPr>
                <w:rFonts w:asciiTheme="minorHAnsi" w:hAnsiTheme="minorHAnsi" w:cstheme="minorHAnsi"/>
                <w:sz w:val="22"/>
                <w:szCs w:val="22"/>
              </w:rPr>
              <w:t>.</w:t>
            </w:r>
            <w:r w:rsidR="00837B8F">
              <w:rPr>
                <w:rFonts w:asciiTheme="minorHAnsi" w:hAnsiTheme="minorHAnsi" w:cstheme="minorHAnsi"/>
                <w:sz w:val="22"/>
                <w:szCs w:val="22"/>
              </w:rPr>
              <w:t>74</w:t>
            </w:r>
          </w:p>
        </w:tc>
      </w:tr>
    </w:tbl>
    <w:p w:rsidR="00FE40BB" w:rsidRPr="002D1043" w:rsidP="00B84997" w14:paraId="32B93CC0" w14:textId="794862A4">
      <w:pPr>
        <w:pStyle w:val="NoSpacing"/>
        <w:rPr>
          <w:rFonts w:asciiTheme="minorHAnsi" w:hAnsiTheme="minorHAnsi" w:cstheme="minorHAnsi"/>
        </w:rPr>
      </w:pPr>
      <w:r w:rsidRPr="002D1043">
        <w:rPr>
          <w:rFonts w:asciiTheme="minorHAnsi" w:hAnsiTheme="minorHAnsi" w:cstheme="minorHAnsi"/>
        </w:rPr>
        <w:t>*The total burden hours presented here pro</w:t>
      </w:r>
      <w:r w:rsidRPr="002D1043" w:rsidR="003C01AD">
        <w:rPr>
          <w:rFonts w:asciiTheme="minorHAnsi" w:hAnsiTheme="minorHAnsi" w:cstheme="minorHAnsi"/>
        </w:rPr>
        <w:t xml:space="preserve">vide information assuming the maximum </w:t>
      </w:r>
      <w:r w:rsidRPr="002D1043" w:rsidR="000C304A">
        <w:rPr>
          <w:rFonts w:asciiTheme="minorHAnsi" w:hAnsiTheme="minorHAnsi" w:cstheme="minorHAnsi"/>
        </w:rPr>
        <w:t xml:space="preserve">number of respondents. </w:t>
      </w:r>
    </w:p>
    <w:p w:rsidR="009B3794" w:rsidRPr="004434A7" w:rsidP="00CA3DA6" w14:paraId="22E2A391" w14:textId="77777777">
      <w:pPr>
        <w:numPr>
          <w:ilvl w:val="0"/>
          <w:numId w:val="2"/>
        </w:numPr>
        <w:tabs>
          <w:tab w:val="num" w:pos="360"/>
          <w:tab w:val="clear" w:pos="1080"/>
        </w:tabs>
        <w:spacing w:before="240"/>
        <w:ind w:left="360"/>
        <w:rPr>
          <w:rFonts w:ascii="Calibri Light" w:hAnsi="Calibri Light" w:cs="Calibri Light"/>
          <w:bCs/>
          <w:color w:val="2F5496"/>
          <w:sz w:val="26"/>
          <w:szCs w:val="26"/>
        </w:rPr>
      </w:pPr>
      <w:r w:rsidRPr="004434A7">
        <w:rPr>
          <w:rFonts w:ascii="Calibri Light" w:hAnsi="Calibri Light" w:cs="Calibri Light"/>
          <w:bCs/>
          <w:color w:val="2F5496"/>
          <w:sz w:val="26"/>
          <w:szCs w:val="26"/>
        </w:rPr>
        <w:t>Estimates of other Total Annual Cost Burden to Respondents or Recordkeepers/Capital Costs</w:t>
      </w:r>
    </w:p>
    <w:p w:rsidR="00D11CA3" w:rsidRPr="002D1043" w:rsidP="0000290A" w14:paraId="22E2A394" w14:textId="2613D2FC">
      <w:pPr>
        <w:pStyle w:val="BodyTextIndent"/>
        <w:spacing w:before="120"/>
        <w:ind w:left="0"/>
        <w:rPr>
          <w:rFonts w:asciiTheme="minorHAnsi" w:hAnsiTheme="minorHAnsi" w:cstheme="minorHAnsi"/>
          <w:sz w:val="22"/>
          <w:szCs w:val="22"/>
        </w:rPr>
      </w:pPr>
      <w:r w:rsidRPr="002D1043">
        <w:rPr>
          <w:rFonts w:asciiTheme="minorHAnsi" w:hAnsiTheme="minorHAnsi" w:cstheme="minorHAnsi"/>
          <w:sz w:val="22"/>
          <w:szCs w:val="22"/>
        </w:rPr>
        <w:t>Other than their time, there is no cost to respondents</w:t>
      </w:r>
      <w:r w:rsidRPr="002D1043">
        <w:rPr>
          <w:rFonts w:asciiTheme="minorHAnsi" w:hAnsiTheme="minorHAnsi" w:cstheme="minorHAnsi"/>
          <w:bCs/>
          <w:sz w:val="22"/>
          <w:szCs w:val="22"/>
        </w:rPr>
        <w:t>.</w:t>
      </w:r>
    </w:p>
    <w:p w:rsidR="009B3794" w:rsidRPr="004434A7" w:rsidP="00CA3DA6" w14:paraId="22E2A395" w14:textId="7B09B089">
      <w:pPr>
        <w:numPr>
          <w:ilvl w:val="0"/>
          <w:numId w:val="2"/>
        </w:numPr>
        <w:tabs>
          <w:tab w:val="num" w:pos="360"/>
          <w:tab w:val="clear" w:pos="1080"/>
        </w:tabs>
        <w:spacing w:before="240"/>
        <w:ind w:left="360"/>
        <w:rPr>
          <w:rFonts w:ascii="Calibri Light" w:hAnsi="Calibri Light" w:cs="Calibri Light"/>
          <w:bCs/>
          <w:color w:val="2F5496"/>
          <w:sz w:val="26"/>
          <w:szCs w:val="26"/>
        </w:rPr>
      </w:pPr>
      <w:r w:rsidRPr="004434A7">
        <w:rPr>
          <w:rFonts w:ascii="Calibri Light" w:hAnsi="Calibri Light" w:cs="Calibri Light"/>
          <w:bCs/>
          <w:color w:val="2F5496"/>
          <w:sz w:val="26"/>
          <w:szCs w:val="26"/>
        </w:rPr>
        <w:t>Annualized Cost to Federal Government</w:t>
      </w:r>
    </w:p>
    <w:p w:rsidR="00CD50AF" w:rsidRPr="002D1043" w:rsidP="00CD50AF" w14:paraId="488B13CF" w14:textId="68A71B87">
      <w:pPr>
        <w:spacing w:before="240"/>
        <w:rPr>
          <w:rFonts w:asciiTheme="minorHAnsi" w:hAnsiTheme="minorHAnsi" w:cstheme="minorHAnsi"/>
          <w:bCs/>
          <w:sz w:val="22"/>
          <w:szCs w:val="22"/>
        </w:rPr>
      </w:pPr>
      <w:r w:rsidRPr="002D1043">
        <w:rPr>
          <w:rFonts w:asciiTheme="minorHAnsi" w:hAnsiTheme="minorHAnsi" w:cstheme="minorHAnsi"/>
          <w:bCs/>
          <w:sz w:val="22"/>
          <w:szCs w:val="22"/>
        </w:rPr>
        <w:t>The total cost of this information collection to the Federal Government is $</w:t>
      </w:r>
      <w:r w:rsidR="00A14186">
        <w:rPr>
          <w:rFonts w:asciiTheme="minorHAnsi" w:hAnsiTheme="minorHAnsi" w:cstheme="minorHAnsi"/>
          <w:bCs/>
          <w:sz w:val="22"/>
          <w:szCs w:val="22"/>
        </w:rPr>
        <w:t>223,523</w:t>
      </w:r>
      <w:r w:rsidRPr="002D1043">
        <w:rPr>
          <w:rFonts w:asciiTheme="minorHAnsi" w:hAnsiTheme="minorHAnsi" w:cstheme="minorHAnsi"/>
          <w:bCs/>
          <w:sz w:val="22"/>
          <w:szCs w:val="22"/>
        </w:rPr>
        <w:t xml:space="preserve">, which includes the </w:t>
      </w:r>
      <w:r w:rsidRPr="002D1043">
        <w:rPr>
          <w:rFonts w:asciiTheme="minorHAnsi" w:hAnsiTheme="minorHAnsi" w:cstheme="minorHAnsi"/>
          <w:bCs/>
          <w:sz w:val="22"/>
          <w:szCs w:val="22"/>
        </w:rPr>
        <w:t xml:space="preserve">cost of the contract to Child Trends for performing the study as well as the cost of federal employees supporting the evaluation. The information collection is </w:t>
      </w:r>
      <w:r w:rsidRPr="002D1043" w:rsidR="008044FF">
        <w:rPr>
          <w:rFonts w:asciiTheme="minorHAnsi" w:hAnsiTheme="minorHAnsi" w:cstheme="minorHAnsi"/>
          <w:bCs/>
          <w:sz w:val="22"/>
          <w:szCs w:val="22"/>
        </w:rPr>
        <w:t>16</w:t>
      </w:r>
      <w:r w:rsidRPr="002D1043">
        <w:rPr>
          <w:rFonts w:asciiTheme="minorHAnsi" w:hAnsiTheme="minorHAnsi" w:cstheme="minorHAnsi"/>
          <w:bCs/>
          <w:sz w:val="22"/>
          <w:szCs w:val="22"/>
        </w:rPr>
        <w:t xml:space="preserve"> months in total with an average annual cost of $</w:t>
      </w:r>
      <w:r w:rsidR="006E5CF3">
        <w:rPr>
          <w:rFonts w:asciiTheme="minorHAnsi" w:hAnsiTheme="minorHAnsi" w:cstheme="minorHAnsi"/>
          <w:bCs/>
          <w:sz w:val="22"/>
          <w:szCs w:val="22"/>
        </w:rPr>
        <w:t>214</w:t>
      </w:r>
      <w:r w:rsidRPr="002D1043" w:rsidR="008044FF">
        <w:rPr>
          <w:rFonts w:asciiTheme="minorHAnsi" w:hAnsiTheme="minorHAnsi" w:cstheme="minorHAnsi"/>
          <w:bCs/>
          <w:sz w:val="22"/>
          <w:szCs w:val="22"/>
        </w:rPr>
        <w:t>,0</w:t>
      </w:r>
      <w:r w:rsidR="006E5CF3">
        <w:rPr>
          <w:rFonts w:asciiTheme="minorHAnsi" w:hAnsiTheme="minorHAnsi" w:cstheme="minorHAnsi"/>
          <w:bCs/>
          <w:sz w:val="22"/>
          <w:szCs w:val="22"/>
        </w:rPr>
        <w:t>31</w:t>
      </w:r>
      <w:r w:rsidRPr="002D1043">
        <w:rPr>
          <w:rFonts w:asciiTheme="minorHAnsi" w:hAnsiTheme="minorHAnsi" w:cstheme="minorHAnsi"/>
          <w:bCs/>
          <w:sz w:val="22"/>
          <w:szCs w:val="22"/>
        </w:rPr>
        <w:t xml:space="preserve">. This includes designing data collection instruments, collecting all data, and analyzing data, as well as the cost of incentives to respondents. This represents </w:t>
      </w:r>
      <w:r w:rsidR="004837CB">
        <w:rPr>
          <w:rFonts w:asciiTheme="minorHAnsi" w:hAnsiTheme="minorHAnsi" w:cstheme="minorHAnsi"/>
          <w:bCs/>
          <w:sz w:val="22"/>
          <w:szCs w:val="22"/>
        </w:rPr>
        <w:t>20%</w:t>
      </w:r>
      <w:r w:rsidRPr="002D1043">
        <w:rPr>
          <w:rFonts w:asciiTheme="minorHAnsi" w:hAnsiTheme="minorHAnsi" w:cstheme="minorHAnsi"/>
          <w:bCs/>
          <w:sz w:val="22"/>
          <w:szCs w:val="22"/>
        </w:rPr>
        <w:t xml:space="preserve"> of the HV-AIM contract to Child Trends, which is approximately $</w:t>
      </w:r>
      <w:r w:rsidRPr="002D1043" w:rsidR="00B15B92">
        <w:rPr>
          <w:rFonts w:asciiTheme="minorHAnsi" w:hAnsiTheme="minorHAnsi" w:cstheme="minorHAnsi"/>
          <w:bCs/>
          <w:sz w:val="22"/>
          <w:szCs w:val="22"/>
        </w:rPr>
        <w:t>1,073,845</w:t>
      </w:r>
      <w:r w:rsidRPr="002D1043">
        <w:rPr>
          <w:rFonts w:asciiTheme="minorHAnsi" w:hAnsiTheme="minorHAnsi" w:cstheme="minorHAnsi"/>
          <w:bCs/>
          <w:sz w:val="22"/>
          <w:szCs w:val="22"/>
        </w:rPr>
        <w:t xml:space="preserve"> per year.  </w:t>
      </w:r>
    </w:p>
    <w:p w:rsidR="00CD50AF" w:rsidRPr="002D1043" w:rsidP="00CD50AF" w14:paraId="10192D4C" w14:textId="14043925">
      <w:pPr>
        <w:spacing w:before="240"/>
        <w:rPr>
          <w:rFonts w:asciiTheme="minorHAnsi" w:hAnsiTheme="minorHAnsi" w:cstheme="minorHAnsi"/>
          <w:bCs/>
          <w:sz w:val="22"/>
          <w:szCs w:val="22"/>
        </w:rPr>
      </w:pPr>
      <w:r w:rsidRPr="002D1043">
        <w:rPr>
          <w:rFonts w:asciiTheme="minorHAnsi" w:hAnsiTheme="minorHAnsi" w:cstheme="minorHAnsi"/>
          <w:bCs/>
          <w:sz w:val="22"/>
          <w:szCs w:val="22"/>
        </w:rPr>
        <w:t xml:space="preserve">In addition, the cost to the federal government includes the cost of federal staff time to project oversight and development. </w:t>
      </w:r>
      <w:r w:rsidRPr="004A69E1" w:rsidR="008638E5">
        <w:rPr>
          <w:rFonts w:asciiTheme="minorHAnsi" w:hAnsiTheme="minorHAnsi" w:cstheme="minorHAnsi"/>
          <w:color w:val="000000"/>
          <w:sz w:val="22"/>
          <w:szCs w:val="22"/>
        </w:rPr>
        <w:t xml:space="preserve">This includes approximately </w:t>
      </w:r>
      <w:r w:rsidR="000E6C1B">
        <w:rPr>
          <w:rFonts w:asciiTheme="minorHAnsi" w:hAnsiTheme="minorHAnsi" w:cstheme="minorHAnsi"/>
          <w:color w:val="000000"/>
          <w:sz w:val="22"/>
          <w:szCs w:val="22"/>
        </w:rPr>
        <w:t>5</w:t>
      </w:r>
      <w:r w:rsidRPr="004A69E1" w:rsidR="008638E5">
        <w:rPr>
          <w:rFonts w:asciiTheme="minorHAnsi" w:hAnsiTheme="minorHAnsi" w:cstheme="minorHAnsi"/>
          <w:color w:val="000000"/>
          <w:sz w:val="22"/>
          <w:szCs w:val="22"/>
        </w:rPr>
        <w:t>% of a federal public health analyst at Grade 13, Step 4 ($</w:t>
      </w:r>
      <w:r w:rsidR="000E6C1B">
        <w:rPr>
          <w:rFonts w:asciiTheme="minorHAnsi" w:hAnsiTheme="minorHAnsi" w:cstheme="minorHAnsi"/>
          <w:color w:val="000000"/>
          <w:sz w:val="22"/>
          <w:szCs w:val="22"/>
        </w:rPr>
        <w:t>9</w:t>
      </w:r>
      <w:r w:rsidR="00A14186">
        <w:rPr>
          <w:rFonts w:asciiTheme="minorHAnsi" w:hAnsiTheme="minorHAnsi" w:cstheme="minorHAnsi"/>
          <w:color w:val="000000"/>
          <w:sz w:val="22"/>
          <w:szCs w:val="22"/>
        </w:rPr>
        <w:t>1</w:t>
      </w:r>
      <w:r w:rsidR="000E6C1B">
        <w:rPr>
          <w:rFonts w:asciiTheme="minorHAnsi" w:hAnsiTheme="minorHAnsi" w:cstheme="minorHAnsi"/>
          <w:color w:val="000000"/>
          <w:sz w:val="22"/>
          <w:szCs w:val="22"/>
        </w:rPr>
        <w:t>.27</w:t>
      </w:r>
      <w:r w:rsidRPr="004A69E1" w:rsidR="008638E5">
        <w:rPr>
          <w:rFonts w:asciiTheme="minorHAnsi" w:hAnsiTheme="minorHAnsi" w:cstheme="minorHAnsi"/>
          <w:color w:val="000000"/>
          <w:sz w:val="22"/>
          <w:szCs w:val="22"/>
        </w:rPr>
        <w:t xml:space="preserve"> per hour for </w:t>
      </w:r>
      <w:r w:rsidR="00A14186">
        <w:rPr>
          <w:rFonts w:asciiTheme="minorHAnsi" w:hAnsiTheme="minorHAnsi" w:cstheme="minorHAnsi"/>
          <w:color w:val="000000"/>
          <w:sz w:val="22"/>
          <w:szCs w:val="22"/>
        </w:rPr>
        <w:t>104</w:t>
      </w:r>
      <w:r w:rsidRPr="004A69E1" w:rsidR="008638E5">
        <w:rPr>
          <w:rFonts w:asciiTheme="minorHAnsi" w:hAnsiTheme="minorHAnsi" w:cstheme="minorHAnsi"/>
          <w:color w:val="000000"/>
          <w:sz w:val="22"/>
          <w:szCs w:val="22"/>
        </w:rPr>
        <w:t xml:space="preserve"> hours) for a total cost of $</w:t>
      </w:r>
      <w:r w:rsidR="00A14186">
        <w:rPr>
          <w:rFonts w:asciiTheme="minorHAnsi" w:hAnsiTheme="minorHAnsi" w:cstheme="minorHAnsi"/>
          <w:color w:val="000000"/>
          <w:sz w:val="22"/>
          <w:szCs w:val="22"/>
        </w:rPr>
        <w:t>9,492</w:t>
      </w:r>
      <w:r w:rsidRPr="004A69E1" w:rsidR="008638E5">
        <w:rPr>
          <w:rFonts w:asciiTheme="minorHAnsi" w:hAnsiTheme="minorHAnsi" w:cstheme="minorHAnsi"/>
          <w:color w:val="000000"/>
          <w:sz w:val="22"/>
          <w:szCs w:val="22"/>
        </w:rPr>
        <w:t xml:space="preserve">. Wage has been </w:t>
      </w:r>
      <w:r w:rsidRPr="008638E5" w:rsidR="008638E5">
        <w:rPr>
          <w:rFonts w:asciiTheme="minorHAnsi" w:hAnsiTheme="minorHAnsi" w:cstheme="minorHAnsi"/>
          <w:color w:val="000000"/>
          <w:sz w:val="22"/>
          <w:szCs w:val="22"/>
        </w:rPr>
        <w:t>multiplied</w:t>
      </w:r>
      <w:r w:rsidRPr="004A69E1" w:rsidR="008638E5">
        <w:rPr>
          <w:rFonts w:asciiTheme="minorHAnsi" w:hAnsiTheme="minorHAnsi" w:cstheme="minorHAnsi"/>
          <w:color w:val="000000"/>
          <w:sz w:val="22"/>
          <w:szCs w:val="22"/>
        </w:rPr>
        <w:t xml:space="preserve"> by 1.5 to account for overhead costs</w:t>
      </w:r>
      <w:r w:rsidRPr="002D1043">
        <w:rPr>
          <w:rFonts w:asciiTheme="minorHAnsi" w:hAnsiTheme="minorHAnsi" w:cstheme="minorHAnsi"/>
          <w:bCs/>
          <w:sz w:val="22"/>
          <w:szCs w:val="22"/>
        </w:rPr>
        <w:t>.</w:t>
      </w:r>
    </w:p>
    <w:p w:rsidR="009B3794" w:rsidRPr="004434A7" w:rsidP="00CA3DA6" w14:paraId="22E2A398" w14:textId="77777777">
      <w:pPr>
        <w:numPr>
          <w:ilvl w:val="0"/>
          <w:numId w:val="2"/>
        </w:numPr>
        <w:tabs>
          <w:tab w:val="num" w:pos="360"/>
          <w:tab w:val="clear" w:pos="1080"/>
        </w:tabs>
        <w:spacing w:before="240"/>
        <w:ind w:left="360"/>
        <w:rPr>
          <w:rFonts w:ascii="Calibri Light" w:hAnsi="Calibri Light" w:cs="Calibri Light"/>
          <w:bCs/>
          <w:sz w:val="26"/>
          <w:szCs w:val="26"/>
        </w:rPr>
      </w:pPr>
      <w:r w:rsidRPr="004434A7">
        <w:rPr>
          <w:rFonts w:ascii="Calibri Light" w:hAnsi="Calibri Light" w:cs="Calibri Light"/>
          <w:bCs/>
          <w:color w:val="2F5496"/>
          <w:sz w:val="26"/>
          <w:szCs w:val="26"/>
        </w:rPr>
        <w:t>Explanation for Program Changes or Adjustments</w:t>
      </w:r>
    </w:p>
    <w:p w:rsidR="009B3794" w:rsidRPr="002D1043" w:rsidP="00226378" w14:paraId="22E2A39E" w14:textId="6A70C23C">
      <w:pPr>
        <w:pStyle w:val="BodyTextIndent"/>
        <w:spacing w:before="120"/>
        <w:ind w:left="0"/>
        <w:rPr>
          <w:rFonts w:asciiTheme="minorHAnsi" w:hAnsiTheme="minorHAnsi" w:cstheme="minorHAnsi"/>
          <w:b/>
          <w:sz w:val="22"/>
          <w:szCs w:val="22"/>
        </w:rPr>
      </w:pPr>
      <w:r w:rsidRPr="002D1043">
        <w:rPr>
          <w:rFonts w:asciiTheme="minorHAnsi" w:hAnsiTheme="minorHAnsi" w:cstheme="minorHAnsi"/>
          <w:sz w:val="22"/>
          <w:szCs w:val="22"/>
        </w:rPr>
        <w:t xml:space="preserve">This is a new </w:t>
      </w:r>
      <w:r w:rsidRPr="002D1043" w:rsidR="00FE6C30">
        <w:rPr>
          <w:rFonts w:asciiTheme="minorHAnsi" w:hAnsiTheme="minorHAnsi" w:cstheme="minorHAnsi"/>
          <w:sz w:val="22"/>
          <w:szCs w:val="22"/>
        </w:rPr>
        <w:t>information</w:t>
      </w:r>
      <w:r w:rsidRPr="002D1043">
        <w:rPr>
          <w:rFonts w:asciiTheme="minorHAnsi" w:hAnsiTheme="minorHAnsi" w:cstheme="minorHAnsi"/>
          <w:sz w:val="22"/>
          <w:szCs w:val="22"/>
        </w:rPr>
        <w:t xml:space="preserve"> collection.</w:t>
      </w:r>
    </w:p>
    <w:p w:rsidR="00B03F3F" w:rsidRPr="004434A7" w:rsidP="00B03F3F" w14:paraId="44D8C747" w14:textId="4749779F">
      <w:pPr>
        <w:numPr>
          <w:ilvl w:val="0"/>
          <w:numId w:val="2"/>
        </w:numPr>
        <w:tabs>
          <w:tab w:val="num" w:pos="360"/>
          <w:tab w:val="clear" w:pos="1080"/>
        </w:tabs>
        <w:spacing w:before="240"/>
        <w:ind w:left="360"/>
        <w:rPr>
          <w:rFonts w:ascii="Calibri Light" w:hAnsi="Calibri Light" w:cs="Calibri Light"/>
          <w:bCs/>
          <w:color w:val="2F5496"/>
          <w:sz w:val="26"/>
          <w:szCs w:val="26"/>
        </w:rPr>
      </w:pPr>
      <w:r w:rsidRPr="004434A7">
        <w:rPr>
          <w:rFonts w:ascii="Calibri Light" w:hAnsi="Calibri Light" w:cs="Calibri Light"/>
          <w:bCs/>
          <w:color w:val="2F5496"/>
          <w:sz w:val="26"/>
          <w:szCs w:val="26"/>
        </w:rPr>
        <w:t>Plans for Tabulation</w:t>
      </w:r>
      <w:r w:rsidRPr="004434A7" w:rsidR="002118B4">
        <w:rPr>
          <w:rFonts w:ascii="Calibri Light" w:hAnsi="Calibri Light" w:cs="Calibri Light"/>
          <w:bCs/>
          <w:color w:val="2F5496"/>
          <w:sz w:val="26"/>
          <w:szCs w:val="26"/>
        </w:rPr>
        <w:t xml:space="preserve">, </w:t>
      </w:r>
      <w:r w:rsidRPr="004434A7">
        <w:rPr>
          <w:rFonts w:ascii="Calibri Light" w:hAnsi="Calibri Light" w:cs="Calibri Light"/>
          <w:bCs/>
          <w:color w:val="2F5496"/>
          <w:sz w:val="26"/>
          <w:szCs w:val="26"/>
        </w:rPr>
        <w:t>Publication</w:t>
      </w:r>
      <w:r w:rsidRPr="004434A7" w:rsidR="002118B4">
        <w:rPr>
          <w:rFonts w:ascii="Calibri Light" w:hAnsi="Calibri Light" w:cs="Calibri Light"/>
          <w:bCs/>
          <w:color w:val="2F5496"/>
          <w:sz w:val="26"/>
          <w:szCs w:val="26"/>
        </w:rPr>
        <w:t>,</w:t>
      </w:r>
      <w:r w:rsidRPr="004434A7">
        <w:rPr>
          <w:rFonts w:ascii="Calibri Light" w:hAnsi="Calibri Light" w:cs="Calibri Light"/>
          <w:bCs/>
          <w:color w:val="2F5496"/>
          <w:sz w:val="26"/>
          <w:szCs w:val="26"/>
        </w:rPr>
        <w:t xml:space="preserve"> and Project Time Schedule</w:t>
      </w:r>
    </w:p>
    <w:p w:rsidR="00B03F3F" w:rsidRPr="002D1043" w:rsidP="00B03F3F" w14:paraId="6829C80E" w14:textId="483396CC">
      <w:pPr>
        <w:spacing w:before="240"/>
        <w:rPr>
          <w:rFonts w:asciiTheme="minorHAnsi" w:hAnsiTheme="minorHAnsi" w:cstheme="minorHAnsi"/>
          <w:sz w:val="22"/>
          <w:szCs w:val="22"/>
        </w:rPr>
      </w:pPr>
      <w:r w:rsidRPr="002D1043">
        <w:rPr>
          <w:rFonts w:asciiTheme="minorHAnsi" w:hAnsiTheme="minorHAnsi" w:cstheme="minorHAnsi"/>
          <w:b/>
          <w:bCs/>
          <w:sz w:val="22"/>
          <w:szCs w:val="22"/>
        </w:rPr>
        <w:t>Project Timeline</w:t>
      </w:r>
      <w:r w:rsidRPr="002D1043">
        <w:rPr>
          <w:rFonts w:asciiTheme="minorHAnsi" w:hAnsiTheme="minorHAnsi" w:cstheme="minorHAnsi"/>
          <w:sz w:val="22"/>
          <w:szCs w:val="22"/>
        </w:rPr>
        <w:t xml:space="preserve">: The information collection will take </w:t>
      </w:r>
      <w:r w:rsidRPr="002D1043" w:rsidR="002E6260">
        <w:rPr>
          <w:rFonts w:asciiTheme="minorHAnsi" w:hAnsiTheme="minorHAnsi" w:cstheme="minorHAnsi"/>
          <w:sz w:val="22"/>
          <w:szCs w:val="22"/>
        </w:rPr>
        <w:t xml:space="preserve">place in 2024-2025. The estimated timeline for the information collection, data analysis, and publication is detailed in Table 6. </w:t>
      </w:r>
    </w:p>
    <w:p w:rsidR="00CE017C" w:rsidRPr="002D1043" w:rsidP="00B03F3F" w14:paraId="6E58FFFD" w14:textId="07BFD014">
      <w:pPr>
        <w:spacing w:before="240"/>
        <w:rPr>
          <w:rFonts w:asciiTheme="minorHAnsi" w:hAnsiTheme="minorHAnsi" w:cstheme="minorHAnsi"/>
          <w:b/>
          <w:bCs/>
          <w:sz w:val="22"/>
          <w:szCs w:val="22"/>
        </w:rPr>
      </w:pPr>
      <w:r w:rsidRPr="002D1043">
        <w:rPr>
          <w:rFonts w:asciiTheme="minorHAnsi" w:hAnsiTheme="minorHAnsi" w:cstheme="minorHAnsi"/>
          <w:b/>
          <w:bCs/>
          <w:sz w:val="22"/>
          <w:szCs w:val="22"/>
        </w:rPr>
        <w:t>Table 6</w:t>
      </w:r>
      <w:r w:rsidRPr="002D1043" w:rsidR="00915FEA">
        <w:rPr>
          <w:rFonts w:asciiTheme="minorHAnsi" w:hAnsiTheme="minorHAnsi" w:cstheme="minorHAnsi"/>
          <w:b/>
          <w:bCs/>
          <w:sz w:val="22"/>
          <w:szCs w:val="22"/>
        </w:rPr>
        <w:t>.</w:t>
      </w:r>
      <w:r w:rsidRPr="002D1043">
        <w:rPr>
          <w:rFonts w:asciiTheme="minorHAnsi" w:hAnsiTheme="minorHAnsi" w:cstheme="minorHAnsi"/>
          <w:b/>
          <w:bCs/>
          <w:sz w:val="22"/>
          <w:szCs w:val="22"/>
        </w:rPr>
        <w:t xml:space="preserve"> Estimated Time Schedule for Project </w:t>
      </w:r>
      <w:r w:rsidRPr="002D1043" w:rsidR="00915FEA">
        <w:rPr>
          <w:rFonts w:asciiTheme="minorHAnsi" w:hAnsiTheme="minorHAnsi" w:cstheme="minorHAnsi"/>
          <w:b/>
          <w:bCs/>
          <w:sz w:val="22"/>
          <w:szCs w:val="22"/>
        </w:rPr>
        <w:t>Activities</w:t>
      </w:r>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2254"/>
        <w:gridCol w:w="7106"/>
      </w:tblGrid>
      <w:tr w14:paraId="528CC77C" w14:textId="77777777" w:rsidTr="00CA5A39">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2254" w:type="dxa"/>
            <w:tcBorders>
              <w:top w:val="single" w:sz="12" w:space="0" w:color="auto"/>
              <w:bottom w:val="single" w:sz="6" w:space="0" w:color="auto"/>
              <w:right w:val="single" w:sz="2" w:space="0" w:color="auto"/>
            </w:tcBorders>
            <w:vAlign w:val="bottom"/>
          </w:tcPr>
          <w:p w:rsidR="00CE017C" w:rsidRPr="002D1043" w:rsidP="00CA5A39" w14:paraId="28F23B42" w14:textId="77777777">
            <w:pPr>
              <w:keepNext/>
              <w:spacing w:before="60" w:after="60"/>
              <w:rPr>
                <w:rFonts w:asciiTheme="minorHAnsi" w:hAnsiTheme="minorHAnsi" w:cstheme="minorHAnsi"/>
                <w:b/>
                <w:sz w:val="22"/>
                <w:szCs w:val="22"/>
              </w:rPr>
            </w:pPr>
            <w:r w:rsidRPr="002D1043">
              <w:rPr>
                <w:rFonts w:asciiTheme="minorHAnsi" w:hAnsiTheme="minorHAnsi" w:cstheme="minorHAnsi"/>
                <w:b/>
                <w:sz w:val="22"/>
                <w:szCs w:val="22"/>
              </w:rPr>
              <w:t>Activity</w:t>
            </w:r>
          </w:p>
        </w:tc>
        <w:tc>
          <w:tcPr>
            <w:tcW w:w="7106" w:type="dxa"/>
            <w:tcBorders>
              <w:top w:val="single" w:sz="12" w:space="0" w:color="auto"/>
              <w:left w:val="single" w:sz="2" w:space="0" w:color="auto"/>
              <w:bottom w:val="single" w:sz="6" w:space="0" w:color="auto"/>
            </w:tcBorders>
            <w:vAlign w:val="bottom"/>
          </w:tcPr>
          <w:p w:rsidR="00CE017C" w:rsidRPr="002D1043" w:rsidP="00CA5A39" w14:paraId="6FD8283E" w14:textId="77777777">
            <w:pPr>
              <w:keepNext/>
              <w:spacing w:before="60" w:after="60"/>
              <w:rPr>
                <w:rFonts w:asciiTheme="minorHAnsi" w:hAnsiTheme="minorHAnsi" w:cstheme="minorHAnsi"/>
                <w:b/>
                <w:sz w:val="22"/>
                <w:szCs w:val="22"/>
              </w:rPr>
            </w:pPr>
            <w:r w:rsidRPr="002D1043">
              <w:rPr>
                <w:rFonts w:asciiTheme="minorHAnsi" w:hAnsiTheme="minorHAnsi" w:cstheme="minorHAnsi"/>
                <w:b/>
                <w:sz w:val="22"/>
                <w:szCs w:val="22"/>
              </w:rPr>
              <w:t>Expected Timeline – start (</w:t>
            </w:r>
            <w:r w:rsidRPr="002D1043">
              <w:rPr>
                <w:rFonts w:asciiTheme="minorHAnsi" w:hAnsiTheme="minorHAnsi" w:cstheme="minorHAnsi"/>
                <w:b/>
                <w:sz w:val="22"/>
                <w:szCs w:val="22"/>
              </w:rPr>
              <w:t>time period</w:t>
            </w:r>
            <w:r w:rsidRPr="002D1043">
              <w:rPr>
                <w:rFonts w:asciiTheme="minorHAnsi" w:hAnsiTheme="minorHAnsi" w:cstheme="minorHAnsi"/>
                <w:b/>
                <w:sz w:val="22"/>
                <w:szCs w:val="22"/>
              </w:rPr>
              <w:t xml:space="preserve"> to complete activity)</w:t>
            </w:r>
          </w:p>
        </w:tc>
      </w:tr>
      <w:tr w14:paraId="5E6C14B5" w14:textId="77777777" w:rsidTr="00CA5A39">
        <w:tblPrEx>
          <w:tblW w:w="9360" w:type="dxa"/>
          <w:tblInd w:w="86" w:type="dxa"/>
          <w:tblLayout w:type="fixed"/>
          <w:tblCellMar>
            <w:left w:w="115" w:type="dxa"/>
            <w:right w:w="115" w:type="dxa"/>
          </w:tblCellMar>
          <w:tblLook w:val="01E0"/>
        </w:tblPrEx>
        <w:trPr>
          <w:cantSplit/>
        </w:trPr>
        <w:tc>
          <w:tcPr>
            <w:tcW w:w="2254" w:type="dxa"/>
            <w:tcBorders>
              <w:right w:val="single" w:sz="2" w:space="0" w:color="auto"/>
            </w:tcBorders>
          </w:tcPr>
          <w:p w:rsidR="00CE017C" w:rsidRPr="002D1043" w:rsidP="00CA5A39" w14:paraId="7DCDCEB6" w14:textId="77777777">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Study recruitment</w:t>
            </w:r>
          </w:p>
        </w:tc>
        <w:tc>
          <w:tcPr>
            <w:tcW w:w="7106" w:type="dxa"/>
            <w:tcBorders>
              <w:left w:val="single" w:sz="2" w:space="0" w:color="auto"/>
            </w:tcBorders>
          </w:tcPr>
          <w:p w:rsidR="00CE017C" w:rsidRPr="002D1043" w:rsidP="00CA5A39" w14:paraId="5B80272F" w14:textId="3297C4E0">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Two weeks after obtaining OMB approval (complete within 4 months)</w:t>
            </w:r>
          </w:p>
        </w:tc>
      </w:tr>
      <w:tr w14:paraId="03AA683A" w14:textId="77777777" w:rsidTr="00CA5A39">
        <w:tblPrEx>
          <w:tblW w:w="9360" w:type="dxa"/>
          <w:tblInd w:w="86" w:type="dxa"/>
          <w:tblLayout w:type="fixed"/>
          <w:tblCellMar>
            <w:left w:w="115" w:type="dxa"/>
            <w:right w:w="115" w:type="dxa"/>
          </w:tblCellMar>
          <w:tblLook w:val="01E0"/>
        </w:tblPrEx>
        <w:trPr>
          <w:cantSplit/>
        </w:trPr>
        <w:tc>
          <w:tcPr>
            <w:tcW w:w="2254" w:type="dxa"/>
            <w:tcBorders>
              <w:right w:val="single" w:sz="2" w:space="0" w:color="auto"/>
            </w:tcBorders>
          </w:tcPr>
          <w:p w:rsidR="00CE017C" w:rsidRPr="002D1043" w:rsidP="00CA5A39" w14:paraId="73634D66" w14:textId="77777777">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Data collection</w:t>
            </w:r>
          </w:p>
        </w:tc>
        <w:tc>
          <w:tcPr>
            <w:tcW w:w="7106" w:type="dxa"/>
            <w:tcBorders>
              <w:left w:val="single" w:sz="2" w:space="0" w:color="auto"/>
            </w:tcBorders>
          </w:tcPr>
          <w:p w:rsidR="00CE017C" w:rsidRPr="002D1043" w:rsidP="00CA5A39" w14:paraId="439D469A" w14:textId="7306E619">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 xml:space="preserve">Six </w:t>
            </w:r>
            <w:r w:rsidRPr="002D1043">
              <w:rPr>
                <w:rFonts w:asciiTheme="minorHAnsi" w:hAnsiTheme="minorHAnsi" w:cstheme="minorHAnsi"/>
                <w:sz w:val="22"/>
                <w:szCs w:val="22"/>
              </w:rPr>
              <w:t xml:space="preserve">weeks after obtaining OMB approval (complete within </w:t>
            </w:r>
            <w:r w:rsidRPr="002D1043" w:rsidR="004E2C85">
              <w:rPr>
                <w:rFonts w:asciiTheme="minorHAnsi" w:hAnsiTheme="minorHAnsi" w:cstheme="minorHAnsi"/>
                <w:sz w:val="22"/>
                <w:szCs w:val="22"/>
              </w:rPr>
              <w:t xml:space="preserve">3 </w:t>
            </w:r>
            <w:r w:rsidRPr="002D1043">
              <w:rPr>
                <w:rFonts w:asciiTheme="minorHAnsi" w:hAnsiTheme="minorHAnsi" w:cstheme="minorHAnsi"/>
                <w:sz w:val="22"/>
                <w:szCs w:val="22"/>
              </w:rPr>
              <w:t>months)</w:t>
            </w:r>
          </w:p>
        </w:tc>
      </w:tr>
      <w:tr w14:paraId="365D1030" w14:textId="77777777" w:rsidTr="00CA5A39">
        <w:tblPrEx>
          <w:tblW w:w="9360" w:type="dxa"/>
          <w:tblInd w:w="86" w:type="dxa"/>
          <w:tblLayout w:type="fixed"/>
          <w:tblCellMar>
            <w:left w:w="115" w:type="dxa"/>
            <w:right w:w="115" w:type="dxa"/>
          </w:tblCellMar>
          <w:tblLook w:val="01E0"/>
        </w:tblPrEx>
        <w:trPr>
          <w:cantSplit/>
        </w:trPr>
        <w:tc>
          <w:tcPr>
            <w:tcW w:w="2254" w:type="dxa"/>
            <w:tcBorders>
              <w:right w:val="single" w:sz="2" w:space="0" w:color="auto"/>
            </w:tcBorders>
          </w:tcPr>
          <w:p w:rsidR="00CE017C" w:rsidRPr="002D1043" w:rsidP="00CA5A39" w14:paraId="3B6D2A39" w14:textId="77777777">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 xml:space="preserve">Analysis </w:t>
            </w:r>
          </w:p>
        </w:tc>
        <w:tc>
          <w:tcPr>
            <w:tcW w:w="7106" w:type="dxa"/>
            <w:tcBorders>
              <w:left w:val="single" w:sz="2" w:space="0" w:color="auto"/>
            </w:tcBorders>
          </w:tcPr>
          <w:p w:rsidR="00CE017C" w:rsidRPr="002D1043" w:rsidP="00CA5A39" w14:paraId="65F9AC8A" w14:textId="0D4CEE77">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Two</w:t>
            </w:r>
            <w:r w:rsidRPr="002D1043">
              <w:rPr>
                <w:rFonts w:asciiTheme="minorHAnsi" w:hAnsiTheme="minorHAnsi" w:cstheme="minorHAnsi"/>
                <w:sz w:val="22"/>
                <w:szCs w:val="22"/>
              </w:rPr>
              <w:t xml:space="preserve"> months after data collection begins (complete within </w:t>
            </w:r>
            <w:r w:rsidRPr="002D1043">
              <w:rPr>
                <w:rFonts w:asciiTheme="minorHAnsi" w:hAnsiTheme="minorHAnsi" w:cstheme="minorHAnsi"/>
                <w:sz w:val="22"/>
                <w:szCs w:val="22"/>
              </w:rPr>
              <w:t>4</w:t>
            </w:r>
            <w:r w:rsidRPr="002D1043">
              <w:rPr>
                <w:rFonts w:asciiTheme="minorHAnsi" w:hAnsiTheme="minorHAnsi" w:cstheme="minorHAnsi"/>
                <w:sz w:val="22"/>
                <w:szCs w:val="22"/>
              </w:rPr>
              <w:t xml:space="preserve"> months)</w:t>
            </w:r>
          </w:p>
        </w:tc>
      </w:tr>
      <w:tr w14:paraId="1CEAE884" w14:textId="77777777" w:rsidTr="00CA5A39">
        <w:tblPrEx>
          <w:tblW w:w="9360" w:type="dxa"/>
          <w:tblInd w:w="86" w:type="dxa"/>
          <w:tblLayout w:type="fixed"/>
          <w:tblCellMar>
            <w:left w:w="115" w:type="dxa"/>
            <w:right w:w="115" w:type="dxa"/>
          </w:tblCellMar>
          <w:tblLook w:val="01E0"/>
        </w:tblPrEx>
        <w:trPr>
          <w:cantSplit/>
        </w:trPr>
        <w:tc>
          <w:tcPr>
            <w:tcW w:w="2254" w:type="dxa"/>
            <w:tcBorders>
              <w:bottom w:val="single" w:sz="12" w:space="0" w:color="auto"/>
              <w:right w:val="single" w:sz="2" w:space="0" w:color="auto"/>
            </w:tcBorders>
          </w:tcPr>
          <w:p w:rsidR="00CE017C" w:rsidRPr="002D1043" w:rsidP="00CA5A39" w14:paraId="2B42C40D" w14:textId="77777777">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Publication</w:t>
            </w:r>
          </w:p>
        </w:tc>
        <w:tc>
          <w:tcPr>
            <w:tcW w:w="7106" w:type="dxa"/>
            <w:tcBorders>
              <w:left w:val="single" w:sz="2" w:space="0" w:color="auto"/>
            </w:tcBorders>
          </w:tcPr>
          <w:p w:rsidR="00CE017C" w:rsidRPr="002D1043" w:rsidP="00CA5A39" w14:paraId="3B67EC8E" w14:textId="259DAEDB">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Seven</w:t>
            </w:r>
            <w:r w:rsidRPr="002D1043">
              <w:rPr>
                <w:rFonts w:asciiTheme="minorHAnsi" w:hAnsiTheme="minorHAnsi" w:cstheme="minorHAnsi"/>
                <w:sz w:val="22"/>
                <w:szCs w:val="22"/>
              </w:rPr>
              <w:t xml:space="preserve"> months after obtaining OMB approval (complete within </w:t>
            </w:r>
            <w:r w:rsidRPr="002D1043">
              <w:rPr>
                <w:rFonts w:asciiTheme="minorHAnsi" w:hAnsiTheme="minorHAnsi" w:cstheme="minorHAnsi"/>
                <w:sz w:val="22"/>
                <w:szCs w:val="22"/>
              </w:rPr>
              <w:t>3</w:t>
            </w:r>
            <w:r w:rsidRPr="002D1043">
              <w:rPr>
                <w:rFonts w:asciiTheme="minorHAnsi" w:hAnsiTheme="minorHAnsi" w:cstheme="minorHAnsi"/>
                <w:sz w:val="22"/>
                <w:szCs w:val="22"/>
              </w:rPr>
              <w:t xml:space="preserve"> months)</w:t>
            </w:r>
          </w:p>
        </w:tc>
      </w:tr>
    </w:tbl>
    <w:p w:rsidR="00CE017C" w:rsidRPr="002D1043" w:rsidP="00B03F3F" w14:paraId="34CD8D4E" w14:textId="3E2005E4">
      <w:pPr>
        <w:spacing w:before="240"/>
        <w:rPr>
          <w:rFonts w:asciiTheme="minorHAnsi" w:hAnsiTheme="minorHAnsi" w:cstheme="minorHAnsi"/>
          <w:sz w:val="22"/>
          <w:szCs w:val="22"/>
        </w:rPr>
      </w:pPr>
      <w:r w:rsidRPr="002D1043">
        <w:rPr>
          <w:rFonts w:asciiTheme="minorHAnsi" w:hAnsiTheme="minorHAnsi" w:cstheme="minorHAnsi"/>
          <w:b/>
          <w:bCs/>
          <w:sz w:val="22"/>
          <w:szCs w:val="22"/>
        </w:rPr>
        <w:t>Tabulations</w:t>
      </w:r>
      <w:r w:rsidRPr="002D1043">
        <w:rPr>
          <w:rFonts w:asciiTheme="minorHAnsi" w:hAnsiTheme="minorHAnsi" w:cstheme="minorHAnsi"/>
          <w:sz w:val="22"/>
          <w:szCs w:val="22"/>
        </w:rPr>
        <w:t>: For interview and focus group data</w:t>
      </w:r>
      <w:r w:rsidRPr="002D1043" w:rsidR="00BE3CF8">
        <w:rPr>
          <w:rFonts w:asciiTheme="minorHAnsi" w:hAnsiTheme="minorHAnsi" w:cstheme="minorHAnsi"/>
          <w:sz w:val="22"/>
          <w:szCs w:val="22"/>
        </w:rPr>
        <w:t xml:space="preserve">, planned analyses will consist of at least two phases. First, we will conduct thematic coding using prior themes based on the topics included in the interview and focus group discussion guides and previous quantitative analyses. Second, we will develop additional codes as needed to reflect other themes that </w:t>
      </w:r>
      <w:r w:rsidRPr="002D1043" w:rsidR="00275B73">
        <w:rPr>
          <w:rFonts w:asciiTheme="minorHAnsi" w:hAnsiTheme="minorHAnsi" w:cstheme="minorHAnsi"/>
          <w:sz w:val="22"/>
          <w:szCs w:val="22"/>
        </w:rPr>
        <w:t>emerge from the data.</w:t>
      </w:r>
    </w:p>
    <w:p w:rsidR="00275B73" w:rsidRPr="002D1043" w:rsidP="00B03F3F" w14:paraId="7373261B" w14:textId="25E7DB2D">
      <w:pPr>
        <w:spacing w:before="240"/>
        <w:rPr>
          <w:rFonts w:asciiTheme="minorHAnsi" w:hAnsiTheme="minorHAnsi" w:cstheme="minorHAnsi"/>
          <w:sz w:val="22"/>
          <w:szCs w:val="22"/>
        </w:rPr>
      </w:pPr>
      <w:r w:rsidRPr="002D1043">
        <w:rPr>
          <w:rFonts w:asciiTheme="minorHAnsi" w:hAnsiTheme="minorHAnsi" w:cstheme="minorHAnsi"/>
          <w:b/>
          <w:bCs/>
          <w:sz w:val="22"/>
          <w:szCs w:val="22"/>
        </w:rPr>
        <w:t xml:space="preserve">Publications: </w:t>
      </w:r>
      <w:r w:rsidRPr="002D1043">
        <w:rPr>
          <w:rFonts w:asciiTheme="minorHAnsi" w:hAnsiTheme="minorHAnsi" w:cstheme="minorHAnsi"/>
          <w:sz w:val="22"/>
          <w:szCs w:val="22"/>
        </w:rPr>
        <w:t>Findings from the planned analyses will be presented in two briefs, a journal manuscript, and an interactive dissemination product. These products will include analysis of data gathered from this information collection and be applicable to a broad audience, including MIECHV</w:t>
      </w:r>
      <w:r w:rsidR="00AC77E0">
        <w:rPr>
          <w:rFonts w:asciiTheme="minorHAnsi" w:hAnsiTheme="minorHAnsi" w:cstheme="minorHAnsi"/>
          <w:sz w:val="22"/>
          <w:szCs w:val="22"/>
        </w:rPr>
        <w:t xml:space="preserve"> funding recipients</w:t>
      </w:r>
      <w:r w:rsidRPr="002D1043">
        <w:rPr>
          <w:rFonts w:asciiTheme="minorHAnsi" w:hAnsiTheme="minorHAnsi" w:cstheme="minorHAnsi"/>
          <w:sz w:val="22"/>
          <w:szCs w:val="22"/>
        </w:rPr>
        <w:t xml:space="preserve">, home visiting and other community program administrators, </w:t>
      </w:r>
      <w:r w:rsidR="00A14186">
        <w:rPr>
          <w:rFonts w:asciiTheme="minorHAnsi" w:hAnsiTheme="minorHAnsi" w:cstheme="minorHAnsi"/>
          <w:sz w:val="22"/>
          <w:szCs w:val="22"/>
        </w:rPr>
        <w:t xml:space="preserve">technical </w:t>
      </w:r>
      <w:r w:rsidR="004A69E1">
        <w:rPr>
          <w:rFonts w:asciiTheme="minorHAnsi" w:hAnsiTheme="minorHAnsi" w:cstheme="minorHAnsi"/>
          <w:sz w:val="22"/>
          <w:szCs w:val="22"/>
        </w:rPr>
        <w:t>assistance</w:t>
      </w:r>
      <w:r w:rsidRPr="002D1043">
        <w:rPr>
          <w:rFonts w:asciiTheme="minorHAnsi" w:hAnsiTheme="minorHAnsi" w:cstheme="minorHAnsi"/>
          <w:sz w:val="22"/>
          <w:szCs w:val="22"/>
        </w:rPr>
        <w:t xml:space="preserve"> providers, and policymakers, and will be widely disseminated. The journal manuscript will highlight important insights for the home visiting field. </w:t>
      </w:r>
    </w:p>
    <w:p w:rsidR="009B3794" w:rsidRPr="002530A1" w:rsidP="00CA3DA6" w14:paraId="22E2A3A3" w14:textId="77777777">
      <w:pPr>
        <w:numPr>
          <w:ilvl w:val="0"/>
          <w:numId w:val="2"/>
        </w:numPr>
        <w:tabs>
          <w:tab w:val="num" w:pos="360"/>
          <w:tab w:val="clear" w:pos="1080"/>
        </w:tabs>
        <w:spacing w:before="240"/>
        <w:ind w:left="360"/>
        <w:rPr>
          <w:rFonts w:ascii="Calibri Light" w:hAnsi="Calibri Light" w:cs="Calibri Light"/>
          <w:bCs/>
          <w:color w:val="2F5496"/>
          <w:sz w:val="26"/>
          <w:szCs w:val="26"/>
        </w:rPr>
      </w:pPr>
      <w:r w:rsidRPr="002530A1">
        <w:rPr>
          <w:rFonts w:ascii="Calibri Light" w:hAnsi="Calibri Light" w:cs="Calibri Light"/>
          <w:bCs/>
          <w:color w:val="2F5496"/>
          <w:sz w:val="26"/>
          <w:szCs w:val="26"/>
        </w:rPr>
        <w:t>Reason(s) Display of OMB Expiration Date is Inappropriate</w:t>
      </w:r>
    </w:p>
    <w:p w:rsidR="009B3794" w:rsidRPr="002D1043" w:rsidP="00226378" w14:paraId="22E2A3A4" w14:textId="0F717303">
      <w:pPr>
        <w:pStyle w:val="BodyTextIndent"/>
        <w:spacing w:before="120"/>
        <w:ind w:left="0"/>
        <w:rPr>
          <w:rFonts w:asciiTheme="minorHAnsi" w:hAnsiTheme="minorHAnsi" w:cstheme="minorHAnsi"/>
          <w:sz w:val="22"/>
          <w:szCs w:val="22"/>
        </w:rPr>
      </w:pPr>
      <w:r w:rsidRPr="002D1043">
        <w:rPr>
          <w:rFonts w:asciiTheme="minorHAnsi" w:hAnsiTheme="minorHAnsi" w:cstheme="minorHAnsi"/>
          <w:sz w:val="22"/>
          <w:szCs w:val="22"/>
        </w:rPr>
        <w:t>The OMB number and Expiration date will be displayed on every page of every form/instrument</w:t>
      </w:r>
      <w:r w:rsidRPr="002D1043">
        <w:rPr>
          <w:rFonts w:asciiTheme="minorHAnsi" w:hAnsiTheme="minorHAnsi" w:cstheme="minorHAnsi"/>
          <w:bCs/>
          <w:sz w:val="22"/>
          <w:szCs w:val="22"/>
        </w:rPr>
        <w:t>.</w:t>
      </w:r>
    </w:p>
    <w:p w:rsidR="009B3794" w:rsidRPr="002530A1" w:rsidP="00CA3DA6" w14:paraId="22E2A3A5" w14:textId="77777777">
      <w:pPr>
        <w:numPr>
          <w:ilvl w:val="0"/>
          <w:numId w:val="2"/>
        </w:numPr>
        <w:tabs>
          <w:tab w:val="num" w:pos="360"/>
          <w:tab w:val="clear" w:pos="1080"/>
        </w:tabs>
        <w:spacing w:before="240"/>
        <w:ind w:left="360"/>
        <w:rPr>
          <w:rFonts w:ascii="Calibri Light" w:hAnsi="Calibri Light" w:cs="Calibri Light"/>
          <w:bCs/>
          <w:color w:val="2F5496"/>
          <w:sz w:val="26"/>
          <w:szCs w:val="26"/>
        </w:rPr>
      </w:pPr>
      <w:r w:rsidRPr="002530A1">
        <w:rPr>
          <w:rFonts w:ascii="Calibri Light" w:hAnsi="Calibri Light" w:cs="Calibri Light"/>
          <w:bCs/>
          <w:color w:val="2F5496"/>
          <w:sz w:val="26"/>
          <w:szCs w:val="26"/>
        </w:rPr>
        <w:t>Exceptions to Certification for Paperwork Reduction Act Submissions</w:t>
      </w:r>
    </w:p>
    <w:p w:rsidR="009B3794" w:rsidRPr="002D1043" w:rsidP="00226378" w14:paraId="22E2A3A6" w14:textId="3735CE8D">
      <w:pPr>
        <w:pStyle w:val="BodyTextIndent"/>
        <w:spacing w:before="120"/>
        <w:ind w:left="0"/>
        <w:rPr>
          <w:rFonts w:asciiTheme="minorHAnsi" w:hAnsiTheme="minorHAnsi" w:cstheme="minorHAnsi"/>
          <w:sz w:val="22"/>
          <w:szCs w:val="22"/>
        </w:rPr>
      </w:pPr>
      <w:r w:rsidRPr="002D1043">
        <w:rPr>
          <w:rFonts w:asciiTheme="minorHAnsi" w:hAnsiTheme="minorHAnsi" w:cstheme="minorHAnsi"/>
          <w:bCs/>
          <w:sz w:val="22"/>
          <w:szCs w:val="22"/>
        </w:rPr>
        <w:t>There are no exceptions to the certification.</w:t>
      </w:r>
    </w:p>
    <w:sectPr w:rsidSect="00D254DA">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83EC8" w14:paraId="4931EDAC" w14:textId="77777777">
      <w:r>
        <w:separator/>
      </w:r>
    </w:p>
  </w:endnote>
  <w:endnote w:type="continuationSeparator" w:id="1">
    <w:p w:rsidR="00283EC8" w14:paraId="5D7D3AC2" w14:textId="77777777">
      <w:r>
        <w:continuationSeparator/>
      </w:r>
    </w:p>
  </w:endnote>
  <w:endnote w:type="continuationNotice" w:id="2">
    <w:p w:rsidR="00283EC8" w14:paraId="5765AE38" w14:textId="77777777"/>
  </w:endnote>
  <w:endnote w:id="3">
    <w:p/>
  </w:endnote>
  <w:endnote w:id="4">
    <w:p w:rsidR="00232EE6" w:rsidP="00232EE6" w14:paraId="655A75A8" w14:textId="77777777">
      <w:pPr>
        <w:pStyle w:val="EndnoteText"/>
        <w:rPr>
          <w:rFonts w:cs="Arial"/>
        </w:rPr>
      </w:pPr>
      <w:r>
        <w:rPr>
          <w:rStyle w:val="EndnoteReference"/>
        </w:rPr>
        <w:endnoteRef/>
      </w:r>
      <w:r>
        <w:t xml:space="preserve"> </w:t>
      </w:r>
      <w:r w:rsidRPr="00232EE6">
        <w:rPr>
          <w:rFonts w:ascii="Calibri" w:hAnsi="Calibri" w:cs="Calibri"/>
          <w:color w:val="000000"/>
          <w:shd w:val="clear" w:color="auto" w:fill="FFFFFF"/>
        </w:rPr>
        <w:t>National Home Visiting Resource Center. (2023). </w:t>
      </w:r>
      <w:r w:rsidRPr="00232EE6">
        <w:rPr>
          <w:rStyle w:val="Emphasis"/>
          <w:rFonts w:ascii="Calibri" w:hAnsi="Calibri" w:cs="Calibri"/>
          <w:color w:val="000000"/>
          <w:shd w:val="clear" w:color="auto" w:fill="FFFFFF"/>
        </w:rPr>
        <w:t>2023 Home visiting yearbook.</w:t>
      </w:r>
      <w:r w:rsidRPr="00232EE6">
        <w:rPr>
          <w:rFonts w:ascii="Calibri" w:hAnsi="Calibri" w:cs="Calibri"/>
          <w:color w:val="000000"/>
          <w:shd w:val="clear" w:color="auto" w:fill="FFFFFF"/>
        </w:rPr>
        <w:t> James Bell Associates and the Urban Institute. https://nhvrc.org/yearbook/2023-yearbook/</w:t>
      </w:r>
    </w:p>
  </w:endnote>
  <w:endnote w:id="5">
    <w:p w:rsidR="00436CFD" w:rsidRPr="00436CFD" w:rsidP="00436CFD" w14:paraId="576A4093" w14:textId="77777777">
      <w:pPr>
        <w:pStyle w:val="EndnoteText"/>
        <w:rPr>
          <w:rFonts w:ascii="Calibri" w:hAnsi="Calibri" w:cs="Calibri"/>
        </w:rPr>
      </w:pPr>
      <w:r w:rsidRPr="00436CFD">
        <w:rPr>
          <w:rStyle w:val="EndnoteReference"/>
          <w:rFonts w:cs="Calibri"/>
        </w:rPr>
        <w:endnoteRef/>
      </w:r>
      <w:r w:rsidRPr="00436CFD">
        <w:rPr>
          <w:rFonts w:ascii="Calibri" w:hAnsi="Calibri" w:cs="Calibri"/>
        </w:rPr>
        <w:t xml:space="preserve"> </w:t>
      </w:r>
      <w:r w:rsidRPr="00436CFD">
        <w:rPr>
          <w:rFonts w:ascii="Calibri" w:eastAsia="Calibri" w:hAnsi="Calibri" w:cs="Calibri"/>
          <w:color w:val="222222"/>
        </w:rPr>
        <w:t>Goldberg, J., Sparr, M., Rosinsky, K., Lloyd, C., Till, L., Harris, P., Crowne, S., Fortune, B., &amp; Higgins, C. (2023). Co-designing a conceptual framework of home visiting implementation quality.</w:t>
      </w:r>
      <w:r w:rsidRPr="00436CFD">
        <w:rPr>
          <w:rFonts w:ascii="Calibri" w:eastAsia="Calibri" w:hAnsi="Calibri" w:cs="Calibri"/>
          <w:i/>
          <w:iCs/>
          <w:color w:val="222222"/>
        </w:rPr>
        <w:t xml:space="preserve"> Children and Youth Services Review</w:t>
      </w:r>
      <w:r w:rsidRPr="00436CFD">
        <w:rPr>
          <w:rFonts w:ascii="Calibri" w:eastAsia="Calibri" w:hAnsi="Calibri" w:cs="Calibri"/>
          <w:color w:val="222222"/>
        </w:rPr>
        <w:t xml:space="preserve"> 155 (2023): 107161. </w:t>
      </w:r>
      <w:hyperlink r:id="rId1" w:history="1">
        <w:r w:rsidRPr="00436CFD">
          <w:rPr>
            <w:rFonts w:ascii="Calibri" w:eastAsia="Calibri" w:hAnsi="Calibri" w:cs="Calibri"/>
            <w:color w:val="222222"/>
            <w:u w:val="single"/>
          </w:rPr>
          <w:t>https://doi.org/10.1016/j.childyouth.2023.107161</w:t>
        </w:r>
      </w:hyperlink>
    </w:p>
  </w:endnote>
  <w:endnote w:id="6">
    <w:p w:rsidR="00436CFD" w:rsidRPr="00436CFD" w:rsidP="00436CFD" w14:paraId="223C237E" w14:textId="77777777">
      <w:pPr>
        <w:pStyle w:val="EndnoteText"/>
        <w:rPr>
          <w:rFonts w:ascii="Calibri" w:hAnsi="Calibri" w:cs="Calibri"/>
          <w:iCs/>
        </w:rPr>
      </w:pPr>
      <w:r w:rsidRPr="00436CFD">
        <w:rPr>
          <w:rStyle w:val="EndnoteReference"/>
          <w:rFonts w:cs="Calibri"/>
        </w:rPr>
        <w:endnoteRef/>
      </w:r>
      <w:r w:rsidRPr="00436CFD">
        <w:rPr>
          <w:rFonts w:ascii="Calibri" w:hAnsi="Calibri" w:cs="Calibri"/>
        </w:rPr>
        <w:t xml:space="preserve"> Health Resources and Services Administration Maternal &amp; Child Health. (2021). </w:t>
      </w:r>
      <w:r w:rsidRPr="00436CFD">
        <w:rPr>
          <w:rFonts w:ascii="Calibri" w:hAnsi="Calibri" w:cs="Calibri"/>
          <w:i/>
        </w:rPr>
        <w:t xml:space="preserve">A conceptual framework for implementation quality in home visiting. </w:t>
      </w:r>
      <w:r w:rsidRPr="00436CFD">
        <w:rPr>
          <w:rFonts w:ascii="Calibri" w:hAnsi="Calibri" w:cs="Calibri"/>
          <w:iCs/>
        </w:rPr>
        <w:t>https://mchb.hrsa.gov/sites/default/files/mchb/programs-impact/conceptual-framework-report.pdf.</w:t>
      </w:r>
    </w:p>
  </w:endnote>
  <w:endnote w:id="7">
    <w:p w:rsidR="00A436C2" w:rsidRPr="00A436C2" w:rsidP="00A436C2" w14:paraId="69438E35" w14:textId="77777777">
      <w:pPr>
        <w:pStyle w:val="EndnoteText"/>
        <w:rPr>
          <w:rFonts w:ascii="Calibri" w:hAnsi="Calibri" w:cs="Calibri"/>
        </w:rPr>
      </w:pPr>
      <w:r w:rsidRPr="00A436C2">
        <w:rPr>
          <w:rStyle w:val="EndnoteReference"/>
          <w:rFonts w:cs="Calibri"/>
        </w:rPr>
        <w:endnoteRef/>
      </w:r>
      <w:r w:rsidRPr="00A436C2">
        <w:rPr>
          <w:rFonts w:ascii="Calibri" w:hAnsi="Calibri" w:cs="Calibri"/>
        </w:rPr>
        <w:t xml:space="preserve"> </w:t>
      </w:r>
      <w:r w:rsidRPr="00A436C2">
        <w:rPr>
          <w:rFonts w:ascii="Calibri" w:hAnsi="Calibri" w:cs="Calibri"/>
        </w:rPr>
        <w:t xml:space="preserve">Franko, M., </w:t>
      </w:r>
      <w:r w:rsidRPr="00A436C2">
        <w:rPr>
          <w:rFonts w:ascii="Calibri" w:hAnsi="Calibri" w:cs="Calibri"/>
        </w:rPr>
        <w:t xml:space="preserve">Schaack, D., Roberts, A., Molieri, A. Wacker, A., Estrada, M., &amp; Gann, H. (2019). The Region </w:t>
      </w:r>
    </w:p>
    <w:p w:rsidR="00A436C2" w:rsidRPr="00A436C2" w:rsidP="00A436C2" w14:paraId="5FB37C11" w14:textId="77777777">
      <w:pPr>
        <w:pStyle w:val="EndnoteText"/>
        <w:rPr>
          <w:rFonts w:ascii="Calibri" w:hAnsi="Calibri" w:cs="Calibri"/>
        </w:rPr>
      </w:pPr>
      <w:r w:rsidRPr="00A436C2">
        <w:rPr>
          <w:rFonts w:ascii="Calibri" w:hAnsi="Calibri" w:cs="Calibri"/>
        </w:rPr>
        <w:t xml:space="preserve">X Home Visiting Workforce Study. Denver, CO: Butler Institute for Families, Graduate School of Social </w:t>
      </w:r>
    </w:p>
    <w:p w:rsidR="005308FD" w14:paraId="60293CBB" w14:textId="0F56D92F">
      <w:pPr>
        <w:pStyle w:val="EndnoteText"/>
      </w:pPr>
      <w:r w:rsidRPr="00A436C2">
        <w:rPr>
          <w:rFonts w:ascii="Calibri" w:hAnsi="Calibri" w:cs="Calibri"/>
        </w:rPr>
        <w:t>Work, University of Denver.</w:t>
      </w:r>
    </w:p>
  </w:endnote>
  <w:endnote w:id="8">
    <w:p w:rsidR="00A436C2" w:rsidRPr="00A436C2" w:rsidP="00A436C2" w14:paraId="7D10AED0" w14:textId="77777777">
      <w:pPr>
        <w:pStyle w:val="EndnoteText"/>
        <w:rPr>
          <w:rFonts w:ascii="Calibri" w:hAnsi="Calibri" w:cs="Calibri"/>
        </w:rPr>
      </w:pPr>
      <w:r w:rsidRPr="00A436C2">
        <w:rPr>
          <w:rStyle w:val="EndnoteReference"/>
          <w:rFonts w:cs="Calibri"/>
        </w:rPr>
        <w:endnoteRef/>
      </w:r>
      <w:r w:rsidRPr="00A436C2">
        <w:rPr>
          <w:rFonts w:ascii="Calibri" w:hAnsi="Calibri" w:cs="Calibri"/>
        </w:rPr>
        <w:t xml:space="preserve"> Gill, S., Greenberg, M. T., Moon, C., &amp; </w:t>
      </w:r>
      <w:r w:rsidRPr="00A436C2">
        <w:rPr>
          <w:rFonts w:ascii="Calibri" w:hAnsi="Calibri" w:cs="Calibri"/>
        </w:rPr>
        <w:t xml:space="preserve">Margraf, P. (2007). Home visitor competence, burnout, support, </w:t>
      </w:r>
    </w:p>
    <w:p w:rsidR="00A436C2" w14:paraId="37A27A29" w14:textId="5C535BFC">
      <w:pPr>
        <w:pStyle w:val="EndnoteText"/>
      </w:pPr>
      <w:r w:rsidRPr="00A436C2">
        <w:rPr>
          <w:rFonts w:ascii="Calibri" w:hAnsi="Calibri" w:cs="Calibri"/>
        </w:rPr>
        <w:t>and client engagement. Journal of human behavior in the social environment, 15(1), 23-44.</w:t>
      </w:r>
    </w:p>
  </w:endnote>
  <w:endnote w:id="9">
    <w:p w:rsidR="006824A5" w14:paraId="66E62740" w14:textId="6EEF4C40">
      <w:pPr>
        <w:pStyle w:val="EndnoteText"/>
      </w:pPr>
      <w:r>
        <w:rPr>
          <w:rStyle w:val="EndnoteReference"/>
        </w:rPr>
        <w:endnoteRef/>
      </w:r>
      <w:r>
        <w:t xml:space="preserve"> </w:t>
      </w:r>
      <w:r w:rsidRPr="006824A5">
        <w:rPr>
          <w:rFonts w:ascii="Calibri" w:hAnsi="Calibri" w:cs="Calibri"/>
        </w:rPr>
        <w:t xml:space="preserve">Watson CL, Bailey AE, Storm KJ. Building capacity in reflective practice: A tiered model of statewide supports for local home-visiting programs. Infant </w:t>
      </w:r>
      <w:r w:rsidRPr="006824A5">
        <w:rPr>
          <w:rFonts w:ascii="Calibri" w:hAnsi="Calibri" w:cs="Calibri"/>
        </w:rPr>
        <w:t>Ment Health J. 2016;37(6):640-52. doi:10.1002/imhj.21609</w:t>
      </w:r>
    </w:p>
  </w:endnote>
  <w:endnote w:id="10">
    <w:p w:rsidR="00EA7AB9" w:rsidRPr="005308FD" w14:paraId="039B6AA8" w14:textId="129CE308">
      <w:pPr>
        <w:pStyle w:val="EndnoteText"/>
        <w:rPr>
          <w:rFonts w:ascii="Calibri" w:hAnsi="Calibri" w:cs="Calibri"/>
        </w:rPr>
      </w:pPr>
      <w:r w:rsidRPr="005308FD">
        <w:rPr>
          <w:rStyle w:val="EndnoteReference"/>
          <w:rFonts w:cs="Calibri"/>
        </w:rPr>
        <w:endnoteRef/>
      </w:r>
      <w:r w:rsidRPr="005308FD">
        <w:rPr>
          <w:rFonts w:ascii="Calibri" w:hAnsi="Calibri" w:cs="Calibri"/>
        </w:rPr>
        <w:t xml:space="preserve"> </w:t>
      </w:r>
      <w:r w:rsidRPr="005308FD" w:rsidR="005308FD">
        <w:rPr>
          <w:rFonts w:ascii="Calibri" w:hAnsi="Calibri" w:cs="Calibri"/>
        </w:rPr>
        <w:t xml:space="preserve">Casillas, K. L., </w:t>
      </w:r>
      <w:r w:rsidRPr="005308FD" w:rsidR="005308FD">
        <w:rPr>
          <w:rFonts w:ascii="Calibri" w:hAnsi="Calibri" w:cs="Calibri"/>
        </w:rPr>
        <w:t>Fauchier, A., Derkash, B. T., &amp; Garrido, E. F. (2016). Implementation of evidence-based home visiting programs aimed at reducing child maltreatment: A meta-analytic review. Child abuse &amp; neglect, 53, 64–80.</w:t>
      </w:r>
    </w:p>
  </w:endnote>
  <w:endnote w:id="11">
    <w:p w:rsidR="00660573" w:rsidRPr="008D3B21" w:rsidP="00660573" w14:paraId="5E8CD74B" w14:textId="77777777">
      <w:pPr>
        <w:pStyle w:val="EndnoteText"/>
        <w:rPr>
          <w:rFonts w:asciiTheme="minorHAnsi" w:hAnsiTheme="minorHAnsi" w:cstheme="minorHAnsi"/>
        </w:rPr>
      </w:pPr>
      <w:r w:rsidRPr="008D3B21">
        <w:rPr>
          <w:rStyle w:val="EndnoteReference"/>
          <w:rFonts w:asciiTheme="minorHAnsi" w:hAnsiTheme="minorHAnsi" w:cstheme="minorHAnsi"/>
        </w:rPr>
        <w:endnoteRef/>
      </w:r>
      <w:r w:rsidRPr="008D3B21">
        <w:rPr>
          <w:rFonts w:asciiTheme="minorHAnsi" w:hAnsiTheme="minorHAnsi" w:cstheme="minorHAnsi"/>
        </w:rPr>
        <w:t xml:space="preserve"> Health Resources and Services Administration Maternal and Child Health. (2023). </w:t>
      </w:r>
      <w:r w:rsidRPr="008D3B21">
        <w:rPr>
          <w:rFonts w:asciiTheme="minorHAnsi" w:hAnsiTheme="minorHAnsi" w:cstheme="minorHAnsi"/>
          <w:i/>
          <w:iCs/>
        </w:rPr>
        <w:t>MIECHV evaluation and research</w:t>
      </w:r>
      <w:r w:rsidRPr="008D3B21">
        <w:rPr>
          <w:rFonts w:asciiTheme="minorHAnsi" w:hAnsiTheme="minorHAnsi" w:cstheme="minorHAnsi"/>
        </w:rPr>
        <w:t xml:space="preserve">. Health Resources and Services Administration. </w:t>
      </w:r>
      <w:hyperlink r:id="rId2" w:history="1">
        <w:r w:rsidRPr="008D3B21">
          <w:rPr>
            <w:rStyle w:val="Hyperlink"/>
            <w:rFonts w:asciiTheme="minorHAnsi" w:hAnsiTheme="minorHAnsi" w:cstheme="minorHAnsi"/>
          </w:rPr>
          <w:t>https://mchb.hrsa.gov/programs-impact/programs/home-visiting/miechv-evaluation-research</w:t>
        </w:r>
      </w:hyperlink>
    </w:p>
  </w:endnote>
  <w:endnote w:id="12">
    <w:p w:rsidR="00B85EDC" w:rsidRPr="007E37C8" w:rsidP="00B85EDC" w14:paraId="348327DC" w14:textId="77777777">
      <w:pPr>
        <w:pStyle w:val="EndnoteText"/>
        <w:rPr>
          <w:rFonts w:asciiTheme="minorHAnsi" w:hAnsiTheme="minorHAnsi" w:cstheme="minorHAnsi"/>
        </w:rPr>
      </w:pPr>
      <w:r w:rsidRPr="007E37C8">
        <w:rPr>
          <w:rStyle w:val="EndnoteReference"/>
          <w:rFonts w:asciiTheme="minorHAnsi" w:hAnsiTheme="minorHAnsi" w:cstheme="minorHAnsi"/>
        </w:rPr>
        <w:endnoteRef/>
      </w:r>
      <w:r w:rsidRPr="007E37C8">
        <w:rPr>
          <w:rFonts w:asciiTheme="minorHAnsi" w:hAnsiTheme="minorHAnsi" w:cstheme="minorHAnsi"/>
        </w:rPr>
        <w:t xml:space="preserve"> </w:t>
      </w:r>
      <w:r w:rsidRPr="007E37C8">
        <w:rPr>
          <w:rFonts w:asciiTheme="minorHAnsi" w:eastAsiaTheme="minorHAnsi" w:hAnsiTheme="minorHAnsi" w:cstheme="minorHAnsi"/>
          <w:shd w:val="clear" w:color="auto" w:fill="FFFFFF"/>
        </w:rPr>
        <w:t xml:space="preserve">Singer, E., &amp; Ye, C. (2013). The use and effects of incentives in surveys. </w:t>
      </w:r>
      <w:r w:rsidRPr="007E37C8">
        <w:rPr>
          <w:rFonts w:asciiTheme="minorHAnsi" w:eastAsiaTheme="minorHAnsi" w:hAnsiTheme="minorHAnsi" w:cstheme="minorHAnsi"/>
          <w:i/>
          <w:iCs/>
          <w:shd w:val="clear" w:color="auto" w:fill="FFFFFF"/>
        </w:rPr>
        <w:t>The ANNALS of the American Academy of Political and Social Science, 645</w:t>
      </w:r>
      <w:r w:rsidRPr="007E37C8">
        <w:rPr>
          <w:rFonts w:asciiTheme="minorHAnsi" w:eastAsiaTheme="minorHAnsi" w:hAnsiTheme="minorHAnsi" w:cstheme="minorHAnsi"/>
          <w:shd w:val="clear" w:color="auto" w:fill="FFFFFF"/>
        </w:rPr>
        <w:t>(1), 112–141. https://doi.org/10.1177/0002716212458082 </w:t>
      </w:r>
    </w:p>
  </w:endnote>
  <w:endnote w:id="13">
    <w:p w:rsidR="00B85EDC" w:rsidRPr="00AF1A62" w:rsidP="00B85EDC" w14:paraId="269D0574" w14:textId="77777777">
      <w:pPr>
        <w:pStyle w:val="EndnoteText"/>
        <w:rPr>
          <w:rFonts w:asciiTheme="minorHAnsi" w:hAnsiTheme="minorHAnsi" w:cstheme="minorHAnsi"/>
        </w:rPr>
      </w:pPr>
      <w:r w:rsidRPr="00AF1A62">
        <w:rPr>
          <w:rStyle w:val="EndnoteReference"/>
          <w:rFonts w:asciiTheme="minorHAnsi" w:hAnsiTheme="minorHAnsi" w:cstheme="minorHAnsi"/>
        </w:rPr>
        <w:endnoteRef/>
      </w:r>
      <w:r w:rsidRPr="00AF1A62">
        <w:rPr>
          <w:rFonts w:asciiTheme="minorHAnsi" w:hAnsiTheme="minorHAnsi" w:cstheme="minorHAnsi"/>
        </w:rPr>
        <w:t xml:space="preserve"> </w:t>
      </w:r>
      <w:r w:rsidRPr="00AF1A62">
        <w:rPr>
          <w:rFonts w:asciiTheme="minorHAnsi" w:hAnsiTheme="minorHAnsi" w:cstheme="minorHAnsi"/>
        </w:rPr>
        <w:t xml:space="preserve">Abdelazeem, B., Abbas, K., Amin, M., El-Shahat, N., Malik, B., Kalantary, A., &amp; Eltobgy, M. (2022). The effectiveness of incentives for research participation: A systematic review and meta-analysis of randomized controlled trials. </w:t>
      </w:r>
      <w:r w:rsidRPr="00AF1A62">
        <w:rPr>
          <w:rFonts w:asciiTheme="minorHAnsi" w:hAnsiTheme="minorHAnsi" w:cstheme="minorHAnsi"/>
          <w:i/>
          <w:iCs/>
        </w:rPr>
        <w:t>PLoS One, 17</w:t>
      </w:r>
      <w:r w:rsidRPr="00AF1A62">
        <w:rPr>
          <w:rFonts w:asciiTheme="minorHAnsi" w:hAnsiTheme="minorHAnsi" w:cstheme="minorHAnsi"/>
        </w:rPr>
        <w:t>(4): e0267534. https://doi.org/10.1371/journal.pone.0267534</w:t>
      </w:r>
    </w:p>
  </w:endnote>
  <w:endnote w:id="14">
    <w:p w:rsidR="00B85EDC" w:rsidP="00B85EDC" w14:paraId="70E70782" w14:textId="77777777">
      <w:pPr>
        <w:pStyle w:val="EndnoteText"/>
      </w:pPr>
      <w:r>
        <w:rPr>
          <w:rStyle w:val="EndnoteReference"/>
        </w:rPr>
        <w:endnoteRef/>
      </w:r>
      <w:r>
        <w:t xml:space="preserve"> </w:t>
      </w:r>
      <w:r w:rsidRPr="003D55B5">
        <w:rPr>
          <w:rFonts w:asciiTheme="minorHAnsi" w:hAnsiTheme="minorHAnsi" w:cstheme="minorHAnsi"/>
          <w:color w:val="000000" w:themeColor="text1"/>
        </w:rPr>
        <w:t>David, M.C. &amp; Ware, R.S. (2014). Meta-analysis of randomized controlled trials supports the use of incentives for inducing response to electronic health surveys. </w:t>
      </w:r>
      <w:r w:rsidRPr="003D55B5">
        <w:rPr>
          <w:rFonts w:asciiTheme="minorHAnsi" w:hAnsiTheme="minorHAnsi" w:cstheme="minorHAnsi"/>
          <w:i/>
          <w:iCs/>
          <w:color w:val="000000" w:themeColor="text1"/>
        </w:rPr>
        <w:t>Journal of Clinical Epidemiology, 67</w:t>
      </w:r>
      <w:r w:rsidRPr="003D55B5">
        <w:rPr>
          <w:rFonts w:asciiTheme="minorHAnsi" w:hAnsiTheme="minorHAnsi" w:cstheme="minorHAnsi"/>
          <w:color w:val="000000" w:themeColor="text1"/>
        </w:rPr>
        <w:t>(11), 1210-1221.</w:t>
      </w:r>
    </w:p>
  </w:endnote>
  <w:endnote w:id="15">
    <w:p w:rsidR="005616BA" w:rsidRPr="007E37C8" w:rsidP="005616BA" w14:paraId="07138C3F" w14:textId="77777777">
      <w:pPr>
        <w:pStyle w:val="EndnoteText"/>
        <w:rPr>
          <w:rFonts w:asciiTheme="minorHAnsi" w:hAnsiTheme="minorHAnsi" w:cstheme="minorHAnsi"/>
          <w:b/>
          <w:bCs/>
        </w:rPr>
      </w:pPr>
      <w:r w:rsidRPr="007E37C8">
        <w:rPr>
          <w:rStyle w:val="EndnoteReference"/>
          <w:rFonts w:asciiTheme="minorHAnsi" w:hAnsiTheme="minorHAnsi" w:cstheme="minorHAnsi"/>
        </w:rPr>
        <w:endnoteRef/>
      </w:r>
      <w:r w:rsidRPr="007E37C8">
        <w:rPr>
          <w:rFonts w:asciiTheme="minorHAnsi" w:hAnsiTheme="minorHAnsi" w:cstheme="minorHAnsi"/>
        </w:rPr>
        <w:t xml:space="preserve"> </w:t>
      </w:r>
      <w:r w:rsidRPr="007E37C8">
        <w:rPr>
          <w:rFonts w:asciiTheme="minorHAnsi" w:hAnsiTheme="minorHAnsi" w:cstheme="minorHAnsi"/>
        </w:rPr>
        <w:t xml:space="preserve">Bierer, B. E., White, S.A., Gelinas, L., &amp; Strauss, D.H. (2021). Fair payment and just benefits to enhance diversity in clinical research. </w:t>
      </w:r>
      <w:r w:rsidRPr="007E37C8">
        <w:rPr>
          <w:rFonts w:asciiTheme="minorHAnsi" w:hAnsiTheme="minorHAnsi" w:cstheme="minorHAnsi"/>
          <w:i/>
          <w:iCs/>
        </w:rPr>
        <w:t>Journal of Clinical and Translational Science, 5</w:t>
      </w:r>
      <w:r w:rsidRPr="007E37C8">
        <w:rPr>
          <w:rFonts w:asciiTheme="minorHAnsi" w:hAnsiTheme="minorHAnsi" w:cstheme="minorHAnsi"/>
        </w:rPr>
        <w:t xml:space="preserve"> (1): e159. https://doi.org/10.1017/cts.2021.816</w:t>
      </w:r>
    </w:p>
  </w:endnote>
  <w:endnote w:id="16">
    <w:p w:rsidR="005616BA" w:rsidP="005616BA" w14:paraId="13F80F20" w14:textId="77777777">
      <w:pPr>
        <w:pStyle w:val="EndnoteText"/>
      </w:pPr>
      <w:r w:rsidRPr="007E37C8">
        <w:rPr>
          <w:rStyle w:val="EndnoteReference"/>
          <w:rFonts w:asciiTheme="minorHAnsi" w:hAnsiTheme="minorHAnsi" w:cstheme="minorHAnsi"/>
        </w:rPr>
        <w:endnoteRef/>
      </w:r>
      <w:r w:rsidRPr="007E37C8">
        <w:rPr>
          <w:rFonts w:asciiTheme="minorHAnsi" w:hAnsiTheme="minorHAnsi" w:cstheme="minorHAnsi"/>
        </w:rPr>
        <w:t xml:space="preserve"> </w:t>
      </w:r>
      <w:r w:rsidRPr="007E37C8">
        <w:rPr>
          <w:rFonts w:asciiTheme="minorHAnsi" w:hAnsiTheme="minorHAnsi" w:cstheme="minorHAnsi"/>
        </w:rPr>
        <w:t>Geyelin Margie, N. &amp; Nerenberg, L. (2019). </w:t>
      </w:r>
      <w:r w:rsidRPr="007E37C8">
        <w:rPr>
          <w:rFonts w:asciiTheme="minorHAnsi" w:hAnsiTheme="minorHAnsi" w:cstheme="minorHAnsi"/>
          <w:i/>
          <w:iCs/>
        </w:rPr>
        <w:t>MIHOPE incentive experiment results: 15-month follow-up</w:t>
      </w:r>
      <w:r w:rsidRPr="007E37C8">
        <w:rPr>
          <w:rFonts w:asciiTheme="minorHAnsi" w:hAnsiTheme="minorHAnsi" w:cstheme="minorHAnsi"/>
        </w:rPr>
        <w:t>. Office of Information and Regulatory Affairs (OIRA), Office of Management and Budget (OMB). </w:t>
      </w:r>
      <w:hyperlink r:id="rId3" w:history="1">
        <w:r w:rsidRPr="007E37C8">
          <w:rPr>
            <w:rFonts w:asciiTheme="minorHAnsi" w:hAnsiTheme="minorHAnsi" w:cstheme="minorHAnsi"/>
            <w:color w:val="0000FF"/>
            <w:u w:val="single"/>
          </w:rPr>
          <w:t>https://omb.report/icr/201907-0970-010/doc/93761901.pdf</w:t>
        </w:r>
      </w:hyperlink>
    </w:p>
  </w:endnote>
  <w:endnote w:id="17">
    <w:p w:rsidR="005616BA" w:rsidRPr="007E37C8" w:rsidP="005616BA" w14:paraId="2E6907FB" w14:textId="77777777">
      <w:pPr>
        <w:pStyle w:val="EndnoteText"/>
        <w:rPr>
          <w:rFonts w:asciiTheme="minorHAnsi" w:hAnsiTheme="minorHAnsi" w:cstheme="minorHAnsi"/>
        </w:rPr>
      </w:pPr>
      <w:r w:rsidRPr="007E37C8">
        <w:rPr>
          <w:rStyle w:val="EndnoteReference"/>
          <w:rFonts w:asciiTheme="minorHAnsi" w:hAnsiTheme="minorHAnsi" w:cstheme="minorHAnsi"/>
        </w:rPr>
        <w:endnoteRef/>
      </w:r>
      <w:r w:rsidRPr="007E37C8">
        <w:rPr>
          <w:rFonts w:asciiTheme="minorHAnsi" w:hAnsiTheme="minorHAnsi" w:cstheme="minorHAnsi"/>
        </w:rPr>
        <w:t xml:space="preserve"> Stewart, D.W. &amp; Shamdasani, P.N. (2015). </w:t>
      </w:r>
      <w:r w:rsidRPr="007E37C8">
        <w:rPr>
          <w:rFonts w:asciiTheme="minorHAnsi" w:hAnsiTheme="minorHAnsi" w:cstheme="minorHAnsi"/>
          <w:i/>
          <w:iCs/>
        </w:rPr>
        <w:t>Focus groups: Theory and practice, 3</w:t>
      </w:r>
      <w:r w:rsidRPr="007E37C8">
        <w:rPr>
          <w:rFonts w:asciiTheme="minorHAnsi" w:hAnsiTheme="minorHAnsi" w:cstheme="minorHAnsi"/>
          <w:i/>
          <w:iCs/>
          <w:vertAlign w:val="superscript"/>
        </w:rPr>
        <w:t>rd</w:t>
      </w:r>
      <w:r w:rsidRPr="007E37C8">
        <w:rPr>
          <w:rFonts w:asciiTheme="minorHAnsi" w:hAnsiTheme="minorHAnsi" w:cstheme="minorHAnsi"/>
          <w:i/>
          <w:iCs/>
        </w:rPr>
        <w:t xml:space="preserve"> edition. </w:t>
      </w:r>
      <w:r w:rsidRPr="007E37C8">
        <w:rPr>
          <w:rFonts w:asciiTheme="minorHAnsi" w:hAnsiTheme="minorHAnsi" w:cstheme="minorHAnsi"/>
        </w:rPr>
        <w:t xml:space="preserve">Los Angeles, Sage. </w:t>
      </w:r>
    </w:p>
  </w:endnote>
  <w:endnote w:id="18">
    <w:p w:rsidR="005616BA" w:rsidRPr="00611D01" w:rsidP="005616BA" w14:paraId="0E63FB5B" w14:textId="77777777">
      <w:pPr>
        <w:pStyle w:val="EndnoteText"/>
        <w:rPr>
          <w:rFonts w:asciiTheme="minorHAnsi" w:hAnsiTheme="minorHAnsi" w:cstheme="minorHAnsi"/>
        </w:rPr>
      </w:pPr>
      <w:r w:rsidRPr="00611D01">
        <w:rPr>
          <w:rStyle w:val="EndnoteReference"/>
          <w:rFonts w:asciiTheme="minorHAnsi" w:hAnsiTheme="minorHAnsi" w:cstheme="minorHAnsi"/>
        </w:rPr>
        <w:endnoteRef/>
      </w:r>
      <w:r w:rsidRPr="00611D01">
        <w:rPr>
          <w:rFonts w:asciiTheme="minorHAnsi" w:hAnsiTheme="minorHAnsi" w:cstheme="minorHAnsi"/>
        </w:rPr>
        <w:t xml:space="preserve"> Crowne, S., Falletta, K., Padilla, C.M., McClay, A., Warren, J., Li, W., Hegseth, D., &amp; Around Him, D. (2023). </w:t>
      </w:r>
      <w:r w:rsidRPr="00611D01">
        <w:rPr>
          <w:rFonts w:asciiTheme="minorHAnsi" w:hAnsiTheme="minorHAnsi" w:cstheme="minorHAnsi"/>
          <w:i/>
          <w:iCs/>
        </w:rPr>
        <w:t xml:space="preserve">Findings from the Maternal, Infant, And Early Childhood Home Visiting (MIECHV) Advancing Health Equity in Response to COVID-19 project. </w:t>
      </w:r>
      <w:r w:rsidRPr="00611D01">
        <w:rPr>
          <w:rFonts w:asciiTheme="minorHAnsi" w:hAnsiTheme="minorHAnsi" w:cstheme="minorHAnsi"/>
        </w:rPr>
        <w:t xml:space="preserve">Health Resources and Services Administration, U.S. Department of Health and Human Services. </w:t>
      </w:r>
    </w:p>
  </w:endnote>
  <w:endnote w:id="19">
    <w:p w:rsidR="005616BA" w:rsidRPr="004F516E" w:rsidP="005616BA" w14:paraId="2CAE9D5D" w14:textId="77777777">
      <w:pPr>
        <w:rPr>
          <w:rFonts w:asciiTheme="minorHAnsi" w:hAnsiTheme="minorHAnsi" w:cstheme="minorHAnsi"/>
          <w:szCs w:val="20"/>
        </w:rPr>
      </w:pPr>
      <w:r w:rsidRPr="004F516E">
        <w:rPr>
          <w:rStyle w:val="EndnoteReference"/>
          <w:rFonts w:asciiTheme="minorHAnsi" w:hAnsiTheme="minorHAnsi" w:cstheme="minorHAnsi"/>
          <w:szCs w:val="20"/>
        </w:rPr>
        <w:endnoteRef/>
      </w:r>
      <w:r w:rsidRPr="004F516E">
        <w:rPr>
          <w:rFonts w:asciiTheme="minorHAnsi" w:hAnsiTheme="minorHAnsi" w:cstheme="minorHAnsi"/>
          <w:szCs w:val="20"/>
        </w:rPr>
        <w:t xml:space="preserve"> </w:t>
      </w:r>
      <w:r w:rsidRPr="004F516E">
        <w:rPr>
          <w:rFonts w:asciiTheme="minorHAnsi" w:hAnsiTheme="minorHAnsi" w:cstheme="minorHAnsi"/>
          <w:color w:val="222222"/>
          <w:szCs w:val="20"/>
        </w:rPr>
        <w:t xml:space="preserve">Gelinas, L., Largent, E.A., Cohen, I.G., </w:t>
      </w:r>
      <w:r w:rsidRPr="004F516E">
        <w:rPr>
          <w:rFonts w:asciiTheme="minorHAnsi" w:hAnsiTheme="minorHAnsi" w:cstheme="minorHAnsi"/>
          <w:color w:val="222222"/>
          <w:szCs w:val="20"/>
        </w:rPr>
        <w:t xml:space="preserve">Kornetsky, S., Bierer, B.E., &amp; Lynch, H.F.  (2018). A framework for ethical payment to research participants. </w:t>
      </w:r>
      <w:r w:rsidRPr="004F516E">
        <w:rPr>
          <w:rFonts w:asciiTheme="minorHAnsi" w:hAnsiTheme="minorHAnsi" w:cstheme="minorHAnsi"/>
          <w:i/>
          <w:iCs/>
          <w:color w:val="222222"/>
          <w:szCs w:val="20"/>
        </w:rPr>
        <w:t>New England Journal of Medicine, 378:</w:t>
      </w:r>
      <w:r w:rsidRPr="004F516E">
        <w:rPr>
          <w:rFonts w:asciiTheme="minorHAnsi" w:hAnsiTheme="minorHAnsi" w:cstheme="minorHAnsi"/>
          <w:color w:val="222222"/>
          <w:szCs w:val="20"/>
        </w:rPr>
        <w:t>766–71. https://doi.org/10/1056/NEJMsb1710591</w:t>
      </w:r>
    </w:p>
  </w:endnote>
  <w:endnote w:id="20">
    <w:p w:rsidR="005616BA" w:rsidRPr="00D51308" w:rsidP="005616BA" w14:paraId="41D7C151" w14:textId="77777777">
      <w:pPr>
        <w:pStyle w:val="EndnoteText"/>
        <w:rPr>
          <w:rFonts w:asciiTheme="minorHAnsi" w:hAnsiTheme="minorHAnsi" w:cstheme="minorHAnsi"/>
        </w:rPr>
      </w:pPr>
      <w:r w:rsidRPr="00D51308">
        <w:rPr>
          <w:rStyle w:val="EndnoteReference"/>
          <w:rFonts w:asciiTheme="minorHAnsi" w:hAnsiTheme="minorHAnsi" w:cstheme="minorHAnsi"/>
        </w:rPr>
        <w:endnoteRef/>
      </w:r>
      <w:r w:rsidRPr="00D51308">
        <w:rPr>
          <w:rFonts w:asciiTheme="minorHAnsi" w:hAnsiTheme="minorHAnsi" w:cstheme="minorHAnsi"/>
        </w:rPr>
        <w:t xml:space="preserve">Ver Ploeg, M., Moffitt, R.A., &amp; </w:t>
      </w:r>
      <w:r w:rsidRPr="00D51308">
        <w:rPr>
          <w:rFonts w:asciiTheme="minorHAnsi" w:hAnsiTheme="minorHAnsi" w:cstheme="minorHAnsi"/>
        </w:rPr>
        <w:t xml:space="preserve">Citro, C. (Eds.) (2002). </w:t>
      </w:r>
      <w:r w:rsidRPr="00D51308">
        <w:rPr>
          <w:rFonts w:asciiTheme="minorHAnsi" w:hAnsiTheme="minorHAnsi" w:cstheme="minorHAnsi"/>
          <w:i/>
          <w:iCs/>
        </w:rPr>
        <w:t xml:space="preserve">Studies of welfare populations: Data collection and research issues: Panel on data and methods for measuring the effects of challenges in social welfare programs. </w:t>
      </w:r>
      <w:r w:rsidRPr="00D51308">
        <w:rPr>
          <w:rFonts w:asciiTheme="minorHAnsi" w:hAnsiTheme="minorHAnsi" w:cstheme="minorHAnsi"/>
        </w:rPr>
        <w:t xml:space="preserve"> Committee on National Statistics Division of Behavioral and Social Sciences and Education. Washington, DC: National Academy Press. https://nap.nationalacademies.org/read/10206/chapter/1#ii</w:t>
      </w:r>
    </w:p>
  </w:endnote>
  <w:endnote w:id="21">
    <w:p w:rsidR="008673E2" w:rsidRPr="00196190" w14:paraId="40ACA50C" w14:textId="09CD377D">
      <w:pPr>
        <w:pStyle w:val="EndnoteText"/>
        <w:rPr>
          <w:rFonts w:asciiTheme="minorHAnsi" w:hAnsiTheme="minorHAnsi" w:cstheme="minorHAnsi"/>
        </w:rPr>
      </w:pPr>
      <w:r w:rsidRPr="00196190">
        <w:rPr>
          <w:rStyle w:val="EndnoteReference"/>
          <w:rFonts w:asciiTheme="minorHAnsi" w:hAnsiTheme="minorHAnsi" w:cstheme="minorHAnsi"/>
        </w:rPr>
        <w:endnoteRef/>
      </w:r>
      <w:r w:rsidRPr="00196190">
        <w:rPr>
          <w:rFonts w:asciiTheme="minorHAnsi" w:hAnsiTheme="minorHAnsi" w:cstheme="minorHAnsi"/>
        </w:rPr>
        <w:t xml:space="preserve"> </w:t>
      </w:r>
      <w:r w:rsidRPr="00196190" w:rsidR="00196190">
        <w:rPr>
          <w:rFonts w:asciiTheme="minorHAnsi" w:hAnsiTheme="minorHAnsi" w:cstheme="minorHAnsi"/>
          <w:color w:val="222222"/>
          <w:shd w:val="clear" w:color="auto" w:fill="FFFFFF"/>
        </w:rPr>
        <w:t>Hennink, M., &amp; Kaiser, B. N. (2022). Sample sizes for saturation in qualitative research: A systematic review of empirical tests. </w:t>
      </w:r>
      <w:r w:rsidRPr="00196190" w:rsidR="00196190">
        <w:rPr>
          <w:rFonts w:asciiTheme="minorHAnsi" w:hAnsiTheme="minorHAnsi" w:cstheme="minorHAnsi"/>
          <w:i/>
          <w:iCs/>
          <w:color w:val="222222"/>
          <w:shd w:val="clear" w:color="auto" w:fill="FFFFFF"/>
        </w:rPr>
        <w:t>Social science &amp; medicine</w:t>
      </w:r>
      <w:r w:rsidRPr="00196190" w:rsidR="00196190">
        <w:rPr>
          <w:rFonts w:asciiTheme="minorHAnsi" w:hAnsiTheme="minorHAnsi" w:cstheme="minorHAnsi"/>
          <w:color w:val="222222"/>
          <w:shd w:val="clear" w:color="auto" w:fill="FFFFFF"/>
        </w:rPr>
        <w:t>, </w:t>
      </w:r>
      <w:r w:rsidRPr="00196190" w:rsidR="00196190">
        <w:rPr>
          <w:rFonts w:asciiTheme="minorHAnsi" w:hAnsiTheme="minorHAnsi" w:cstheme="minorHAnsi"/>
          <w:i/>
          <w:iCs/>
          <w:color w:val="222222"/>
          <w:shd w:val="clear" w:color="auto" w:fill="FFFFFF"/>
        </w:rPr>
        <w:t>292</w:t>
      </w:r>
      <w:r w:rsidRPr="00196190" w:rsidR="00196190">
        <w:rPr>
          <w:rFonts w:asciiTheme="minorHAnsi" w:hAnsiTheme="minorHAnsi" w:cstheme="minorHAnsi"/>
          <w:color w:val="222222"/>
          <w:shd w:val="clear" w:color="auto" w:fill="FFFFFF"/>
        </w:rPr>
        <w:t>, 114523.</w:t>
      </w:r>
    </w:p>
  </w:endnote>
  <w:endnote w:id="22">
    <w:p w:rsidR="00D461D6" w:rsidRPr="008D3B21" w:rsidP="008E00B6" w14:paraId="629520E7" w14:textId="7C030A23">
      <w:pPr>
        <w:pStyle w:val="EndnoteText"/>
        <w:rPr>
          <w:rFonts w:asciiTheme="minorHAnsi" w:hAnsiTheme="minorHAnsi" w:cstheme="minorHAnsi"/>
        </w:rPr>
      </w:pPr>
      <w:r w:rsidRPr="008D3B21">
        <w:rPr>
          <w:rStyle w:val="EndnoteReference"/>
          <w:rFonts w:asciiTheme="minorHAnsi" w:hAnsiTheme="minorHAnsi" w:cstheme="minorHAnsi"/>
        </w:rPr>
        <w:endnoteRef/>
      </w:r>
      <w:r w:rsidRPr="008D3B21">
        <w:rPr>
          <w:rFonts w:asciiTheme="minorHAnsi" w:hAnsiTheme="minorHAnsi" w:cstheme="minorHAnsi"/>
        </w:rPr>
        <w:t xml:space="preserve"> US Bureau of Labor Statistics. </w:t>
      </w:r>
      <w:r w:rsidRPr="008D3B21">
        <w:rPr>
          <w:rFonts w:asciiTheme="minorHAnsi" w:hAnsiTheme="minorHAnsi" w:cstheme="minorHAnsi"/>
          <w:i/>
          <w:iCs/>
        </w:rPr>
        <w:t xml:space="preserve">Occupational employment and wages, May 2022: 11-9151 </w:t>
      </w:r>
      <w:r>
        <w:rPr>
          <w:rFonts w:asciiTheme="minorHAnsi" w:hAnsiTheme="minorHAnsi" w:cstheme="minorHAnsi"/>
          <w:i/>
          <w:iCs/>
        </w:rPr>
        <w:t>Individual and family services</w:t>
      </w:r>
      <w:r w:rsidRPr="008D3B21">
        <w:rPr>
          <w:rFonts w:asciiTheme="minorHAnsi" w:hAnsiTheme="minorHAnsi" w:cstheme="minorHAnsi"/>
          <w:i/>
          <w:iCs/>
        </w:rPr>
        <w:t xml:space="preserve">. </w:t>
      </w:r>
      <w:r w:rsidRPr="008D3B21">
        <w:rPr>
          <w:rFonts w:asciiTheme="minorHAnsi" w:hAnsiTheme="minorHAnsi" w:cstheme="minorHAnsi"/>
        </w:rPr>
        <w:t xml:space="preserve">US Bureau of Labor Statistics. </w:t>
      </w:r>
      <w:r w:rsidRPr="00D461D6">
        <w:rPr>
          <w:rFonts w:asciiTheme="minorHAnsi" w:hAnsiTheme="minorHAnsi" w:cstheme="minorHAnsi"/>
        </w:rPr>
        <w:t>https://www.bls.gov/oes/current/naics4_624100.htm</w:t>
      </w:r>
    </w:p>
  </w:endnote>
  <w:endnote w:id="23">
    <w:p w:rsidR="008357D9" w:rsidRPr="008D3B21" w:rsidP="008357D9" w14:paraId="491A53A6" w14:textId="77777777">
      <w:pPr>
        <w:pStyle w:val="EndnoteText"/>
        <w:rPr>
          <w:rFonts w:asciiTheme="minorHAnsi" w:hAnsiTheme="minorHAnsi" w:cstheme="minorHAnsi"/>
        </w:rPr>
      </w:pPr>
      <w:r w:rsidRPr="008D3B21">
        <w:rPr>
          <w:rStyle w:val="EndnoteReference"/>
          <w:rFonts w:asciiTheme="minorHAnsi" w:hAnsiTheme="minorHAnsi" w:cstheme="minorHAnsi"/>
        </w:rPr>
        <w:endnoteRef/>
      </w:r>
      <w:r w:rsidRPr="008D3B21">
        <w:rPr>
          <w:rFonts w:asciiTheme="minorHAnsi" w:hAnsiTheme="minorHAnsi" w:cstheme="minorHAnsi"/>
        </w:rPr>
        <w:t xml:space="preserve"> US Bureau of Labor Statistics. </w:t>
      </w:r>
      <w:r w:rsidRPr="008D3B21">
        <w:rPr>
          <w:rFonts w:asciiTheme="minorHAnsi" w:hAnsiTheme="minorHAnsi" w:cstheme="minorHAnsi"/>
          <w:i/>
          <w:iCs/>
        </w:rPr>
        <w:t xml:space="preserve">Occupational employment and wages, May 2022: 21-0000 Community and social service occupations. </w:t>
      </w:r>
      <w:r w:rsidRPr="008D3B21">
        <w:rPr>
          <w:rFonts w:asciiTheme="minorHAnsi" w:hAnsiTheme="minorHAnsi" w:cstheme="minorHAnsi"/>
        </w:rPr>
        <w:t xml:space="preserve">US Bureau of Labor Statistics. </w:t>
      </w:r>
      <w:hyperlink r:id="rId4" w:history="1">
        <w:r w:rsidRPr="008D3B21">
          <w:rPr>
            <w:rFonts w:asciiTheme="minorHAnsi" w:hAnsiTheme="minorHAnsi" w:cstheme="minorHAnsi"/>
            <w:color w:val="0000FF"/>
            <w:u w:val="single"/>
          </w:rPr>
          <w:t>https://www.bls.gov/oes/current/oes210000.htm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C4D73"/>
    <w:multiLevelType w:val="hybridMultilevel"/>
    <w:tmpl w:val="8C24A87E"/>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3770D87"/>
    <w:multiLevelType w:val="hybridMultilevel"/>
    <w:tmpl w:val="3224EF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8BA0572"/>
    <w:multiLevelType w:val="hybridMultilevel"/>
    <w:tmpl w:val="211EF9C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5">
    <w:nsid w:val="0ACC676D"/>
    <w:multiLevelType w:val="hybridMultilevel"/>
    <w:tmpl w:val="19925D9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6">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7F210B"/>
    <w:multiLevelType w:val="hybridMultilevel"/>
    <w:tmpl w:val="97F6408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16F1537B"/>
    <w:multiLevelType w:val="hybridMultilevel"/>
    <w:tmpl w:val="E03AB28A"/>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1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A124824"/>
    <w:multiLevelType w:val="hybridMultilevel"/>
    <w:tmpl w:val="AA7E308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2">
    <w:nsid w:val="1BD3212D"/>
    <w:multiLevelType w:val="hybridMultilevel"/>
    <w:tmpl w:val="CA48D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E8914F4"/>
    <w:multiLevelType w:val="hybridMultilevel"/>
    <w:tmpl w:val="2396781A"/>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5">
    <w:nsid w:val="210619A5"/>
    <w:multiLevelType w:val="hybridMultilevel"/>
    <w:tmpl w:val="E694546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6">
    <w:nsid w:val="29FC522A"/>
    <w:multiLevelType w:val="hybridMultilevel"/>
    <w:tmpl w:val="DC2AD4B0"/>
    <w:lvl w:ilvl="0">
      <w:start w:val="1"/>
      <w:numFmt w:val="upperLetter"/>
      <w:lvlText w:val="%1."/>
      <w:lvlJc w:val="left"/>
      <w:pPr>
        <w:tabs>
          <w:tab w:val="num" w:pos="2880"/>
        </w:tabs>
        <w:ind w:left="2880" w:hanging="360"/>
      </w:pPr>
    </w:lvl>
    <w:lvl w:ilvl="1" w:tentative="1">
      <w:start w:val="1"/>
      <w:numFmt w:val="lowerLetter"/>
      <w:lvlText w:val="%2."/>
      <w:lvlJc w:val="left"/>
      <w:pPr>
        <w:tabs>
          <w:tab w:val="num" w:pos="3600"/>
        </w:tabs>
        <w:ind w:left="3600" w:hanging="360"/>
      </w:pPr>
    </w:lvl>
    <w:lvl w:ilvl="2" w:tentative="1">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17">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359021E7"/>
    <w:multiLevelType w:val="hybridMultilevel"/>
    <w:tmpl w:val="CB889AC4"/>
    <w:lvl w:ilvl="0">
      <w:start w:val="1"/>
      <w:numFmt w:val="bullet"/>
      <w:lvlText w:val=""/>
      <w:lvlJc w:val="left"/>
      <w:pPr>
        <w:tabs>
          <w:tab w:val="num" w:pos="1728"/>
        </w:tabs>
        <w:ind w:left="1728" w:hanging="360"/>
      </w:pPr>
      <w:rPr>
        <w:rFonts w:ascii="Symbol" w:hAnsi="Symbol" w:hint="default"/>
      </w:rPr>
    </w:lvl>
    <w:lvl w:ilvl="1" w:tentative="1">
      <w:start w:val="1"/>
      <w:numFmt w:val="bullet"/>
      <w:lvlText w:val="o"/>
      <w:lvlJc w:val="left"/>
      <w:pPr>
        <w:tabs>
          <w:tab w:val="num" w:pos="2448"/>
        </w:tabs>
        <w:ind w:left="2448" w:hanging="360"/>
      </w:pPr>
      <w:rPr>
        <w:rFonts w:ascii="Courier New" w:hAnsi="Courier New" w:cs="Courier New" w:hint="default"/>
      </w:rPr>
    </w:lvl>
    <w:lvl w:ilvl="2" w:tentative="1">
      <w:start w:val="1"/>
      <w:numFmt w:val="bullet"/>
      <w:lvlText w:val=""/>
      <w:lvlJc w:val="left"/>
      <w:pPr>
        <w:tabs>
          <w:tab w:val="num" w:pos="3168"/>
        </w:tabs>
        <w:ind w:left="3168" w:hanging="360"/>
      </w:pPr>
      <w:rPr>
        <w:rFonts w:ascii="Wingdings" w:hAnsi="Wingdings" w:hint="default"/>
      </w:rPr>
    </w:lvl>
    <w:lvl w:ilvl="3" w:tentative="1">
      <w:start w:val="1"/>
      <w:numFmt w:val="bullet"/>
      <w:lvlText w:val=""/>
      <w:lvlJc w:val="left"/>
      <w:pPr>
        <w:tabs>
          <w:tab w:val="num" w:pos="3888"/>
        </w:tabs>
        <w:ind w:left="3888" w:hanging="360"/>
      </w:pPr>
      <w:rPr>
        <w:rFonts w:ascii="Symbol" w:hAnsi="Symbol" w:hint="default"/>
      </w:rPr>
    </w:lvl>
    <w:lvl w:ilvl="4" w:tentative="1">
      <w:start w:val="1"/>
      <w:numFmt w:val="bullet"/>
      <w:lvlText w:val="o"/>
      <w:lvlJc w:val="left"/>
      <w:pPr>
        <w:tabs>
          <w:tab w:val="num" w:pos="4608"/>
        </w:tabs>
        <w:ind w:left="4608" w:hanging="360"/>
      </w:pPr>
      <w:rPr>
        <w:rFonts w:ascii="Courier New" w:hAnsi="Courier New" w:cs="Courier New" w:hint="default"/>
      </w:rPr>
    </w:lvl>
    <w:lvl w:ilvl="5" w:tentative="1">
      <w:start w:val="1"/>
      <w:numFmt w:val="bullet"/>
      <w:lvlText w:val=""/>
      <w:lvlJc w:val="left"/>
      <w:pPr>
        <w:tabs>
          <w:tab w:val="num" w:pos="5328"/>
        </w:tabs>
        <w:ind w:left="5328" w:hanging="360"/>
      </w:pPr>
      <w:rPr>
        <w:rFonts w:ascii="Wingdings" w:hAnsi="Wingdings" w:hint="default"/>
      </w:rPr>
    </w:lvl>
    <w:lvl w:ilvl="6" w:tentative="1">
      <w:start w:val="1"/>
      <w:numFmt w:val="bullet"/>
      <w:lvlText w:val=""/>
      <w:lvlJc w:val="left"/>
      <w:pPr>
        <w:tabs>
          <w:tab w:val="num" w:pos="6048"/>
        </w:tabs>
        <w:ind w:left="6048" w:hanging="360"/>
      </w:pPr>
      <w:rPr>
        <w:rFonts w:ascii="Symbol" w:hAnsi="Symbol" w:hint="default"/>
      </w:rPr>
    </w:lvl>
    <w:lvl w:ilvl="7" w:tentative="1">
      <w:start w:val="1"/>
      <w:numFmt w:val="bullet"/>
      <w:lvlText w:val="o"/>
      <w:lvlJc w:val="left"/>
      <w:pPr>
        <w:tabs>
          <w:tab w:val="num" w:pos="6768"/>
        </w:tabs>
        <w:ind w:left="6768" w:hanging="360"/>
      </w:pPr>
      <w:rPr>
        <w:rFonts w:ascii="Courier New" w:hAnsi="Courier New" w:cs="Courier New" w:hint="default"/>
      </w:rPr>
    </w:lvl>
    <w:lvl w:ilvl="8" w:tentative="1">
      <w:start w:val="1"/>
      <w:numFmt w:val="bullet"/>
      <w:lvlText w:val=""/>
      <w:lvlJc w:val="left"/>
      <w:pPr>
        <w:tabs>
          <w:tab w:val="num" w:pos="7488"/>
        </w:tabs>
        <w:ind w:left="7488" w:hanging="360"/>
      </w:pPr>
      <w:rPr>
        <w:rFonts w:ascii="Wingdings" w:hAnsi="Wingdings" w:hint="default"/>
      </w:rPr>
    </w:lvl>
  </w:abstractNum>
  <w:abstractNum w:abstractNumId="19">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3ACC71D8"/>
    <w:multiLevelType w:val="hybridMultilevel"/>
    <w:tmpl w:val="720CB386"/>
    <w:lvl w:ilvl="0">
      <w:start w:val="1"/>
      <w:numFmt w:val="bullet"/>
      <w:lvlText w:val=""/>
      <w:lvlJc w:val="left"/>
      <w:pPr>
        <w:tabs>
          <w:tab w:val="num" w:pos="2340"/>
        </w:tabs>
        <w:ind w:left="2340" w:hanging="360"/>
      </w:pPr>
      <w:rPr>
        <w:rFonts w:ascii="Symbol" w:hAnsi="Symbol"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1">
    <w:nsid w:val="40F41527"/>
    <w:multiLevelType w:val="hybridMultilevel"/>
    <w:tmpl w:val="5C5EDD18"/>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22">
    <w:nsid w:val="42CA0CF3"/>
    <w:multiLevelType w:val="hybridMultilevel"/>
    <w:tmpl w:val="DC4AB2F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nsid w:val="43CD5E17"/>
    <w:multiLevelType w:val="hybridMultilevel"/>
    <w:tmpl w:val="BE9E67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A1D7109"/>
    <w:multiLevelType w:val="hybridMultilevel"/>
    <w:tmpl w:val="039CEF78"/>
    <w:lvl w:ilvl="0">
      <w:start w:val="1"/>
      <w:numFmt w:val="decimal"/>
      <w:lvlText w:val="%1."/>
      <w:lvlJc w:val="left"/>
      <w:pPr>
        <w:tabs>
          <w:tab w:val="num" w:pos="1080"/>
        </w:tabs>
        <w:ind w:left="1080" w:hanging="360"/>
      </w:pPr>
      <w:rPr>
        <w:rFonts w:ascii="Calibri Light" w:hAnsi="Calibri Light" w:cs="Calibri Light" w:hint="default"/>
        <w:b w:val="0"/>
        <w:bCs w:val="0"/>
        <w:color w:val="2F5496"/>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8">
    <w:nsid w:val="4DDE1051"/>
    <w:multiLevelType w:val="hybridMultilevel"/>
    <w:tmpl w:val="36AE2F4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9">
    <w:nsid w:val="53E41430"/>
    <w:multiLevelType w:val="hybridMultilevel"/>
    <w:tmpl w:val="57AA6CBE"/>
    <w:lvl w:ilvl="0">
      <w:start w:val="1"/>
      <w:numFmt w:val="bullet"/>
      <w:lvlText w:val=""/>
      <w:lvlJc w:val="left"/>
      <w:pPr>
        <w:tabs>
          <w:tab w:val="num" w:pos="2175"/>
        </w:tabs>
        <w:ind w:left="2175" w:hanging="360"/>
      </w:pPr>
      <w:rPr>
        <w:rFonts w:ascii="Symbol" w:hAnsi="Symbol" w:hint="default"/>
      </w:rPr>
    </w:lvl>
    <w:lvl w:ilvl="1" w:tentative="1">
      <w:start w:val="1"/>
      <w:numFmt w:val="bullet"/>
      <w:lvlText w:val="o"/>
      <w:lvlJc w:val="left"/>
      <w:pPr>
        <w:tabs>
          <w:tab w:val="num" w:pos="2895"/>
        </w:tabs>
        <w:ind w:left="2895" w:hanging="360"/>
      </w:pPr>
      <w:rPr>
        <w:rFonts w:ascii="Courier New" w:hAnsi="Courier New" w:cs="Courier New" w:hint="default"/>
      </w:rPr>
    </w:lvl>
    <w:lvl w:ilvl="2" w:tentative="1">
      <w:start w:val="1"/>
      <w:numFmt w:val="bullet"/>
      <w:lvlText w:val=""/>
      <w:lvlJc w:val="left"/>
      <w:pPr>
        <w:tabs>
          <w:tab w:val="num" w:pos="3615"/>
        </w:tabs>
        <w:ind w:left="3615" w:hanging="360"/>
      </w:pPr>
      <w:rPr>
        <w:rFonts w:ascii="Wingdings" w:hAnsi="Wingdings" w:hint="default"/>
      </w:rPr>
    </w:lvl>
    <w:lvl w:ilvl="3" w:tentative="1">
      <w:start w:val="1"/>
      <w:numFmt w:val="bullet"/>
      <w:lvlText w:val=""/>
      <w:lvlJc w:val="left"/>
      <w:pPr>
        <w:tabs>
          <w:tab w:val="num" w:pos="4335"/>
        </w:tabs>
        <w:ind w:left="4335" w:hanging="360"/>
      </w:pPr>
      <w:rPr>
        <w:rFonts w:ascii="Symbol" w:hAnsi="Symbol" w:hint="default"/>
      </w:rPr>
    </w:lvl>
    <w:lvl w:ilvl="4" w:tentative="1">
      <w:start w:val="1"/>
      <w:numFmt w:val="bullet"/>
      <w:lvlText w:val="o"/>
      <w:lvlJc w:val="left"/>
      <w:pPr>
        <w:tabs>
          <w:tab w:val="num" w:pos="5055"/>
        </w:tabs>
        <w:ind w:left="5055" w:hanging="360"/>
      </w:pPr>
      <w:rPr>
        <w:rFonts w:ascii="Courier New" w:hAnsi="Courier New" w:cs="Courier New" w:hint="default"/>
      </w:rPr>
    </w:lvl>
    <w:lvl w:ilvl="5" w:tentative="1">
      <w:start w:val="1"/>
      <w:numFmt w:val="bullet"/>
      <w:lvlText w:val=""/>
      <w:lvlJc w:val="left"/>
      <w:pPr>
        <w:tabs>
          <w:tab w:val="num" w:pos="5775"/>
        </w:tabs>
        <w:ind w:left="5775" w:hanging="360"/>
      </w:pPr>
      <w:rPr>
        <w:rFonts w:ascii="Wingdings" w:hAnsi="Wingdings" w:hint="default"/>
      </w:rPr>
    </w:lvl>
    <w:lvl w:ilvl="6" w:tentative="1">
      <w:start w:val="1"/>
      <w:numFmt w:val="bullet"/>
      <w:lvlText w:val=""/>
      <w:lvlJc w:val="left"/>
      <w:pPr>
        <w:tabs>
          <w:tab w:val="num" w:pos="6495"/>
        </w:tabs>
        <w:ind w:left="6495" w:hanging="360"/>
      </w:pPr>
      <w:rPr>
        <w:rFonts w:ascii="Symbol" w:hAnsi="Symbol" w:hint="default"/>
      </w:rPr>
    </w:lvl>
    <w:lvl w:ilvl="7" w:tentative="1">
      <w:start w:val="1"/>
      <w:numFmt w:val="bullet"/>
      <w:lvlText w:val="o"/>
      <w:lvlJc w:val="left"/>
      <w:pPr>
        <w:tabs>
          <w:tab w:val="num" w:pos="7215"/>
        </w:tabs>
        <w:ind w:left="7215" w:hanging="360"/>
      </w:pPr>
      <w:rPr>
        <w:rFonts w:ascii="Courier New" w:hAnsi="Courier New" w:cs="Courier New" w:hint="default"/>
      </w:rPr>
    </w:lvl>
    <w:lvl w:ilvl="8" w:tentative="1">
      <w:start w:val="1"/>
      <w:numFmt w:val="bullet"/>
      <w:lvlText w:val=""/>
      <w:lvlJc w:val="left"/>
      <w:pPr>
        <w:tabs>
          <w:tab w:val="num" w:pos="7935"/>
        </w:tabs>
        <w:ind w:left="7935" w:hanging="360"/>
      </w:pPr>
      <w:rPr>
        <w:rFonts w:ascii="Wingdings" w:hAnsi="Wingdings" w:hint="default"/>
      </w:rPr>
    </w:lvl>
  </w:abstractNum>
  <w:abstractNum w:abstractNumId="30">
    <w:nsid w:val="557F20E1"/>
    <w:multiLevelType w:val="hybridMultilevel"/>
    <w:tmpl w:val="545474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2">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3">
    <w:nsid w:val="5B3250AA"/>
    <w:multiLevelType w:val="hybridMultilevel"/>
    <w:tmpl w:val="BD9A3BB6"/>
    <w:lvl w:ilvl="0">
      <w:start w:val="1"/>
      <w:numFmt w:val="upp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4">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5">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6">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7">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8">
    <w:nsid w:val="6714352E"/>
    <w:multiLevelType w:val="hybridMultilevel"/>
    <w:tmpl w:val="E3EEDFF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9">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0">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1">
    <w:nsid w:val="733A3D1C"/>
    <w:multiLevelType w:val="multilevel"/>
    <w:tmpl w:val="591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3">
    <w:nsid w:val="73ED210F"/>
    <w:multiLevelType w:val="hybridMultilevel"/>
    <w:tmpl w:val="CD48D5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4">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798A00CB"/>
    <w:multiLevelType w:val="hybridMultilevel"/>
    <w:tmpl w:val="1A28C5F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6">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7">
    <w:nsid w:val="7E7D45FB"/>
    <w:multiLevelType w:val="hybridMultilevel"/>
    <w:tmpl w:val="FB4297CE"/>
    <w:lvl w:ilvl="0">
      <w:start w:val="1"/>
      <w:numFmt w:val="upperRoman"/>
      <w:lvlText w:val="%1."/>
      <w:lvlJc w:val="right"/>
      <w:pPr>
        <w:tabs>
          <w:tab w:val="num" w:pos="2160"/>
        </w:tabs>
        <w:ind w:left="2160" w:hanging="180"/>
      </w:p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48">
    <w:nsid w:val="7EBC3CE5"/>
    <w:multiLevelType w:val="hybridMultilevel"/>
    <w:tmpl w:val="D8E2E83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9">
    <w:nsid w:val="7EDD2A26"/>
    <w:multiLevelType w:val="hybridMultilevel"/>
    <w:tmpl w:val="8C24A87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46379479">
    <w:abstractNumId w:val="48"/>
  </w:num>
  <w:num w:numId="2" w16cid:durableId="1665935422">
    <w:abstractNumId w:val="25"/>
  </w:num>
  <w:num w:numId="3" w16cid:durableId="636952115">
    <w:abstractNumId w:val="17"/>
  </w:num>
  <w:num w:numId="4" w16cid:durableId="272320372">
    <w:abstractNumId w:val="44"/>
  </w:num>
  <w:num w:numId="5" w16cid:durableId="439372336">
    <w:abstractNumId w:val="47"/>
  </w:num>
  <w:num w:numId="6" w16cid:durableId="482964095">
    <w:abstractNumId w:val="10"/>
  </w:num>
  <w:num w:numId="7" w16cid:durableId="429080630">
    <w:abstractNumId w:val="39"/>
  </w:num>
  <w:num w:numId="8" w16cid:durableId="1461992349">
    <w:abstractNumId w:val="20"/>
  </w:num>
  <w:num w:numId="9" w16cid:durableId="1793939196">
    <w:abstractNumId w:val="29"/>
  </w:num>
  <w:num w:numId="10" w16cid:durableId="620066749">
    <w:abstractNumId w:val="22"/>
  </w:num>
  <w:num w:numId="11" w16cid:durableId="1611086207">
    <w:abstractNumId w:val="9"/>
  </w:num>
  <w:num w:numId="12" w16cid:durableId="1293361366">
    <w:abstractNumId w:val="28"/>
  </w:num>
  <w:num w:numId="13" w16cid:durableId="235556675">
    <w:abstractNumId w:val="23"/>
  </w:num>
  <w:num w:numId="14" w16cid:durableId="1324817599">
    <w:abstractNumId w:val="26"/>
  </w:num>
  <w:num w:numId="15" w16cid:durableId="1508250948">
    <w:abstractNumId w:val="8"/>
  </w:num>
  <w:num w:numId="16" w16cid:durableId="472908956">
    <w:abstractNumId w:val="1"/>
  </w:num>
  <w:num w:numId="17" w16cid:durableId="2022269543">
    <w:abstractNumId w:val="2"/>
  </w:num>
  <w:num w:numId="18" w16cid:durableId="1576551574">
    <w:abstractNumId w:val="18"/>
  </w:num>
  <w:num w:numId="19" w16cid:durableId="1021664261">
    <w:abstractNumId w:val="38"/>
  </w:num>
  <w:num w:numId="20" w16cid:durableId="1223835545">
    <w:abstractNumId w:val="36"/>
  </w:num>
  <w:num w:numId="21" w16cid:durableId="1795976280">
    <w:abstractNumId w:val="21"/>
  </w:num>
  <w:num w:numId="22" w16cid:durableId="730229963">
    <w:abstractNumId w:val="43"/>
  </w:num>
  <w:num w:numId="23" w16cid:durableId="1826044622">
    <w:abstractNumId w:val="34"/>
  </w:num>
  <w:num w:numId="24" w16cid:durableId="396979534">
    <w:abstractNumId w:val="35"/>
  </w:num>
  <w:num w:numId="25" w16cid:durableId="1320308753">
    <w:abstractNumId w:val="46"/>
  </w:num>
  <w:num w:numId="26" w16cid:durableId="2110732317">
    <w:abstractNumId w:val="42"/>
  </w:num>
  <w:num w:numId="27" w16cid:durableId="1412773934">
    <w:abstractNumId w:val="4"/>
  </w:num>
  <w:num w:numId="28" w16cid:durableId="747653287">
    <w:abstractNumId w:val="19"/>
  </w:num>
  <w:num w:numId="29" w16cid:durableId="1041705733">
    <w:abstractNumId w:val="45"/>
  </w:num>
  <w:num w:numId="30" w16cid:durableId="230966677">
    <w:abstractNumId w:val="40"/>
  </w:num>
  <w:num w:numId="31" w16cid:durableId="1472015523">
    <w:abstractNumId w:val="37"/>
  </w:num>
  <w:num w:numId="32" w16cid:durableId="1948347106">
    <w:abstractNumId w:val="11"/>
  </w:num>
  <w:num w:numId="33" w16cid:durableId="383677539">
    <w:abstractNumId w:val="3"/>
  </w:num>
  <w:num w:numId="34" w16cid:durableId="755633080">
    <w:abstractNumId w:val="31"/>
  </w:num>
  <w:num w:numId="35" w16cid:durableId="2019690613">
    <w:abstractNumId w:val="15"/>
  </w:num>
  <w:num w:numId="36" w16cid:durableId="331832655">
    <w:abstractNumId w:val="14"/>
  </w:num>
  <w:num w:numId="37" w16cid:durableId="798643207">
    <w:abstractNumId w:val="16"/>
  </w:num>
  <w:num w:numId="38" w16cid:durableId="818888988">
    <w:abstractNumId w:val="5"/>
  </w:num>
  <w:num w:numId="39" w16cid:durableId="1979646301">
    <w:abstractNumId w:val="33"/>
  </w:num>
  <w:num w:numId="40" w16cid:durableId="823591248">
    <w:abstractNumId w:val="7"/>
  </w:num>
  <w:num w:numId="41" w16cid:durableId="1804272224">
    <w:abstractNumId w:val="32"/>
  </w:num>
  <w:num w:numId="42" w16cid:durableId="791097679">
    <w:abstractNumId w:val="27"/>
  </w:num>
  <w:num w:numId="43" w16cid:durableId="2093886759">
    <w:abstractNumId w:val="6"/>
  </w:num>
  <w:num w:numId="44" w16cid:durableId="284889097">
    <w:abstractNumId w:val="41"/>
  </w:num>
  <w:num w:numId="45" w16cid:durableId="1909878531">
    <w:abstractNumId w:val="12"/>
  </w:num>
  <w:num w:numId="46" w16cid:durableId="1307128659">
    <w:abstractNumId w:val="24"/>
  </w:num>
  <w:num w:numId="47" w16cid:durableId="2105489294">
    <w:abstractNumId w:val="13"/>
  </w:num>
  <w:num w:numId="48" w16cid:durableId="438764555">
    <w:abstractNumId w:val="49"/>
  </w:num>
  <w:num w:numId="49" w16cid:durableId="1581867565">
    <w:abstractNumId w:val="30"/>
  </w:num>
  <w:num w:numId="50" w16cid:durableId="18465552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arah Crowne (She/Her/Hers)">
    <w15:presenceInfo w15:providerId="AD" w15:userId="S::scrowne@childtrends.org::8a1ba8b9-c3ec-43f8-acdd-902b312776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290A"/>
    <w:rsid w:val="00003330"/>
    <w:rsid w:val="000043C7"/>
    <w:rsid w:val="00006E9E"/>
    <w:rsid w:val="00006F64"/>
    <w:rsid w:val="00007917"/>
    <w:rsid w:val="0001207F"/>
    <w:rsid w:val="000125E5"/>
    <w:rsid w:val="00014D0C"/>
    <w:rsid w:val="00015505"/>
    <w:rsid w:val="000162EC"/>
    <w:rsid w:val="00016DB5"/>
    <w:rsid w:val="00016FF0"/>
    <w:rsid w:val="00017217"/>
    <w:rsid w:val="0001765E"/>
    <w:rsid w:val="00026C26"/>
    <w:rsid w:val="00026CAF"/>
    <w:rsid w:val="000313FF"/>
    <w:rsid w:val="00031AFE"/>
    <w:rsid w:val="00033B2B"/>
    <w:rsid w:val="00034C73"/>
    <w:rsid w:val="00040AB0"/>
    <w:rsid w:val="00040AD1"/>
    <w:rsid w:val="000421FB"/>
    <w:rsid w:val="00045124"/>
    <w:rsid w:val="00047B81"/>
    <w:rsid w:val="0005385D"/>
    <w:rsid w:val="00053B88"/>
    <w:rsid w:val="000657EE"/>
    <w:rsid w:val="00066C46"/>
    <w:rsid w:val="00080FB6"/>
    <w:rsid w:val="00097D8F"/>
    <w:rsid w:val="00097F7F"/>
    <w:rsid w:val="000A1D3E"/>
    <w:rsid w:val="000A4602"/>
    <w:rsid w:val="000A5779"/>
    <w:rsid w:val="000B43A8"/>
    <w:rsid w:val="000B4FCB"/>
    <w:rsid w:val="000B7489"/>
    <w:rsid w:val="000C0AB0"/>
    <w:rsid w:val="000C2427"/>
    <w:rsid w:val="000C2762"/>
    <w:rsid w:val="000C304A"/>
    <w:rsid w:val="000D1175"/>
    <w:rsid w:val="000D6B4B"/>
    <w:rsid w:val="000D6D2E"/>
    <w:rsid w:val="000D7585"/>
    <w:rsid w:val="000E18FB"/>
    <w:rsid w:val="000E59A7"/>
    <w:rsid w:val="000E6C1B"/>
    <w:rsid w:val="000F0E3A"/>
    <w:rsid w:val="000F2498"/>
    <w:rsid w:val="000F31D2"/>
    <w:rsid w:val="000F6134"/>
    <w:rsid w:val="000F71FF"/>
    <w:rsid w:val="000F73B2"/>
    <w:rsid w:val="00100931"/>
    <w:rsid w:val="00103FD2"/>
    <w:rsid w:val="00114B6D"/>
    <w:rsid w:val="00114EE1"/>
    <w:rsid w:val="00122365"/>
    <w:rsid w:val="00123991"/>
    <w:rsid w:val="00124175"/>
    <w:rsid w:val="001325B2"/>
    <w:rsid w:val="00134949"/>
    <w:rsid w:val="00134C3E"/>
    <w:rsid w:val="001353EC"/>
    <w:rsid w:val="001354C6"/>
    <w:rsid w:val="00135EBA"/>
    <w:rsid w:val="00136299"/>
    <w:rsid w:val="00136BB2"/>
    <w:rsid w:val="00141C73"/>
    <w:rsid w:val="001420EB"/>
    <w:rsid w:val="001467DF"/>
    <w:rsid w:val="00153242"/>
    <w:rsid w:val="00161933"/>
    <w:rsid w:val="00164A36"/>
    <w:rsid w:val="001676CF"/>
    <w:rsid w:val="00170888"/>
    <w:rsid w:val="001725B3"/>
    <w:rsid w:val="00174B07"/>
    <w:rsid w:val="001800FB"/>
    <w:rsid w:val="001855BF"/>
    <w:rsid w:val="001858A1"/>
    <w:rsid w:val="001920C3"/>
    <w:rsid w:val="00196190"/>
    <w:rsid w:val="001963D2"/>
    <w:rsid w:val="001A0636"/>
    <w:rsid w:val="001A271A"/>
    <w:rsid w:val="001C34FC"/>
    <w:rsid w:val="001C4E68"/>
    <w:rsid w:val="001C608D"/>
    <w:rsid w:val="001C7C3C"/>
    <w:rsid w:val="001D1194"/>
    <w:rsid w:val="001D19D8"/>
    <w:rsid w:val="001D24A5"/>
    <w:rsid w:val="001D46AD"/>
    <w:rsid w:val="001D4856"/>
    <w:rsid w:val="001D5B8D"/>
    <w:rsid w:val="001D78E4"/>
    <w:rsid w:val="001E64F2"/>
    <w:rsid w:val="001E6BAF"/>
    <w:rsid w:val="001F10B5"/>
    <w:rsid w:val="001F2465"/>
    <w:rsid w:val="001F5D42"/>
    <w:rsid w:val="00207D81"/>
    <w:rsid w:val="002118B4"/>
    <w:rsid w:val="002144F3"/>
    <w:rsid w:val="00216D25"/>
    <w:rsid w:val="00225264"/>
    <w:rsid w:val="00226378"/>
    <w:rsid w:val="002278FC"/>
    <w:rsid w:val="00232EE6"/>
    <w:rsid w:val="00234383"/>
    <w:rsid w:val="0023613D"/>
    <w:rsid w:val="00240CF1"/>
    <w:rsid w:val="00244ABF"/>
    <w:rsid w:val="00245298"/>
    <w:rsid w:val="00245A5A"/>
    <w:rsid w:val="00251B6E"/>
    <w:rsid w:val="002530A1"/>
    <w:rsid w:val="00253D63"/>
    <w:rsid w:val="00253F50"/>
    <w:rsid w:val="00256F07"/>
    <w:rsid w:val="0026060C"/>
    <w:rsid w:val="002609EB"/>
    <w:rsid w:val="00260C1F"/>
    <w:rsid w:val="0026339D"/>
    <w:rsid w:val="002640E7"/>
    <w:rsid w:val="00265D66"/>
    <w:rsid w:val="0027392A"/>
    <w:rsid w:val="002750F6"/>
    <w:rsid w:val="00275B73"/>
    <w:rsid w:val="00276941"/>
    <w:rsid w:val="00281924"/>
    <w:rsid w:val="00283CB5"/>
    <w:rsid w:val="00283EC8"/>
    <w:rsid w:val="00284F83"/>
    <w:rsid w:val="00286D04"/>
    <w:rsid w:val="00291110"/>
    <w:rsid w:val="00296B96"/>
    <w:rsid w:val="002A11E0"/>
    <w:rsid w:val="002A1A4F"/>
    <w:rsid w:val="002A4414"/>
    <w:rsid w:val="002A6458"/>
    <w:rsid w:val="002A7B44"/>
    <w:rsid w:val="002B08F8"/>
    <w:rsid w:val="002B3736"/>
    <w:rsid w:val="002C17B2"/>
    <w:rsid w:val="002C536B"/>
    <w:rsid w:val="002D1043"/>
    <w:rsid w:val="002D2710"/>
    <w:rsid w:val="002E56B6"/>
    <w:rsid w:val="002E6260"/>
    <w:rsid w:val="002E7BBA"/>
    <w:rsid w:val="002E7D61"/>
    <w:rsid w:val="002E7F56"/>
    <w:rsid w:val="002F5047"/>
    <w:rsid w:val="002F69A7"/>
    <w:rsid w:val="002F7A11"/>
    <w:rsid w:val="00303C92"/>
    <w:rsid w:val="00305756"/>
    <w:rsid w:val="003130C3"/>
    <w:rsid w:val="003132F2"/>
    <w:rsid w:val="0031394F"/>
    <w:rsid w:val="00317FF6"/>
    <w:rsid w:val="00322313"/>
    <w:rsid w:val="00324A56"/>
    <w:rsid w:val="00325E7A"/>
    <w:rsid w:val="003278CD"/>
    <w:rsid w:val="00334C41"/>
    <w:rsid w:val="00334D9F"/>
    <w:rsid w:val="00335372"/>
    <w:rsid w:val="00350AD9"/>
    <w:rsid w:val="00353E17"/>
    <w:rsid w:val="0036467E"/>
    <w:rsid w:val="003649EC"/>
    <w:rsid w:val="003660FF"/>
    <w:rsid w:val="00367117"/>
    <w:rsid w:val="003713D8"/>
    <w:rsid w:val="00371FD9"/>
    <w:rsid w:val="00374377"/>
    <w:rsid w:val="003743CA"/>
    <w:rsid w:val="00376C80"/>
    <w:rsid w:val="00381FD7"/>
    <w:rsid w:val="003903B8"/>
    <w:rsid w:val="00391E16"/>
    <w:rsid w:val="00397511"/>
    <w:rsid w:val="00397B1F"/>
    <w:rsid w:val="00397ED3"/>
    <w:rsid w:val="003A1EE6"/>
    <w:rsid w:val="003A2EF0"/>
    <w:rsid w:val="003A6502"/>
    <w:rsid w:val="003C01AD"/>
    <w:rsid w:val="003C7276"/>
    <w:rsid w:val="003D23B1"/>
    <w:rsid w:val="003D26EE"/>
    <w:rsid w:val="003D2850"/>
    <w:rsid w:val="003D55B5"/>
    <w:rsid w:val="003D5B82"/>
    <w:rsid w:val="003E0900"/>
    <w:rsid w:val="003E0EA3"/>
    <w:rsid w:val="003E3C52"/>
    <w:rsid w:val="003E4F21"/>
    <w:rsid w:val="003F1E95"/>
    <w:rsid w:val="003F3BA4"/>
    <w:rsid w:val="003F63ED"/>
    <w:rsid w:val="00400F0E"/>
    <w:rsid w:val="0041277B"/>
    <w:rsid w:val="004138E2"/>
    <w:rsid w:val="00414552"/>
    <w:rsid w:val="00417810"/>
    <w:rsid w:val="004237B8"/>
    <w:rsid w:val="00424297"/>
    <w:rsid w:val="00433B73"/>
    <w:rsid w:val="00436CFD"/>
    <w:rsid w:val="00437A04"/>
    <w:rsid w:val="00440976"/>
    <w:rsid w:val="004434A7"/>
    <w:rsid w:val="00445C6D"/>
    <w:rsid w:val="00447D83"/>
    <w:rsid w:val="00451598"/>
    <w:rsid w:val="0045744F"/>
    <w:rsid w:val="004622FB"/>
    <w:rsid w:val="00470190"/>
    <w:rsid w:val="0047031F"/>
    <w:rsid w:val="0047132D"/>
    <w:rsid w:val="00472847"/>
    <w:rsid w:val="004746CA"/>
    <w:rsid w:val="00477757"/>
    <w:rsid w:val="00477C8A"/>
    <w:rsid w:val="004837CB"/>
    <w:rsid w:val="00486353"/>
    <w:rsid w:val="004903E7"/>
    <w:rsid w:val="00490720"/>
    <w:rsid w:val="004907DD"/>
    <w:rsid w:val="004A2E12"/>
    <w:rsid w:val="004A69E1"/>
    <w:rsid w:val="004B3909"/>
    <w:rsid w:val="004B3C41"/>
    <w:rsid w:val="004C1F24"/>
    <w:rsid w:val="004C4F63"/>
    <w:rsid w:val="004C6CEE"/>
    <w:rsid w:val="004C77D3"/>
    <w:rsid w:val="004D0967"/>
    <w:rsid w:val="004D3089"/>
    <w:rsid w:val="004D602E"/>
    <w:rsid w:val="004D6FC4"/>
    <w:rsid w:val="004E22BB"/>
    <w:rsid w:val="004E2C85"/>
    <w:rsid w:val="004E5267"/>
    <w:rsid w:val="004E687D"/>
    <w:rsid w:val="004E7071"/>
    <w:rsid w:val="004E735F"/>
    <w:rsid w:val="004F2721"/>
    <w:rsid w:val="004F324E"/>
    <w:rsid w:val="004F516E"/>
    <w:rsid w:val="004F552E"/>
    <w:rsid w:val="004F7049"/>
    <w:rsid w:val="00503103"/>
    <w:rsid w:val="005036DD"/>
    <w:rsid w:val="00503BAB"/>
    <w:rsid w:val="00503E14"/>
    <w:rsid w:val="005058B0"/>
    <w:rsid w:val="0051032A"/>
    <w:rsid w:val="00510F55"/>
    <w:rsid w:val="00515D73"/>
    <w:rsid w:val="00515F02"/>
    <w:rsid w:val="005201AF"/>
    <w:rsid w:val="005205F1"/>
    <w:rsid w:val="00520FA3"/>
    <w:rsid w:val="00522235"/>
    <w:rsid w:val="005308FD"/>
    <w:rsid w:val="00532984"/>
    <w:rsid w:val="00534B78"/>
    <w:rsid w:val="0054470B"/>
    <w:rsid w:val="00544C1A"/>
    <w:rsid w:val="00550FCC"/>
    <w:rsid w:val="00555841"/>
    <w:rsid w:val="00556884"/>
    <w:rsid w:val="005616BA"/>
    <w:rsid w:val="00562853"/>
    <w:rsid w:val="00563D77"/>
    <w:rsid w:val="0057603A"/>
    <w:rsid w:val="00576B08"/>
    <w:rsid w:val="005775D9"/>
    <w:rsid w:val="00580E32"/>
    <w:rsid w:val="00581F05"/>
    <w:rsid w:val="00585A5C"/>
    <w:rsid w:val="005862E8"/>
    <w:rsid w:val="005911E9"/>
    <w:rsid w:val="0059311B"/>
    <w:rsid w:val="005A09BE"/>
    <w:rsid w:val="005A0A34"/>
    <w:rsid w:val="005A10B5"/>
    <w:rsid w:val="005A32C7"/>
    <w:rsid w:val="005A660E"/>
    <w:rsid w:val="005B144E"/>
    <w:rsid w:val="005B2087"/>
    <w:rsid w:val="005B2B93"/>
    <w:rsid w:val="005B4602"/>
    <w:rsid w:val="005B5684"/>
    <w:rsid w:val="005B7D65"/>
    <w:rsid w:val="005C39C5"/>
    <w:rsid w:val="005C53BF"/>
    <w:rsid w:val="005C64CD"/>
    <w:rsid w:val="005D2E76"/>
    <w:rsid w:val="005D5A06"/>
    <w:rsid w:val="005D7625"/>
    <w:rsid w:val="005E1765"/>
    <w:rsid w:val="005F355D"/>
    <w:rsid w:val="005F5F05"/>
    <w:rsid w:val="005F678D"/>
    <w:rsid w:val="00602BD2"/>
    <w:rsid w:val="00611344"/>
    <w:rsid w:val="00611D01"/>
    <w:rsid w:val="00612B82"/>
    <w:rsid w:val="006131A9"/>
    <w:rsid w:val="006149E7"/>
    <w:rsid w:val="00617CF3"/>
    <w:rsid w:val="006231B9"/>
    <w:rsid w:val="00624019"/>
    <w:rsid w:val="00625929"/>
    <w:rsid w:val="00626507"/>
    <w:rsid w:val="00627FFD"/>
    <w:rsid w:val="00631956"/>
    <w:rsid w:val="00636D70"/>
    <w:rsid w:val="006378DF"/>
    <w:rsid w:val="00640DDC"/>
    <w:rsid w:val="00641C23"/>
    <w:rsid w:val="00642BA5"/>
    <w:rsid w:val="00642E5D"/>
    <w:rsid w:val="00643E4B"/>
    <w:rsid w:val="00645824"/>
    <w:rsid w:val="00647EAE"/>
    <w:rsid w:val="006521A3"/>
    <w:rsid w:val="006540FA"/>
    <w:rsid w:val="00656C44"/>
    <w:rsid w:val="006604AA"/>
    <w:rsid w:val="00660573"/>
    <w:rsid w:val="00660717"/>
    <w:rsid w:val="00662439"/>
    <w:rsid w:val="00672304"/>
    <w:rsid w:val="00680D76"/>
    <w:rsid w:val="006824A5"/>
    <w:rsid w:val="00682B23"/>
    <w:rsid w:val="00684B34"/>
    <w:rsid w:val="00692F1F"/>
    <w:rsid w:val="00694C85"/>
    <w:rsid w:val="006A0CAC"/>
    <w:rsid w:val="006A3C18"/>
    <w:rsid w:val="006A7D2A"/>
    <w:rsid w:val="006B3343"/>
    <w:rsid w:val="006C21D6"/>
    <w:rsid w:val="006C37B2"/>
    <w:rsid w:val="006C4221"/>
    <w:rsid w:val="006C7412"/>
    <w:rsid w:val="006D0222"/>
    <w:rsid w:val="006D2B8B"/>
    <w:rsid w:val="006D3E9D"/>
    <w:rsid w:val="006D40A3"/>
    <w:rsid w:val="006E00BD"/>
    <w:rsid w:val="006E420E"/>
    <w:rsid w:val="006E5CF3"/>
    <w:rsid w:val="006E7723"/>
    <w:rsid w:val="006E7823"/>
    <w:rsid w:val="006F47C8"/>
    <w:rsid w:val="006F4AD8"/>
    <w:rsid w:val="006F6F49"/>
    <w:rsid w:val="006F7DAB"/>
    <w:rsid w:val="00706832"/>
    <w:rsid w:val="00707080"/>
    <w:rsid w:val="00710F56"/>
    <w:rsid w:val="00713DD2"/>
    <w:rsid w:val="007148A3"/>
    <w:rsid w:val="00723571"/>
    <w:rsid w:val="00724C25"/>
    <w:rsid w:val="00725021"/>
    <w:rsid w:val="0073114C"/>
    <w:rsid w:val="00732C8E"/>
    <w:rsid w:val="007339E3"/>
    <w:rsid w:val="00734A32"/>
    <w:rsid w:val="00734B3D"/>
    <w:rsid w:val="00737ECC"/>
    <w:rsid w:val="00740E44"/>
    <w:rsid w:val="00741804"/>
    <w:rsid w:val="00744DBB"/>
    <w:rsid w:val="0074593A"/>
    <w:rsid w:val="0075443C"/>
    <w:rsid w:val="00760AF0"/>
    <w:rsid w:val="007657DE"/>
    <w:rsid w:val="00776779"/>
    <w:rsid w:val="007829D5"/>
    <w:rsid w:val="00785F58"/>
    <w:rsid w:val="00796ADD"/>
    <w:rsid w:val="00796EDE"/>
    <w:rsid w:val="007A00FA"/>
    <w:rsid w:val="007A2696"/>
    <w:rsid w:val="007A2859"/>
    <w:rsid w:val="007A2F5D"/>
    <w:rsid w:val="007A7443"/>
    <w:rsid w:val="007B0424"/>
    <w:rsid w:val="007B0C6E"/>
    <w:rsid w:val="007B471E"/>
    <w:rsid w:val="007B7A31"/>
    <w:rsid w:val="007C22E4"/>
    <w:rsid w:val="007D3492"/>
    <w:rsid w:val="007D6F55"/>
    <w:rsid w:val="007E1E57"/>
    <w:rsid w:val="007E37C8"/>
    <w:rsid w:val="007E6C97"/>
    <w:rsid w:val="007F047A"/>
    <w:rsid w:val="007F126D"/>
    <w:rsid w:val="007F6DF3"/>
    <w:rsid w:val="008002AB"/>
    <w:rsid w:val="008029BD"/>
    <w:rsid w:val="008044FF"/>
    <w:rsid w:val="008058BB"/>
    <w:rsid w:val="00805D68"/>
    <w:rsid w:val="00805F0F"/>
    <w:rsid w:val="0081090A"/>
    <w:rsid w:val="008124E6"/>
    <w:rsid w:val="00812782"/>
    <w:rsid w:val="00815817"/>
    <w:rsid w:val="00827FEA"/>
    <w:rsid w:val="00830CE7"/>
    <w:rsid w:val="00832669"/>
    <w:rsid w:val="008332D2"/>
    <w:rsid w:val="00833ABC"/>
    <w:rsid w:val="00834DEE"/>
    <w:rsid w:val="008357D9"/>
    <w:rsid w:val="00837B8F"/>
    <w:rsid w:val="0084091D"/>
    <w:rsid w:val="0084351D"/>
    <w:rsid w:val="00845B21"/>
    <w:rsid w:val="00845FCD"/>
    <w:rsid w:val="008509C8"/>
    <w:rsid w:val="00851BAD"/>
    <w:rsid w:val="00855C13"/>
    <w:rsid w:val="00860E1C"/>
    <w:rsid w:val="008638E5"/>
    <w:rsid w:val="008671EF"/>
    <w:rsid w:val="008673E2"/>
    <w:rsid w:val="00871F02"/>
    <w:rsid w:val="00874775"/>
    <w:rsid w:val="00880DBD"/>
    <w:rsid w:val="00882AA4"/>
    <w:rsid w:val="00893596"/>
    <w:rsid w:val="00893DD9"/>
    <w:rsid w:val="008A740E"/>
    <w:rsid w:val="008B04CA"/>
    <w:rsid w:val="008B073E"/>
    <w:rsid w:val="008B20E6"/>
    <w:rsid w:val="008B29FC"/>
    <w:rsid w:val="008B37CC"/>
    <w:rsid w:val="008C227C"/>
    <w:rsid w:val="008D2D67"/>
    <w:rsid w:val="008D3B21"/>
    <w:rsid w:val="008D5C8E"/>
    <w:rsid w:val="008D62BB"/>
    <w:rsid w:val="008D799F"/>
    <w:rsid w:val="008E00B6"/>
    <w:rsid w:val="008E11D9"/>
    <w:rsid w:val="008E6B51"/>
    <w:rsid w:val="008F0867"/>
    <w:rsid w:val="008F102D"/>
    <w:rsid w:val="008F3371"/>
    <w:rsid w:val="008F490F"/>
    <w:rsid w:val="008F55C2"/>
    <w:rsid w:val="008F6C97"/>
    <w:rsid w:val="008F6D40"/>
    <w:rsid w:val="00903150"/>
    <w:rsid w:val="009078BF"/>
    <w:rsid w:val="00907F34"/>
    <w:rsid w:val="009131CB"/>
    <w:rsid w:val="0091372C"/>
    <w:rsid w:val="009141F6"/>
    <w:rsid w:val="0091449C"/>
    <w:rsid w:val="00915CF2"/>
    <w:rsid w:val="00915FEA"/>
    <w:rsid w:val="009179D0"/>
    <w:rsid w:val="00917F53"/>
    <w:rsid w:val="00920184"/>
    <w:rsid w:val="00922DE4"/>
    <w:rsid w:val="00924956"/>
    <w:rsid w:val="009252AE"/>
    <w:rsid w:val="00930258"/>
    <w:rsid w:val="009304F8"/>
    <w:rsid w:val="00931262"/>
    <w:rsid w:val="00933072"/>
    <w:rsid w:val="00935C87"/>
    <w:rsid w:val="00935E77"/>
    <w:rsid w:val="009376AE"/>
    <w:rsid w:val="00940B09"/>
    <w:rsid w:val="00947DBA"/>
    <w:rsid w:val="009517D6"/>
    <w:rsid w:val="00951A83"/>
    <w:rsid w:val="0095303D"/>
    <w:rsid w:val="009549C1"/>
    <w:rsid w:val="00954F7D"/>
    <w:rsid w:val="00957B63"/>
    <w:rsid w:val="00961968"/>
    <w:rsid w:val="009649AA"/>
    <w:rsid w:val="00972E8D"/>
    <w:rsid w:val="00976CB7"/>
    <w:rsid w:val="0098144D"/>
    <w:rsid w:val="00986F59"/>
    <w:rsid w:val="00993DE7"/>
    <w:rsid w:val="00994113"/>
    <w:rsid w:val="00996F0A"/>
    <w:rsid w:val="009972F3"/>
    <w:rsid w:val="009A28F2"/>
    <w:rsid w:val="009A7595"/>
    <w:rsid w:val="009B1299"/>
    <w:rsid w:val="009B3794"/>
    <w:rsid w:val="009B38FA"/>
    <w:rsid w:val="009B60D5"/>
    <w:rsid w:val="009B7BE8"/>
    <w:rsid w:val="009B7E4D"/>
    <w:rsid w:val="009C16AC"/>
    <w:rsid w:val="009D3AF2"/>
    <w:rsid w:val="009E3D5E"/>
    <w:rsid w:val="009E51F8"/>
    <w:rsid w:val="009F062E"/>
    <w:rsid w:val="009F1B65"/>
    <w:rsid w:val="009F5326"/>
    <w:rsid w:val="00A03E29"/>
    <w:rsid w:val="00A05415"/>
    <w:rsid w:val="00A05507"/>
    <w:rsid w:val="00A06FEA"/>
    <w:rsid w:val="00A14186"/>
    <w:rsid w:val="00A1688A"/>
    <w:rsid w:val="00A2143B"/>
    <w:rsid w:val="00A21AFD"/>
    <w:rsid w:val="00A421F4"/>
    <w:rsid w:val="00A436C2"/>
    <w:rsid w:val="00A45075"/>
    <w:rsid w:val="00A47241"/>
    <w:rsid w:val="00A55E19"/>
    <w:rsid w:val="00A6070E"/>
    <w:rsid w:val="00A60DB7"/>
    <w:rsid w:val="00A6115E"/>
    <w:rsid w:val="00A61B13"/>
    <w:rsid w:val="00A6489F"/>
    <w:rsid w:val="00A66A12"/>
    <w:rsid w:val="00A82F6F"/>
    <w:rsid w:val="00A83469"/>
    <w:rsid w:val="00A83ED2"/>
    <w:rsid w:val="00A85695"/>
    <w:rsid w:val="00A87F31"/>
    <w:rsid w:val="00A91A59"/>
    <w:rsid w:val="00A92CAB"/>
    <w:rsid w:val="00A941DD"/>
    <w:rsid w:val="00AA359E"/>
    <w:rsid w:val="00AA4E42"/>
    <w:rsid w:val="00AA73DB"/>
    <w:rsid w:val="00AA7ADE"/>
    <w:rsid w:val="00AB2A0B"/>
    <w:rsid w:val="00AB52CF"/>
    <w:rsid w:val="00AC6BCE"/>
    <w:rsid w:val="00AC77E0"/>
    <w:rsid w:val="00AD082A"/>
    <w:rsid w:val="00AD525B"/>
    <w:rsid w:val="00AD5D28"/>
    <w:rsid w:val="00AD5E9E"/>
    <w:rsid w:val="00AD67D4"/>
    <w:rsid w:val="00AE21DA"/>
    <w:rsid w:val="00AE7154"/>
    <w:rsid w:val="00AE7F24"/>
    <w:rsid w:val="00AF1A62"/>
    <w:rsid w:val="00AF36D9"/>
    <w:rsid w:val="00AF671A"/>
    <w:rsid w:val="00B027FA"/>
    <w:rsid w:val="00B03F3F"/>
    <w:rsid w:val="00B07CB0"/>
    <w:rsid w:val="00B12087"/>
    <w:rsid w:val="00B120F5"/>
    <w:rsid w:val="00B12CDD"/>
    <w:rsid w:val="00B1475C"/>
    <w:rsid w:val="00B157BC"/>
    <w:rsid w:val="00B15B92"/>
    <w:rsid w:val="00B211C6"/>
    <w:rsid w:val="00B21566"/>
    <w:rsid w:val="00B21EE5"/>
    <w:rsid w:val="00B302EA"/>
    <w:rsid w:val="00B31C96"/>
    <w:rsid w:val="00B336B2"/>
    <w:rsid w:val="00B346C8"/>
    <w:rsid w:val="00B34735"/>
    <w:rsid w:val="00B3565C"/>
    <w:rsid w:val="00B35BC2"/>
    <w:rsid w:val="00B44333"/>
    <w:rsid w:val="00B44555"/>
    <w:rsid w:val="00B44879"/>
    <w:rsid w:val="00B53BAA"/>
    <w:rsid w:val="00B54715"/>
    <w:rsid w:val="00B6127B"/>
    <w:rsid w:val="00B6135B"/>
    <w:rsid w:val="00B65146"/>
    <w:rsid w:val="00B655C6"/>
    <w:rsid w:val="00B6584D"/>
    <w:rsid w:val="00B6727A"/>
    <w:rsid w:val="00B70CA4"/>
    <w:rsid w:val="00B71238"/>
    <w:rsid w:val="00B71762"/>
    <w:rsid w:val="00B71C46"/>
    <w:rsid w:val="00B74165"/>
    <w:rsid w:val="00B81621"/>
    <w:rsid w:val="00B824D3"/>
    <w:rsid w:val="00B8295C"/>
    <w:rsid w:val="00B84997"/>
    <w:rsid w:val="00B84BC7"/>
    <w:rsid w:val="00B85EDC"/>
    <w:rsid w:val="00B9560A"/>
    <w:rsid w:val="00B96F5C"/>
    <w:rsid w:val="00BA1A0C"/>
    <w:rsid w:val="00BA29DA"/>
    <w:rsid w:val="00BA2F5B"/>
    <w:rsid w:val="00BA440E"/>
    <w:rsid w:val="00BA6885"/>
    <w:rsid w:val="00BB3751"/>
    <w:rsid w:val="00BB7F36"/>
    <w:rsid w:val="00BC052D"/>
    <w:rsid w:val="00BC07C8"/>
    <w:rsid w:val="00BC0B10"/>
    <w:rsid w:val="00BC399D"/>
    <w:rsid w:val="00BC42BB"/>
    <w:rsid w:val="00BC58A6"/>
    <w:rsid w:val="00BC7F10"/>
    <w:rsid w:val="00BD5CC8"/>
    <w:rsid w:val="00BE26B9"/>
    <w:rsid w:val="00BE29E0"/>
    <w:rsid w:val="00BE3CF8"/>
    <w:rsid w:val="00BE463E"/>
    <w:rsid w:val="00BE780C"/>
    <w:rsid w:val="00BF2F34"/>
    <w:rsid w:val="00BF48FE"/>
    <w:rsid w:val="00BF6947"/>
    <w:rsid w:val="00BF7762"/>
    <w:rsid w:val="00C023AB"/>
    <w:rsid w:val="00C06460"/>
    <w:rsid w:val="00C0735F"/>
    <w:rsid w:val="00C076B8"/>
    <w:rsid w:val="00C12D25"/>
    <w:rsid w:val="00C13581"/>
    <w:rsid w:val="00C169CA"/>
    <w:rsid w:val="00C17523"/>
    <w:rsid w:val="00C242C1"/>
    <w:rsid w:val="00C2523B"/>
    <w:rsid w:val="00C27D1D"/>
    <w:rsid w:val="00C300B9"/>
    <w:rsid w:val="00C318BC"/>
    <w:rsid w:val="00C369F5"/>
    <w:rsid w:val="00C438DC"/>
    <w:rsid w:val="00C43AA6"/>
    <w:rsid w:val="00C45431"/>
    <w:rsid w:val="00C502A4"/>
    <w:rsid w:val="00C51571"/>
    <w:rsid w:val="00C51B2C"/>
    <w:rsid w:val="00C51DE9"/>
    <w:rsid w:val="00C60CEF"/>
    <w:rsid w:val="00C6226D"/>
    <w:rsid w:val="00C633C4"/>
    <w:rsid w:val="00C6551C"/>
    <w:rsid w:val="00C715F4"/>
    <w:rsid w:val="00C73635"/>
    <w:rsid w:val="00C7481A"/>
    <w:rsid w:val="00C74B86"/>
    <w:rsid w:val="00C75735"/>
    <w:rsid w:val="00C7715E"/>
    <w:rsid w:val="00C839D6"/>
    <w:rsid w:val="00C8512D"/>
    <w:rsid w:val="00C86AA7"/>
    <w:rsid w:val="00C91717"/>
    <w:rsid w:val="00C96292"/>
    <w:rsid w:val="00C968F8"/>
    <w:rsid w:val="00C97491"/>
    <w:rsid w:val="00CA2A3E"/>
    <w:rsid w:val="00CA3DA6"/>
    <w:rsid w:val="00CA5A39"/>
    <w:rsid w:val="00CC0DFE"/>
    <w:rsid w:val="00CC45BB"/>
    <w:rsid w:val="00CC4B2F"/>
    <w:rsid w:val="00CC60A6"/>
    <w:rsid w:val="00CC68B6"/>
    <w:rsid w:val="00CC7F27"/>
    <w:rsid w:val="00CD087A"/>
    <w:rsid w:val="00CD36E7"/>
    <w:rsid w:val="00CD4A8A"/>
    <w:rsid w:val="00CD50AF"/>
    <w:rsid w:val="00CD7D3A"/>
    <w:rsid w:val="00CE017C"/>
    <w:rsid w:val="00CE19C0"/>
    <w:rsid w:val="00CE1AFA"/>
    <w:rsid w:val="00CE5AA9"/>
    <w:rsid w:val="00CF4CFA"/>
    <w:rsid w:val="00D0106E"/>
    <w:rsid w:val="00D11CA3"/>
    <w:rsid w:val="00D13211"/>
    <w:rsid w:val="00D13CBD"/>
    <w:rsid w:val="00D165B5"/>
    <w:rsid w:val="00D200D9"/>
    <w:rsid w:val="00D20FD4"/>
    <w:rsid w:val="00D21D98"/>
    <w:rsid w:val="00D254DA"/>
    <w:rsid w:val="00D260F7"/>
    <w:rsid w:val="00D346EF"/>
    <w:rsid w:val="00D34955"/>
    <w:rsid w:val="00D34DDE"/>
    <w:rsid w:val="00D3631A"/>
    <w:rsid w:val="00D40F9F"/>
    <w:rsid w:val="00D421DE"/>
    <w:rsid w:val="00D447F5"/>
    <w:rsid w:val="00D45FA0"/>
    <w:rsid w:val="00D461D6"/>
    <w:rsid w:val="00D46313"/>
    <w:rsid w:val="00D46BD8"/>
    <w:rsid w:val="00D471FB"/>
    <w:rsid w:val="00D51308"/>
    <w:rsid w:val="00D51456"/>
    <w:rsid w:val="00D52194"/>
    <w:rsid w:val="00D523AA"/>
    <w:rsid w:val="00D5631F"/>
    <w:rsid w:val="00D56407"/>
    <w:rsid w:val="00D56CC2"/>
    <w:rsid w:val="00D62F89"/>
    <w:rsid w:val="00D70602"/>
    <w:rsid w:val="00D70AE3"/>
    <w:rsid w:val="00D70F83"/>
    <w:rsid w:val="00D7332B"/>
    <w:rsid w:val="00D748AB"/>
    <w:rsid w:val="00D74B86"/>
    <w:rsid w:val="00D850D7"/>
    <w:rsid w:val="00D8632A"/>
    <w:rsid w:val="00D92512"/>
    <w:rsid w:val="00D92E1D"/>
    <w:rsid w:val="00D92F80"/>
    <w:rsid w:val="00D93610"/>
    <w:rsid w:val="00D93FBC"/>
    <w:rsid w:val="00D944A8"/>
    <w:rsid w:val="00D95558"/>
    <w:rsid w:val="00DA5F57"/>
    <w:rsid w:val="00DB1F24"/>
    <w:rsid w:val="00DB2C22"/>
    <w:rsid w:val="00DB3219"/>
    <w:rsid w:val="00DC0C64"/>
    <w:rsid w:val="00DC52CF"/>
    <w:rsid w:val="00DC6090"/>
    <w:rsid w:val="00DC6882"/>
    <w:rsid w:val="00DC74ED"/>
    <w:rsid w:val="00DC7B2C"/>
    <w:rsid w:val="00DD0640"/>
    <w:rsid w:val="00DD56A0"/>
    <w:rsid w:val="00DD651C"/>
    <w:rsid w:val="00DE0C11"/>
    <w:rsid w:val="00DE1C2A"/>
    <w:rsid w:val="00DE3A45"/>
    <w:rsid w:val="00DE5A20"/>
    <w:rsid w:val="00DE608E"/>
    <w:rsid w:val="00DE7C1A"/>
    <w:rsid w:val="00E00CEE"/>
    <w:rsid w:val="00E00ED4"/>
    <w:rsid w:val="00E04758"/>
    <w:rsid w:val="00E06499"/>
    <w:rsid w:val="00E11D66"/>
    <w:rsid w:val="00E12AE9"/>
    <w:rsid w:val="00E13355"/>
    <w:rsid w:val="00E178E6"/>
    <w:rsid w:val="00E203FA"/>
    <w:rsid w:val="00E24F8D"/>
    <w:rsid w:val="00E30578"/>
    <w:rsid w:val="00E30AF5"/>
    <w:rsid w:val="00E330DC"/>
    <w:rsid w:val="00E34A1F"/>
    <w:rsid w:val="00E37DF6"/>
    <w:rsid w:val="00E40C7C"/>
    <w:rsid w:val="00E43BF8"/>
    <w:rsid w:val="00E51C1B"/>
    <w:rsid w:val="00E51CB0"/>
    <w:rsid w:val="00E5254A"/>
    <w:rsid w:val="00E54302"/>
    <w:rsid w:val="00E5499B"/>
    <w:rsid w:val="00E562F4"/>
    <w:rsid w:val="00E57D55"/>
    <w:rsid w:val="00E6014D"/>
    <w:rsid w:val="00E6338F"/>
    <w:rsid w:val="00E63A92"/>
    <w:rsid w:val="00E64924"/>
    <w:rsid w:val="00E72DB3"/>
    <w:rsid w:val="00E73087"/>
    <w:rsid w:val="00E75B47"/>
    <w:rsid w:val="00E80DDE"/>
    <w:rsid w:val="00E83891"/>
    <w:rsid w:val="00E857D0"/>
    <w:rsid w:val="00E8651C"/>
    <w:rsid w:val="00E87554"/>
    <w:rsid w:val="00E87C5F"/>
    <w:rsid w:val="00E9102D"/>
    <w:rsid w:val="00E916DE"/>
    <w:rsid w:val="00E95E31"/>
    <w:rsid w:val="00E962DB"/>
    <w:rsid w:val="00E97256"/>
    <w:rsid w:val="00E97F06"/>
    <w:rsid w:val="00EA7AB9"/>
    <w:rsid w:val="00EB06E5"/>
    <w:rsid w:val="00EB281A"/>
    <w:rsid w:val="00EB508F"/>
    <w:rsid w:val="00EB684C"/>
    <w:rsid w:val="00EC1DA6"/>
    <w:rsid w:val="00EC38CD"/>
    <w:rsid w:val="00EC57AB"/>
    <w:rsid w:val="00EC7741"/>
    <w:rsid w:val="00ED18EA"/>
    <w:rsid w:val="00ED3587"/>
    <w:rsid w:val="00ED4D3A"/>
    <w:rsid w:val="00ED5070"/>
    <w:rsid w:val="00EE0DC7"/>
    <w:rsid w:val="00EE529C"/>
    <w:rsid w:val="00EF139D"/>
    <w:rsid w:val="00EF14FD"/>
    <w:rsid w:val="00EF30FD"/>
    <w:rsid w:val="00EF31E9"/>
    <w:rsid w:val="00EF6F0C"/>
    <w:rsid w:val="00EF7C60"/>
    <w:rsid w:val="00F01376"/>
    <w:rsid w:val="00F023A5"/>
    <w:rsid w:val="00F035A0"/>
    <w:rsid w:val="00F068E8"/>
    <w:rsid w:val="00F109A3"/>
    <w:rsid w:val="00F11B28"/>
    <w:rsid w:val="00F15702"/>
    <w:rsid w:val="00F177C2"/>
    <w:rsid w:val="00F2317D"/>
    <w:rsid w:val="00F2585C"/>
    <w:rsid w:val="00F3114C"/>
    <w:rsid w:val="00F3606C"/>
    <w:rsid w:val="00F370B7"/>
    <w:rsid w:val="00F37448"/>
    <w:rsid w:val="00F4221E"/>
    <w:rsid w:val="00F47932"/>
    <w:rsid w:val="00F51390"/>
    <w:rsid w:val="00F51408"/>
    <w:rsid w:val="00F52A86"/>
    <w:rsid w:val="00F55897"/>
    <w:rsid w:val="00F61037"/>
    <w:rsid w:val="00F73C3E"/>
    <w:rsid w:val="00F76334"/>
    <w:rsid w:val="00F76D18"/>
    <w:rsid w:val="00F82F61"/>
    <w:rsid w:val="00F8520B"/>
    <w:rsid w:val="00F86267"/>
    <w:rsid w:val="00F86EF0"/>
    <w:rsid w:val="00F87D37"/>
    <w:rsid w:val="00F94367"/>
    <w:rsid w:val="00F95D91"/>
    <w:rsid w:val="00F9769E"/>
    <w:rsid w:val="00FA3F9A"/>
    <w:rsid w:val="00FA4D63"/>
    <w:rsid w:val="00FA4EA5"/>
    <w:rsid w:val="00FB550C"/>
    <w:rsid w:val="00FC1ED2"/>
    <w:rsid w:val="00FC2C85"/>
    <w:rsid w:val="00FC2DBE"/>
    <w:rsid w:val="00FC36D4"/>
    <w:rsid w:val="00FC4393"/>
    <w:rsid w:val="00FE1BF3"/>
    <w:rsid w:val="00FE40BB"/>
    <w:rsid w:val="00FE5104"/>
    <w:rsid w:val="00FE6C30"/>
    <w:rsid w:val="00FF16F0"/>
    <w:rsid w:val="00FF63B5"/>
    <w:rsid w:val="03FB37A8"/>
    <w:rsid w:val="0A5E7C83"/>
    <w:rsid w:val="0BC779BC"/>
    <w:rsid w:val="154B072B"/>
    <w:rsid w:val="18F994A4"/>
    <w:rsid w:val="1E115928"/>
    <w:rsid w:val="1F3C05D7"/>
    <w:rsid w:val="247A87EE"/>
    <w:rsid w:val="26174355"/>
    <w:rsid w:val="294B3E1F"/>
    <w:rsid w:val="299D149C"/>
    <w:rsid w:val="2AC830A8"/>
    <w:rsid w:val="2C475A69"/>
    <w:rsid w:val="3397774D"/>
    <w:rsid w:val="3496344D"/>
    <w:rsid w:val="37490F4C"/>
    <w:rsid w:val="38044AD5"/>
    <w:rsid w:val="385F044C"/>
    <w:rsid w:val="39DCF087"/>
    <w:rsid w:val="3AAACFA1"/>
    <w:rsid w:val="3D514126"/>
    <w:rsid w:val="414BB8C9"/>
    <w:rsid w:val="418427F8"/>
    <w:rsid w:val="4B0CB098"/>
    <w:rsid w:val="4E2333CF"/>
    <w:rsid w:val="4EEE6132"/>
    <w:rsid w:val="52F6A4F2"/>
    <w:rsid w:val="54B5F461"/>
    <w:rsid w:val="56490E98"/>
    <w:rsid w:val="57991CC5"/>
    <w:rsid w:val="5806A097"/>
    <w:rsid w:val="58DF2E2E"/>
    <w:rsid w:val="5CABA241"/>
    <w:rsid w:val="5DC48748"/>
    <w:rsid w:val="5E81CFCA"/>
    <w:rsid w:val="5F2A1009"/>
    <w:rsid w:val="5F7B7FC2"/>
    <w:rsid w:val="64B086A3"/>
    <w:rsid w:val="6981A5CD"/>
    <w:rsid w:val="6EB86ACA"/>
    <w:rsid w:val="73E01283"/>
    <w:rsid w:val="75E3586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3EFBA33A-C5F9-4875-9EEB-7DEA7A42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1175"/>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character" w:customStyle="1" w:styleId="normaltextrun">
    <w:name w:val="normaltextrun"/>
    <w:basedOn w:val="DefaultParagraphFont"/>
    <w:rsid w:val="00662439"/>
  </w:style>
  <w:style w:type="paragraph" w:customStyle="1" w:styleId="paragraph">
    <w:name w:val="paragraph"/>
    <w:basedOn w:val="Normal"/>
    <w:rsid w:val="00662439"/>
    <w:pPr>
      <w:widowControl/>
      <w:autoSpaceDE/>
      <w:autoSpaceDN/>
      <w:adjustRightInd/>
      <w:spacing w:before="100" w:beforeAutospacing="1" w:after="100" w:afterAutospacing="1"/>
    </w:pPr>
    <w:rPr>
      <w:sz w:val="24"/>
    </w:rPr>
  </w:style>
  <w:style w:type="paragraph" w:styleId="EndnoteText">
    <w:name w:val="endnote text"/>
    <w:basedOn w:val="Normal"/>
    <w:link w:val="EndnoteTextChar"/>
    <w:uiPriority w:val="99"/>
    <w:unhideWhenUsed/>
    <w:rsid w:val="00016DB5"/>
    <w:pPr>
      <w:widowControl/>
      <w:autoSpaceDE/>
      <w:autoSpaceDN/>
      <w:adjustRightInd/>
    </w:pPr>
    <w:rPr>
      <w:rFonts w:ascii="Lato" w:hAnsi="Lato" w:eastAsiaTheme="minorEastAsia" w:cstheme="minorBidi"/>
      <w:szCs w:val="20"/>
    </w:rPr>
  </w:style>
  <w:style w:type="character" w:customStyle="1" w:styleId="EndnoteTextChar">
    <w:name w:val="Endnote Text Char"/>
    <w:basedOn w:val="DefaultParagraphFont"/>
    <w:link w:val="EndnoteText"/>
    <w:uiPriority w:val="99"/>
    <w:rsid w:val="00016DB5"/>
    <w:rPr>
      <w:rFonts w:ascii="Lato" w:hAnsi="Lato" w:eastAsiaTheme="minorEastAsia" w:cstheme="minorBidi"/>
    </w:rPr>
  </w:style>
  <w:style w:type="character" w:styleId="EndnoteReference">
    <w:name w:val="endnote reference"/>
    <w:basedOn w:val="DefaultParagraphFont"/>
    <w:uiPriority w:val="99"/>
    <w:unhideWhenUsed/>
    <w:rsid w:val="00E63A92"/>
    <w:rPr>
      <w:rFonts w:ascii="Calibri" w:hAnsi="Calibri"/>
      <w:sz w:val="22"/>
      <w:vertAlign w:val="superscript"/>
    </w:rPr>
  </w:style>
  <w:style w:type="character" w:customStyle="1" w:styleId="cf01">
    <w:name w:val="cf01"/>
    <w:basedOn w:val="DefaultParagraphFont"/>
    <w:rsid w:val="00436CFD"/>
    <w:rPr>
      <w:rFonts w:ascii="Segoe UI" w:hAnsi="Segoe UI" w:cs="Segoe UI" w:hint="default"/>
      <w:sz w:val="18"/>
      <w:szCs w:val="18"/>
    </w:rPr>
  </w:style>
  <w:style w:type="character" w:styleId="Mention">
    <w:name w:val="Mention"/>
    <w:basedOn w:val="DefaultParagraphFont"/>
    <w:uiPriority w:val="99"/>
    <w:unhideWhenUsed/>
    <w:rsid w:val="00503103"/>
    <w:rPr>
      <w:color w:val="2B579A"/>
      <w:shd w:val="clear" w:color="auto" w:fill="E1DFDD"/>
    </w:rPr>
  </w:style>
  <w:style w:type="character" w:styleId="FollowedHyperlink">
    <w:name w:val="FollowedHyperlink"/>
    <w:basedOn w:val="DefaultParagraphFont"/>
    <w:semiHidden/>
    <w:unhideWhenUsed/>
    <w:rsid w:val="00D93FBC"/>
    <w:rPr>
      <w:color w:val="800080" w:themeColor="followedHyperlink"/>
      <w:u w:val="single"/>
    </w:rPr>
  </w:style>
  <w:style w:type="paragraph" w:styleId="NoSpacing">
    <w:name w:val="No Spacing"/>
    <w:uiPriority w:val="1"/>
    <w:qFormat/>
    <w:rsid w:val="00161933"/>
    <w:pPr>
      <w:widowControl w:val="0"/>
      <w:autoSpaceDE w:val="0"/>
      <w:autoSpaceDN w:val="0"/>
      <w:adjustRightInd w:val="0"/>
    </w:pPr>
    <w:rPr>
      <w:szCs w:val="24"/>
    </w:rPr>
  </w:style>
  <w:style w:type="paragraph" w:styleId="FootnoteText">
    <w:name w:val="footnote text"/>
    <w:basedOn w:val="Normal"/>
    <w:link w:val="FootnoteTextChar"/>
    <w:semiHidden/>
    <w:unhideWhenUsed/>
    <w:rsid w:val="008B29FC"/>
    <w:rPr>
      <w:szCs w:val="20"/>
    </w:rPr>
  </w:style>
  <w:style w:type="character" w:customStyle="1" w:styleId="FootnoteTextChar">
    <w:name w:val="Footnote Text Char"/>
    <w:basedOn w:val="DefaultParagraphFont"/>
    <w:link w:val="FootnoteText"/>
    <w:semiHidden/>
    <w:rsid w:val="008B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doi.org/10.1016/j.childyouth.2023.107161" TargetMode="External" /><Relationship Id="rId2" Type="http://schemas.openxmlformats.org/officeDocument/2006/relationships/hyperlink" Target="https://mchb.hrsa.gov/programs-impact/programs/home-visiting/miechv-evaluation-research" TargetMode="External" /><Relationship Id="rId3" Type="http://schemas.openxmlformats.org/officeDocument/2006/relationships/hyperlink" Target="https://omb.report/icr/201907-0970-010/doc/93761901.pdf" TargetMode="External" /><Relationship Id="rId4" Type="http://schemas.openxmlformats.org/officeDocument/2006/relationships/hyperlink" Target="https://www.bls.gov/oes/current/oes21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CHY75YFUAV2K-1400183454-23780</_dlc_DocId>
    <_dlc_DocIdUrl xmlns="f12dafca-ffd2-47b9-a7dc-ea73860b958a">
      <Url>https://nih.sharepoint.com/sites/HRSA-MCHB/MCHB-Team/DHVECS/_layouts/15/DocIdRedir.aspx?ID=CHY75YFUAV2K-1400183454-23780</Url>
      <Description>CHY75YFUAV2K-1400183454-23780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4886EFBD-39CE-46FF-9902-367FC628C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7F419-395F-4395-B992-A20A5E85F7A5}">
  <ds:schemaRefs>
    <ds:schemaRef ds:uri="http://schemas.openxmlformats.org/officeDocument/2006/bibliography"/>
  </ds:schemaRefs>
</ds:datastoreItem>
</file>

<file path=customXml/itemProps4.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08c46ab1-79c2-41f2-85cd-dc2be6a31754"/>
    <ds:schemaRef ds:uri="f12dafca-ffd2-47b9-a7dc-ea73860b958a"/>
  </ds:schemaRefs>
</ds:datastoreItem>
</file>

<file path=customXml/itemProps5.xml><?xml version="1.0" encoding="utf-8"?>
<ds:datastoreItem xmlns:ds="http://schemas.openxmlformats.org/officeDocument/2006/customXml" ds:itemID="{35256BBF-062B-4CB3-A45D-70A3EAAD48FF}">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250</TotalTime>
  <Pages>12</Pages>
  <Words>4349</Words>
  <Characters>24795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Jodi.Duckhorn</dc:creator>
  <cp:lastModifiedBy>Cassidy Norton, Kerry (HRSA)</cp:lastModifiedBy>
  <cp:revision>41</cp:revision>
  <cp:lastPrinted>2010-10-14T19:41:00Z</cp:lastPrinted>
  <dcterms:created xsi:type="dcterms:W3CDTF">2024-02-09T19:49:00Z</dcterms:created>
  <dcterms:modified xsi:type="dcterms:W3CDTF">2024-05-02T22:19:00Z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0x010100FC49A7DB51F2A941A4CC3460E10B6832</vt:lpwstr>
  </property>
  <property fmtid="{D5CDD505-2E9C-101B-9397-08002B2CF9AE}" pid="4" name="MediaServiceImageTags">
    <vt:lpwstr/>
  </property>
  <property fmtid="{D5CDD505-2E9C-101B-9397-08002B2CF9AE}" pid="5" name="Order">
    <vt:r8>892700</vt:r8>
  </property>
  <property fmtid="{D5CDD505-2E9C-101B-9397-08002B2CF9AE}" pid="6" name="TaxKeyword">
    <vt:lpwstr/>
  </property>
  <property fmtid="{D5CDD505-2E9C-101B-9397-08002B2CF9AE}" pid="7" name="TriggerFlowInfo">
    <vt:lpwstr/>
  </property>
  <property fmtid="{D5CDD505-2E9C-101B-9397-08002B2CF9AE}" pid="8" name="_activity">
    <vt:lpwstr>{"FileActivityType":"8","FileActivityTimeStamp":"2024-03-18T14:53:23.267Z","FileActivityUsersOnPage":[{"DisplayName":"Kristina Rosinsky (She/Her/Hers)","Id":"krosinsky@childtrends.org"}],"FileActivityNavigationId":null}</vt:lpwstr>
  </property>
  <property fmtid="{D5CDD505-2E9C-101B-9397-08002B2CF9AE}" pid="9" name="_dlc_DocIdItemGuid">
    <vt:lpwstr>afc48bbe-f70c-49ef-9bd9-45a1bc9b2221</vt:lpwstr>
  </property>
  <property fmtid="{D5CDD505-2E9C-101B-9397-08002B2CF9AE}" pid="10" name="_ExtendedDescription">
    <vt:lpwstr/>
  </property>
</Properties>
</file>