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028" w:rsidRPr="00CB77FD" w:rsidP="00C44B68" w14:paraId="3A304B85" w14:textId="19310BE0">
      <w:pPr>
        <w:spacing w:after="0" w:line="240" w:lineRule="auto"/>
        <w:jc w:val="center"/>
        <w:rPr>
          <w:rFonts w:ascii="Times New Roman" w:hAnsi="Times New Roman"/>
          <w:sz w:val="24"/>
          <w:szCs w:val="24"/>
        </w:rPr>
      </w:pPr>
      <w:r w:rsidRPr="00CB77FD">
        <w:rPr>
          <w:rFonts w:ascii="Times New Roman" w:hAnsi="Times New Roman"/>
          <w:sz w:val="24"/>
          <w:szCs w:val="24"/>
        </w:rPr>
        <w:t>U</w:t>
      </w:r>
      <w:r w:rsidRPr="00CB77FD" w:rsidR="00C175FC">
        <w:rPr>
          <w:rFonts w:ascii="Times New Roman" w:hAnsi="Times New Roman"/>
          <w:sz w:val="24"/>
          <w:szCs w:val="24"/>
        </w:rPr>
        <w:t>nited</w:t>
      </w:r>
      <w:r w:rsidRPr="00CB77FD">
        <w:rPr>
          <w:rFonts w:ascii="Times New Roman" w:hAnsi="Times New Roman"/>
          <w:sz w:val="24"/>
          <w:szCs w:val="24"/>
        </w:rPr>
        <w:t xml:space="preserve"> S</w:t>
      </w:r>
      <w:r w:rsidRPr="00CB77FD" w:rsidR="00C175FC">
        <w:rPr>
          <w:rFonts w:ascii="Times New Roman" w:hAnsi="Times New Roman"/>
          <w:sz w:val="24"/>
          <w:szCs w:val="24"/>
        </w:rPr>
        <w:t>tates</w:t>
      </w:r>
      <w:r w:rsidRPr="00CB77FD">
        <w:rPr>
          <w:rFonts w:ascii="Times New Roman" w:hAnsi="Times New Roman"/>
          <w:sz w:val="24"/>
          <w:szCs w:val="24"/>
        </w:rPr>
        <w:t xml:space="preserve"> F</w:t>
      </w:r>
      <w:r w:rsidRPr="00CB77FD" w:rsidR="00C175FC">
        <w:rPr>
          <w:rFonts w:ascii="Times New Roman" w:hAnsi="Times New Roman"/>
          <w:sz w:val="24"/>
          <w:szCs w:val="24"/>
        </w:rPr>
        <w:t>ood</w:t>
      </w:r>
      <w:r w:rsidRPr="00CB77FD">
        <w:rPr>
          <w:rFonts w:ascii="Times New Roman" w:hAnsi="Times New Roman"/>
          <w:sz w:val="24"/>
          <w:szCs w:val="24"/>
        </w:rPr>
        <w:t xml:space="preserve"> &amp; D</w:t>
      </w:r>
      <w:r w:rsidRPr="00CB77FD" w:rsidR="00C175FC">
        <w:rPr>
          <w:rFonts w:ascii="Times New Roman" w:hAnsi="Times New Roman"/>
          <w:sz w:val="24"/>
          <w:szCs w:val="24"/>
        </w:rPr>
        <w:t>rug</w:t>
      </w:r>
      <w:r w:rsidRPr="00CB77FD">
        <w:rPr>
          <w:rFonts w:ascii="Times New Roman" w:hAnsi="Times New Roman"/>
          <w:sz w:val="24"/>
          <w:szCs w:val="24"/>
        </w:rPr>
        <w:t xml:space="preserve"> A</w:t>
      </w:r>
      <w:r w:rsidRPr="00CB77FD" w:rsidR="00C175FC">
        <w:rPr>
          <w:rFonts w:ascii="Times New Roman" w:hAnsi="Times New Roman"/>
          <w:sz w:val="24"/>
          <w:szCs w:val="24"/>
        </w:rPr>
        <w:t>dministration</w:t>
      </w:r>
    </w:p>
    <w:p w:rsidR="00427807" w:rsidRPr="00CB77FD" w:rsidP="00C44B68" w14:paraId="7AA3F57C" w14:textId="77777777">
      <w:pPr>
        <w:spacing w:after="0" w:line="240" w:lineRule="auto"/>
        <w:jc w:val="center"/>
        <w:rPr>
          <w:rFonts w:ascii="Times New Roman" w:hAnsi="Times New Roman"/>
          <w:sz w:val="24"/>
          <w:szCs w:val="24"/>
        </w:rPr>
      </w:pPr>
    </w:p>
    <w:p w:rsidR="009B0A60" w:rsidRPr="00CB77FD" w:rsidP="00C44B68" w14:paraId="1B7C65BC" w14:textId="3BEE8CA9">
      <w:pPr>
        <w:spacing w:after="0" w:line="240" w:lineRule="auto"/>
        <w:jc w:val="center"/>
        <w:rPr>
          <w:rFonts w:ascii="Times New Roman" w:hAnsi="Times New Roman"/>
          <w:sz w:val="24"/>
          <w:szCs w:val="24"/>
        </w:rPr>
      </w:pPr>
      <w:bookmarkStart w:id="0" w:name="_Hlk156462183"/>
      <w:bookmarkStart w:id="1" w:name="_Hlk156462127"/>
      <w:r>
        <w:rPr>
          <w:rFonts w:ascii="Times New Roman" w:hAnsi="Times New Roman"/>
          <w:sz w:val="24"/>
          <w:szCs w:val="24"/>
        </w:rPr>
        <w:t xml:space="preserve">Human Drug </w:t>
      </w:r>
      <w:r w:rsidRPr="00CB77FD" w:rsidR="00E43611">
        <w:rPr>
          <w:rFonts w:ascii="Times New Roman" w:hAnsi="Times New Roman"/>
          <w:sz w:val="24"/>
          <w:szCs w:val="24"/>
        </w:rPr>
        <w:t>Compounding</w:t>
      </w:r>
      <w:r w:rsidR="00C630E0">
        <w:rPr>
          <w:rFonts w:ascii="Times New Roman" w:hAnsi="Times New Roman"/>
          <w:sz w:val="24"/>
          <w:szCs w:val="24"/>
        </w:rPr>
        <w:t>, Repackaging, and Related</w:t>
      </w:r>
      <w:r w:rsidRPr="00CB77FD" w:rsidR="00E43611">
        <w:rPr>
          <w:rFonts w:ascii="Times New Roman" w:hAnsi="Times New Roman"/>
          <w:sz w:val="24"/>
          <w:szCs w:val="24"/>
        </w:rPr>
        <w:t xml:space="preserve"> Activities </w:t>
      </w:r>
    </w:p>
    <w:bookmarkEnd w:id="0"/>
    <w:p w:rsidR="00715C51" w:rsidRPr="00CB77FD" w:rsidP="00C44B68" w14:paraId="7A81EA9A" w14:textId="1418B9BA">
      <w:pPr>
        <w:spacing w:after="0" w:line="240" w:lineRule="auto"/>
        <w:jc w:val="center"/>
        <w:rPr>
          <w:rFonts w:ascii="Times New Roman" w:hAnsi="Times New Roman"/>
          <w:sz w:val="24"/>
          <w:szCs w:val="24"/>
        </w:rPr>
      </w:pPr>
      <w:r>
        <w:rPr>
          <w:rFonts w:ascii="Times New Roman" w:hAnsi="Times New Roman"/>
          <w:sz w:val="24"/>
          <w:szCs w:val="24"/>
        </w:rPr>
        <w:t xml:space="preserve">Regarding </w:t>
      </w:r>
      <w:r w:rsidRPr="00CB77FD" w:rsidR="00E43611">
        <w:rPr>
          <w:rFonts w:ascii="Times New Roman" w:hAnsi="Times New Roman"/>
          <w:sz w:val="24"/>
          <w:szCs w:val="24"/>
        </w:rPr>
        <w:t>Sections 503A and 503B of the Federal Food, Drug, and Cosmetic Act</w:t>
      </w:r>
    </w:p>
    <w:bookmarkEnd w:id="1"/>
    <w:p w:rsidR="00754FC4" w:rsidRPr="00CB77FD" w:rsidP="00C44B68" w14:paraId="43FEE0A8" w14:textId="77777777">
      <w:pPr>
        <w:spacing w:after="0" w:line="240" w:lineRule="auto"/>
        <w:rPr>
          <w:rFonts w:ascii="Times New Roman" w:hAnsi="Times New Roman"/>
          <w:sz w:val="24"/>
          <w:szCs w:val="24"/>
        </w:rPr>
      </w:pPr>
    </w:p>
    <w:p w:rsidR="00831E0B" w:rsidRPr="00C175FC" w:rsidP="00C44B68" w14:paraId="19E20C31" w14:textId="5691F22F">
      <w:pPr>
        <w:spacing w:after="0" w:line="240" w:lineRule="auto"/>
        <w:jc w:val="center"/>
        <w:rPr>
          <w:rFonts w:ascii="Times New Roman" w:hAnsi="Times New Roman"/>
          <w:sz w:val="24"/>
          <w:szCs w:val="24"/>
        </w:rPr>
      </w:pPr>
      <w:r w:rsidRPr="00C175FC">
        <w:rPr>
          <w:rFonts w:ascii="Times New Roman" w:hAnsi="Times New Roman"/>
          <w:sz w:val="24"/>
          <w:szCs w:val="24"/>
        </w:rPr>
        <w:t xml:space="preserve">OMB Control No. </w:t>
      </w:r>
      <w:r w:rsidRPr="00C175FC">
        <w:rPr>
          <w:rFonts w:ascii="Times New Roman" w:hAnsi="Times New Roman"/>
          <w:sz w:val="24"/>
          <w:szCs w:val="24"/>
        </w:rPr>
        <w:t>0910-</w:t>
      </w:r>
      <w:r w:rsidRPr="00C175FC" w:rsidR="006A716C">
        <w:rPr>
          <w:rFonts w:ascii="Times New Roman" w:hAnsi="Times New Roman"/>
          <w:sz w:val="24"/>
          <w:szCs w:val="24"/>
        </w:rPr>
        <w:t>0858</w:t>
      </w:r>
      <w:r w:rsidRPr="00C175FC" w:rsidR="00A8071A">
        <w:rPr>
          <w:rFonts w:ascii="Times New Roman" w:hAnsi="Times New Roman"/>
          <w:sz w:val="24"/>
          <w:szCs w:val="24"/>
        </w:rPr>
        <w:t xml:space="preserve"> -</w:t>
      </w:r>
      <w:r w:rsidR="00BE7DF6">
        <w:rPr>
          <w:rFonts w:ascii="Times New Roman" w:hAnsi="Times New Roman"/>
          <w:sz w:val="24"/>
          <w:szCs w:val="24"/>
        </w:rPr>
        <w:t>-</w:t>
      </w:r>
      <w:r w:rsidRPr="00C175FC" w:rsidR="00A8071A">
        <w:rPr>
          <w:rFonts w:ascii="Times New Roman" w:hAnsi="Times New Roman"/>
          <w:sz w:val="24"/>
          <w:szCs w:val="24"/>
        </w:rPr>
        <w:t xml:space="preserve"> </w:t>
      </w:r>
      <w:r w:rsidRPr="00C175FC" w:rsidR="00671F1B">
        <w:rPr>
          <w:rFonts w:ascii="Times New Roman" w:hAnsi="Times New Roman"/>
          <w:sz w:val="24"/>
          <w:szCs w:val="24"/>
        </w:rPr>
        <w:t>E</w:t>
      </w:r>
      <w:r w:rsidR="00BE7DF6">
        <w:rPr>
          <w:rFonts w:ascii="Times New Roman" w:hAnsi="Times New Roman"/>
          <w:sz w:val="24"/>
          <w:szCs w:val="24"/>
        </w:rPr>
        <w:t>XTENSION</w:t>
      </w:r>
    </w:p>
    <w:p w:rsidR="00606028" w:rsidRPr="00CB77FD" w:rsidP="00C44B68" w14:paraId="16CB22C3" w14:textId="77777777">
      <w:pPr>
        <w:spacing w:after="0" w:line="240" w:lineRule="auto"/>
        <w:jc w:val="center"/>
        <w:rPr>
          <w:rFonts w:ascii="Times New Roman" w:hAnsi="Times New Roman"/>
          <w:sz w:val="24"/>
          <w:szCs w:val="24"/>
        </w:rPr>
      </w:pPr>
    </w:p>
    <w:p w:rsidR="00C175FC" w:rsidP="00C175FC" w14:paraId="476D4097" w14:textId="37BB1583">
      <w:pPr>
        <w:spacing w:line="240" w:lineRule="auto"/>
        <w:jc w:val="center"/>
        <w:rPr>
          <w:rFonts w:ascii="Times New Roman" w:hAnsi="Times New Roman"/>
          <w:sz w:val="24"/>
          <w:szCs w:val="24"/>
        </w:rPr>
      </w:pPr>
      <w:r w:rsidRPr="00CB77FD">
        <w:rPr>
          <w:rFonts w:ascii="Times New Roman" w:hAnsi="Times New Roman"/>
          <w:sz w:val="24"/>
          <w:szCs w:val="24"/>
        </w:rPr>
        <w:t>SUPPORTING STATEMENT</w:t>
      </w:r>
    </w:p>
    <w:p w:rsidR="00831E0B" w:rsidRPr="00CB77FD" w:rsidP="00C44B68" w14:paraId="0FFA7C7C" w14:textId="73B0244B">
      <w:pPr>
        <w:spacing w:line="240" w:lineRule="auto"/>
        <w:rPr>
          <w:rFonts w:ascii="Times New Roman" w:hAnsi="Times New Roman"/>
          <w:b/>
          <w:i/>
          <w:sz w:val="24"/>
          <w:szCs w:val="24"/>
        </w:rPr>
      </w:pPr>
      <w:r w:rsidRPr="00CB77FD">
        <w:rPr>
          <w:rFonts w:ascii="Times New Roman" w:hAnsi="Times New Roman"/>
          <w:b/>
          <w:bCs/>
          <w:sz w:val="24"/>
          <w:szCs w:val="24"/>
        </w:rPr>
        <w:t xml:space="preserve">Part </w:t>
      </w:r>
      <w:r w:rsidRPr="00CB77FD" w:rsidR="00573A81">
        <w:rPr>
          <w:rFonts w:ascii="Times New Roman" w:hAnsi="Times New Roman"/>
          <w:b/>
          <w:bCs/>
          <w:sz w:val="24"/>
          <w:szCs w:val="24"/>
        </w:rPr>
        <w:t>A:  Justification</w:t>
      </w:r>
    </w:p>
    <w:p w:rsidR="00A7486D" w:rsidRPr="00CB77FD" w:rsidP="00C44B68" w14:paraId="772E1BF7" w14:textId="77777777">
      <w:pPr>
        <w:spacing w:after="0" w:line="240" w:lineRule="auto"/>
        <w:rPr>
          <w:rFonts w:ascii="Times New Roman" w:hAnsi="Times New Roman"/>
          <w:sz w:val="24"/>
          <w:szCs w:val="24"/>
        </w:rPr>
      </w:pPr>
    </w:p>
    <w:p w:rsidR="00573A81" w:rsidRPr="00CB77FD" w:rsidP="00C44B68" w14:paraId="51184E02" w14:textId="0F66D60B">
      <w:pPr>
        <w:spacing w:after="0" w:line="240" w:lineRule="auto"/>
        <w:rPr>
          <w:rFonts w:ascii="Times New Roman" w:hAnsi="Times New Roman"/>
          <w:sz w:val="24"/>
          <w:szCs w:val="24"/>
        </w:rPr>
      </w:pPr>
      <w:r w:rsidRPr="00CB77FD">
        <w:rPr>
          <w:rFonts w:ascii="Times New Roman" w:hAnsi="Times New Roman"/>
          <w:sz w:val="24"/>
          <w:szCs w:val="24"/>
        </w:rPr>
        <w:t>1.</w:t>
      </w:r>
      <w:r w:rsidRPr="00CB77FD" w:rsidR="00606028">
        <w:rPr>
          <w:rFonts w:ascii="Times New Roman" w:hAnsi="Times New Roman"/>
          <w:sz w:val="24"/>
          <w:szCs w:val="24"/>
        </w:rPr>
        <w:t xml:space="preserve">  </w:t>
      </w:r>
      <w:r w:rsidRPr="00CB77FD">
        <w:rPr>
          <w:rFonts w:ascii="Times New Roman" w:hAnsi="Times New Roman"/>
          <w:sz w:val="24"/>
          <w:szCs w:val="24"/>
          <w:u w:val="single"/>
        </w:rPr>
        <w:t>Circumstances Making the Collection of Information Necessary</w:t>
      </w:r>
    </w:p>
    <w:p w:rsidR="00606028" w:rsidRPr="00CB77FD" w:rsidP="00C44B68" w14:paraId="2317F51F" w14:textId="77777777">
      <w:pPr>
        <w:spacing w:after="0" w:line="240" w:lineRule="auto"/>
        <w:rPr>
          <w:rFonts w:ascii="Times New Roman" w:hAnsi="Times New Roman"/>
          <w:color w:val="000000"/>
          <w:sz w:val="24"/>
          <w:szCs w:val="24"/>
        </w:rPr>
      </w:pPr>
    </w:p>
    <w:p w:rsidR="008934FD" w:rsidRPr="0057347B" w:rsidP="00C44B68" w14:paraId="7FE51B90" w14:textId="0839A875">
      <w:pPr>
        <w:spacing w:after="0" w:line="240" w:lineRule="auto"/>
        <w:rPr>
          <w:rFonts w:ascii="Times New Roman" w:hAnsi="Times New Roman"/>
          <w:sz w:val="24"/>
          <w:szCs w:val="24"/>
        </w:rPr>
      </w:pPr>
      <w:r w:rsidRPr="00CB77FD">
        <w:rPr>
          <w:rFonts w:ascii="Times New Roman" w:hAnsi="Times New Roman"/>
          <w:color w:val="000000"/>
          <w:sz w:val="24"/>
          <w:szCs w:val="24"/>
        </w:rPr>
        <w:t xml:space="preserve">This information collection </w:t>
      </w:r>
      <w:r w:rsidR="00EB1200">
        <w:rPr>
          <w:rFonts w:ascii="Times New Roman" w:hAnsi="Times New Roman"/>
          <w:color w:val="000000"/>
          <w:sz w:val="24"/>
          <w:szCs w:val="24"/>
        </w:rPr>
        <w:t xml:space="preserve">helps </w:t>
      </w:r>
      <w:r w:rsidRPr="00CB77FD">
        <w:rPr>
          <w:rFonts w:ascii="Times New Roman" w:hAnsi="Times New Roman"/>
          <w:color w:val="000000"/>
          <w:sz w:val="24"/>
          <w:szCs w:val="24"/>
        </w:rPr>
        <w:t>support</w:t>
      </w:r>
      <w:r w:rsidRPr="00CB77FD" w:rsidR="003B0F55">
        <w:rPr>
          <w:rFonts w:ascii="Times New Roman" w:hAnsi="Times New Roman"/>
          <w:color w:val="000000"/>
          <w:sz w:val="24"/>
          <w:szCs w:val="24"/>
        </w:rPr>
        <w:t xml:space="preserve"> </w:t>
      </w:r>
      <w:r w:rsidRPr="00CB77FD">
        <w:rPr>
          <w:rFonts w:ascii="Times New Roman" w:hAnsi="Times New Roman"/>
          <w:color w:val="000000"/>
          <w:sz w:val="24"/>
          <w:szCs w:val="24"/>
        </w:rPr>
        <w:t>implementation of sections 503A and 503B of the Federal Food, Drug, and Cosmetic Act (FD&amp;C Act) (21 U.S.C. 353a and 21 U.S.C. 353b), which govern compounding by pharmacies, outsourcing facilities, and other entities.  Compounding is generally a practice in which a licensed pharmacist, a licensed physician, or, in the case of an outsourcing facility, a person under the supervision of a licensed pharmacist, combines, mixes, or alters ingredients of a drug to create a medication tailored to the needs of an individual patient.</w:t>
      </w:r>
      <w:r w:rsidR="00B055D0">
        <w:rPr>
          <w:rFonts w:ascii="Times New Roman" w:hAnsi="Times New Roman"/>
          <w:color w:val="000000"/>
          <w:sz w:val="24"/>
          <w:szCs w:val="24"/>
        </w:rPr>
        <w:t xml:space="preserve">  </w:t>
      </w:r>
      <w:r w:rsidRPr="00CB77FD">
        <w:rPr>
          <w:rFonts w:ascii="Times New Roman" w:hAnsi="Times New Roman"/>
          <w:color w:val="000000"/>
          <w:sz w:val="24"/>
          <w:szCs w:val="24"/>
        </w:rPr>
        <w:t xml:space="preserve">Although compounded drugs can serve an important medical need for certain patients, they also present risks to patients.  </w:t>
      </w:r>
      <w:r w:rsidRPr="00CB77FD" w:rsidR="003B0F55">
        <w:rPr>
          <w:rFonts w:ascii="Times New Roman" w:hAnsi="Times New Roman"/>
          <w:color w:val="000000"/>
          <w:sz w:val="24"/>
          <w:szCs w:val="24"/>
        </w:rPr>
        <w:t>The Food and Drug Administration’s (FDA</w:t>
      </w:r>
      <w:r w:rsidR="00346B85">
        <w:rPr>
          <w:rFonts w:ascii="Times New Roman" w:hAnsi="Times New Roman"/>
          <w:color w:val="000000"/>
          <w:sz w:val="24"/>
          <w:szCs w:val="24"/>
        </w:rPr>
        <w:t xml:space="preserve"> or</w:t>
      </w:r>
      <w:r w:rsidRPr="00CB77FD" w:rsidR="003B0F55">
        <w:rPr>
          <w:rFonts w:ascii="Times New Roman" w:hAnsi="Times New Roman"/>
          <w:color w:val="000000"/>
          <w:sz w:val="24"/>
          <w:szCs w:val="24"/>
        </w:rPr>
        <w:t xml:space="preserve"> the </w:t>
      </w:r>
      <w:r w:rsidR="00346B85">
        <w:rPr>
          <w:rFonts w:ascii="Times New Roman" w:hAnsi="Times New Roman"/>
          <w:color w:val="000000"/>
          <w:sz w:val="24"/>
          <w:szCs w:val="24"/>
        </w:rPr>
        <w:t>A</w:t>
      </w:r>
      <w:r w:rsidRPr="00CB77FD" w:rsidR="003B0F55">
        <w:rPr>
          <w:rFonts w:ascii="Times New Roman" w:hAnsi="Times New Roman"/>
          <w:color w:val="000000"/>
          <w:sz w:val="24"/>
          <w:szCs w:val="24"/>
        </w:rPr>
        <w:t xml:space="preserve">gency) </w:t>
      </w:r>
      <w:r w:rsidRPr="00CB77FD">
        <w:rPr>
          <w:rFonts w:ascii="Times New Roman" w:hAnsi="Times New Roman"/>
          <w:color w:val="000000"/>
          <w:sz w:val="24"/>
          <w:szCs w:val="24"/>
        </w:rPr>
        <w:t>compounding program aims to protect patients from unsafe, ineffective</w:t>
      </w:r>
      <w:r w:rsidRPr="00CB77FD" w:rsidR="00EA7C8D">
        <w:rPr>
          <w:rFonts w:ascii="Times New Roman" w:hAnsi="Times New Roman"/>
          <w:color w:val="000000"/>
          <w:sz w:val="24"/>
          <w:szCs w:val="24"/>
        </w:rPr>
        <w:t>,</w:t>
      </w:r>
      <w:r w:rsidRPr="00CB77FD">
        <w:rPr>
          <w:rFonts w:ascii="Times New Roman" w:hAnsi="Times New Roman"/>
          <w:color w:val="000000"/>
          <w:sz w:val="24"/>
          <w:szCs w:val="24"/>
        </w:rPr>
        <w:t xml:space="preserve"> and </w:t>
      </w:r>
      <w:r w:rsidRPr="00CB77FD" w:rsidR="005B51FD">
        <w:rPr>
          <w:rFonts w:ascii="Times New Roman" w:hAnsi="Times New Roman"/>
          <w:color w:val="000000"/>
          <w:sz w:val="24"/>
          <w:szCs w:val="24"/>
        </w:rPr>
        <w:t>poor-quality</w:t>
      </w:r>
      <w:r w:rsidRPr="00CB77FD">
        <w:rPr>
          <w:rFonts w:ascii="Times New Roman" w:hAnsi="Times New Roman"/>
          <w:color w:val="000000"/>
          <w:sz w:val="24"/>
          <w:szCs w:val="24"/>
        </w:rPr>
        <w:t xml:space="preserve"> compounded drugs while preserving access to </w:t>
      </w:r>
      <w:r w:rsidRPr="00CB77FD" w:rsidR="00A8071A">
        <w:rPr>
          <w:rFonts w:ascii="Times New Roman" w:hAnsi="Times New Roman"/>
          <w:color w:val="000000"/>
          <w:sz w:val="24"/>
          <w:szCs w:val="24"/>
        </w:rPr>
        <w:t>lawfully marketed</w:t>
      </w:r>
      <w:r w:rsidRPr="00CB77FD">
        <w:rPr>
          <w:rFonts w:ascii="Times New Roman" w:hAnsi="Times New Roman"/>
          <w:color w:val="000000"/>
          <w:sz w:val="24"/>
          <w:szCs w:val="24"/>
        </w:rPr>
        <w:t xml:space="preserve"> compounded drugs for patients who have a medical need for them.</w:t>
      </w:r>
      <w:r w:rsidR="00D01CD2">
        <w:t xml:space="preserve">  </w:t>
      </w:r>
      <w:r w:rsidRPr="00CB77FD" w:rsidR="00CD63FD">
        <w:rPr>
          <w:rFonts w:ascii="Times New Roman" w:hAnsi="Times New Roman"/>
          <w:color w:val="000000"/>
          <w:sz w:val="24"/>
          <w:szCs w:val="24"/>
        </w:rPr>
        <w:t xml:space="preserve">The information collection also supports FDA policies that provide conditions for the continuation of certain drug production activities by pharmacy compounders and outsourcing facilities that are not provided for under sections 503A or 503B of the FD&amp;C Act.  </w:t>
      </w:r>
      <w:r w:rsidRPr="00224AE9" w:rsidR="0087211C">
        <w:rPr>
          <w:rFonts w:ascii="Times New Roman" w:hAnsi="Times New Roman"/>
          <w:color w:val="000000"/>
          <w:sz w:val="24"/>
          <w:szCs w:val="24"/>
        </w:rPr>
        <w:t xml:space="preserve">  </w:t>
      </w:r>
    </w:p>
    <w:p w:rsidR="008934FD" w:rsidRPr="0057347B" w:rsidP="00C44B68" w14:paraId="4E3FE7B3" w14:textId="77777777">
      <w:pPr>
        <w:spacing w:after="0" w:line="240" w:lineRule="auto"/>
        <w:rPr>
          <w:rFonts w:ascii="Times New Roman" w:hAnsi="Times New Roman"/>
          <w:sz w:val="24"/>
          <w:szCs w:val="24"/>
        </w:rPr>
      </w:pPr>
    </w:p>
    <w:p w:rsidR="000C0F64" w14:paraId="1F042A42" w14:textId="11673E3B">
      <w:pPr>
        <w:spacing w:after="0" w:line="240" w:lineRule="auto"/>
        <w:rPr>
          <w:rFonts w:ascii="Times New Roman" w:eastAsia="Times New Roman" w:hAnsi="Times New Roman"/>
          <w:sz w:val="24"/>
          <w:szCs w:val="24"/>
        </w:rPr>
      </w:pPr>
      <w:r w:rsidRPr="00224AE9">
        <w:rPr>
          <w:rFonts w:ascii="Times New Roman" w:hAnsi="Times New Roman"/>
          <w:color w:val="000000"/>
          <w:sz w:val="24"/>
          <w:szCs w:val="24"/>
        </w:rPr>
        <w:t>To assist respondents in complying with statutory requirements, we have issued topic-specific guidance documents</w:t>
      </w:r>
      <w:r w:rsidR="008A7063">
        <w:rPr>
          <w:rFonts w:ascii="Times New Roman" w:eastAsia="Times New Roman" w:hAnsi="Times New Roman"/>
          <w:sz w:val="24"/>
          <w:szCs w:val="24"/>
        </w:rPr>
        <w:t>:</w:t>
      </w:r>
    </w:p>
    <w:p w:rsidR="00A14C3D" w:rsidRPr="00DB0124" w:rsidP="001F0A43" w14:paraId="60F7906E" w14:textId="77777777">
      <w:pPr>
        <w:spacing w:after="0" w:line="240" w:lineRule="auto"/>
        <w:rPr>
          <w:rFonts w:ascii="Times New Roman" w:eastAsia="Times New Roman" w:hAnsi="Times New Roman"/>
          <w:sz w:val="24"/>
          <w:szCs w:val="24"/>
        </w:rPr>
      </w:pPr>
    </w:p>
    <w:p w:rsidR="008560A3" w:rsidRPr="00CB77FD" w:rsidP="00A14C3D" w14:paraId="1238BB94" w14:textId="605E8402">
      <w:pPr>
        <w:spacing w:after="0" w:line="240" w:lineRule="auto"/>
        <w:contextualSpacing/>
        <w:jc w:val="center"/>
        <w:rPr>
          <w:rFonts w:ascii="Times New Roman" w:eastAsia="Times New Roman" w:hAnsi="Times New Roman"/>
          <w:sz w:val="20"/>
          <w:szCs w:val="20"/>
        </w:rPr>
      </w:pPr>
      <w:r w:rsidRPr="00A14C3D">
        <w:rPr>
          <w:rFonts w:ascii="Times New Roman" w:eastAsia="Times New Roman" w:hAnsi="Times New Roman"/>
        </w:rPr>
        <w:t xml:space="preserve">Table 1.--Published Guidance Documents Regarding Sections 503A and 503B of the FD&amp;C Act </w:t>
      </w:r>
    </w:p>
    <w:tbl>
      <w:tblPr>
        <w:tblStyle w:val="TableGrid1"/>
        <w:tblW w:w="8820" w:type="dxa"/>
        <w:tblInd w:w="85" w:type="dxa"/>
        <w:tblLook w:val="04A0"/>
      </w:tblPr>
      <w:tblGrid>
        <w:gridCol w:w="6750"/>
        <w:gridCol w:w="2070"/>
      </w:tblGrid>
      <w:tr w14:paraId="194BE2AB" w14:textId="77777777" w:rsidTr="00C44B68">
        <w:tblPrEx>
          <w:tblW w:w="8820" w:type="dxa"/>
          <w:tblInd w:w="85" w:type="dxa"/>
          <w:tblLook w:val="04A0"/>
        </w:tblPrEx>
        <w:tc>
          <w:tcPr>
            <w:tcW w:w="6750" w:type="dxa"/>
            <w:shd w:val="clear" w:color="auto" w:fill="D9D9D9" w:themeFill="background1" w:themeFillShade="D9"/>
          </w:tcPr>
          <w:p w:rsidR="008560A3" w:rsidRPr="00CB77FD" w:rsidP="00C44B68" w14:paraId="2580D4F7" w14:textId="77777777">
            <w:pPr>
              <w:spacing w:after="0" w:line="240" w:lineRule="auto"/>
              <w:contextualSpacing/>
              <w:jc w:val="center"/>
              <w:rPr>
                <w:sz w:val="20"/>
                <w:szCs w:val="20"/>
              </w:rPr>
            </w:pPr>
            <w:r w:rsidRPr="00CB77FD">
              <w:rPr>
                <w:sz w:val="20"/>
                <w:szCs w:val="20"/>
              </w:rPr>
              <w:t>Title</w:t>
            </w:r>
          </w:p>
        </w:tc>
        <w:tc>
          <w:tcPr>
            <w:tcW w:w="2070" w:type="dxa"/>
            <w:shd w:val="clear" w:color="auto" w:fill="D9D9D9" w:themeFill="background1" w:themeFillShade="D9"/>
          </w:tcPr>
          <w:p w:rsidR="004818EC" w:rsidRPr="00CB77FD" w:rsidP="00C44B68" w14:paraId="00668916" w14:textId="77777777">
            <w:pPr>
              <w:spacing w:after="0" w:line="240" w:lineRule="auto"/>
              <w:contextualSpacing/>
              <w:jc w:val="center"/>
              <w:rPr>
                <w:sz w:val="20"/>
                <w:szCs w:val="20"/>
              </w:rPr>
            </w:pPr>
            <w:r w:rsidRPr="00CB77FD">
              <w:rPr>
                <w:sz w:val="20"/>
                <w:szCs w:val="20"/>
              </w:rPr>
              <w:t>Notice of Availability</w:t>
            </w:r>
            <w:r w:rsidRPr="00CB77FD">
              <w:rPr>
                <w:sz w:val="20"/>
                <w:szCs w:val="20"/>
              </w:rPr>
              <w:t xml:space="preserve">; </w:t>
            </w:r>
          </w:p>
          <w:p w:rsidR="008560A3" w:rsidRPr="00CB77FD" w:rsidP="00C44B68" w14:paraId="5A76C40C" w14:textId="2841D3C9">
            <w:pPr>
              <w:spacing w:after="0" w:line="240" w:lineRule="auto"/>
              <w:contextualSpacing/>
              <w:jc w:val="center"/>
              <w:rPr>
                <w:sz w:val="20"/>
                <w:szCs w:val="20"/>
              </w:rPr>
            </w:pPr>
            <w:r w:rsidRPr="00CB77FD">
              <w:rPr>
                <w:sz w:val="20"/>
                <w:szCs w:val="20"/>
              </w:rPr>
              <w:t>Publication Date</w:t>
            </w:r>
          </w:p>
        </w:tc>
      </w:tr>
      <w:tr w14:paraId="47D8BD82" w14:textId="77777777" w:rsidTr="00C44B68">
        <w:tblPrEx>
          <w:tblW w:w="8820" w:type="dxa"/>
          <w:tblInd w:w="85" w:type="dxa"/>
          <w:tblLook w:val="04A0"/>
        </w:tblPrEx>
        <w:tc>
          <w:tcPr>
            <w:tcW w:w="6750" w:type="dxa"/>
          </w:tcPr>
          <w:p w:rsidR="008560A3" w:rsidRPr="00CB77FD" w:rsidP="004B277E" w14:paraId="0F437997" w14:textId="13A10A2A">
            <w:pPr>
              <w:spacing w:after="0" w:line="240" w:lineRule="auto"/>
              <w:contextualSpacing/>
            </w:pPr>
            <w:bookmarkStart w:id="2" w:name="_Hlk48730772"/>
            <w:r w:rsidRPr="00CB77FD">
              <w:t>Compounding and Repackaging of Radiopharmaceuticals by State-Licensed Nuclear Pharmacies, Federal Facilities, and Certain Other Entities</w:t>
            </w:r>
            <w:bookmarkEnd w:id="2"/>
            <w:r w:rsidRPr="00CB77FD">
              <w:t xml:space="preserve"> (</w:t>
            </w:r>
            <w:r w:rsidRPr="0057347B">
              <w:t>Radiopharmaceutical Compounding and Repackaging Guidance</w:t>
            </w:r>
            <w:r w:rsidRPr="00CB77FD">
              <w:t>)</w:t>
            </w:r>
            <w:r w:rsidR="004B277E">
              <w:t xml:space="preserve"> </w:t>
            </w:r>
            <w:r w:rsidRPr="004B277E" w:rsidR="004B277E">
              <w:t>(available at</w:t>
            </w:r>
            <w:r w:rsidR="00477B5E">
              <w:t xml:space="preserve"> </w:t>
            </w:r>
            <w:hyperlink r:id="rId9" w:history="1">
              <w:r w:rsidRPr="009A3FCB" w:rsidR="00F10199">
                <w:rPr>
                  <w:rStyle w:val="Hyperlink"/>
                </w:rPr>
                <w:t>https://www.fda.gov/media/102615/download</w:t>
              </w:r>
            </w:hyperlink>
            <w:r w:rsidRPr="004B277E" w:rsidR="004B277E">
              <w:t>)</w:t>
            </w:r>
          </w:p>
        </w:tc>
        <w:tc>
          <w:tcPr>
            <w:tcW w:w="2070" w:type="dxa"/>
          </w:tcPr>
          <w:p w:rsidR="004818EC" w:rsidRPr="00CB77FD" w:rsidP="00C44B68" w14:paraId="397EF584" w14:textId="77777777">
            <w:pPr>
              <w:spacing w:after="0" w:line="240" w:lineRule="auto"/>
              <w:contextualSpacing/>
            </w:pPr>
            <w:r w:rsidRPr="00CB77FD">
              <w:t xml:space="preserve">September 26, 2018 </w:t>
            </w:r>
          </w:p>
          <w:p w:rsidR="008560A3" w:rsidRPr="00CB77FD" w:rsidP="00C44B68" w14:paraId="2A9C4390" w14:textId="5C9E21AE">
            <w:pPr>
              <w:spacing w:after="0" w:line="240" w:lineRule="auto"/>
              <w:contextualSpacing/>
            </w:pPr>
            <w:r w:rsidRPr="00CB77FD">
              <w:t>(83 FR 48633)</w:t>
            </w:r>
          </w:p>
        </w:tc>
      </w:tr>
      <w:tr w14:paraId="1A2C98AF" w14:textId="77777777" w:rsidTr="00C44B68">
        <w:tblPrEx>
          <w:tblW w:w="8820" w:type="dxa"/>
          <w:tblInd w:w="85" w:type="dxa"/>
          <w:tblLook w:val="04A0"/>
        </w:tblPrEx>
        <w:tc>
          <w:tcPr>
            <w:tcW w:w="6750" w:type="dxa"/>
          </w:tcPr>
          <w:p w:rsidR="002314FB" w:rsidRPr="002314FB" w:rsidP="002314FB" w14:paraId="785BE36E" w14:textId="77777777">
            <w:pPr>
              <w:spacing w:after="0" w:line="240" w:lineRule="auto"/>
              <w:contextualSpacing/>
            </w:pPr>
            <w:bookmarkStart w:id="3" w:name="_Hlk48730815"/>
            <w:r w:rsidRPr="002314FB">
              <w:t>Compounding and Repackaging of Radiopharmaceuticals by Outsourcing Facilities</w:t>
            </w:r>
            <w:bookmarkEnd w:id="3"/>
            <w:r w:rsidRPr="002314FB">
              <w:t xml:space="preserve"> (Radiopharmaceutical </w:t>
            </w:r>
            <w:r w:rsidRPr="002314FB" w:rsidR="006613CA">
              <w:t xml:space="preserve">Compounding and Repackaging by </w:t>
            </w:r>
            <w:r w:rsidRPr="002314FB">
              <w:t xml:space="preserve">Outsourcing </w:t>
            </w:r>
            <w:r w:rsidRPr="002314FB" w:rsidR="002D1656">
              <w:t>Facilit</w:t>
            </w:r>
            <w:r w:rsidRPr="002314FB" w:rsidR="00731F53">
              <w:t>ies</w:t>
            </w:r>
            <w:r w:rsidRPr="002314FB" w:rsidR="002D1656">
              <w:t xml:space="preserve"> </w:t>
            </w:r>
            <w:r w:rsidRPr="002314FB">
              <w:t>Guidance)</w:t>
            </w:r>
            <w:r w:rsidRPr="002314FB">
              <w:t xml:space="preserve"> (available at </w:t>
            </w:r>
          </w:p>
          <w:p w:rsidR="008560A3" w:rsidRPr="00CB77FD" w:rsidP="002314FB" w14:paraId="60EB0808" w14:textId="240FBB56">
            <w:pPr>
              <w:spacing w:after="0" w:line="240" w:lineRule="auto"/>
              <w:contextualSpacing/>
            </w:pPr>
            <w:hyperlink r:id="rId10" w:history="1">
              <w:r w:rsidRPr="009A3FCB" w:rsidR="00E74E1A">
                <w:rPr>
                  <w:rStyle w:val="Hyperlink"/>
                </w:rPr>
                <w:t>https://www.fda.gov/media/102637/download</w:t>
              </w:r>
            </w:hyperlink>
            <w:r w:rsidRPr="002314FB" w:rsidR="002314FB">
              <w:t>)</w:t>
            </w:r>
          </w:p>
        </w:tc>
        <w:tc>
          <w:tcPr>
            <w:tcW w:w="2070" w:type="dxa"/>
          </w:tcPr>
          <w:p w:rsidR="004818EC" w:rsidRPr="00CB77FD" w:rsidP="00C44B68" w14:paraId="77C5FF90" w14:textId="77777777">
            <w:pPr>
              <w:spacing w:after="0" w:line="240" w:lineRule="auto"/>
              <w:contextualSpacing/>
            </w:pPr>
            <w:r w:rsidRPr="00CB77FD">
              <w:t xml:space="preserve">September 26, 2018 </w:t>
            </w:r>
          </w:p>
          <w:p w:rsidR="008560A3" w:rsidRPr="00CB77FD" w:rsidP="00C44B68" w14:paraId="339FF2A6" w14:textId="569D9E12">
            <w:pPr>
              <w:spacing w:after="0" w:line="240" w:lineRule="auto"/>
              <w:contextualSpacing/>
            </w:pPr>
            <w:r w:rsidRPr="00CB77FD">
              <w:t>(83 FR 48630)</w:t>
            </w:r>
          </w:p>
        </w:tc>
      </w:tr>
      <w:tr w14:paraId="472C694D" w14:textId="77777777" w:rsidTr="00C44B68">
        <w:tblPrEx>
          <w:tblW w:w="8820" w:type="dxa"/>
          <w:tblInd w:w="85" w:type="dxa"/>
          <w:tblLook w:val="04A0"/>
        </w:tblPrEx>
        <w:tc>
          <w:tcPr>
            <w:tcW w:w="6750" w:type="dxa"/>
          </w:tcPr>
          <w:p w:rsidR="00A45D08" w:rsidRPr="00A45D08" w:rsidP="00A45D08" w14:paraId="513B20A6" w14:textId="0A929010">
            <w:pPr>
              <w:spacing w:after="0" w:line="240" w:lineRule="auto"/>
              <w:contextualSpacing/>
            </w:pPr>
            <w:bookmarkStart w:id="4" w:name="_Hlk48730829"/>
            <w:r w:rsidRPr="00A45D08">
              <w:t>Repackaging of Certain Human Drug Products by</w:t>
            </w:r>
            <w:r w:rsidR="0016722E">
              <w:t xml:space="preserve"> </w:t>
            </w:r>
            <w:r w:rsidRPr="00A45D08">
              <w:t>Pharmacies and Outsourcing Facilities</w:t>
            </w:r>
            <w:bookmarkEnd w:id="4"/>
            <w:r w:rsidRPr="00A45D08">
              <w:t xml:space="preserve"> (</w:t>
            </w:r>
            <w:bookmarkStart w:id="5" w:name="_Hlk75867681"/>
            <w:r w:rsidRPr="00A45D08">
              <w:t>Repackaging Guidance</w:t>
            </w:r>
            <w:bookmarkEnd w:id="5"/>
            <w:r w:rsidRPr="00A45D08">
              <w:t>)</w:t>
            </w:r>
            <w:r w:rsidRPr="00A45D08">
              <w:t xml:space="preserve"> (available at </w:t>
            </w:r>
            <w:hyperlink r:id="rId11" w:history="1">
              <w:r w:rsidRPr="009A3FCB" w:rsidR="00EB617F">
                <w:rPr>
                  <w:rStyle w:val="Hyperlink"/>
                </w:rPr>
                <w:t>https://www.fda.gov/media/90978/download</w:t>
              </w:r>
            </w:hyperlink>
            <w:r w:rsidRPr="00A45D08" w:rsidR="0016722E">
              <w:t>)</w:t>
            </w:r>
          </w:p>
          <w:p w:rsidR="008560A3" w:rsidRPr="00A45D08" w:rsidP="00A45D08" w14:paraId="3BEA24E7" w14:textId="6959CD17">
            <w:pPr>
              <w:spacing w:after="0" w:line="240" w:lineRule="auto"/>
              <w:contextualSpacing/>
            </w:pPr>
          </w:p>
        </w:tc>
        <w:tc>
          <w:tcPr>
            <w:tcW w:w="2070" w:type="dxa"/>
          </w:tcPr>
          <w:p w:rsidR="004818EC" w:rsidRPr="00CB77FD" w:rsidP="00C44B68" w14:paraId="0FF944F2" w14:textId="77777777">
            <w:pPr>
              <w:spacing w:after="0" w:line="240" w:lineRule="auto"/>
              <w:contextualSpacing/>
            </w:pPr>
            <w:r w:rsidRPr="00CB77FD">
              <w:t xml:space="preserve">January 13, 2017 </w:t>
            </w:r>
          </w:p>
          <w:p w:rsidR="008560A3" w:rsidRPr="00CB77FD" w:rsidP="00C44B68" w14:paraId="209675A8" w14:textId="01EA2E27">
            <w:pPr>
              <w:spacing w:after="0" w:line="240" w:lineRule="auto"/>
              <w:contextualSpacing/>
            </w:pPr>
            <w:r w:rsidRPr="00CB77FD">
              <w:t>(82 FR 4343)</w:t>
            </w:r>
          </w:p>
        </w:tc>
      </w:tr>
      <w:tr w14:paraId="335F483A" w14:textId="77777777" w:rsidTr="00C44B68">
        <w:tblPrEx>
          <w:tblW w:w="8820" w:type="dxa"/>
          <w:tblInd w:w="85" w:type="dxa"/>
          <w:tblLook w:val="04A0"/>
        </w:tblPrEx>
        <w:tc>
          <w:tcPr>
            <w:tcW w:w="6750" w:type="dxa"/>
          </w:tcPr>
          <w:p w:rsidR="008560A3" w:rsidRPr="00CB77FD" w:rsidP="00D9752E" w14:paraId="0DD07C74" w14:textId="39AC24E3">
            <w:pPr>
              <w:spacing w:after="0" w:line="240" w:lineRule="auto"/>
              <w:contextualSpacing/>
            </w:pPr>
            <w:bookmarkStart w:id="6" w:name="_Hlk48730840"/>
            <w:r w:rsidRPr="00D9752E">
              <w:t>Mixing, Diluting, or Repackaging Biological Products Outside the Scope of an Approved Biologics License Application</w:t>
            </w:r>
            <w:bookmarkEnd w:id="6"/>
            <w:r w:rsidRPr="00D9752E">
              <w:t xml:space="preserve"> (Biologic</w:t>
            </w:r>
            <w:r w:rsidRPr="00D9752E" w:rsidR="000E5D19">
              <w:t>al Product</w:t>
            </w:r>
            <w:r w:rsidRPr="00D9752E">
              <w:t>s Guidance)</w:t>
            </w:r>
            <w:r w:rsidRPr="00D9752E" w:rsidR="00D9752E">
              <w:t xml:space="preserve"> (available at</w:t>
            </w:r>
            <w:r w:rsidR="008B115C">
              <w:t xml:space="preserve"> </w:t>
            </w:r>
            <w:hyperlink r:id="rId12" w:history="1">
              <w:r w:rsidRPr="009A3FCB" w:rsidR="0098676D">
                <w:rPr>
                  <w:rStyle w:val="Hyperlink"/>
                </w:rPr>
                <w:t>https://www.fda.gov/media/90986/download</w:t>
              </w:r>
            </w:hyperlink>
            <w:r w:rsidRPr="00D9752E" w:rsidR="00D9752E">
              <w:t>)</w:t>
            </w:r>
          </w:p>
        </w:tc>
        <w:tc>
          <w:tcPr>
            <w:tcW w:w="2070" w:type="dxa"/>
          </w:tcPr>
          <w:p w:rsidR="004818EC" w:rsidRPr="00CB77FD" w:rsidP="00C44B68" w14:paraId="0D35329F" w14:textId="77777777">
            <w:pPr>
              <w:spacing w:after="0" w:line="240" w:lineRule="auto"/>
              <w:contextualSpacing/>
            </w:pPr>
            <w:r w:rsidRPr="00CB77FD">
              <w:t xml:space="preserve">January 19, 2018 </w:t>
            </w:r>
          </w:p>
          <w:p w:rsidR="008560A3" w:rsidRPr="00CB77FD" w:rsidP="00C44B68" w14:paraId="12431A94" w14:textId="68D6A2EC">
            <w:pPr>
              <w:spacing w:after="0" w:line="240" w:lineRule="auto"/>
              <w:contextualSpacing/>
            </w:pPr>
            <w:r w:rsidRPr="00CB77FD">
              <w:t>(83 FR 2787)</w:t>
            </w:r>
          </w:p>
        </w:tc>
      </w:tr>
    </w:tbl>
    <w:p w:rsidR="00C95456" w:rsidP="00C44B68" w14:paraId="466D83BE" w14:textId="77777777">
      <w:pPr>
        <w:spacing w:after="0" w:line="240" w:lineRule="auto"/>
        <w:rPr>
          <w:rFonts w:ascii="Times New Roman" w:hAnsi="Times New Roman"/>
          <w:color w:val="000000"/>
          <w:sz w:val="24"/>
          <w:szCs w:val="24"/>
        </w:rPr>
      </w:pPr>
    </w:p>
    <w:p w:rsidR="007A0E0C" w:rsidP="00C44B68" w14:paraId="1E5039F8" w14:textId="4DD665A9">
      <w:pPr>
        <w:spacing w:after="0" w:line="240" w:lineRule="auto"/>
        <w:rPr>
          <w:rFonts w:ascii="Times New Roman" w:hAnsi="Times New Roman"/>
          <w:color w:val="000000"/>
          <w:sz w:val="24"/>
          <w:szCs w:val="24"/>
        </w:rPr>
      </w:pPr>
      <w:r w:rsidRPr="007A0E0C">
        <w:rPr>
          <w:rFonts w:ascii="Times New Roman" w:hAnsi="Times New Roman"/>
          <w:color w:val="000000"/>
          <w:sz w:val="24"/>
          <w:szCs w:val="24"/>
        </w:rPr>
        <w:t xml:space="preserve">These guidance documents were issued consistent with FDA’s good guidance practice regulations in 21 CFR 10.115, which provide for public comment at any time.  The guidance documents communicate FDA’s current thinking on the respective topics and include information collection that may result in expenditures of time and effort by respondents.  In FDA’s notices of availability for the guidance documents, we also solicited public comment under the PRA on the information collection provisions.  FDA has developed and maintains a searchable guidance database available at </w:t>
      </w:r>
      <w:hyperlink r:id="rId13" w:history="1">
        <w:r w:rsidRPr="007F2AC1" w:rsidR="00A33614">
          <w:rPr>
            <w:rStyle w:val="Hyperlink"/>
            <w:rFonts w:ascii="Times New Roman" w:hAnsi="Times New Roman"/>
            <w:sz w:val="24"/>
            <w:szCs w:val="24"/>
          </w:rPr>
          <w:t>https://www.fda.gov/regulatory-information/search-fda-guidance-documents</w:t>
        </w:r>
      </w:hyperlink>
      <w:r w:rsidRPr="007A0E0C">
        <w:rPr>
          <w:rFonts w:ascii="Times New Roman" w:hAnsi="Times New Roman"/>
          <w:color w:val="000000"/>
          <w:sz w:val="24"/>
          <w:szCs w:val="24"/>
        </w:rPr>
        <w:t xml:space="preserve">.  Guidance documents covered by this information collection may be found by choosing “Center for Drug Evaluation and Research” from among the FDA Organizations, and by selecting the term “Compounding” from among the possible </w:t>
      </w:r>
      <w:r w:rsidR="00A33614">
        <w:rPr>
          <w:rFonts w:ascii="Times New Roman" w:hAnsi="Times New Roman"/>
          <w:color w:val="000000"/>
          <w:sz w:val="24"/>
          <w:szCs w:val="24"/>
        </w:rPr>
        <w:t>f</w:t>
      </w:r>
      <w:r w:rsidRPr="007A0E0C">
        <w:rPr>
          <w:rFonts w:ascii="Times New Roman" w:hAnsi="Times New Roman"/>
          <w:color w:val="000000"/>
          <w:sz w:val="24"/>
          <w:szCs w:val="24"/>
        </w:rPr>
        <w:t>ilters.</w:t>
      </w:r>
      <w:r>
        <w:rPr>
          <w:rFonts w:ascii="Times New Roman" w:eastAsia="Times New Roman" w:hAnsi="Times New Roman"/>
          <w:sz w:val="24"/>
          <w:szCs w:val="24"/>
          <w:vertAlign w:val="superscript"/>
        </w:rPr>
        <w:footnoteReference w:id="3"/>
      </w:r>
      <w:r w:rsidRPr="007A0E0C">
        <w:rPr>
          <w:rFonts w:ascii="Times New Roman" w:eastAsia="Times New Roman" w:hAnsi="Times New Roman"/>
          <w:sz w:val="24"/>
          <w:szCs w:val="24"/>
        </w:rPr>
        <w:t xml:space="preserve"> </w:t>
      </w:r>
      <w:r w:rsidRPr="007A0E0C">
        <w:rPr>
          <w:rFonts w:ascii="Times New Roman" w:hAnsi="Times New Roman"/>
          <w:color w:val="000000"/>
          <w:sz w:val="24"/>
          <w:szCs w:val="24"/>
        </w:rPr>
        <w:t xml:space="preserve">  </w:t>
      </w:r>
    </w:p>
    <w:p w:rsidR="007A0E0C" w:rsidP="00C44B68" w14:paraId="27260473" w14:textId="75278D11">
      <w:pPr>
        <w:spacing w:after="0" w:line="240" w:lineRule="auto"/>
        <w:rPr>
          <w:rFonts w:ascii="Times New Roman" w:hAnsi="Times New Roman"/>
          <w:color w:val="000000"/>
          <w:sz w:val="24"/>
          <w:szCs w:val="24"/>
        </w:rPr>
      </w:pPr>
    </w:p>
    <w:p w:rsidR="00C95456" w:rsidP="00C44B68" w14:paraId="0003BE75" w14:textId="7CAA2A4F">
      <w:pPr>
        <w:spacing w:after="0" w:line="240" w:lineRule="auto"/>
        <w:rPr>
          <w:rFonts w:ascii="Times New Roman" w:hAnsi="Times New Roman"/>
          <w:color w:val="000000"/>
          <w:sz w:val="24"/>
          <w:szCs w:val="24"/>
        </w:rPr>
      </w:pPr>
      <w:r>
        <w:rPr>
          <w:rFonts w:ascii="Times New Roman" w:hAnsi="Times New Roman"/>
          <w:color w:val="000000"/>
          <w:sz w:val="24"/>
          <w:szCs w:val="24"/>
        </w:rPr>
        <w:t>T</w:t>
      </w:r>
      <w:r w:rsidRPr="00CB77FD">
        <w:rPr>
          <w:rFonts w:ascii="Times New Roman" w:hAnsi="Times New Roman"/>
          <w:color w:val="000000"/>
          <w:sz w:val="24"/>
          <w:szCs w:val="24"/>
        </w:rPr>
        <w:t xml:space="preserve">he guidance documents </w:t>
      </w:r>
      <w:r>
        <w:rPr>
          <w:rFonts w:ascii="Times New Roman" w:hAnsi="Times New Roman"/>
          <w:color w:val="000000"/>
          <w:sz w:val="24"/>
          <w:szCs w:val="24"/>
        </w:rPr>
        <w:t xml:space="preserve">also </w:t>
      </w:r>
      <w:r w:rsidRPr="00CB77FD">
        <w:rPr>
          <w:rFonts w:ascii="Times New Roman" w:hAnsi="Times New Roman"/>
          <w:color w:val="000000"/>
          <w:sz w:val="24"/>
          <w:szCs w:val="24"/>
        </w:rPr>
        <w:t xml:space="preserve">describe conditions under which FDA generally does not intend to take enforcement action for violations </w:t>
      </w:r>
      <w:r w:rsidR="00485BF8">
        <w:rPr>
          <w:rFonts w:ascii="Times New Roman" w:hAnsi="Times New Roman"/>
          <w:color w:val="000000"/>
          <w:sz w:val="24"/>
          <w:szCs w:val="24"/>
        </w:rPr>
        <w:t xml:space="preserve">of </w:t>
      </w:r>
      <w:r w:rsidR="00282FA2">
        <w:rPr>
          <w:rFonts w:ascii="Times New Roman" w:hAnsi="Times New Roman"/>
          <w:color w:val="000000"/>
          <w:sz w:val="24"/>
          <w:szCs w:val="24"/>
        </w:rPr>
        <w:t xml:space="preserve">certain </w:t>
      </w:r>
      <w:r w:rsidRPr="00F05AA1" w:rsidR="00F05AA1">
        <w:rPr>
          <w:rFonts w:ascii="Times New Roman" w:hAnsi="Times New Roman"/>
          <w:color w:val="000000"/>
          <w:sz w:val="24"/>
          <w:szCs w:val="24"/>
        </w:rPr>
        <w:t xml:space="preserve">sections </w:t>
      </w:r>
      <w:r w:rsidRPr="00CB77FD">
        <w:rPr>
          <w:rFonts w:ascii="Times New Roman" w:hAnsi="Times New Roman"/>
          <w:color w:val="000000"/>
          <w:sz w:val="24"/>
          <w:szCs w:val="24"/>
        </w:rPr>
        <w:t>of the FD&amp;C Act</w:t>
      </w:r>
      <w:r>
        <w:rPr>
          <w:rFonts w:ascii="Times New Roman" w:hAnsi="Times New Roman"/>
          <w:color w:val="000000"/>
          <w:sz w:val="24"/>
          <w:szCs w:val="24"/>
        </w:rPr>
        <w:t xml:space="preserve">.  We </w:t>
      </w:r>
      <w:r w:rsidRPr="00CB77FD">
        <w:rPr>
          <w:rFonts w:ascii="Times New Roman" w:hAnsi="Times New Roman"/>
          <w:color w:val="000000"/>
          <w:sz w:val="24"/>
          <w:szCs w:val="24"/>
        </w:rPr>
        <w:t>believe</w:t>
      </w:r>
      <w:r>
        <w:rPr>
          <w:rFonts w:ascii="Times New Roman" w:hAnsi="Times New Roman"/>
          <w:color w:val="000000"/>
          <w:sz w:val="24"/>
          <w:szCs w:val="24"/>
        </w:rPr>
        <w:t xml:space="preserve"> </w:t>
      </w:r>
      <w:r w:rsidRPr="00CB77FD">
        <w:rPr>
          <w:rFonts w:ascii="Times New Roman" w:hAnsi="Times New Roman"/>
          <w:color w:val="000000"/>
          <w:sz w:val="24"/>
          <w:szCs w:val="24"/>
        </w:rPr>
        <w:t xml:space="preserve">any information collection </w:t>
      </w:r>
      <w:r>
        <w:rPr>
          <w:rFonts w:ascii="Times New Roman" w:hAnsi="Times New Roman"/>
          <w:color w:val="000000"/>
          <w:sz w:val="24"/>
          <w:szCs w:val="24"/>
        </w:rPr>
        <w:t xml:space="preserve">pertaining to enforcement activities would </w:t>
      </w:r>
      <w:r w:rsidRPr="00CB77FD">
        <w:rPr>
          <w:rFonts w:ascii="Times New Roman" w:hAnsi="Times New Roman"/>
          <w:color w:val="000000"/>
          <w:sz w:val="24"/>
          <w:szCs w:val="24"/>
        </w:rPr>
        <w:t>involve administrative actions to which the Federal government is a party or that occur after an administrative case file has been opened regarding a particular individual or entity</w:t>
      </w:r>
      <w:r>
        <w:rPr>
          <w:rFonts w:ascii="Times New Roman" w:hAnsi="Times New Roman"/>
          <w:color w:val="000000"/>
          <w:sz w:val="24"/>
          <w:szCs w:val="24"/>
        </w:rPr>
        <w:t xml:space="preserve"> and would </w:t>
      </w:r>
      <w:r w:rsidRPr="00CB77FD">
        <w:rPr>
          <w:rFonts w:ascii="Times New Roman" w:hAnsi="Times New Roman"/>
          <w:color w:val="000000"/>
          <w:sz w:val="24"/>
          <w:szCs w:val="24"/>
        </w:rPr>
        <w:t xml:space="preserve">be exempt from </w:t>
      </w:r>
      <w:r w:rsidR="00AE08DC">
        <w:rPr>
          <w:rFonts w:ascii="Times New Roman" w:hAnsi="Times New Roman"/>
          <w:color w:val="000000"/>
          <w:sz w:val="24"/>
          <w:szCs w:val="24"/>
        </w:rPr>
        <w:t>Office of Management and Budget (</w:t>
      </w:r>
      <w:r w:rsidRPr="00CB77FD">
        <w:rPr>
          <w:rFonts w:ascii="Times New Roman" w:hAnsi="Times New Roman"/>
          <w:color w:val="000000"/>
          <w:sz w:val="24"/>
          <w:szCs w:val="24"/>
        </w:rPr>
        <w:t>OMB</w:t>
      </w:r>
      <w:r w:rsidR="00AE08DC">
        <w:rPr>
          <w:rFonts w:ascii="Times New Roman" w:hAnsi="Times New Roman"/>
          <w:color w:val="000000"/>
          <w:sz w:val="24"/>
          <w:szCs w:val="24"/>
        </w:rPr>
        <w:t>)</w:t>
      </w:r>
      <w:r w:rsidRPr="00CB77FD">
        <w:rPr>
          <w:rFonts w:ascii="Times New Roman" w:hAnsi="Times New Roman"/>
          <w:color w:val="000000"/>
          <w:sz w:val="24"/>
          <w:szCs w:val="24"/>
        </w:rPr>
        <w:t xml:space="preserve"> review and approval under the</w:t>
      </w:r>
      <w:r w:rsidR="00AF120E">
        <w:rPr>
          <w:rFonts w:ascii="Times New Roman" w:hAnsi="Times New Roman"/>
          <w:color w:val="000000"/>
          <w:sz w:val="24"/>
          <w:szCs w:val="24"/>
        </w:rPr>
        <w:t xml:space="preserve"> Paperwork Reduction Act </w:t>
      </w:r>
      <w:r w:rsidR="009F69B0">
        <w:rPr>
          <w:rFonts w:ascii="Times New Roman" w:hAnsi="Times New Roman"/>
          <w:color w:val="000000"/>
          <w:sz w:val="24"/>
          <w:szCs w:val="24"/>
        </w:rPr>
        <w:t>of 1995</w:t>
      </w:r>
      <w:r w:rsidRPr="00CB77FD">
        <w:rPr>
          <w:rFonts w:ascii="Times New Roman" w:hAnsi="Times New Roman"/>
          <w:color w:val="000000"/>
          <w:sz w:val="24"/>
          <w:szCs w:val="24"/>
        </w:rPr>
        <w:t xml:space="preserve"> </w:t>
      </w:r>
      <w:r w:rsidR="009F69B0">
        <w:rPr>
          <w:rFonts w:ascii="Times New Roman" w:hAnsi="Times New Roman"/>
          <w:color w:val="000000"/>
          <w:sz w:val="24"/>
          <w:szCs w:val="24"/>
        </w:rPr>
        <w:t>(</w:t>
      </w:r>
      <w:r w:rsidRPr="00CB77FD">
        <w:rPr>
          <w:rFonts w:ascii="Times New Roman" w:hAnsi="Times New Roman"/>
          <w:color w:val="000000"/>
          <w:sz w:val="24"/>
          <w:szCs w:val="24"/>
        </w:rPr>
        <w:t>PRA</w:t>
      </w:r>
      <w:r w:rsidR="009F69B0">
        <w:rPr>
          <w:rFonts w:ascii="Times New Roman" w:hAnsi="Times New Roman"/>
          <w:color w:val="000000"/>
          <w:sz w:val="24"/>
          <w:szCs w:val="24"/>
        </w:rPr>
        <w:t>)</w:t>
      </w:r>
      <w:r w:rsidRPr="00CB77FD">
        <w:rPr>
          <w:rFonts w:ascii="Times New Roman" w:hAnsi="Times New Roman"/>
          <w:color w:val="000000"/>
          <w:sz w:val="24"/>
          <w:szCs w:val="24"/>
        </w:rPr>
        <w:t>.</w:t>
      </w:r>
      <w:r>
        <w:rPr>
          <w:rFonts w:ascii="Times New Roman" w:hAnsi="Times New Roman"/>
          <w:color w:val="000000"/>
          <w:sz w:val="24"/>
          <w:szCs w:val="24"/>
        </w:rPr>
        <w:t xml:space="preserve">  </w:t>
      </w:r>
      <w:r w:rsidRPr="00CB77FD">
        <w:rPr>
          <w:rFonts w:ascii="Times New Roman" w:hAnsi="Times New Roman"/>
          <w:color w:val="000000"/>
          <w:sz w:val="24"/>
          <w:szCs w:val="24"/>
        </w:rPr>
        <w:t>See 44 U</w:t>
      </w:r>
      <w:r w:rsidR="004316D6">
        <w:rPr>
          <w:rFonts w:ascii="Times New Roman" w:hAnsi="Times New Roman"/>
          <w:color w:val="000000"/>
          <w:sz w:val="24"/>
          <w:szCs w:val="24"/>
        </w:rPr>
        <w:t>.</w:t>
      </w:r>
      <w:r w:rsidRPr="00CB77FD">
        <w:rPr>
          <w:rFonts w:ascii="Times New Roman" w:hAnsi="Times New Roman"/>
          <w:color w:val="000000"/>
          <w:sz w:val="24"/>
          <w:szCs w:val="24"/>
        </w:rPr>
        <w:t>S</w:t>
      </w:r>
      <w:r w:rsidR="004316D6">
        <w:rPr>
          <w:rFonts w:ascii="Times New Roman" w:hAnsi="Times New Roman"/>
          <w:color w:val="000000"/>
          <w:sz w:val="24"/>
          <w:szCs w:val="24"/>
        </w:rPr>
        <w:t>.</w:t>
      </w:r>
      <w:r w:rsidRPr="00CB77FD">
        <w:rPr>
          <w:rFonts w:ascii="Times New Roman" w:hAnsi="Times New Roman"/>
          <w:color w:val="000000"/>
          <w:sz w:val="24"/>
          <w:szCs w:val="24"/>
        </w:rPr>
        <w:t>C</w:t>
      </w:r>
      <w:r w:rsidR="004316D6">
        <w:rPr>
          <w:rFonts w:ascii="Times New Roman" w:hAnsi="Times New Roman"/>
          <w:color w:val="000000"/>
          <w:sz w:val="24"/>
          <w:szCs w:val="24"/>
        </w:rPr>
        <w:t>.</w:t>
      </w:r>
      <w:r w:rsidRPr="00CB77FD">
        <w:rPr>
          <w:rFonts w:ascii="Times New Roman" w:hAnsi="Times New Roman"/>
          <w:color w:val="000000"/>
          <w:sz w:val="24"/>
          <w:szCs w:val="24"/>
        </w:rPr>
        <w:t xml:space="preserve"> 3518(c)(1)(B); </w:t>
      </w:r>
      <w:r w:rsidR="00494783">
        <w:rPr>
          <w:rFonts w:ascii="Times New Roman" w:hAnsi="Times New Roman"/>
          <w:color w:val="000000"/>
          <w:sz w:val="24"/>
          <w:szCs w:val="24"/>
        </w:rPr>
        <w:t xml:space="preserve">and </w:t>
      </w:r>
      <w:r w:rsidRPr="00CB77FD">
        <w:rPr>
          <w:rFonts w:ascii="Times New Roman" w:hAnsi="Times New Roman"/>
          <w:color w:val="000000"/>
          <w:sz w:val="24"/>
          <w:szCs w:val="24"/>
        </w:rPr>
        <w:t>5 CFR 1320.4(a)(2)</w:t>
      </w:r>
      <w:r w:rsidR="004316D6">
        <w:rPr>
          <w:rFonts w:ascii="Times New Roman" w:hAnsi="Times New Roman"/>
          <w:color w:val="000000"/>
          <w:sz w:val="24"/>
          <w:szCs w:val="24"/>
        </w:rPr>
        <w:t xml:space="preserve"> and</w:t>
      </w:r>
      <w:r w:rsidRPr="00CB77FD">
        <w:rPr>
          <w:rFonts w:ascii="Times New Roman" w:hAnsi="Times New Roman"/>
          <w:color w:val="000000"/>
          <w:sz w:val="24"/>
          <w:szCs w:val="24"/>
        </w:rPr>
        <w:t xml:space="preserve"> (c).</w:t>
      </w:r>
    </w:p>
    <w:p w:rsidR="00FB121C" w:rsidP="00FB121C" w14:paraId="5C175706" w14:textId="77777777">
      <w:pPr>
        <w:spacing w:after="0" w:line="240" w:lineRule="auto"/>
        <w:ind w:firstLine="720"/>
        <w:rPr>
          <w:rFonts w:ascii="Times New Roman" w:hAnsi="Times New Roman"/>
          <w:color w:val="000000"/>
          <w:sz w:val="24"/>
          <w:szCs w:val="24"/>
        </w:rPr>
      </w:pPr>
    </w:p>
    <w:p w:rsidR="00203190" w:rsidP="00C44B68" w14:paraId="1FABCD8F" w14:textId="2E250C6D">
      <w:pPr>
        <w:spacing w:after="0" w:line="240" w:lineRule="auto"/>
        <w:rPr>
          <w:rFonts w:ascii="Times New Roman" w:hAnsi="Times New Roman"/>
          <w:color w:val="000000"/>
          <w:sz w:val="24"/>
          <w:szCs w:val="24"/>
        </w:rPr>
      </w:pPr>
      <w:r>
        <w:rPr>
          <w:rFonts w:ascii="Times New Roman" w:hAnsi="Times New Roman"/>
          <w:color w:val="000000"/>
          <w:sz w:val="24"/>
          <w:szCs w:val="24"/>
        </w:rPr>
        <w:t>We therefore request OMB approval of the information collection recommendations found in the respective guidance documents and discussed in this supporting statement.</w:t>
      </w:r>
    </w:p>
    <w:p w:rsidR="00754FC4" w:rsidRPr="00CB77FD" w:rsidP="00C44B68" w14:paraId="1011B396" w14:textId="4ADBD63D">
      <w:pPr>
        <w:spacing w:after="0" w:line="240" w:lineRule="auto"/>
        <w:rPr>
          <w:rFonts w:ascii="Times New Roman" w:hAnsi="Times New Roman"/>
          <w:color w:val="000000"/>
          <w:sz w:val="24"/>
          <w:szCs w:val="24"/>
        </w:rPr>
      </w:pPr>
    </w:p>
    <w:p w:rsidR="00606028" w:rsidRPr="00CB77FD" w:rsidP="00C44B68" w14:paraId="35376651" w14:textId="2E911CFC">
      <w:pPr>
        <w:spacing w:after="0" w:line="240" w:lineRule="auto"/>
        <w:rPr>
          <w:rFonts w:ascii="Times New Roman" w:hAnsi="Times New Roman"/>
          <w:sz w:val="24"/>
          <w:szCs w:val="24"/>
        </w:rPr>
      </w:pPr>
      <w:r w:rsidRPr="00CB77FD">
        <w:rPr>
          <w:rFonts w:ascii="Times New Roman" w:hAnsi="Times New Roman"/>
          <w:sz w:val="24"/>
          <w:szCs w:val="24"/>
        </w:rPr>
        <w:t xml:space="preserve">2.  </w:t>
      </w:r>
      <w:r w:rsidRPr="00CB77FD" w:rsidR="00746778">
        <w:rPr>
          <w:rFonts w:ascii="Times New Roman" w:hAnsi="Times New Roman"/>
          <w:sz w:val="24"/>
          <w:szCs w:val="24"/>
          <w:u w:val="single"/>
        </w:rPr>
        <w:t>Purpose and Use of the Information Collection</w:t>
      </w:r>
      <w:r w:rsidRPr="00CB77FD" w:rsidR="00FF6700">
        <w:rPr>
          <w:rFonts w:ascii="Times New Roman" w:hAnsi="Times New Roman"/>
          <w:sz w:val="24"/>
          <w:szCs w:val="24"/>
          <w:u w:val="single"/>
        </w:rPr>
        <w:softHyphen/>
      </w:r>
    </w:p>
    <w:p w:rsidR="00B75861" w:rsidRPr="00CB77FD" w:rsidP="00C44B68" w14:paraId="6B05F029" w14:textId="77777777">
      <w:pPr>
        <w:spacing w:after="0" w:line="240" w:lineRule="auto"/>
        <w:rPr>
          <w:rFonts w:ascii="Times New Roman" w:hAnsi="Times New Roman"/>
          <w:sz w:val="24"/>
          <w:szCs w:val="24"/>
        </w:rPr>
      </w:pPr>
    </w:p>
    <w:p w:rsidR="00F54C4D" w:rsidP="001A19F9" w14:paraId="4AC8A55A" w14:textId="69DDB80D">
      <w:pPr>
        <w:widowControl w:val="0"/>
        <w:spacing w:after="0" w:line="240" w:lineRule="auto"/>
        <w:rPr>
          <w:rFonts w:ascii="Times New Roman" w:hAnsi="Times New Roman"/>
          <w:sz w:val="24"/>
          <w:szCs w:val="24"/>
        </w:rPr>
      </w:pPr>
      <w:r w:rsidRPr="00192984">
        <w:rPr>
          <w:rFonts w:ascii="Times New Roman" w:hAnsi="Times New Roman"/>
          <w:sz w:val="24"/>
          <w:szCs w:val="24"/>
        </w:rPr>
        <w:t xml:space="preserve">The information collection associated with the conditions </w:t>
      </w:r>
      <w:r w:rsidR="00E0045E">
        <w:rPr>
          <w:rFonts w:ascii="Times New Roman" w:hAnsi="Times New Roman"/>
          <w:sz w:val="24"/>
          <w:szCs w:val="24"/>
        </w:rPr>
        <w:t xml:space="preserve">discussed </w:t>
      </w:r>
      <w:r w:rsidRPr="00192984">
        <w:rPr>
          <w:rFonts w:ascii="Times New Roman" w:hAnsi="Times New Roman"/>
          <w:sz w:val="24"/>
          <w:szCs w:val="24"/>
        </w:rPr>
        <w:t xml:space="preserve">in the </w:t>
      </w:r>
      <w:r w:rsidR="00215B69">
        <w:rPr>
          <w:rFonts w:ascii="Times New Roman" w:hAnsi="Times New Roman"/>
          <w:sz w:val="24"/>
          <w:szCs w:val="24"/>
        </w:rPr>
        <w:t xml:space="preserve">respective </w:t>
      </w:r>
      <w:r w:rsidRPr="00192984">
        <w:rPr>
          <w:rFonts w:ascii="Times New Roman" w:hAnsi="Times New Roman"/>
          <w:sz w:val="24"/>
          <w:szCs w:val="24"/>
        </w:rPr>
        <w:t xml:space="preserve">guidance </w:t>
      </w:r>
      <w:r w:rsidR="00215B69">
        <w:rPr>
          <w:rFonts w:ascii="Times New Roman" w:hAnsi="Times New Roman"/>
          <w:sz w:val="24"/>
          <w:szCs w:val="24"/>
        </w:rPr>
        <w:t xml:space="preserve">documents are </w:t>
      </w:r>
      <w:r w:rsidRPr="00192984">
        <w:rPr>
          <w:rFonts w:ascii="Times New Roman" w:hAnsi="Times New Roman"/>
          <w:sz w:val="24"/>
          <w:szCs w:val="24"/>
        </w:rPr>
        <w:t>tailored to address serious concerns</w:t>
      </w:r>
      <w:r w:rsidR="00AF1456">
        <w:rPr>
          <w:rFonts w:ascii="Times New Roman" w:hAnsi="Times New Roman"/>
          <w:sz w:val="24"/>
          <w:szCs w:val="24"/>
        </w:rPr>
        <w:t xml:space="preserve"> that have been</w:t>
      </w:r>
      <w:r w:rsidR="00967C10">
        <w:rPr>
          <w:rFonts w:ascii="Times New Roman" w:hAnsi="Times New Roman"/>
          <w:sz w:val="24"/>
          <w:szCs w:val="24"/>
        </w:rPr>
        <w:t xml:space="preserve"> </w:t>
      </w:r>
      <w:r w:rsidR="00E0045E">
        <w:rPr>
          <w:rFonts w:ascii="Times New Roman" w:hAnsi="Times New Roman"/>
          <w:sz w:val="24"/>
          <w:szCs w:val="24"/>
        </w:rPr>
        <w:t>raised</w:t>
      </w:r>
      <w:r w:rsidRPr="00192984">
        <w:rPr>
          <w:rFonts w:ascii="Times New Roman" w:hAnsi="Times New Roman"/>
          <w:sz w:val="24"/>
          <w:szCs w:val="24"/>
        </w:rPr>
        <w:t xml:space="preserve"> </w:t>
      </w:r>
      <w:r w:rsidR="00466DC5">
        <w:rPr>
          <w:rFonts w:ascii="Times New Roman" w:hAnsi="Times New Roman"/>
          <w:sz w:val="24"/>
          <w:szCs w:val="24"/>
        </w:rPr>
        <w:t xml:space="preserve">and </w:t>
      </w:r>
      <w:r w:rsidR="003850B5">
        <w:rPr>
          <w:rFonts w:ascii="Times New Roman" w:hAnsi="Times New Roman"/>
          <w:sz w:val="24"/>
          <w:szCs w:val="24"/>
        </w:rPr>
        <w:t xml:space="preserve">to </w:t>
      </w:r>
      <w:r w:rsidR="00313F97">
        <w:rPr>
          <w:rFonts w:ascii="Times New Roman" w:hAnsi="Times New Roman"/>
          <w:sz w:val="24"/>
          <w:szCs w:val="24"/>
        </w:rPr>
        <w:t xml:space="preserve">protect patients from unsafe products.  </w:t>
      </w:r>
      <w:r w:rsidRPr="00C44B68" w:rsidR="00831354">
        <w:rPr>
          <w:rFonts w:ascii="Times New Roman" w:hAnsi="Times New Roman"/>
          <w:sz w:val="24"/>
          <w:szCs w:val="24"/>
        </w:rPr>
        <w:t xml:space="preserve">We intend </w:t>
      </w:r>
      <w:r w:rsidR="00E53D67">
        <w:rPr>
          <w:rFonts w:ascii="Times New Roman" w:hAnsi="Times New Roman"/>
          <w:sz w:val="24"/>
          <w:szCs w:val="24"/>
        </w:rPr>
        <w:t xml:space="preserve">for </w:t>
      </w:r>
      <w:r w:rsidRPr="00C44B68" w:rsidR="00831354">
        <w:rPr>
          <w:rFonts w:ascii="Times New Roman" w:hAnsi="Times New Roman"/>
          <w:sz w:val="24"/>
          <w:szCs w:val="24"/>
        </w:rPr>
        <w:t xml:space="preserve">the information collection </w:t>
      </w:r>
      <w:r w:rsidR="00B055D0">
        <w:rPr>
          <w:rFonts w:ascii="Times New Roman" w:hAnsi="Times New Roman"/>
          <w:sz w:val="24"/>
          <w:szCs w:val="24"/>
        </w:rPr>
        <w:t xml:space="preserve">recommendations </w:t>
      </w:r>
      <w:r w:rsidRPr="00C44B68" w:rsidR="00831354">
        <w:rPr>
          <w:rFonts w:ascii="Times New Roman" w:hAnsi="Times New Roman"/>
          <w:sz w:val="24"/>
          <w:szCs w:val="24"/>
        </w:rPr>
        <w:t xml:space="preserve">to assist respondents in complying with statutory and regulatory requirements administered </w:t>
      </w:r>
      <w:r w:rsidR="00B055D0">
        <w:rPr>
          <w:rFonts w:ascii="Times New Roman" w:hAnsi="Times New Roman"/>
          <w:sz w:val="24"/>
          <w:szCs w:val="24"/>
        </w:rPr>
        <w:t xml:space="preserve">by FDA </w:t>
      </w:r>
      <w:r w:rsidRPr="00C44B68" w:rsidR="00831354">
        <w:rPr>
          <w:rFonts w:ascii="Times New Roman" w:hAnsi="Times New Roman"/>
          <w:sz w:val="24"/>
          <w:szCs w:val="24"/>
        </w:rPr>
        <w:t>to promote and protect the public health.</w:t>
      </w:r>
    </w:p>
    <w:p w:rsidR="001A19F9" w:rsidP="001A19F9" w14:paraId="4C463523" w14:textId="6CE4F689">
      <w:pPr>
        <w:widowControl w:val="0"/>
        <w:spacing w:after="0" w:line="240" w:lineRule="auto"/>
        <w:rPr>
          <w:rFonts w:ascii="Times New Roman" w:hAnsi="Times New Roman"/>
          <w:sz w:val="24"/>
          <w:szCs w:val="24"/>
        </w:rPr>
      </w:pPr>
    </w:p>
    <w:p w:rsidR="001A19F9" w:rsidP="001A19F9" w14:paraId="203388DA" w14:textId="0E4AE8FA">
      <w:pPr>
        <w:widowControl w:val="0"/>
        <w:spacing w:after="0" w:line="240" w:lineRule="auto"/>
        <w:rPr>
          <w:rFonts w:ascii="Times New Roman" w:hAnsi="Times New Roman"/>
          <w:color w:val="000000"/>
          <w:sz w:val="24"/>
          <w:szCs w:val="24"/>
        </w:rPr>
      </w:pPr>
      <w:r w:rsidRPr="00224AE9">
        <w:rPr>
          <w:rFonts w:ascii="Times New Roman" w:hAnsi="Times New Roman"/>
          <w:color w:val="000000"/>
          <w:sz w:val="24"/>
          <w:szCs w:val="24"/>
        </w:rPr>
        <w:t>Respondents to the information collection are pharmacy compounders</w:t>
      </w:r>
      <w:r w:rsidR="00716B4A">
        <w:rPr>
          <w:rFonts w:ascii="Times New Roman" w:hAnsi="Times New Roman"/>
          <w:color w:val="000000"/>
          <w:sz w:val="24"/>
          <w:szCs w:val="24"/>
        </w:rPr>
        <w:t>,</w:t>
      </w:r>
      <w:r w:rsidRPr="00224AE9">
        <w:rPr>
          <w:rFonts w:ascii="Times New Roman" w:hAnsi="Times New Roman"/>
          <w:color w:val="000000"/>
          <w:sz w:val="24"/>
          <w:szCs w:val="24"/>
        </w:rPr>
        <w:t xml:space="preserve"> outsourcing facilities</w:t>
      </w:r>
      <w:r w:rsidR="00716B4A">
        <w:rPr>
          <w:rFonts w:ascii="Times New Roman" w:hAnsi="Times New Roman"/>
          <w:color w:val="000000"/>
          <w:sz w:val="24"/>
          <w:szCs w:val="24"/>
        </w:rPr>
        <w:t xml:space="preserve"> and other entities</w:t>
      </w:r>
      <w:r>
        <w:rPr>
          <w:rFonts w:ascii="Times New Roman" w:hAnsi="Times New Roman"/>
          <w:color w:val="000000"/>
          <w:sz w:val="24"/>
          <w:szCs w:val="24"/>
        </w:rPr>
        <w:t>.</w:t>
      </w:r>
      <w:r w:rsidR="00473E8F">
        <w:rPr>
          <w:rFonts w:ascii="Times New Roman" w:hAnsi="Times New Roman"/>
          <w:color w:val="000000"/>
          <w:sz w:val="24"/>
          <w:szCs w:val="24"/>
        </w:rPr>
        <w:t xml:space="preserve"> </w:t>
      </w:r>
    </w:p>
    <w:p w:rsidR="001A19F9" w:rsidRPr="00CB77FD" w:rsidP="001A19F9" w14:paraId="26D2D231" w14:textId="1BC66306">
      <w:pPr>
        <w:spacing w:after="0" w:line="240" w:lineRule="auto"/>
        <w:ind w:left="720"/>
        <w:rPr>
          <w:rFonts w:ascii="Times New Roman" w:hAnsi="Times New Roman"/>
          <w:sz w:val="24"/>
          <w:szCs w:val="24"/>
        </w:rPr>
      </w:pPr>
    </w:p>
    <w:p w:rsidR="00A7486D" w:rsidRPr="00CB77FD" w:rsidP="00C44B68" w14:paraId="23795025" w14:textId="3C53CD73">
      <w:pPr>
        <w:spacing w:after="0" w:line="240" w:lineRule="auto"/>
        <w:rPr>
          <w:rFonts w:ascii="Times New Roman" w:hAnsi="Times New Roman"/>
          <w:sz w:val="24"/>
          <w:szCs w:val="24"/>
        </w:rPr>
      </w:pPr>
      <w:r w:rsidRPr="00CB77FD">
        <w:rPr>
          <w:rFonts w:ascii="Times New Roman" w:hAnsi="Times New Roman"/>
          <w:sz w:val="24"/>
          <w:szCs w:val="24"/>
        </w:rPr>
        <w:t xml:space="preserve">3.  </w:t>
      </w:r>
      <w:r w:rsidRPr="00CB77FD" w:rsidR="00746778">
        <w:rPr>
          <w:rFonts w:ascii="Times New Roman" w:hAnsi="Times New Roman"/>
          <w:sz w:val="24"/>
          <w:szCs w:val="24"/>
          <w:u w:val="single"/>
        </w:rPr>
        <w:t>Use of Improved In</w:t>
      </w:r>
      <w:r w:rsidRPr="00CB77FD">
        <w:rPr>
          <w:rFonts w:ascii="Times New Roman" w:hAnsi="Times New Roman"/>
          <w:sz w:val="24"/>
          <w:szCs w:val="24"/>
          <w:u w:val="single"/>
        </w:rPr>
        <w:t>formation Technology and Burden Reduction</w:t>
      </w:r>
    </w:p>
    <w:p w:rsidR="00B75861" w:rsidRPr="00CB77FD" w:rsidP="00C44B68" w14:paraId="40721E3C" w14:textId="77777777">
      <w:pPr>
        <w:spacing w:after="0" w:line="240" w:lineRule="auto"/>
        <w:rPr>
          <w:rFonts w:ascii="Times New Roman" w:eastAsia="Times New Roman" w:hAnsi="Times New Roman"/>
          <w:sz w:val="24"/>
          <w:szCs w:val="24"/>
        </w:rPr>
      </w:pPr>
    </w:p>
    <w:p w:rsidR="00DF4370" w14:paraId="056CCE5A" w14:textId="77777777">
      <w:pPr>
        <w:spacing w:after="0" w:line="240" w:lineRule="auto"/>
        <w:rPr>
          <w:rFonts w:ascii="Times New Roman" w:hAnsi="Times New Roman"/>
          <w:sz w:val="24"/>
          <w:szCs w:val="24"/>
        </w:rPr>
      </w:pPr>
      <w:r w:rsidRPr="00D10406">
        <w:rPr>
          <w:rFonts w:ascii="Times New Roman" w:hAnsi="Times New Roman"/>
          <w:sz w:val="24"/>
          <w:szCs w:val="24"/>
        </w:rPr>
        <w:t xml:space="preserve">Outsourcing facilities submit their initial and biannual product reports identifying drug products repackaged during the previous 6-month period to FDA via the Agency's electronic Drug Registration and Listing System (eDRLS) as explained in the Radiopharmaceutical </w:t>
      </w:r>
      <w:r w:rsidRPr="00D10406">
        <w:rPr>
          <w:rFonts w:ascii="Times New Roman" w:hAnsi="Times New Roman"/>
          <w:sz w:val="24"/>
          <w:szCs w:val="24"/>
        </w:rPr>
        <w:t xml:space="preserve">Compounding and Repackaging Guidance by Outsourcing Facilities and the Repackaging Guidance. </w:t>
      </w:r>
    </w:p>
    <w:p w:rsidR="00DF4370" w:rsidP="00DF4370" w14:paraId="1A125AE3" w14:textId="77777777">
      <w:pPr>
        <w:spacing w:after="0" w:line="240" w:lineRule="auto"/>
        <w:rPr>
          <w:rFonts w:ascii="Times New Roman" w:hAnsi="Times New Roman"/>
          <w:sz w:val="24"/>
          <w:szCs w:val="24"/>
        </w:rPr>
      </w:pPr>
    </w:p>
    <w:p w:rsidR="00DF4370" w:rsidP="00DF4370" w14:paraId="55849BB6" w14:textId="2A6FB227">
      <w:pPr>
        <w:spacing w:after="0" w:line="240" w:lineRule="auto"/>
        <w:rPr>
          <w:rFonts w:ascii="Times New Roman" w:hAnsi="Times New Roman"/>
          <w:sz w:val="24"/>
          <w:szCs w:val="24"/>
        </w:rPr>
      </w:pPr>
      <w:r>
        <w:rPr>
          <w:rFonts w:ascii="Times New Roman" w:hAnsi="Times New Roman"/>
          <w:sz w:val="24"/>
          <w:szCs w:val="24"/>
        </w:rPr>
        <w:t xml:space="preserve">Because electronic reporting and recordkeeping requirements are found in both applicable and related Agency statutes and regulations, we expect all respondents will utilize electronic means to satisfy the information collection.  </w:t>
      </w:r>
      <w:r w:rsidRPr="00425790">
        <w:rPr>
          <w:rFonts w:ascii="Times New Roman" w:hAnsi="Times New Roman"/>
          <w:sz w:val="24"/>
          <w:szCs w:val="24"/>
        </w:rPr>
        <w:t>If electronic submission is unreasonable for a particular outsourcing facility, the outsourcing facility may request a waiver from FDA to submit the report through an alternative means.</w:t>
      </w:r>
      <w:r>
        <w:rPr>
          <w:rFonts w:ascii="Times New Roman" w:hAnsi="Times New Roman"/>
          <w:sz w:val="24"/>
          <w:szCs w:val="24"/>
        </w:rPr>
        <w:t xml:space="preserve">  We continue to seek ways to increase the utility of Agency operating systems as our resources permit.</w:t>
      </w:r>
    </w:p>
    <w:p w:rsidR="00DF4370" w14:paraId="4475823D" w14:textId="77777777">
      <w:pPr>
        <w:spacing w:after="0" w:line="240" w:lineRule="auto"/>
        <w:rPr>
          <w:rFonts w:ascii="Times New Roman" w:hAnsi="Times New Roman"/>
          <w:sz w:val="24"/>
          <w:szCs w:val="24"/>
        </w:rPr>
      </w:pPr>
    </w:p>
    <w:p w:rsidR="002B39B7" w14:paraId="197D8D8E" w14:textId="7FA21B51">
      <w:pPr>
        <w:spacing w:after="0" w:line="240" w:lineRule="auto"/>
        <w:rPr>
          <w:rFonts w:ascii="Times New Roman" w:hAnsi="Times New Roman"/>
          <w:sz w:val="24"/>
          <w:szCs w:val="24"/>
        </w:rPr>
      </w:pPr>
      <w:r>
        <w:rPr>
          <w:rFonts w:ascii="Times New Roman" w:hAnsi="Times New Roman"/>
          <w:sz w:val="24"/>
          <w:szCs w:val="24"/>
        </w:rPr>
        <w:t>W</w:t>
      </w:r>
      <w:r w:rsidRPr="00D10406" w:rsidR="006B0733">
        <w:rPr>
          <w:rFonts w:ascii="Times New Roman" w:hAnsi="Times New Roman"/>
          <w:sz w:val="24"/>
          <w:szCs w:val="24"/>
        </w:rPr>
        <w:t>e expect</w:t>
      </w:r>
      <w:r w:rsidR="001A109E">
        <w:rPr>
          <w:rFonts w:ascii="Times New Roman" w:hAnsi="Times New Roman"/>
          <w:sz w:val="24"/>
          <w:szCs w:val="24"/>
        </w:rPr>
        <w:t xml:space="preserve"> nearly</w:t>
      </w:r>
      <w:r w:rsidR="006B0733">
        <w:rPr>
          <w:rFonts w:ascii="Times New Roman" w:hAnsi="Times New Roman"/>
          <w:sz w:val="24"/>
          <w:szCs w:val="24"/>
        </w:rPr>
        <w:t xml:space="preserve"> 100 percent of respondents to report electronically</w:t>
      </w:r>
      <w:r w:rsidRPr="00976CB4" w:rsidR="00976CB4">
        <w:rPr>
          <w:rFonts w:ascii="Times New Roman" w:hAnsi="Times New Roman"/>
          <w:sz w:val="24"/>
          <w:szCs w:val="24"/>
        </w:rPr>
        <w:t xml:space="preserve"> </w:t>
      </w:r>
      <w:r w:rsidRPr="00D10406" w:rsidR="00976CB4">
        <w:rPr>
          <w:rFonts w:ascii="Times New Roman" w:hAnsi="Times New Roman"/>
          <w:sz w:val="24"/>
          <w:szCs w:val="24"/>
        </w:rPr>
        <w:t>for initial product reports and semiannual reports</w:t>
      </w:r>
      <w:r w:rsidR="006B0733">
        <w:rPr>
          <w:rFonts w:ascii="Times New Roman" w:hAnsi="Times New Roman"/>
          <w:sz w:val="24"/>
          <w:szCs w:val="24"/>
        </w:rPr>
        <w:t>.</w:t>
      </w:r>
      <w:r w:rsidRPr="00D10406" w:rsidR="006B0733">
        <w:rPr>
          <w:rFonts w:ascii="Times New Roman" w:hAnsi="Times New Roman"/>
          <w:sz w:val="24"/>
          <w:szCs w:val="24"/>
        </w:rPr>
        <w:t xml:space="preserve"> </w:t>
      </w:r>
      <w:r w:rsidR="00662597">
        <w:rPr>
          <w:rFonts w:ascii="Times New Roman" w:hAnsi="Times New Roman"/>
          <w:sz w:val="24"/>
          <w:szCs w:val="24"/>
        </w:rPr>
        <w:t xml:space="preserve"> </w:t>
      </w:r>
      <w:r w:rsidR="006B0733">
        <w:rPr>
          <w:rFonts w:ascii="Times New Roman" w:hAnsi="Times New Roman"/>
          <w:sz w:val="24"/>
          <w:szCs w:val="24"/>
        </w:rPr>
        <w:t>We</w:t>
      </w:r>
      <w:r w:rsidR="00FA0F3E">
        <w:rPr>
          <w:rFonts w:ascii="Times New Roman" w:hAnsi="Times New Roman"/>
          <w:sz w:val="24"/>
          <w:szCs w:val="24"/>
        </w:rPr>
        <w:t xml:space="preserve"> expect</w:t>
      </w:r>
      <w:r w:rsidRPr="00D10406" w:rsidR="00D10406">
        <w:rPr>
          <w:rFonts w:ascii="Times New Roman" w:hAnsi="Times New Roman"/>
          <w:sz w:val="24"/>
          <w:szCs w:val="24"/>
        </w:rPr>
        <w:t xml:space="preserve"> to receive </w:t>
      </w:r>
      <w:r w:rsidR="00D4410C">
        <w:rPr>
          <w:rFonts w:ascii="Times New Roman" w:hAnsi="Times New Roman"/>
          <w:sz w:val="24"/>
          <w:szCs w:val="24"/>
        </w:rPr>
        <w:t>very few</w:t>
      </w:r>
      <w:r w:rsidRPr="00D10406" w:rsidR="00D10406">
        <w:rPr>
          <w:rFonts w:ascii="Times New Roman" w:hAnsi="Times New Roman"/>
          <w:sz w:val="24"/>
          <w:szCs w:val="24"/>
        </w:rPr>
        <w:t xml:space="preserve"> waiver requests from the electronic submission process</w:t>
      </w:r>
      <w:r w:rsidR="00976CB4">
        <w:rPr>
          <w:rFonts w:ascii="Times New Roman" w:hAnsi="Times New Roman"/>
          <w:sz w:val="24"/>
          <w:szCs w:val="24"/>
        </w:rPr>
        <w:t xml:space="preserve"> for any reports</w:t>
      </w:r>
      <w:r w:rsidRPr="00D10406" w:rsidR="00D10406">
        <w:rPr>
          <w:rFonts w:ascii="Times New Roman" w:hAnsi="Times New Roman"/>
          <w:sz w:val="24"/>
          <w:szCs w:val="24"/>
        </w:rPr>
        <w:t>.</w:t>
      </w:r>
      <w:r w:rsidRPr="006B0733" w:rsidR="006B0733">
        <w:rPr>
          <w:rFonts w:ascii="Times New Roman" w:hAnsi="Times New Roman"/>
          <w:sz w:val="24"/>
          <w:szCs w:val="24"/>
        </w:rPr>
        <w:t xml:space="preserve"> </w:t>
      </w:r>
    </w:p>
    <w:p w:rsidR="006F521F" w14:paraId="32F9F58E" w14:textId="77777777">
      <w:pPr>
        <w:spacing w:after="0" w:line="240" w:lineRule="auto"/>
        <w:rPr>
          <w:rFonts w:ascii="Times New Roman" w:hAnsi="Times New Roman"/>
          <w:sz w:val="24"/>
          <w:szCs w:val="24"/>
        </w:rPr>
      </w:pPr>
    </w:p>
    <w:p w:rsidR="00746778" w:rsidRPr="00CB77FD" w:rsidP="0057347B" w14:paraId="4721D6A1" w14:textId="1A9773C6">
      <w:pPr>
        <w:keepNext/>
        <w:spacing w:after="0" w:line="240" w:lineRule="auto"/>
        <w:rPr>
          <w:rFonts w:ascii="Times New Roman" w:hAnsi="Times New Roman"/>
          <w:sz w:val="24"/>
          <w:szCs w:val="24"/>
        </w:rPr>
      </w:pPr>
      <w:r w:rsidRPr="00CB77FD">
        <w:rPr>
          <w:rFonts w:ascii="Times New Roman" w:hAnsi="Times New Roman"/>
          <w:sz w:val="24"/>
          <w:szCs w:val="24"/>
        </w:rPr>
        <w:t xml:space="preserve">4.  </w:t>
      </w:r>
      <w:r w:rsidRPr="00CB77FD">
        <w:rPr>
          <w:rFonts w:ascii="Times New Roman" w:hAnsi="Times New Roman"/>
          <w:sz w:val="24"/>
          <w:szCs w:val="24"/>
          <w:u w:val="single"/>
        </w:rPr>
        <w:t>Efforts to Identify Duplication and Use of Similar Information</w:t>
      </w:r>
    </w:p>
    <w:p w:rsidR="007F2DCA" w:rsidRPr="00CB77FD" w:rsidP="0057347B" w14:paraId="0B429191" w14:textId="77777777">
      <w:pPr>
        <w:keepNext/>
        <w:spacing w:after="0" w:line="240" w:lineRule="auto"/>
        <w:rPr>
          <w:rFonts w:ascii="Times New Roman" w:hAnsi="Times New Roman"/>
          <w:sz w:val="24"/>
          <w:szCs w:val="24"/>
        </w:rPr>
      </w:pPr>
    </w:p>
    <w:p w:rsidR="00746778" w:rsidRPr="00CB77FD" w:rsidP="00C44B68" w14:paraId="7833BE78" w14:textId="6F58A880">
      <w:pPr>
        <w:autoSpaceDE w:val="0"/>
        <w:autoSpaceDN w:val="0"/>
        <w:adjustRightInd w:val="0"/>
        <w:spacing w:after="0" w:line="240" w:lineRule="auto"/>
        <w:rPr>
          <w:rFonts w:ascii="Times New Roman" w:hAnsi="Times New Roman"/>
          <w:sz w:val="24"/>
          <w:szCs w:val="24"/>
        </w:rPr>
      </w:pPr>
      <w:r w:rsidRPr="00CB77FD">
        <w:rPr>
          <w:rFonts w:ascii="Times New Roman" w:hAnsi="Times New Roman"/>
          <w:sz w:val="24"/>
          <w:szCs w:val="24"/>
        </w:rPr>
        <w:t xml:space="preserve">Upon review of our active inventory, we </w:t>
      </w:r>
      <w:r w:rsidR="008E2379">
        <w:rPr>
          <w:rFonts w:ascii="Times New Roman" w:hAnsi="Times New Roman"/>
          <w:sz w:val="24"/>
          <w:szCs w:val="24"/>
        </w:rPr>
        <w:t xml:space="preserve">have identified </w:t>
      </w:r>
      <w:r w:rsidRPr="00CB77FD">
        <w:rPr>
          <w:rFonts w:ascii="Times New Roman" w:hAnsi="Times New Roman"/>
          <w:sz w:val="24"/>
          <w:szCs w:val="24"/>
        </w:rPr>
        <w:t>other information collection</w:t>
      </w:r>
      <w:r w:rsidRPr="00CB77FD" w:rsidR="009D2ABB">
        <w:rPr>
          <w:rFonts w:ascii="Times New Roman" w:hAnsi="Times New Roman"/>
          <w:sz w:val="24"/>
          <w:szCs w:val="24"/>
        </w:rPr>
        <w:t xml:space="preserve"> requests</w:t>
      </w:r>
      <w:r w:rsidRPr="00CB77FD">
        <w:rPr>
          <w:rFonts w:ascii="Times New Roman" w:hAnsi="Times New Roman"/>
          <w:sz w:val="24"/>
          <w:szCs w:val="24"/>
        </w:rPr>
        <w:t xml:space="preserve"> associated with</w:t>
      </w:r>
      <w:r w:rsidRPr="00CB77FD" w:rsidR="00EA6FA1">
        <w:rPr>
          <w:rFonts w:ascii="Times New Roman" w:hAnsi="Times New Roman"/>
          <w:sz w:val="24"/>
          <w:szCs w:val="24"/>
        </w:rPr>
        <w:t>, but not duplicative</w:t>
      </w:r>
      <w:r w:rsidR="0049615A">
        <w:rPr>
          <w:rFonts w:ascii="Times New Roman" w:hAnsi="Times New Roman"/>
          <w:sz w:val="24"/>
          <w:szCs w:val="24"/>
        </w:rPr>
        <w:t xml:space="preserve"> of</w:t>
      </w:r>
      <w:r w:rsidRPr="00CB77FD" w:rsidR="00EA6FA1">
        <w:rPr>
          <w:rFonts w:ascii="Times New Roman" w:hAnsi="Times New Roman"/>
          <w:sz w:val="24"/>
          <w:szCs w:val="24"/>
        </w:rPr>
        <w:t>,</w:t>
      </w:r>
      <w:r w:rsidRPr="00CB77FD">
        <w:rPr>
          <w:rFonts w:ascii="Times New Roman" w:hAnsi="Times New Roman"/>
          <w:sz w:val="24"/>
          <w:szCs w:val="24"/>
        </w:rPr>
        <w:t xml:space="preserve"> provisions of the FD&amp;C Act including</w:t>
      </w:r>
      <w:r w:rsidR="00637E23">
        <w:rPr>
          <w:rFonts w:ascii="Times New Roman" w:hAnsi="Times New Roman"/>
          <w:sz w:val="24"/>
          <w:szCs w:val="24"/>
        </w:rPr>
        <w:t xml:space="preserve"> OMB control nos.</w:t>
      </w:r>
      <w:r w:rsidR="004F56A1">
        <w:rPr>
          <w:rFonts w:ascii="Times New Roman" w:hAnsi="Times New Roman"/>
          <w:sz w:val="24"/>
          <w:szCs w:val="24"/>
        </w:rPr>
        <w:t xml:space="preserve"> 0910-0776 – </w:t>
      </w:r>
      <w:r w:rsidRPr="005015C1" w:rsidR="005015C1">
        <w:rPr>
          <w:rFonts w:ascii="Times New Roman" w:hAnsi="Times New Roman"/>
          <w:i/>
          <w:iCs/>
          <w:sz w:val="24"/>
          <w:szCs w:val="24"/>
        </w:rPr>
        <w:t>Registration of Human Drug Compounding Outsourcing Facilities under section 503B of the FFDCA and Associated fees under section 744K</w:t>
      </w:r>
      <w:r w:rsidRPr="004F56A1" w:rsidR="004F56A1">
        <w:rPr>
          <w:rFonts w:ascii="Times New Roman" w:hAnsi="Times New Roman"/>
          <w:i/>
          <w:iCs/>
          <w:sz w:val="24"/>
          <w:szCs w:val="24"/>
        </w:rPr>
        <w:t>;</w:t>
      </w:r>
      <w:r w:rsidR="004F56A1">
        <w:rPr>
          <w:rFonts w:ascii="Times New Roman" w:hAnsi="Times New Roman"/>
          <w:sz w:val="24"/>
          <w:szCs w:val="24"/>
        </w:rPr>
        <w:t xml:space="preserve"> </w:t>
      </w:r>
      <w:r w:rsidR="00ED5905">
        <w:rPr>
          <w:rFonts w:ascii="Times New Roman" w:hAnsi="Times New Roman"/>
          <w:sz w:val="24"/>
          <w:szCs w:val="24"/>
        </w:rPr>
        <w:t xml:space="preserve">and </w:t>
      </w:r>
      <w:r w:rsidRPr="00CB77FD">
        <w:rPr>
          <w:rFonts w:ascii="Times New Roman" w:hAnsi="Times New Roman"/>
          <w:sz w:val="24"/>
          <w:szCs w:val="24"/>
        </w:rPr>
        <w:t>0910-0</w:t>
      </w:r>
      <w:r w:rsidRPr="00CB77FD" w:rsidR="00EA6FA1">
        <w:rPr>
          <w:rFonts w:ascii="Times New Roman" w:hAnsi="Times New Roman"/>
          <w:sz w:val="24"/>
          <w:szCs w:val="24"/>
        </w:rPr>
        <w:t>800</w:t>
      </w:r>
      <w:r w:rsidR="004F56A1">
        <w:rPr>
          <w:rFonts w:ascii="Times New Roman" w:hAnsi="Times New Roman"/>
          <w:sz w:val="24"/>
          <w:szCs w:val="24"/>
        </w:rPr>
        <w:t xml:space="preserve"> – </w:t>
      </w:r>
      <w:r w:rsidRPr="004F56A1" w:rsidR="004F56A1">
        <w:rPr>
          <w:rFonts w:ascii="Times New Roman" w:hAnsi="Times New Roman"/>
          <w:i/>
          <w:iCs/>
          <w:sz w:val="24"/>
          <w:szCs w:val="24"/>
        </w:rPr>
        <w:t xml:space="preserve">Human </w:t>
      </w:r>
      <w:r w:rsidRPr="004F56A1" w:rsidR="00EA6FA1">
        <w:rPr>
          <w:rFonts w:ascii="Times New Roman" w:hAnsi="Times New Roman"/>
          <w:i/>
          <w:iCs/>
          <w:sz w:val="24"/>
          <w:szCs w:val="24"/>
        </w:rPr>
        <w:t>D</w:t>
      </w:r>
      <w:r w:rsidRPr="00CB77FD" w:rsidR="00EA6FA1">
        <w:rPr>
          <w:rFonts w:ascii="Times New Roman" w:hAnsi="Times New Roman"/>
          <w:i/>
          <w:iCs/>
          <w:sz w:val="24"/>
          <w:szCs w:val="24"/>
        </w:rPr>
        <w:t>rug Compounding Under Sections 503A and 503B of the Federal Food, Drug, and Cosmetic Act</w:t>
      </w:r>
      <w:r w:rsidRPr="00CB77FD">
        <w:rPr>
          <w:rFonts w:ascii="Times New Roman" w:hAnsi="Times New Roman"/>
          <w:sz w:val="24"/>
          <w:szCs w:val="24"/>
        </w:rPr>
        <w:t>.</w:t>
      </w:r>
      <w:r w:rsidRPr="00CB77FD" w:rsidR="009D2ABB">
        <w:rPr>
          <w:rFonts w:ascii="Times New Roman" w:hAnsi="Times New Roman"/>
          <w:sz w:val="24"/>
          <w:szCs w:val="24"/>
        </w:rPr>
        <w:t xml:space="preserve">  </w:t>
      </w:r>
      <w:r w:rsidRPr="00196F0F" w:rsidR="00E76B37">
        <w:rPr>
          <w:rFonts w:ascii="Times New Roman" w:hAnsi="Times New Roman"/>
          <w:color w:val="000000"/>
          <w:sz w:val="24"/>
          <w:szCs w:val="24"/>
        </w:rPr>
        <w:t>We note also related reporting, recordkeeping, and disclosure requirements applicable under the Controlled Substances Act, for which currently active information collection approvals are maintained by the Department of Justice’s Drug Enforcement Administration.</w:t>
      </w:r>
      <w:r w:rsidR="00E76B37">
        <w:rPr>
          <w:rFonts w:ascii="Times New Roman" w:hAnsi="Times New Roman"/>
          <w:color w:val="000000"/>
          <w:sz w:val="24"/>
          <w:szCs w:val="24"/>
        </w:rPr>
        <w:t xml:space="preserve">  </w:t>
      </w:r>
      <w:r w:rsidRPr="00CB77FD">
        <w:rPr>
          <w:rFonts w:ascii="Times New Roman" w:hAnsi="Times New Roman"/>
          <w:sz w:val="24"/>
          <w:szCs w:val="24"/>
        </w:rPr>
        <w:t xml:space="preserve">For efficiency of </w:t>
      </w:r>
      <w:r w:rsidR="0049615A">
        <w:rPr>
          <w:rFonts w:ascii="Times New Roman" w:hAnsi="Times New Roman"/>
          <w:sz w:val="24"/>
          <w:szCs w:val="24"/>
        </w:rPr>
        <w:t>A</w:t>
      </w:r>
      <w:r w:rsidRPr="00CB77FD">
        <w:rPr>
          <w:rFonts w:ascii="Times New Roman" w:hAnsi="Times New Roman"/>
          <w:sz w:val="24"/>
          <w:szCs w:val="24"/>
        </w:rPr>
        <w:t>gency operations</w:t>
      </w:r>
      <w:r w:rsidRPr="00CB77FD" w:rsidR="001B1E95">
        <w:rPr>
          <w:rFonts w:ascii="Times New Roman" w:hAnsi="Times New Roman"/>
          <w:sz w:val="24"/>
          <w:szCs w:val="24"/>
        </w:rPr>
        <w:t>,</w:t>
      </w:r>
      <w:r w:rsidRPr="00CB77FD">
        <w:rPr>
          <w:rFonts w:ascii="Times New Roman" w:hAnsi="Times New Roman"/>
          <w:sz w:val="24"/>
          <w:szCs w:val="24"/>
        </w:rPr>
        <w:t xml:space="preserve"> we will continue to evaluate related information collections</w:t>
      </w:r>
      <w:r w:rsidRPr="00CB77FD" w:rsidR="009D2ABB">
        <w:rPr>
          <w:rFonts w:ascii="Times New Roman" w:hAnsi="Times New Roman"/>
          <w:sz w:val="24"/>
          <w:szCs w:val="24"/>
        </w:rPr>
        <w:t xml:space="preserve"> and incorporate similar activities as appropriate.</w:t>
      </w:r>
    </w:p>
    <w:p w:rsidR="00177C91" w:rsidRPr="00CB77FD" w:rsidP="00C44B68" w14:paraId="4B3E1ACD" w14:textId="77777777">
      <w:pPr>
        <w:autoSpaceDE w:val="0"/>
        <w:autoSpaceDN w:val="0"/>
        <w:adjustRightInd w:val="0"/>
        <w:spacing w:after="0" w:line="240" w:lineRule="auto"/>
        <w:rPr>
          <w:rFonts w:ascii="Times New Roman" w:hAnsi="Times New Roman"/>
          <w:sz w:val="24"/>
          <w:szCs w:val="24"/>
        </w:rPr>
      </w:pPr>
    </w:p>
    <w:p w:rsidR="00746778" w:rsidRPr="00CB77FD" w:rsidP="00C44B68" w14:paraId="62C035DC" w14:textId="3989B58E">
      <w:pPr>
        <w:spacing w:after="0" w:line="240" w:lineRule="auto"/>
        <w:rPr>
          <w:rFonts w:ascii="Times New Roman" w:hAnsi="Times New Roman"/>
          <w:sz w:val="24"/>
          <w:szCs w:val="24"/>
        </w:rPr>
      </w:pPr>
      <w:r w:rsidRPr="00CB77FD">
        <w:rPr>
          <w:rFonts w:ascii="Times New Roman" w:hAnsi="Times New Roman"/>
          <w:sz w:val="24"/>
          <w:szCs w:val="24"/>
        </w:rPr>
        <w:t xml:space="preserve">5.  </w:t>
      </w:r>
      <w:r w:rsidRPr="00CB77FD">
        <w:rPr>
          <w:rFonts w:ascii="Times New Roman" w:hAnsi="Times New Roman"/>
          <w:sz w:val="24"/>
          <w:szCs w:val="24"/>
          <w:u w:val="single"/>
        </w:rPr>
        <w:t xml:space="preserve">Impact on Small Businesses or Other Small Entities </w:t>
      </w:r>
    </w:p>
    <w:p w:rsidR="00A7486D" w:rsidRPr="00CB77FD" w:rsidP="00C44B68" w14:paraId="07267F69" w14:textId="77777777">
      <w:pPr>
        <w:spacing w:after="0" w:line="240" w:lineRule="auto"/>
        <w:rPr>
          <w:rFonts w:ascii="Times New Roman" w:hAnsi="Times New Roman"/>
          <w:sz w:val="24"/>
          <w:szCs w:val="24"/>
        </w:rPr>
      </w:pPr>
    </w:p>
    <w:p w:rsidR="00746778" w:rsidRPr="00CB77FD" w:rsidP="00C44B68" w14:paraId="45BF7367" w14:textId="72FC1B2F">
      <w:pPr>
        <w:spacing w:after="0" w:line="240" w:lineRule="auto"/>
        <w:rPr>
          <w:rFonts w:ascii="Times New Roman" w:hAnsi="Times New Roman"/>
          <w:sz w:val="24"/>
          <w:szCs w:val="24"/>
        </w:rPr>
      </w:pPr>
      <w:r w:rsidRPr="00CB77FD">
        <w:rPr>
          <w:rFonts w:ascii="Times New Roman" w:hAnsi="Times New Roman"/>
          <w:sz w:val="24"/>
          <w:szCs w:val="24"/>
        </w:rPr>
        <w:t>Radiopharmaceuticals</w:t>
      </w:r>
      <w:r w:rsidRPr="00CB77FD" w:rsidR="00DE3E4F">
        <w:rPr>
          <w:rFonts w:ascii="Times New Roman" w:hAnsi="Times New Roman"/>
          <w:sz w:val="24"/>
          <w:szCs w:val="24"/>
        </w:rPr>
        <w:t>, repackaged drug products, and biological products that have been altered outside the scope of the approved biologics license application</w:t>
      </w:r>
      <w:r w:rsidRPr="00CB77FD">
        <w:rPr>
          <w:rFonts w:ascii="Times New Roman" w:hAnsi="Times New Roman"/>
          <w:sz w:val="24"/>
          <w:szCs w:val="24"/>
        </w:rPr>
        <w:t xml:space="preserve"> present unique </w:t>
      </w:r>
      <w:r w:rsidRPr="00CB77FD" w:rsidR="00DE3E4F">
        <w:rPr>
          <w:rFonts w:ascii="Times New Roman" w:hAnsi="Times New Roman"/>
          <w:sz w:val="24"/>
          <w:szCs w:val="24"/>
        </w:rPr>
        <w:t xml:space="preserve">and significant </w:t>
      </w:r>
      <w:r w:rsidRPr="00CB77FD">
        <w:rPr>
          <w:rFonts w:ascii="Times New Roman" w:hAnsi="Times New Roman"/>
          <w:sz w:val="24"/>
          <w:szCs w:val="24"/>
        </w:rPr>
        <w:t>public health risk</w:t>
      </w:r>
      <w:r w:rsidRPr="00CB77FD" w:rsidR="00DE3E4F">
        <w:rPr>
          <w:rFonts w:ascii="Times New Roman" w:hAnsi="Times New Roman"/>
          <w:sz w:val="24"/>
          <w:szCs w:val="24"/>
        </w:rPr>
        <w:t>s</w:t>
      </w:r>
      <w:r w:rsidRPr="00CB77FD">
        <w:rPr>
          <w:rFonts w:ascii="Times New Roman" w:hAnsi="Times New Roman"/>
          <w:sz w:val="24"/>
          <w:szCs w:val="24"/>
        </w:rPr>
        <w:t xml:space="preserve">.  </w:t>
      </w:r>
      <w:r w:rsidRPr="00CB77FD" w:rsidR="003437CA">
        <w:rPr>
          <w:rFonts w:ascii="Times New Roman" w:hAnsi="Times New Roman"/>
          <w:sz w:val="24"/>
          <w:szCs w:val="24"/>
        </w:rPr>
        <w:t>Although</w:t>
      </w:r>
      <w:r w:rsidRPr="00CB77FD" w:rsidR="007A1737">
        <w:rPr>
          <w:rFonts w:ascii="Times New Roman" w:hAnsi="Times New Roman"/>
          <w:sz w:val="24"/>
          <w:szCs w:val="24"/>
        </w:rPr>
        <w:t xml:space="preserve"> m</w:t>
      </w:r>
      <w:r w:rsidRPr="00CB77FD" w:rsidR="004F193C">
        <w:rPr>
          <w:rFonts w:ascii="Times New Roman" w:hAnsi="Times New Roman"/>
          <w:sz w:val="24"/>
          <w:szCs w:val="24"/>
        </w:rPr>
        <w:t xml:space="preserve">ost </w:t>
      </w:r>
      <w:r w:rsidRPr="00CB77FD" w:rsidR="003437CA">
        <w:rPr>
          <w:rFonts w:ascii="Times New Roman" w:hAnsi="Times New Roman"/>
          <w:sz w:val="24"/>
          <w:szCs w:val="24"/>
        </w:rPr>
        <w:t>S</w:t>
      </w:r>
      <w:r w:rsidRPr="00CB77FD" w:rsidR="00226554">
        <w:rPr>
          <w:rFonts w:ascii="Times New Roman" w:hAnsi="Times New Roman"/>
          <w:sz w:val="24"/>
          <w:szCs w:val="24"/>
        </w:rPr>
        <w:t>tate</w:t>
      </w:r>
      <w:r w:rsidRPr="00CB77FD" w:rsidR="00EC694F">
        <w:rPr>
          <w:rFonts w:ascii="Times New Roman" w:hAnsi="Times New Roman"/>
          <w:sz w:val="24"/>
          <w:szCs w:val="24"/>
        </w:rPr>
        <w:t>-licensed nuclear pharmacies</w:t>
      </w:r>
      <w:r w:rsidRPr="00CB77FD" w:rsidR="00A451B2">
        <w:rPr>
          <w:rFonts w:ascii="Times New Roman" w:hAnsi="Times New Roman"/>
          <w:sz w:val="24"/>
          <w:szCs w:val="24"/>
        </w:rPr>
        <w:t>, State-licensed pharmacies, and</w:t>
      </w:r>
      <w:r w:rsidRPr="00CB77FD" w:rsidR="006B5828">
        <w:rPr>
          <w:rFonts w:ascii="Times New Roman" w:hAnsi="Times New Roman"/>
          <w:sz w:val="24"/>
          <w:szCs w:val="24"/>
        </w:rPr>
        <w:t xml:space="preserve"> outsourcing facilities</w:t>
      </w:r>
      <w:r w:rsidRPr="00CB77FD" w:rsidR="004F193C">
        <w:rPr>
          <w:rFonts w:ascii="Times New Roman" w:hAnsi="Times New Roman"/>
          <w:sz w:val="24"/>
          <w:szCs w:val="24"/>
        </w:rPr>
        <w:t xml:space="preserve"> are</w:t>
      </w:r>
      <w:r w:rsidRPr="00CB77FD" w:rsidR="00291913">
        <w:rPr>
          <w:rFonts w:ascii="Times New Roman" w:hAnsi="Times New Roman"/>
          <w:sz w:val="24"/>
          <w:szCs w:val="24"/>
        </w:rPr>
        <w:t xml:space="preserve"> small businesses</w:t>
      </w:r>
      <w:r w:rsidRPr="00CB77FD" w:rsidR="004F193C">
        <w:rPr>
          <w:rFonts w:ascii="Times New Roman" w:hAnsi="Times New Roman"/>
          <w:sz w:val="24"/>
          <w:szCs w:val="24"/>
        </w:rPr>
        <w:t xml:space="preserve"> as defined by the Sma</w:t>
      </w:r>
      <w:r w:rsidRPr="00CB77FD" w:rsidR="007A1737">
        <w:rPr>
          <w:rFonts w:ascii="Times New Roman" w:hAnsi="Times New Roman"/>
          <w:sz w:val="24"/>
          <w:szCs w:val="24"/>
        </w:rPr>
        <w:t xml:space="preserve">ll Business Administration, </w:t>
      </w:r>
      <w:r w:rsidRPr="00CB77FD" w:rsidR="004F193C">
        <w:rPr>
          <w:rFonts w:ascii="Times New Roman" w:hAnsi="Times New Roman"/>
          <w:sz w:val="24"/>
          <w:szCs w:val="24"/>
        </w:rPr>
        <w:t xml:space="preserve">we do not believe the information collection imposes </w:t>
      </w:r>
      <w:r w:rsidRPr="00CB77FD" w:rsidR="007A1737">
        <w:rPr>
          <w:rFonts w:ascii="Times New Roman" w:hAnsi="Times New Roman"/>
          <w:sz w:val="24"/>
          <w:szCs w:val="24"/>
        </w:rPr>
        <w:t>u</w:t>
      </w:r>
      <w:r w:rsidRPr="00CB77FD">
        <w:rPr>
          <w:rFonts w:ascii="Times New Roman" w:hAnsi="Times New Roman"/>
          <w:sz w:val="24"/>
          <w:szCs w:val="24"/>
        </w:rPr>
        <w:t xml:space="preserve">ndue burden on small entities.  </w:t>
      </w:r>
      <w:r w:rsidRPr="00CB77FD" w:rsidR="00FF6700">
        <w:rPr>
          <w:rFonts w:ascii="Times New Roman" w:hAnsi="Times New Roman"/>
          <w:sz w:val="24"/>
          <w:szCs w:val="24"/>
        </w:rPr>
        <w:t xml:space="preserve">At the same time, </w:t>
      </w:r>
      <w:r w:rsidRPr="00CB77FD" w:rsidR="007A1737">
        <w:rPr>
          <w:rFonts w:ascii="Times New Roman" w:hAnsi="Times New Roman"/>
          <w:sz w:val="24"/>
          <w:szCs w:val="24"/>
        </w:rPr>
        <w:t xml:space="preserve">we assist small businesses in complying with FDA regulations through Regional Small Business Representatives and through scientific and administrative staffs within the </w:t>
      </w:r>
      <w:r w:rsidR="00E41F53">
        <w:rPr>
          <w:rFonts w:ascii="Times New Roman" w:hAnsi="Times New Roman"/>
          <w:sz w:val="24"/>
          <w:szCs w:val="24"/>
        </w:rPr>
        <w:t>A</w:t>
      </w:r>
      <w:r w:rsidRPr="00CB77FD" w:rsidR="007A1737">
        <w:rPr>
          <w:rFonts w:ascii="Times New Roman" w:hAnsi="Times New Roman"/>
          <w:sz w:val="24"/>
          <w:szCs w:val="24"/>
        </w:rPr>
        <w:t xml:space="preserve">gency.  We have also provided a Small Business Guide on our website at </w:t>
      </w:r>
      <w:hyperlink r:id="rId14" w:history="1">
        <w:r w:rsidRPr="00CB77FD" w:rsidR="004C18E6">
          <w:rPr>
            <w:rStyle w:val="Hyperlink"/>
            <w:rFonts w:ascii="Times New Roman" w:hAnsi="Times New Roman"/>
            <w:sz w:val="24"/>
            <w:szCs w:val="24"/>
          </w:rPr>
          <w:t>http://www.fda.gov/ForIndustry/SmallBusinessAssistance/default.htm</w:t>
        </w:r>
      </w:hyperlink>
      <w:r w:rsidRPr="00CB77FD">
        <w:rPr>
          <w:rFonts w:ascii="Times New Roman" w:hAnsi="Times New Roman"/>
          <w:sz w:val="24"/>
          <w:szCs w:val="24"/>
        </w:rPr>
        <w:t>.</w:t>
      </w:r>
    </w:p>
    <w:p w:rsidR="007F2DCA" w:rsidRPr="00CB77FD" w:rsidP="00C44B68" w14:paraId="37B86B1E" w14:textId="77777777">
      <w:pPr>
        <w:spacing w:after="0" w:line="240" w:lineRule="auto"/>
        <w:rPr>
          <w:rFonts w:ascii="Times New Roman" w:hAnsi="Times New Roman"/>
          <w:sz w:val="24"/>
          <w:szCs w:val="24"/>
        </w:rPr>
      </w:pPr>
    </w:p>
    <w:p w:rsidR="00746778" w:rsidRPr="00CB77FD" w:rsidP="00C44B68" w14:paraId="5CBB22FD" w14:textId="3CC272A7">
      <w:pPr>
        <w:spacing w:after="0" w:line="240" w:lineRule="auto"/>
        <w:rPr>
          <w:rFonts w:ascii="Times New Roman" w:hAnsi="Times New Roman"/>
          <w:sz w:val="24"/>
          <w:szCs w:val="24"/>
          <w:u w:val="single"/>
        </w:rPr>
      </w:pPr>
      <w:r w:rsidRPr="00CB77FD">
        <w:rPr>
          <w:rFonts w:ascii="Times New Roman" w:hAnsi="Times New Roman"/>
          <w:sz w:val="24"/>
          <w:szCs w:val="24"/>
        </w:rPr>
        <w:t xml:space="preserve">6.  </w:t>
      </w:r>
      <w:r w:rsidRPr="00CB77FD">
        <w:rPr>
          <w:rFonts w:ascii="Times New Roman" w:hAnsi="Times New Roman"/>
          <w:sz w:val="24"/>
          <w:szCs w:val="24"/>
          <w:u w:val="single"/>
        </w:rPr>
        <w:t>Consequences of Collecting the Information Less Frequently</w:t>
      </w:r>
    </w:p>
    <w:p w:rsidR="00A8071A" w:rsidRPr="00CB77FD" w:rsidP="00C44B68" w14:paraId="0AB545DD" w14:textId="77777777">
      <w:pPr>
        <w:spacing w:after="0" w:line="240" w:lineRule="auto"/>
        <w:rPr>
          <w:rFonts w:ascii="Times New Roman" w:hAnsi="Times New Roman"/>
          <w:sz w:val="24"/>
          <w:szCs w:val="24"/>
        </w:rPr>
      </w:pPr>
    </w:p>
    <w:p w:rsidR="00BC6F6F" w:rsidRPr="00CB77FD" w:rsidP="00C44B68" w14:paraId="19FBEEF4" w14:textId="31C1E5BE">
      <w:pPr>
        <w:autoSpaceDE w:val="0"/>
        <w:autoSpaceDN w:val="0"/>
        <w:adjustRightInd w:val="0"/>
        <w:spacing w:after="0" w:line="240" w:lineRule="auto"/>
        <w:rPr>
          <w:rFonts w:ascii="Times New Roman" w:eastAsia="Times New Roman" w:hAnsi="Times New Roman"/>
          <w:sz w:val="24"/>
          <w:szCs w:val="24"/>
        </w:rPr>
      </w:pPr>
      <w:r w:rsidRPr="00CB77FD">
        <w:rPr>
          <w:rFonts w:ascii="Times New Roman" w:eastAsia="Times New Roman" w:hAnsi="Times New Roman"/>
          <w:sz w:val="24"/>
          <w:szCs w:val="24"/>
        </w:rPr>
        <w:t>The information collection schedule</w:t>
      </w:r>
      <w:r w:rsidR="00CB77FD">
        <w:rPr>
          <w:rFonts w:ascii="Times New Roman" w:eastAsia="Times New Roman" w:hAnsi="Times New Roman"/>
          <w:sz w:val="24"/>
          <w:szCs w:val="24"/>
        </w:rPr>
        <w:t xml:space="preserve">s recommended </w:t>
      </w:r>
      <w:r w:rsidRPr="00CB77FD">
        <w:rPr>
          <w:rFonts w:ascii="Times New Roman" w:eastAsia="Times New Roman" w:hAnsi="Times New Roman"/>
          <w:sz w:val="24"/>
          <w:szCs w:val="24"/>
        </w:rPr>
        <w:t xml:space="preserve">in the </w:t>
      </w:r>
      <w:r w:rsidR="00CB77FD">
        <w:rPr>
          <w:rFonts w:ascii="Times New Roman" w:eastAsia="Times New Roman" w:hAnsi="Times New Roman"/>
          <w:sz w:val="24"/>
          <w:szCs w:val="24"/>
        </w:rPr>
        <w:t xml:space="preserve">respective </w:t>
      </w:r>
      <w:r w:rsidRPr="00CB77FD">
        <w:rPr>
          <w:rFonts w:ascii="Times New Roman" w:eastAsia="Times New Roman" w:hAnsi="Times New Roman"/>
          <w:sz w:val="24"/>
          <w:szCs w:val="24"/>
        </w:rPr>
        <w:t>guidance</w:t>
      </w:r>
      <w:r w:rsidR="00CB77FD">
        <w:rPr>
          <w:rFonts w:ascii="Times New Roman" w:eastAsia="Times New Roman" w:hAnsi="Times New Roman"/>
          <w:sz w:val="24"/>
          <w:szCs w:val="24"/>
        </w:rPr>
        <w:t xml:space="preserve"> documents are</w:t>
      </w:r>
      <w:r w:rsidRPr="00CB77FD">
        <w:rPr>
          <w:rFonts w:ascii="Times New Roman" w:eastAsia="Times New Roman" w:hAnsi="Times New Roman"/>
          <w:sz w:val="24"/>
          <w:szCs w:val="24"/>
        </w:rPr>
        <w:t xml:space="preserve"> consi</w:t>
      </w:r>
      <w:r w:rsidRPr="00CB77FD" w:rsidR="006B5828">
        <w:rPr>
          <w:rFonts w:ascii="Times New Roman" w:eastAsia="Times New Roman" w:hAnsi="Times New Roman"/>
          <w:sz w:val="24"/>
          <w:szCs w:val="24"/>
        </w:rPr>
        <w:t>s</w:t>
      </w:r>
      <w:r w:rsidRPr="00CB77FD">
        <w:rPr>
          <w:rFonts w:ascii="Times New Roman" w:eastAsia="Times New Roman" w:hAnsi="Times New Roman"/>
          <w:sz w:val="24"/>
          <w:szCs w:val="24"/>
        </w:rPr>
        <w:t xml:space="preserve">tent with applicable </w:t>
      </w:r>
      <w:r w:rsidR="00CB77FD">
        <w:rPr>
          <w:rFonts w:ascii="Times New Roman" w:eastAsia="Times New Roman" w:hAnsi="Times New Roman"/>
          <w:sz w:val="24"/>
          <w:szCs w:val="24"/>
        </w:rPr>
        <w:t xml:space="preserve">statutes and </w:t>
      </w:r>
      <w:r w:rsidRPr="00CB77FD">
        <w:rPr>
          <w:rFonts w:ascii="Times New Roman" w:eastAsia="Times New Roman" w:hAnsi="Times New Roman"/>
          <w:sz w:val="24"/>
          <w:szCs w:val="24"/>
        </w:rPr>
        <w:t>regulations</w:t>
      </w:r>
      <w:r w:rsidR="00CB77FD">
        <w:rPr>
          <w:rFonts w:ascii="Times New Roman" w:eastAsia="Times New Roman" w:hAnsi="Times New Roman"/>
          <w:sz w:val="24"/>
          <w:szCs w:val="24"/>
        </w:rPr>
        <w:t xml:space="preserve">.  Collecting the information </w:t>
      </w:r>
      <w:r w:rsidRPr="00CB77FD" w:rsidR="001B1E95">
        <w:rPr>
          <w:rFonts w:ascii="Times New Roman" w:eastAsia="Times New Roman" w:hAnsi="Times New Roman"/>
          <w:sz w:val="24"/>
          <w:szCs w:val="24"/>
        </w:rPr>
        <w:t>l</w:t>
      </w:r>
      <w:r w:rsidRPr="00CB77FD" w:rsidR="001A44CA">
        <w:rPr>
          <w:rFonts w:ascii="Times New Roman" w:eastAsia="Times New Roman" w:hAnsi="Times New Roman"/>
          <w:sz w:val="24"/>
          <w:szCs w:val="24"/>
        </w:rPr>
        <w:t>ess frequent</w:t>
      </w:r>
      <w:r w:rsidRPr="00CB77FD" w:rsidR="001B1E95">
        <w:rPr>
          <w:rFonts w:ascii="Times New Roman" w:eastAsia="Times New Roman" w:hAnsi="Times New Roman"/>
          <w:sz w:val="24"/>
          <w:szCs w:val="24"/>
        </w:rPr>
        <w:t>ly</w:t>
      </w:r>
      <w:r w:rsidR="00CB77FD">
        <w:rPr>
          <w:rFonts w:ascii="Times New Roman" w:eastAsia="Times New Roman" w:hAnsi="Times New Roman"/>
          <w:sz w:val="24"/>
          <w:szCs w:val="24"/>
        </w:rPr>
        <w:t xml:space="preserve"> </w:t>
      </w:r>
      <w:r w:rsidRPr="00CB77FD" w:rsidR="001A44CA">
        <w:rPr>
          <w:rFonts w:ascii="Times New Roman" w:eastAsia="Times New Roman" w:hAnsi="Times New Roman"/>
          <w:sz w:val="24"/>
          <w:szCs w:val="24"/>
        </w:rPr>
        <w:t>could undermine our ability to monitor unapproved drug products</w:t>
      </w:r>
      <w:r w:rsidR="00CB77FD">
        <w:rPr>
          <w:rFonts w:ascii="Times New Roman" w:eastAsia="Times New Roman" w:hAnsi="Times New Roman"/>
          <w:sz w:val="24"/>
          <w:szCs w:val="24"/>
        </w:rPr>
        <w:t>.</w:t>
      </w:r>
      <w:r w:rsidRPr="00CB77FD" w:rsidR="006B5828">
        <w:rPr>
          <w:rFonts w:ascii="Times New Roman" w:eastAsia="Times New Roman" w:hAnsi="Times New Roman"/>
          <w:sz w:val="24"/>
          <w:szCs w:val="24"/>
        </w:rPr>
        <w:t xml:space="preserve"> </w:t>
      </w:r>
    </w:p>
    <w:p w:rsidR="00BC6F6F" w:rsidP="00C44B68" w14:paraId="434825EF" w14:textId="201537DF">
      <w:pPr>
        <w:autoSpaceDE w:val="0"/>
        <w:autoSpaceDN w:val="0"/>
        <w:adjustRightInd w:val="0"/>
        <w:spacing w:after="0" w:line="240" w:lineRule="auto"/>
        <w:rPr>
          <w:rFonts w:ascii="Times New Roman" w:eastAsia="Times New Roman" w:hAnsi="Times New Roman"/>
          <w:sz w:val="24"/>
          <w:szCs w:val="24"/>
        </w:rPr>
      </w:pPr>
    </w:p>
    <w:p w:rsidR="00CC38D2" w:rsidRPr="00CB77FD" w:rsidP="00C44B68" w14:paraId="690D1F08" w14:textId="77777777">
      <w:pPr>
        <w:autoSpaceDE w:val="0"/>
        <w:autoSpaceDN w:val="0"/>
        <w:adjustRightInd w:val="0"/>
        <w:spacing w:after="0" w:line="240" w:lineRule="auto"/>
        <w:rPr>
          <w:rFonts w:ascii="Times New Roman" w:eastAsia="Times New Roman" w:hAnsi="Times New Roman"/>
          <w:sz w:val="24"/>
          <w:szCs w:val="24"/>
        </w:rPr>
      </w:pPr>
    </w:p>
    <w:p w:rsidR="00746778" w:rsidRPr="00CB77FD" w:rsidP="00C44B68" w14:paraId="3FE56C04" w14:textId="31EF6F8D">
      <w:pPr>
        <w:autoSpaceDE w:val="0"/>
        <w:autoSpaceDN w:val="0"/>
        <w:adjustRightInd w:val="0"/>
        <w:spacing w:after="0" w:line="240" w:lineRule="auto"/>
        <w:rPr>
          <w:rFonts w:ascii="Times New Roman" w:eastAsia="Times New Roman" w:hAnsi="Times New Roman"/>
          <w:sz w:val="24"/>
          <w:szCs w:val="24"/>
        </w:rPr>
      </w:pPr>
      <w:r w:rsidRPr="00CB77FD">
        <w:rPr>
          <w:rFonts w:ascii="Times New Roman" w:hAnsi="Times New Roman"/>
          <w:sz w:val="24"/>
          <w:szCs w:val="24"/>
        </w:rPr>
        <w:t xml:space="preserve">7.  </w:t>
      </w:r>
      <w:r w:rsidRPr="00CB77FD">
        <w:rPr>
          <w:rFonts w:ascii="Times New Roman" w:hAnsi="Times New Roman"/>
          <w:sz w:val="24"/>
          <w:szCs w:val="24"/>
          <w:u w:val="single"/>
        </w:rPr>
        <w:t xml:space="preserve">Special Circumstances Relating to the Guidelines in 5 CFR </w:t>
      </w:r>
      <w:r w:rsidRPr="00CB77FD" w:rsidR="007522B4">
        <w:rPr>
          <w:rFonts w:ascii="Times New Roman" w:hAnsi="Times New Roman"/>
          <w:sz w:val="24"/>
          <w:szCs w:val="24"/>
          <w:u w:val="single"/>
        </w:rPr>
        <w:t xml:space="preserve">§ </w:t>
      </w:r>
      <w:r w:rsidRPr="00CB77FD">
        <w:rPr>
          <w:rFonts w:ascii="Times New Roman" w:hAnsi="Times New Roman"/>
          <w:sz w:val="24"/>
          <w:szCs w:val="24"/>
          <w:u w:val="single"/>
        </w:rPr>
        <w:t>1320.5</w:t>
      </w:r>
    </w:p>
    <w:p w:rsidR="00BC6F6F" w:rsidRPr="00CB77FD" w:rsidP="00C44B68" w14:paraId="65C428EA" w14:textId="77777777">
      <w:pPr>
        <w:spacing w:after="0" w:line="240" w:lineRule="auto"/>
        <w:ind w:firstLine="720"/>
        <w:rPr>
          <w:rFonts w:ascii="Times New Roman" w:hAnsi="Times New Roman"/>
          <w:sz w:val="24"/>
          <w:szCs w:val="24"/>
        </w:rPr>
      </w:pPr>
    </w:p>
    <w:p w:rsidR="00BC6F6F" w:rsidP="00C44B68" w14:paraId="2A613C8A" w14:textId="037A02F5">
      <w:pPr>
        <w:spacing w:after="0" w:line="240" w:lineRule="auto"/>
        <w:rPr>
          <w:rFonts w:ascii="Times New Roman" w:hAnsi="Times New Roman"/>
          <w:sz w:val="24"/>
          <w:szCs w:val="24"/>
        </w:rPr>
      </w:pPr>
      <w:bookmarkStart w:id="7" w:name="_Hlk77225762"/>
      <w:r w:rsidRPr="00CB77FD">
        <w:rPr>
          <w:rFonts w:ascii="Times New Roman" w:hAnsi="Times New Roman"/>
          <w:sz w:val="24"/>
          <w:szCs w:val="24"/>
        </w:rPr>
        <w:t>N</w:t>
      </w:r>
      <w:r w:rsidRPr="00CB77FD" w:rsidR="00746778">
        <w:rPr>
          <w:rFonts w:ascii="Times New Roman" w:hAnsi="Times New Roman"/>
          <w:sz w:val="24"/>
          <w:szCs w:val="24"/>
        </w:rPr>
        <w:t xml:space="preserve">o special circumstances </w:t>
      </w:r>
      <w:r w:rsidRPr="00CB77FD" w:rsidR="00834EB5">
        <w:rPr>
          <w:rFonts w:ascii="Times New Roman" w:hAnsi="Times New Roman"/>
          <w:sz w:val="24"/>
          <w:szCs w:val="24"/>
        </w:rPr>
        <w:t xml:space="preserve">are associated with </w:t>
      </w:r>
      <w:r w:rsidRPr="00CB77FD" w:rsidR="00746778">
        <w:rPr>
          <w:rFonts w:ascii="Times New Roman" w:hAnsi="Times New Roman"/>
          <w:sz w:val="24"/>
          <w:szCs w:val="24"/>
        </w:rPr>
        <w:t xml:space="preserve">this information collection.  </w:t>
      </w:r>
      <w:bookmarkEnd w:id="7"/>
    </w:p>
    <w:p w:rsidR="001A19F9" w:rsidRPr="00CB77FD" w:rsidP="00C44B68" w14:paraId="6E18A2EA" w14:textId="77777777">
      <w:pPr>
        <w:spacing w:after="0" w:line="240" w:lineRule="auto"/>
        <w:rPr>
          <w:rFonts w:ascii="Times New Roman" w:hAnsi="Times New Roman"/>
          <w:sz w:val="24"/>
          <w:szCs w:val="24"/>
        </w:rPr>
      </w:pPr>
    </w:p>
    <w:p w:rsidR="00765FE7" w:rsidRPr="00CB77FD" w:rsidP="00C44B68" w14:paraId="467D2195" w14:textId="1F113D3F">
      <w:pPr>
        <w:spacing w:after="0" w:line="240" w:lineRule="auto"/>
        <w:rPr>
          <w:rFonts w:ascii="Times New Roman" w:hAnsi="Times New Roman"/>
          <w:sz w:val="24"/>
          <w:szCs w:val="24"/>
        </w:rPr>
      </w:pPr>
      <w:r w:rsidRPr="00CB77FD">
        <w:rPr>
          <w:rFonts w:ascii="Times New Roman" w:hAnsi="Times New Roman"/>
          <w:sz w:val="24"/>
          <w:szCs w:val="24"/>
        </w:rPr>
        <w:t xml:space="preserve">8.  </w:t>
      </w:r>
      <w:r w:rsidRPr="00CB77FD">
        <w:rPr>
          <w:rFonts w:ascii="Times New Roman" w:hAnsi="Times New Roman"/>
          <w:sz w:val="24"/>
          <w:szCs w:val="24"/>
          <w:u w:val="single"/>
        </w:rPr>
        <w:t>Comments in</w:t>
      </w:r>
      <w:r w:rsidRPr="006F521F" w:rsidR="006F521F">
        <w:rPr>
          <w:rFonts w:ascii="Times New Roman" w:hAnsi="Times New Roman"/>
          <w:sz w:val="24"/>
          <w:szCs w:val="24"/>
          <w:u w:val="single"/>
        </w:rPr>
        <w:t xml:space="preserve"> Response to the </w:t>
      </w:r>
      <w:r w:rsidRPr="0057347B" w:rsidR="006F521F">
        <w:rPr>
          <w:rFonts w:ascii="Times New Roman" w:hAnsi="Times New Roman"/>
          <w:i/>
          <w:iCs/>
          <w:sz w:val="24"/>
          <w:szCs w:val="24"/>
          <w:u w:val="single"/>
        </w:rPr>
        <w:t>Federal Register</w:t>
      </w:r>
      <w:r w:rsidRPr="006F521F" w:rsidR="006F521F">
        <w:rPr>
          <w:rFonts w:ascii="Times New Roman" w:hAnsi="Times New Roman"/>
          <w:sz w:val="24"/>
          <w:szCs w:val="24"/>
          <w:u w:val="single"/>
        </w:rPr>
        <w:t xml:space="preserve"> Notice and Efforts to Consult Outside the Agency</w:t>
      </w:r>
    </w:p>
    <w:p w:rsidR="00BC6F6F" w:rsidRPr="00CB77FD" w:rsidP="00C44B68" w14:paraId="372C4402" w14:textId="77777777">
      <w:pPr>
        <w:spacing w:after="0" w:line="240" w:lineRule="auto"/>
        <w:ind w:firstLine="720"/>
        <w:rPr>
          <w:rFonts w:ascii="Times New Roman" w:hAnsi="Times New Roman"/>
          <w:sz w:val="24"/>
          <w:szCs w:val="24"/>
        </w:rPr>
      </w:pPr>
    </w:p>
    <w:p w:rsidR="00CB77FD" w:rsidP="004C5ACD" w14:paraId="779A379B" w14:textId="17135F22">
      <w:pPr>
        <w:spacing w:after="0" w:line="240" w:lineRule="auto"/>
        <w:rPr>
          <w:rFonts w:ascii="Times New Roman" w:hAnsi="Times New Roman"/>
          <w:sz w:val="24"/>
          <w:szCs w:val="24"/>
        </w:rPr>
      </w:pPr>
      <w:r w:rsidRPr="00CB77FD">
        <w:rPr>
          <w:rFonts w:ascii="Times New Roman" w:hAnsi="Times New Roman"/>
          <w:sz w:val="24"/>
          <w:szCs w:val="24"/>
        </w:rPr>
        <w:t xml:space="preserve">In </w:t>
      </w:r>
      <w:r w:rsidRPr="00CB77FD" w:rsidR="00465776">
        <w:rPr>
          <w:rFonts w:ascii="Times New Roman" w:hAnsi="Times New Roman"/>
          <w:sz w:val="24"/>
          <w:szCs w:val="24"/>
        </w:rPr>
        <w:t xml:space="preserve">the </w:t>
      </w:r>
      <w:r w:rsidRPr="00030CB2" w:rsidR="00465776">
        <w:rPr>
          <w:rFonts w:ascii="Times New Roman" w:hAnsi="Times New Roman"/>
          <w:sz w:val="24"/>
          <w:szCs w:val="24"/>
          <w:u w:val="single"/>
        </w:rPr>
        <w:t>Federal Register</w:t>
      </w:r>
      <w:r w:rsidRPr="00CB77FD" w:rsidR="00465776">
        <w:rPr>
          <w:rFonts w:ascii="Times New Roman" w:hAnsi="Times New Roman"/>
          <w:sz w:val="24"/>
          <w:szCs w:val="24"/>
        </w:rPr>
        <w:t xml:space="preserve"> of</w:t>
      </w:r>
      <w:r w:rsidR="00CD7422">
        <w:rPr>
          <w:rFonts w:ascii="Times New Roman" w:hAnsi="Times New Roman"/>
          <w:sz w:val="24"/>
          <w:szCs w:val="24"/>
        </w:rPr>
        <w:t xml:space="preserve"> </w:t>
      </w:r>
      <w:r w:rsidR="00E53908">
        <w:rPr>
          <w:rFonts w:ascii="Times New Roman" w:hAnsi="Times New Roman"/>
          <w:sz w:val="24"/>
          <w:szCs w:val="24"/>
        </w:rPr>
        <w:t>06/12/24</w:t>
      </w:r>
      <w:r w:rsidR="00670FDC">
        <w:rPr>
          <w:rFonts w:ascii="Times New Roman" w:hAnsi="Times New Roman"/>
          <w:sz w:val="24"/>
          <w:szCs w:val="24"/>
        </w:rPr>
        <w:t xml:space="preserve"> </w:t>
      </w:r>
      <w:r w:rsidRPr="00CB77FD" w:rsidR="00465776">
        <w:rPr>
          <w:rFonts w:ascii="Times New Roman" w:hAnsi="Times New Roman"/>
          <w:sz w:val="24"/>
          <w:szCs w:val="24"/>
        </w:rPr>
        <w:t>(8</w:t>
      </w:r>
      <w:r w:rsidR="00D463EE">
        <w:rPr>
          <w:rFonts w:ascii="Times New Roman" w:hAnsi="Times New Roman"/>
          <w:sz w:val="24"/>
          <w:szCs w:val="24"/>
        </w:rPr>
        <w:t>9</w:t>
      </w:r>
      <w:r w:rsidRPr="00CB77FD" w:rsidR="00465776">
        <w:rPr>
          <w:rFonts w:ascii="Times New Roman" w:hAnsi="Times New Roman"/>
          <w:sz w:val="24"/>
          <w:szCs w:val="24"/>
        </w:rPr>
        <w:t xml:space="preserve"> FR </w:t>
      </w:r>
      <w:r w:rsidR="00E53908">
        <w:rPr>
          <w:rFonts w:ascii="Times New Roman" w:hAnsi="Times New Roman"/>
          <w:sz w:val="24"/>
          <w:szCs w:val="24"/>
        </w:rPr>
        <w:t>49880</w:t>
      </w:r>
      <w:r w:rsidRPr="00CB77FD" w:rsidR="00465776">
        <w:rPr>
          <w:rFonts w:ascii="Times New Roman" w:hAnsi="Times New Roman"/>
          <w:sz w:val="24"/>
          <w:szCs w:val="24"/>
        </w:rPr>
        <w:t>)</w:t>
      </w:r>
      <w:r w:rsidRPr="00CB77FD">
        <w:rPr>
          <w:rFonts w:ascii="Times New Roman" w:hAnsi="Times New Roman"/>
          <w:sz w:val="24"/>
          <w:szCs w:val="24"/>
        </w:rPr>
        <w:t xml:space="preserve">, we published a 60-day notice </w:t>
      </w:r>
      <w:r w:rsidR="004C5ACD">
        <w:rPr>
          <w:rFonts w:ascii="Times New Roman" w:hAnsi="Times New Roman"/>
          <w:sz w:val="24"/>
          <w:szCs w:val="24"/>
        </w:rPr>
        <w:t xml:space="preserve">requesting </w:t>
      </w:r>
      <w:r w:rsidRPr="00CB77FD">
        <w:rPr>
          <w:rFonts w:ascii="Times New Roman" w:hAnsi="Times New Roman"/>
          <w:sz w:val="24"/>
          <w:szCs w:val="24"/>
        </w:rPr>
        <w:t>public comment on the proposed collection of information.</w:t>
      </w:r>
      <w:r w:rsidR="00670FDC">
        <w:rPr>
          <w:rFonts w:ascii="Times New Roman" w:hAnsi="Times New Roman"/>
          <w:sz w:val="24"/>
          <w:szCs w:val="24"/>
        </w:rPr>
        <w:t xml:space="preserve">  No comments were received.</w:t>
      </w:r>
      <w:r w:rsidRPr="00CB77FD">
        <w:rPr>
          <w:rFonts w:ascii="Times New Roman" w:hAnsi="Times New Roman"/>
          <w:sz w:val="24"/>
          <w:szCs w:val="24"/>
        </w:rPr>
        <w:t xml:space="preserve">  </w:t>
      </w:r>
    </w:p>
    <w:p w:rsidR="004C5ACD" w:rsidRPr="00CB77FD" w:rsidP="004C5ACD" w14:paraId="0D5CC1B5" w14:textId="77777777">
      <w:pPr>
        <w:spacing w:after="0" w:line="240" w:lineRule="auto"/>
        <w:rPr>
          <w:rFonts w:ascii="Times New Roman" w:hAnsi="Times New Roman"/>
          <w:sz w:val="24"/>
          <w:szCs w:val="24"/>
        </w:rPr>
      </w:pPr>
    </w:p>
    <w:p w:rsidR="009342D9" w:rsidRPr="00CB77FD" w:rsidP="00C44B68" w14:paraId="59008759" w14:textId="62046759">
      <w:pPr>
        <w:spacing w:after="0" w:line="240" w:lineRule="auto"/>
        <w:rPr>
          <w:rFonts w:ascii="Times New Roman" w:hAnsi="Times New Roman"/>
          <w:sz w:val="24"/>
          <w:szCs w:val="24"/>
        </w:rPr>
      </w:pPr>
      <w:r w:rsidRPr="00CB77FD">
        <w:rPr>
          <w:rFonts w:ascii="Times New Roman" w:hAnsi="Times New Roman"/>
          <w:sz w:val="24"/>
          <w:szCs w:val="24"/>
        </w:rPr>
        <w:t xml:space="preserve">9.  </w:t>
      </w:r>
      <w:r w:rsidRPr="00CB77FD">
        <w:rPr>
          <w:rFonts w:ascii="Times New Roman" w:hAnsi="Times New Roman"/>
          <w:sz w:val="24"/>
          <w:szCs w:val="24"/>
          <w:u w:val="single"/>
        </w:rPr>
        <w:t>Explanation of Any Payment or Gift to Respondents</w:t>
      </w:r>
    </w:p>
    <w:p w:rsidR="00BC6F6F" w:rsidRPr="00CB77FD" w:rsidP="00C44B68" w14:paraId="069FB04D" w14:textId="77777777">
      <w:pPr>
        <w:spacing w:after="0" w:line="240" w:lineRule="auto"/>
        <w:rPr>
          <w:rFonts w:ascii="Times New Roman" w:hAnsi="Times New Roman"/>
          <w:sz w:val="24"/>
          <w:szCs w:val="24"/>
        </w:rPr>
      </w:pPr>
    </w:p>
    <w:p w:rsidR="009342D9" w:rsidRPr="00CB77FD" w:rsidP="00C44B68" w14:paraId="58834DD9" w14:textId="41E4046D">
      <w:pPr>
        <w:spacing w:after="0" w:line="240" w:lineRule="auto"/>
        <w:rPr>
          <w:rFonts w:ascii="Times New Roman" w:hAnsi="Times New Roman"/>
          <w:sz w:val="24"/>
          <w:szCs w:val="24"/>
        </w:rPr>
      </w:pPr>
      <w:r>
        <w:rPr>
          <w:rFonts w:ascii="Times New Roman" w:hAnsi="Times New Roman"/>
          <w:sz w:val="24"/>
          <w:szCs w:val="24"/>
        </w:rPr>
        <w:t>There are n</w:t>
      </w:r>
      <w:r w:rsidRPr="00CB77FD" w:rsidR="00AF028E">
        <w:rPr>
          <w:rFonts w:ascii="Times New Roman" w:hAnsi="Times New Roman"/>
          <w:sz w:val="24"/>
          <w:szCs w:val="24"/>
        </w:rPr>
        <w:t>o incentives, payments</w:t>
      </w:r>
      <w:r w:rsidRPr="00CB77FD" w:rsidR="00A8071A">
        <w:rPr>
          <w:rFonts w:ascii="Times New Roman" w:hAnsi="Times New Roman"/>
          <w:sz w:val="24"/>
          <w:szCs w:val="24"/>
        </w:rPr>
        <w:t>,</w:t>
      </w:r>
      <w:r w:rsidRPr="00CB77FD" w:rsidR="00AF028E">
        <w:rPr>
          <w:rFonts w:ascii="Times New Roman" w:hAnsi="Times New Roman"/>
          <w:sz w:val="24"/>
          <w:szCs w:val="24"/>
        </w:rPr>
        <w:t xml:space="preserve"> or gifts </w:t>
      </w:r>
      <w:r w:rsidRPr="00CB77FD" w:rsidR="00A8071A">
        <w:rPr>
          <w:rFonts w:ascii="Times New Roman" w:hAnsi="Times New Roman"/>
          <w:sz w:val="24"/>
          <w:szCs w:val="24"/>
        </w:rPr>
        <w:t xml:space="preserve">are </w:t>
      </w:r>
      <w:r w:rsidRPr="00CB77FD" w:rsidR="00AF028E">
        <w:rPr>
          <w:rFonts w:ascii="Times New Roman" w:hAnsi="Times New Roman"/>
          <w:sz w:val="24"/>
          <w:szCs w:val="24"/>
        </w:rPr>
        <w:t>associated with this information collection.</w:t>
      </w:r>
    </w:p>
    <w:p w:rsidR="007F2DCA" w:rsidRPr="00CB77FD" w:rsidP="00C44B68" w14:paraId="5D39063B" w14:textId="77777777">
      <w:pPr>
        <w:spacing w:after="0" w:line="240" w:lineRule="auto"/>
        <w:rPr>
          <w:rFonts w:ascii="Times New Roman" w:hAnsi="Times New Roman"/>
          <w:sz w:val="24"/>
          <w:szCs w:val="24"/>
        </w:rPr>
      </w:pPr>
    </w:p>
    <w:p w:rsidR="009342D9" w:rsidRPr="00CB77FD" w:rsidP="00C44B68" w14:paraId="404E683B" w14:textId="17B1E53E">
      <w:pPr>
        <w:spacing w:after="0" w:line="240" w:lineRule="auto"/>
        <w:rPr>
          <w:rFonts w:ascii="Times New Roman" w:hAnsi="Times New Roman"/>
          <w:sz w:val="24"/>
          <w:szCs w:val="24"/>
        </w:rPr>
      </w:pPr>
      <w:r w:rsidRPr="00CB77FD">
        <w:rPr>
          <w:rFonts w:ascii="Times New Roman" w:hAnsi="Times New Roman"/>
          <w:sz w:val="24"/>
          <w:szCs w:val="24"/>
        </w:rPr>
        <w:t xml:space="preserve">10.  </w:t>
      </w:r>
      <w:r w:rsidRPr="00CB77FD">
        <w:rPr>
          <w:rFonts w:ascii="Times New Roman" w:hAnsi="Times New Roman"/>
          <w:sz w:val="24"/>
          <w:szCs w:val="24"/>
          <w:u w:val="single"/>
        </w:rPr>
        <w:t>Assurance of Confidentiality Provided to Respondents</w:t>
      </w:r>
    </w:p>
    <w:p w:rsidR="00BC6F6F" w:rsidP="00C44B68" w14:paraId="003FB2E7" w14:textId="19944A7F">
      <w:pPr>
        <w:spacing w:after="0" w:line="240" w:lineRule="auto"/>
        <w:rPr>
          <w:rFonts w:ascii="Times New Roman" w:hAnsi="Times New Roman"/>
          <w:sz w:val="24"/>
          <w:szCs w:val="24"/>
        </w:rPr>
      </w:pPr>
    </w:p>
    <w:p w:rsidR="00D463EE" w:rsidRPr="0057347B" w:rsidP="00D463EE" w14:paraId="55F65D20" w14:textId="1AAAEF59">
      <w:pPr>
        <w:spacing w:after="0" w:line="240" w:lineRule="auto"/>
        <w:rPr>
          <w:rFonts w:ascii="Times New Roman" w:hAnsi="Times New Roman"/>
          <w:sz w:val="24"/>
          <w:szCs w:val="24"/>
        </w:rPr>
      </w:pPr>
      <w:r w:rsidRPr="0057347B">
        <w:rPr>
          <w:rFonts w:ascii="Times New Roman" w:hAnsi="Times New Roman"/>
          <w:sz w:val="24"/>
          <w:szCs w:val="24"/>
        </w:rPr>
        <w:t>In preparing this Supporting Statement, we consulted our Privacy Office to ensure appropriate identification and handling of information collected.</w:t>
      </w:r>
      <w:r w:rsidR="00BE7DF6">
        <w:rPr>
          <w:rFonts w:ascii="Times New Roman" w:hAnsi="Times New Roman"/>
          <w:sz w:val="24"/>
          <w:szCs w:val="24"/>
        </w:rPr>
        <w:t xml:space="preserve">  Data will be kept private to the extent provided by law.</w:t>
      </w:r>
    </w:p>
    <w:p w:rsidR="00D463EE" w:rsidRPr="0057347B" w:rsidP="00D463EE" w14:paraId="675F84DE" w14:textId="77777777">
      <w:pPr>
        <w:spacing w:after="0" w:line="240" w:lineRule="auto"/>
        <w:rPr>
          <w:rFonts w:ascii="Times New Roman" w:hAnsi="Times New Roman"/>
          <w:sz w:val="24"/>
          <w:szCs w:val="24"/>
        </w:rPr>
      </w:pPr>
    </w:p>
    <w:p w:rsidR="000B2CD1" w:rsidP="008E5550" w14:paraId="2E65FC7F" w14:textId="5D482BF2">
      <w:pPr>
        <w:spacing w:after="0" w:line="240" w:lineRule="auto"/>
        <w:rPr>
          <w:rFonts w:ascii="Times New Roman" w:hAnsi="Times New Roman"/>
          <w:sz w:val="24"/>
          <w:szCs w:val="24"/>
        </w:rPr>
      </w:pPr>
      <w:r>
        <w:rPr>
          <w:rFonts w:ascii="Times New Roman" w:hAnsi="Times New Roman"/>
          <w:sz w:val="24"/>
          <w:szCs w:val="24"/>
        </w:rPr>
        <w:t>The Privacy Act</w:t>
      </w:r>
      <w:r w:rsidR="008E5550">
        <w:rPr>
          <w:rFonts w:ascii="Times New Roman" w:hAnsi="Times New Roman"/>
          <w:sz w:val="24"/>
          <w:szCs w:val="24"/>
        </w:rPr>
        <w:t xml:space="preserve"> of 1974</w:t>
      </w:r>
    </w:p>
    <w:p w:rsidR="000B2CD1" w:rsidP="00D463EE" w14:paraId="6DB38858" w14:textId="77777777">
      <w:pPr>
        <w:spacing w:after="0" w:line="240" w:lineRule="auto"/>
        <w:rPr>
          <w:rFonts w:ascii="Times New Roman" w:hAnsi="Times New Roman"/>
          <w:sz w:val="24"/>
          <w:szCs w:val="24"/>
        </w:rPr>
      </w:pPr>
    </w:p>
    <w:p w:rsidR="00D463EE" w:rsidP="00D463EE" w14:paraId="5679163C" w14:textId="5B1A86DE">
      <w:pPr>
        <w:spacing w:after="0" w:line="240" w:lineRule="auto"/>
        <w:rPr>
          <w:rFonts w:ascii="Times New Roman" w:hAnsi="Times New Roman"/>
          <w:sz w:val="24"/>
          <w:szCs w:val="24"/>
        </w:rPr>
      </w:pPr>
      <w:r w:rsidRPr="0057347B">
        <w:rPr>
          <w:rFonts w:ascii="Times New Roman" w:hAnsi="Times New Roman"/>
          <w:sz w:val="24"/>
          <w:szCs w:val="24"/>
        </w:rPr>
        <w:t>This ICR collects personally identifiable information (PII).  PII is collected in the context of the subject individuals’ professional capacity and the FDA-related work perform</w:t>
      </w:r>
      <w:r w:rsidR="008E5550">
        <w:rPr>
          <w:rFonts w:ascii="Times New Roman" w:hAnsi="Times New Roman"/>
          <w:sz w:val="24"/>
          <w:szCs w:val="24"/>
        </w:rPr>
        <w:t>ed</w:t>
      </w:r>
      <w:r w:rsidRPr="0057347B">
        <w:rPr>
          <w:rFonts w:ascii="Times New Roman" w:hAnsi="Times New Roman"/>
          <w:sz w:val="24"/>
          <w:szCs w:val="24"/>
        </w:rPr>
        <w:t xml:space="preserve"> for their employer (e.g., point of contact at a regulated entity).  The PII submitted via the CDER Direct Electronic Submissions Portal is name, address, telephone number, and email address of drug product report submitter. </w:t>
      </w:r>
      <w:r w:rsidR="005D23C6">
        <w:rPr>
          <w:rFonts w:ascii="Times New Roman" w:hAnsi="Times New Roman"/>
          <w:sz w:val="24"/>
          <w:szCs w:val="24"/>
        </w:rPr>
        <w:t xml:space="preserve"> </w:t>
      </w:r>
      <w:r w:rsidR="008E5550">
        <w:rPr>
          <w:rFonts w:ascii="Times New Roman" w:hAnsi="Times New Roman"/>
          <w:sz w:val="24"/>
          <w:szCs w:val="24"/>
        </w:rPr>
        <w:t>We have</w:t>
      </w:r>
      <w:r w:rsidRPr="0057347B">
        <w:rPr>
          <w:rFonts w:ascii="Times New Roman" w:hAnsi="Times New Roman"/>
          <w:sz w:val="24"/>
          <w:szCs w:val="24"/>
        </w:rPr>
        <w:t xml:space="preserve"> determined that although PII is collected, the collection is not subject to the Privacy Act of 1974 and the particular notice and other requirements of the </w:t>
      </w:r>
      <w:r w:rsidR="008E5550">
        <w:rPr>
          <w:rFonts w:ascii="Times New Roman" w:hAnsi="Times New Roman"/>
          <w:sz w:val="24"/>
          <w:szCs w:val="24"/>
        </w:rPr>
        <w:t xml:space="preserve">Privacy </w:t>
      </w:r>
      <w:r w:rsidRPr="0057347B">
        <w:rPr>
          <w:rFonts w:ascii="Times New Roman" w:hAnsi="Times New Roman"/>
          <w:sz w:val="24"/>
          <w:szCs w:val="24"/>
        </w:rPr>
        <w:t xml:space="preserve">Act do not apply. </w:t>
      </w:r>
      <w:r w:rsidR="005D23C6">
        <w:rPr>
          <w:rFonts w:ascii="Times New Roman" w:hAnsi="Times New Roman"/>
          <w:sz w:val="24"/>
          <w:szCs w:val="24"/>
        </w:rPr>
        <w:t xml:space="preserve"> </w:t>
      </w:r>
      <w:r w:rsidRPr="0057347B">
        <w:rPr>
          <w:rFonts w:ascii="Times New Roman" w:hAnsi="Times New Roman"/>
          <w:sz w:val="24"/>
          <w:szCs w:val="24"/>
        </w:rPr>
        <w:t>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0B2CD1" w:rsidP="00D463EE" w14:paraId="32D6BB61" w14:textId="52B2A9E9">
      <w:pPr>
        <w:spacing w:after="0" w:line="240" w:lineRule="auto"/>
        <w:rPr>
          <w:rFonts w:ascii="Times New Roman" w:hAnsi="Times New Roman"/>
          <w:sz w:val="24"/>
          <w:szCs w:val="24"/>
        </w:rPr>
      </w:pPr>
    </w:p>
    <w:p w:rsidR="000B2CD1" w:rsidRPr="0057347B" w:rsidP="008E5550" w14:paraId="2B2D4223" w14:textId="7BA8CBFB">
      <w:pPr>
        <w:spacing w:after="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Freedom of Information Act</w:t>
      </w:r>
    </w:p>
    <w:p w:rsidR="00D463EE" w:rsidRPr="0057347B" w:rsidP="00D463EE" w14:paraId="7E56D09D" w14:textId="77777777">
      <w:pPr>
        <w:spacing w:after="0" w:line="240" w:lineRule="auto"/>
        <w:rPr>
          <w:rFonts w:ascii="Times New Roman" w:hAnsi="Times New Roman"/>
          <w:sz w:val="24"/>
          <w:szCs w:val="24"/>
        </w:rPr>
      </w:pPr>
    </w:p>
    <w:p w:rsidR="00D463EE" w:rsidRPr="0057347B" w:rsidP="00D463EE" w14:paraId="638E088D" w14:textId="7F3E1B9A">
      <w:pPr>
        <w:spacing w:after="0" w:line="240" w:lineRule="auto"/>
        <w:rPr>
          <w:rFonts w:ascii="Times New Roman" w:hAnsi="Times New Roman"/>
          <w:sz w:val="24"/>
          <w:szCs w:val="24"/>
        </w:rPr>
      </w:pPr>
      <w:r w:rsidRPr="0057347B">
        <w:rPr>
          <w:rFonts w:ascii="Times New Roman" w:hAnsi="Times New Roman"/>
          <w:sz w:val="24"/>
          <w:szCs w:val="24"/>
        </w:rPr>
        <w:t xml:space="preserve">Under the Freedom of Information Act (FOIA) (5 U.S.C. 552), the public has broad access to government documents. </w:t>
      </w:r>
      <w:r w:rsidR="005D23C6">
        <w:rPr>
          <w:rFonts w:ascii="Times New Roman" w:hAnsi="Times New Roman"/>
          <w:sz w:val="24"/>
          <w:szCs w:val="24"/>
        </w:rPr>
        <w:t xml:space="preserve"> </w:t>
      </w:r>
      <w:r w:rsidRPr="0057347B">
        <w:rPr>
          <w:rFonts w:ascii="Times New Roman" w:hAnsi="Times New Roman"/>
          <w:sz w:val="24"/>
          <w:szCs w:val="24"/>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D463EE" w:rsidP="00C44B68" w14:paraId="68FAB55D" w14:textId="376C5883">
      <w:pPr>
        <w:spacing w:after="0" w:line="240" w:lineRule="auto"/>
        <w:rPr>
          <w:rFonts w:ascii="Times New Roman" w:hAnsi="Times New Roman"/>
          <w:sz w:val="24"/>
          <w:szCs w:val="24"/>
        </w:rPr>
      </w:pPr>
    </w:p>
    <w:p w:rsidR="00CC38D2" w:rsidP="00C44B68" w14:paraId="528C74ED" w14:textId="716E920B">
      <w:pPr>
        <w:spacing w:after="0" w:line="240" w:lineRule="auto"/>
        <w:rPr>
          <w:rFonts w:ascii="Times New Roman" w:hAnsi="Times New Roman"/>
          <w:sz w:val="24"/>
          <w:szCs w:val="24"/>
        </w:rPr>
      </w:pPr>
    </w:p>
    <w:p w:rsidR="00CC38D2" w:rsidP="00C44B68" w14:paraId="39E5AA0E" w14:textId="3AB9B0E1">
      <w:pPr>
        <w:spacing w:after="0" w:line="240" w:lineRule="auto"/>
        <w:rPr>
          <w:rFonts w:ascii="Times New Roman" w:hAnsi="Times New Roman"/>
          <w:sz w:val="24"/>
          <w:szCs w:val="24"/>
        </w:rPr>
      </w:pPr>
    </w:p>
    <w:p w:rsidR="00CC38D2" w:rsidP="00C44B68" w14:paraId="00C380C2" w14:textId="672F3DDC">
      <w:pPr>
        <w:spacing w:after="0" w:line="240" w:lineRule="auto"/>
        <w:rPr>
          <w:rFonts w:ascii="Times New Roman" w:hAnsi="Times New Roman"/>
          <w:sz w:val="24"/>
          <w:szCs w:val="24"/>
        </w:rPr>
      </w:pPr>
    </w:p>
    <w:p w:rsidR="00CC38D2" w:rsidP="00C44B68" w14:paraId="1A650149" w14:textId="2FEEFCBA">
      <w:pPr>
        <w:spacing w:after="0" w:line="240" w:lineRule="auto"/>
        <w:rPr>
          <w:rFonts w:ascii="Times New Roman" w:hAnsi="Times New Roman"/>
          <w:sz w:val="24"/>
          <w:szCs w:val="24"/>
        </w:rPr>
      </w:pPr>
    </w:p>
    <w:p w:rsidR="00CC38D2" w:rsidRPr="00CB77FD" w:rsidP="00C44B68" w14:paraId="7E622FAD" w14:textId="77777777">
      <w:pPr>
        <w:spacing w:after="0" w:line="240" w:lineRule="auto"/>
        <w:rPr>
          <w:rFonts w:ascii="Times New Roman" w:hAnsi="Times New Roman"/>
          <w:sz w:val="24"/>
          <w:szCs w:val="24"/>
        </w:rPr>
      </w:pPr>
    </w:p>
    <w:p w:rsidR="009342D9" w:rsidRPr="00CB77FD" w:rsidP="00C44B68" w14:paraId="77D88EC5" w14:textId="3F88034F">
      <w:pPr>
        <w:spacing w:after="0" w:line="240" w:lineRule="auto"/>
        <w:rPr>
          <w:rFonts w:ascii="Times New Roman" w:hAnsi="Times New Roman"/>
          <w:sz w:val="24"/>
          <w:szCs w:val="24"/>
        </w:rPr>
      </w:pPr>
      <w:r w:rsidRPr="00CB77FD">
        <w:rPr>
          <w:rFonts w:ascii="Times New Roman" w:hAnsi="Times New Roman"/>
          <w:sz w:val="24"/>
          <w:szCs w:val="24"/>
        </w:rPr>
        <w:t xml:space="preserve">11.  </w:t>
      </w:r>
      <w:r w:rsidRPr="00CB77FD">
        <w:rPr>
          <w:rFonts w:ascii="Times New Roman" w:hAnsi="Times New Roman"/>
          <w:sz w:val="24"/>
          <w:szCs w:val="24"/>
          <w:u w:val="single"/>
        </w:rPr>
        <w:t>Justification for Sensitive Questions</w:t>
      </w:r>
    </w:p>
    <w:p w:rsidR="00BC6F6F" w:rsidRPr="00CB77FD" w:rsidP="00C44B68" w14:paraId="3E951DBD" w14:textId="77777777">
      <w:pPr>
        <w:spacing w:after="0" w:line="240" w:lineRule="auto"/>
        <w:rPr>
          <w:rFonts w:ascii="Times New Roman" w:hAnsi="Times New Roman"/>
          <w:sz w:val="24"/>
          <w:szCs w:val="24"/>
        </w:rPr>
      </w:pPr>
    </w:p>
    <w:p w:rsidR="009342D9" w:rsidRPr="00CB77FD" w:rsidP="00C44B68" w14:paraId="31753190" w14:textId="49938CE7">
      <w:pPr>
        <w:spacing w:after="0" w:line="240" w:lineRule="auto"/>
        <w:rPr>
          <w:rFonts w:ascii="Times New Roman" w:hAnsi="Times New Roman"/>
          <w:sz w:val="24"/>
          <w:szCs w:val="24"/>
        </w:rPr>
      </w:pPr>
      <w:r w:rsidRPr="00CB77FD">
        <w:rPr>
          <w:rFonts w:ascii="Times New Roman" w:hAnsi="Times New Roman"/>
          <w:sz w:val="24"/>
          <w:szCs w:val="24"/>
        </w:rPr>
        <w:t>The collection of information does not involve sensitive questions</w:t>
      </w:r>
      <w:r w:rsidRPr="00CB77FD" w:rsidR="00C00395">
        <w:rPr>
          <w:rFonts w:ascii="Times New Roman" w:hAnsi="Times New Roman"/>
          <w:sz w:val="24"/>
          <w:szCs w:val="24"/>
        </w:rPr>
        <w:t>.</w:t>
      </w:r>
    </w:p>
    <w:p w:rsidR="007F2DCA" w:rsidRPr="00CB77FD" w:rsidP="00C44B68" w14:paraId="3F8E81D0" w14:textId="77777777">
      <w:pPr>
        <w:spacing w:after="0" w:line="240" w:lineRule="auto"/>
        <w:rPr>
          <w:rFonts w:ascii="Times New Roman" w:hAnsi="Times New Roman"/>
          <w:sz w:val="24"/>
          <w:szCs w:val="24"/>
        </w:rPr>
      </w:pPr>
    </w:p>
    <w:p w:rsidR="009342D9" w:rsidRPr="00CB77FD" w:rsidP="00C44B68" w14:paraId="77FB3A2D" w14:textId="7EB772BE">
      <w:pPr>
        <w:spacing w:after="0" w:line="240" w:lineRule="auto"/>
        <w:rPr>
          <w:rFonts w:ascii="Times New Roman" w:hAnsi="Times New Roman"/>
          <w:sz w:val="24"/>
          <w:szCs w:val="24"/>
          <w:u w:val="single"/>
        </w:rPr>
      </w:pPr>
      <w:r w:rsidRPr="00CB77FD">
        <w:rPr>
          <w:rFonts w:ascii="Times New Roman" w:hAnsi="Times New Roman"/>
          <w:sz w:val="24"/>
          <w:szCs w:val="24"/>
        </w:rPr>
        <w:t xml:space="preserve">12. </w:t>
      </w:r>
      <w:r w:rsidR="00BB179A">
        <w:rPr>
          <w:rFonts w:ascii="Times New Roman" w:hAnsi="Times New Roman"/>
          <w:sz w:val="24"/>
          <w:szCs w:val="24"/>
        </w:rPr>
        <w:t xml:space="preserve"> </w:t>
      </w:r>
      <w:r w:rsidRPr="00CB77FD">
        <w:rPr>
          <w:rFonts w:ascii="Times New Roman" w:hAnsi="Times New Roman"/>
          <w:sz w:val="24"/>
          <w:szCs w:val="24"/>
          <w:u w:val="single"/>
        </w:rPr>
        <w:t>Estimates of Annualized Hour Burden and Costs</w:t>
      </w:r>
    </w:p>
    <w:p w:rsidR="00BC6F6F" w:rsidRPr="00CB77FD" w:rsidP="00C44B68" w14:paraId="201F5B23" w14:textId="77777777">
      <w:pPr>
        <w:spacing w:after="0" w:line="240" w:lineRule="auto"/>
        <w:rPr>
          <w:rFonts w:ascii="Times New Roman" w:hAnsi="Times New Roman"/>
          <w:sz w:val="24"/>
          <w:szCs w:val="24"/>
        </w:rPr>
      </w:pPr>
      <w:r w:rsidRPr="00CB77FD">
        <w:rPr>
          <w:rFonts w:ascii="Times New Roman" w:hAnsi="Times New Roman"/>
          <w:sz w:val="24"/>
          <w:szCs w:val="24"/>
        </w:rPr>
        <w:tab/>
      </w:r>
    </w:p>
    <w:p w:rsidR="009342D9" w:rsidRPr="006F521F" w:rsidP="00C44B68" w14:paraId="7BF3BA85" w14:textId="0E294A23">
      <w:pPr>
        <w:spacing w:after="0" w:line="240" w:lineRule="auto"/>
        <w:rPr>
          <w:rFonts w:ascii="Times New Roman" w:hAnsi="Times New Roman"/>
          <w:i/>
          <w:sz w:val="24"/>
          <w:szCs w:val="24"/>
          <w:u w:val="single"/>
        </w:rPr>
      </w:pPr>
      <w:r w:rsidRPr="00CB77FD">
        <w:rPr>
          <w:rFonts w:ascii="Times New Roman" w:hAnsi="Times New Roman"/>
          <w:sz w:val="24"/>
          <w:szCs w:val="24"/>
        </w:rPr>
        <w:tab/>
      </w:r>
      <w:r w:rsidRPr="006F521F">
        <w:rPr>
          <w:rFonts w:ascii="Times New Roman" w:hAnsi="Times New Roman"/>
          <w:i/>
          <w:sz w:val="24"/>
          <w:szCs w:val="24"/>
          <w:u w:val="single"/>
        </w:rPr>
        <w:t>12a.  Annualized Hour Burden Estimate</w:t>
      </w:r>
    </w:p>
    <w:p w:rsidR="00662597" w:rsidP="00C539D7" w14:paraId="42A1B0B3" w14:textId="77777777">
      <w:pPr>
        <w:spacing w:after="0"/>
        <w:jc w:val="center"/>
        <w:rPr>
          <w:rFonts w:ascii="Times New Roman" w:hAnsi="Times New Roman"/>
          <w:sz w:val="20"/>
          <w:szCs w:val="20"/>
        </w:rPr>
      </w:pPr>
    </w:p>
    <w:p w:rsidR="00C539D7" w:rsidRPr="00CF73AF" w:rsidP="00C539D7" w14:paraId="187C9D4D" w14:textId="1791777D">
      <w:pPr>
        <w:spacing w:after="0"/>
        <w:jc w:val="center"/>
        <w:rPr>
          <w:rFonts w:ascii="Times New Roman" w:hAnsi="Times New Roman"/>
          <w:sz w:val="20"/>
          <w:szCs w:val="20"/>
        </w:rPr>
      </w:pPr>
      <w:r w:rsidRPr="00CF73AF">
        <w:rPr>
          <w:rFonts w:ascii="Times New Roman" w:hAnsi="Times New Roman"/>
          <w:sz w:val="20"/>
          <w:szCs w:val="20"/>
        </w:rPr>
        <w:t xml:space="preserve">Table </w:t>
      </w:r>
      <w:r>
        <w:rPr>
          <w:rFonts w:ascii="Times New Roman" w:hAnsi="Times New Roman"/>
          <w:sz w:val="20"/>
          <w:szCs w:val="20"/>
        </w:rPr>
        <w:t>2</w:t>
      </w:r>
      <w:r w:rsidRPr="00CF73AF">
        <w:rPr>
          <w:rFonts w:ascii="Times New Roman" w:hAnsi="Times New Roman"/>
          <w:sz w:val="20"/>
          <w:szCs w:val="20"/>
        </w:rPr>
        <w:t>.</w:t>
      </w:r>
      <w:r>
        <w:rPr>
          <w:rFonts w:ascii="Times New Roman" w:hAnsi="Times New Roman"/>
          <w:sz w:val="20"/>
          <w:szCs w:val="20"/>
        </w:rPr>
        <w:t>--</w:t>
      </w:r>
      <w:r w:rsidRPr="00CF73AF">
        <w:rPr>
          <w:rFonts w:ascii="Times New Roman" w:hAnsi="Times New Roman"/>
          <w:sz w:val="20"/>
          <w:szCs w:val="20"/>
        </w:rPr>
        <w:t xml:space="preserve"> Estimated Annual Reporting Burden</w:t>
      </w:r>
      <w:r w:rsidRPr="00DF3DAD">
        <w:rPr>
          <w:rFonts w:ascii="Times New Roman" w:hAnsi="Times New Roman"/>
          <w:sz w:val="20"/>
          <w:szCs w:val="20"/>
          <w:vertAlign w:val="superscript"/>
        </w:rPr>
        <w:t>1</w:t>
      </w:r>
    </w:p>
    <w:tbl>
      <w:tblPr>
        <w:tblStyle w:val="TableGrid"/>
        <w:tblW w:w="0" w:type="auto"/>
        <w:tblLayout w:type="fixed"/>
        <w:tblLook w:val="04A0"/>
      </w:tblPr>
      <w:tblGrid>
        <w:gridCol w:w="2585"/>
        <w:gridCol w:w="1820"/>
        <w:gridCol w:w="1350"/>
        <w:gridCol w:w="1170"/>
        <w:gridCol w:w="1098"/>
        <w:gridCol w:w="1327"/>
      </w:tblGrid>
      <w:tr w14:paraId="41065F40" w14:textId="77777777" w:rsidTr="00DF3DAD">
        <w:tblPrEx>
          <w:tblW w:w="0" w:type="auto"/>
          <w:tblLayout w:type="fixed"/>
          <w:tblLook w:val="04A0"/>
        </w:tblPrEx>
        <w:tc>
          <w:tcPr>
            <w:tcW w:w="2585" w:type="dxa"/>
          </w:tcPr>
          <w:p w:rsidR="00C539D7" w:rsidRPr="00CF73AF" w:rsidP="00DF3DAD" w14:paraId="7FAB42EC" w14:textId="77777777">
            <w:pPr>
              <w:spacing w:after="0" w:line="240" w:lineRule="auto"/>
              <w:jc w:val="center"/>
              <w:rPr>
                <w:color w:val="000000"/>
                <w:sz w:val="20"/>
                <w:szCs w:val="20"/>
              </w:rPr>
            </w:pPr>
            <w:r w:rsidRPr="00CF73AF">
              <w:rPr>
                <w:color w:val="000000"/>
                <w:sz w:val="20"/>
                <w:szCs w:val="20"/>
              </w:rPr>
              <w:t>Recommended Activity;</w:t>
            </w:r>
          </w:p>
          <w:p w:rsidR="00C539D7" w:rsidRPr="00CF73AF" w:rsidP="00DF3DAD" w14:paraId="68336186" w14:textId="77777777">
            <w:pPr>
              <w:spacing w:after="0" w:line="240" w:lineRule="auto"/>
              <w:jc w:val="center"/>
              <w:rPr>
                <w:sz w:val="20"/>
                <w:szCs w:val="20"/>
              </w:rPr>
            </w:pPr>
            <w:r w:rsidRPr="00CF73AF">
              <w:rPr>
                <w:color w:val="000000"/>
                <w:sz w:val="20"/>
                <w:szCs w:val="20"/>
              </w:rPr>
              <w:t>Guidance Section</w:t>
            </w:r>
          </w:p>
        </w:tc>
        <w:tc>
          <w:tcPr>
            <w:tcW w:w="1820" w:type="dxa"/>
          </w:tcPr>
          <w:p w:rsidR="00C539D7" w:rsidRPr="00CF73AF" w:rsidP="00DF3DAD" w14:paraId="16315362" w14:textId="77777777">
            <w:pPr>
              <w:spacing w:line="240" w:lineRule="auto"/>
              <w:jc w:val="center"/>
              <w:rPr>
                <w:sz w:val="20"/>
                <w:szCs w:val="20"/>
              </w:rPr>
            </w:pPr>
            <w:r w:rsidRPr="00CF73AF">
              <w:rPr>
                <w:color w:val="000000"/>
                <w:sz w:val="20"/>
                <w:szCs w:val="20"/>
              </w:rPr>
              <w:t>No. of Respondents</w:t>
            </w:r>
          </w:p>
        </w:tc>
        <w:tc>
          <w:tcPr>
            <w:tcW w:w="1350" w:type="dxa"/>
          </w:tcPr>
          <w:p w:rsidR="00C539D7" w:rsidRPr="00CF73AF" w:rsidP="00DF3DAD" w14:paraId="7D589A2F" w14:textId="77777777">
            <w:pPr>
              <w:spacing w:line="240" w:lineRule="auto"/>
              <w:jc w:val="center"/>
              <w:rPr>
                <w:sz w:val="20"/>
                <w:szCs w:val="20"/>
              </w:rPr>
            </w:pPr>
            <w:r w:rsidRPr="00CF73AF">
              <w:rPr>
                <w:color w:val="000000"/>
                <w:sz w:val="20"/>
                <w:szCs w:val="20"/>
              </w:rPr>
              <w:t>No. of  Disclosures per Respondent</w:t>
            </w:r>
          </w:p>
        </w:tc>
        <w:tc>
          <w:tcPr>
            <w:tcW w:w="1170" w:type="dxa"/>
          </w:tcPr>
          <w:p w:rsidR="00C539D7" w:rsidRPr="00CF73AF" w:rsidP="00DF3DAD" w14:paraId="4B1FF722" w14:textId="77777777">
            <w:pPr>
              <w:spacing w:line="240" w:lineRule="auto"/>
              <w:jc w:val="center"/>
              <w:rPr>
                <w:sz w:val="20"/>
                <w:szCs w:val="20"/>
              </w:rPr>
            </w:pPr>
            <w:r w:rsidRPr="00CF73AF">
              <w:rPr>
                <w:color w:val="000000"/>
                <w:sz w:val="20"/>
                <w:szCs w:val="20"/>
              </w:rPr>
              <w:t>Total Annual Disclosures</w:t>
            </w:r>
          </w:p>
        </w:tc>
        <w:tc>
          <w:tcPr>
            <w:tcW w:w="1098" w:type="dxa"/>
          </w:tcPr>
          <w:p w:rsidR="00C539D7" w:rsidRPr="00CF73AF" w:rsidP="00DF3DAD" w14:paraId="2458A925" w14:textId="77777777">
            <w:pPr>
              <w:spacing w:line="240" w:lineRule="auto"/>
              <w:jc w:val="center"/>
              <w:rPr>
                <w:sz w:val="20"/>
                <w:szCs w:val="20"/>
              </w:rPr>
            </w:pPr>
            <w:r w:rsidRPr="00CF73AF">
              <w:rPr>
                <w:color w:val="000000"/>
                <w:sz w:val="20"/>
                <w:szCs w:val="20"/>
              </w:rPr>
              <w:t>Average Burden per Disclosure</w:t>
            </w:r>
          </w:p>
        </w:tc>
        <w:tc>
          <w:tcPr>
            <w:tcW w:w="1327" w:type="dxa"/>
          </w:tcPr>
          <w:p w:rsidR="00C539D7" w:rsidRPr="00CF73AF" w:rsidP="00DF3DAD" w14:paraId="785DC974" w14:textId="77777777">
            <w:pPr>
              <w:jc w:val="center"/>
              <w:rPr>
                <w:sz w:val="20"/>
                <w:szCs w:val="20"/>
              </w:rPr>
            </w:pPr>
            <w:r w:rsidRPr="00CF73AF">
              <w:rPr>
                <w:color w:val="000000"/>
                <w:sz w:val="20"/>
                <w:szCs w:val="20"/>
              </w:rPr>
              <w:t>Total Hours</w:t>
            </w:r>
          </w:p>
        </w:tc>
      </w:tr>
      <w:tr w14:paraId="6B1DDCA5" w14:textId="77777777" w:rsidTr="00DF3DAD">
        <w:tblPrEx>
          <w:tblW w:w="0" w:type="auto"/>
          <w:tblLayout w:type="fixed"/>
          <w:tblLook w:val="04A0"/>
        </w:tblPrEx>
        <w:tc>
          <w:tcPr>
            <w:tcW w:w="9350" w:type="dxa"/>
            <w:gridSpan w:val="6"/>
          </w:tcPr>
          <w:p w:rsidR="00C539D7" w:rsidRPr="00CF73AF" w:rsidP="00DF3DAD" w14:paraId="2C80FAAF" w14:textId="77777777">
            <w:pPr>
              <w:spacing w:after="0"/>
              <w:jc w:val="center"/>
              <w:rPr>
                <w:color w:val="000000"/>
                <w:sz w:val="20"/>
                <w:szCs w:val="20"/>
              </w:rPr>
            </w:pPr>
            <w:r w:rsidRPr="00CF73AF">
              <w:rPr>
                <w:color w:val="000000"/>
                <w:sz w:val="20"/>
                <w:szCs w:val="20"/>
              </w:rPr>
              <w:t>RADIOPHARMACEUTICAL COMPOUNDING AND REPACKAGING BY OUTSOURCING FACILITIES GUIDANCE</w:t>
            </w:r>
          </w:p>
        </w:tc>
      </w:tr>
      <w:tr w14:paraId="0D0CC760" w14:textId="77777777" w:rsidTr="00DF3DAD">
        <w:tblPrEx>
          <w:tblW w:w="0" w:type="auto"/>
          <w:tblLayout w:type="fixed"/>
          <w:tblLook w:val="04A0"/>
        </w:tblPrEx>
        <w:tc>
          <w:tcPr>
            <w:tcW w:w="2585" w:type="dxa"/>
          </w:tcPr>
          <w:p w:rsidR="00C539D7" w:rsidRPr="00CF73AF" w:rsidP="00DF3DAD" w14:paraId="73A6944F" w14:textId="77777777">
            <w:pPr>
              <w:rPr>
                <w:color w:val="000000"/>
                <w:sz w:val="20"/>
                <w:szCs w:val="20"/>
              </w:rPr>
            </w:pPr>
            <w:r w:rsidRPr="00CF73AF">
              <w:rPr>
                <w:sz w:val="20"/>
                <w:szCs w:val="20"/>
              </w:rPr>
              <w:t xml:space="preserve">Biannual product reports identifying drug products repackaged by the outsourcing facility during the previous 6-month period (section III.B of the </w:t>
            </w:r>
            <w:r w:rsidRPr="00CF73AF">
              <w:rPr>
                <w:color w:val="000000"/>
                <w:sz w:val="20"/>
                <w:szCs w:val="20"/>
              </w:rPr>
              <w:t>Radiopharmaceutical Compounding and Repackaging Guidance by Outsourcing Facilities)</w:t>
            </w:r>
          </w:p>
        </w:tc>
        <w:tc>
          <w:tcPr>
            <w:tcW w:w="1820" w:type="dxa"/>
          </w:tcPr>
          <w:p w:rsidR="00C539D7" w:rsidRPr="00CF73AF" w:rsidP="00DF3DAD" w14:paraId="589489F7" w14:textId="77777777">
            <w:pPr>
              <w:jc w:val="right"/>
              <w:rPr>
                <w:color w:val="000000"/>
                <w:sz w:val="20"/>
                <w:szCs w:val="20"/>
              </w:rPr>
            </w:pPr>
            <w:r w:rsidRPr="00CF73AF">
              <w:rPr>
                <w:color w:val="000000"/>
                <w:sz w:val="20"/>
                <w:szCs w:val="20"/>
              </w:rPr>
              <w:t>2</w:t>
            </w:r>
          </w:p>
        </w:tc>
        <w:tc>
          <w:tcPr>
            <w:tcW w:w="1350" w:type="dxa"/>
          </w:tcPr>
          <w:p w:rsidR="00C539D7" w:rsidRPr="00CF73AF" w:rsidP="00DF3DAD" w14:paraId="557DBEE4" w14:textId="77777777">
            <w:pPr>
              <w:jc w:val="right"/>
              <w:rPr>
                <w:color w:val="000000"/>
                <w:sz w:val="20"/>
                <w:szCs w:val="20"/>
              </w:rPr>
            </w:pPr>
            <w:r w:rsidRPr="00CF73AF">
              <w:rPr>
                <w:color w:val="000000"/>
                <w:sz w:val="20"/>
                <w:szCs w:val="20"/>
              </w:rPr>
              <w:t>2</w:t>
            </w:r>
          </w:p>
        </w:tc>
        <w:tc>
          <w:tcPr>
            <w:tcW w:w="1170" w:type="dxa"/>
          </w:tcPr>
          <w:p w:rsidR="00C539D7" w:rsidRPr="00CF73AF" w:rsidP="00DF3DAD" w14:paraId="54111BD3" w14:textId="77777777">
            <w:pPr>
              <w:jc w:val="right"/>
              <w:rPr>
                <w:color w:val="000000"/>
                <w:sz w:val="20"/>
                <w:szCs w:val="20"/>
              </w:rPr>
            </w:pPr>
            <w:r w:rsidRPr="00CF73AF">
              <w:rPr>
                <w:color w:val="000000"/>
                <w:sz w:val="20"/>
                <w:szCs w:val="20"/>
              </w:rPr>
              <w:t>4</w:t>
            </w:r>
          </w:p>
        </w:tc>
        <w:tc>
          <w:tcPr>
            <w:tcW w:w="1098" w:type="dxa"/>
          </w:tcPr>
          <w:p w:rsidR="00C539D7" w:rsidRPr="00CF73AF" w:rsidP="00DF3DAD" w14:paraId="2F65562E" w14:textId="77777777">
            <w:pPr>
              <w:jc w:val="right"/>
              <w:rPr>
                <w:color w:val="000000"/>
                <w:sz w:val="20"/>
                <w:szCs w:val="20"/>
              </w:rPr>
            </w:pPr>
            <w:r w:rsidRPr="00CF73AF">
              <w:rPr>
                <w:color w:val="000000"/>
                <w:sz w:val="20"/>
                <w:szCs w:val="20"/>
              </w:rPr>
              <w:t>3</w:t>
            </w:r>
          </w:p>
        </w:tc>
        <w:tc>
          <w:tcPr>
            <w:tcW w:w="1327" w:type="dxa"/>
          </w:tcPr>
          <w:p w:rsidR="00C539D7" w:rsidRPr="00CF73AF" w:rsidP="00DF3DAD" w14:paraId="5DA7E519" w14:textId="77777777">
            <w:pPr>
              <w:jc w:val="right"/>
              <w:rPr>
                <w:color w:val="000000"/>
                <w:sz w:val="20"/>
                <w:szCs w:val="20"/>
              </w:rPr>
            </w:pPr>
            <w:r w:rsidRPr="00CF73AF">
              <w:rPr>
                <w:color w:val="000000"/>
                <w:sz w:val="20"/>
                <w:szCs w:val="20"/>
              </w:rPr>
              <w:t>12</w:t>
            </w:r>
          </w:p>
        </w:tc>
      </w:tr>
      <w:tr w14:paraId="23AC42E4" w14:textId="77777777" w:rsidTr="00DF3DAD">
        <w:tblPrEx>
          <w:tblW w:w="0" w:type="auto"/>
          <w:tblLayout w:type="fixed"/>
          <w:tblLook w:val="04A0"/>
        </w:tblPrEx>
        <w:tc>
          <w:tcPr>
            <w:tcW w:w="9350" w:type="dxa"/>
            <w:gridSpan w:val="6"/>
          </w:tcPr>
          <w:p w:rsidR="00C539D7" w:rsidRPr="00CF73AF" w:rsidP="00DF3DAD" w14:paraId="3E4978CE" w14:textId="241EB132">
            <w:pPr>
              <w:spacing w:after="0"/>
              <w:jc w:val="center"/>
              <w:rPr>
                <w:color w:val="000000"/>
                <w:sz w:val="20"/>
                <w:szCs w:val="20"/>
              </w:rPr>
            </w:pPr>
            <w:r w:rsidRPr="00CF73AF">
              <w:rPr>
                <w:sz w:val="20"/>
                <w:szCs w:val="20"/>
              </w:rPr>
              <w:t>REPACKAGING GUIDANCE</w:t>
            </w:r>
            <w:r w:rsidRPr="00CC38D2" w:rsidR="001C747B">
              <w:rPr>
                <w:sz w:val="20"/>
                <w:szCs w:val="20"/>
                <w:vertAlign w:val="superscript"/>
              </w:rPr>
              <w:t>2</w:t>
            </w:r>
          </w:p>
        </w:tc>
      </w:tr>
      <w:tr w14:paraId="0C39A47E" w14:textId="77777777" w:rsidTr="00DF3DAD">
        <w:tblPrEx>
          <w:tblW w:w="0" w:type="auto"/>
          <w:tblLayout w:type="fixed"/>
          <w:tblLook w:val="04A0"/>
        </w:tblPrEx>
        <w:trPr>
          <w:trHeight w:val="2357"/>
        </w:trPr>
        <w:tc>
          <w:tcPr>
            <w:tcW w:w="2585" w:type="dxa"/>
          </w:tcPr>
          <w:p w:rsidR="00C539D7" w:rsidRPr="00CF73AF" w:rsidP="00DF3DAD" w14:paraId="228EE651" w14:textId="77777777">
            <w:pPr>
              <w:rPr>
                <w:color w:val="000000"/>
                <w:sz w:val="20"/>
                <w:szCs w:val="20"/>
              </w:rPr>
            </w:pPr>
            <w:r w:rsidRPr="00CF73AF">
              <w:rPr>
                <w:sz w:val="20"/>
                <w:szCs w:val="20"/>
              </w:rPr>
              <w:t>Biannual product reports identifying drug products repackaged by the outsourcing facility during the previous 6-month period (section III.A of the Repackaging Guidance)</w:t>
            </w:r>
          </w:p>
        </w:tc>
        <w:tc>
          <w:tcPr>
            <w:tcW w:w="1820" w:type="dxa"/>
          </w:tcPr>
          <w:p w:rsidR="00C539D7" w:rsidRPr="00CF73AF" w:rsidP="00DF3DAD" w14:paraId="5F2681D2" w14:textId="77777777">
            <w:pPr>
              <w:jc w:val="right"/>
              <w:rPr>
                <w:color w:val="000000"/>
                <w:sz w:val="20"/>
                <w:szCs w:val="20"/>
              </w:rPr>
            </w:pPr>
            <w:r w:rsidRPr="00CF73AF">
              <w:rPr>
                <w:sz w:val="20"/>
                <w:szCs w:val="20"/>
              </w:rPr>
              <w:t>6</w:t>
            </w:r>
          </w:p>
        </w:tc>
        <w:tc>
          <w:tcPr>
            <w:tcW w:w="1350" w:type="dxa"/>
          </w:tcPr>
          <w:p w:rsidR="00C539D7" w:rsidRPr="00CF73AF" w:rsidP="00DF3DAD" w14:paraId="634F51AB" w14:textId="77777777">
            <w:pPr>
              <w:jc w:val="right"/>
              <w:rPr>
                <w:color w:val="000000"/>
                <w:sz w:val="20"/>
                <w:szCs w:val="20"/>
              </w:rPr>
            </w:pPr>
            <w:r w:rsidRPr="00CF73AF">
              <w:rPr>
                <w:sz w:val="20"/>
                <w:szCs w:val="20"/>
              </w:rPr>
              <w:t>2</w:t>
            </w:r>
          </w:p>
        </w:tc>
        <w:tc>
          <w:tcPr>
            <w:tcW w:w="1170" w:type="dxa"/>
          </w:tcPr>
          <w:p w:rsidR="00C539D7" w:rsidRPr="00CF73AF" w:rsidP="00DF3DAD" w14:paraId="74FCFB0A" w14:textId="77777777">
            <w:pPr>
              <w:jc w:val="right"/>
              <w:rPr>
                <w:color w:val="000000"/>
                <w:sz w:val="20"/>
                <w:szCs w:val="20"/>
              </w:rPr>
            </w:pPr>
            <w:r w:rsidRPr="00CF73AF">
              <w:rPr>
                <w:sz w:val="20"/>
                <w:szCs w:val="20"/>
              </w:rPr>
              <w:t>12</w:t>
            </w:r>
          </w:p>
        </w:tc>
        <w:tc>
          <w:tcPr>
            <w:tcW w:w="1098" w:type="dxa"/>
          </w:tcPr>
          <w:p w:rsidR="00C539D7" w:rsidRPr="00CF73AF" w:rsidP="00DF3DAD" w14:paraId="28379A62" w14:textId="77777777">
            <w:pPr>
              <w:jc w:val="right"/>
              <w:rPr>
                <w:color w:val="000000"/>
                <w:sz w:val="20"/>
                <w:szCs w:val="20"/>
              </w:rPr>
            </w:pPr>
            <w:r w:rsidRPr="00CF73AF">
              <w:rPr>
                <w:sz w:val="20"/>
                <w:szCs w:val="20"/>
              </w:rPr>
              <w:t>3</w:t>
            </w:r>
          </w:p>
        </w:tc>
        <w:tc>
          <w:tcPr>
            <w:tcW w:w="1327" w:type="dxa"/>
          </w:tcPr>
          <w:p w:rsidR="00C539D7" w:rsidRPr="00CF73AF" w:rsidP="00DF3DAD" w14:paraId="782A5CDE" w14:textId="77777777">
            <w:pPr>
              <w:jc w:val="right"/>
              <w:rPr>
                <w:color w:val="000000"/>
                <w:sz w:val="20"/>
                <w:szCs w:val="20"/>
              </w:rPr>
            </w:pPr>
            <w:r w:rsidRPr="00CF73AF">
              <w:rPr>
                <w:sz w:val="20"/>
                <w:szCs w:val="20"/>
              </w:rPr>
              <w:t>36</w:t>
            </w:r>
          </w:p>
        </w:tc>
      </w:tr>
      <w:tr w14:paraId="144E0170" w14:textId="77777777" w:rsidTr="00DF3DAD">
        <w:tblPrEx>
          <w:tblW w:w="0" w:type="auto"/>
          <w:tblLayout w:type="fixed"/>
          <w:tblLook w:val="04A0"/>
        </w:tblPrEx>
        <w:tc>
          <w:tcPr>
            <w:tcW w:w="2585" w:type="dxa"/>
          </w:tcPr>
          <w:p w:rsidR="00C539D7" w:rsidRPr="00CF73AF" w:rsidP="00DF3DAD" w14:paraId="1A68225C" w14:textId="77777777">
            <w:pPr>
              <w:rPr>
                <w:color w:val="000000"/>
                <w:sz w:val="20"/>
                <w:szCs w:val="20"/>
              </w:rPr>
            </w:pPr>
            <w:r w:rsidRPr="00CF73AF">
              <w:rPr>
                <w:color w:val="000000"/>
                <w:sz w:val="20"/>
                <w:szCs w:val="20"/>
              </w:rPr>
              <w:t>Total</w:t>
            </w:r>
          </w:p>
        </w:tc>
        <w:tc>
          <w:tcPr>
            <w:tcW w:w="1820" w:type="dxa"/>
          </w:tcPr>
          <w:p w:rsidR="00C539D7" w:rsidRPr="00CF73AF" w:rsidP="00DF3DAD" w14:paraId="27FAD9D2" w14:textId="77777777">
            <w:pPr>
              <w:jc w:val="right"/>
              <w:rPr>
                <w:color w:val="000000"/>
                <w:sz w:val="20"/>
                <w:szCs w:val="20"/>
              </w:rPr>
            </w:pPr>
            <w:r w:rsidRPr="00CF73AF">
              <w:rPr>
                <w:color w:val="000000"/>
                <w:sz w:val="20"/>
                <w:szCs w:val="20"/>
              </w:rPr>
              <w:t>8</w:t>
            </w:r>
          </w:p>
        </w:tc>
        <w:tc>
          <w:tcPr>
            <w:tcW w:w="1350" w:type="dxa"/>
          </w:tcPr>
          <w:p w:rsidR="00C539D7" w:rsidRPr="00CF73AF" w:rsidP="00DF3DAD" w14:paraId="5D83222E" w14:textId="77777777">
            <w:pPr>
              <w:jc w:val="right"/>
              <w:rPr>
                <w:color w:val="000000"/>
                <w:sz w:val="20"/>
                <w:szCs w:val="20"/>
              </w:rPr>
            </w:pPr>
          </w:p>
        </w:tc>
        <w:tc>
          <w:tcPr>
            <w:tcW w:w="1170" w:type="dxa"/>
          </w:tcPr>
          <w:p w:rsidR="00C539D7" w:rsidRPr="00CF73AF" w:rsidP="00DF3DAD" w14:paraId="0AC33733" w14:textId="77777777">
            <w:pPr>
              <w:jc w:val="right"/>
              <w:rPr>
                <w:color w:val="000000"/>
                <w:sz w:val="20"/>
                <w:szCs w:val="20"/>
              </w:rPr>
            </w:pPr>
            <w:r w:rsidRPr="00CF73AF">
              <w:rPr>
                <w:color w:val="000000"/>
                <w:sz w:val="20"/>
                <w:szCs w:val="20"/>
              </w:rPr>
              <w:t>16</w:t>
            </w:r>
          </w:p>
        </w:tc>
        <w:tc>
          <w:tcPr>
            <w:tcW w:w="1098" w:type="dxa"/>
          </w:tcPr>
          <w:p w:rsidR="00C539D7" w:rsidRPr="00CF73AF" w:rsidP="00DF3DAD" w14:paraId="7E2955FF" w14:textId="77777777">
            <w:pPr>
              <w:jc w:val="right"/>
              <w:rPr>
                <w:color w:val="000000"/>
                <w:sz w:val="20"/>
                <w:szCs w:val="20"/>
              </w:rPr>
            </w:pPr>
          </w:p>
        </w:tc>
        <w:tc>
          <w:tcPr>
            <w:tcW w:w="1327" w:type="dxa"/>
          </w:tcPr>
          <w:p w:rsidR="00C539D7" w:rsidRPr="00CF73AF" w:rsidP="00DF3DAD" w14:paraId="12D519DD" w14:textId="77777777">
            <w:pPr>
              <w:jc w:val="right"/>
              <w:rPr>
                <w:color w:val="000000"/>
                <w:sz w:val="20"/>
                <w:szCs w:val="20"/>
              </w:rPr>
            </w:pPr>
            <w:r w:rsidRPr="00CF73AF">
              <w:rPr>
                <w:color w:val="000000"/>
                <w:sz w:val="20"/>
                <w:szCs w:val="20"/>
              </w:rPr>
              <w:t>48</w:t>
            </w:r>
          </w:p>
        </w:tc>
      </w:tr>
    </w:tbl>
    <w:p w:rsidR="00C539D7" w:rsidP="00C539D7" w14:paraId="0F99EA7A" w14:textId="77777777">
      <w:pPr>
        <w:spacing w:after="0" w:line="240" w:lineRule="auto"/>
        <w:rPr>
          <w:rFonts w:ascii="Times New Roman" w:eastAsia="Times New Roman" w:hAnsi="Times New Roman"/>
          <w:sz w:val="24"/>
          <w:szCs w:val="24"/>
        </w:rPr>
      </w:pPr>
      <w:r w:rsidRPr="00DF3DAD">
        <w:rPr>
          <w:rFonts w:ascii="Times New Roman" w:eastAsia="Times New Roman" w:hAnsi="Times New Roman"/>
          <w:sz w:val="20"/>
          <w:szCs w:val="20"/>
          <w:vertAlign w:val="superscript"/>
        </w:rPr>
        <w:t>1</w:t>
      </w:r>
      <w:r w:rsidRPr="00DF3DAD">
        <w:rPr>
          <w:rFonts w:ascii="Times New Roman" w:eastAsia="Times New Roman" w:hAnsi="Times New Roman"/>
          <w:sz w:val="20"/>
          <w:szCs w:val="20"/>
        </w:rPr>
        <w:t>There are no capital costs or operating and maintenance costs associated with this collection of information</w:t>
      </w:r>
      <w:r>
        <w:rPr>
          <w:rFonts w:ascii="Times New Roman" w:eastAsia="Times New Roman" w:hAnsi="Times New Roman"/>
          <w:sz w:val="24"/>
          <w:szCs w:val="24"/>
        </w:rPr>
        <w:t xml:space="preserve">. </w:t>
      </w:r>
    </w:p>
    <w:p w:rsidR="00662597" w:rsidP="00662597" w14:paraId="2FCC4358" w14:textId="77777777">
      <w:pPr>
        <w:spacing w:after="0" w:line="240" w:lineRule="auto"/>
        <w:rPr>
          <w:rFonts w:ascii="Times New Roman" w:eastAsia="Times New Roman" w:hAnsi="Times New Roman"/>
          <w:bCs/>
          <w:iCs/>
          <w:sz w:val="20"/>
          <w:szCs w:val="20"/>
        </w:rPr>
      </w:pPr>
      <w:r w:rsidRPr="00CC38D2">
        <w:rPr>
          <w:rFonts w:ascii="Times New Roman" w:eastAsia="Times New Roman" w:hAnsi="Times New Roman"/>
          <w:bCs/>
          <w:iCs/>
          <w:sz w:val="20"/>
          <w:szCs w:val="20"/>
          <w:vertAlign w:val="superscript"/>
        </w:rPr>
        <w:t>2</w:t>
      </w:r>
      <w:r w:rsidRPr="00CB1A5E">
        <w:rPr>
          <w:rFonts w:ascii="Times New Roman" w:eastAsia="Times New Roman" w:hAnsi="Times New Roman"/>
          <w:bCs/>
          <w:iCs/>
          <w:sz w:val="20"/>
          <w:szCs w:val="20"/>
        </w:rPr>
        <w:t>We estimate a total of 6 unique respondents will submit biannual product reports for the Repackaging Guidance and that those same 6 respondents will also design, test, and produce labels as a third-party disclosure. To avoid double-counting, these respondents are only counted once although are listed in both the reporting and third-party disclosure tables.</w:t>
      </w:r>
    </w:p>
    <w:p w:rsidR="00662597" w:rsidP="00662597" w14:paraId="20C38E69" w14:textId="77777777">
      <w:pPr>
        <w:spacing w:after="0" w:line="240" w:lineRule="auto"/>
        <w:rPr>
          <w:rFonts w:ascii="Times New Roman" w:eastAsia="Times New Roman" w:hAnsi="Times New Roman"/>
          <w:bCs/>
          <w:iCs/>
          <w:sz w:val="20"/>
          <w:szCs w:val="20"/>
        </w:rPr>
      </w:pPr>
    </w:p>
    <w:p w:rsidR="001361A7" w:rsidP="00662597" w14:paraId="1634CFD6" w14:textId="77777777">
      <w:pPr>
        <w:spacing w:after="0" w:line="240" w:lineRule="auto"/>
        <w:rPr>
          <w:rFonts w:ascii="Times New Roman" w:eastAsia="Times New Roman" w:hAnsi="Times New Roman"/>
          <w:bCs/>
          <w:iCs/>
          <w:sz w:val="20"/>
          <w:szCs w:val="20"/>
        </w:rPr>
      </w:pPr>
    </w:p>
    <w:p w:rsidR="001361A7" w:rsidP="00662597" w14:paraId="7F055550" w14:textId="77777777">
      <w:pPr>
        <w:spacing w:after="0" w:line="240" w:lineRule="auto"/>
        <w:rPr>
          <w:rFonts w:ascii="Times New Roman" w:eastAsia="Times New Roman" w:hAnsi="Times New Roman"/>
          <w:bCs/>
          <w:iCs/>
          <w:sz w:val="20"/>
          <w:szCs w:val="20"/>
        </w:rPr>
      </w:pPr>
    </w:p>
    <w:p w:rsidR="00662597" w:rsidP="00662597" w14:paraId="3B6CD2BD" w14:textId="77777777">
      <w:pPr>
        <w:spacing w:after="0" w:line="240" w:lineRule="auto"/>
        <w:rPr>
          <w:rFonts w:ascii="Times New Roman" w:eastAsia="Times New Roman" w:hAnsi="Times New Roman"/>
          <w:bCs/>
          <w:iCs/>
          <w:sz w:val="20"/>
          <w:szCs w:val="20"/>
        </w:rPr>
      </w:pPr>
    </w:p>
    <w:p w:rsidR="00662597" w:rsidP="00662597" w14:paraId="450C07AB" w14:textId="77777777">
      <w:pPr>
        <w:spacing w:after="0" w:line="240" w:lineRule="auto"/>
        <w:rPr>
          <w:rFonts w:ascii="Times New Roman" w:eastAsia="Times New Roman" w:hAnsi="Times New Roman"/>
          <w:bCs/>
          <w:iCs/>
          <w:sz w:val="20"/>
          <w:szCs w:val="20"/>
        </w:rPr>
      </w:pPr>
    </w:p>
    <w:p w:rsidR="00662597" w:rsidP="00662597" w14:paraId="00730F63" w14:textId="77777777">
      <w:pPr>
        <w:spacing w:after="0" w:line="240" w:lineRule="auto"/>
        <w:rPr>
          <w:rFonts w:ascii="Times New Roman" w:eastAsia="Times New Roman" w:hAnsi="Times New Roman"/>
          <w:bCs/>
          <w:iCs/>
          <w:sz w:val="20"/>
          <w:szCs w:val="20"/>
        </w:rPr>
      </w:pPr>
    </w:p>
    <w:p w:rsidR="00662597" w:rsidP="00662597" w14:paraId="05EFE2F9" w14:textId="77777777">
      <w:pPr>
        <w:spacing w:after="0" w:line="240" w:lineRule="auto"/>
        <w:rPr>
          <w:rFonts w:ascii="Times New Roman" w:eastAsia="Times New Roman" w:hAnsi="Times New Roman"/>
          <w:bCs/>
          <w:iCs/>
          <w:sz w:val="20"/>
          <w:szCs w:val="20"/>
        </w:rPr>
      </w:pPr>
    </w:p>
    <w:p w:rsidR="00A14C3D" w:rsidRPr="00A14C3D" w:rsidP="00662597" w14:paraId="3CF97703" w14:textId="5921EF8D">
      <w:pPr>
        <w:spacing w:after="0" w:line="240" w:lineRule="auto"/>
        <w:jc w:val="center"/>
        <w:rPr>
          <w:rFonts w:ascii="Times New Roman" w:eastAsia="Times New Roman" w:hAnsi="Times New Roman"/>
          <w:bCs/>
          <w:sz w:val="20"/>
          <w:szCs w:val="20"/>
        </w:rPr>
      </w:pPr>
      <w:r w:rsidRPr="00A14C3D">
        <w:rPr>
          <w:rFonts w:ascii="Times New Roman" w:eastAsia="Times New Roman" w:hAnsi="Times New Roman"/>
          <w:bCs/>
          <w:iCs/>
          <w:sz w:val="20"/>
          <w:szCs w:val="20"/>
        </w:rPr>
        <w:t xml:space="preserve">Table </w:t>
      </w:r>
      <w:r w:rsidR="00C539D7">
        <w:rPr>
          <w:rFonts w:ascii="Times New Roman" w:eastAsia="Times New Roman" w:hAnsi="Times New Roman"/>
          <w:bCs/>
          <w:iCs/>
          <w:sz w:val="20"/>
          <w:szCs w:val="20"/>
        </w:rPr>
        <w:t>3</w:t>
      </w:r>
      <w:r w:rsidRPr="00A14C3D">
        <w:rPr>
          <w:rFonts w:ascii="Times New Roman" w:eastAsia="Times New Roman" w:hAnsi="Times New Roman"/>
          <w:bCs/>
          <w:iCs/>
          <w:sz w:val="20"/>
          <w:szCs w:val="20"/>
        </w:rPr>
        <w:t>.--Estimated Annual Recordkeeping Burden</w:t>
      </w:r>
      <w:r w:rsidRPr="00F9247C" w:rsidR="00590AF6">
        <w:rPr>
          <w:rFonts w:ascii="Times New Roman" w:eastAsia="Times New Roman" w:hAnsi="Times New Roman"/>
          <w:bCs/>
          <w:iCs/>
          <w:sz w:val="20"/>
          <w:szCs w:val="20"/>
          <w:vertAlign w:val="superscript"/>
        </w:rPr>
        <w:t>1</w:t>
      </w:r>
    </w:p>
    <w:tbl>
      <w:tblPr>
        <w:tblW w:w="9360" w:type="dxa"/>
        <w:tblInd w:w="-5" w:type="dxa"/>
        <w:tblLayout w:type="fixed"/>
        <w:tblLook w:val="01E0"/>
      </w:tblPr>
      <w:tblGrid>
        <w:gridCol w:w="3150"/>
        <w:gridCol w:w="1440"/>
        <w:gridCol w:w="1440"/>
        <w:gridCol w:w="1080"/>
        <w:gridCol w:w="1440"/>
        <w:gridCol w:w="810"/>
      </w:tblGrid>
      <w:tr w14:paraId="1A4DE4E4" w14:textId="77777777" w:rsidTr="00061AE1">
        <w:tblPrEx>
          <w:tblW w:w="936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hideMark/>
          </w:tcPr>
          <w:p w:rsidR="003016CC" w:rsidP="00A14C3D" w14:paraId="706ADF7D" w14:textId="77777777">
            <w:pPr>
              <w:keepNext/>
              <w:widowControl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Recommended </w:t>
            </w:r>
            <w:r w:rsidRPr="00A14C3D" w:rsidR="00A14C3D">
              <w:rPr>
                <w:rFonts w:ascii="Times New Roman" w:eastAsia="Times New Roman" w:hAnsi="Times New Roman"/>
                <w:sz w:val="20"/>
                <w:szCs w:val="20"/>
              </w:rPr>
              <w:t>Activity</w:t>
            </w:r>
            <w:r>
              <w:rPr>
                <w:rFonts w:ascii="Times New Roman" w:eastAsia="Times New Roman" w:hAnsi="Times New Roman"/>
                <w:sz w:val="20"/>
                <w:szCs w:val="20"/>
              </w:rPr>
              <w:t xml:space="preserve">; </w:t>
            </w:r>
          </w:p>
          <w:p w:rsidR="00A14C3D" w:rsidRPr="00A14C3D" w:rsidP="00A14C3D" w14:paraId="49578DFF" w14:textId="79489436">
            <w:pPr>
              <w:keepNext/>
              <w:widowControl w:val="0"/>
              <w:snapToGrid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Guidance Section</w:t>
            </w:r>
          </w:p>
        </w:tc>
        <w:tc>
          <w:tcPr>
            <w:tcW w:w="1440" w:type="dxa"/>
            <w:tcBorders>
              <w:top w:val="single" w:sz="4" w:space="0" w:color="auto"/>
              <w:left w:val="single" w:sz="4" w:space="0" w:color="auto"/>
              <w:bottom w:val="single" w:sz="4" w:space="0" w:color="auto"/>
              <w:right w:val="single" w:sz="4" w:space="0" w:color="auto"/>
            </w:tcBorders>
            <w:hideMark/>
          </w:tcPr>
          <w:p w:rsidR="00A14C3D" w:rsidRPr="00A14C3D" w:rsidP="00A14C3D" w14:paraId="3EEF5CA8" w14:textId="77777777">
            <w:pPr>
              <w:keepNext/>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rPr>
              <w:t>No. of Recordkeepers</w:t>
            </w:r>
          </w:p>
        </w:tc>
        <w:tc>
          <w:tcPr>
            <w:tcW w:w="1440" w:type="dxa"/>
            <w:tcBorders>
              <w:top w:val="single" w:sz="4" w:space="0" w:color="auto"/>
              <w:left w:val="single" w:sz="4" w:space="0" w:color="auto"/>
              <w:bottom w:val="single" w:sz="4" w:space="0" w:color="auto"/>
              <w:right w:val="single" w:sz="4" w:space="0" w:color="auto"/>
            </w:tcBorders>
            <w:hideMark/>
          </w:tcPr>
          <w:p w:rsidR="00A14C3D" w:rsidRPr="00A14C3D" w:rsidP="00A14C3D" w14:paraId="7FC27DE2" w14:textId="77777777">
            <w:pPr>
              <w:keepNext/>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rPr>
              <w:t>No. of Records per Recordkeeper</w:t>
            </w:r>
          </w:p>
        </w:tc>
        <w:tc>
          <w:tcPr>
            <w:tcW w:w="1080" w:type="dxa"/>
            <w:tcBorders>
              <w:top w:val="single" w:sz="4" w:space="0" w:color="auto"/>
              <w:left w:val="single" w:sz="4" w:space="0" w:color="auto"/>
              <w:bottom w:val="single" w:sz="4" w:space="0" w:color="auto"/>
              <w:right w:val="single" w:sz="4" w:space="0" w:color="auto"/>
            </w:tcBorders>
            <w:hideMark/>
          </w:tcPr>
          <w:p w:rsidR="00A14C3D" w:rsidRPr="00A14C3D" w:rsidP="00A14C3D" w14:paraId="636433AC" w14:textId="77777777">
            <w:pPr>
              <w:keepNext/>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rPr>
              <w:t>Total Annual Records</w:t>
            </w:r>
          </w:p>
        </w:tc>
        <w:tc>
          <w:tcPr>
            <w:tcW w:w="1440" w:type="dxa"/>
            <w:tcBorders>
              <w:top w:val="single" w:sz="4" w:space="0" w:color="auto"/>
              <w:left w:val="single" w:sz="4" w:space="0" w:color="auto"/>
              <w:bottom w:val="single" w:sz="4" w:space="0" w:color="auto"/>
              <w:right w:val="single" w:sz="4" w:space="0" w:color="auto"/>
            </w:tcBorders>
            <w:hideMark/>
          </w:tcPr>
          <w:p w:rsidR="00A14C3D" w:rsidRPr="00A14C3D" w:rsidP="00A14C3D" w14:paraId="161F2EF8" w14:textId="77777777">
            <w:pPr>
              <w:keepNext/>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rPr>
              <w:t>Average Burden per Recordkeeping</w:t>
            </w:r>
          </w:p>
        </w:tc>
        <w:tc>
          <w:tcPr>
            <w:tcW w:w="810" w:type="dxa"/>
            <w:tcBorders>
              <w:top w:val="single" w:sz="4" w:space="0" w:color="auto"/>
              <w:left w:val="single" w:sz="4" w:space="0" w:color="auto"/>
              <w:bottom w:val="single" w:sz="4" w:space="0" w:color="auto"/>
              <w:right w:val="single" w:sz="4" w:space="0" w:color="auto"/>
            </w:tcBorders>
            <w:hideMark/>
          </w:tcPr>
          <w:p w:rsidR="00A14C3D" w:rsidRPr="00A14C3D" w:rsidP="00A14C3D" w14:paraId="45599FA2" w14:textId="77777777">
            <w:pPr>
              <w:keepNext/>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rPr>
              <w:t>Total Hours</w:t>
            </w:r>
          </w:p>
        </w:tc>
      </w:tr>
      <w:tr w14:paraId="388B9E19" w14:textId="77777777" w:rsidTr="00061AE1">
        <w:tblPrEx>
          <w:tblW w:w="9360" w:type="dxa"/>
          <w:tblInd w:w="-5" w:type="dxa"/>
          <w:tblLayout w:type="fixed"/>
          <w:tblLook w:val="01E0"/>
        </w:tblPrEx>
        <w:tc>
          <w:tcPr>
            <w:tcW w:w="9360" w:type="dxa"/>
            <w:gridSpan w:val="6"/>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3952CCE7" w14:textId="456F5597">
            <w:pPr>
              <w:keepNext/>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rPr>
              <w:t>RADIOPHARMACEUTICAL COMPOUNDING AND REPACKAGING GUIDANCE</w:t>
            </w:r>
          </w:p>
        </w:tc>
      </w:tr>
      <w:tr w14:paraId="41072167" w14:textId="77777777" w:rsidTr="00061AE1">
        <w:tblPrEx>
          <w:tblW w:w="936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A14C3D" w:rsidP="00A14C3D" w14:paraId="5EEEB775" w14:textId="77777777">
            <w:pPr>
              <w:keepNext/>
              <w:spacing w:after="0" w:line="240" w:lineRule="auto"/>
              <w:rPr>
                <w:rFonts w:ascii="Times New Roman" w:eastAsia="Times New Roman" w:hAnsi="Times New Roman"/>
                <w:sz w:val="20"/>
                <w:szCs w:val="20"/>
              </w:rPr>
            </w:pPr>
            <w:r w:rsidRPr="00A14C3D">
              <w:rPr>
                <w:rFonts w:ascii="Times New Roman" w:eastAsia="Times New Roman" w:hAnsi="Times New Roman"/>
                <w:sz w:val="20"/>
                <w:szCs w:val="20"/>
              </w:rPr>
              <w:t>Consultation between the compounder and prescriber and the notation on the prescription or order documenting the prescriber’s determination of clinical difference</w:t>
            </w:r>
          </w:p>
          <w:p w:rsidR="00D3695C" w:rsidRPr="00A14C3D" w:rsidP="00A14C3D" w14:paraId="5F3CF94D" w14:textId="0526C781">
            <w:pPr>
              <w:keepNext/>
              <w:spacing w:after="0" w:line="240" w:lineRule="auto"/>
              <w:rPr>
                <w:rFonts w:ascii="Times New Roman" w:eastAsia="Times New Roman" w:hAnsi="Times New Roman"/>
                <w:sz w:val="20"/>
                <w:szCs w:val="20"/>
              </w:rPr>
            </w:pPr>
            <w:r w:rsidRPr="00D3695C">
              <w:rPr>
                <w:rFonts w:ascii="Times New Roman" w:eastAsia="Times New Roman" w:hAnsi="Times New Roman"/>
                <w:sz w:val="20"/>
                <w:szCs w:val="20"/>
              </w:rPr>
              <w:t>(section III.A of the Radiopharmaceutical Compounding and Repackaging Guidance)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4134DF1B"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245FEA5F"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0EAF1701"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250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6E1248B1"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 xml:space="preserve">.05 </w:t>
            </w:r>
          </w:p>
          <w:p w:rsidR="00A14C3D" w:rsidRPr="00A14C3D" w:rsidP="00A14C3D" w14:paraId="4E7BAB81"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(3 minutes)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96F61C8"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12.5</w:t>
            </w:r>
          </w:p>
        </w:tc>
      </w:tr>
      <w:tr w14:paraId="19541634" w14:textId="77777777" w:rsidTr="00061AE1">
        <w:tblPrEx>
          <w:tblW w:w="9360" w:type="dxa"/>
          <w:tblInd w:w="-5" w:type="dxa"/>
          <w:tblLayout w:type="fixed"/>
          <w:tblLook w:val="01E0"/>
        </w:tblPrEx>
        <w:tc>
          <w:tcPr>
            <w:tcW w:w="9360" w:type="dxa"/>
            <w:gridSpan w:val="6"/>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49994E0D" w14:textId="45D1BEAA">
            <w:pPr>
              <w:keepNext/>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shd w:val="clear" w:color="auto" w:fill="FFFFFF"/>
              </w:rPr>
              <w:t>BIOLOGIC</w:t>
            </w:r>
            <w:r>
              <w:rPr>
                <w:rFonts w:ascii="Times New Roman" w:eastAsia="Times New Roman" w:hAnsi="Times New Roman"/>
                <w:sz w:val="20"/>
                <w:szCs w:val="20"/>
                <w:shd w:val="clear" w:color="auto" w:fill="FFFFFF"/>
              </w:rPr>
              <w:t>AL PRODUCT</w:t>
            </w:r>
            <w:r w:rsidRPr="00A14C3D">
              <w:rPr>
                <w:rFonts w:ascii="Times New Roman" w:eastAsia="Times New Roman" w:hAnsi="Times New Roman"/>
                <w:sz w:val="20"/>
                <w:szCs w:val="20"/>
                <w:shd w:val="clear" w:color="auto" w:fill="FFFFFF"/>
              </w:rPr>
              <w:t xml:space="preserve">S </w:t>
            </w:r>
            <w:r w:rsidRPr="00A14C3D">
              <w:rPr>
                <w:rFonts w:ascii="Times New Roman" w:eastAsia="Times New Roman" w:hAnsi="Times New Roman"/>
                <w:sz w:val="20"/>
                <w:szCs w:val="20"/>
                <w:shd w:val="clear" w:color="auto" w:fill="FFFFFF"/>
              </w:rPr>
              <w:t>GUIDANCE</w:t>
            </w:r>
          </w:p>
        </w:tc>
      </w:tr>
      <w:tr w14:paraId="07972E1C" w14:textId="77777777" w:rsidTr="00061AE1">
        <w:tblPrEx>
          <w:tblW w:w="936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A14C3D" w:rsidRPr="00A14C3D" w:rsidP="00A14C3D" w14:paraId="49E47553" w14:textId="0223A44E">
            <w:pPr>
              <w:keepNext/>
              <w:spacing w:after="0" w:line="240" w:lineRule="auto"/>
              <w:rPr>
                <w:rFonts w:ascii="Times New Roman" w:eastAsia="Times New Roman" w:hAnsi="Times New Roman"/>
                <w:sz w:val="20"/>
                <w:szCs w:val="20"/>
              </w:rPr>
            </w:pPr>
            <w:r w:rsidRPr="00A14C3D">
              <w:rPr>
                <w:rFonts w:ascii="Times New Roman" w:eastAsia="Times New Roman" w:hAnsi="Times New Roman"/>
                <w:color w:val="000000"/>
                <w:sz w:val="20"/>
                <w:szCs w:val="20"/>
              </w:rPr>
              <w:t>Maintaining records of testing performed in accordance with Appendix A</w:t>
            </w:r>
            <w:r w:rsidR="00D603FC">
              <w:rPr>
                <w:rFonts w:ascii="Times New Roman" w:eastAsia="Times New Roman" w:hAnsi="Times New Roman"/>
                <w:color w:val="000000"/>
                <w:sz w:val="20"/>
                <w:szCs w:val="20"/>
              </w:rPr>
              <w:t xml:space="preserve"> in the Biological Products Guidance</w:t>
            </w:r>
            <w:r w:rsidR="0046049A">
              <w:rPr>
                <w:rFonts w:ascii="Times New Roman" w:eastAsia="Times New Roman" w:hAnsi="Times New Roman"/>
                <w:color w:val="000000"/>
                <w:sz w:val="20"/>
                <w:szCs w:val="20"/>
              </w:rPr>
              <w:t xml:space="preserve"> </w:t>
            </w:r>
            <w:r w:rsidRPr="0046049A" w:rsidR="0046049A">
              <w:rPr>
                <w:rFonts w:ascii="Times New Roman" w:eastAsia="Times New Roman" w:hAnsi="Times New Roman"/>
                <w:color w:val="000000"/>
                <w:sz w:val="20"/>
                <w:szCs w:val="20"/>
              </w:rPr>
              <w:t>(section III.B of the Biological Products Guidance)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5C75BFFA"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2C52B6F5"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C41A65F"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D9894C0"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0.083</w:t>
            </w:r>
          </w:p>
          <w:p w:rsidR="00A14C3D" w:rsidRPr="00A14C3D" w:rsidP="00A14C3D" w14:paraId="618F8EE5"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(5 minutes)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5B69DEDA" w14:textId="77777777">
            <w:pPr>
              <w:keepNext/>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12.5</w:t>
            </w:r>
          </w:p>
        </w:tc>
      </w:tr>
      <w:tr w14:paraId="1C5EB9F3" w14:textId="77777777" w:rsidTr="00061AE1">
        <w:tblPrEx>
          <w:tblW w:w="936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A14C3D" w:rsidRPr="00A14C3D" w:rsidP="00A14C3D" w14:paraId="4DD0A4A3" w14:textId="77777777">
            <w:pPr>
              <w:keepNext/>
              <w:spacing w:after="0" w:line="240" w:lineRule="auto"/>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5848F175" w14:textId="5CE5EB40">
            <w:pPr>
              <w:keepNext/>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t>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0163F318" w14:textId="77777777">
            <w:pPr>
              <w:keepNext/>
              <w:spacing w:after="0" w:line="240" w:lineRule="auto"/>
              <w:jc w:val="right"/>
              <w:rPr>
                <w:rFonts w:ascii="Times New Roman" w:eastAsia="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2718E2C" w14:textId="77777777">
            <w:pPr>
              <w:keepNext/>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09681F81" w14:textId="77777777">
            <w:pPr>
              <w:spacing w:after="0" w:line="240" w:lineRule="auto"/>
              <w:jc w:val="right"/>
              <w:rPr>
                <w:rFonts w:ascii="Times New Roman" w:eastAsia="Times New Roman" w:hAnsi="Times New Roman"/>
                <w:color w:val="000000"/>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A8D5E11" w14:textId="77777777">
            <w:pPr>
              <w:keepNext/>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25</w:t>
            </w:r>
          </w:p>
        </w:tc>
      </w:tr>
    </w:tbl>
    <w:p w:rsidR="00A14C3D" w:rsidRPr="00D95F76" w:rsidP="00A14C3D" w14:paraId="791057D8" w14:textId="43338701">
      <w:pPr>
        <w:spacing w:after="0" w:line="240" w:lineRule="auto"/>
        <w:rPr>
          <w:rFonts w:ascii="Times New Roman" w:eastAsia="Times New Roman" w:hAnsi="Times New Roman"/>
          <w:sz w:val="20"/>
          <w:szCs w:val="20"/>
        </w:rPr>
      </w:pPr>
      <w:r w:rsidRPr="00665627">
        <w:rPr>
          <w:rFonts w:ascii="Times New Roman" w:eastAsia="Times New Roman" w:hAnsi="Times New Roman"/>
          <w:sz w:val="20"/>
          <w:szCs w:val="20"/>
          <w:vertAlign w:val="superscript"/>
        </w:rPr>
        <w:t>1</w:t>
      </w:r>
      <w:r w:rsidR="00665627">
        <w:rPr>
          <w:rFonts w:ascii="Times New Roman" w:hAnsi="Times New Roman"/>
          <w:sz w:val="20"/>
          <w:szCs w:val="20"/>
        </w:rPr>
        <w:t>There are no capital costs or operating and maintenance costs associated with this collection of information.</w:t>
      </w:r>
    </w:p>
    <w:p w:rsidR="00A14C3D" w:rsidRPr="00A14C3D" w:rsidP="00A14C3D" w14:paraId="0306FEFF" w14:textId="77777777">
      <w:pPr>
        <w:spacing w:after="0" w:line="240" w:lineRule="auto"/>
        <w:rPr>
          <w:rFonts w:ascii="Times New Roman" w:eastAsia="Times New Roman" w:hAnsi="Times New Roman"/>
          <w:sz w:val="20"/>
          <w:szCs w:val="20"/>
        </w:rPr>
      </w:pPr>
    </w:p>
    <w:p w:rsidR="0057347B" w:rsidRPr="00A14C3D" w:rsidP="00A14C3D" w14:paraId="253D1467" w14:textId="77777777">
      <w:pPr>
        <w:spacing w:after="0" w:line="240" w:lineRule="auto"/>
        <w:rPr>
          <w:rFonts w:ascii="Times New Roman" w:eastAsia="Times New Roman" w:hAnsi="Times New Roman"/>
          <w:sz w:val="20"/>
          <w:szCs w:val="20"/>
        </w:rPr>
      </w:pPr>
    </w:p>
    <w:p w:rsidR="00A14C3D" w:rsidRPr="009F3F9F" w:rsidP="00A14C3D" w14:paraId="1583AEE8" w14:textId="2ACEF972">
      <w:pPr>
        <w:spacing w:after="0" w:line="240" w:lineRule="auto"/>
        <w:jc w:val="center"/>
        <w:rPr>
          <w:rFonts w:ascii="Times New Roman" w:eastAsia="Times New Roman" w:hAnsi="Times New Roman"/>
          <w:sz w:val="20"/>
          <w:szCs w:val="20"/>
          <w:vertAlign w:val="superscript"/>
        </w:rPr>
      </w:pPr>
      <w:r w:rsidRPr="00A14C3D">
        <w:rPr>
          <w:rFonts w:ascii="Times New Roman" w:eastAsia="Times New Roman" w:hAnsi="Times New Roman"/>
          <w:sz w:val="20"/>
          <w:szCs w:val="20"/>
        </w:rPr>
        <w:t xml:space="preserve">Table </w:t>
      </w:r>
      <w:r w:rsidR="00C539D7">
        <w:rPr>
          <w:rFonts w:ascii="Times New Roman" w:eastAsia="Times New Roman" w:hAnsi="Times New Roman"/>
          <w:sz w:val="20"/>
          <w:szCs w:val="20"/>
        </w:rPr>
        <w:t>4</w:t>
      </w:r>
      <w:r w:rsidRPr="00A14C3D">
        <w:rPr>
          <w:rFonts w:ascii="Times New Roman" w:eastAsia="Times New Roman" w:hAnsi="Times New Roman"/>
          <w:sz w:val="20"/>
          <w:szCs w:val="20"/>
        </w:rPr>
        <w:t>. – Estimated Annual Third-Party Disclosure</w:t>
      </w:r>
      <w:r w:rsidR="009F3F9F">
        <w:rPr>
          <w:rFonts w:ascii="Times New Roman" w:eastAsia="Times New Roman" w:hAnsi="Times New Roman"/>
          <w:sz w:val="20"/>
          <w:szCs w:val="20"/>
          <w:vertAlign w:val="superscript"/>
        </w:rPr>
        <w:t>1</w:t>
      </w:r>
      <w:r w:rsidR="00665627">
        <w:rPr>
          <w:rFonts w:ascii="Times New Roman" w:eastAsia="Times New Roman" w:hAnsi="Times New Roman"/>
          <w:sz w:val="20"/>
          <w:szCs w:val="20"/>
          <w:vertAlign w:val="superscript"/>
        </w:rPr>
        <w:t>, 2</w:t>
      </w:r>
    </w:p>
    <w:tbl>
      <w:tblPr>
        <w:tblW w:w="9450" w:type="dxa"/>
        <w:tblInd w:w="-5" w:type="dxa"/>
        <w:tblLayout w:type="fixed"/>
        <w:tblLook w:val="01E0"/>
      </w:tblPr>
      <w:tblGrid>
        <w:gridCol w:w="3150"/>
        <w:gridCol w:w="6"/>
        <w:gridCol w:w="1434"/>
        <w:gridCol w:w="6"/>
        <w:gridCol w:w="1524"/>
        <w:gridCol w:w="1170"/>
        <w:gridCol w:w="6"/>
        <w:gridCol w:w="1254"/>
        <w:gridCol w:w="6"/>
        <w:gridCol w:w="894"/>
      </w:tblGrid>
      <w:tr w14:paraId="5AA77600" w14:textId="77777777">
        <w:tblPrEx>
          <w:tblW w:w="9450" w:type="dxa"/>
          <w:tblInd w:w="-5" w:type="dxa"/>
          <w:tblLayout w:type="fixed"/>
          <w:tblLook w:val="01E0"/>
        </w:tblPrEx>
        <w:tc>
          <w:tcPr>
            <w:tcW w:w="3156" w:type="dxa"/>
            <w:gridSpan w:val="2"/>
            <w:tcBorders>
              <w:top w:val="single" w:sz="4" w:space="0" w:color="auto"/>
              <w:left w:val="single" w:sz="4" w:space="0" w:color="auto"/>
              <w:bottom w:val="single" w:sz="4" w:space="0" w:color="auto"/>
              <w:right w:val="single" w:sz="4" w:space="0" w:color="auto"/>
            </w:tcBorders>
            <w:shd w:val="clear" w:color="auto" w:fill="auto"/>
          </w:tcPr>
          <w:p w:rsidR="00A14C3D" w:rsidP="00A14C3D" w14:paraId="7A417812" w14:textId="77777777">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Recommended</w:t>
            </w:r>
            <w:r w:rsidR="00D82347">
              <w:rPr>
                <w:rFonts w:ascii="Times New Roman" w:eastAsia="Times New Roman" w:hAnsi="Times New Roman"/>
                <w:color w:val="000000"/>
                <w:sz w:val="20"/>
                <w:szCs w:val="20"/>
              </w:rPr>
              <w:t xml:space="preserve"> </w:t>
            </w:r>
            <w:r w:rsidRPr="00A14C3D">
              <w:rPr>
                <w:rFonts w:ascii="Times New Roman" w:eastAsia="Times New Roman" w:hAnsi="Times New Roman"/>
                <w:color w:val="000000"/>
                <w:sz w:val="20"/>
                <w:szCs w:val="20"/>
              </w:rPr>
              <w:t>Activity</w:t>
            </w:r>
            <w:r w:rsidR="00D82347">
              <w:rPr>
                <w:rFonts w:ascii="Times New Roman" w:eastAsia="Times New Roman" w:hAnsi="Times New Roman"/>
                <w:color w:val="000000"/>
                <w:sz w:val="20"/>
                <w:szCs w:val="20"/>
              </w:rPr>
              <w:t>;</w:t>
            </w:r>
          </w:p>
          <w:p w:rsidR="00D82347" w:rsidRPr="00A14C3D" w:rsidP="00A14C3D" w14:paraId="77D9A523" w14:textId="674B7F0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Guidance Section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3A12C05" w14:textId="173E3C2C">
            <w:pPr>
              <w:spacing w:after="0" w:line="240" w:lineRule="auto"/>
              <w:jc w:val="center"/>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No. of Respondents</w:t>
            </w:r>
            <w:r w:rsidR="002B7247">
              <w:rPr>
                <w:rStyle w:val="FootnoteReference"/>
                <w:rFonts w:ascii="Times New Roman" w:eastAsia="Times New Roman" w:hAnsi="Times New Roman"/>
                <w:color w:val="000000"/>
                <w:sz w:val="20"/>
                <w:szCs w:val="20"/>
              </w:rPr>
              <w:t>2</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0922A2D9" w14:textId="77777777">
            <w:pPr>
              <w:spacing w:after="0" w:line="240" w:lineRule="auto"/>
              <w:jc w:val="center"/>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No. of  Disclosures per Respondent</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10CE0905" w14:textId="77777777">
            <w:pPr>
              <w:spacing w:after="0" w:line="240" w:lineRule="auto"/>
              <w:jc w:val="center"/>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Total Annual Disclosures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4B3CC268" w14:textId="77777777">
            <w:pPr>
              <w:spacing w:after="0" w:line="240" w:lineRule="auto"/>
              <w:jc w:val="center"/>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Average Burden per Disclosure</w:t>
            </w:r>
          </w:p>
        </w:tc>
        <w:tc>
          <w:tcPr>
            <w:tcW w:w="894"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4FAF575" w14:textId="77777777">
            <w:pPr>
              <w:spacing w:after="0" w:line="240" w:lineRule="auto"/>
              <w:jc w:val="center"/>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Total Hours</w:t>
            </w:r>
          </w:p>
        </w:tc>
      </w:tr>
      <w:tr w14:paraId="30BE83BE" w14:textId="77777777">
        <w:tblPrEx>
          <w:tblW w:w="9450" w:type="dxa"/>
          <w:tblInd w:w="-5" w:type="dxa"/>
          <w:tblLayout w:type="fixed"/>
          <w:tblLook w:val="01E0"/>
        </w:tblPrEx>
        <w:tc>
          <w:tcPr>
            <w:tcW w:w="9450" w:type="dxa"/>
            <w:gridSpan w:val="10"/>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6566B870" w14:textId="545405FF">
            <w:pPr>
              <w:spacing w:after="0" w:line="240" w:lineRule="auto"/>
              <w:jc w:val="center"/>
              <w:rPr>
                <w:rFonts w:ascii="Times New Roman" w:eastAsia="Times New Roman" w:hAnsi="Times New Roman"/>
                <w:sz w:val="20"/>
                <w:szCs w:val="20"/>
              </w:rPr>
            </w:pPr>
            <w:r w:rsidRPr="00A14C3D">
              <w:rPr>
                <w:rFonts w:ascii="Times New Roman" w:eastAsia="Times New Roman" w:hAnsi="Times New Roman"/>
                <w:color w:val="000000"/>
                <w:sz w:val="20"/>
                <w:szCs w:val="20"/>
              </w:rPr>
              <w:t xml:space="preserve">RADIOPHARMACEUTICAL </w:t>
            </w:r>
            <w:r w:rsidR="00D603FC">
              <w:rPr>
                <w:rFonts w:ascii="Times New Roman" w:eastAsia="Times New Roman" w:hAnsi="Times New Roman"/>
                <w:color w:val="000000"/>
                <w:sz w:val="20"/>
                <w:szCs w:val="20"/>
              </w:rPr>
              <w:t xml:space="preserve">COMPOUNDING AND REPACKAGING BY </w:t>
            </w:r>
            <w:r w:rsidRPr="00A14C3D" w:rsidR="00D603FC">
              <w:rPr>
                <w:rFonts w:ascii="Times New Roman" w:eastAsia="Times New Roman" w:hAnsi="Times New Roman"/>
                <w:color w:val="000000"/>
                <w:sz w:val="20"/>
                <w:szCs w:val="20"/>
              </w:rPr>
              <w:t xml:space="preserve">OUTSOURCING </w:t>
            </w:r>
            <w:r w:rsidRPr="00A14C3D">
              <w:rPr>
                <w:rFonts w:ascii="Times New Roman" w:eastAsia="Times New Roman" w:hAnsi="Times New Roman"/>
                <w:color w:val="000000"/>
                <w:sz w:val="20"/>
                <w:szCs w:val="20"/>
              </w:rPr>
              <w:t>FACILIT</w:t>
            </w:r>
            <w:r w:rsidR="00D279F0">
              <w:rPr>
                <w:rFonts w:ascii="Times New Roman" w:eastAsia="Times New Roman" w:hAnsi="Times New Roman"/>
                <w:color w:val="000000"/>
                <w:sz w:val="20"/>
                <w:szCs w:val="20"/>
              </w:rPr>
              <w:t>IES</w:t>
            </w:r>
            <w:r w:rsidRPr="00A14C3D">
              <w:rPr>
                <w:rFonts w:ascii="Times New Roman" w:eastAsia="Times New Roman" w:hAnsi="Times New Roman"/>
                <w:color w:val="000000"/>
                <w:sz w:val="20"/>
                <w:szCs w:val="20"/>
              </w:rPr>
              <w:t xml:space="preserve"> GUIDANCE</w:t>
            </w:r>
          </w:p>
        </w:tc>
      </w:tr>
      <w:tr w14:paraId="386B4183" w14:textId="77777777">
        <w:tblPrEx>
          <w:tblW w:w="9450" w:type="dxa"/>
          <w:tblInd w:w="-5" w:type="dxa"/>
          <w:tblLayout w:type="fixed"/>
          <w:tblLook w:val="01E0"/>
        </w:tblPrEx>
        <w:trPr>
          <w:trHeight w:val="755"/>
        </w:trPr>
        <w:tc>
          <w:tcPr>
            <w:tcW w:w="3150" w:type="dxa"/>
            <w:tcBorders>
              <w:top w:val="single" w:sz="4" w:space="0" w:color="auto"/>
              <w:left w:val="single" w:sz="4" w:space="0" w:color="auto"/>
              <w:bottom w:val="single" w:sz="4" w:space="0" w:color="auto"/>
              <w:right w:val="single" w:sz="4" w:space="0" w:color="auto"/>
            </w:tcBorders>
            <w:shd w:val="clear" w:color="auto" w:fill="auto"/>
          </w:tcPr>
          <w:p w:rsidR="00A14C3D" w:rsidP="00A14C3D" w14:paraId="31B289AC" w14:textId="77777777">
            <w:pPr>
              <w:spacing w:after="0" w:line="240" w:lineRule="auto"/>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Designing, testing, and producing each label on immediate containers, packages and/or outer containers</w:t>
            </w:r>
          </w:p>
          <w:p w:rsidR="002E69E8" w:rsidRPr="00A14C3D" w:rsidP="00A14C3D" w14:paraId="17D0EECF" w14:textId="2798E8C0">
            <w:pPr>
              <w:spacing w:after="0" w:line="240" w:lineRule="auto"/>
              <w:rPr>
                <w:rFonts w:ascii="Times New Roman" w:eastAsia="Times New Roman" w:hAnsi="Times New Roman"/>
                <w:sz w:val="20"/>
                <w:szCs w:val="20"/>
              </w:rPr>
            </w:pPr>
            <w:r w:rsidRPr="002E69E8">
              <w:rPr>
                <w:rFonts w:ascii="Times New Roman" w:eastAsia="Times New Roman" w:hAnsi="Times New Roman"/>
                <w:sz w:val="20"/>
                <w:szCs w:val="20"/>
              </w:rPr>
              <w:t>(section III.B of the Radiopharmaceutical Compounding and Repackaging Guidance by Outsourcing Facilities)</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45664C6C"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008EA12E"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ACA224C"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10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3792AD7B"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 xml:space="preserve">0.5 </w:t>
            </w:r>
          </w:p>
          <w:p w:rsidR="00A14C3D" w:rsidRPr="00A14C3D" w:rsidP="00A14C3D" w14:paraId="11160E0B"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(30 minutes)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162584FB"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color w:val="000000"/>
                <w:sz w:val="20"/>
                <w:szCs w:val="20"/>
              </w:rPr>
              <w:t>5</w:t>
            </w:r>
          </w:p>
        </w:tc>
      </w:tr>
      <w:tr w14:paraId="4347DB28" w14:textId="77777777">
        <w:tblPrEx>
          <w:tblW w:w="9450" w:type="dxa"/>
          <w:tblInd w:w="-5" w:type="dxa"/>
          <w:tblLayout w:type="fixed"/>
          <w:tblLook w:val="01E0"/>
        </w:tblPrEx>
        <w:tc>
          <w:tcPr>
            <w:tcW w:w="9450" w:type="dxa"/>
            <w:gridSpan w:val="10"/>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05BD1E80" w14:textId="77777777">
            <w:pPr>
              <w:spacing w:after="0" w:line="240" w:lineRule="auto"/>
              <w:jc w:val="center"/>
              <w:rPr>
                <w:rFonts w:ascii="Times New Roman" w:eastAsia="Times New Roman" w:hAnsi="Times New Roman"/>
                <w:sz w:val="20"/>
                <w:szCs w:val="20"/>
              </w:rPr>
            </w:pPr>
            <w:r w:rsidRPr="00A14C3D">
              <w:rPr>
                <w:rFonts w:ascii="Times New Roman" w:eastAsia="Times New Roman" w:hAnsi="Times New Roman"/>
                <w:sz w:val="20"/>
                <w:szCs w:val="20"/>
              </w:rPr>
              <w:t>REPACKAGING GUIDANCE</w:t>
            </w:r>
          </w:p>
        </w:tc>
      </w:tr>
      <w:tr w14:paraId="1C3C66F9" w14:textId="77777777">
        <w:tblPrEx>
          <w:tblW w:w="945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36AF7263" w14:textId="02D42D3A">
            <w:pPr>
              <w:spacing w:after="0" w:line="240" w:lineRule="auto"/>
              <w:rPr>
                <w:rFonts w:ascii="Times New Roman" w:eastAsia="Times New Roman" w:hAnsi="Times New Roman"/>
                <w:sz w:val="20"/>
                <w:szCs w:val="20"/>
              </w:rPr>
            </w:pPr>
            <w:r w:rsidRPr="00A14C3D">
              <w:rPr>
                <w:rFonts w:ascii="Times New Roman" w:eastAsia="Times New Roman" w:hAnsi="Times New Roman"/>
                <w:sz w:val="20"/>
                <w:szCs w:val="20"/>
              </w:rPr>
              <w:t xml:space="preserve">Designing, testing, and producing each label on immediate containers, packages, and/or outer containers </w:t>
            </w:r>
            <w:r w:rsidRPr="008C5CDC" w:rsidR="008C5CDC">
              <w:rPr>
                <w:rFonts w:ascii="Times New Roman" w:eastAsia="Times New Roman" w:hAnsi="Times New Roman"/>
                <w:sz w:val="20"/>
                <w:szCs w:val="20"/>
              </w:rPr>
              <w:t>(section III.A of the Repackaging Guidance)</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03C4062D"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6</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122DA765"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7C7B8642"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216</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29DA9780"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A14C3D" w:rsidRPr="00A14C3D" w:rsidP="00A14C3D" w14:paraId="41F2D75A" w14:textId="77777777">
            <w:pPr>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216</w:t>
            </w:r>
          </w:p>
        </w:tc>
      </w:tr>
      <w:tr w14:paraId="239E7D8A" w14:textId="77777777">
        <w:tblPrEx>
          <w:tblW w:w="9450" w:type="dxa"/>
          <w:tblInd w:w="-5" w:type="dxa"/>
          <w:tblLayout w:type="fixed"/>
          <w:tblLook w:val="01E0"/>
        </w:tblPrEx>
        <w:tc>
          <w:tcPr>
            <w:tcW w:w="945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14C3D" w:rsidRPr="00A14C3D" w:rsidP="00A14C3D" w14:paraId="54503217" w14:textId="01B06303">
            <w:pPr>
              <w:spacing w:after="0" w:line="240" w:lineRule="auto"/>
              <w:jc w:val="center"/>
              <w:rPr>
                <w:rFonts w:ascii="Times New Roman" w:eastAsia="Times New Roman" w:hAnsi="Times New Roman"/>
                <w:color w:val="000000"/>
                <w:sz w:val="20"/>
                <w:szCs w:val="20"/>
              </w:rPr>
            </w:pPr>
            <w:r w:rsidRPr="00A14C3D">
              <w:rPr>
                <w:rFonts w:ascii="Times New Roman" w:eastAsia="Times New Roman" w:hAnsi="Times New Roman"/>
                <w:sz w:val="20"/>
                <w:szCs w:val="20"/>
                <w:shd w:val="clear" w:color="auto" w:fill="FFFFFF"/>
              </w:rPr>
              <w:t>BIOLOGIC</w:t>
            </w:r>
            <w:r>
              <w:rPr>
                <w:rFonts w:ascii="Times New Roman" w:eastAsia="Times New Roman" w:hAnsi="Times New Roman"/>
                <w:sz w:val="20"/>
                <w:szCs w:val="20"/>
                <w:shd w:val="clear" w:color="auto" w:fill="FFFFFF"/>
              </w:rPr>
              <w:t>AL PRODUCT</w:t>
            </w:r>
            <w:r w:rsidRPr="00A14C3D">
              <w:rPr>
                <w:rFonts w:ascii="Times New Roman" w:eastAsia="Times New Roman" w:hAnsi="Times New Roman"/>
                <w:sz w:val="20"/>
                <w:szCs w:val="20"/>
                <w:shd w:val="clear" w:color="auto" w:fill="FFFFFF"/>
              </w:rPr>
              <w:t xml:space="preserve">S </w:t>
            </w:r>
            <w:r w:rsidRPr="00A14C3D">
              <w:rPr>
                <w:rFonts w:ascii="Times New Roman" w:eastAsia="Times New Roman" w:hAnsi="Times New Roman"/>
                <w:sz w:val="20"/>
                <w:szCs w:val="20"/>
                <w:shd w:val="clear" w:color="auto" w:fill="FFFFFF"/>
              </w:rPr>
              <w:t>GUIDANCE</w:t>
            </w:r>
          </w:p>
        </w:tc>
      </w:tr>
      <w:tr w14:paraId="016221EE" w14:textId="77777777">
        <w:tblPrEx>
          <w:tblW w:w="945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vAlign w:val="center"/>
          </w:tcPr>
          <w:p w:rsidR="00A14C3D" w:rsidRPr="00A14C3D" w:rsidP="00A14C3D" w14:paraId="1242E12A" w14:textId="6EE8A72E">
            <w:pPr>
              <w:spacing w:after="0" w:line="240" w:lineRule="auto"/>
              <w:rPr>
                <w:rFonts w:ascii="Times New Roman" w:eastAsia="Times New Roman" w:hAnsi="Times New Roman"/>
                <w:color w:val="000000"/>
                <w:sz w:val="20"/>
                <w:szCs w:val="20"/>
              </w:rPr>
            </w:pPr>
            <w:r w:rsidRPr="00A14C3D">
              <w:rPr>
                <w:rFonts w:ascii="Times New Roman" w:eastAsia="Times New Roman" w:hAnsi="Times New Roman"/>
                <w:sz w:val="20"/>
                <w:szCs w:val="20"/>
                <w:shd w:val="clear" w:color="auto" w:fill="FFFFFF"/>
              </w:rPr>
              <w:t xml:space="preserve">Designing, testing, and producing the label, container, packages, and/or outer containers for each mixed, diluted, or repackaged biological product </w:t>
            </w:r>
            <w:r w:rsidRPr="00DE4BE2" w:rsidR="00C74088">
              <w:rPr>
                <w:rFonts w:ascii="Times New Roman" w:hAnsi="Times New Roman"/>
                <w:sz w:val="20"/>
                <w:szCs w:val="20"/>
                <w:shd w:val="clear" w:color="auto" w:fill="FFFFFF"/>
              </w:rPr>
              <w:t>(section III.B of the Biological Products Guidance)</w:t>
            </w:r>
          </w:p>
        </w:tc>
        <w:tc>
          <w:tcPr>
            <w:tcW w:w="144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2AC4CD6B"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15</w:t>
            </w:r>
          </w:p>
        </w:tc>
        <w:tc>
          <w:tcPr>
            <w:tcW w:w="153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5B094E72"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5</w:t>
            </w:r>
          </w:p>
        </w:tc>
        <w:tc>
          <w:tcPr>
            <w:tcW w:w="1170" w:type="dxa"/>
            <w:tcBorders>
              <w:top w:val="single" w:sz="4" w:space="0" w:color="auto"/>
              <w:left w:val="single" w:sz="4" w:space="0" w:color="auto"/>
              <w:bottom w:val="single" w:sz="4" w:space="0" w:color="auto"/>
              <w:right w:val="single" w:sz="4" w:space="0" w:color="auto"/>
            </w:tcBorders>
          </w:tcPr>
          <w:p w:rsidR="00A14C3D" w:rsidRPr="00A14C3D" w:rsidP="00A14C3D" w14:paraId="0F135DAF" w14:textId="3D2DE3C9">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75</w:t>
            </w:r>
          </w:p>
        </w:tc>
        <w:tc>
          <w:tcPr>
            <w:tcW w:w="126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74FDB61F"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0.5</w:t>
            </w:r>
          </w:p>
          <w:p w:rsidR="00A14C3D" w:rsidRPr="00A14C3D" w:rsidP="00A14C3D" w14:paraId="4440C244"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(30 minutes)</w:t>
            </w:r>
          </w:p>
        </w:tc>
        <w:tc>
          <w:tcPr>
            <w:tcW w:w="90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0369800D" w14:textId="248871F5">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37.5</w:t>
            </w:r>
          </w:p>
        </w:tc>
      </w:tr>
      <w:tr w14:paraId="7FF39BBC" w14:textId="77777777">
        <w:tblPrEx>
          <w:tblW w:w="945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vAlign w:val="center"/>
          </w:tcPr>
          <w:p w:rsidR="00A14C3D" w:rsidRPr="00A14C3D" w:rsidP="00A14C3D" w14:paraId="2CBC6B92" w14:textId="49EA8CB5">
            <w:pPr>
              <w:spacing w:after="0" w:line="240" w:lineRule="auto"/>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Designing, testing, and producing each label on immediate containers, packages and/or outer containers for each licensed allergenic extract</w:t>
            </w:r>
            <w:r w:rsidR="008C464A">
              <w:rPr>
                <w:rFonts w:ascii="Times New Roman" w:eastAsia="Times New Roman" w:hAnsi="Times New Roman"/>
                <w:color w:val="000000"/>
                <w:sz w:val="20"/>
                <w:szCs w:val="20"/>
              </w:rPr>
              <w:t xml:space="preserve"> </w:t>
            </w:r>
            <w:r w:rsidRPr="008C464A" w:rsidR="008C464A">
              <w:rPr>
                <w:rFonts w:ascii="Times New Roman" w:eastAsia="Times New Roman" w:hAnsi="Times New Roman"/>
                <w:color w:val="000000"/>
                <w:sz w:val="20"/>
                <w:szCs w:val="20"/>
              </w:rPr>
              <w:t>(section III.C of the Biological Products Guidance)</w:t>
            </w:r>
          </w:p>
        </w:tc>
        <w:tc>
          <w:tcPr>
            <w:tcW w:w="144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53779E26"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5</w:t>
            </w:r>
          </w:p>
        </w:tc>
        <w:tc>
          <w:tcPr>
            <w:tcW w:w="153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2EFB028B"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300</w:t>
            </w:r>
          </w:p>
        </w:tc>
        <w:tc>
          <w:tcPr>
            <w:tcW w:w="1170" w:type="dxa"/>
            <w:tcBorders>
              <w:top w:val="single" w:sz="4" w:space="0" w:color="auto"/>
              <w:left w:val="single" w:sz="4" w:space="0" w:color="auto"/>
              <w:bottom w:val="single" w:sz="4" w:space="0" w:color="auto"/>
              <w:right w:val="single" w:sz="4" w:space="0" w:color="auto"/>
            </w:tcBorders>
          </w:tcPr>
          <w:p w:rsidR="00A14C3D" w:rsidRPr="00A14C3D" w:rsidP="00A14C3D" w14:paraId="6E9D4B7C"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1,500</w:t>
            </w:r>
          </w:p>
        </w:tc>
        <w:tc>
          <w:tcPr>
            <w:tcW w:w="126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2365CEB5"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 xml:space="preserve">0.5 </w:t>
            </w:r>
          </w:p>
          <w:p w:rsidR="00A14C3D" w:rsidRPr="00A14C3D" w:rsidP="00A14C3D" w14:paraId="13B7B692"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(30 minutes)</w:t>
            </w:r>
          </w:p>
        </w:tc>
        <w:tc>
          <w:tcPr>
            <w:tcW w:w="90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09E3B717" w14:textId="77777777">
            <w:pPr>
              <w:spacing w:after="0" w:line="240" w:lineRule="auto"/>
              <w:jc w:val="right"/>
              <w:rPr>
                <w:rFonts w:ascii="Times New Roman" w:eastAsia="Times New Roman" w:hAnsi="Times New Roman"/>
                <w:color w:val="000000"/>
                <w:sz w:val="20"/>
                <w:szCs w:val="20"/>
              </w:rPr>
            </w:pPr>
            <w:r w:rsidRPr="00A14C3D">
              <w:rPr>
                <w:rFonts w:ascii="Times New Roman" w:eastAsia="Times New Roman" w:hAnsi="Times New Roman"/>
                <w:color w:val="000000"/>
                <w:sz w:val="20"/>
                <w:szCs w:val="20"/>
              </w:rPr>
              <w:t>750</w:t>
            </w:r>
          </w:p>
        </w:tc>
      </w:tr>
      <w:tr w14:paraId="208D6353" w14:textId="77777777">
        <w:tblPrEx>
          <w:tblW w:w="9450" w:type="dxa"/>
          <w:tblInd w:w="-5" w:type="dxa"/>
          <w:tblLayout w:type="fixed"/>
          <w:tblLook w:val="01E0"/>
        </w:tblPrEx>
        <w:tc>
          <w:tcPr>
            <w:tcW w:w="3150" w:type="dxa"/>
            <w:tcBorders>
              <w:top w:val="single" w:sz="4" w:space="0" w:color="auto"/>
              <w:left w:val="single" w:sz="4" w:space="0" w:color="auto"/>
              <w:bottom w:val="single" w:sz="4" w:space="0" w:color="auto"/>
              <w:right w:val="single" w:sz="4" w:space="0" w:color="auto"/>
            </w:tcBorders>
          </w:tcPr>
          <w:p w:rsidR="00A14C3D" w:rsidRPr="00A14C3D" w:rsidP="00A14C3D" w14:paraId="2882F84F" w14:textId="77777777">
            <w:pPr>
              <w:spacing w:after="0" w:line="240" w:lineRule="auto"/>
              <w:rPr>
                <w:rFonts w:ascii="Times New Roman" w:eastAsia="Times New Roman" w:hAnsi="Times New Roman"/>
                <w:sz w:val="20"/>
                <w:szCs w:val="20"/>
              </w:rPr>
            </w:pPr>
            <w:r w:rsidRPr="00A14C3D">
              <w:rPr>
                <w:rFonts w:ascii="Times New Roman" w:eastAsia="Times New Roman" w:hAnsi="Times New Roman"/>
                <w:sz w:val="20"/>
                <w:szCs w:val="20"/>
              </w:rPr>
              <w:t>Total</w:t>
            </w:r>
          </w:p>
        </w:tc>
        <w:tc>
          <w:tcPr>
            <w:tcW w:w="144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437CC817" w14:textId="08640493">
            <w:pPr>
              <w:spacing w:after="0" w:line="240" w:lineRule="auto"/>
              <w:jc w:val="right"/>
              <w:rPr>
                <w:rFonts w:ascii="Times New Roman" w:eastAsia="Times New Roman" w:hAnsi="Times New Roman"/>
                <w:sz w:val="20"/>
                <w:szCs w:val="20"/>
              </w:rPr>
            </w:pPr>
            <w:r>
              <w:rPr>
                <w:rFonts w:ascii="Times New Roman" w:eastAsia="Times New Roman" w:hAnsi="Times New Roman"/>
                <w:sz w:val="20"/>
                <w:szCs w:val="20"/>
              </w:rPr>
              <w:t>28</w:t>
            </w:r>
          </w:p>
        </w:tc>
        <w:tc>
          <w:tcPr>
            <w:tcW w:w="153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2514E895" w14:textId="77777777">
            <w:pPr>
              <w:spacing w:after="0" w:line="240" w:lineRule="auto"/>
              <w:jc w:val="right"/>
              <w:rPr>
                <w:rFonts w:ascii="Times New Roman" w:eastAsia="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A14C3D" w:rsidRPr="00A14C3D" w:rsidP="00A14C3D" w14:paraId="2E2B67E2" w14:textId="7DA3914F">
            <w:pPr>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1,8</w:t>
            </w:r>
            <w:r w:rsidR="00784096">
              <w:rPr>
                <w:rFonts w:ascii="Times New Roman" w:eastAsia="Times New Roman" w:hAnsi="Times New Roman"/>
                <w:sz w:val="20"/>
                <w:szCs w:val="20"/>
              </w:rPr>
              <w:t>0</w:t>
            </w:r>
            <w:r w:rsidRPr="00A14C3D">
              <w:rPr>
                <w:rFonts w:ascii="Times New Roman" w:eastAsia="Times New Roman" w:hAnsi="Times New Roman"/>
                <w:sz w:val="20"/>
                <w:szCs w:val="20"/>
              </w:rPr>
              <w:t>1</w:t>
            </w:r>
          </w:p>
        </w:tc>
        <w:tc>
          <w:tcPr>
            <w:tcW w:w="126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523D1514" w14:textId="77777777">
            <w:pPr>
              <w:spacing w:after="0" w:line="240" w:lineRule="auto"/>
              <w:jc w:val="right"/>
              <w:rPr>
                <w:rFonts w:ascii="Times New Roman" w:eastAsia="Times New Roman" w:hAnsi="Times New Roman"/>
                <w:sz w:val="20"/>
                <w:szCs w:val="20"/>
              </w:rPr>
            </w:pPr>
          </w:p>
        </w:tc>
        <w:tc>
          <w:tcPr>
            <w:tcW w:w="900" w:type="dxa"/>
            <w:gridSpan w:val="2"/>
            <w:tcBorders>
              <w:top w:val="single" w:sz="4" w:space="0" w:color="auto"/>
              <w:left w:val="single" w:sz="4" w:space="0" w:color="auto"/>
              <w:bottom w:val="single" w:sz="4" w:space="0" w:color="auto"/>
              <w:right w:val="single" w:sz="4" w:space="0" w:color="auto"/>
            </w:tcBorders>
          </w:tcPr>
          <w:p w:rsidR="00A14C3D" w:rsidRPr="00A14C3D" w:rsidP="00A14C3D" w14:paraId="0C5E8127" w14:textId="7200F545">
            <w:pPr>
              <w:spacing w:after="0" w:line="240" w:lineRule="auto"/>
              <w:jc w:val="right"/>
              <w:rPr>
                <w:rFonts w:ascii="Times New Roman" w:eastAsia="Times New Roman" w:hAnsi="Times New Roman"/>
                <w:sz w:val="20"/>
                <w:szCs w:val="20"/>
              </w:rPr>
            </w:pPr>
            <w:r w:rsidRPr="00A14C3D">
              <w:rPr>
                <w:rFonts w:ascii="Times New Roman" w:eastAsia="Times New Roman" w:hAnsi="Times New Roman"/>
                <w:sz w:val="20"/>
                <w:szCs w:val="20"/>
              </w:rPr>
              <w:t>1,0</w:t>
            </w:r>
            <w:r w:rsidR="00784096">
              <w:rPr>
                <w:rFonts w:ascii="Times New Roman" w:eastAsia="Times New Roman" w:hAnsi="Times New Roman"/>
                <w:sz w:val="20"/>
                <w:szCs w:val="20"/>
              </w:rPr>
              <w:t>0</w:t>
            </w:r>
            <w:r w:rsidR="00AB4477">
              <w:rPr>
                <w:rFonts w:ascii="Times New Roman" w:eastAsia="Times New Roman" w:hAnsi="Times New Roman"/>
                <w:sz w:val="20"/>
                <w:szCs w:val="20"/>
              </w:rPr>
              <w:t>9</w:t>
            </w:r>
          </w:p>
        </w:tc>
      </w:tr>
    </w:tbl>
    <w:p w:rsidR="00665627" w:rsidRPr="00CC38D2" w:rsidP="00333472" w14:paraId="2DF8105C" w14:textId="20C06608">
      <w:pPr>
        <w:spacing w:line="240" w:lineRule="auto"/>
        <w:contextualSpacing/>
        <w:rPr>
          <w:rFonts w:ascii="Times New Roman" w:eastAsia="Times New Roman" w:hAnsi="Times New Roman"/>
          <w:sz w:val="20"/>
          <w:szCs w:val="20"/>
        </w:rPr>
      </w:pPr>
      <w:bookmarkStart w:id="8" w:name="_Hlk151152129"/>
      <w:r>
        <w:rPr>
          <w:rFonts w:ascii="Times New Roman" w:eastAsia="Times New Roman" w:hAnsi="Times New Roman"/>
          <w:sz w:val="20"/>
          <w:szCs w:val="20"/>
          <w:vertAlign w:val="superscript"/>
        </w:rPr>
        <w:t>1</w:t>
      </w:r>
      <w:r>
        <w:rPr>
          <w:rFonts w:ascii="Times New Roman" w:eastAsia="Times New Roman" w:hAnsi="Times New Roman"/>
          <w:sz w:val="20"/>
          <w:szCs w:val="20"/>
        </w:rPr>
        <w:t>There are no capital costs or operating and maintenance costs associated with this collection of information.</w:t>
      </w:r>
    </w:p>
    <w:p w:rsidR="00584BBD" w:rsidP="00333472" w14:paraId="4DA06694" w14:textId="0B2ED390">
      <w:pPr>
        <w:spacing w:line="240" w:lineRule="auto"/>
        <w:contextualSpacing/>
        <w:rPr>
          <w:rFonts w:ascii="Times New Roman" w:hAnsi="Times New Roman"/>
          <w:sz w:val="20"/>
          <w:szCs w:val="20"/>
          <w:vertAlign w:val="superscript"/>
        </w:rPr>
      </w:pPr>
      <w:r w:rsidRPr="00CC38D2">
        <w:rPr>
          <w:rFonts w:ascii="Times New Roman" w:hAnsi="Times New Roman"/>
          <w:sz w:val="20"/>
          <w:szCs w:val="20"/>
          <w:vertAlign w:val="superscript"/>
        </w:rPr>
        <w:t>2</w:t>
      </w:r>
      <w:r w:rsidRPr="00D95F76" w:rsidR="009F3F9F">
        <w:rPr>
          <w:rFonts w:ascii="Times New Roman" w:hAnsi="Times New Roman"/>
          <w:sz w:val="20"/>
          <w:szCs w:val="20"/>
        </w:rPr>
        <w:t>Totals may not sum due to rounding.</w:t>
      </w:r>
    </w:p>
    <w:p w:rsidR="00665627" w:rsidRPr="00CC38D2" w:rsidP="005D23C6" w14:paraId="7561CD2C" w14:textId="77777777">
      <w:pPr>
        <w:spacing w:after="0" w:line="240" w:lineRule="auto"/>
        <w:rPr>
          <w:rFonts w:ascii="Times New Roman" w:eastAsia="Times New Roman" w:hAnsi="Times New Roman"/>
          <w:strike/>
          <w:sz w:val="24"/>
          <w:szCs w:val="24"/>
        </w:rPr>
      </w:pPr>
    </w:p>
    <w:p w:rsidR="008E5550" w:rsidP="005D23C6" w14:paraId="5EBB5051" w14:textId="4EB68F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total burden for this information collection is </w:t>
      </w:r>
      <w:r w:rsidR="006A3599">
        <w:rPr>
          <w:rFonts w:ascii="Times New Roman" w:eastAsia="Times New Roman" w:hAnsi="Times New Roman"/>
          <w:sz w:val="24"/>
          <w:szCs w:val="24"/>
        </w:rPr>
        <w:t>1,082</w:t>
      </w:r>
      <w:r w:rsidR="00662597">
        <w:rPr>
          <w:rFonts w:ascii="Times New Roman" w:eastAsia="Times New Roman" w:hAnsi="Times New Roman"/>
          <w:sz w:val="24"/>
          <w:szCs w:val="24"/>
        </w:rPr>
        <w:t xml:space="preserve"> </w:t>
      </w:r>
      <w:r>
        <w:rPr>
          <w:rFonts w:ascii="Times New Roman" w:eastAsia="Times New Roman" w:hAnsi="Times New Roman"/>
          <w:sz w:val="24"/>
          <w:szCs w:val="24"/>
        </w:rPr>
        <w:t>hours.</w:t>
      </w:r>
    </w:p>
    <w:p w:rsidR="008E5550" w:rsidP="005D23C6" w14:paraId="37420BE4" w14:textId="77777777">
      <w:pPr>
        <w:spacing w:after="0" w:line="240" w:lineRule="auto"/>
        <w:rPr>
          <w:rFonts w:ascii="Times New Roman" w:eastAsia="Times New Roman" w:hAnsi="Times New Roman"/>
          <w:sz w:val="24"/>
          <w:szCs w:val="24"/>
        </w:rPr>
      </w:pPr>
    </w:p>
    <w:p w:rsidR="00E53908" w14:paraId="59E96496" w14:textId="407CA972">
      <w:pPr>
        <w:spacing w:after="0" w:line="240" w:lineRule="auto"/>
        <w:rPr>
          <w:rFonts w:ascii="Times New Roman" w:eastAsia="Times New Roman" w:hAnsi="Times New Roman"/>
          <w:i/>
          <w:sz w:val="24"/>
          <w:szCs w:val="24"/>
        </w:rPr>
      </w:pPr>
      <w:r w:rsidRPr="00CC4203">
        <w:rPr>
          <w:rFonts w:ascii="Times New Roman" w:eastAsia="Times New Roman" w:hAnsi="Times New Roman"/>
          <w:sz w:val="24"/>
          <w:szCs w:val="24"/>
        </w:rPr>
        <w:t>For purposes of our analysis, we characterize the burden associated with the time and effort expended on the information collection recommendations discussed in the respective guidance documents as either recordkeeping, reporting or third-party disclosure activities.  We reconfigured the original table by splitting it into three tables to better differentiate between the estimated annual recordkeeping burden, the estimated annual reporting burden, and the estimated annual third-party disclosure burden.</w:t>
      </w:r>
      <w:r w:rsidR="00AB4477">
        <w:rPr>
          <w:rFonts w:ascii="Times New Roman" w:eastAsia="Times New Roman" w:hAnsi="Times New Roman"/>
          <w:sz w:val="24"/>
          <w:szCs w:val="24"/>
        </w:rPr>
        <w:t xml:space="preserve"> </w:t>
      </w:r>
      <w:r w:rsidRPr="00AA25F2" w:rsidR="00AA25F2">
        <w:rPr>
          <w:rFonts w:ascii="Times New Roman" w:eastAsia="Times New Roman" w:hAnsi="Times New Roman"/>
          <w:sz w:val="24"/>
          <w:szCs w:val="24"/>
        </w:rPr>
        <w:t xml:space="preserve">At the same time, our findings show that compliance with recordkeeping requirements applicable to compounded and repackaged drug products is standard practice in the compounding and selling of these drug products under States’ pharmacy laws and other State laws governing recordkeeping by healthcare professionals and healthcare facilities.  Therefore, we excluded from our estimate recordkeeping practices discussed in the respective guidance documents we consider usual and customary.  </w:t>
      </w:r>
      <w:bookmarkStart w:id="9" w:name="_Hlk47018013"/>
      <w:bookmarkEnd w:id="8"/>
    </w:p>
    <w:p w:rsidR="00AA25F2" w14:paraId="54E36E4C" w14:textId="47B526A3">
      <w:pPr>
        <w:spacing w:after="0" w:line="240" w:lineRule="auto"/>
        <w:rPr>
          <w:rFonts w:ascii="Times New Roman" w:eastAsia="Times New Roman" w:hAnsi="Times New Roman"/>
          <w:i/>
          <w:sz w:val="24"/>
          <w:szCs w:val="24"/>
        </w:rPr>
      </w:pPr>
    </w:p>
    <w:p w:rsidR="00AA25F2" w:rsidRPr="00AA25F2" w:rsidP="00AA25F2" w14:paraId="4FC7B215" w14:textId="7B4591BD">
      <w:pPr>
        <w:spacing w:after="0" w:line="240" w:lineRule="auto"/>
        <w:rPr>
          <w:rFonts w:ascii="Times New Roman" w:eastAsia="Times New Roman" w:hAnsi="Times New Roman"/>
          <w:sz w:val="24"/>
          <w:szCs w:val="20"/>
        </w:rPr>
      </w:pPr>
      <w:r w:rsidRPr="00AA25F2">
        <w:rPr>
          <w:rFonts w:ascii="Times New Roman" w:eastAsia="Times New Roman" w:hAnsi="Times New Roman"/>
          <w:sz w:val="24"/>
          <w:szCs w:val="20"/>
        </w:rPr>
        <w:t>Our estimated burden for the information collection reflects constant respondent numbers</w:t>
      </w:r>
      <w:r w:rsidR="00C1324F">
        <w:rPr>
          <w:rFonts w:ascii="Times New Roman" w:eastAsia="Times New Roman" w:hAnsi="Times New Roman"/>
          <w:sz w:val="24"/>
          <w:szCs w:val="20"/>
        </w:rPr>
        <w:t xml:space="preserve"> (</w:t>
      </w:r>
      <w:r w:rsidR="001C747B">
        <w:rPr>
          <w:rFonts w:ascii="Times New Roman" w:eastAsia="Times New Roman" w:hAnsi="Times New Roman"/>
          <w:sz w:val="24"/>
          <w:szCs w:val="20"/>
        </w:rPr>
        <w:t>33</w:t>
      </w:r>
      <w:r w:rsidR="00C1324F">
        <w:rPr>
          <w:rFonts w:ascii="Times New Roman" w:eastAsia="Times New Roman" w:hAnsi="Times New Roman"/>
          <w:sz w:val="24"/>
          <w:szCs w:val="20"/>
        </w:rPr>
        <w:t xml:space="preserve"> unique respondents)</w:t>
      </w:r>
      <w:r w:rsidRPr="00AA25F2">
        <w:rPr>
          <w:rFonts w:ascii="Times New Roman" w:eastAsia="Times New Roman" w:hAnsi="Times New Roman"/>
          <w:sz w:val="24"/>
          <w:szCs w:val="20"/>
        </w:rPr>
        <w:t xml:space="preserve">.  The original numbers were based on the information the program received from product reporting data.  We do not have a mechanism in place to determine whether or not these numbers have fluctuated upward or downward; however, based on analogous observations of industry through program experience (some product reports), we believe these numbers are constant.  Repackagers who are also registered as outsourcing facilities (OF) are not entity types that are individually regulated as repackagers.  They are subsumed in the OF entity type and not easily distinguishable.  They may or may not report their repackaging operations.  </w:t>
      </w:r>
    </w:p>
    <w:p w:rsidR="00AA25F2" w14:paraId="130E9574" w14:textId="77777777">
      <w:pPr>
        <w:spacing w:after="0" w:line="240" w:lineRule="auto"/>
        <w:rPr>
          <w:rFonts w:ascii="Times New Roman" w:eastAsia="Times New Roman" w:hAnsi="Times New Roman"/>
          <w:i/>
          <w:sz w:val="24"/>
          <w:szCs w:val="24"/>
        </w:rPr>
      </w:pPr>
    </w:p>
    <w:p w:rsidR="008560A3" w:rsidRPr="00CB77FD" w:rsidP="00C44B68" w14:paraId="0AC348E0" w14:textId="4C6F0396">
      <w:pPr>
        <w:spacing w:after="0" w:line="240" w:lineRule="auto"/>
        <w:contextualSpacing/>
        <w:rPr>
          <w:rFonts w:ascii="Times New Roman" w:eastAsia="Times New Roman" w:hAnsi="Times New Roman"/>
          <w:i/>
          <w:sz w:val="24"/>
          <w:szCs w:val="24"/>
        </w:rPr>
      </w:pPr>
      <w:r w:rsidRPr="00CB77FD">
        <w:rPr>
          <w:rFonts w:ascii="Times New Roman" w:eastAsia="Times New Roman" w:hAnsi="Times New Roman"/>
          <w:i/>
          <w:sz w:val="24"/>
          <w:szCs w:val="24"/>
        </w:rPr>
        <w:t>Radiopharmaceutical Compounding and Repackaging Guidance</w:t>
      </w:r>
    </w:p>
    <w:p w:rsidR="00A82597" w:rsidRPr="00CB77FD" w:rsidP="00C44B68" w14:paraId="28411082" w14:textId="77777777">
      <w:pPr>
        <w:spacing w:after="0" w:line="240" w:lineRule="auto"/>
        <w:contextualSpacing/>
        <w:rPr>
          <w:rFonts w:ascii="Times New Roman" w:eastAsia="Times New Roman" w:hAnsi="Times New Roman"/>
          <w:i/>
          <w:sz w:val="24"/>
          <w:szCs w:val="24"/>
        </w:rPr>
      </w:pPr>
    </w:p>
    <w:bookmarkEnd w:id="9"/>
    <w:p w:rsidR="005F22F7" w:rsidP="00C44B68" w14:paraId="2525134A" w14:textId="77777777">
      <w:pPr>
        <w:spacing w:after="0" w:line="240" w:lineRule="auto"/>
        <w:contextualSpacing/>
        <w:rPr>
          <w:rFonts w:ascii="Times New Roman" w:eastAsia="Times New Roman" w:hAnsi="Times New Roman"/>
          <w:sz w:val="24"/>
          <w:szCs w:val="24"/>
        </w:rPr>
      </w:pPr>
      <w:r w:rsidRPr="001C06FB">
        <w:rPr>
          <w:rFonts w:ascii="Times New Roman" w:eastAsia="Times New Roman" w:hAnsi="Times New Roman"/>
          <w:sz w:val="24"/>
          <w:szCs w:val="24"/>
        </w:rPr>
        <w:t xml:space="preserve">Because Congress explicitly excluded radiopharmaceuticals from section 503A of the FD&amp;C Act (see section 503A(d)(2)), compounded radiopharmaceuticals are not eligible for the exemptions under section 503A from section 505 of the FD&amp;C Act (21 U.S.C. 355) (concerning new drug approval requirements), section 502(f)(1) of the FD&amp;C Act (21 U.S.C. 352(f)(1)) (concerning labeling with adequate directions for use), and section 501(a)(2)(B) of the FD&amp;C Act (21 U.S.C. 351(a)(2)B)) (concerning current good manufacturing practice (CGMP) requirements).  In addition, the FD&amp;C Act does not provide an exemption for repackaged radiopharmaceuticals.  The guidance describes the conditions under which FDA does not intend to take action for violations of sections 505, 502(f)(1), and 501(a)(2)(B) of the FD&amp;C Act when a State-licensed nuclear pharmacy, Federal facility, or other facility that is not an outsourcing facility and that holds a radioactive materials license for medical use issued by the Nuclear Regulatory Commission or by an Agreement State compounds or repackages radiopharmaceuticals for human use.  </w:t>
      </w:r>
    </w:p>
    <w:p w:rsidR="005F22F7" w:rsidP="00C44B68" w14:paraId="3A04E52E" w14:textId="77777777">
      <w:pPr>
        <w:spacing w:after="0" w:line="240" w:lineRule="auto"/>
        <w:contextualSpacing/>
        <w:rPr>
          <w:rFonts w:ascii="Times New Roman" w:eastAsia="Times New Roman" w:hAnsi="Times New Roman"/>
          <w:sz w:val="24"/>
          <w:szCs w:val="24"/>
        </w:rPr>
      </w:pPr>
    </w:p>
    <w:p w:rsidR="001C06FB" w:rsidP="00C44B68" w14:paraId="277EE804" w14:textId="33B82234">
      <w:pPr>
        <w:spacing w:after="0" w:line="240" w:lineRule="auto"/>
        <w:contextualSpacing/>
        <w:rPr>
          <w:rFonts w:ascii="Times New Roman" w:eastAsia="Times New Roman" w:hAnsi="Times New Roman"/>
          <w:sz w:val="24"/>
          <w:szCs w:val="24"/>
        </w:rPr>
      </w:pPr>
      <w:r w:rsidRPr="001C06FB">
        <w:rPr>
          <w:rFonts w:ascii="Times New Roman" w:eastAsia="Times New Roman" w:hAnsi="Times New Roman"/>
          <w:sz w:val="24"/>
          <w:szCs w:val="24"/>
        </w:rPr>
        <w:t xml:space="preserve">The guidance explains that one condition is that the compounded radiopharmaceutical is not essentially a copy of an approved radiopharmaceutical.  As described in the guidance, FDA </w:t>
      </w:r>
      <w:r w:rsidRPr="001C06FB">
        <w:rPr>
          <w:rFonts w:ascii="Times New Roman" w:eastAsia="Times New Roman" w:hAnsi="Times New Roman"/>
          <w:sz w:val="24"/>
          <w:szCs w:val="24"/>
        </w:rPr>
        <w:t>does not intend to consider a compounded radiopharmaceutical to be essentially a copy if, among other reasons, there is a change between the compounded radiopharmaceutical and the approved radiopharmaceutical that produces a clinical difference for an identified individual patient, as determined by the prescribing practitioner and documented in writing on the prescription or order.  In addition, FDA does not intend to consider a compounded radiopharmaceutical to be essentially a copy if the FDA-approved radiopharmaceutical is on FDA’s drug shortage list (see section 506E of the FD&amp;C Act (21 U.S.C. 356e)) at the time of compounding and distribution.  If the facility compounded a drug that is identical or nearly identical to an approved drug product that appeared on FDA’s drug shortage list, the facility should maintain documentation (e.g., a notation on the order for the compounded drug) regarding the status of the drug on FDA’s drug shortage list at the time of compounding, distribution, and dispensing.</w:t>
      </w:r>
    </w:p>
    <w:p w:rsidR="001C06FB" w:rsidP="00C44B68" w14:paraId="2FDDFAAB" w14:textId="77777777">
      <w:pPr>
        <w:spacing w:after="0" w:line="240" w:lineRule="auto"/>
        <w:contextualSpacing/>
        <w:rPr>
          <w:rFonts w:ascii="Times New Roman" w:eastAsia="Times New Roman" w:hAnsi="Times New Roman"/>
          <w:sz w:val="24"/>
          <w:szCs w:val="24"/>
        </w:rPr>
      </w:pPr>
    </w:p>
    <w:p w:rsidR="008560A3" w:rsidRPr="00CB77FD" w:rsidP="00C44B68" w14:paraId="00CF7F83" w14:textId="050870D9">
      <w:pPr>
        <w:spacing w:after="0" w:line="240" w:lineRule="auto"/>
        <w:contextualSpacing/>
        <w:rPr>
          <w:rFonts w:ascii="Times New Roman" w:eastAsia="Times New Roman" w:hAnsi="Times New Roman"/>
          <w:sz w:val="24"/>
          <w:szCs w:val="24"/>
        </w:rPr>
      </w:pPr>
      <w:r w:rsidRPr="00CB77FD">
        <w:rPr>
          <w:rFonts w:ascii="Times New Roman" w:eastAsia="Times New Roman" w:hAnsi="Times New Roman"/>
          <w:sz w:val="24"/>
          <w:szCs w:val="24"/>
        </w:rPr>
        <w:t>We estimate 10 compounders annually will consult a prescriber to determine whether a compounded radiopharmaceutical has a change that produces a clinical difference for an identified individual patient as compared to the comparable approved radiopharmaceutical.  We estimate that those compounders will document this determination on 250 prescriptions or orders for compounded radiopharmaceuticals.  We assume consultation between the compounder and the prescriber and noting this determination on each prescription or order that does not already document this determination will take 3 minutes (0.05 hours) per prescription or order, for a total of approximately 12.5 hours.</w:t>
      </w:r>
    </w:p>
    <w:p w:rsidR="00754FC4" w:rsidRPr="00CB77FD" w:rsidP="00C44B68" w14:paraId="4BEF524E" w14:textId="77777777">
      <w:pPr>
        <w:spacing w:after="0" w:line="240" w:lineRule="auto"/>
        <w:ind w:firstLine="720"/>
        <w:contextualSpacing/>
        <w:rPr>
          <w:rFonts w:ascii="Times New Roman" w:eastAsia="Times New Roman" w:hAnsi="Times New Roman"/>
          <w:sz w:val="24"/>
          <w:szCs w:val="24"/>
        </w:rPr>
      </w:pPr>
    </w:p>
    <w:p w:rsidR="008560A3" w:rsidRPr="00CB77FD" w:rsidP="00B055D0" w14:paraId="335B78AB" w14:textId="008AC583">
      <w:pPr>
        <w:spacing w:after="0" w:line="240" w:lineRule="auto"/>
        <w:contextualSpacing/>
        <w:rPr>
          <w:rFonts w:ascii="Times New Roman" w:eastAsia="Times New Roman" w:hAnsi="Times New Roman"/>
          <w:i/>
          <w:sz w:val="24"/>
          <w:szCs w:val="24"/>
        </w:rPr>
      </w:pPr>
      <w:r w:rsidRPr="00CB77FD">
        <w:rPr>
          <w:rFonts w:ascii="Times New Roman" w:eastAsia="Times New Roman" w:hAnsi="Times New Roman"/>
          <w:i/>
          <w:sz w:val="24"/>
          <w:szCs w:val="24"/>
        </w:rPr>
        <w:t>Radiopharmaceutical</w:t>
      </w:r>
      <w:r w:rsidR="00D603FC">
        <w:rPr>
          <w:rFonts w:ascii="Times New Roman" w:eastAsia="Times New Roman" w:hAnsi="Times New Roman"/>
          <w:i/>
          <w:sz w:val="24"/>
          <w:szCs w:val="24"/>
        </w:rPr>
        <w:t xml:space="preserve"> Compounding and Repackaging by</w:t>
      </w:r>
      <w:r w:rsidRPr="00CB77FD">
        <w:rPr>
          <w:rFonts w:ascii="Times New Roman" w:eastAsia="Times New Roman" w:hAnsi="Times New Roman"/>
          <w:i/>
          <w:sz w:val="24"/>
          <w:szCs w:val="24"/>
        </w:rPr>
        <w:t xml:space="preserve"> Outsourcing </w:t>
      </w:r>
      <w:r w:rsidRPr="00CB77FD" w:rsidR="008F7EC0">
        <w:rPr>
          <w:rFonts w:ascii="Times New Roman" w:eastAsia="Times New Roman" w:hAnsi="Times New Roman"/>
          <w:i/>
          <w:sz w:val="24"/>
          <w:szCs w:val="24"/>
        </w:rPr>
        <w:t>Facilit</w:t>
      </w:r>
      <w:r w:rsidR="00E6533F">
        <w:rPr>
          <w:rFonts w:ascii="Times New Roman" w:eastAsia="Times New Roman" w:hAnsi="Times New Roman"/>
          <w:i/>
          <w:sz w:val="24"/>
          <w:szCs w:val="24"/>
        </w:rPr>
        <w:t>ies</w:t>
      </w:r>
      <w:r w:rsidRPr="00CB77FD">
        <w:rPr>
          <w:rFonts w:ascii="Times New Roman" w:eastAsia="Times New Roman" w:hAnsi="Times New Roman"/>
          <w:i/>
          <w:sz w:val="24"/>
          <w:szCs w:val="24"/>
        </w:rPr>
        <w:t xml:space="preserve"> </w:t>
      </w:r>
      <w:r w:rsidRPr="00CB77FD" w:rsidR="005B51FD">
        <w:rPr>
          <w:rFonts w:ascii="Times New Roman" w:eastAsia="Times New Roman" w:hAnsi="Times New Roman"/>
          <w:i/>
          <w:sz w:val="24"/>
          <w:szCs w:val="24"/>
        </w:rPr>
        <w:t>Guidance.</w:t>
      </w:r>
    </w:p>
    <w:p w:rsidR="00B055D0" w:rsidP="00C44B68" w14:paraId="25311417" w14:textId="77777777">
      <w:pPr>
        <w:spacing w:after="0" w:line="240" w:lineRule="auto"/>
        <w:ind w:firstLine="720"/>
        <w:contextualSpacing/>
        <w:rPr>
          <w:rFonts w:ascii="Times New Roman" w:eastAsia="Times New Roman" w:hAnsi="Times New Roman"/>
          <w:sz w:val="24"/>
          <w:szCs w:val="24"/>
        </w:rPr>
      </w:pPr>
    </w:p>
    <w:p w:rsidR="001C06FB" w:rsidRPr="007A4955" w:rsidP="001C06FB" w14:paraId="106A920D"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In contrast to section 503A, section 503B of the FD&amp;C Act does not exclude radiopharmaceuticals.  Therefore, FDA’s overall policies regarding section 503B of the FD&amp;C Act apply to the compounding of radiopharmaceuticals.  However, we have developed specific policies that apply only to the compounding of radiopharmaceuticals by outsourcing facilities using bulk drug substances and to the compounding of radiopharmaceuticals by outsourcing facilities that are essentially copies of approved drugs when such compounding is limited to minor deviations, as that term is defined in the guidance.  FDA issued this guidance in part to describe the conditions under which the Agency does not generally intend to take action for violations of sections 505 and 502(f)(1) of the FD&amp;C Act when an outsourcing facility repackages radiopharmaceuticals for human use.  As discussed in the guidance, one condition is that if a radiopharmaceutical is repackaged by an outsourcing facility, the label on the immediate container (primary packaging, e.g., the syringe) of the repackaged product includes certain information</w:t>
      </w:r>
      <w:r>
        <w:rPr>
          <w:rFonts w:ascii="Times New Roman" w:hAnsi="Times New Roman"/>
          <w:color w:val="000000"/>
          <w:sz w:val="24"/>
          <w:szCs w:val="24"/>
        </w:rPr>
        <w:t xml:space="preserve"> described in the guidance</w:t>
      </w:r>
      <w:r w:rsidRPr="007A4955">
        <w:rPr>
          <w:rFonts w:ascii="Times New Roman" w:hAnsi="Times New Roman"/>
          <w:color w:val="000000"/>
          <w:sz w:val="24"/>
          <w:szCs w:val="24"/>
        </w:rPr>
        <w:t xml:space="preserve">.  </w:t>
      </w:r>
    </w:p>
    <w:p w:rsidR="001C06FB" w:rsidP="00B055D0" w14:paraId="1608B8E0" w14:textId="77777777">
      <w:pPr>
        <w:spacing w:after="0" w:line="240" w:lineRule="auto"/>
        <w:contextualSpacing/>
        <w:rPr>
          <w:rFonts w:ascii="Times New Roman" w:eastAsia="Times New Roman" w:hAnsi="Times New Roman"/>
          <w:sz w:val="24"/>
          <w:szCs w:val="24"/>
        </w:rPr>
      </w:pPr>
    </w:p>
    <w:p w:rsidR="008560A3" w:rsidRPr="00CB77FD" w:rsidP="00B055D0" w14:paraId="5730F4D0" w14:textId="5B48E1BB">
      <w:pPr>
        <w:spacing w:after="0" w:line="240" w:lineRule="auto"/>
        <w:contextualSpacing/>
        <w:rPr>
          <w:rFonts w:ascii="Times New Roman" w:eastAsia="Times New Roman" w:hAnsi="Times New Roman"/>
          <w:sz w:val="24"/>
          <w:szCs w:val="24"/>
        </w:rPr>
      </w:pPr>
      <w:r w:rsidRPr="00CB77FD">
        <w:rPr>
          <w:rFonts w:ascii="Times New Roman" w:eastAsia="Times New Roman" w:hAnsi="Times New Roman"/>
          <w:sz w:val="24"/>
          <w:szCs w:val="24"/>
        </w:rPr>
        <w:t xml:space="preserve">We estimate a total of 2 outsourcing facilities annually will each design, test, and produce an average of 5 different labels for a total of 10 labels, as described in the guidance (including directions for use).  We assume that designing, testing, and producing each label will take 30 minutes (0.5 hours) for each repackaged radiopharmaceutical, for a total of 5 hours.  </w:t>
      </w:r>
    </w:p>
    <w:p w:rsidR="00754FC4" w:rsidP="00C44B68" w14:paraId="163E1940" w14:textId="3344737C">
      <w:pPr>
        <w:spacing w:after="0" w:line="240" w:lineRule="auto"/>
        <w:ind w:firstLine="720"/>
        <w:contextualSpacing/>
        <w:rPr>
          <w:rFonts w:ascii="Times New Roman" w:eastAsia="Times New Roman" w:hAnsi="Times New Roman"/>
          <w:sz w:val="24"/>
          <w:szCs w:val="24"/>
        </w:rPr>
      </w:pPr>
    </w:p>
    <w:p w:rsidR="008B746C" w:rsidP="008B746C" w14:paraId="4F541465" w14:textId="66613332">
      <w:pPr>
        <w:spacing w:after="0" w:line="240" w:lineRule="auto"/>
        <w:contextualSpacing/>
        <w:rPr>
          <w:rFonts w:ascii="Times New Roman" w:eastAsia="Times New Roman" w:hAnsi="Times New Roman"/>
          <w:iCs/>
          <w:sz w:val="24"/>
          <w:szCs w:val="24"/>
        </w:rPr>
      </w:pPr>
      <w:r>
        <w:rPr>
          <w:rFonts w:ascii="Times New Roman" w:eastAsia="Times New Roman" w:hAnsi="Times New Roman"/>
          <w:sz w:val="24"/>
          <w:szCs w:val="24"/>
        </w:rPr>
        <w:t xml:space="preserve">Both the </w:t>
      </w:r>
      <w:r w:rsidRPr="009F6F83">
        <w:rPr>
          <w:rFonts w:ascii="Times New Roman" w:eastAsia="Times New Roman" w:hAnsi="Times New Roman"/>
          <w:iCs/>
          <w:sz w:val="24"/>
          <w:szCs w:val="24"/>
        </w:rPr>
        <w:t xml:space="preserve">Radiopharmaceutical Compounding and </w:t>
      </w:r>
      <w:r w:rsidR="006A5CDC">
        <w:rPr>
          <w:rFonts w:ascii="Times New Roman" w:eastAsia="Times New Roman" w:hAnsi="Times New Roman"/>
          <w:iCs/>
          <w:sz w:val="24"/>
          <w:szCs w:val="24"/>
        </w:rPr>
        <w:t xml:space="preserve">the </w:t>
      </w:r>
      <w:r w:rsidRPr="009F6F83">
        <w:rPr>
          <w:rFonts w:ascii="Times New Roman" w:eastAsia="Times New Roman" w:hAnsi="Times New Roman"/>
          <w:iCs/>
          <w:sz w:val="24"/>
          <w:szCs w:val="24"/>
        </w:rPr>
        <w:t>Repackaging by Outsourcing Facilities Guidance</w:t>
      </w:r>
      <w:r w:rsidR="006A5CDC">
        <w:rPr>
          <w:rFonts w:ascii="Times New Roman" w:eastAsia="Times New Roman" w:hAnsi="Times New Roman"/>
          <w:iCs/>
          <w:sz w:val="24"/>
          <w:szCs w:val="24"/>
        </w:rPr>
        <w:t xml:space="preserve"> documents provide that the labeling on the container</w:t>
      </w:r>
      <w:r w:rsidR="0050755F">
        <w:rPr>
          <w:rFonts w:ascii="Times New Roman" w:eastAsia="Times New Roman" w:hAnsi="Times New Roman"/>
          <w:iCs/>
          <w:sz w:val="24"/>
          <w:szCs w:val="24"/>
        </w:rPr>
        <w:t xml:space="preserve"> from which the individual units are removed for administration should include certain information described in the </w:t>
      </w:r>
      <w:r w:rsidR="0050755F">
        <w:rPr>
          <w:rFonts w:ascii="Times New Roman" w:eastAsia="Times New Roman" w:hAnsi="Times New Roman"/>
          <w:iCs/>
          <w:sz w:val="24"/>
          <w:szCs w:val="24"/>
        </w:rPr>
        <w:t>guidance</w:t>
      </w:r>
      <w:r w:rsidR="009567A2">
        <w:rPr>
          <w:rFonts w:ascii="Times New Roman" w:eastAsia="Times New Roman" w:hAnsi="Times New Roman"/>
          <w:iCs/>
          <w:sz w:val="24"/>
          <w:szCs w:val="24"/>
        </w:rPr>
        <w:t xml:space="preserve">: (1) the active and inactive ingredients, if the immediate product label is too small to include this information, and directions for use, including (as appropriate) dosage </w:t>
      </w:r>
      <w:r w:rsidR="001E4E0A">
        <w:rPr>
          <w:rFonts w:ascii="Times New Roman" w:eastAsia="Times New Roman" w:hAnsi="Times New Roman"/>
          <w:iCs/>
          <w:sz w:val="24"/>
          <w:szCs w:val="24"/>
        </w:rPr>
        <w:t xml:space="preserve">and administration and (2) the following information to facilitate adverse event reporting: </w:t>
      </w:r>
      <w:hyperlink r:id="rId15" w:history="1">
        <w:r w:rsidRPr="00AA25F2" w:rsidR="00AA25F2">
          <w:rPr>
            <w:rStyle w:val="Hyperlink"/>
            <w:rFonts w:ascii="Times New Roman" w:eastAsia="Times New Roman" w:hAnsi="Times New Roman"/>
            <w:iCs/>
            <w:sz w:val="24"/>
            <w:szCs w:val="24"/>
          </w:rPr>
          <w:t>https://www.fda.gov/medwatch</w:t>
        </w:r>
        <w:r w:rsidRPr="001770D4" w:rsidR="00AA25F2">
          <w:rPr>
            <w:rStyle w:val="Hyperlink"/>
            <w:rFonts w:ascii="Times New Roman" w:eastAsia="Times New Roman" w:hAnsi="Times New Roman"/>
            <w:iCs/>
            <w:sz w:val="24"/>
            <w:szCs w:val="24"/>
          </w:rPr>
          <w:t xml:space="preserve"> and 1-800-FDA-1088</w:t>
        </w:r>
      </w:hyperlink>
      <w:r w:rsidRPr="009F6F83">
        <w:rPr>
          <w:rFonts w:ascii="Times New Roman" w:eastAsia="Times New Roman" w:hAnsi="Times New Roman"/>
          <w:iCs/>
          <w:sz w:val="24"/>
          <w:szCs w:val="24"/>
        </w:rPr>
        <w:t>.</w:t>
      </w:r>
    </w:p>
    <w:p w:rsidR="00AA25F2" w:rsidP="008B746C" w14:paraId="6763E96F" w14:textId="03B037B2">
      <w:pPr>
        <w:spacing w:after="0" w:line="240" w:lineRule="auto"/>
        <w:contextualSpacing/>
        <w:rPr>
          <w:rFonts w:ascii="Times New Roman" w:eastAsia="Times New Roman" w:hAnsi="Times New Roman"/>
          <w:iCs/>
          <w:sz w:val="24"/>
          <w:szCs w:val="24"/>
        </w:rPr>
      </w:pPr>
    </w:p>
    <w:p w:rsidR="00AA25F2" w:rsidP="00AA25F2" w14:paraId="51909D84" w14:textId="77777777">
      <w:pPr>
        <w:spacing w:after="0" w:line="240" w:lineRule="auto"/>
        <w:rPr>
          <w:rFonts w:ascii="Times New Roman" w:eastAsia="Times New Roman" w:hAnsi="Times New Roman"/>
          <w:sz w:val="24"/>
          <w:szCs w:val="24"/>
        </w:rPr>
      </w:pPr>
      <w:r w:rsidRPr="00AA25F2">
        <w:rPr>
          <w:rFonts w:ascii="Times New Roman" w:eastAsia="Times New Roman" w:hAnsi="Times New Roman"/>
          <w:sz w:val="24"/>
          <w:szCs w:val="24"/>
        </w:rPr>
        <w:t xml:space="preserve">For the Radiopharmaceutical Compounding and Repackaging by Outsourcing Facilities Guidance, a row for biannual product reporting was added to capture product reporting that was inadvertently omitted.  </w:t>
      </w:r>
    </w:p>
    <w:p w:rsidR="0057347B" w:rsidRPr="00CB77FD" w:rsidP="00C44B68" w14:paraId="7BB9C822" w14:textId="77777777">
      <w:pPr>
        <w:spacing w:after="0" w:line="240" w:lineRule="auto"/>
        <w:ind w:firstLine="720"/>
        <w:contextualSpacing/>
        <w:rPr>
          <w:rFonts w:ascii="Times New Roman" w:eastAsia="Times New Roman" w:hAnsi="Times New Roman"/>
          <w:sz w:val="24"/>
          <w:szCs w:val="24"/>
        </w:rPr>
      </w:pPr>
    </w:p>
    <w:p w:rsidR="008560A3" w:rsidRPr="00CB77FD" w:rsidP="00B055D0" w14:paraId="0C2CB9DA" w14:textId="55207B75">
      <w:pPr>
        <w:spacing w:after="0" w:line="240" w:lineRule="auto"/>
        <w:contextualSpacing/>
        <w:rPr>
          <w:rFonts w:ascii="Times New Roman" w:eastAsia="Times New Roman" w:hAnsi="Times New Roman"/>
          <w:i/>
          <w:sz w:val="24"/>
          <w:szCs w:val="24"/>
        </w:rPr>
      </w:pPr>
      <w:r w:rsidRPr="00CB77FD">
        <w:rPr>
          <w:rFonts w:ascii="Times New Roman" w:eastAsia="Times New Roman" w:hAnsi="Times New Roman"/>
          <w:i/>
          <w:sz w:val="24"/>
          <w:szCs w:val="24"/>
        </w:rPr>
        <w:t>Repackaging Guidance</w:t>
      </w:r>
    </w:p>
    <w:p w:rsidR="00A82597" w:rsidP="0057347B" w14:paraId="5A2D1709" w14:textId="624DCF2B">
      <w:pPr>
        <w:spacing w:after="0" w:line="240" w:lineRule="auto"/>
        <w:contextualSpacing/>
        <w:rPr>
          <w:rFonts w:ascii="Times New Roman" w:eastAsia="Times New Roman" w:hAnsi="Times New Roman"/>
          <w:sz w:val="24"/>
          <w:szCs w:val="24"/>
        </w:rPr>
      </w:pPr>
    </w:p>
    <w:p w:rsidR="001C06FB" w:rsidRPr="007A4955" w:rsidP="001C06FB" w14:paraId="4BFB4D87"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 xml:space="preserve">The guidance describes the conditions under which FDA does not intend to take action for violations of sections 505 (concerning new drug applications), 502(f)(1) (concerning labeling with adequate directions for use), 582 ((21 U.S.C. 360eee-1) concerning drug supply chain security requirements), and (where specified in the guidance) 501(a)(2)(B) of the FD&amp;C Act (concerning CGMPs), when a State-licensed pharmacy, Federal facility, or outsourcing facility repackages certain prescription drugs.  One condition discussed in the guidance is that if a drug is repackaged by an outsourcing facility, the label on the immediate container (primary packaging, e.g., the syringe) of the repackaged product includes certain information described in the guidance.  </w:t>
      </w:r>
    </w:p>
    <w:p w:rsidR="001C06FB" w:rsidRPr="007A4955" w:rsidP="001C06FB" w14:paraId="02DA177A" w14:textId="77777777">
      <w:pPr>
        <w:widowControl w:val="0"/>
        <w:spacing w:after="0" w:line="240" w:lineRule="auto"/>
        <w:rPr>
          <w:rFonts w:ascii="Times New Roman" w:hAnsi="Times New Roman"/>
          <w:color w:val="000000"/>
          <w:sz w:val="24"/>
          <w:szCs w:val="24"/>
        </w:rPr>
      </w:pPr>
    </w:p>
    <w:p w:rsidR="001C06FB" w:rsidRPr="007A4955" w:rsidP="001C06FB" w14:paraId="03C35839"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 xml:space="preserve">Conditions discussed in the guidance include that if a drug is repackaged by an outsourcing facility, the label on the immediate container (primary packaging, e.g., the syringe) and on the container from which the individual units are removed for administration (secondary packaging, e.g., the bag, box, or other package in which the repackaged products are distributed) of the repackaged product include certain information described in the guidance. </w:t>
      </w:r>
    </w:p>
    <w:p w:rsidR="001C06FB" w:rsidRPr="007A4955" w:rsidP="001C06FB" w14:paraId="781C3F53" w14:textId="77777777">
      <w:pPr>
        <w:widowControl w:val="0"/>
        <w:spacing w:after="0" w:line="240" w:lineRule="auto"/>
        <w:rPr>
          <w:rFonts w:ascii="Times New Roman" w:hAnsi="Times New Roman"/>
          <w:color w:val="000000"/>
          <w:sz w:val="24"/>
          <w:szCs w:val="24"/>
        </w:rPr>
      </w:pPr>
    </w:p>
    <w:p w:rsidR="008560A3" w:rsidRPr="00CB77FD" w:rsidP="00C44B68" w14:paraId="2AE299BE" w14:textId="4CF0BC44">
      <w:pPr>
        <w:spacing w:after="0" w:line="240" w:lineRule="auto"/>
        <w:contextualSpacing/>
        <w:rPr>
          <w:rFonts w:ascii="Times New Roman" w:eastAsia="Times New Roman" w:hAnsi="Times New Roman"/>
          <w:sz w:val="24"/>
          <w:szCs w:val="24"/>
        </w:rPr>
      </w:pPr>
      <w:r w:rsidRPr="00CB77FD">
        <w:rPr>
          <w:rFonts w:ascii="Times New Roman" w:eastAsia="Times New Roman" w:hAnsi="Times New Roman"/>
          <w:sz w:val="24"/>
          <w:szCs w:val="24"/>
        </w:rPr>
        <w:t xml:space="preserve">Based on current data for outsourcing facilities, we estimate </w:t>
      </w:r>
      <w:r w:rsidR="00081A5A">
        <w:rPr>
          <w:rFonts w:ascii="Times New Roman" w:eastAsia="Times New Roman" w:hAnsi="Times New Roman"/>
          <w:sz w:val="24"/>
          <w:szCs w:val="24"/>
        </w:rPr>
        <w:t>six</w:t>
      </w:r>
      <w:r w:rsidRPr="00CB77FD" w:rsidR="00081A5A">
        <w:rPr>
          <w:rFonts w:ascii="Times New Roman" w:eastAsia="Times New Roman" w:hAnsi="Times New Roman"/>
          <w:sz w:val="24"/>
          <w:szCs w:val="24"/>
        </w:rPr>
        <w:t xml:space="preserve"> </w:t>
      </w:r>
      <w:r w:rsidRPr="00CB77FD">
        <w:rPr>
          <w:rFonts w:ascii="Times New Roman" w:eastAsia="Times New Roman" w:hAnsi="Times New Roman"/>
          <w:sz w:val="24"/>
          <w:szCs w:val="24"/>
        </w:rPr>
        <w:t>outsourcing facilities annually will submit an initial report identifying all drugs repackaged in the facility in the previous year.  For the purposes of this estimate, each product’s structured product labeling (SPL) submission is considered a separate response</w:t>
      </w:r>
      <w:r w:rsidR="00E375C3">
        <w:rPr>
          <w:rFonts w:ascii="Times New Roman" w:eastAsia="Times New Roman" w:hAnsi="Times New Roman"/>
          <w:sz w:val="24"/>
          <w:szCs w:val="24"/>
        </w:rPr>
        <w:t>,</w:t>
      </w:r>
      <w:r w:rsidRPr="00CB77FD">
        <w:rPr>
          <w:rFonts w:ascii="Times New Roman" w:eastAsia="Times New Roman" w:hAnsi="Times New Roman"/>
          <w:sz w:val="24"/>
          <w:szCs w:val="24"/>
        </w:rPr>
        <w:t xml:space="preserve"> and therefore each facility’s product report will include multiple responses.  Taking into account that a particular product that is repackaged may come in different strengths and can be reported in a single SPL response, we estimate that each facility will average approximately </w:t>
      </w:r>
      <w:r w:rsidR="00DC20C9">
        <w:rPr>
          <w:rFonts w:ascii="Times New Roman" w:eastAsia="Times New Roman" w:hAnsi="Times New Roman"/>
          <w:sz w:val="24"/>
          <w:szCs w:val="24"/>
        </w:rPr>
        <w:t>thirty-</w:t>
      </w:r>
      <w:r w:rsidR="00E375C3">
        <w:rPr>
          <w:rFonts w:ascii="Times New Roman" w:eastAsia="Times New Roman" w:hAnsi="Times New Roman"/>
          <w:sz w:val="24"/>
          <w:szCs w:val="24"/>
        </w:rPr>
        <w:t>six</w:t>
      </w:r>
      <w:r w:rsidRPr="00CB77FD">
        <w:rPr>
          <w:rFonts w:ascii="Times New Roman" w:eastAsia="Times New Roman" w:hAnsi="Times New Roman"/>
          <w:sz w:val="24"/>
          <w:szCs w:val="24"/>
        </w:rPr>
        <w:t xml:space="preserve"> products.</w:t>
      </w:r>
    </w:p>
    <w:p w:rsidR="00754FC4" w:rsidRPr="00CB77FD" w:rsidP="0057347B" w14:paraId="3BC6E274" w14:textId="5EDE0465">
      <w:pPr>
        <w:spacing w:after="0" w:line="240" w:lineRule="auto"/>
        <w:contextualSpacing/>
        <w:rPr>
          <w:rFonts w:ascii="Times New Roman" w:eastAsia="Times New Roman" w:hAnsi="Times New Roman"/>
          <w:sz w:val="24"/>
          <w:szCs w:val="24"/>
        </w:rPr>
      </w:pPr>
    </w:p>
    <w:p w:rsidR="00754FC4" w:rsidRPr="00CB77FD" w:rsidP="00C44B68" w14:paraId="51D2084C" w14:textId="65AA9541">
      <w:pPr>
        <w:spacing w:after="0" w:line="240" w:lineRule="auto"/>
        <w:contextualSpacing/>
        <w:rPr>
          <w:rFonts w:ascii="Times New Roman" w:eastAsia="Times New Roman" w:hAnsi="Times New Roman"/>
          <w:sz w:val="24"/>
          <w:szCs w:val="24"/>
        </w:rPr>
      </w:pPr>
      <w:r w:rsidRPr="00CB77FD">
        <w:rPr>
          <w:rFonts w:ascii="Times New Roman" w:eastAsia="Times New Roman" w:hAnsi="Times New Roman"/>
          <w:sz w:val="24"/>
          <w:szCs w:val="24"/>
        </w:rPr>
        <w:t xml:space="preserve">Similarly, we estimate that </w:t>
      </w:r>
      <w:r w:rsidR="00E375C3">
        <w:rPr>
          <w:rFonts w:ascii="Times New Roman" w:eastAsia="Times New Roman" w:hAnsi="Times New Roman"/>
          <w:sz w:val="24"/>
          <w:szCs w:val="24"/>
        </w:rPr>
        <w:t>six</w:t>
      </w:r>
      <w:r w:rsidRPr="00CB77FD">
        <w:rPr>
          <w:rFonts w:ascii="Times New Roman" w:eastAsia="Times New Roman" w:hAnsi="Times New Roman"/>
          <w:sz w:val="24"/>
          <w:szCs w:val="24"/>
        </w:rPr>
        <w:t xml:space="preserve"> outsourcing facilities will submit an initial report identifying all drugs repackaged in the facility in the past year.  Taking into account that a particular product that is repackaged may come in different strengths and can be reported in a single SPL response, we assume that each facility will average </w:t>
      </w:r>
      <w:r w:rsidR="00FF66D6">
        <w:rPr>
          <w:rFonts w:ascii="Times New Roman" w:eastAsia="Times New Roman" w:hAnsi="Times New Roman"/>
          <w:sz w:val="24"/>
          <w:szCs w:val="24"/>
        </w:rPr>
        <w:t>t</w:t>
      </w:r>
      <w:r w:rsidR="00A81D11">
        <w:rPr>
          <w:rFonts w:ascii="Times New Roman" w:eastAsia="Times New Roman" w:hAnsi="Times New Roman"/>
          <w:sz w:val="24"/>
          <w:szCs w:val="24"/>
        </w:rPr>
        <w:t>hirty</w:t>
      </w:r>
      <w:r w:rsidR="006C6E97">
        <w:rPr>
          <w:rFonts w:ascii="Times New Roman" w:eastAsia="Times New Roman" w:hAnsi="Times New Roman"/>
          <w:sz w:val="24"/>
          <w:szCs w:val="24"/>
        </w:rPr>
        <w:t>-</w:t>
      </w:r>
      <w:r w:rsidR="006924A3">
        <w:rPr>
          <w:rFonts w:ascii="Times New Roman" w:eastAsia="Times New Roman" w:hAnsi="Times New Roman"/>
          <w:sz w:val="24"/>
          <w:szCs w:val="24"/>
        </w:rPr>
        <w:t>six</w:t>
      </w:r>
      <w:r w:rsidRPr="00CB77FD">
        <w:rPr>
          <w:rFonts w:ascii="Times New Roman" w:eastAsia="Times New Roman" w:hAnsi="Times New Roman"/>
          <w:sz w:val="24"/>
          <w:szCs w:val="24"/>
        </w:rPr>
        <w:t xml:space="preserve"> products.  Our estimate is based on current product reporting data.  We expect that each product report will consist of multiple SPL responses per facility and assume preparing and electronically submitting this information will take up to </w:t>
      </w:r>
      <w:r w:rsidR="00057AB0">
        <w:rPr>
          <w:rFonts w:ascii="Times New Roman" w:eastAsia="Times New Roman" w:hAnsi="Times New Roman"/>
          <w:sz w:val="24"/>
          <w:szCs w:val="24"/>
        </w:rPr>
        <w:t>3</w:t>
      </w:r>
      <w:r w:rsidRPr="00CB77FD">
        <w:rPr>
          <w:rFonts w:ascii="Times New Roman" w:eastAsia="Times New Roman" w:hAnsi="Times New Roman"/>
          <w:sz w:val="24"/>
          <w:szCs w:val="24"/>
        </w:rPr>
        <w:t xml:space="preserve"> hours for each initial SPL response.</w:t>
      </w:r>
    </w:p>
    <w:p w:rsidR="008560A3" w:rsidRPr="00CB77FD" w:rsidP="00C44B68" w14:paraId="5230D4AE" w14:textId="1EBEB623">
      <w:pPr>
        <w:spacing w:after="0" w:line="240" w:lineRule="auto"/>
        <w:ind w:firstLine="720"/>
        <w:contextualSpacing/>
        <w:rPr>
          <w:rFonts w:ascii="Times New Roman" w:eastAsia="Times New Roman" w:hAnsi="Times New Roman"/>
          <w:sz w:val="24"/>
          <w:szCs w:val="24"/>
        </w:rPr>
      </w:pPr>
    </w:p>
    <w:p w:rsidR="008560A3" w:rsidRPr="00CB77FD" w:rsidP="00C44B68" w14:paraId="365BFC11" w14:textId="1F82E0E4">
      <w:pPr>
        <w:spacing w:after="0" w:line="240" w:lineRule="auto"/>
        <w:rPr>
          <w:rFonts w:ascii="Times New Roman" w:eastAsia="Times New Roman" w:hAnsi="Times New Roman"/>
          <w:sz w:val="24"/>
          <w:szCs w:val="24"/>
        </w:rPr>
      </w:pPr>
      <w:r w:rsidRPr="00CB77FD">
        <w:rPr>
          <w:rFonts w:ascii="Times New Roman" w:eastAsia="Times New Roman" w:hAnsi="Times New Roman"/>
          <w:sz w:val="24"/>
          <w:szCs w:val="24"/>
        </w:rPr>
        <w:t xml:space="preserve">We also estimate </w:t>
      </w:r>
      <w:r w:rsidR="00EB7821">
        <w:rPr>
          <w:rFonts w:ascii="Times New Roman" w:eastAsia="Times New Roman" w:hAnsi="Times New Roman"/>
          <w:sz w:val="24"/>
          <w:szCs w:val="24"/>
        </w:rPr>
        <w:t>two</w:t>
      </w:r>
      <w:r w:rsidRPr="00CB77FD" w:rsidR="00EB7821">
        <w:rPr>
          <w:rFonts w:ascii="Times New Roman" w:eastAsia="Times New Roman" w:hAnsi="Times New Roman"/>
          <w:sz w:val="24"/>
          <w:szCs w:val="24"/>
        </w:rPr>
        <w:t xml:space="preserve"> </w:t>
      </w:r>
      <w:r w:rsidRPr="00CB77FD">
        <w:rPr>
          <w:rFonts w:ascii="Times New Roman" w:eastAsia="Times New Roman" w:hAnsi="Times New Roman"/>
          <w:sz w:val="24"/>
          <w:szCs w:val="24"/>
        </w:rPr>
        <w:t xml:space="preserve">registered outsourcing facilities </w:t>
      </w:r>
      <w:r w:rsidRPr="00767F4C">
        <w:rPr>
          <w:rFonts w:ascii="Times New Roman" w:eastAsia="Times New Roman" w:hAnsi="Times New Roman"/>
          <w:sz w:val="24"/>
          <w:szCs w:val="24"/>
        </w:rPr>
        <w:t>will submit</w:t>
      </w:r>
      <w:r w:rsidRPr="00CB77FD">
        <w:rPr>
          <w:rFonts w:ascii="Times New Roman" w:eastAsia="Times New Roman" w:hAnsi="Times New Roman"/>
          <w:sz w:val="24"/>
          <w:szCs w:val="24"/>
        </w:rPr>
        <w:t xml:space="preserve"> a report twice each year (June and December) that identifies all drugs repackaged at the facility in the previous 6 months.  We also estimate that an average of </w:t>
      </w:r>
      <w:r w:rsidR="00D571A7">
        <w:rPr>
          <w:rFonts w:ascii="Times New Roman" w:eastAsia="Times New Roman" w:hAnsi="Times New Roman"/>
          <w:sz w:val="24"/>
          <w:szCs w:val="24"/>
        </w:rPr>
        <w:t>two</w:t>
      </w:r>
      <w:r w:rsidRPr="00CB77FD" w:rsidR="00D571A7">
        <w:rPr>
          <w:rFonts w:ascii="Times New Roman" w:eastAsia="Times New Roman" w:hAnsi="Times New Roman"/>
          <w:sz w:val="24"/>
          <w:szCs w:val="24"/>
        </w:rPr>
        <w:t xml:space="preserve"> </w:t>
      </w:r>
      <w:r w:rsidRPr="00CB77FD">
        <w:rPr>
          <w:rFonts w:ascii="Times New Roman" w:eastAsia="Times New Roman" w:hAnsi="Times New Roman"/>
          <w:sz w:val="24"/>
          <w:szCs w:val="24"/>
        </w:rPr>
        <w:t xml:space="preserve">facilities will prepare and submit </w:t>
      </w:r>
      <w:r w:rsidR="00D571A7">
        <w:rPr>
          <w:rFonts w:ascii="Times New Roman" w:eastAsia="Times New Roman" w:hAnsi="Times New Roman"/>
          <w:sz w:val="24"/>
          <w:szCs w:val="24"/>
        </w:rPr>
        <w:t>two</w:t>
      </w:r>
      <w:r w:rsidRPr="00CB77FD" w:rsidR="00D571A7">
        <w:rPr>
          <w:rFonts w:ascii="Times New Roman" w:eastAsia="Times New Roman" w:hAnsi="Times New Roman"/>
          <w:sz w:val="24"/>
          <w:szCs w:val="24"/>
        </w:rPr>
        <w:t xml:space="preserve"> </w:t>
      </w:r>
      <w:r w:rsidRPr="00CB77FD">
        <w:rPr>
          <w:rFonts w:ascii="Times New Roman" w:eastAsia="Times New Roman" w:hAnsi="Times New Roman"/>
          <w:sz w:val="24"/>
          <w:szCs w:val="24"/>
        </w:rPr>
        <w:t xml:space="preserve">SPL </w:t>
      </w:r>
      <w:r w:rsidRPr="00CB77FD">
        <w:rPr>
          <w:rFonts w:ascii="Times New Roman" w:eastAsia="Times New Roman" w:hAnsi="Times New Roman"/>
          <w:sz w:val="24"/>
          <w:szCs w:val="24"/>
        </w:rPr>
        <w:t xml:space="preserve">responses and assume that preparing and submitting this information electronically will take </w:t>
      </w:r>
      <w:r w:rsidR="00D571A7">
        <w:rPr>
          <w:rFonts w:ascii="Times New Roman" w:eastAsia="Times New Roman" w:hAnsi="Times New Roman"/>
          <w:sz w:val="24"/>
          <w:szCs w:val="24"/>
        </w:rPr>
        <w:t>3</w:t>
      </w:r>
      <w:r w:rsidRPr="00CB77FD">
        <w:rPr>
          <w:rFonts w:ascii="Times New Roman" w:eastAsia="Times New Roman" w:hAnsi="Times New Roman"/>
          <w:sz w:val="24"/>
          <w:szCs w:val="24"/>
        </w:rPr>
        <w:t xml:space="preserve"> hours per response.  If a product was not repackaged during a particular reporting period, outsourcing facilities do not need to send an SPL response for that product during that reporting period.  We expect to receive no waiver requests from the electronic submission process for initial product reports and semiannual reports.</w:t>
      </w:r>
      <w:bookmarkStart w:id="10" w:name="_Hlk51306522"/>
      <w:r w:rsidR="003022FC">
        <w:rPr>
          <w:rFonts w:ascii="Times New Roman" w:eastAsia="Times New Roman" w:hAnsi="Times New Roman"/>
          <w:sz w:val="24"/>
          <w:szCs w:val="24"/>
        </w:rPr>
        <w:t xml:space="preserve">  (Reporting by registered outsourcing facilities</w:t>
      </w:r>
      <w:r w:rsidR="008667B3">
        <w:rPr>
          <w:rFonts w:ascii="Times New Roman" w:eastAsia="Times New Roman" w:hAnsi="Times New Roman"/>
          <w:sz w:val="24"/>
          <w:szCs w:val="24"/>
        </w:rPr>
        <w:t xml:space="preserve"> is currently approved under OMB control no. 0910-0776</w:t>
      </w:r>
      <w:r w:rsidR="00DA51FA">
        <w:rPr>
          <w:rFonts w:ascii="Times New Roman" w:eastAsia="Times New Roman" w:hAnsi="Times New Roman"/>
          <w:sz w:val="24"/>
          <w:szCs w:val="24"/>
        </w:rPr>
        <w:t>).</w:t>
      </w:r>
    </w:p>
    <w:p w:rsidR="00AA25F2" w:rsidP="00AA25F2" w14:paraId="4E1C8F44" w14:textId="553A2EBE">
      <w:pPr>
        <w:spacing w:after="0" w:line="240" w:lineRule="auto"/>
        <w:rPr>
          <w:rFonts w:ascii="Times New Roman" w:eastAsia="Times New Roman" w:hAnsi="Times New Roman"/>
          <w:sz w:val="24"/>
          <w:szCs w:val="24"/>
        </w:rPr>
      </w:pPr>
    </w:p>
    <w:p w:rsidR="00AA25F2" w:rsidRPr="00AA25F2" w:rsidP="00AA25F2" w14:paraId="7210A12B" w14:textId="49449E02">
      <w:pPr>
        <w:spacing w:after="0" w:line="240" w:lineRule="auto"/>
        <w:rPr>
          <w:rFonts w:ascii="Times New Roman" w:eastAsia="Times New Roman" w:hAnsi="Times New Roman"/>
          <w:sz w:val="24"/>
          <w:szCs w:val="24"/>
        </w:rPr>
      </w:pPr>
      <w:r w:rsidRPr="00AA25F2">
        <w:rPr>
          <w:rFonts w:ascii="Times New Roman" w:eastAsia="Times New Roman" w:hAnsi="Times New Roman"/>
          <w:sz w:val="24"/>
          <w:szCs w:val="24"/>
        </w:rPr>
        <w:t>For the Repackaging Guidance, to correct a clerical error, we have adjusted the number of disclosures per respondent from 21 to 36 because each respondent is estimated to average 6 different products and average 6 different strengths, which requires 36 (6 x 6) unique labels per respondent.  The initial narrative reflected that each product would come in 6 different strengths and thus require 6 unique labels, but due to a clerical error, this information was not correctly included in the table.  We also adjusted the number of respondents to 6 to match the number of respondents designing, testing, and producing labels.  In addition, we adjusted the total number of disclosures per respondent to 2 given the biannual reporting requirement.</w:t>
      </w:r>
    </w:p>
    <w:p w:rsidR="00AA25F2" w:rsidRPr="00CB77FD" w:rsidP="00C44B68" w14:paraId="75AEAD0C" w14:textId="77777777">
      <w:pPr>
        <w:spacing w:after="0" w:line="240" w:lineRule="auto"/>
        <w:ind w:firstLine="720"/>
        <w:rPr>
          <w:rFonts w:ascii="Times New Roman" w:eastAsia="Times New Roman" w:hAnsi="Times New Roman"/>
          <w:sz w:val="24"/>
          <w:szCs w:val="24"/>
        </w:rPr>
      </w:pPr>
    </w:p>
    <w:p w:rsidR="008560A3" w:rsidRPr="00CB77FD" w:rsidP="00B055D0" w14:paraId="01E1DE63" w14:textId="23C01555">
      <w:pPr>
        <w:spacing w:after="0" w:line="240" w:lineRule="auto"/>
        <w:rPr>
          <w:rFonts w:ascii="Times New Roman" w:eastAsia="Times New Roman" w:hAnsi="Times New Roman"/>
          <w:i/>
          <w:sz w:val="24"/>
          <w:szCs w:val="24"/>
        </w:rPr>
      </w:pPr>
      <w:r w:rsidRPr="00CB77FD">
        <w:rPr>
          <w:rFonts w:ascii="Times New Roman" w:eastAsia="Times New Roman" w:hAnsi="Times New Roman"/>
          <w:i/>
          <w:sz w:val="24"/>
          <w:szCs w:val="24"/>
        </w:rPr>
        <w:t>Biologic</w:t>
      </w:r>
      <w:r w:rsidR="00D603FC">
        <w:rPr>
          <w:rFonts w:ascii="Times New Roman" w:eastAsia="Times New Roman" w:hAnsi="Times New Roman"/>
          <w:i/>
          <w:sz w:val="24"/>
          <w:szCs w:val="24"/>
        </w:rPr>
        <w:t>al Product</w:t>
      </w:r>
      <w:r w:rsidRPr="00CB77FD">
        <w:rPr>
          <w:rFonts w:ascii="Times New Roman" w:eastAsia="Times New Roman" w:hAnsi="Times New Roman"/>
          <w:i/>
          <w:sz w:val="24"/>
          <w:szCs w:val="24"/>
        </w:rPr>
        <w:t>s Guidance</w:t>
      </w:r>
      <w:bookmarkEnd w:id="10"/>
    </w:p>
    <w:p w:rsidR="003E631D" w:rsidRPr="00CB77FD" w:rsidP="00C44B68" w14:paraId="72EC52F8" w14:textId="77777777">
      <w:pPr>
        <w:spacing w:after="0" w:line="240" w:lineRule="auto"/>
        <w:ind w:firstLine="720"/>
        <w:rPr>
          <w:rFonts w:ascii="Times New Roman" w:eastAsia="Times New Roman" w:hAnsi="Times New Roman"/>
          <w:sz w:val="24"/>
          <w:szCs w:val="24"/>
        </w:rPr>
      </w:pPr>
    </w:p>
    <w:p w:rsidR="001C06FB" w:rsidRPr="007A4955" w:rsidP="001C06FB" w14:paraId="0B404159"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 xml:space="preserve">Certain licensed biological products may sometimes be mixed, diluted, or repackaged in a way not described in the approved labeling for the product to meet the needs of a specific patient.  As described in the guidance, biological products subject to licensure under section 351 of the Public Health Service (PHS) Act (42 U.S.C. 262) are not eligible for the statutory exemptions available to certain compounded drugs under sections 503A and 503B of the FD&amp;C Act.  In addition, a biological product that is mixed, diluted, or repackaged outside the scope of an approved biologics license application (BLA) is considered an unlicensed biological product under section 351 of the PHS Act.  </w:t>
      </w:r>
    </w:p>
    <w:p w:rsidR="001C06FB" w:rsidRPr="007A4955" w:rsidP="001C06FB" w14:paraId="3B17A8E8" w14:textId="77777777">
      <w:pPr>
        <w:widowControl w:val="0"/>
        <w:spacing w:after="0" w:line="240" w:lineRule="auto"/>
        <w:rPr>
          <w:rFonts w:ascii="Times New Roman" w:hAnsi="Times New Roman"/>
          <w:color w:val="000000"/>
          <w:sz w:val="24"/>
          <w:szCs w:val="24"/>
        </w:rPr>
      </w:pPr>
    </w:p>
    <w:p w:rsidR="001C06FB" w:rsidRPr="007A4955" w:rsidP="001C06FB" w14:paraId="15B7A141"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This guidance document describes several conditions under which FDA does not intend to take action for violations of section 351 of the PHS Act and sections 502(f)(1), 582, and (where specified) 501(a)(2)(B) of the FD&amp;C Act, when a State-licensed pharmacy, a Federal facility, or an outsourcing facility dilutes, mixes, or repackages certain biological products outside the scope of an approved BLA.</w:t>
      </w:r>
    </w:p>
    <w:p w:rsidR="001C06FB" w:rsidRPr="007A4955" w:rsidP="001C06FB" w14:paraId="40B1ED57" w14:textId="77777777">
      <w:pPr>
        <w:widowControl w:val="0"/>
        <w:spacing w:after="0" w:line="240" w:lineRule="auto"/>
        <w:rPr>
          <w:rFonts w:ascii="Times New Roman" w:hAnsi="Times New Roman"/>
          <w:color w:val="000000"/>
          <w:sz w:val="24"/>
          <w:szCs w:val="24"/>
        </w:rPr>
      </w:pPr>
    </w:p>
    <w:p w:rsidR="001C06FB" w:rsidRPr="007A4955" w:rsidP="001C06FB" w14:paraId="04EAFB53"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One condition discussed in the guidance is that if the labeling for the licensed biological product includes storage instructions, handling instructions, or both (e.g., protect from light, do not freeze, keep at specified storage temperature), the labeling for the biological product that is mixed, diluted, or repackaged specifies the same storage conditions.  Another condition described in the guidance is that, if the biological product is mixed, diluted, or repackaged by an outsourcing facility, the label on the immediate container (primary packaging, e.g., the syringe) of the mixed, diluted, or repackaged product includes certain information described in the guidance.  In addition, the guidance communicates that as a condition for biological products mixed, diluted, or repackaged by an outsourcing facility that, if the immediate product label is too small to bear the active and inactive ingredients, such information is included on the label of the container from which the individual units are removed for administration (secondary packaging, e.g., the bag, box, or other package in which the mixed, diluted, or repackaged biological products are distributed).</w:t>
      </w:r>
    </w:p>
    <w:p w:rsidR="001C06FB" w:rsidRPr="007A4955" w:rsidP="001C06FB" w14:paraId="45B85507" w14:textId="77777777">
      <w:pPr>
        <w:widowControl w:val="0"/>
        <w:spacing w:after="0" w:line="240" w:lineRule="auto"/>
        <w:rPr>
          <w:rFonts w:ascii="Times New Roman" w:hAnsi="Times New Roman"/>
          <w:color w:val="000000"/>
          <w:sz w:val="24"/>
          <w:szCs w:val="24"/>
        </w:rPr>
      </w:pPr>
    </w:p>
    <w:p w:rsidR="001C06FB" w:rsidRPr="007A4955" w:rsidP="001C06FB" w14:paraId="4BA2B805"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The guidance also communicates FDA’s thinking about the condition for biological products mixed, diluted, or repackaged by an outsourcing facility that the label on the container from which the individual units are removed for administration include directions for use.  These directions include, as appropriate, the dosage and administration and the following information to facilitate adverse event reporting:  https://www.fda.gov/medwatch and 1-800-FDA-1088.</w:t>
      </w:r>
    </w:p>
    <w:p w:rsidR="001C06FB" w:rsidRPr="007A4955" w:rsidP="001C06FB" w14:paraId="3C7A86C9" w14:textId="77777777">
      <w:pPr>
        <w:widowControl w:val="0"/>
        <w:spacing w:after="0" w:line="240" w:lineRule="auto"/>
        <w:rPr>
          <w:rFonts w:ascii="Times New Roman" w:hAnsi="Times New Roman"/>
          <w:color w:val="000000"/>
          <w:sz w:val="24"/>
          <w:szCs w:val="24"/>
        </w:rPr>
      </w:pPr>
    </w:p>
    <w:p w:rsidR="001C06FB" w:rsidRPr="007A4955" w:rsidP="001C06FB" w14:paraId="4391A73C"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Finally, another condition described in the guidance is that outsourcing facilities maintain records of the testing performed in accordance with “Appendix A--Assigning a BUD for Repackaged Biological Products Based on Stability Testing” of the guidance for biological products repackaged by outsourcing facilities for which the beyond use date (BUD) is established based on a stability program conducted in accordance with Appendix A.</w:t>
      </w:r>
    </w:p>
    <w:p w:rsidR="001C06FB" w:rsidRPr="007A4955" w:rsidP="001C06FB" w14:paraId="45C976F2" w14:textId="77777777">
      <w:pPr>
        <w:widowControl w:val="0"/>
        <w:spacing w:after="0" w:line="240" w:lineRule="auto"/>
        <w:rPr>
          <w:rFonts w:ascii="Times New Roman" w:hAnsi="Times New Roman"/>
          <w:color w:val="000000"/>
          <w:sz w:val="24"/>
          <w:szCs w:val="24"/>
        </w:rPr>
      </w:pPr>
      <w:r w:rsidRPr="007A4955">
        <w:rPr>
          <w:rFonts w:ascii="Times New Roman" w:hAnsi="Times New Roman"/>
          <w:color w:val="000000"/>
          <w:sz w:val="24"/>
          <w:szCs w:val="24"/>
        </w:rPr>
        <w:t>Section III.C of the guidance, “Licensed Allergenic Extracts for Subcutaneous Immunotherapy,” discusses the preparation of prescription sets (i.e., licensed allergenic extracts that are mixed and diluted to provide subcutaneous immunotherapy to an individual patient) by a physician, a State-licensed pharmacy, a Federal facility, or an outsourcing facility.  Another condition described in the guidance is that if the prescription set is prepared by an outsourcing facility, the label of the container from which the individual units of the prescription set are removed for administration (secondary packaging) includes the following information to facilitate adverse event reporting:  https://www.fda.gov/medwatch and 1-800-FDA-1088.  Each prescription set prepared by an outsourcing facility is also accompanied by instructions for use.</w:t>
      </w:r>
    </w:p>
    <w:p w:rsidR="001C06FB" w:rsidP="00C44B68" w14:paraId="3656AD76" w14:textId="77777777">
      <w:pPr>
        <w:spacing w:after="0" w:line="240" w:lineRule="auto"/>
        <w:rPr>
          <w:rFonts w:ascii="Times New Roman" w:eastAsia="Times New Roman" w:hAnsi="Times New Roman"/>
          <w:iCs/>
          <w:sz w:val="24"/>
          <w:szCs w:val="24"/>
          <w:shd w:val="clear" w:color="auto" w:fill="FFFFFF"/>
        </w:rPr>
      </w:pPr>
    </w:p>
    <w:p w:rsidR="008560A3" w:rsidRPr="00CB77FD" w:rsidP="00C44B68" w14:paraId="511D3702" w14:textId="5A3ECD4B">
      <w:pPr>
        <w:spacing w:after="0" w:line="240" w:lineRule="auto"/>
        <w:rPr>
          <w:rFonts w:ascii="Times New Roman" w:eastAsia="Times New Roman" w:hAnsi="Times New Roman"/>
          <w:sz w:val="24"/>
          <w:szCs w:val="24"/>
          <w:shd w:val="clear" w:color="auto" w:fill="FFFFFF"/>
        </w:rPr>
      </w:pPr>
      <w:r w:rsidRPr="00CB77FD">
        <w:rPr>
          <w:rFonts w:ascii="Times New Roman" w:eastAsia="Times New Roman" w:hAnsi="Times New Roman"/>
          <w:iCs/>
          <w:sz w:val="24"/>
          <w:szCs w:val="24"/>
          <w:shd w:val="clear" w:color="auto" w:fill="FFFFFF"/>
        </w:rPr>
        <w:t xml:space="preserve">We </w:t>
      </w:r>
      <w:r w:rsidRPr="00CB77FD">
        <w:rPr>
          <w:rFonts w:ascii="Times New Roman" w:eastAsia="Times New Roman" w:hAnsi="Times New Roman"/>
          <w:sz w:val="24"/>
          <w:szCs w:val="24"/>
          <w:shd w:val="clear" w:color="auto" w:fill="FFFFFF"/>
        </w:rPr>
        <w:t xml:space="preserve">estimate 15 outsourcing facilities annually </w:t>
      </w:r>
      <w:r w:rsidR="000B57BA">
        <w:rPr>
          <w:rFonts w:ascii="Times New Roman" w:eastAsia="Times New Roman" w:hAnsi="Times New Roman"/>
          <w:sz w:val="24"/>
          <w:szCs w:val="24"/>
          <w:shd w:val="clear" w:color="auto" w:fill="FFFFFF"/>
        </w:rPr>
        <w:t>that</w:t>
      </w:r>
      <w:r w:rsidRPr="00CB77FD" w:rsidR="000B57BA">
        <w:rPr>
          <w:rFonts w:ascii="Times New Roman" w:eastAsia="Times New Roman" w:hAnsi="Times New Roman"/>
          <w:sz w:val="24"/>
          <w:szCs w:val="24"/>
          <w:shd w:val="clear" w:color="auto" w:fill="FFFFFF"/>
        </w:rPr>
        <w:t xml:space="preserve"> </w:t>
      </w:r>
      <w:r w:rsidRPr="00CB77FD">
        <w:rPr>
          <w:rFonts w:ascii="Times New Roman" w:eastAsia="Times New Roman" w:hAnsi="Times New Roman"/>
          <w:sz w:val="24"/>
          <w:szCs w:val="24"/>
          <w:shd w:val="clear" w:color="auto" w:fill="FFFFFF"/>
        </w:rPr>
        <w:t>mix, dilute, or repackage biological products will each design, test, and produce 5 different labels, for a total of 75 labels that include the information set forth in section III.B</w:t>
      </w:r>
      <w:r w:rsidR="007B1088">
        <w:rPr>
          <w:rFonts w:ascii="Times New Roman" w:eastAsia="Times New Roman" w:hAnsi="Times New Roman"/>
          <w:sz w:val="24"/>
          <w:szCs w:val="24"/>
          <w:shd w:val="clear" w:color="auto" w:fill="FFFFFF"/>
        </w:rPr>
        <w:t>,</w:t>
      </w:r>
      <w:r w:rsidRPr="00CB77FD">
        <w:rPr>
          <w:rFonts w:ascii="Times New Roman" w:eastAsia="Times New Roman" w:hAnsi="Times New Roman"/>
          <w:sz w:val="24"/>
          <w:szCs w:val="24"/>
          <w:shd w:val="clear" w:color="auto" w:fill="FFFFFF"/>
        </w:rPr>
        <w:t xml:space="preserve"> “</w:t>
      </w:r>
      <w:r w:rsidRPr="0057347B">
        <w:rPr>
          <w:rFonts w:ascii="Times New Roman" w:eastAsia="Times New Roman" w:hAnsi="Times New Roman"/>
          <w:bCs/>
          <w:sz w:val="24"/>
          <w:szCs w:val="24"/>
        </w:rPr>
        <w:t>Mixing, Diluting, or Repackaging Licensed Biological Products</w:t>
      </w:r>
      <w:r w:rsidR="007B1088">
        <w:rPr>
          <w:rFonts w:ascii="Times New Roman" w:eastAsia="Times New Roman" w:hAnsi="Times New Roman"/>
          <w:bCs/>
          <w:sz w:val="24"/>
          <w:szCs w:val="24"/>
        </w:rPr>
        <w:t>,</w:t>
      </w:r>
      <w:r w:rsidRPr="00CB77FD">
        <w:rPr>
          <w:rFonts w:ascii="Times New Roman" w:eastAsia="Times New Roman" w:hAnsi="Times New Roman"/>
          <w:bCs/>
          <w:sz w:val="24"/>
          <w:szCs w:val="24"/>
        </w:rPr>
        <w:t>”</w:t>
      </w:r>
      <w:r w:rsidRPr="00CB77FD">
        <w:rPr>
          <w:rFonts w:ascii="Times New Roman" w:eastAsia="Times New Roman" w:hAnsi="Times New Roman"/>
          <w:sz w:val="24"/>
          <w:szCs w:val="24"/>
          <w:shd w:val="clear" w:color="auto" w:fill="FFFFFF"/>
        </w:rPr>
        <w:t xml:space="preserve"> of the </w:t>
      </w:r>
      <w:r w:rsidR="00C92396">
        <w:rPr>
          <w:rFonts w:ascii="Times New Roman" w:eastAsia="Times New Roman" w:hAnsi="Times New Roman"/>
          <w:sz w:val="24"/>
          <w:szCs w:val="24"/>
          <w:shd w:val="clear" w:color="auto" w:fill="FFFFFF"/>
        </w:rPr>
        <w:t>Biological Products G</w:t>
      </w:r>
      <w:r w:rsidRPr="00CB77FD">
        <w:rPr>
          <w:rFonts w:ascii="Times New Roman" w:eastAsia="Times New Roman" w:hAnsi="Times New Roman"/>
          <w:sz w:val="24"/>
          <w:szCs w:val="24"/>
          <w:shd w:val="clear" w:color="auto" w:fill="FFFFFF"/>
        </w:rPr>
        <w:t xml:space="preserve">uidance (including directions for use) as well as inclusion of storage instructions, handling instructions, or both.  We assume that designing, testing, and producing each label will take 30 minutes (0.5 hours).  </w:t>
      </w:r>
    </w:p>
    <w:p w:rsidR="00754FC4" w:rsidRPr="00CB77FD" w:rsidP="00C44B68" w14:paraId="363FE684" w14:textId="77777777">
      <w:pPr>
        <w:spacing w:after="0" w:line="240" w:lineRule="auto"/>
        <w:ind w:firstLine="720"/>
        <w:rPr>
          <w:rFonts w:ascii="Times New Roman" w:eastAsia="Times New Roman" w:hAnsi="Times New Roman"/>
          <w:sz w:val="24"/>
          <w:szCs w:val="24"/>
          <w:shd w:val="clear" w:color="auto" w:fill="FFFFFF"/>
        </w:rPr>
      </w:pPr>
    </w:p>
    <w:p w:rsidR="008560A3" w:rsidRPr="00CB77FD" w:rsidP="00C44B68" w14:paraId="68D426A9" w14:textId="301D0770">
      <w:pPr>
        <w:spacing w:after="0" w:line="240" w:lineRule="auto"/>
        <w:rPr>
          <w:rFonts w:ascii="Times New Roman" w:eastAsia="Times New Roman" w:hAnsi="Times New Roman"/>
          <w:sz w:val="24"/>
          <w:szCs w:val="24"/>
          <w:shd w:val="clear" w:color="auto" w:fill="FFFFFF"/>
        </w:rPr>
      </w:pPr>
      <w:r w:rsidRPr="00CB77FD">
        <w:rPr>
          <w:rFonts w:ascii="Times New Roman" w:eastAsia="Times New Roman" w:hAnsi="Times New Roman"/>
          <w:sz w:val="24"/>
          <w:szCs w:val="24"/>
          <w:shd w:val="clear" w:color="auto" w:fill="FFFFFF"/>
        </w:rPr>
        <w:t>We estimate that annually a total of 5 outsourcing facilities who prepare prescription sets will each include on the labels, packages, and/or containers of approximately 300 prescription sets the information set forth in section III.C</w:t>
      </w:r>
      <w:r w:rsidR="0007194E">
        <w:rPr>
          <w:rFonts w:ascii="Times New Roman" w:eastAsia="Times New Roman" w:hAnsi="Times New Roman"/>
          <w:sz w:val="24"/>
          <w:szCs w:val="24"/>
          <w:shd w:val="clear" w:color="auto" w:fill="FFFFFF"/>
        </w:rPr>
        <w:t>,</w:t>
      </w:r>
      <w:r w:rsidRPr="00CB77FD">
        <w:rPr>
          <w:rFonts w:ascii="Times New Roman" w:eastAsia="Times New Roman" w:hAnsi="Times New Roman"/>
          <w:sz w:val="24"/>
          <w:szCs w:val="24"/>
          <w:shd w:val="clear" w:color="auto" w:fill="FFFFFF"/>
        </w:rPr>
        <w:t xml:space="preserve"> </w:t>
      </w:r>
      <w:r w:rsidRPr="00CB77FD">
        <w:rPr>
          <w:rFonts w:ascii="Times New Roman" w:eastAsia="Times New Roman" w:hAnsi="Times New Roman"/>
          <w:sz w:val="24"/>
          <w:szCs w:val="24"/>
        </w:rPr>
        <w:t>“</w:t>
      </w:r>
      <w:r w:rsidRPr="0057347B">
        <w:rPr>
          <w:rFonts w:ascii="Times New Roman" w:eastAsia="Times New Roman" w:hAnsi="Times New Roman"/>
          <w:bCs/>
          <w:sz w:val="24"/>
          <w:szCs w:val="24"/>
        </w:rPr>
        <w:t>Licensed Allergenic Extracts for Subcutaneous Immunotherapy</w:t>
      </w:r>
      <w:r w:rsidR="0007194E">
        <w:rPr>
          <w:rFonts w:ascii="Times New Roman" w:eastAsia="Times New Roman" w:hAnsi="Times New Roman"/>
          <w:bCs/>
          <w:sz w:val="24"/>
          <w:szCs w:val="24"/>
        </w:rPr>
        <w:t>,</w:t>
      </w:r>
      <w:r w:rsidRPr="00CB77FD">
        <w:rPr>
          <w:rFonts w:ascii="Times New Roman" w:eastAsia="Times New Roman" w:hAnsi="Times New Roman"/>
          <w:bCs/>
          <w:sz w:val="24"/>
          <w:szCs w:val="24"/>
        </w:rPr>
        <w:t>”</w:t>
      </w:r>
      <w:r w:rsidRPr="00CB77FD">
        <w:rPr>
          <w:rFonts w:ascii="Times New Roman" w:eastAsia="Times New Roman" w:hAnsi="Times New Roman"/>
          <w:sz w:val="24"/>
          <w:szCs w:val="24"/>
          <w:shd w:val="clear" w:color="auto" w:fill="FFFFFF"/>
        </w:rPr>
        <w:t xml:space="preserve"> of the </w:t>
      </w:r>
      <w:r w:rsidR="0007194E">
        <w:rPr>
          <w:rFonts w:ascii="Times New Roman" w:eastAsia="Times New Roman" w:hAnsi="Times New Roman"/>
          <w:sz w:val="24"/>
          <w:szCs w:val="24"/>
          <w:shd w:val="clear" w:color="auto" w:fill="FFFFFF"/>
        </w:rPr>
        <w:t>Biological Products</w:t>
      </w:r>
      <w:r w:rsidRPr="00CB77FD">
        <w:rPr>
          <w:rFonts w:ascii="Times New Roman" w:eastAsia="Times New Roman" w:hAnsi="Times New Roman"/>
          <w:sz w:val="24"/>
          <w:szCs w:val="24"/>
          <w:shd w:val="clear" w:color="auto" w:fill="FFFFFF"/>
        </w:rPr>
        <w:t xml:space="preserve"> </w:t>
      </w:r>
      <w:r w:rsidR="0007194E">
        <w:rPr>
          <w:rFonts w:ascii="Times New Roman" w:eastAsia="Times New Roman" w:hAnsi="Times New Roman"/>
          <w:sz w:val="24"/>
          <w:szCs w:val="24"/>
          <w:shd w:val="clear" w:color="auto" w:fill="FFFFFF"/>
        </w:rPr>
        <w:t>G</w:t>
      </w:r>
      <w:r w:rsidRPr="00CB77FD">
        <w:rPr>
          <w:rFonts w:ascii="Times New Roman" w:eastAsia="Times New Roman" w:hAnsi="Times New Roman"/>
          <w:sz w:val="24"/>
          <w:szCs w:val="24"/>
          <w:shd w:val="clear" w:color="auto" w:fill="FFFFFF"/>
        </w:rPr>
        <w:t>uidance (including directions for use), for a total of 1,500 disclosures.  We assume the initial process of designing, testing, and producing labeling and attaching to each prescription set each label, package, and/or container will take approximately 30 minutes (0.5 hours), for a total of approximately 750 hours.</w:t>
      </w:r>
    </w:p>
    <w:p w:rsidR="00754FC4" w:rsidRPr="00CB77FD" w:rsidP="00C44B68" w14:paraId="33E4F728" w14:textId="77777777">
      <w:pPr>
        <w:spacing w:after="0" w:line="240" w:lineRule="auto"/>
        <w:ind w:firstLine="720"/>
        <w:rPr>
          <w:rFonts w:ascii="Times New Roman" w:eastAsia="Times New Roman" w:hAnsi="Times New Roman"/>
          <w:sz w:val="24"/>
          <w:szCs w:val="24"/>
          <w:shd w:val="clear" w:color="auto" w:fill="FFFFFF"/>
        </w:rPr>
      </w:pPr>
    </w:p>
    <w:p w:rsidR="008560A3" w:rsidP="00C44B68" w14:paraId="2DDC178F" w14:textId="4CB511B6">
      <w:pPr>
        <w:spacing w:after="0" w:line="240" w:lineRule="auto"/>
        <w:rPr>
          <w:rFonts w:ascii="Times New Roman" w:eastAsia="Times New Roman" w:hAnsi="Times New Roman"/>
          <w:sz w:val="24"/>
          <w:szCs w:val="24"/>
          <w:shd w:val="clear" w:color="auto" w:fill="FFFFFF"/>
        </w:rPr>
      </w:pPr>
      <w:r w:rsidRPr="00CB77FD">
        <w:rPr>
          <w:rFonts w:ascii="Times New Roman" w:eastAsia="Times New Roman" w:hAnsi="Times New Roman"/>
          <w:sz w:val="24"/>
          <w:szCs w:val="24"/>
          <w:shd w:val="clear" w:color="auto" w:fill="FFFFFF"/>
        </w:rPr>
        <w:t xml:space="preserve">Finally, we estimate that annually </w:t>
      </w:r>
      <w:r w:rsidR="0010384B">
        <w:rPr>
          <w:rFonts w:ascii="Times New Roman" w:eastAsia="Times New Roman" w:hAnsi="Times New Roman"/>
          <w:sz w:val="24"/>
          <w:szCs w:val="24"/>
          <w:shd w:val="clear" w:color="auto" w:fill="FFFFFF"/>
        </w:rPr>
        <w:t>five</w:t>
      </w:r>
      <w:r w:rsidRPr="00CB77FD">
        <w:rPr>
          <w:rFonts w:ascii="Times New Roman" w:eastAsia="Times New Roman" w:hAnsi="Times New Roman"/>
          <w:sz w:val="24"/>
          <w:szCs w:val="24"/>
          <w:shd w:val="clear" w:color="auto" w:fill="FFFFFF"/>
        </w:rPr>
        <w:t xml:space="preserve"> outsourcing facilities </w:t>
      </w:r>
      <w:r w:rsidR="0010384B">
        <w:rPr>
          <w:rFonts w:ascii="Times New Roman" w:eastAsia="Times New Roman" w:hAnsi="Times New Roman"/>
          <w:sz w:val="24"/>
          <w:szCs w:val="24"/>
          <w:shd w:val="clear" w:color="auto" w:fill="FFFFFF"/>
        </w:rPr>
        <w:t>that</w:t>
      </w:r>
      <w:r w:rsidRPr="00CB77FD" w:rsidR="0010384B">
        <w:rPr>
          <w:rFonts w:ascii="Times New Roman" w:eastAsia="Times New Roman" w:hAnsi="Times New Roman"/>
          <w:sz w:val="24"/>
          <w:szCs w:val="24"/>
          <w:shd w:val="clear" w:color="auto" w:fill="FFFFFF"/>
        </w:rPr>
        <w:t xml:space="preserve"> </w:t>
      </w:r>
      <w:r w:rsidRPr="00CB77FD">
        <w:rPr>
          <w:rFonts w:ascii="Times New Roman" w:eastAsia="Times New Roman" w:hAnsi="Times New Roman"/>
          <w:sz w:val="24"/>
          <w:szCs w:val="24"/>
          <w:shd w:val="clear" w:color="auto" w:fill="FFFFFF"/>
        </w:rPr>
        <w:t xml:space="preserve">repackage biological products and establish a </w:t>
      </w:r>
      <w:r w:rsidR="00D17869">
        <w:rPr>
          <w:rFonts w:ascii="Times New Roman" w:eastAsia="Times New Roman" w:hAnsi="Times New Roman"/>
          <w:sz w:val="24"/>
          <w:szCs w:val="24"/>
          <w:shd w:val="clear" w:color="auto" w:fill="FFFFFF"/>
        </w:rPr>
        <w:t>beyond use date (</w:t>
      </w:r>
      <w:r w:rsidRPr="00CB77FD">
        <w:rPr>
          <w:rFonts w:ascii="Times New Roman" w:eastAsia="Times New Roman" w:hAnsi="Times New Roman"/>
          <w:sz w:val="24"/>
          <w:szCs w:val="24"/>
          <w:shd w:val="clear" w:color="auto" w:fill="FFFFFF"/>
        </w:rPr>
        <w:t>BUD</w:t>
      </w:r>
      <w:r w:rsidR="00D17869">
        <w:rPr>
          <w:rFonts w:ascii="Times New Roman" w:eastAsia="Times New Roman" w:hAnsi="Times New Roman"/>
          <w:sz w:val="24"/>
          <w:szCs w:val="24"/>
          <w:shd w:val="clear" w:color="auto" w:fill="FFFFFF"/>
        </w:rPr>
        <w:t>)</w:t>
      </w:r>
      <w:r w:rsidRPr="00CB77FD">
        <w:rPr>
          <w:rFonts w:ascii="Times New Roman" w:eastAsia="Times New Roman" w:hAnsi="Times New Roman"/>
          <w:sz w:val="24"/>
          <w:szCs w:val="24"/>
          <w:shd w:val="clear" w:color="auto" w:fill="FFFFFF"/>
        </w:rPr>
        <w:t xml:space="preserve"> in accordance with </w:t>
      </w:r>
      <w:r w:rsidR="00D17869">
        <w:rPr>
          <w:rFonts w:ascii="Times New Roman" w:eastAsia="Times New Roman" w:hAnsi="Times New Roman"/>
          <w:sz w:val="24"/>
          <w:szCs w:val="24"/>
          <w:shd w:val="clear" w:color="auto" w:fill="FFFFFF"/>
        </w:rPr>
        <w:t>“</w:t>
      </w:r>
      <w:r w:rsidRPr="00CB77FD">
        <w:rPr>
          <w:rFonts w:ascii="Times New Roman" w:eastAsia="Times New Roman" w:hAnsi="Times New Roman"/>
          <w:sz w:val="24"/>
          <w:szCs w:val="24"/>
          <w:shd w:val="clear" w:color="auto" w:fill="FFFFFF"/>
        </w:rPr>
        <w:t xml:space="preserve">Appendix A </w:t>
      </w:r>
      <w:r w:rsidRPr="00CB77FD">
        <w:rPr>
          <w:rFonts w:ascii="Times New Roman" w:hAnsi="Times New Roman"/>
          <w:sz w:val="24"/>
          <w:szCs w:val="24"/>
        </w:rPr>
        <w:t xml:space="preserve">– </w:t>
      </w:r>
      <w:r w:rsidRPr="0057347B">
        <w:rPr>
          <w:rFonts w:ascii="Times New Roman" w:eastAsia="Times New Roman" w:hAnsi="Times New Roman"/>
          <w:bCs/>
          <w:sz w:val="24"/>
          <w:szCs w:val="24"/>
        </w:rPr>
        <w:t xml:space="preserve">Assigning a BUD for Repackaged Biological Products Based </w:t>
      </w:r>
      <w:r w:rsidRPr="0057347B" w:rsidR="0006106D">
        <w:rPr>
          <w:rFonts w:ascii="Times New Roman" w:eastAsia="Times New Roman" w:hAnsi="Times New Roman"/>
          <w:bCs/>
          <w:sz w:val="24"/>
          <w:szCs w:val="24"/>
        </w:rPr>
        <w:t>on</w:t>
      </w:r>
      <w:r w:rsidRPr="0057347B">
        <w:rPr>
          <w:rFonts w:ascii="Times New Roman" w:eastAsia="Times New Roman" w:hAnsi="Times New Roman"/>
          <w:bCs/>
          <w:sz w:val="24"/>
          <w:szCs w:val="24"/>
        </w:rPr>
        <w:t xml:space="preserve"> Stability Testing</w:t>
      </w:r>
      <w:r w:rsidRPr="00CB77FD">
        <w:rPr>
          <w:rFonts w:ascii="Times New Roman" w:eastAsia="Times New Roman" w:hAnsi="Times New Roman"/>
          <w:bCs/>
          <w:sz w:val="24"/>
          <w:szCs w:val="24"/>
        </w:rPr>
        <w:t>”</w:t>
      </w:r>
      <w:r w:rsidRPr="00CB77FD">
        <w:rPr>
          <w:rFonts w:ascii="Times New Roman" w:eastAsia="Times New Roman" w:hAnsi="Times New Roman"/>
          <w:sz w:val="24"/>
          <w:szCs w:val="24"/>
          <w:shd w:val="clear" w:color="auto" w:fill="FFFFFF"/>
        </w:rPr>
        <w:t xml:space="preserve"> will maintain 150 records of the testing, as described in Appendix A of the </w:t>
      </w:r>
      <w:r w:rsidR="00D17869">
        <w:rPr>
          <w:rFonts w:ascii="Times New Roman" w:eastAsia="Times New Roman" w:hAnsi="Times New Roman"/>
          <w:sz w:val="24"/>
          <w:szCs w:val="24"/>
          <w:shd w:val="clear" w:color="auto" w:fill="FFFFFF"/>
        </w:rPr>
        <w:t>B</w:t>
      </w:r>
      <w:r w:rsidR="00732F50">
        <w:rPr>
          <w:rFonts w:ascii="Times New Roman" w:eastAsia="Times New Roman" w:hAnsi="Times New Roman"/>
          <w:sz w:val="24"/>
          <w:szCs w:val="24"/>
          <w:shd w:val="clear" w:color="auto" w:fill="FFFFFF"/>
        </w:rPr>
        <w:t>iological Products G</w:t>
      </w:r>
      <w:r w:rsidRPr="00CB77FD">
        <w:rPr>
          <w:rFonts w:ascii="Times New Roman" w:eastAsia="Times New Roman" w:hAnsi="Times New Roman"/>
          <w:sz w:val="24"/>
          <w:szCs w:val="24"/>
          <w:shd w:val="clear" w:color="auto" w:fill="FFFFFF"/>
        </w:rPr>
        <w:t>uidance.  We assume maintaining the records will take 5 minutes per record, for a total of 12.5 hours.</w:t>
      </w:r>
    </w:p>
    <w:p w:rsidR="00662597" w:rsidRPr="00CB77FD" w:rsidP="00C44B68" w14:paraId="59755AF7" w14:textId="77777777">
      <w:pPr>
        <w:spacing w:after="0" w:line="240" w:lineRule="auto"/>
        <w:rPr>
          <w:rFonts w:ascii="Times New Roman" w:eastAsia="Times New Roman" w:hAnsi="Times New Roman"/>
          <w:sz w:val="24"/>
          <w:szCs w:val="24"/>
          <w:shd w:val="clear" w:color="auto" w:fill="FFFFFF"/>
        </w:rPr>
      </w:pPr>
    </w:p>
    <w:p w:rsidR="00F95DC2" w:rsidRPr="00CB77FD" w:rsidP="00C44B68" w14:paraId="2CFD3EDA" w14:textId="2BBE210A">
      <w:pPr>
        <w:spacing w:after="0" w:line="240" w:lineRule="auto"/>
        <w:rPr>
          <w:rFonts w:ascii="Times New Roman" w:eastAsia="Times New Roman" w:hAnsi="Times New Roman"/>
          <w:sz w:val="24"/>
          <w:szCs w:val="24"/>
        </w:rPr>
      </w:pPr>
    </w:p>
    <w:p w:rsidR="009342D9" w:rsidRPr="006F521F" w:rsidP="00C44B68" w14:paraId="03394463" w14:textId="5E6459DE">
      <w:pPr>
        <w:spacing w:after="0" w:line="240" w:lineRule="auto"/>
        <w:rPr>
          <w:rFonts w:ascii="Times New Roman" w:hAnsi="Times New Roman"/>
          <w:i/>
          <w:sz w:val="24"/>
          <w:szCs w:val="24"/>
          <w:u w:val="single"/>
        </w:rPr>
      </w:pPr>
      <w:r w:rsidRPr="00CB77FD">
        <w:rPr>
          <w:rFonts w:ascii="Times New Roman" w:hAnsi="Times New Roman"/>
          <w:sz w:val="24"/>
          <w:szCs w:val="24"/>
        </w:rPr>
        <w:tab/>
      </w:r>
      <w:r w:rsidRPr="006F521F">
        <w:rPr>
          <w:rFonts w:ascii="Times New Roman" w:hAnsi="Times New Roman"/>
          <w:i/>
          <w:sz w:val="24"/>
          <w:szCs w:val="24"/>
          <w:u w:val="single"/>
        </w:rPr>
        <w:t xml:space="preserve">12b.  </w:t>
      </w:r>
      <w:r w:rsidRPr="006F521F">
        <w:rPr>
          <w:rFonts w:ascii="Times New Roman" w:hAnsi="Times New Roman"/>
          <w:i/>
          <w:sz w:val="24"/>
          <w:szCs w:val="24"/>
          <w:u w:val="single"/>
        </w:rPr>
        <w:t>Annualized Cost Burden Estimate</w:t>
      </w:r>
    </w:p>
    <w:p w:rsidR="00711ABF" w:rsidRPr="00CB77FD" w:rsidP="00C44B68" w14:paraId="381AB4D8" w14:textId="77777777">
      <w:pPr>
        <w:spacing w:after="0" w:line="240" w:lineRule="auto"/>
        <w:rPr>
          <w:rFonts w:ascii="Times New Roman" w:eastAsia="Times New Roman" w:hAnsi="Times New Roman"/>
          <w:i/>
          <w:sz w:val="24"/>
          <w:szCs w:val="24"/>
        </w:rPr>
      </w:pPr>
    </w:p>
    <w:p w:rsidR="00DF4370" w:rsidRPr="00CB77FD" w:rsidP="00C44B68" w14:paraId="4CDF3EE7" w14:textId="6CBFE154">
      <w:pPr>
        <w:spacing w:after="0" w:line="240" w:lineRule="auto"/>
        <w:rPr>
          <w:rFonts w:ascii="Times New Roman" w:eastAsia="Times New Roman" w:hAnsi="Times New Roman"/>
          <w:sz w:val="24"/>
          <w:szCs w:val="24"/>
        </w:rPr>
      </w:pPr>
      <w:r w:rsidRPr="00CB77FD">
        <w:rPr>
          <w:rFonts w:ascii="Times New Roman" w:eastAsia="Times New Roman" w:hAnsi="Times New Roman"/>
          <w:i/>
          <w:sz w:val="24"/>
          <w:szCs w:val="24"/>
        </w:rPr>
        <w:t>Radiopharmaceutical Compounding and Repackaging Guidance</w:t>
      </w:r>
    </w:p>
    <w:p w:rsidR="003E631D" w:rsidRPr="00CB77FD" w:rsidP="00C44B68" w14:paraId="4EFA6C7F" w14:textId="77777777">
      <w:pPr>
        <w:spacing w:after="0" w:line="240" w:lineRule="auto"/>
        <w:rPr>
          <w:rFonts w:ascii="Times New Roman" w:hAnsi="Times New Roman"/>
          <w:i/>
          <w:sz w:val="24"/>
          <w:szCs w:val="24"/>
        </w:rPr>
      </w:pPr>
    </w:p>
    <w:p w:rsidR="00B466C9" w:rsidRPr="00CB77FD" w:rsidP="00C44B68" w14:paraId="33BEE407" w14:textId="32D3B2F5">
      <w:pPr>
        <w:spacing w:after="0" w:line="240" w:lineRule="auto"/>
        <w:rPr>
          <w:rFonts w:ascii="Times New Roman" w:hAnsi="Times New Roman"/>
          <w:sz w:val="24"/>
          <w:szCs w:val="24"/>
        </w:rPr>
      </w:pPr>
      <w:r w:rsidRPr="00CB77FD">
        <w:rPr>
          <w:rFonts w:ascii="Times New Roman" w:hAnsi="Times New Roman"/>
          <w:sz w:val="24"/>
          <w:szCs w:val="24"/>
        </w:rPr>
        <w:t xml:space="preserve">The industry burden estimate calculated above would result in labor costs.  </w:t>
      </w:r>
      <w:r w:rsidR="00A23C4C">
        <w:rPr>
          <w:rFonts w:ascii="Times New Roman" w:hAnsi="Times New Roman"/>
          <w:sz w:val="24"/>
          <w:szCs w:val="24"/>
        </w:rPr>
        <w:t>For the Radiopharmaceutical Compounding and Repackaging Guidance</w:t>
      </w:r>
      <w:r w:rsidR="00DF4370">
        <w:rPr>
          <w:rFonts w:ascii="Times New Roman" w:hAnsi="Times New Roman"/>
          <w:sz w:val="24"/>
          <w:szCs w:val="24"/>
        </w:rPr>
        <w:t>,</w:t>
      </w:r>
      <w:r w:rsidR="00A23C4C">
        <w:rPr>
          <w:rFonts w:ascii="Times New Roman" w:hAnsi="Times New Roman"/>
          <w:sz w:val="24"/>
          <w:szCs w:val="24"/>
        </w:rPr>
        <w:t xml:space="preserve"> w</w:t>
      </w:r>
      <w:r w:rsidRPr="00CB77FD" w:rsidR="00AF028E">
        <w:rPr>
          <w:rFonts w:ascii="Times New Roman" w:hAnsi="Times New Roman"/>
          <w:sz w:val="24"/>
          <w:szCs w:val="24"/>
        </w:rPr>
        <w:t>e</w:t>
      </w:r>
      <w:r w:rsidRPr="00CB77FD">
        <w:rPr>
          <w:rFonts w:ascii="Times New Roman" w:hAnsi="Times New Roman"/>
          <w:sz w:val="24"/>
          <w:szCs w:val="24"/>
        </w:rPr>
        <w:t xml:space="preserve"> estimate that </w:t>
      </w:r>
      <w:r w:rsidRPr="00CB77FD" w:rsidR="00F93E41">
        <w:rPr>
          <w:rFonts w:ascii="Times New Roman" w:hAnsi="Times New Roman"/>
          <w:sz w:val="24"/>
          <w:szCs w:val="24"/>
        </w:rPr>
        <w:t>the notations on a prescription</w:t>
      </w:r>
      <w:r w:rsidRPr="00CB77FD">
        <w:rPr>
          <w:rFonts w:ascii="Times New Roman" w:hAnsi="Times New Roman"/>
          <w:sz w:val="24"/>
          <w:szCs w:val="24"/>
        </w:rPr>
        <w:t xml:space="preserve"> </w:t>
      </w:r>
      <w:r w:rsidRPr="00CB77FD" w:rsidR="00F93E41">
        <w:rPr>
          <w:rFonts w:ascii="Times New Roman" w:hAnsi="Times New Roman"/>
          <w:sz w:val="24"/>
          <w:szCs w:val="24"/>
        </w:rPr>
        <w:t xml:space="preserve">described above are generally captured by and </w:t>
      </w:r>
      <w:r w:rsidRPr="00CB77FD">
        <w:rPr>
          <w:rFonts w:ascii="Times New Roman" w:hAnsi="Times New Roman"/>
          <w:sz w:val="24"/>
          <w:szCs w:val="24"/>
        </w:rPr>
        <w:t xml:space="preserve">records are maintained by a </w:t>
      </w:r>
      <w:r w:rsidRPr="00CB77FD" w:rsidR="00F93E41">
        <w:rPr>
          <w:rFonts w:ascii="Times New Roman" w:hAnsi="Times New Roman"/>
          <w:sz w:val="24"/>
          <w:szCs w:val="24"/>
        </w:rPr>
        <w:t>pharmacist</w:t>
      </w:r>
      <w:r w:rsidRPr="00CB77FD">
        <w:rPr>
          <w:rFonts w:ascii="Times New Roman" w:hAnsi="Times New Roman"/>
          <w:sz w:val="24"/>
          <w:szCs w:val="24"/>
        </w:rPr>
        <w:t xml:space="preserve"> and that labor hours are valued using the mean hourly wage of $</w:t>
      </w:r>
      <w:r w:rsidR="00912F89">
        <w:rPr>
          <w:rFonts w:ascii="Times New Roman" w:hAnsi="Times New Roman"/>
          <w:sz w:val="24"/>
          <w:szCs w:val="24"/>
        </w:rPr>
        <w:t>64</w:t>
      </w:r>
      <w:r w:rsidRPr="00CB77FD" w:rsidR="00937772">
        <w:rPr>
          <w:rFonts w:ascii="Times New Roman" w:hAnsi="Times New Roman"/>
          <w:sz w:val="24"/>
          <w:szCs w:val="24"/>
        </w:rPr>
        <w:t>.8</w:t>
      </w:r>
      <w:r w:rsidR="00912F89">
        <w:rPr>
          <w:rFonts w:ascii="Times New Roman" w:hAnsi="Times New Roman"/>
          <w:sz w:val="24"/>
          <w:szCs w:val="24"/>
        </w:rPr>
        <w:t>1</w:t>
      </w:r>
      <w:r w:rsidRPr="00CB77FD">
        <w:rPr>
          <w:rFonts w:ascii="Times New Roman" w:hAnsi="Times New Roman"/>
          <w:sz w:val="24"/>
          <w:szCs w:val="24"/>
        </w:rPr>
        <w:t xml:space="preserve"> as reported by the U.S. Department of Labor, Bureau of Labor Statistics</w:t>
      </w:r>
      <w:r w:rsidRPr="00CB77FD" w:rsidR="006152D0">
        <w:rPr>
          <w:rFonts w:ascii="Times New Roman" w:hAnsi="Times New Roman"/>
          <w:sz w:val="24"/>
          <w:szCs w:val="24"/>
        </w:rPr>
        <w:t xml:space="preserve"> (DOL BLS)</w:t>
      </w:r>
      <w:r w:rsidRPr="00CB77FD">
        <w:rPr>
          <w:rFonts w:ascii="Times New Roman" w:hAnsi="Times New Roman"/>
          <w:sz w:val="24"/>
          <w:szCs w:val="24"/>
        </w:rPr>
        <w:t xml:space="preserve">.  Wages are further adjusted for benefits and overhead, for an average hourly labor cost of </w:t>
      </w:r>
      <w:bookmarkStart w:id="11" w:name="_Hlk42000067"/>
      <w:r w:rsidRPr="00CB77FD">
        <w:rPr>
          <w:rFonts w:ascii="Times New Roman" w:hAnsi="Times New Roman"/>
          <w:sz w:val="24"/>
          <w:szCs w:val="24"/>
        </w:rPr>
        <w:t>$</w:t>
      </w:r>
      <w:r w:rsidR="008B253B">
        <w:rPr>
          <w:rFonts w:ascii="Times New Roman" w:hAnsi="Times New Roman"/>
          <w:sz w:val="24"/>
          <w:szCs w:val="24"/>
        </w:rPr>
        <w:t>79</w:t>
      </w:r>
      <w:r w:rsidRPr="00CB77FD" w:rsidR="006A3368">
        <w:rPr>
          <w:rFonts w:ascii="Times New Roman" w:hAnsi="Times New Roman"/>
          <w:sz w:val="24"/>
          <w:szCs w:val="24"/>
        </w:rPr>
        <w:t>.</w:t>
      </w:r>
      <w:r w:rsidR="008B253B">
        <w:rPr>
          <w:rFonts w:ascii="Times New Roman" w:hAnsi="Times New Roman"/>
          <w:sz w:val="24"/>
          <w:szCs w:val="24"/>
        </w:rPr>
        <w:t>22</w:t>
      </w:r>
      <w:r w:rsidRPr="00CB77FD">
        <w:rPr>
          <w:rFonts w:ascii="Times New Roman" w:hAnsi="Times New Roman"/>
          <w:sz w:val="24"/>
          <w:szCs w:val="24"/>
        </w:rPr>
        <w:t xml:space="preserve"> ($</w:t>
      </w:r>
      <w:r w:rsidR="00C07FB3">
        <w:rPr>
          <w:rFonts w:ascii="Times New Roman" w:hAnsi="Times New Roman"/>
          <w:sz w:val="24"/>
          <w:szCs w:val="24"/>
        </w:rPr>
        <w:t>64</w:t>
      </w:r>
      <w:r w:rsidRPr="00CB77FD" w:rsidR="006A3368">
        <w:rPr>
          <w:rFonts w:ascii="Times New Roman" w:hAnsi="Times New Roman"/>
          <w:sz w:val="24"/>
          <w:szCs w:val="24"/>
        </w:rPr>
        <w:t>.8</w:t>
      </w:r>
      <w:r w:rsidR="00C07FB3">
        <w:rPr>
          <w:rFonts w:ascii="Times New Roman" w:hAnsi="Times New Roman"/>
          <w:sz w:val="24"/>
          <w:szCs w:val="24"/>
        </w:rPr>
        <w:t>1</w:t>
      </w:r>
      <w:r w:rsidRPr="00CB77FD" w:rsidR="006A3368">
        <w:rPr>
          <w:rFonts w:ascii="Times New Roman" w:hAnsi="Times New Roman"/>
          <w:sz w:val="24"/>
          <w:szCs w:val="24"/>
        </w:rPr>
        <w:t xml:space="preserve"> </w:t>
      </w:r>
      <w:r w:rsidR="00C07FB3">
        <w:rPr>
          <w:rFonts w:ascii="Times New Roman" w:hAnsi="Times New Roman"/>
          <w:sz w:val="24"/>
          <w:szCs w:val="24"/>
        </w:rPr>
        <w:t>+</w:t>
      </w:r>
      <w:r w:rsidR="001A5AE2">
        <w:rPr>
          <w:rFonts w:ascii="Times New Roman" w:hAnsi="Times New Roman"/>
          <w:sz w:val="24"/>
          <w:szCs w:val="24"/>
        </w:rPr>
        <w:t xml:space="preserve"> $14.41</w:t>
      </w:r>
      <w:r w:rsidRPr="00CB77FD">
        <w:rPr>
          <w:rFonts w:ascii="Times New Roman" w:hAnsi="Times New Roman"/>
          <w:sz w:val="24"/>
          <w:szCs w:val="24"/>
        </w:rPr>
        <w:t>)</w:t>
      </w:r>
      <w:bookmarkEnd w:id="11"/>
      <w:r w:rsidRPr="00CB77FD">
        <w:rPr>
          <w:rFonts w:ascii="Times New Roman" w:hAnsi="Times New Roman"/>
          <w:sz w:val="24"/>
          <w:szCs w:val="24"/>
        </w:rPr>
        <w:t xml:space="preserve">.  Using this wage rate </w:t>
      </w:r>
      <w:r w:rsidRPr="00CB77FD" w:rsidR="00F95DC2">
        <w:rPr>
          <w:rFonts w:ascii="Times New Roman" w:hAnsi="Times New Roman"/>
          <w:sz w:val="24"/>
          <w:szCs w:val="24"/>
        </w:rPr>
        <w:t>multiplied by</w:t>
      </w:r>
      <w:r w:rsidRPr="00CB77FD">
        <w:rPr>
          <w:rFonts w:ascii="Times New Roman" w:hAnsi="Times New Roman"/>
          <w:sz w:val="24"/>
          <w:szCs w:val="24"/>
        </w:rPr>
        <w:t xml:space="preserve"> </w:t>
      </w:r>
      <w:r w:rsidRPr="00CB77FD" w:rsidR="00146E00">
        <w:rPr>
          <w:rFonts w:ascii="Times New Roman" w:hAnsi="Times New Roman"/>
          <w:sz w:val="24"/>
          <w:szCs w:val="24"/>
        </w:rPr>
        <w:t>12.5</w:t>
      </w:r>
      <w:r w:rsidRPr="00CB77FD">
        <w:rPr>
          <w:rFonts w:ascii="Times New Roman" w:hAnsi="Times New Roman"/>
          <w:sz w:val="24"/>
          <w:szCs w:val="24"/>
        </w:rPr>
        <w:t xml:space="preserve"> hours </w:t>
      </w:r>
      <w:r w:rsidRPr="00CB77FD" w:rsidR="00F95DC2">
        <w:rPr>
          <w:rFonts w:ascii="Times New Roman" w:hAnsi="Times New Roman"/>
          <w:sz w:val="24"/>
          <w:szCs w:val="24"/>
        </w:rPr>
        <w:t xml:space="preserve">for </w:t>
      </w:r>
      <w:r w:rsidR="00511602">
        <w:rPr>
          <w:rFonts w:ascii="Times New Roman" w:hAnsi="Times New Roman"/>
          <w:sz w:val="24"/>
          <w:szCs w:val="24"/>
        </w:rPr>
        <w:t>recordkeeping</w:t>
      </w:r>
      <w:r w:rsidRPr="00CB77FD" w:rsidR="00F95DC2">
        <w:rPr>
          <w:rFonts w:ascii="Times New Roman" w:hAnsi="Times New Roman"/>
          <w:sz w:val="24"/>
          <w:szCs w:val="24"/>
        </w:rPr>
        <w:t xml:space="preserve"> </w:t>
      </w:r>
      <w:r w:rsidRPr="00CB77FD">
        <w:rPr>
          <w:rFonts w:ascii="Times New Roman" w:hAnsi="Times New Roman"/>
          <w:sz w:val="24"/>
          <w:szCs w:val="24"/>
        </w:rPr>
        <w:t xml:space="preserve">calculated above collection equals approximately </w:t>
      </w:r>
      <w:r w:rsidR="00CB558F">
        <w:rPr>
          <w:rFonts w:ascii="Times New Roman" w:hAnsi="Times New Roman"/>
          <w:sz w:val="24"/>
          <w:szCs w:val="24"/>
        </w:rPr>
        <w:t>$990</w:t>
      </w:r>
      <w:r w:rsidR="00511602">
        <w:rPr>
          <w:rFonts w:ascii="Times New Roman" w:hAnsi="Times New Roman"/>
          <w:sz w:val="24"/>
          <w:szCs w:val="24"/>
        </w:rPr>
        <w:t xml:space="preserve"> (</w:t>
      </w:r>
      <w:r w:rsidR="002E0963">
        <w:rPr>
          <w:rFonts w:ascii="Times New Roman" w:hAnsi="Times New Roman"/>
          <w:sz w:val="24"/>
          <w:szCs w:val="24"/>
        </w:rPr>
        <w:t>$79.22 x 12.5)</w:t>
      </w:r>
      <w:r w:rsidRPr="00CB77FD">
        <w:rPr>
          <w:rFonts w:ascii="Times New Roman" w:hAnsi="Times New Roman"/>
          <w:sz w:val="24"/>
          <w:szCs w:val="24"/>
        </w:rPr>
        <w:t xml:space="preserve"> in labor costs.</w:t>
      </w:r>
    </w:p>
    <w:p w:rsidR="00A9460A" w:rsidRPr="00CB77FD" w:rsidP="00C44B68" w14:paraId="09D33993" w14:textId="5F38FBB5">
      <w:pPr>
        <w:spacing w:after="0" w:line="240" w:lineRule="auto"/>
        <w:rPr>
          <w:rFonts w:ascii="Times New Roman" w:hAnsi="Times New Roman"/>
          <w:sz w:val="24"/>
          <w:szCs w:val="24"/>
        </w:rPr>
      </w:pPr>
    </w:p>
    <w:p w:rsidR="00A9460A" w:rsidRPr="00CB77FD" w:rsidP="00C44B68" w14:paraId="281D2A18" w14:textId="38DEDD50">
      <w:pPr>
        <w:spacing w:after="0" w:line="240" w:lineRule="auto"/>
        <w:rPr>
          <w:rFonts w:ascii="Times New Roman" w:hAnsi="Times New Roman"/>
          <w:i/>
          <w:sz w:val="24"/>
          <w:szCs w:val="24"/>
        </w:rPr>
      </w:pPr>
      <w:r w:rsidRPr="00CB77FD">
        <w:rPr>
          <w:rFonts w:ascii="Times New Roman" w:hAnsi="Times New Roman"/>
          <w:i/>
          <w:sz w:val="24"/>
          <w:szCs w:val="24"/>
        </w:rPr>
        <w:t xml:space="preserve">Radiopharmaceutical </w:t>
      </w:r>
      <w:r w:rsidR="007C157C">
        <w:rPr>
          <w:rFonts w:ascii="Times New Roman" w:hAnsi="Times New Roman"/>
          <w:i/>
          <w:sz w:val="24"/>
          <w:szCs w:val="24"/>
        </w:rPr>
        <w:t xml:space="preserve">Compounding and Repackaging by </w:t>
      </w:r>
      <w:r w:rsidRPr="00CB77FD">
        <w:rPr>
          <w:rFonts w:ascii="Times New Roman" w:hAnsi="Times New Roman"/>
          <w:i/>
          <w:sz w:val="24"/>
          <w:szCs w:val="24"/>
        </w:rPr>
        <w:t>Outsourcing Guidance</w:t>
      </w:r>
    </w:p>
    <w:p w:rsidR="003E631D" w:rsidRPr="00CB77FD" w:rsidP="00C44B68" w14:paraId="29EF4CD7" w14:textId="77777777">
      <w:pPr>
        <w:spacing w:after="0" w:line="240" w:lineRule="auto"/>
        <w:rPr>
          <w:rFonts w:ascii="Times New Roman" w:hAnsi="Times New Roman"/>
          <w:sz w:val="24"/>
          <w:szCs w:val="24"/>
        </w:rPr>
      </w:pPr>
    </w:p>
    <w:p w:rsidR="00A9460A" w:rsidRPr="00CB77FD" w:rsidP="00C44B68" w14:paraId="689D6B6C" w14:textId="7E85361E">
      <w:pPr>
        <w:spacing w:after="0" w:line="240" w:lineRule="auto"/>
        <w:rPr>
          <w:rFonts w:ascii="Times New Roman" w:hAnsi="Times New Roman"/>
          <w:sz w:val="24"/>
          <w:szCs w:val="24"/>
        </w:rPr>
      </w:pPr>
      <w:r w:rsidRPr="00CB77FD">
        <w:rPr>
          <w:rFonts w:ascii="Times New Roman" w:hAnsi="Times New Roman"/>
          <w:sz w:val="24"/>
          <w:szCs w:val="24"/>
        </w:rPr>
        <w:t xml:space="preserve">For the Radiopharmaceutical </w:t>
      </w:r>
      <w:r w:rsidR="007C157C">
        <w:rPr>
          <w:rFonts w:ascii="Times New Roman" w:hAnsi="Times New Roman"/>
          <w:sz w:val="24"/>
          <w:szCs w:val="24"/>
        </w:rPr>
        <w:t xml:space="preserve">Compounding and </w:t>
      </w:r>
      <w:r w:rsidRPr="00CB77FD">
        <w:rPr>
          <w:rFonts w:ascii="Times New Roman" w:hAnsi="Times New Roman"/>
          <w:sz w:val="24"/>
          <w:szCs w:val="24"/>
        </w:rPr>
        <w:t xml:space="preserve">Repackaging </w:t>
      </w:r>
      <w:r w:rsidR="007C157C">
        <w:rPr>
          <w:rFonts w:ascii="Times New Roman" w:hAnsi="Times New Roman"/>
          <w:sz w:val="24"/>
          <w:szCs w:val="24"/>
        </w:rPr>
        <w:t xml:space="preserve">Outsourcing </w:t>
      </w:r>
      <w:r w:rsidR="00983057">
        <w:rPr>
          <w:rFonts w:ascii="Times New Roman" w:hAnsi="Times New Roman"/>
          <w:sz w:val="24"/>
          <w:szCs w:val="24"/>
        </w:rPr>
        <w:t xml:space="preserve">Facilities </w:t>
      </w:r>
      <w:r w:rsidRPr="00CB77FD">
        <w:rPr>
          <w:rFonts w:ascii="Times New Roman" w:hAnsi="Times New Roman"/>
          <w:sz w:val="24"/>
          <w:szCs w:val="24"/>
        </w:rPr>
        <w:t xml:space="preserve">Guidance </w:t>
      </w:r>
      <w:r w:rsidRPr="00CB77FD" w:rsidR="00083F2B">
        <w:rPr>
          <w:rFonts w:ascii="Times New Roman" w:hAnsi="Times New Roman"/>
          <w:sz w:val="24"/>
          <w:szCs w:val="24"/>
        </w:rPr>
        <w:t>labeling</w:t>
      </w:r>
      <w:r w:rsidRPr="00CB77FD">
        <w:rPr>
          <w:rFonts w:ascii="Times New Roman" w:hAnsi="Times New Roman"/>
          <w:sz w:val="24"/>
          <w:szCs w:val="24"/>
        </w:rPr>
        <w:t xml:space="preserve"> recommendations, we estimate </w:t>
      </w:r>
      <w:r w:rsidRPr="00CB77FD" w:rsidR="00332BCC">
        <w:rPr>
          <w:rFonts w:ascii="Times New Roman" w:hAnsi="Times New Roman"/>
          <w:sz w:val="24"/>
          <w:szCs w:val="24"/>
        </w:rPr>
        <w:t>that designing the labels would be performed by a pharmacist and a graphic designer.</w:t>
      </w:r>
      <w:r w:rsidR="007C157C">
        <w:rPr>
          <w:rFonts w:ascii="Times New Roman" w:hAnsi="Times New Roman"/>
          <w:sz w:val="24"/>
          <w:szCs w:val="24"/>
        </w:rPr>
        <w:t xml:space="preserve"> </w:t>
      </w:r>
      <w:r w:rsidRPr="00CB77FD" w:rsidR="00332BCC">
        <w:rPr>
          <w:rFonts w:ascii="Times New Roman" w:hAnsi="Times New Roman"/>
          <w:sz w:val="24"/>
          <w:szCs w:val="24"/>
        </w:rPr>
        <w:t xml:space="preserve"> Labor hours are valued using the mean hourly wage of $</w:t>
      </w:r>
      <w:r w:rsidR="005C7A1F">
        <w:rPr>
          <w:rFonts w:ascii="Times New Roman" w:hAnsi="Times New Roman"/>
          <w:sz w:val="24"/>
          <w:szCs w:val="24"/>
        </w:rPr>
        <w:t>64</w:t>
      </w:r>
      <w:r w:rsidRPr="00CB77FD" w:rsidR="00332BCC">
        <w:rPr>
          <w:rFonts w:ascii="Times New Roman" w:hAnsi="Times New Roman"/>
          <w:sz w:val="24"/>
          <w:szCs w:val="24"/>
        </w:rPr>
        <w:t>.8</w:t>
      </w:r>
      <w:r w:rsidR="005C7A1F">
        <w:rPr>
          <w:rFonts w:ascii="Times New Roman" w:hAnsi="Times New Roman"/>
          <w:sz w:val="24"/>
          <w:szCs w:val="24"/>
        </w:rPr>
        <w:t>1</w:t>
      </w:r>
      <w:r w:rsidRPr="00CB77FD" w:rsidR="00332BCC">
        <w:rPr>
          <w:rFonts w:ascii="Times New Roman" w:hAnsi="Times New Roman"/>
          <w:sz w:val="24"/>
          <w:szCs w:val="24"/>
        </w:rPr>
        <w:t xml:space="preserve"> (pharmacist) and $</w:t>
      </w:r>
      <w:r w:rsidR="00555F22">
        <w:rPr>
          <w:rFonts w:ascii="Times New Roman" w:hAnsi="Times New Roman"/>
          <w:sz w:val="24"/>
          <w:szCs w:val="24"/>
        </w:rPr>
        <w:t>31</w:t>
      </w:r>
      <w:r w:rsidRPr="00CB77FD" w:rsidR="00332BCC">
        <w:rPr>
          <w:rFonts w:ascii="Times New Roman" w:hAnsi="Times New Roman"/>
          <w:sz w:val="24"/>
          <w:szCs w:val="24"/>
        </w:rPr>
        <w:t>.</w:t>
      </w:r>
      <w:r w:rsidR="00555F22">
        <w:rPr>
          <w:rFonts w:ascii="Times New Roman" w:hAnsi="Times New Roman"/>
          <w:sz w:val="24"/>
          <w:szCs w:val="24"/>
        </w:rPr>
        <w:t>1</w:t>
      </w:r>
      <w:r w:rsidRPr="00CB77FD" w:rsidR="00332BCC">
        <w:rPr>
          <w:rFonts w:ascii="Times New Roman" w:hAnsi="Times New Roman"/>
          <w:sz w:val="24"/>
          <w:szCs w:val="24"/>
        </w:rPr>
        <w:t>1 (graphic designer) as reported by the U.S. DOL BLS.</w:t>
      </w:r>
      <w:r w:rsidR="007C157C">
        <w:rPr>
          <w:rFonts w:ascii="Times New Roman" w:hAnsi="Times New Roman"/>
          <w:sz w:val="24"/>
          <w:szCs w:val="24"/>
        </w:rPr>
        <w:t xml:space="preserve"> </w:t>
      </w:r>
      <w:r w:rsidRPr="00CB77FD" w:rsidR="00332BCC">
        <w:rPr>
          <w:rFonts w:ascii="Times New Roman" w:hAnsi="Times New Roman"/>
          <w:sz w:val="24"/>
          <w:szCs w:val="24"/>
        </w:rPr>
        <w:t xml:space="preserve"> Wages are further adjusted for benefits and overhead, for an average hourly labor cost of </w:t>
      </w:r>
      <w:r w:rsidRPr="00CB77FD" w:rsidR="00555F22">
        <w:rPr>
          <w:rFonts w:ascii="Times New Roman" w:hAnsi="Times New Roman"/>
          <w:sz w:val="24"/>
          <w:szCs w:val="24"/>
        </w:rPr>
        <w:t>$</w:t>
      </w:r>
      <w:r w:rsidR="00555F22">
        <w:rPr>
          <w:rFonts w:ascii="Times New Roman" w:hAnsi="Times New Roman"/>
          <w:sz w:val="24"/>
          <w:szCs w:val="24"/>
        </w:rPr>
        <w:t>79</w:t>
      </w:r>
      <w:r w:rsidRPr="00CB77FD" w:rsidR="00555F22">
        <w:rPr>
          <w:rFonts w:ascii="Times New Roman" w:hAnsi="Times New Roman"/>
          <w:sz w:val="24"/>
          <w:szCs w:val="24"/>
        </w:rPr>
        <w:t>.</w:t>
      </w:r>
      <w:r w:rsidR="00555F22">
        <w:rPr>
          <w:rFonts w:ascii="Times New Roman" w:hAnsi="Times New Roman"/>
          <w:sz w:val="24"/>
          <w:szCs w:val="24"/>
        </w:rPr>
        <w:t>22</w:t>
      </w:r>
      <w:r w:rsidRPr="00CB77FD" w:rsidR="00555F22">
        <w:rPr>
          <w:rFonts w:ascii="Times New Roman" w:hAnsi="Times New Roman"/>
          <w:sz w:val="24"/>
          <w:szCs w:val="24"/>
        </w:rPr>
        <w:t xml:space="preserve"> ($</w:t>
      </w:r>
      <w:r w:rsidR="00555F22">
        <w:rPr>
          <w:rFonts w:ascii="Times New Roman" w:hAnsi="Times New Roman"/>
          <w:sz w:val="24"/>
          <w:szCs w:val="24"/>
        </w:rPr>
        <w:t>64</w:t>
      </w:r>
      <w:r w:rsidRPr="00CB77FD" w:rsidR="00555F22">
        <w:rPr>
          <w:rFonts w:ascii="Times New Roman" w:hAnsi="Times New Roman"/>
          <w:sz w:val="24"/>
          <w:szCs w:val="24"/>
        </w:rPr>
        <w:t>.8</w:t>
      </w:r>
      <w:r w:rsidR="00555F22">
        <w:rPr>
          <w:rFonts w:ascii="Times New Roman" w:hAnsi="Times New Roman"/>
          <w:sz w:val="24"/>
          <w:szCs w:val="24"/>
        </w:rPr>
        <w:t>1</w:t>
      </w:r>
      <w:r w:rsidRPr="00CB77FD" w:rsidR="00555F22">
        <w:rPr>
          <w:rFonts w:ascii="Times New Roman" w:hAnsi="Times New Roman"/>
          <w:sz w:val="24"/>
          <w:szCs w:val="24"/>
        </w:rPr>
        <w:t xml:space="preserve"> </w:t>
      </w:r>
      <w:r w:rsidR="00555F22">
        <w:rPr>
          <w:rFonts w:ascii="Times New Roman" w:hAnsi="Times New Roman"/>
          <w:sz w:val="24"/>
          <w:szCs w:val="24"/>
        </w:rPr>
        <w:t>+ $14.41</w:t>
      </w:r>
      <w:r w:rsidRPr="00CB77FD" w:rsidR="00555F22">
        <w:rPr>
          <w:rFonts w:ascii="Times New Roman" w:hAnsi="Times New Roman"/>
          <w:sz w:val="24"/>
          <w:szCs w:val="24"/>
        </w:rPr>
        <w:t>)</w:t>
      </w:r>
      <w:r w:rsidR="00555F22">
        <w:rPr>
          <w:rFonts w:ascii="Times New Roman" w:hAnsi="Times New Roman"/>
          <w:sz w:val="24"/>
          <w:szCs w:val="24"/>
        </w:rPr>
        <w:t xml:space="preserve"> </w:t>
      </w:r>
      <w:r w:rsidRPr="00CB77FD" w:rsidR="00332BCC">
        <w:rPr>
          <w:rFonts w:ascii="Times New Roman" w:hAnsi="Times New Roman"/>
          <w:sz w:val="24"/>
          <w:szCs w:val="24"/>
        </w:rPr>
        <w:t>and $4</w:t>
      </w:r>
      <w:r w:rsidR="00CC5706">
        <w:rPr>
          <w:rFonts w:ascii="Times New Roman" w:hAnsi="Times New Roman"/>
          <w:sz w:val="24"/>
          <w:szCs w:val="24"/>
        </w:rPr>
        <w:t>5</w:t>
      </w:r>
      <w:r w:rsidRPr="00CB77FD" w:rsidR="00332BCC">
        <w:rPr>
          <w:rFonts w:ascii="Times New Roman" w:hAnsi="Times New Roman"/>
          <w:sz w:val="24"/>
          <w:szCs w:val="24"/>
        </w:rPr>
        <w:t>.2</w:t>
      </w:r>
      <w:r w:rsidR="00CC5706">
        <w:rPr>
          <w:rFonts w:ascii="Times New Roman" w:hAnsi="Times New Roman"/>
          <w:sz w:val="24"/>
          <w:szCs w:val="24"/>
        </w:rPr>
        <w:t>5</w:t>
      </w:r>
      <w:r w:rsidRPr="00CB77FD" w:rsidR="00332BCC">
        <w:rPr>
          <w:rFonts w:ascii="Times New Roman" w:hAnsi="Times New Roman"/>
          <w:sz w:val="24"/>
          <w:szCs w:val="24"/>
        </w:rPr>
        <w:t xml:space="preserve"> ($</w:t>
      </w:r>
      <w:r w:rsidR="00EF1474">
        <w:rPr>
          <w:rFonts w:ascii="Times New Roman" w:hAnsi="Times New Roman"/>
          <w:sz w:val="24"/>
          <w:szCs w:val="24"/>
        </w:rPr>
        <w:t>31</w:t>
      </w:r>
      <w:r w:rsidRPr="00CB77FD" w:rsidR="00332BCC">
        <w:rPr>
          <w:rFonts w:ascii="Times New Roman" w:hAnsi="Times New Roman"/>
          <w:sz w:val="24"/>
          <w:szCs w:val="24"/>
        </w:rPr>
        <w:t>.</w:t>
      </w:r>
      <w:r w:rsidR="00EF1474">
        <w:rPr>
          <w:rFonts w:ascii="Times New Roman" w:hAnsi="Times New Roman"/>
          <w:sz w:val="24"/>
          <w:szCs w:val="24"/>
        </w:rPr>
        <w:t>1</w:t>
      </w:r>
      <w:r w:rsidRPr="00CB77FD" w:rsidR="00332BCC">
        <w:rPr>
          <w:rFonts w:ascii="Times New Roman" w:hAnsi="Times New Roman"/>
          <w:sz w:val="24"/>
          <w:szCs w:val="24"/>
        </w:rPr>
        <w:t xml:space="preserve">1 </w:t>
      </w:r>
      <w:r w:rsidR="00EF1474">
        <w:rPr>
          <w:rFonts w:ascii="Times New Roman" w:hAnsi="Times New Roman"/>
          <w:sz w:val="24"/>
          <w:szCs w:val="24"/>
        </w:rPr>
        <w:t>+ $14.14</w:t>
      </w:r>
      <w:r w:rsidRPr="00CB77FD" w:rsidR="00332BCC">
        <w:rPr>
          <w:rFonts w:ascii="Times New Roman" w:hAnsi="Times New Roman"/>
          <w:sz w:val="24"/>
          <w:szCs w:val="24"/>
        </w:rPr>
        <w:t xml:space="preserve">). </w:t>
      </w:r>
      <w:r w:rsidR="005D23C6">
        <w:rPr>
          <w:rFonts w:ascii="Times New Roman" w:hAnsi="Times New Roman"/>
          <w:sz w:val="24"/>
          <w:szCs w:val="24"/>
        </w:rPr>
        <w:t xml:space="preserve"> </w:t>
      </w:r>
      <w:r w:rsidRPr="00CB77FD" w:rsidR="00332BCC">
        <w:rPr>
          <w:rFonts w:ascii="Times New Roman" w:hAnsi="Times New Roman"/>
          <w:sz w:val="24"/>
          <w:szCs w:val="24"/>
        </w:rPr>
        <w:t xml:space="preserve">Using these wage rates multiplied by 5 </w:t>
      </w:r>
      <w:r w:rsidRPr="00CB77FD" w:rsidR="00083F2B">
        <w:rPr>
          <w:rFonts w:ascii="Times New Roman" w:hAnsi="Times New Roman"/>
          <w:sz w:val="24"/>
          <w:szCs w:val="24"/>
        </w:rPr>
        <w:t>hours for the</w:t>
      </w:r>
      <w:r w:rsidRPr="00CB77FD" w:rsidR="00F71EA0">
        <w:rPr>
          <w:rFonts w:ascii="Times New Roman" w:hAnsi="Times New Roman"/>
          <w:sz w:val="24"/>
          <w:szCs w:val="24"/>
        </w:rPr>
        <w:t xml:space="preserve"> annual</w:t>
      </w:r>
      <w:r w:rsidRPr="00CB77FD" w:rsidR="00083F2B">
        <w:rPr>
          <w:rFonts w:ascii="Times New Roman" w:hAnsi="Times New Roman"/>
          <w:sz w:val="24"/>
          <w:szCs w:val="24"/>
        </w:rPr>
        <w:t xml:space="preserve"> </w:t>
      </w:r>
      <w:r w:rsidRPr="00CB77FD" w:rsidR="00266D4D">
        <w:rPr>
          <w:rFonts w:ascii="Times New Roman" w:hAnsi="Times New Roman"/>
          <w:sz w:val="24"/>
          <w:szCs w:val="24"/>
        </w:rPr>
        <w:t xml:space="preserve">third-party disclosure </w:t>
      </w:r>
      <w:r w:rsidRPr="00CB77FD" w:rsidR="00083F2B">
        <w:rPr>
          <w:rFonts w:ascii="Times New Roman" w:hAnsi="Times New Roman"/>
          <w:sz w:val="24"/>
          <w:szCs w:val="24"/>
        </w:rPr>
        <w:t>burden</w:t>
      </w:r>
      <w:r w:rsidRPr="00CB77FD" w:rsidR="00332BCC">
        <w:rPr>
          <w:rFonts w:ascii="Times New Roman" w:hAnsi="Times New Roman"/>
          <w:sz w:val="24"/>
          <w:szCs w:val="24"/>
        </w:rPr>
        <w:t xml:space="preserve"> </w:t>
      </w:r>
      <w:r w:rsidRPr="00CB77FD" w:rsidR="00083F2B">
        <w:rPr>
          <w:rFonts w:ascii="Times New Roman" w:hAnsi="Times New Roman"/>
          <w:sz w:val="24"/>
          <w:szCs w:val="24"/>
        </w:rPr>
        <w:t xml:space="preserve">split equally between a graphic designer and a pharmacist </w:t>
      </w:r>
      <w:r w:rsidR="00E337E1">
        <w:rPr>
          <w:rFonts w:ascii="Times New Roman" w:hAnsi="Times New Roman"/>
          <w:sz w:val="24"/>
          <w:szCs w:val="24"/>
        </w:rPr>
        <w:t xml:space="preserve">($62.24) </w:t>
      </w:r>
      <w:r w:rsidRPr="00CB77FD" w:rsidR="00083F2B">
        <w:rPr>
          <w:rFonts w:ascii="Times New Roman" w:hAnsi="Times New Roman"/>
          <w:sz w:val="24"/>
          <w:szCs w:val="24"/>
        </w:rPr>
        <w:t>equals approximately $</w:t>
      </w:r>
      <w:r w:rsidR="000A11E4">
        <w:rPr>
          <w:rFonts w:ascii="Times New Roman" w:hAnsi="Times New Roman"/>
          <w:sz w:val="24"/>
          <w:szCs w:val="24"/>
        </w:rPr>
        <w:t>3</w:t>
      </w:r>
      <w:r w:rsidRPr="00CB77FD" w:rsidR="00083F2B">
        <w:rPr>
          <w:rFonts w:ascii="Times New Roman" w:hAnsi="Times New Roman"/>
          <w:sz w:val="24"/>
          <w:szCs w:val="24"/>
        </w:rPr>
        <w:t>1</w:t>
      </w:r>
      <w:r w:rsidR="000A11E4">
        <w:rPr>
          <w:rFonts w:ascii="Times New Roman" w:hAnsi="Times New Roman"/>
          <w:sz w:val="24"/>
          <w:szCs w:val="24"/>
        </w:rPr>
        <w:t>1</w:t>
      </w:r>
      <w:r w:rsidRPr="00CB77FD" w:rsidR="00083F2B">
        <w:rPr>
          <w:rFonts w:ascii="Times New Roman" w:hAnsi="Times New Roman"/>
          <w:sz w:val="24"/>
          <w:szCs w:val="24"/>
        </w:rPr>
        <w:t>.</w:t>
      </w:r>
      <w:r w:rsidR="003A1C2E">
        <w:rPr>
          <w:rFonts w:ascii="Times New Roman" w:hAnsi="Times New Roman"/>
          <w:sz w:val="24"/>
          <w:szCs w:val="24"/>
        </w:rPr>
        <w:t xml:space="preserve"> Using</w:t>
      </w:r>
      <w:r w:rsidR="00A67271">
        <w:rPr>
          <w:rFonts w:ascii="Times New Roman" w:hAnsi="Times New Roman"/>
          <w:sz w:val="24"/>
          <w:szCs w:val="24"/>
        </w:rPr>
        <w:t xml:space="preserve"> these wage rates multiplied by 12 </w:t>
      </w:r>
      <w:r w:rsidR="00EE3874">
        <w:rPr>
          <w:rFonts w:ascii="Times New Roman" w:hAnsi="Times New Roman"/>
          <w:sz w:val="24"/>
          <w:szCs w:val="24"/>
        </w:rPr>
        <w:t>h</w:t>
      </w:r>
      <w:r w:rsidR="00A67271">
        <w:rPr>
          <w:rFonts w:ascii="Times New Roman" w:hAnsi="Times New Roman"/>
          <w:sz w:val="24"/>
          <w:szCs w:val="24"/>
        </w:rPr>
        <w:t>ours for the biannual product reporting by the pharmacist equals approximately $</w:t>
      </w:r>
      <w:r w:rsidR="00281133">
        <w:rPr>
          <w:rFonts w:ascii="Times New Roman" w:hAnsi="Times New Roman"/>
          <w:sz w:val="24"/>
          <w:szCs w:val="24"/>
        </w:rPr>
        <w:t>951.</w:t>
      </w:r>
      <w:r w:rsidRPr="00CB77FD" w:rsidR="00083F2B">
        <w:rPr>
          <w:rFonts w:ascii="Times New Roman" w:hAnsi="Times New Roman"/>
          <w:sz w:val="24"/>
          <w:szCs w:val="24"/>
        </w:rPr>
        <w:t xml:space="preserve"> </w:t>
      </w:r>
      <w:r w:rsidR="000B16E6">
        <w:rPr>
          <w:rFonts w:ascii="Times New Roman" w:hAnsi="Times New Roman"/>
          <w:sz w:val="24"/>
          <w:szCs w:val="24"/>
        </w:rPr>
        <w:t xml:space="preserve">The total cost associated with this guidance is </w:t>
      </w:r>
      <w:r w:rsidR="00940944">
        <w:rPr>
          <w:rFonts w:ascii="Times New Roman" w:hAnsi="Times New Roman"/>
          <w:sz w:val="24"/>
          <w:szCs w:val="24"/>
        </w:rPr>
        <w:t>$1,262</w:t>
      </w:r>
      <w:r w:rsidR="000B16E6">
        <w:rPr>
          <w:rFonts w:ascii="Times New Roman" w:hAnsi="Times New Roman"/>
          <w:sz w:val="24"/>
          <w:szCs w:val="24"/>
        </w:rPr>
        <w:t xml:space="preserve"> ($311 +</w:t>
      </w:r>
      <w:r w:rsidR="002A337A">
        <w:rPr>
          <w:rFonts w:ascii="Times New Roman" w:hAnsi="Times New Roman"/>
          <w:sz w:val="24"/>
          <w:szCs w:val="24"/>
        </w:rPr>
        <w:t xml:space="preserve"> </w:t>
      </w:r>
      <w:r w:rsidR="000B16E6">
        <w:rPr>
          <w:rFonts w:ascii="Times New Roman" w:hAnsi="Times New Roman"/>
          <w:sz w:val="24"/>
          <w:szCs w:val="24"/>
        </w:rPr>
        <w:t>$951).</w:t>
      </w:r>
    </w:p>
    <w:p w:rsidR="00945721" w:rsidRPr="00CB77FD" w:rsidP="00C44B68" w14:paraId="03F83A0E" w14:textId="77777777">
      <w:pPr>
        <w:spacing w:after="0" w:line="240" w:lineRule="auto"/>
        <w:ind w:firstLine="720"/>
        <w:rPr>
          <w:rFonts w:ascii="Times New Roman" w:hAnsi="Times New Roman"/>
          <w:sz w:val="24"/>
          <w:szCs w:val="24"/>
        </w:rPr>
      </w:pPr>
    </w:p>
    <w:p w:rsidR="00266D4D" w:rsidRPr="00CB77FD" w:rsidP="00C44B68" w14:paraId="564C9A3D" w14:textId="5C638C60">
      <w:pPr>
        <w:spacing w:after="0" w:line="240" w:lineRule="auto"/>
        <w:rPr>
          <w:rFonts w:ascii="Times New Roman" w:eastAsia="Times New Roman" w:hAnsi="Times New Roman"/>
          <w:i/>
          <w:sz w:val="24"/>
          <w:szCs w:val="24"/>
        </w:rPr>
      </w:pPr>
      <w:r w:rsidRPr="00CB77FD">
        <w:rPr>
          <w:rFonts w:ascii="Times New Roman" w:eastAsia="Times New Roman" w:hAnsi="Times New Roman"/>
          <w:i/>
          <w:sz w:val="24"/>
          <w:szCs w:val="24"/>
        </w:rPr>
        <w:t>Repackaging Guidance</w:t>
      </w:r>
    </w:p>
    <w:p w:rsidR="003E631D" w:rsidRPr="00CB77FD" w:rsidP="00C44B68" w14:paraId="720D2885" w14:textId="77777777">
      <w:pPr>
        <w:spacing w:after="0" w:line="240" w:lineRule="auto"/>
        <w:rPr>
          <w:rFonts w:ascii="Times New Roman" w:hAnsi="Times New Roman"/>
          <w:i/>
          <w:sz w:val="24"/>
          <w:szCs w:val="24"/>
        </w:rPr>
      </w:pPr>
    </w:p>
    <w:p w:rsidR="00AA09A6" w:rsidRPr="00CB77FD" w:rsidP="00AA09A6" w14:paraId="6C5CADDC" w14:textId="32C40EED">
      <w:pPr>
        <w:spacing w:after="0" w:line="240" w:lineRule="auto"/>
        <w:rPr>
          <w:rFonts w:ascii="Times New Roman" w:hAnsi="Times New Roman"/>
          <w:sz w:val="24"/>
          <w:szCs w:val="24"/>
        </w:rPr>
      </w:pPr>
      <w:r w:rsidRPr="00CB77FD">
        <w:rPr>
          <w:rFonts w:ascii="Times New Roman" w:hAnsi="Times New Roman"/>
          <w:sz w:val="24"/>
          <w:szCs w:val="24"/>
        </w:rPr>
        <w:t xml:space="preserve">For the Repackaging Guidance product reporting and labeling recommendations, we estimate that designing the labels would be performed by a pharmacist and a graphic designer and the reporting would be performed by a pharmacist. </w:t>
      </w:r>
      <w:r w:rsidR="00BC5C2C">
        <w:rPr>
          <w:rFonts w:ascii="Times New Roman" w:hAnsi="Times New Roman"/>
          <w:sz w:val="24"/>
          <w:szCs w:val="24"/>
        </w:rPr>
        <w:t xml:space="preserve"> </w:t>
      </w:r>
      <w:r w:rsidRPr="00CB77FD">
        <w:rPr>
          <w:rFonts w:ascii="Times New Roman" w:hAnsi="Times New Roman"/>
          <w:sz w:val="24"/>
          <w:szCs w:val="24"/>
        </w:rPr>
        <w:t>Labor hours are valued using the mean hourly wage of $</w:t>
      </w:r>
      <w:r w:rsidR="00DC0976">
        <w:rPr>
          <w:rFonts w:ascii="Times New Roman" w:hAnsi="Times New Roman"/>
          <w:sz w:val="24"/>
          <w:szCs w:val="24"/>
        </w:rPr>
        <w:t>64</w:t>
      </w:r>
      <w:r w:rsidRPr="00CB77FD">
        <w:rPr>
          <w:rFonts w:ascii="Times New Roman" w:hAnsi="Times New Roman"/>
          <w:sz w:val="24"/>
          <w:szCs w:val="24"/>
        </w:rPr>
        <w:t>.8</w:t>
      </w:r>
      <w:r w:rsidR="00DC0976">
        <w:rPr>
          <w:rFonts w:ascii="Times New Roman" w:hAnsi="Times New Roman"/>
          <w:sz w:val="24"/>
          <w:szCs w:val="24"/>
        </w:rPr>
        <w:t>1</w:t>
      </w:r>
      <w:r w:rsidRPr="00CB77FD">
        <w:rPr>
          <w:rFonts w:ascii="Times New Roman" w:hAnsi="Times New Roman"/>
          <w:sz w:val="24"/>
          <w:szCs w:val="24"/>
        </w:rPr>
        <w:t xml:space="preserve"> (pharmacist) and $</w:t>
      </w:r>
      <w:r w:rsidR="00DC0976">
        <w:rPr>
          <w:rFonts w:ascii="Times New Roman" w:hAnsi="Times New Roman"/>
          <w:sz w:val="24"/>
          <w:szCs w:val="24"/>
        </w:rPr>
        <w:t>31</w:t>
      </w:r>
      <w:r w:rsidRPr="00CB77FD">
        <w:rPr>
          <w:rFonts w:ascii="Times New Roman" w:hAnsi="Times New Roman"/>
          <w:sz w:val="24"/>
          <w:szCs w:val="24"/>
        </w:rPr>
        <w:t>.</w:t>
      </w:r>
      <w:r w:rsidR="00F8130E">
        <w:rPr>
          <w:rFonts w:ascii="Times New Roman" w:hAnsi="Times New Roman"/>
          <w:sz w:val="24"/>
          <w:szCs w:val="24"/>
        </w:rPr>
        <w:t>1</w:t>
      </w:r>
      <w:r w:rsidR="00F1519A">
        <w:rPr>
          <w:rFonts w:ascii="Times New Roman" w:hAnsi="Times New Roman"/>
          <w:sz w:val="24"/>
          <w:szCs w:val="24"/>
        </w:rPr>
        <w:t>1</w:t>
      </w:r>
      <w:r w:rsidRPr="00CB77FD">
        <w:rPr>
          <w:rFonts w:ascii="Times New Roman" w:hAnsi="Times New Roman"/>
          <w:sz w:val="24"/>
          <w:szCs w:val="24"/>
        </w:rPr>
        <w:t xml:space="preserve"> (graphic designer) as reported by the U.S. DOL BLS. </w:t>
      </w:r>
      <w:r w:rsidR="00A65ADA">
        <w:rPr>
          <w:rFonts w:ascii="Times New Roman" w:hAnsi="Times New Roman"/>
          <w:sz w:val="24"/>
          <w:szCs w:val="24"/>
        </w:rPr>
        <w:t xml:space="preserve"> </w:t>
      </w:r>
      <w:r w:rsidRPr="00CB77FD">
        <w:rPr>
          <w:rFonts w:ascii="Times New Roman" w:hAnsi="Times New Roman"/>
          <w:sz w:val="24"/>
          <w:szCs w:val="24"/>
        </w:rPr>
        <w:t xml:space="preserve">Wages are further adjusted for benefits and overhead, for an average hourly labor cost of </w:t>
      </w:r>
      <w:r w:rsidR="00E00E04">
        <w:rPr>
          <w:rFonts w:ascii="Times New Roman" w:hAnsi="Times New Roman"/>
          <w:sz w:val="24"/>
          <w:szCs w:val="24"/>
        </w:rPr>
        <w:t xml:space="preserve">$79.22 ($64.81 + $14.41) and </w:t>
      </w:r>
      <w:r w:rsidR="00211B7C">
        <w:rPr>
          <w:rFonts w:ascii="Times New Roman" w:hAnsi="Times New Roman"/>
          <w:sz w:val="24"/>
          <w:szCs w:val="24"/>
        </w:rPr>
        <w:t xml:space="preserve">$45.25 ($31.11 + $14.14). </w:t>
      </w:r>
      <w:r w:rsidR="00662597">
        <w:rPr>
          <w:rFonts w:ascii="Times New Roman" w:hAnsi="Times New Roman"/>
          <w:sz w:val="24"/>
          <w:szCs w:val="24"/>
        </w:rPr>
        <w:t xml:space="preserve"> </w:t>
      </w:r>
      <w:r w:rsidRPr="00CB77FD" w:rsidR="00C73C3A">
        <w:rPr>
          <w:rFonts w:ascii="Times New Roman" w:hAnsi="Times New Roman"/>
          <w:sz w:val="24"/>
          <w:szCs w:val="24"/>
        </w:rPr>
        <w:t>Using these wage rates multiplied by</w:t>
      </w:r>
      <w:r w:rsidR="00C73C3A">
        <w:rPr>
          <w:rFonts w:ascii="Times New Roman" w:hAnsi="Times New Roman"/>
          <w:sz w:val="24"/>
          <w:szCs w:val="24"/>
        </w:rPr>
        <w:t xml:space="preserve"> 216</w:t>
      </w:r>
      <w:r w:rsidRPr="00CB77FD" w:rsidR="00C73C3A">
        <w:rPr>
          <w:rFonts w:ascii="Times New Roman" w:hAnsi="Times New Roman"/>
          <w:sz w:val="24"/>
          <w:szCs w:val="24"/>
        </w:rPr>
        <w:t xml:space="preserve"> hours</w:t>
      </w:r>
      <w:r w:rsidR="00C73C3A">
        <w:rPr>
          <w:rFonts w:ascii="Times New Roman" w:hAnsi="Times New Roman"/>
          <w:sz w:val="24"/>
          <w:szCs w:val="24"/>
        </w:rPr>
        <w:t xml:space="preserve"> split between a pharmacist (25%) and a graphic designer (75%)</w:t>
      </w:r>
      <w:r w:rsidR="0092758A">
        <w:rPr>
          <w:rFonts w:ascii="Times New Roman" w:hAnsi="Times New Roman"/>
          <w:sz w:val="24"/>
          <w:szCs w:val="24"/>
        </w:rPr>
        <w:t>,</w:t>
      </w:r>
      <w:r w:rsidR="00C73C3A">
        <w:rPr>
          <w:rFonts w:ascii="Times New Roman" w:hAnsi="Times New Roman"/>
          <w:sz w:val="24"/>
          <w:szCs w:val="24"/>
        </w:rPr>
        <w:t xml:space="preserve"> </w:t>
      </w:r>
      <w:r w:rsidRPr="00CB77FD" w:rsidR="00C73C3A">
        <w:rPr>
          <w:rFonts w:ascii="Times New Roman" w:hAnsi="Times New Roman"/>
          <w:sz w:val="24"/>
          <w:szCs w:val="24"/>
        </w:rPr>
        <w:t xml:space="preserve">calculated above for </w:t>
      </w:r>
      <w:r w:rsidR="003A2F42">
        <w:rPr>
          <w:rFonts w:ascii="Times New Roman" w:hAnsi="Times New Roman"/>
          <w:sz w:val="24"/>
          <w:szCs w:val="24"/>
        </w:rPr>
        <w:t xml:space="preserve">the </w:t>
      </w:r>
      <w:r w:rsidRPr="00CB77FD" w:rsidR="00C73C3A">
        <w:rPr>
          <w:rFonts w:ascii="Times New Roman" w:hAnsi="Times New Roman"/>
          <w:sz w:val="24"/>
          <w:szCs w:val="24"/>
        </w:rPr>
        <w:t>annual third-party disclosure burden</w:t>
      </w:r>
      <w:r w:rsidR="0092758A">
        <w:rPr>
          <w:rFonts w:ascii="Times New Roman" w:hAnsi="Times New Roman"/>
          <w:sz w:val="24"/>
          <w:szCs w:val="24"/>
        </w:rPr>
        <w:t>,</w:t>
      </w:r>
      <w:r w:rsidRPr="00CB77FD" w:rsidR="00C73C3A">
        <w:rPr>
          <w:rFonts w:ascii="Times New Roman" w:hAnsi="Times New Roman"/>
          <w:sz w:val="24"/>
          <w:szCs w:val="24"/>
        </w:rPr>
        <w:t xml:space="preserve"> equals approximately</w:t>
      </w:r>
      <w:r w:rsidR="0092758A">
        <w:rPr>
          <w:rFonts w:ascii="Times New Roman" w:hAnsi="Times New Roman"/>
          <w:sz w:val="24"/>
          <w:szCs w:val="24"/>
        </w:rPr>
        <w:t xml:space="preserve"> $7,331 </w:t>
      </w:r>
      <w:r w:rsidR="00133788">
        <w:rPr>
          <w:rFonts w:ascii="Times New Roman" w:hAnsi="Times New Roman"/>
          <w:sz w:val="24"/>
          <w:szCs w:val="24"/>
        </w:rPr>
        <w:t>($</w:t>
      </w:r>
      <w:r w:rsidR="009F693C">
        <w:rPr>
          <w:rFonts w:ascii="Times New Roman" w:hAnsi="Times New Roman"/>
          <w:sz w:val="24"/>
          <w:szCs w:val="24"/>
        </w:rPr>
        <w:t>45.25</w:t>
      </w:r>
      <w:r w:rsidR="00E00A89">
        <w:rPr>
          <w:rFonts w:ascii="Times New Roman" w:hAnsi="Times New Roman"/>
          <w:sz w:val="24"/>
          <w:szCs w:val="24"/>
        </w:rPr>
        <w:t xml:space="preserve"> x 162)</w:t>
      </w:r>
      <w:r w:rsidR="00625755">
        <w:rPr>
          <w:rFonts w:ascii="Times New Roman" w:hAnsi="Times New Roman"/>
          <w:sz w:val="24"/>
          <w:szCs w:val="24"/>
        </w:rPr>
        <w:t xml:space="preserve"> + </w:t>
      </w:r>
      <w:r w:rsidR="0092758A">
        <w:rPr>
          <w:rFonts w:ascii="Times New Roman" w:hAnsi="Times New Roman"/>
          <w:sz w:val="24"/>
          <w:szCs w:val="24"/>
        </w:rPr>
        <w:t xml:space="preserve">$4,278 </w:t>
      </w:r>
      <w:r w:rsidR="00625755">
        <w:rPr>
          <w:rFonts w:ascii="Times New Roman" w:hAnsi="Times New Roman"/>
          <w:sz w:val="24"/>
          <w:szCs w:val="24"/>
        </w:rPr>
        <w:t>($</w:t>
      </w:r>
      <w:r w:rsidR="009F693C">
        <w:rPr>
          <w:rFonts w:ascii="Times New Roman" w:hAnsi="Times New Roman"/>
          <w:sz w:val="24"/>
          <w:szCs w:val="24"/>
        </w:rPr>
        <w:t>79</w:t>
      </w:r>
      <w:r w:rsidR="00AF7D20">
        <w:rPr>
          <w:rFonts w:ascii="Times New Roman" w:hAnsi="Times New Roman"/>
          <w:sz w:val="24"/>
          <w:szCs w:val="24"/>
        </w:rPr>
        <w:t>.22</w:t>
      </w:r>
      <w:r w:rsidR="00625755">
        <w:rPr>
          <w:rFonts w:ascii="Times New Roman" w:hAnsi="Times New Roman"/>
          <w:sz w:val="24"/>
          <w:szCs w:val="24"/>
        </w:rPr>
        <w:t xml:space="preserve"> x </w:t>
      </w:r>
      <w:r w:rsidR="005036F9">
        <w:rPr>
          <w:rFonts w:ascii="Times New Roman" w:hAnsi="Times New Roman"/>
          <w:sz w:val="24"/>
          <w:szCs w:val="24"/>
        </w:rPr>
        <w:t>54)</w:t>
      </w:r>
      <w:r w:rsidR="0092758A">
        <w:rPr>
          <w:rFonts w:ascii="Times New Roman" w:hAnsi="Times New Roman"/>
          <w:sz w:val="24"/>
          <w:szCs w:val="24"/>
        </w:rPr>
        <w:t>)</w:t>
      </w:r>
      <w:r w:rsidR="005036F9">
        <w:rPr>
          <w:rFonts w:ascii="Times New Roman" w:hAnsi="Times New Roman"/>
          <w:sz w:val="24"/>
          <w:szCs w:val="24"/>
        </w:rPr>
        <w:t>.</w:t>
      </w:r>
      <w:r w:rsidR="00EA09D1">
        <w:rPr>
          <w:rFonts w:ascii="Times New Roman" w:hAnsi="Times New Roman"/>
          <w:sz w:val="24"/>
          <w:szCs w:val="24"/>
        </w:rPr>
        <w:t xml:space="preserve"> </w:t>
      </w:r>
      <w:r w:rsidR="00662597">
        <w:rPr>
          <w:rFonts w:ascii="Times New Roman" w:hAnsi="Times New Roman"/>
          <w:sz w:val="24"/>
          <w:szCs w:val="24"/>
        </w:rPr>
        <w:t xml:space="preserve"> </w:t>
      </w:r>
      <w:r>
        <w:rPr>
          <w:rFonts w:ascii="Times New Roman" w:hAnsi="Times New Roman"/>
          <w:sz w:val="24"/>
          <w:szCs w:val="24"/>
        </w:rPr>
        <w:t>Using these wage rates multiplied by 36 hours for the biannual product reporting</w:t>
      </w:r>
      <w:r w:rsidR="00203BCA">
        <w:rPr>
          <w:rFonts w:ascii="Times New Roman" w:hAnsi="Times New Roman"/>
          <w:sz w:val="24"/>
          <w:szCs w:val="24"/>
        </w:rPr>
        <w:t xml:space="preserve"> by the pharmacist equals approximately $2,852</w:t>
      </w:r>
      <w:r w:rsidR="00DB14E7">
        <w:rPr>
          <w:rFonts w:ascii="Times New Roman" w:hAnsi="Times New Roman"/>
          <w:sz w:val="24"/>
          <w:szCs w:val="24"/>
        </w:rPr>
        <w:t xml:space="preserve"> ($79.22 x 36)</w:t>
      </w:r>
      <w:r w:rsidR="00203BCA">
        <w:rPr>
          <w:rFonts w:ascii="Times New Roman" w:hAnsi="Times New Roman"/>
          <w:sz w:val="24"/>
          <w:szCs w:val="24"/>
        </w:rPr>
        <w:t>.</w:t>
      </w:r>
      <w:r w:rsidRPr="00DB18DD">
        <w:rPr>
          <w:rFonts w:ascii="Times New Roman" w:hAnsi="Times New Roman"/>
          <w:sz w:val="24"/>
          <w:szCs w:val="24"/>
        </w:rPr>
        <w:t xml:space="preserve"> </w:t>
      </w:r>
      <w:r w:rsidR="001934FD">
        <w:rPr>
          <w:rFonts w:ascii="Times New Roman" w:hAnsi="Times New Roman"/>
          <w:sz w:val="24"/>
          <w:szCs w:val="24"/>
        </w:rPr>
        <w:t>The total cost associated with this guidance is</w:t>
      </w:r>
      <w:r w:rsidR="00322FBB">
        <w:rPr>
          <w:rFonts w:ascii="Times New Roman" w:hAnsi="Times New Roman"/>
          <w:sz w:val="24"/>
          <w:szCs w:val="24"/>
        </w:rPr>
        <w:t xml:space="preserve"> $1</w:t>
      </w:r>
      <w:r w:rsidR="00DB5FB6">
        <w:rPr>
          <w:rFonts w:ascii="Times New Roman" w:hAnsi="Times New Roman"/>
          <w:sz w:val="24"/>
          <w:szCs w:val="24"/>
        </w:rPr>
        <w:t>4</w:t>
      </w:r>
      <w:r w:rsidR="00322FBB">
        <w:rPr>
          <w:rFonts w:ascii="Times New Roman" w:hAnsi="Times New Roman"/>
          <w:sz w:val="24"/>
          <w:szCs w:val="24"/>
        </w:rPr>
        <w:t>,</w:t>
      </w:r>
      <w:r w:rsidR="00DB5FB6">
        <w:rPr>
          <w:rFonts w:ascii="Times New Roman" w:hAnsi="Times New Roman"/>
          <w:sz w:val="24"/>
          <w:szCs w:val="24"/>
        </w:rPr>
        <w:t>461</w:t>
      </w:r>
      <w:r w:rsidR="00322FBB">
        <w:rPr>
          <w:rFonts w:ascii="Times New Roman" w:hAnsi="Times New Roman"/>
          <w:sz w:val="24"/>
          <w:szCs w:val="24"/>
        </w:rPr>
        <w:t xml:space="preserve"> ($1</w:t>
      </w:r>
      <w:r w:rsidR="00593A77">
        <w:rPr>
          <w:rFonts w:ascii="Times New Roman" w:hAnsi="Times New Roman"/>
          <w:sz w:val="24"/>
          <w:szCs w:val="24"/>
        </w:rPr>
        <w:t>1</w:t>
      </w:r>
      <w:r w:rsidR="00322FBB">
        <w:rPr>
          <w:rFonts w:ascii="Times New Roman" w:hAnsi="Times New Roman"/>
          <w:sz w:val="24"/>
          <w:szCs w:val="24"/>
        </w:rPr>
        <w:t>,</w:t>
      </w:r>
      <w:r w:rsidR="00284296">
        <w:rPr>
          <w:rFonts w:ascii="Times New Roman" w:hAnsi="Times New Roman"/>
          <w:sz w:val="24"/>
          <w:szCs w:val="24"/>
        </w:rPr>
        <w:t>609</w:t>
      </w:r>
      <w:r w:rsidR="00322FBB">
        <w:rPr>
          <w:rFonts w:ascii="Times New Roman" w:hAnsi="Times New Roman"/>
          <w:sz w:val="24"/>
          <w:szCs w:val="24"/>
        </w:rPr>
        <w:t xml:space="preserve"> + $2,852). </w:t>
      </w:r>
    </w:p>
    <w:p w:rsidR="00CC38D2" w:rsidP="00C44B68" w14:paraId="60C420A2" w14:textId="77777777">
      <w:pPr>
        <w:spacing w:after="0" w:line="240" w:lineRule="auto"/>
        <w:rPr>
          <w:rFonts w:ascii="Times New Roman" w:hAnsi="Times New Roman"/>
          <w:sz w:val="24"/>
          <w:szCs w:val="24"/>
        </w:rPr>
      </w:pPr>
    </w:p>
    <w:p w:rsidR="006A3858" w:rsidRPr="00CB77FD" w:rsidP="00C44B68" w14:paraId="00BE45C3" w14:textId="3ADE8DD4">
      <w:pPr>
        <w:spacing w:after="0" w:line="240" w:lineRule="auto"/>
        <w:rPr>
          <w:rFonts w:ascii="Times New Roman" w:eastAsia="Times New Roman" w:hAnsi="Times New Roman"/>
          <w:i/>
          <w:sz w:val="24"/>
          <w:szCs w:val="24"/>
        </w:rPr>
      </w:pPr>
      <w:r w:rsidRPr="00CB77FD">
        <w:rPr>
          <w:rFonts w:ascii="Times New Roman" w:eastAsia="Times New Roman" w:hAnsi="Times New Roman"/>
          <w:i/>
          <w:sz w:val="24"/>
          <w:szCs w:val="24"/>
        </w:rPr>
        <w:t>Biologic</w:t>
      </w:r>
      <w:r w:rsidR="00E94D75">
        <w:rPr>
          <w:rFonts w:ascii="Times New Roman" w:eastAsia="Times New Roman" w:hAnsi="Times New Roman"/>
          <w:i/>
          <w:sz w:val="24"/>
          <w:szCs w:val="24"/>
        </w:rPr>
        <w:t>al Products</w:t>
      </w:r>
      <w:r w:rsidRPr="00CB77FD">
        <w:rPr>
          <w:rFonts w:ascii="Times New Roman" w:eastAsia="Times New Roman" w:hAnsi="Times New Roman"/>
          <w:i/>
          <w:sz w:val="24"/>
          <w:szCs w:val="24"/>
        </w:rPr>
        <w:t xml:space="preserve"> Guidance</w:t>
      </w:r>
    </w:p>
    <w:p w:rsidR="004A0721" w:rsidRPr="00CB77FD" w:rsidP="00C44B68" w14:paraId="41C320AA" w14:textId="77777777">
      <w:pPr>
        <w:spacing w:after="0" w:line="240" w:lineRule="auto"/>
        <w:rPr>
          <w:rFonts w:ascii="Times New Roman" w:hAnsi="Times New Roman"/>
          <w:i/>
          <w:sz w:val="24"/>
          <w:szCs w:val="24"/>
        </w:rPr>
      </w:pPr>
    </w:p>
    <w:p w:rsidR="00F77638" w:rsidP="00C44B68" w14:paraId="2686B94E" w14:textId="60F2E172">
      <w:pPr>
        <w:spacing w:after="0" w:line="240" w:lineRule="auto"/>
        <w:rPr>
          <w:rFonts w:ascii="Times New Roman" w:hAnsi="Times New Roman"/>
          <w:sz w:val="24"/>
          <w:szCs w:val="24"/>
        </w:rPr>
      </w:pPr>
      <w:r w:rsidRPr="00CB77FD">
        <w:rPr>
          <w:rFonts w:ascii="Times New Roman" w:hAnsi="Times New Roman"/>
          <w:sz w:val="24"/>
          <w:szCs w:val="24"/>
        </w:rPr>
        <w:t>For the Biologic</w:t>
      </w:r>
      <w:r w:rsidR="00D85044">
        <w:rPr>
          <w:rFonts w:ascii="Times New Roman" w:hAnsi="Times New Roman"/>
          <w:sz w:val="24"/>
          <w:szCs w:val="24"/>
        </w:rPr>
        <w:t>al Product</w:t>
      </w:r>
      <w:r w:rsidRPr="00CB77FD">
        <w:rPr>
          <w:rFonts w:ascii="Times New Roman" w:hAnsi="Times New Roman"/>
          <w:sz w:val="24"/>
          <w:szCs w:val="24"/>
        </w:rPr>
        <w:t>s Guidance product reporting and labeling recommendations, we estimate that designing the labels would be performed by a pharmacist and a graphic designer</w:t>
      </w:r>
      <w:r w:rsidRPr="00CB77FD" w:rsidR="00FA5256">
        <w:rPr>
          <w:rFonts w:ascii="Times New Roman" w:hAnsi="Times New Roman"/>
          <w:sz w:val="24"/>
          <w:szCs w:val="24"/>
        </w:rPr>
        <w:t>, and reporting would be performed by a pharmacist</w:t>
      </w:r>
      <w:r w:rsidRPr="00CB77FD">
        <w:rPr>
          <w:rFonts w:ascii="Times New Roman" w:hAnsi="Times New Roman"/>
          <w:sz w:val="24"/>
          <w:szCs w:val="24"/>
        </w:rPr>
        <w:t>.</w:t>
      </w:r>
      <w:r w:rsidR="00D85044">
        <w:rPr>
          <w:rFonts w:ascii="Times New Roman" w:hAnsi="Times New Roman"/>
          <w:sz w:val="24"/>
          <w:szCs w:val="24"/>
        </w:rPr>
        <w:t xml:space="preserve"> </w:t>
      </w:r>
      <w:r w:rsidRPr="00CB77FD">
        <w:rPr>
          <w:rFonts w:ascii="Times New Roman" w:hAnsi="Times New Roman"/>
          <w:sz w:val="24"/>
          <w:szCs w:val="24"/>
        </w:rPr>
        <w:t xml:space="preserve"> Labor hours are valued using the mean hourly wage of $</w:t>
      </w:r>
      <w:r w:rsidR="00377537">
        <w:rPr>
          <w:rFonts w:ascii="Times New Roman" w:hAnsi="Times New Roman"/>
          <w:sz w:val="24"/>
          <w:szCs w:val="24"/>
        </w:rPr>
        <w:t>64</w:t>
      </w:r>
      <w:r w:rsidRPr="00CB77FD">
        <w:rPr>
          <w:rFonts w:ascii="Times New Roman" w:hAnsi="Times New Roman"/>
          <w:sz w:val="24"/>
          <w:szCs w:val="24"/>
        </w:rPr>
        <w:t>.8</w:t>
      </w:r>
      <w:r w:rsidR="00377537">
        <w:rPr>
          <w:rFonts w:ascii="Times New Roman" w:hAnsi="Times New Roman"/>
          <w:sz w:val="24"/>
          <w:szCs w:val="24"/>
        </w:rPr>
        <w:t>1</w:t>
      </w:r>
      <w:r w:rsidRPr="00CB77FD">
        <w:rPr>
          <w:rFonts w:ascii="Times New Roman" w:hAnsi="Times New Roman"/>
          <w:sz w:val="24"/>
          <w:szCs w:val="24"/>
        </w:rPr>
        <w:t xml:space="preserve"> (pharmacist) and $</w:t>
      </w:r>
      <w:r w:rsidR="00377537">
        <w:rPr>
          <w:rFonts w:ascii="Times New Roman" w:hAnsi="Times New Roman"/>
          <w:sz w:val="24"/>
          <w:szCs w:val="24"/>
        </w:rPr>
        <w:t>31</w:t>
      </w:r>
      <w:r w:rsidRPr="00CB77FD">
        <w:rPr>
          <w:rFonts w:ascii="Times New Roman" w:hAnsi="Times New Roman"/>
          <w:sz w:val="24"/>
          <w:szCs w:val="24"/>
        </w:rPr>
        <w:t>.</w:t>
      </w:r>
      <w:r w:rsidR="00377537">
        <w:rPr>
          <w:rFonts w:ascii="Times New Roman" w:hAnsi="Times New Roman"/>
          <w:sz w:val="24"/>
          <w:szCs w:val="24"/>
        </w:rPr>
        <w:t>1</w:t>
      </w:r>
      <w:r w:rsidRPr="00CB77FD">
        <w:rPr>
          <w:rFonts w:ascii="Times New Roman" w:hAnsi="Times New Roman"/>
          <w:sz w:val="24"/>
          <w:szCs w:val="24"/>
        </w:rPr>
        <w:t xml:space="preserve">1 (graphic designer) as reported by the U.S. </w:t>
      </w:r>
      <w:r w:rsidRPr="00CB77FD">
        <w:rPr>
          <w:rFonts w:ascii="Times New Roman" w:hAnsi="Times New Roman"/>
          <w:sz w:val="24"/>
          <w:szCs w:val="24"/>
        </w:rPr>
        <w:t>DOL BLS.</w:t>
      </w:r>
      <w:r w:rsidR="005A4623">
        <w:rPr>
          <w:rFonts w:ascii="Times New Roman" w:hAnsi="Times New Roman"/>
          <w:sz w:val="24"/>
          <w:szCs w:val="24"/>
        </w:rPr>
        <w:t xml:space="preserve"> </w:t>
      </w:r>
      <w:r w:rsidRPr="00CB77FD">
        <w:rPr>
          <w:rFonts w:ascii="Times New Roman" w:hAnsi="Times New Roman"/>
          <w:sz w:val="24"/>
          <w:szCs w:val="24"/>
        </w:rPr>
        <w:t xml:space="preserve"> Wages are further adjusted for benefits and overhead, for an average hourly labor cost of </w:t>
      </w:r>
      <w:r w:rsidR="00377537">
        <w:rPr>
          <w:rFonts w:ascii="Times New Roman" w:hAnsi="Times New Roman"/>
          <w:sz w:val="24"/>
          <w:szCs w:val="24"/>
        </w:rPr>
        <w:t xml:space="preserve">$79.22 ($64.81 + $14.41) and $45.25 ($31.11 + $14.14). </w:t>
      </w:r>
      <w:r w:rsidR="00202D72">
        <w:rPr>
          <w:rFonts w:ascii="Times New Roman" w:hAnsi="Times New Roman"/>
          <w:sz w:val="24"/>
          <w:szCs w:val="24"/>
        </w:rPr>
        <w:t xml:space="preserve"> </w:t>
      </w:r>
      <w:r w:rsidRPr="00CB77FD" w:rsidR="009977F3">
        <w:rPr>
          <w:rFonts w:ascii="Times New Roman" w:hAnsi="Times New Roman"/>
          <w:sz w:val="24"/>
          <w:szCs w:val="24"/>
        </w:rPr>
        <w:t>Using these wage rates multiplied by</w:t>
      </w:r>
      <w:r w:rsidR="009977F3">
        <w:rPr>
          <w:rFonts w:ascii="Times New Roman" w:hAnsi="Times New Roman"/>
          <w:sz w:val="24"/>
          <w:szCs w:val="24"/>
        </w:rPr>
        <w:t xml:space="preserve"> </w:t>
      </w:r>
      <w:r w:rsidR="004C712E">
        <w:rPr>
          <w:rFonts w:ascii="Times New Roman" w:hAnsi="Times New Roman"/>
          <w:sz w:val="24"/>
          <w:szCs w:val="24"/>
        </w:rPr>
        <w:t xml:space="preserve">788 </w:t>
      </w:r>
      <w:r w:rsidRPr="00CB77FD" w:rsidR="009977F3">
        <w:rPr>
          <w:rFonts w:ascii="Times New Roman" w:hAnsi="Times New Roman"/>
          <w:sz w:val="24"/>
          <w:szCs w:val="24"/>
        </w:rPr>
        <w:t>hours</w:t>
      </w:r>
      <w:r w:rsidR="009977F3">
        <w:rPr>
          <w:rFonts w:ascii="Times New Roman" w:hAnsi="Times New Roman"/>
          <w:sz w:val="24"/>
          <w:szCs w:val="24"/>
        </w:rPr>
        <w:t xml:space="preserve"> split between a pharmacist (25%) and a graphic designer (75%) </w:t>
      </w:r>
      <w:r w:rsidRPr="00CB77FD" w:rsidR="009977F3">
        <w:rPr>
          <w:rFonts w:ascii="Times New Roman" w:hAnsi="Times New Roman"/>
          <w:sz w:val="24"/>
          <w:szCs w:val="24"/>
        </w:rPr>
        <w:t xml:space="preserve">calculated above for </w:t>
      </w:r>
      <w:r w:rsidR="009977F3">
        <w:rPr>
          <w:rFonts w:ascii="Times New Roman" w:hAnsi="Times New Roman"/>
          <w:sz w:val="24"/>
          <w:szCs w:val="24"/>
        </w:rPr>
        <w:t xml:space="preserve">the </w:t>
      </w:r>
      <w:r w:rsidRPr="00CB77FD" w:rsidR="009977F3">
        <w:rPr>
          <w:rFonts w:ascii="Times New Roman" w:hAnsi="Times New Roman"/>
          <w:sz w:val="24"/>
          <w:szCs w:val="24"/>
        </w:rPr>
        <w:t>annual third-party disclosure burden equals approximately</w:t>
      </w:r>
      <w:r w:rsidR="005F1DB6">
        <w:rPr>
          <w:rFonts w:ascii="Times New Roman" w:hAnsi="Times New Roman"/>
          <w:sz w:val="24"/>
          <w:szCs w:val="24"/>
        </w:rPr>
        <w:t xml:space="preserve"> $</w:t>
      </w:r>
      <w:r w:rsidR="009C5AE7">
        <w:rPr>
          <w:rFonts w:ascii="Times New Roman" w:hAnsi="Times New Roman"/>
          <w:sz w:val="24"/>
          <w:szCs w:val="24"/>
        </w:rPr>
        <w:t>42</w:t>
      </w:r>
      <w:r w:rsidR="004F7EF0">
        <w:rPr>
          <w:rFonts w:ascii="Times New Roman" w:hAnsi="Times New Roman"/>
          <w:sz w:val="24"/>
          <w:szCs w:val="24"/>
        </w:rPr>
        <w:t>,</w:t>
      </w:r>
      <w:r w:rsidR="009C5AE7">
        <w:rPr>
          <w:rFonts w:ascii="Times New Roman" w:hAnsi="Times New Roman"/>
          <w:sz w:val="24"/>
          <w:szCs w:val="24"/>
        </w:rPr>
        <w:t>439</w:t>
      </w:r>
      <w:r w:rsidR="00C57209">
        <w:rPr>
          <w:rFonts w:ascii="Times New Roman" w:hAnsi="Times New Roman"/>
          <w:sz w:val="24"/>
          <w:szCs w:val="24"/>
        </w:rPr>
        <w:t xml:space="preserve"> </w:t>
      </w:r>
      <w:r w:rsidR="004F7EF0">
        <w:rPr>
          <w:rFonts w:ascii="Times New Roman" w:hAnsi="Times New Roman"/>
          <w:sz w:val="24"/>
          <w:szCs w:val="24"/>
        </w:rPr>
        <w:t>[</w:t>
      </w:r>
      <w:r w:rsidR="00C57209">
        <w:rPr>
          <w:rFonts w:ascii="Times New Roman" w:hAnsi="Times New Roman"/>
          <w:sz w:val="24"/>
          <w:szCs w:val="24"/>
        </w:rPr>
        <w:t>$</w:t>
      </w:r>
      <w:r w:rsidR="001B531D">
        <w:rPr>
          <w:rFonts w:ascii="Times New Roman" w:hAnsi="Times New Roman"/>
          <w:sz w:val="24"/>
          <w:szCs w:val="24"/>
        </w:rPr>
        <w:t>15</w:t>
      </w:r>
      <w:r w:rsidR="00D566E6">
        <w:rPr>
          <w:rFonts w:ascii="Times New Roman" w:hAnsi="Times New Roman"/>
          <w:sz w:val="24"/>
          <w:szCs w:val="24"/>
        </w:rPr>
        <w:t>,</w:t>
      </w:r>
      <w:r w:rsidR="001B531D">
        <w:rPr>
          <w:rFonts w:ascii="Times New Roman" w:hAnsi="Times New Roman"/>
          <w:sz w:val="24"/>
          <w:szCs w:val="24"/>
        </w:rPr>
        <w:t>606</w:t>
      </w:r>
      <w:r w:rsidR="00DB2204">
        <w:rPr>
          <w:rFonts w:ascii="Times New Roman" w:hAnsi="Times New Roman"/>
          <w:sz w:val="24"/>
          <w:szCs w:val="24"/>
        </w:rPr>
        <w:t xml:space="preserve"> ($79.22 x</w:t>
      </w:r>
      <w:r w:rsidR="00C147F7">
        <w:rPr>
          <w:rFonts w:ascii="Times New Roman" w:hAnsi="Times New Roman"/>
          <w:sz w:val="24"/>
          <w:szCs w:val="24"/>
        </w:rPr>
        <w:t xml:space="preserve"> 19</w:t>
      </w:r>
      <w:r w:rsidR="00175D8A">
        <w:rPr>
          <w:rFonts w:ascii="Times New Roman" w:hAnsi="Times New Roman"/>
          <w:sz w:val="24"/>
          <w:szCs w:val="24"/>
        </w:rPr>
        <w:t>7</w:t>
      </w:r>
      <w:r w:rsidR="00C147F7">
        <w:rPr>
          <w:rFonts w:ascii="Times New Roman" w:hAnsi="Times New Roman"/>
          <w:sz w:val="24"/>
          <w:szCs w:val="24"/>
        </w:rPr>
        <w:t xml:space="preserve">) + </w:t>
      </w:r>
      <w:r w:rsidR="005F3496">
        <w:rPr>
          <w:rFonts w:ascii="Times New Roman" w:hAnsi="Times New Roman"/>
          <w:sz w:val="24"/>
          <w:szCs w:val="24"/>
        </w:rPr>
        <w:t>$2</w:t>
      </w:r>
      <w:r w:rsidR="00446498">
        <w:rPr>
          <w:rFonts w:ascii="Times New Roman" w:hAnsi="Times New Roman"/>
          <w:sz w:val="24"/>
          <w:szCs w:val="24"/>
        </w:rPr>
        <w:t>6</w:t>
      </w:r>
      <w:r w:rsidR="005F3496">
        <w:rPr>
          <w:rFonts w:ascii="Times New Roman" w:hAnsi="Times New Roman"/>
          <w:sz w:val="24"/>
          <w:szCs w:val="24"/>
        </w:rPr>
        <w:t>,</w:t>
      </w:r>
      <w:r w:rsidR="003C7D4F">
        <w:rPr>
          <w:rFonts w:ascii="Times New Roman" w:hAnsi="Times New Roman"/>
          <w:sz w:val="24"/>
          <w:szCs w:val="24"/>
        </w:rPr>
        <w:t>743</w:t>
      </w:r>
      <w:r w:rsidR="005F3496">
        <w:rPr>
          <w:rFonts w:ascii="Times New Roman" w:hAnsi="Times New Roman"/>
          <w:sz w:val="24"/>
          <w:szCs w:val="24"/>
        </w:rPr>
        <w:t xml:space="preserve"> </w:t>
      </w:r>
      <w:r w:rsidR="00C147F7">
        <w:rPr>
          <w:rFonts w:ascii="Times New Roman" w:hAnsi="Times New Roman"/>
          <w:sz w:val="24"/>
          <w:szCs w:val="24"/>
        </w:rPr>
        <w:t>(</w:t>
      </w:r>
      <w:r w:rsidR="00AD2B8C">
        <w:rPr>
          <w:rFonts w:ascii="Times New Roman" w:hAnsi="Times New Roman"/>
          <w:sz w:val="24"/>
          <w:szCs w:val="24"/>
        </w:rPr>
        <w:t>$</w:t>
      </w:r>
      <w:r w:rsidR="00751936">
        <w:rPr>
          <w:rFonts w:ascii="Times New Roman" w:hAnsi="Times New Roman"/>
          <w:sz w:val="24"/>
          <w:szCs w:val="24"/>
        </w:rPr>
        <w:t xml:space="preserve">45.25 x </w:t>
      </w:r>
      <w:r w:rsidR="00AD2B8C">
        <w:rPr>
          <w:rFonts w:ascii="Times New Roman" w:hAnsi="Times New Roman"/>
          <w:sz w:val="24"/>
          <w:szCs w:val="24"/>
        </w:rPr>
        <w:t>5</w:t>
      </w:r>
      <w:r w:rsidR="00175D8A">
        <w:rPr>
          <w:rFonts w:ascii="Times New Roman" w:hAnsi="Times New Roman"/>
          <w:sz w:val="24"/>
          <w:szCs w:val="24"/>
        </w:rPr>
        <w:t>91</w:t>
      </w:r>
      <w:r w:rsidR="00751936">
        <w:rPr>
          <w:rFonts w:ascii="Times New Roman" w:hAnsi="Times New Roman"/>
          <w:sz w:val="24"/>
          <w:szCs w:val="24"/>
        </w:rPr>
        <w:t>)</w:t>
      </w:r>
      <w:r w:rsidR="004F7EF0">
        <w:rPr>
          <w:rFonts w:ascii="Times New Roman" w:hAnsi="Times New Roman"/>
          <w:sz w:val="24"/>
          <w:szCs w:val="24"/>
        </w:rPr>
        <w:t>]</w:t>
      </w:r>
      <w:r w:rsidR="00D566E6">
        <w:rPr>
          <w:rFonts w:ascii="Times New Roman" w:hAnsi="Times New Roman"/>
          <w:sz w:val="24"/>
          <w:szCs w:val="24"/>
        </w:rPr>
        <w:t>.</w:t>
      </w:r>
      <w:r w:rsidR="00202D72">
        <w:rPr>
          <w:rFonts w:ascii="Times New Roman" w:hAnsi="Times New Roman"/>
          <w:sz w:val="24"/>
          <w:szCs w:val="24"/>
        </w:rPr>
        <w:t xml:space="preserve"> </w:t>
      </w:r>
      <w:r w:rsidR="00D566E6">
        <w:rPr>
          <w:rFonts w:ascii="Times New Roman" w:hAnsi="Times New Roman"/>
          <w:sz w:val="24"/>
          <w:szCs w:val="24"/>
        </w:rPr>
        <w:t xml:space="preserve"> Using these wage rates multiplied by 12.5 hours for the </w:t>
      </w:r>
      <w:r w:rsidR="005C6E1A">
        <w:rPr>
          <w:rFonts w:ascii="Times New Roman" w:hAnsi="Times New Roman"/>
          <w:sz w:val="24"/>
          <w:szCs w:val="24"/>
        </w:rPr>
        <w:t>recordkeeping</w:t>
      </w:r>
      <w:r w:rsidR="00D566E6">
        <w:rPr>
          <w:rFonts w:ascii="Times New Roman" w:hAnsi="Times New Roman"/>
          <w:sz w:val="24"/>
          <w:szCs w:val="24"/>
        </w:rPr>
        <w:t xml:space="preserve"> by the pharmacist equals approximately</w:t>
      </w:r>
      <w:r w:rsidR="005C6E1A">
        <w:rPr>
          <w:rFonts w:ascii="Times New Roman" w:hAnsi="Times New Roman"/>
          <w:sz w:val="24"/>
          <w:szCs w:val="24"/>
        </w:rPr>
        <w:t xml:space="preserve"> $990 ($79.22 x 12.5)</w:t>
      </w:r>
      <w:r w:rsidR="00DF4370">
        <w:rPr>
          <w:rFonts w:ascii="Times New Roman" w:hAnsi="Times New Roman"/>
          <w:sz w:val="24"/>
          <w:szCs w:val="24"/>
        </w:rPr>
        <w:t xml:space="preserve">. </w:t>
      </w:r>
      <w:r w:rsidR="00202D72">
        <w:rPr>
          <w:rFonts w:ascii="Times New Roman" w:hAnsi="Times New Roman"/>
          <w:sz w:val="24"/>
          <w:szCs w:val="24"/>
        </w:rPr>
        <w:t xml:space="preserve"> </w:t>
      </w:r>
      <w:r>
        <w:rPr>
          <w:rFonts w:ascii="Times New Roman" w:hAnsi="Times New Roman"/>
          <w:sz w:val="24"/>
          <w:szCs w:val="24"/>
        </w:rPr>
        <w:t xml:space="preserve">We estimate the total annual cost </w:t>
      </w:r>
      <w:r w:rsidR="00837BE7">
        <w:rPr>
          <w:rFonts w:ascii="Times New Roman" w:hAnsi="Times New Roman"/>
          <w:sz w:val="24"/>
          <w:szCs w:val="24"/>
        </w:rPr>
        <w:t>associated with this guidance</w:t>
      </w:r>
      <w:r w:rsidR="004069FF">
        <w:rPr>
          <w:rFonts w:ascii="Times New Roman" w:hAnsi="Times New Roman"/>
          <w:sz w:val="24"/>
          <w:szCs w:val="24"/>
        </w:rPr>
        <w:t xml:space="preserve"> for annual third-party disclosure</w:t>
      </w:r>
      <w:r w:rsidR="0060552B">
        <w:rPr>
          <w:rFonts w:ascii="Times New Roman" w:hAnsi="Times New Roman"/>
          <w:sz w:val="24"/>
          <w:szCs w:val="24"/>
        </w:rPr>
        <w:t xml:space="preserve"> and recordkeeping</w:t>
      </w:r>
      <w:r>
        <w:rPr>
          <w:rFonts w:ascii="Times New Roman" w:hAnsi="Times New Roman"/>
          <w:sz w:val="24"/>
          <w:szCs w:val="24"/>
        </w:rPr>
        <w:t xml:space="preserve"> to be approximately $</w:t>
      </w:r>
      <w:r w:rsidR="003C7D4F">
        <w:rPr>
          <w:rFonts w:ascii="Times New Roman" w:hAnsi="Times New Roman"/>
          <w:sz w:val="24"/>
          <w:szCs w:val="24"/>
        </w:rPr>
        <w:t>42,349</w:t>
      </w:r>
      <w:r w:rsidR="00AA0699">
        <w:rPr>
          <w:rFonts w:ascii="Times New Roman" w:hAnsi="Times New Roman"/>
          <w:sz w:val="24"/>
          <w:szCs w:val="24"/>
        </w:rPr>
        <w:t xml:space="preserve"> (</w:t>
      </w:r>
      <w:r w:rsidR="004069FF">
        <w:rPr>
          <w:rFonts w:ascii="Times New Roman" w:hAnsi="Times New Roman"/>
          <w:sz w:val="24"/>
          <w:szCs w:val="24"/>
        </w:rPr>
        <w:t>$66,987 + $990</w:t>
      </w:r>
      <w:r w:rsidR="000B16E6">
        <w:rPr>
          <w:rFonts w:ascii="Times New Roman" w:hAnsi="Times New Roman"/>
          <w:sz w:val="24"/>
          <w:szCs w:val="24"/>
        </w:rPr>
        <w:t>)</w:t>
      </w:r>
      <w:r w:rsidR="00D105BB">
        <w:rPr>
          <w:rFonts w:ascii="Times New Roman" w:hAnsi="Times New Roman"/>
          <w:sz w:val="24"/>
          <w:szCs w:val="24"/>
        </w:rPr>
        <w:t>.</w:t>
      </w:r>
    </w:p>
    <w:p w:rsidR="007F2DCA" w:rsidRPr="00CB77FD" w:rsidP="00C44B68" w14:paraId="2F144C83" w14:textId="77777777">
      <w:pPr>
        <w:spacing w:after="0" w:line="240" w:lineRule="auto"/>
        <w:ind w:firstLine="720"/>
        <w:rPr>
          <w:rFonts w:ascii="Times New Roman" w:hAnsi="Times New Roman"/>
          <w:sz w:val="24"/>
          <w:szCs w:val="24"/>
        </w:rPr>
      </w:pPr>
    </w:p>
    <w:p w:rsidR="00592638" w:rsidRPr="00CB77FD" w:rsidP="00C44B68" w14:paraId="3C229516" w14:textId="77777777">
      <w:pPr>
        <w:spacing w:after="0" w:line="240" w:lineRule="auto"/>
        <w:rPr>
          <w:rFonts w:ascii="Times New Roman" w:hAnsi="Times New Roman"/>
          <w:sz w:val="24"/>
          <w:szCs w:val="24"/>
        </w:rPr>
      </w:pPr>
      <w:r w:rsidRPr="00CB77FD">
        <w:rPr>
          <w:rFonts w:ascii="Times New Roman" w:hAnsi="Times New Roman"/>
          <w:sz w:val="24"/>
          <w:szCs w:val="24"/>
        </w:rPr>
        <w:t xml:space="preserve">13.  </w:t>
      </w:r>
      <w:r w:rsidRPr="00CB77FD">
        <w:rPr>
          <w:rFonts w:ascii="Times New Roman" w:hAnsi="Times New Roman"/>
          <w:sz w:val="24"/>
          <w:szCs w:val="24"/>
          <w:u w:val="single"/>
        </w:rPr>
        <w:t>Estimates of Other Total Annual Cost Burden to Respondents and/or Recordkeepers/Capital Costs</w:t>
      </w:r>
    </w:p>
    <w:p w:rsidR="00592638" w:rsidRPr="00CB77FD" w:rsidP="00C44B68" w14:paraId="3FE9A877" w14:textId="77777777">
      <w:pPr>
        <w:spacing w:after="0" w:line="240" w:lineRule="auto"/>
        <w:rPr>
          <w:rFonts w:ascii="Times New Roman" w:hAnsi="Times New Roman"/>
          <w:sz w:val="24"/>
          <w:szCs w:val="24"/>
        </w:rPr>
      </w:pPr>
    </w:p>
    <w:p w:rsidR="00592638" w:rsidRPr="00CB77FD" w:rsidP="00C44B68" w14:paraId="0EAF2276" w14:textId="53A38657">
      <w:pPr>
        <w:spacing w:after="0" w:line="240" w:lineRule="auto"/>
        <w:rPr>
          <w:rFonts w:ascii="Times New Roman" w:hAnsi="Times New Roman"/>
          <w:sz w:val="24"/>
          <w:szCs w:val="24"/>
        </w:rPr>
      </w:pPr>
      <w:r w:rsidRPr="00CB77FD">
        <w:rPr>
          <w:rFonts w:ascii="Times New Roman" w:hAnsi="Times New Roman"/>
          <w:sz w:val="24"/>
          <w:szCs w:val="24"/>
        </w:rPr>
        <w:t>We assume there are n</w:t>
      </w:r>
      <w:r w:rsidRPr="00CB77FD" w:rsidR="00A8071A">
        <w:rPr>
          <w:rFonts w:ascii="Times New Roman" w:hAnsi="Times New Roman"/>
          <w:sz w:val="24"/>
          <w:szCs w:val="24"/>
        </w:rPr>
        <w:t xml:space="preserve">o </w:t>
      </w:r>
      <w:r w:rsidRPr="00CB77FD" w:rsidR="009342D9">
        <w:rPr>
          <w:rFonts w:ascii="Times New Roman" w:hAnsi="Times New Roman"/>
          <w:sz w:val="24"/>
          <w:szCs w:val="24"/>
        </w:rPr>
        <w:t>capital, start-up, operating, or maintenance costs associated with this information collection.</w:t>
      </w:r>
    </w:p>
    <w:p w:rsidR="00592638" w:rsidRPr="00CB77FD" w:rsidP="00C44B68" w14:paraId="2AAB6DCD" w14:textId="77777777">
      <w:pPr>
        <w:spacing w:after="0" w:line="240" w:lineRule="auto"/>
        <w:rPr>
          <w:rFonts w:ascii="Times New Roman" w:hAnsi="Times New Roman"/>
          <w:sz w:val="24"/>
          <w:szCs w:val="24"/>
        </w:rPr>
      </w:pPr>
    </w:p>
    <w:p w:rsidR="009342D9" w:rsidRPr="00CB77FD" w:rsidP="0057347B" w14:paraId="32A320EE" w14:textId="4C5B83D0">
      <w:pPr>
        <w:keepNext/>
        <w:spacing w:after="0" w:line="240" w:lineRule="auto"/>
        <w:rPr>
          <w:rFonts w:ascii="Times New Roman" w:hAnsi="Times New Roman"/>
          <w:sz w:val="24"/>
          <w:szCs w:val="24"/>
        </w:rPr>
      </w:pPr>
      <w:r w:rsidRPr="00CB77FD">
        <w:rPr>
          <w:rFonts w:ascii="Times New Roman" w:hAnsi="Times New Roman"/>
          <w:sz w:val="24"/>
          <w:szCs w:val="24"/>
        </w:rPr>
        <w:t>14.</w:t>
      </w:r>
      <w:r w:rsidRPr="00CB77FD" w:rsidR="00592638">
        <w:rPr>
          <w:rFonts w:ascii="Times New Roman" w:hAnsi="Times New Roman"/>
          <w:sz w:val="24"/>
          <w:szCs w:val="24"/>
        </w:rPr>
        <w:t xml:space="preserve"> </w:t>
      </w:r>
      <w:r w:rsidRPr="00CB77FD">
        <w:rPr>
          <w:rFonts w:ascii="Times New Roman" w:hAnsi="Times New Roman"/>
          <w:sz w:val="24"/>
          <w:szCs w:val="24"/>
        </w:rPr>
        <w:t xml:space="preserve"> </w:t>
      </w:r>
      <w:r w:rsidRPr="00CB77FD">
        <w:rPr>
          <w:rFonts w:ascii="Times New Roman" w:hAnsi="Times New Roman"/>
          <w:sz w:val="24"/>
          <w:szCs w:val="24"/>
          <w:u w:val="single"/>
        </w:rPr>
        <w:t>Annualized Cost to the Federal Government</w:t>
      </w:r>
    </w:p>
    <w:p w:rsidR="00592638" w:rsidRPr="00CB77FD" w:rsidP="0057347B" w14:paraId="57068307" w14:textId="72974224">
      <w:pPr>
        <w:keepNext/>
        <w:spacing w:after="0" w:line="240" w:lineRule="auto"/>
        <w:rPr>
          <w:rFonts w:ascii="Times New Roman" w:hAnsi="Times New Roman"/>
          <w:sz w:val="24"/>
          <w:szCs w:val="24"/>
        </w:rPr>
      </w:pPr>
    </w:p>
    <w:p w:rsidR="00BB4231" w:rsidP="00BB4231" w14:paraId="3732792F" w14:textId="7EB21F36">
      <w:pPr>
        <w:spacing w:after="0" w:line="240" w:lineRule="auto"/>
        <w:rPr>
          <w:rFonts w:ascii="Times New Roman" w:hAnsi="Times New Roman"/>
          <w:sz w:val="24"/>
          <w:szCs w:val="24"/>
        </w:rPr>
      </w:pPr>
      <w:r w:rsidRPr="00814901">
        <w:rPr>
          <w:rFonts w:ascii="Times New Roman" w:hAnsi="Times New Roman"/>
          <w:sz w:val="24"/>
          <w:szCs w:val="24"/>
        </w:rPr>
        <w:t xml:space="preserve">We </w:t>
      </w:r>
      <w:r>
        <w:rPr>
          <w:rFonts w:ascii="Times New Roman" w:hAnsi="Times New Roman"/>
          <w:sz w:val="24"/>
          <w:szCs w:val="24"/>
        </w:rPr>
        <w:t xml:space="preserve">have allocated </w:t>
      </w:r>
      <w:r w:rsidRPr="00400EDE">
        <w:rPr>
          <w:rFonts w:ascii="Times New Roman" w:hAnsi="Times New Roman"/>
          <w:sz w:val="24"/>
          <w:szCs w:val="24"/>
        </w:rPr>
        <w:t>0.</w:t>
      </w:r>
      <w:r>
        <w:rPr>
          <w:rFonts w:ascii="Times New Roman" w:hAnsi="Times New Roman"/>
          <w:sz w:val="24"/>
          <w:szCs w:val="24"/>
        </w:rPr>
        <w:t>2</w:t>
      </w:r>
      <w:r w:rsidRPr="00400EDE">
        <w:rPr>
          <w:rFonts w:ascii="Times New Roman" w:hAnsi="Times New Roman"/>
          <w:sz w:val="24"/>
          <w:szCs w:val="24"/>
        </w:rPr>
        <w:t xml:space="preserve"> </w:t>
      </w:r>
      <w:r>
        <w:rPr>
          <w:rFonts w:ascii="Times New Roman" w:hAnsi="Times New Roman"/>
          <w:sz w:val="24"/>
          <w:szCs w:val="24"/>
        </w:rPr>
        <w:t xml:space="preserve">full-time equivalent </w:t>
      </w:r>
      <w:r w:rsidRPr="00400EDE">
        <w:rPr>
          <w:rFonts w:ascii="Times New Roman" w:hAnsi="Times New Roman"/>
          <w:sz w:val="24"/>
          <w:szCs w:val="24"/>
        </w:rPr>
        <w:t>($</w:t>
      </w:r>
      <w:r w:rsidR="00966706">
        <w:rPr>
          <w:rFonts w:ascii="Times New Roman" w:hAnsi="Times New Roman"/>
          <w:sz w:val="24"/>
          <w:szCs w:val="24"/>
        </w:rPr>
        <w:t>2</w:t>
      </w:r>
      <w:r w:rsidR="00D900DA">
        <w:rPr>
          <w:rFonts w:ascii="Times New Roman" w:hAnsi="Times New Roman"/>
          <w:sz w:val="24"/>
          <w:szCs w:val="24"/>
        </w:rPr>
        <w:t>7</w:t>
      </w:r>
      <w:r>
        <w:rPr>
          <w:rFonts w:ascii="Times New Roman" w:hAnsi="Times New Roman"/>
          <w:sz w:val="24"/>
          <w:szCs w:val="24"/>
        </w:rPr>
        <w:t>,</w:t>
      </w:r>
      <w:r w:rsidR="00D900DA">
        <w:rPr>
          <w:rFonts w:ascii="Times New Roman" w:hAnsi="Times New Roman"/>
          <w:sz w:val="24"/>
          <w:szCs w:val="24"/>
        </w:rPr>
        <w:t>5</w:t>
      </w:r>
      <w:r>
        <w:rPr>
          <w:rFonts w:ascii="Times New Roman" w:hAnsi="Times New Roman"/>
          <w:sz w:val="24"/>
          <w:szCs w:val="24"/>
        </w:rPr>
        <w:t>00</w:t>
      </w:r>
      <w:r w:rsidRPr="00400EDE">
        <w:rPr>
          <w:rFonts w:ascii="Times New Roman" w:hAnsi="Times New Roman"/>
          <w:sz w:val="24"/>
          <w:szCs w:val="24"/>
        </w:rPr>
        <w:t>)</w:t>
      </w:r>
      <w:r w:rsidR="00066B5E">
        <w:rPr>
          <w:rFonts w:ascii="Times New Roman" w:hAnsi="Times New Roman"/>
          <w:sz w:val="24"/>
          <w:szCs w:val="24"/>
        </w:rPr>
        <w:t xml:space="preserve"> (GS-</w:t>
      </w:r>
      <w:r w:rsidR="00FA46BA">
        <w:rPr>
          <w:rFonts w:ascii="Times New Roman" w:hAnsi="Times New Roman"/>
          <w:sz w:val="24"/>
          <w:szCs w:val="24"/>
        </w:rPr>
        <w:t xml:space="preserve">13, Step </w:t>
      </w:r>
      <w:r w:rsidR="00093102">
        <w:rPr>
          <w:rFonts w:ascii="Times New Roman" w:hAnsi="Times New Roman"/>
          <w:sz w:val="24"/>
          <w:szCs w:val="24"/>
        </w:rPr>
        <w:t>6</w:t>
      </w:r>
      <w:r w:rsidR="00FA46BA">
        <w:rPr>
          <w:rFonts w:ascii="Times New Roman" w:hAnsi="Times New Roman"/>
          <w:sz w:val="24"/>
          <w:szCs w:val="24"/>
        </w:rPr>
        <w:t>)</w:t>
      </w:r>
      <w:r w:rsidRPr="00814901">
        <w:rPr>
          <w:rFonts w:ascii="Times New Roman" w:hAnsi="Times New Roman"/>
          <w:sz w:val="24"/>
          <w:szCs w:val="24"/>
        </w:rPr>
        <w:t xml:space="preserve"> to </w:t>
      </w:r>
      <w:r>
        <w:rPr>
          <w:rFonts w:ascii="Times New Roman" w:hAnsi="Times New Roman"/>
          <w:sz w:val="24"/>
          <w:szCs w:val="24"/>
        </w:rPr>
        <w:t>review and evaluate prescription records maintained by compounders that are annotated to include prescriber determinations and to review labels or reports regarding repackaged drug products</w:t>
      </w:r>
      <w:r w:rsidRPr="00814901">
        <w:rPr>
          <w:rFonts w:ascii="Times New Roman" w:hAnsi="Times New Roman"/>
          <w:sz w:val="24"/>
          <w:szCs w:val="24"/>
        </w:rPr>
        <w:t xml:space="preserve">. </w:t>
      </w:r>
    </w:p>
    <w:p w:rsidR="00AB0509" w:rsidRPr="00CB77FD" w:rsidP="00C44B68" w14:paraId="5D800457" w14:textId="77777777">
      <w:pPr>
        <w:spacing w:after="0" w:line="240" w:lineRule="auto"/>
        <w:rPr>
          <w:rFonts w:ascii="Times New Roman" w:hAnsi="Times New Roman"/>
          <w:sz w:val="24"/>
          <w:szCs w:val="24"/>
        </w:rPr>
      </w:pPr>
    </w:p>
    <w:p w:rsidR="009342D9" w:rsidRPr="00CB77FD" w:rsidP="00C44B68" w14:paraId="502E411C" w14:textId="6DDCA098">
      <w:pPr>
        <w:spacing w:after="0" w:line="240" w:lineRule="auto"/>
        <w:rPr>
          <w:rFonts w:ascii="Times New Roman" w:hAnsi="Times New Roman"/>
          <w:sz w:val="24"/>
          <w:szCs w:val="24"/>
        </w:rPr>
      </w:pPr>
      <w:r w:rsidRPr="00CB77FD">
        <w:rPr>
          <w:rFonts w:ascii="Times New Roman" w:hAnsi="Times New Roman"/>
          <w:sz w:val="24"/>
          <w:szCs w:val="24"/>
        </w:rPr>
        <w:t>1</w:t>
      </w:r>
      <w:r w:rsidRPr="00CB77FD">
        <w:rPr>
          <w:rFonts w:ascii="Times New Roman" w:hAnsi="Times New Roman"/>
          <w:sz w:val="24"/>
          <w:szCs w:val="24"/>
        </w:rPr>
        <w:t>5.</w:t>
      </w:r>
      <w:r w:rsidRPr="00CB77FD">
        <w:rPr>
          <w:rFonts w:ascii="Times New Roman" w:hAnsi="Times New Roman"/>
          <w:sz w:val="24"/>
          <w:szCs w:val="24"/>
        </w:rPr>
        <w:t xml:space="preserve"> </w:t>
      </w:r>
      <w:r w:rsidRPr="00CB77FD">
        <w:rPr>
          <w:rFonts w:ascii="Times New Roman" w:hAnsi="Times New Roman"/>
          <w:sz w:val="24"/>
          <w:szCs w:val="24"/>
        </w:rPr>
        <w:t xml:space="preserve"> </w:t>
      </w:r>
      <w:r w:rsidRPr="00CB77FD">
        <w:rPr>
          <w:rFonts w:ascii="Times New Roman" w:hAnsi="Times New Roman"/>
          <w:sz w:val="24"/>
          <w:szCs w:val="24"/>
          <w:u w:val="single"/>
        </w:rPr>
        <w:t>Explanation for Program Changes or Adjustments</w:t>
      </w:r>
    </w:p>
    <w:p w:rsidR="00592638" w:rsidRPr="00CB77FD" w:rsidP="00C44B68" w14:paraId="676DA786" w14:textId="77777777">
      <w:pPr>
        <w:spacing w:after="0" w:line="240" w:lineRule="auto"/>
        <w:rPr>
          <w:rFonts w:ascii="Times New Roman" w:hAnsi="Times New Roman"/>
          <w:sz w:val="24"/>
          <w:szCs w:val="24"/>
        </w:rPr>
      </w:pPr>
    </w:p>
    <w:p w:rsidR="00AA25F2" w:rsidP="00AA25F2" w14:paraId="6983C1BC" w14:textId="79F62802">
      <w:pPr>
        <w:spacing w:after="0" w:line="240" w:lineRule="auto"/>
        <w:rPr>
          <w:rFonts w:ascii="Times New Roman" w:eastAsia="Times New Roman" w:hAnsi="Times New Roman"/>
          <w:sz w:val="24"/>
          <w:szCs w:val="20"/>
        </w:rPr>
      </w:pPr>
      <w:r w:rsidRPr="00AA25F2">
        <w:rPr>
          <w:rFonts w:ascii="Times New Roman" w:eastAsia="Times New Roman" w:hAnsi="Times New Roman"/>
          <w:sz w:val="24"/>
          <w:szCs w:val="20"/>
        </w:rPr>
        <w:t>We are updating the information collection to include burden attendant to reporting and disclosure recommendations found in the Agency guidance documents that was inadvertently omitted in the original information collection due to clerical errors.  The burden estimate is adjusted to reflect a resulting increase of 114 hours and 94 responses annually.</w:t>
      </w:r>
    </w:p>
    <w:p w:rsidR="00A14C3D" w:rsidRPr="00CB77FD" w:rsidP="00C44B68" w14:paraId="6EF63C2C" w14:textId="77777777">
      <w:pPr>
        <w:spacing w:after="0" w:line="240" w:lineRule="auto"/>
        <w:rPr>
          <w:rFonts w:ascii="Times New Roman" w:hAnsi="Times New Roman"/>
          <w:sz w:val="24"/>
          <w:szCs w:val="24"/>
        </w:rPr>
      </w:pPr>
    </w:p>
    <w:p w:rsidR="009342D9" w:rsidRPr="00CB77FD" w:rsidP="00C44B68" w14:paraId="36EEE817" w14:textId="2DE5E595">
      <w:pPr>
        <w:spacing w:after="0" w:line="240" w:lineRule="auto"/>
        <w:rPr>
          <w:rFonts w:ascii="Times New Roman" w:hAnsi="Times New Roman"/>
          <w:sz w:val="24"/>
          <w:szCs w:val="24"/>
          <w:u w:val="single"/>
        </w:rPr>
      </w:pPr>
      <w:r w:rsidRPr="00CB77FD">
        <w:rPr>
          <w:rFonts w:ascii="Times New Roman" w:hAnsi="Times New Roman"/>
          <w:sz w:val="24"/>
          <w:szCs w:val="24"/>
        </w:rPr>
        <w:t xml:space="preserve">16. </w:t>
      </w:r>
      <w:r w:rsidRPr="00CB77FD">
        <w:rPr>
          <w:rFonts w:ascii="Times New Roman" w:hAnsi="Times New Roman"/>
          <w:sz w:val="24"/>
          <w:szCs w:val="24"/>
          <w:u w:val="single"/>
        </w:rPr>
        <w:t>Plans for Tabulation and Publication and Project Time Schedule</w:t>
      </w:r>
    </w:p>
    <w:p w:rsidR="00592638" w:rsidRPr="00CB77FD" w:rsidP="00C44B68" w14:paraId="4B490CB5" w14:textId="77777777">
      <w:pPr>
        <w:spacing w:after="0" w:line="240" w:lineRule="auto"/>
        <w:rPr>
          <w:rFonts w:ascii="Times New Roman" w:hAnsi="Times New Roman"/>
          <w:sz w:val="24"/>
          <w:szCs w:val="24"/>
        </w:rPr>
      </w:pPr>
    </w:p>
    <w:p w:rsidR="009342D9" w:rsidRPr="00CB77FD" w:rsidP="00C44B68" w14:paraId="770A097D" w14:textId="4C64BF00">
      <w:pPr>
        <w:spacing w:after="0" w:line="240" w:lineRule="auto"/>
        <w:rPr>
          <w:rFonts w:ascii="Times New Roman" w:hAnsi="Times New Roman"/>
          <w:sz w:val="24"/>
          <w:szCs w:val="24"/>
        </w:rPr>
      </w:pPr>
      <w:r w:rsidRPr="00CB77FD">
        <w:rPr>
          <w:rFonts w:ascii="Times New Roman" w:hAnsi="Times New Roman"/>
          <w:sz w:val="24"/>
          <w:szCs w:val="24"/>
        </w:rPr>
        <w:t>No tabulation or publication of the information collection is planned.</w:t>
      </w:r>
    </w:p>
    <w:p w:rsidR="007F2DCA" w:rsidRPr="00CB77FD" w:rsidP="00C44B68" w14:paraId="0E294374" w14:textId="77777777">
      <w:pPr>
        <w:spacing w:after="0" w:line="240" w:lineRule="auto"/>
        <w:rPr>
          <w:rFonts w:ascii="Times New Roman" w:hAnsi="Times New Roman"/>
          <w:sz w:val="24"/>
          <w:szCs w:val="24"/>
        </w:rPr>
      </w:pPr>
      <w:bookmarkStart w:id="12" w:name="_Hlk519501288"/>
    </w:p>
    <w:p w:rsidR="009342D9" w:rsidRPr="00CB77FD" w:rsidP="00C44B68" w14:paraId="571AE962" w14:textId="3F346ED8">
      <w:pPr>
        <w:spacing w:after="0" w:line="240" w:lineRule="auto"/>
        <w:rPr>
          <w:rFonts w:ascii="Times New Roman" w:hAnsi="Times New Roman"/>
          <w:sz w:val="24"/>
          <w:szCs w:val="24"/>
          <w:u w:val="single"/>
        </w:rPr>
      </w:pPr>
      <w:r w:rsidRPr="00CB77FD">
        <w:rPr>
          <w:rFonts w:ascii="Times New Roman" w:hAnsi="Times New Roman"/>
          <w:sz w:val="24"/>
          <w:szCs w:val="24"/>
        </w:rPr>
        <w:t xml:space="preserve">17. </w:t>
      </w:r>
      <w:r w:rsidRPr="00CB77FD">
        <w:rPr>
          <w:rFonts w:ascii="Times New Roman" w:hAnsi="Times New Roman"/>
          <w:sz w:val="24"/>
          <w:szCs w:val="24"/>
          <w:u w:val="single"/>
        </w:rPr>
        <w:t>Reason(s) Display of OMB Expiration Date is Inappropriate</w:t>
      </w:r>
    </w:p>
    <w:p w:rsidR="009E53B5" w:rsidRPr="00CB77FD" w:rsidP="00C44B68" w14:paraId="598D1F06" w14:textId="77777777">
      <w:pPr>
        <w:spacing w:after="0" w:line="240" w:lineRule="auto"/>
        <w:rPr>
          <w:rFonts w:ascii="Times New Roman" w:hAnsi="Times New Roman"/>
          <w:sz w:val="24"/>
          <w:szCs w:val="24"/>
          <w:u w:val="single"/>
        </w:rPr>
      </w:pPr>
    </w:p>
    <w:p w:rsidR="009342D9" w:rsidRPr="00CB77FD" w:rsidP="00C44B68" w14:paraId="265D96E9" w14:textId="2D5009DE">
      <w:pPr>
        <w:spacing w:after="0" w:line="240" w:lineRule="auto"/>
        <w:rPr>
          <w:rFonts w:ascii="Times New Roman" w:hAnsi="Times New Roman"/>
          <w:sz w:val="24"/>
          <w:szCs w:val="24"/>
        </w:rPr>
      </w:pPr>
      <w:r w:rsidRPr="00CB77FD">
        <w:rPr>
          <w:rFonts w:ascii="Times New Roman" w:hAnsi="Times New Roman"/>
          <w:sz w:val="24"/>
          <w:szCs w:val="24"/>
        </w:rPr>
        <w:t>We will display t</w:t>
      </w:r>
      <w:r w:rsidRPr="00CB77FD">
        <w:rPr>
          <w:rFonts w:ascii="Times New Roman" w:hAnsi="Times New Roman"/>
          <w:sz w:val="24"/>
          <w:szCs w:val="24"/>
        </w:rPr>
        <w:t xml:space="preserve">he OMB expiration data </w:t>
      </w:r>
      <w:r w:rsidRPr="00CB77FD" w:rsidR="00AB0509">
        <w:rPr>
          <w:rFonts w:ascii="Times New Roman" w:hAnsi="Times New Roman"/>
          <w:sz w:val="24"/>
          <w:szCs w:val="24"/>
        </w:rPr>
        <w:t xml:space="preserve">as </w:t>
      </w:r>
      <w:r w:rsidRPr="00CB77FD">
        <w:rPr>
          <w:rFonts w:ascii="Times New Roman" w:hAnsi="Times New Roman"/>
          <w:sz w:val="24"/>
          <w:szCs w:val="24"/>
        </w:rPr>
        <w:t>required.</w:t>
      </w:r>
    </w:p>
    <w:p w:rsidR="007F2DCA" w:rsidRPr="00CB77FD" w:rsidP="00C44B68" w14:paraId="24345A2C" w14:textId="77777777">
      <w:pPr>
        <w:spacing w:after="0" w:line="240" w:lineRule="auto"/>
        <w:rPr>
          <w:rFonts w:ascii="Times New Roman" w:hAnsi="Times New Roman"/>
          <w:sz w:val="24"/>
          <w:szCs w:val="24"/>
        </w:rPr>
      </w:pPr>
    </w:p>
    <w:p w:rsidR="009342D9" w:rsidRPr="00CB77FD" w:rsidP="00C44B68" w14:paraId="6F7331B2" w14:textId="77777777">
      <w:pPr>
        <w:spacing w:after="0" w:line="240" w:lineRule="auto"/>
        <w:rPr>
          <w:rFonts w:ascii="Times New Roman" w:hAnsi="Times New Roman"/>
          <w:sz w:val="24"/>
          <w:szCs w:val="24"/>
        </w:rPr>
      </w:pPr>
      <w:r w:rsidRPr="00CB77FD">
        <w:rPr>
          <w:rFonts w:ascii="Times New Roman" w:hAnsi="Times New Roman"/>
          <w:sz w:val="24"/>
          <w:szCs w:val="24"/>
        </w:rPr>
        <w:t xml:space="preserve">18. </w:t>
      </w:r>
      <w:r w:rsidRPr="00CB77FD">
        <w:rPr>
          <w:rFonts w:ascii="Times New Roman" w:hAnsi="Times New Roman"/>
          <w:sz w:val="24"/>
          <w:szCs w:val="24"/>
          <w:u w:val="single"/>
        </w:rPr>
        <w:t xml:space="preserve">Exceptions to Certification for Paperwork Reduction Act Submissions </w:t>
      </w:r>
    </w:p>
    <w:p w:rsidR="00592638" w:rsidRPr="00CB77FD" w:rsidP="00C44B68" w14:paraId="65800BDC" w14:textId="77777777">
      <w:pPr>
        <w:spacing w:after="0" w:line="240" w:lineRule="auto"/>
        <w:rPr>
          <w:rFonts w:ascii="Times New Roman" w:hAnsi="Times New Roman"/>
          <w:sz w:val="24"/>
          <w:szCs w:val="24"/>
        </w:rPr>
      </w:pPr>
    </w:p>
    <w:p w:rsidR="00DD59A9" w:rsidRPr="00CB77FD" w:rsidP="00C44B68" w14:paraId="094F66E9" w14:textId="1178D6A6">
      <w:pPr>
        <w:spacing w:after="0" w:line="240" w:lineRule="auto"/>
        <w:rPr>
          <w:rFonts w:ascii="Times New Roman" w:hAnsi="Times New Roman"/>
          <w:sz w:val="24"/>
          <w:szCs w:val="24"/>
        </w:rPr>
      </w:pPr>
      <w:r w:rsidRPr="00CB77FD">
        <w:rPr>
          <w:rFonts w:ascii="Times New Roman" w:hAnsi="Times New Roman"/>
          <w:sz w:val="24"/>
          <w:szCs w:val="24"/>
        </w:rPr>
        <w:t>There are no exceptions to the certification.</w:t>
      </w:r>
      <w:bookmarkEnd w:id="12"/>
    </w:p>
    <w:sectPr w:rsidSect="009D2ABB">
      <w:headerReference w:type="default" r:id="rId16"/>
      <w:footerReference w:type="default" r:id="rId17"/>
      <w:pgSz w:w="12240" w:h="15840"/>
      <w:pgMar w:top="1440" w:right="1584" w:bottom="1440"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71A" w:rsidRPr="00A7486D" w:rsidP="00A7486D" w14:paraId="0432F5C4" w14:textId="250DA099">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13EC" w:rsidP="000322A2" w14:paraId="6E4C4783" w14:textId="77777777">
      <w:pPr>
        <w:spacing w:after="0" w:line="240" w:lineRule="auto"/>
      </w:pPr>
      <w:r>
        <w:separator/>
      </w:r>
    </w:p>
  </w:footnote>
  <w:footnote w:type="continuationSeparator" w:id="1">
    <w:p w:rsidR="006B13EC" w:rsidP="000322A2" w14:paraId="2CBF8D05" w14:textId="77777777">
      <w:pPr>
        <w:spacing w:after="0" w:line="240" w:lineRule="auto"/>
      </w:pPr>
      <w:r>
        <w:continuationSeparator/>
      </w:r>
    </w:p>
  </w:footnote>
  <w:footnote w:type="continuationNotice" w:id="2">
    <w:p w:rsidR="006B13EC" w14:paraId="3370D288" w14:textId="77777777">
      <w:pPr>
        <w:spacing w:after="0" w:line="240" w:lineRule="auto"/>
      </w:pPr>
    </w:p>
  </w:footnote>
  <w:footnote w:id="3">
    <w:p w:rsidR="007A0E0C" w:rsidP="007A0E0C" w14:paraId="5DD03908" w14:textId="73265198">
      <w:pPr>
        <w:pStyle w:val="FootnoteText"/>
      </w:pPr>
      <w:r>
        <w:rPr>
          <w:rStyle w:val="FootnoteReference"/>
        </w:rPr>
        <w:footnoteRef/>
      </w:r>
      <w:r>
        <w:t>Guidance documents applicable to animal drug compounding regulated by the Center for Veterinary Medicine would also be returned if no FDA Organization is selected; this information collection covers only those compounding guidance documents issued by the Center for Drug Evaluation and Research and Center for Biologics Evaluation and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2741141"/>
      <w:docPartObj>
        <w:docPartGallery w:val="Page Numbers (Top of Page)"/>
        <w:docPartUnique/>
      </w:docPartObj>
    </w:sdtPr>
    <w:sdtEndPr>
      <w:rPr>
        <w:rFonts w:ascii="Times New Roman" w:hAnsi="Times New Roman"/>
        <w:noProof/>
      </w:rPr>
    </w:sdtEndPr>
    <w:sdtContent>
      <w:p w:rsidR="00A8071A" w:rsidRPr="00FF6700" w14:paraId="0ABED524" w14:textId="7CD153F1">
        <w:pPr>
          <w:pStyle w:val="Header"/>
          <w:jc w:val="right"/>
          <w:rPr>
            <w:rFonts w:ascii="Times New Roman" w:hAnsi="Times New Roman"/>
          </w:rPr>
        </w:pPr>
        <w:r w:rsidRPr="00FF6700">
          <w:rPr>
            <w:rFonts w:ascii="Times New Roman" w:hAnsi="Times New Roman"/>
          </w:rPr>
          <w:fldChar w:fldCharType="begin"/>
        </w:r>
        <w:r w:rsidRPr="00FF6700">
          <w:rPr>
            <w:rFonts w:ascii="Times New Roman" w:hAnsi="Times New Roman"/>
          </w:rPr>
          <w:instrText xml:space="preserve"> PAGE   \* MERGEFORMAT </w:instrText>
        </w:r>
        <w:r w:rsidRPr="00FF6700">
          <w:rPr>
            <w:rFonts w:ascii="Times New Roman" w:hAnsi="Times New Roman"/>
          </w:rPr>
          <w:fldChar w:fldCharType="separate"/>
        </w:r>
        <w:r>
          <w:rPr>
            <w:rFonts w:ascii="Times New Roman" w:hAnsi="Times New Roman"/>
            <w:noProof/>
          </w:rPr>
          <w:t>6</w:t>
        </w:r>
        <w:r w:rsidRPr="00FF6700">
          <w:rPr>
            <w:rFonts w:ascii="Times New Roman" w:hAnsi="Times New Roman"/>
            <w:noProof/>
          </w:rPr>
          <w:fldChar w:fldCharType="end"/>
        </w:r>
      </w:p>
    </w:sdtContent>
  </w:sdt>
  <w:p w:rsidR="00A8071A" w14:paraId="65E659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5194"/>
    <w:multiLevelType w:val="hybridMultilevel"/>
    <w:tmpl w:val="D4B83C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DDA1292"/>
    <w:multiLevelType w:val="hybridMultilevel"/>
    <w:tmpl w:val="44ACD4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02763D1"/>
    <w:multiLevelType w:val="hybridMultilevel"/>
    <w:tmpl w:val="5D10C8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AE1A32"/>
    <w:multiLevelType w:val="hybridMultilevel"/>
    <w:tmpl w:val="19F66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D434D"/>
    <w:multiLevelType w:val="hybridMultilevel"/>
    <w:tmpl w:val="55AC3F6E"/>
    <w:lvl w:ilvl="0">
      <w:start w:val="6"/>
      <w:numFmt w:val="bullet"/>
      <w:lvlText w:val="•"/>
      <w:lvlJc w:val="left"/>
      <w:pPr>
        <w:ind w:left="144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5090E28"/>
    <w:multiLevelType w:val="hybridMultilevel"/>
    <w:tmpl w:val="97FC36D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2B8E195A"/>
    <w:multiLevelType w:val="hybridMultilevel"/>
    <w:tmpl w:val="8A0C8564"/>
    <w:lvl w:ilvl="0">
      <w:start w:val="6"/>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962E5D"/>
    <w:multiLevelType w:val="hybridMultilevel"/>
    <w:tmpl w:val="E8E07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9874DDD"/>
    <w:multiLevelType w:val="hybridMultilevel"/>
    <w:tmpl w:val="BC8E4A4C"/>
    <w:lvl w:ilvl="0">
      <w:start w:val="6"/>
      <w:numFmt w:val="bullet"/>
      <w:lvlText w:val="•"/>
      <w:lvlJc w:val="left"/>
      <w:pPr>
        <w:ind w:left="1440" w:hanging="360"/>
      </w:pPr>
      <w:rPr>
        <w:rFonts w:ascii="Times New Roman" w:eastAsia="Calibri"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9616CDB"/>
    <w:multiLevelType w:val="hybridMultilevel"/>
    <w:tmpl w:val="C15A4BA2"/>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7C37218D"/>
    <w:multiLevelType w:val="hybridMultilevel"/>
    <w:tmpl w:val="E2A69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C47BB9"/>
    <w:multiLevelType w:val="hybridMultilevel"/>
    <w:tmpl w:val="12D8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6423608">
    <w:abstractNumId w:val="5"/>
  </w:num>
  <w:num w:numId="2" w16cid:durableId="1310789546">
    <w:abstractNumId w:val="7"/>
  </w:num>
  <w:num w:numId="3" w16cid:durableId="606281210">
    <w:abstractNumId w:val="1"/>
  </w:num>
  <w:num w:numId="4" w16cid:durableId="299767708">
    <w:abstractNumId w:val="0"/>
  </w:num>
  <w:num w:numId="5" w16cid:durableId="1697660920">
    <w:abstractNumId w:val="6"/>
  </w:num>
  <w:num w:numId="6" w16cid:durableId="903642799">
    <w:abstractNumId w:val="4"/>
  </w:num>
  <w:num w:numId="7" w16cid:durableId="49158468">
    <w:abstractNumId w:val="8"/>
  </w:num>
  <w:num w:numId="8" w16cid:durableId="1339189807">
    <w:abstractNumId w:val="3"/>
  </w:num>
  <w:num w:numId="9" w16cid:durableId="1467549848">
    <w:abstractNumId w:val="11"/>
  </w:num>
  <w:num w:numId="10" w16cid:durableId="2063407996">
    <w:abstractNumId w:val="2"/>
  </w:num>
  <w:num w:numId="11" w16cid:durableId="1159158127">
    <w:abstractNumId w:val="9"/>
  </w:num>
  <w:num w:numId="12" w16cid:durableId="1277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C3"/>
    <w:rsid w:val="00001B56"/>
    <w:rsid w:val="00001DAC"/>
    <w:rsid w:val="00004715"/>
    <w:rsid w:val="000054AB"/>
    <w:rsid w:val="000070E0"/>
    <w:rsid w:val="00007C68"/>
    <w:rsid w:val="00016F3A"/>
    <w:rsid w:val="0001729E"/>
    <w:rsid w:val="00021EA6"/>
    <w:rsid w:val="0002244F"/>
    <w:rsid w:val="00022693"/>
    <w:rsid w:val="000227D5"/>
    <w:rsid w:val="000232BC"/>
    <w:rsid w:val="00030CB2"/>
    <w:rsid w:val="000322A2"/>
    <w:rsid w:val="000324BB"/>
    <w:rsid w:val="00032BAE"/>
    <w:rsid w:val="00035990"/>
    <w:rsid w:val="000368D5"/>
    <w:rsid w:val="000428A6"/>
    <w:rsid w:val="00053F6D"/>
    <w:rsid w:val="00057AB0"/>
    <w:rsid w:val="0006106D"/>
    <w:rsid w:val="000666F6"/>
    <w:rsid w:val="0006677A"/>
    <w:rsid w:val="00066B5E"/>
    <w:rsid w:val="00066F5A"/>
    <w:rsid w:val="0007194E"/>
    <w:rsid w:val="0007240F"/>
    <w:rsid w:val="00074C07"/>
    <w:rsid w:val="00081A5A"/>
    <w:rsid w:val="00082058"/>
    <w:rsid w:val="00083DFD"/>
    <w:rsid w:val="00083F2B"/>
    <w:rsid w:val="00085BAE"/>
    <w:rsid w:val="00085F5C"/>
    <w:rsid w:val="0008608A"/>
    <w:rsid w:val="00093102"/>
    <w:rsid w:val="00093B21"/>
    <w:rsid w:val="00095B35"/>
    <w:rsid w:val="000A0C34"/>
    <w:rsid w:val="000A11E4"/>
    <w:rsid w:val="000A2584"/>
    <w:rsid w:val="000A3E8A"/>
    <w:rsid w:val="000B03E7"/>
    <w:rsid w:val="000B0B5C"/>
    <w:rsid w:val="000B0EFA"/>
    <w:rsid w:val="000B16E6"/>
    <w:rsid w:val="000B2027"/>
    <w:rsid w:val="000B2CD1"/>
    <w:rsid w:val="000B44D7"/>
    <w:rsid w:val="000B57BA"/>
    <w:rsid w:val="000B5A98"/>
    <w:rsid w:val="000B72A7"/>
    <w:rsid w:val="000C0F64"/>
    <w:rsid w:val="000C37C3"/>
    <w:rsid w:val="000C5D99"/>
    <w:rsid w:val="000D1F83"/>
    <w:rsid w:val="000D2859"/>
    <w:rsid w:val="000D7684"/>
    <w:rsid w:val="000D7DF7"/>
    <w:rsid w:val="000E0DF1"/>
    <w:rsid w:val="000E1867"/>
    <w:rsid w:val="000E3C3D"/>
    <w:rsid w:val="000E44C9"/>
    <w:rsid w:val="000E5D19"/>
    <w:rsid w:val="000E6142"/>
    <w:rsid w:val="000E628E"/>
    <w:rsid w:val="000F0A99"/>
    <w:rsid w:val="00101CD4"/>
    <w:rsid w:val="001027E6"/>
    <w:rsid w:val="00102827"/>
    <w:rsid w:val="0010384B"/>
    <w:rsid w:val="001038F7"/>
    <w:rsid w:val="00104855"/>
    <w:rsid w:val="00107698"/>
    <w:rsid w:val="00112DD6"/>
    <w:rsid w:val="00115DB5"/>
    <w:rsid w:val="00120BDE"/>
    <w:rsid w:val="001212A1"/>
    <w:rsid w:val="001225D8"/>
    <w:rsid w:val="00123561"/>
    <w:rsid w:val="00123862"/>
    <w:rsid w:val="00123D2A"/>
    <w:rsid w:val="00127DEB"/>
    <w:rsid w:val="00133788"/>
    <w:rsid w:val="0013502E"/>
    <w:rsid w:val="001350A0"/>
    <w:rsid w:val="001361A7"/>
    <w:rsid w:val="001362DF"/>
    <w:rsid w:val="0013680A"/>
    <w:rsid w:val="00137085"/>
    <w:rsid w:val="00140C73"/>
    <w:rsid w:val="00146E00"/>
    <w:rsid w:val="00146FAE"/>
    <w:rsid w:val="00153DEE"/>
    <w:rsid w:val="00155ECE"/>
    <w:rsid w:val="00160DDC"/>
    <w:rsid w:val="001628BD"/>
    <w:rsid w:val="0016722E"/>
    <w:rsid w:val="00171D2B"/>
    <w:rsid w:val="0017252D"/>
    <w:rsid w:val="00173B47"/>
    <w:rsid w:val="00175D8A"/>
    <w:rsid w:val="001770D4"/>
    <w:rsid w:val="00177C91"/>
    <w:rsid w:val="0018044A"/>
    <w:rsid w:val="00182D6A"/>
    <w:rsid w:val="00191495"/>
    <w:rsid w:val="001923DC"/>
    <w:rsid w:val="00192984"/>
    <w:rsid w:val="001934FD"/>
    <w:rsid w:val="00193D8F"/>
    <w:rsid w:val="00196F0F"/>
    <w:rsid w:val="001A09A3"/>
    <w:rsid w:val="001A109E"/>
    <w:rsid w:val="001A19F9"/>
    <w:rsid w:val="001A2DF5"/>
    <w:rsid w:val="001A44CA"/>
    <w:rsid w:val="001A4A48"/>
    <w:rsid w:val="001A5AE2"/>
    <w:rsid w:val="001B1123"/>
    <w:rsid w:val="001B1E95"/>
    <w:rsid w:val="001B2B85"/>
    <w:rsid w:val="001B368D"/>
    <w:rsid w:val="001B3907"/>
    <w:rsid w:val="001B46D6"/>
    <w:rsid w:val="001B531D"/>
    <w:rsid w:val="001B5788"/>
    <w:rsid w:val="001B79D6"/>
    <w:rsid w:val="001C0365"/>
    <w:rsid w:val="001C06FB"/>
    <w:rsid w:val="001C0D12"/>
    <w:rsid w:val="001C146E"/>
    <w:rsid w:val="001C4AC3"/>
    <w:rsid w:val="001C608D"/>
    <w:rsid w:val="001C747B"/>
    <w:rsid w:val="001D6490"/>
    <w:rsid w:val="001D7404"/>
    <w:rsid w:val="001E4E0A"/>
    <w:rsid w:val="001E649F"/>
    <w:rsid w:val="001E74C7"/>
    <w:rsid w:val="001F0A43"/>
    <w:rsid w:val="001F4327"/>
    <w:rsid w:val="00201BC0"/>
    <w:rsid w:val="00202D72"/>
    <w:rsid w:val="00203190"/>
    <w:rsid w:val="00203BCA"/>
    <w:rsid w:val="00205870"/>
    <w:rsid w:val="00205EC0"/>
    <w:rsid w:val="00211814"/>
    <w:rsid w:val="00211B7C"/>
    <w:rsid w:val="00215B69"/>
    <w:rsid w:val="00217C14"/>
    <w:rsid w:val="00220C31"/>
    <w:rsid w:val="00221B7A"/>
    <w:rsid w:val="00222D25"/>
    <w:rsid w:val="00224AE9"/>
    <w:rsid w:val="00226554"/>
    <w:rsid w:val="002307C1"/>
    <w:rsid w:val="002314FB"/>
    <w:rsid w:val="002326CD"/>
    <w:rsid w:val="00233196"/>
    <w:rsid w:val="00234FBD"/>
    <w:rsid w:val="00235B82"/>
    <w:rsid w:val="00253D78"/>
    <w:rsid w:val="00254542"/>
    <w:rsid w:val="00264E04"/>
    <w:rsid w:val="00266D4D"/>
    <w:rsid w:val="00270183"/>
    <w:rsid w:val="002706B3"/>
    <w:rsid w:val="002706E9"/>
    <w:rsid w:val="00270C1B"/>
    <w:rsid w:val="002710CC"/>
    <w:rsid w:val="002737D8"/>
    <w:rsid w:val="00274C89"/>
    <w:rsid w:val="00281133"/>
    <w:rsid w:val="002824FB"/>
    <w:rsid w:val="00282FA2"/>
    <w:rsid w:val="00284296"/>
    <w:rsid w:val="00291913"/>
    <w:rsid w:val="00293E56"/>
    <w:rsid w:val="002951F6"/>
    <w:rsid w:val="0029592F"/>
    <w:rsid w:val="002A15AE"/>
    <w:rsid w:val="002A337A"/>
    <w:rsid w:val="002A4DB5"/>
    <w:rsid w:val="002A71B8"/>
    <w:rsid w:val="002B30C3"/>
    <w:rsid w:val="002B32D3"/>
    <w:rsid w:val="002B39B7"/>
    <w:rsid w:val="002B4F39"/>
    <w:rsid w:val="002B58A5"/>
    <w:rsid w:val="002B7247"/>
    <w:rsid w:val="002C13E0"/>
    <w:rsid w:val="002C56BB"/>
    <w:rsid w:val="002C5F35"/>
    <w:rsid w:val="002D1117"/>
    <w:rsid w:val="002D1656"/>
    <w:rsid w:val="002D2B35"/>
    <w:rsid w:val="002D3F3A"/>
    <w:rsid w:val="002D55CC"/>
    <w:rsid w:val="002D6DCC"/>
    <w:rsid w:val="002D6ED9"/>
    <w:rsid w:val="002D7AAE"/>
    <w:rsid w:val="002E0963"/>
    <w:rsid w:val="002E1751"/>
    <w:rsid w:val="002E3B58"/>
    <w:rsid w:val="002E4C3D"/>
    <w:rsid w:val="002E4F78"/>
    <w:rsid w:val="002E6069"/>
    <w:rsid w:val="002E69E8"/>
    <w:rsid w:val="002F01E2"/>
    <w:rsid w:val="002F0BAC"/>
    <w:rsid w:val="002F0C3A"/>
    <w:rsid w:val="002F184A"/>
    <w:rsid w:val="002F2BDE"/>
    <w:rsid w:val="002F3E30"/>
    <w:rsid w:val="002F3E49"/>
    <w:rsid w:val="002F6B7F"/>
    <w:rsid w:val="003016CC"/>
    <w:rsid w:val="003022FC"/>
    <w:rsid w:val="00303E56"/>
    <w:rsid w:val="003073A4"/>
    <w:rsid w:val="00311F28"/>
    <w:rsid w:val="00312277"/>
    <w:rsid w:val="0031256F"/>
    <w:rsid w:val="003129A6"/>
    <w:rsid w:val="00313F97"/>
    <w:rsid w:val="00317F25"/>
    <w:rsid w:val="00322FBB"/>
    <w:rsid w:val="003245F0"/>
    <w:rsid w:val="003253CC"/>
    <w:rsid w:val="00327FA3"/>
    <w:rsid w:val="00332BCC"/>
    <w:rsid w:val="00333472"/>
    <w:rsid w:val="00333B97"/>
    <w:rsid w:val="00334594"/>
    <w:rsid w:val="00335776"/>
    <w:rsid w:val="00336943"/>
    <w:rsid w:val="0034219F"/>
    <w:rsid w:val="003437CA"/>
    <w:rsid w:val="003441FE"/>
    <w:rsid w:val="0034526F"/>
    <w:rsid w:val="00345EDD"/>
    <w:rsid w:val="00346B85"/>
    <w:rsid w:val="00350F6E"/>
    <w:rsid w:val="0035481C"/>
    <w:rsid w:val="00355B49"/>
    <w:rsid w:val="00361041"/>
    <w:rsid w:val="003635CF"/>
    <w:rsid w:val="00365290"/>
    <w:rsid w:val="00366B83"/>
    <w:rsid w:val="00367714"/>
    <w:rsid w:val="0037161D"/>
    <w:rsid w:val="00371A02"/>
    <w:rsid w:val="00371FE4"/>
    <w:rsid w:val="0037300A"/>
    <w:rsid w:val="00377537"/>
    <w:rsid w:val="00382EDF"/>
    <w:rsid w:val="00383C25"/>
    <w:rsid w:val="003850B5"/>
    <w:rsid w:val="00385C1E"/>
    <w:rsid w:val="00394BA1"/>
    <w:rsid w:val="0039764E"/>
    <w:rsid w:val="003A032B"/>
    <w:rsid w:val="003A08A7"/>
    <w:rsid w:val="003A1551"/>
    <w:rsid w:val="003A1C2E"/>
    <w:rsid w:val="003A2C31"/>
    <w:rsid w:val="003A2F42"/>
    <w:rsid w:val="003A3099"/>
    <w:rsid w:val="003A4C79"/>
    <w:rsid w:val="003B0F55"/>
    <w:rsid w:val="003B310F"/>
    <w:rsid w:val="003B4FE5"/>
    <w:rsid w:val="003B5C64"/>
    <w:rsid w:val="003B6E96"/>
    <w:rsid w:val="003B6FE9"/>
    <w:rsid w:val="003C6135"/>
    <w:rsid w:val="003C7602"/>
    <w:rsid w:val="003C7D4F"/>
    <w:rsid w:val="003D1D29"/>
    <w:rsid w:val="003D2D7E"/>
    <w:rsid w:val="003D3866"/>
    <w:rsid w:val="003D5074"/>
    <w:rsid w:val="003D59E2"/>
    <w:rsid w:val="003E04FB"/>
    <w:rsid w:val="003E2B52"/>
    <w:rsid w:val="003E3282"/>
    <w:rsid w:val="003E362E"/>
    <w:rsid w:val="003E4388"/>
    <w:rsid w:val="003E631D"/>
    <w:rsid w:val="003F16AC"/>
    <w:rsid w:val="003F27F8"/>
    <w:rsid w:val="003F474F"/>
    <w:rsid w:val="00400EDE"/>
    <w:rsid w:val="00401ACA"/>
    <w:rsid w:val="00404D79"/>
    <w:rsid w:val="004069FF"/>
    <w:rsid w:val="004142B0"/>
    <w:rsid w:val="00415456"/>
    <w:rsid w:val="00425790"/>
    <w:rsid w:val="0042672F"/>
    <w:rsid w:val="00427492"/>
    <w:rsid w:val="00427807"/>
    <w:rsid w:val="004316D6"/>
    <w:rsid w:val="00435059"/>
    <w:rsid w:val="00435174"/>
    <w:rsid w:val="0044388E"/>
    <w:rsid w:val="00445134"/>
    <w:rsid w:val="004452D7"/>
    <w:rsid w:val="00446498"/>
    <w:rsid w:val="00454391"/>
    <w:rsid w:val="00455A7D"/>
    <w:rsid w:val="00455ED3"/>
    <w:rsid w:val="00456689"/>
    <w:rsid w:val="0046005A"/>
    <w:rsid w:val="0046049A"/>
    <w:rsid w:val="0046189D"/>
    <w:rsid w:val="00464F62"/>
    <w:rsid w:val="00465776"/>
    <w:rsid w:val="00466DC5"/>
    <w:rsid w:val="00467387"/>
    <w:rsid w:val="00473E8F"/>
    <w:rsid w:val="00476508"/>
    <w:rsid w:val="00477B58"/>
    <w:rsid w:val="00477B5E"/>
    <w:rsid w:val="00481385"/>
    <w:rsid w:val="00481724"/>
    <w:rsid w:val="004818EC"/>
    <w:rsid w:val="00485BF8"/>
    <w:rsid w:val="0049164F"/>
    <w:rsid w:val="0049202F"/>
    <w:rsid w:val="00492964"/>
    <w:rsid w:val="004944BB"/>
    <w:rsid w:val="00494783"/>
    <w:rsid w:val="0049541E"/>
    <w:rsid w:val="0049615A"/>
    <w:rsid w:val="004A0721"/>
    <w:rsid w:val="004A0A3A"/>
    <w:rsid w:val="004A0B47"/>
    <w:rsid w:val="004A5476"/>
    <w:rsid w:val="004A5A78"/>
    <w:rsid w:val="004B0E39"/>
    <w:rsid w:val="004B277E"/>
    <w:rsid w:val="004B7A92"/>
    <w:rsid w:val="004C006E"/>
    <w:rsid w:val="004C0C72"/>
    <w:rsid w:val="004C18E6"/>
    <w:rsid w:val="004C51DA"/>
    <w:rsid w:val="004C5ACD"/>
    <w:rsid w:val="004C712E"/>
    <w:rsid w:val="004D5240"/>
    <w:rsid w:val="004D63CA"/>
    <w:rsid w:val="004D6899"/>
    <w:rsid w:val="004D6A5D"/>
    <w:rsid w:val="004D72DD"/>
    <w:rsid w:val="004D7C3D"/>
    <w:rsid w:val="004E14B7"/>
    <w:rsid w:val="004E2AEF"/>
    <w:rsid w:val="004E33BB"/>
    <w:rsid w:val="004F193C"/>
    <w:rsid w:val="004F250C"/>
    <w:rsid w:val="004F41AD"/>
    <w:rsid w:val="004F56A1"/>
    <w:rsid w:val="004F57C4"/>
    <w:rsid w:val="004F7EF0"/>
    <w:rsid w:val="00500649"/>
    <w:rsid w:val="005015C1"/>
    <w:rsid w:val="005017F1"/>
    <w:rsid w:val="005036F9"/>
    <w:rsid w:val="0050755F"/>
    <w:rsid w:val="00510D78"/>
    <w:rsid w:val="005111E2"/>
    <w:rsid w:val="00511602"/>
    <w:rsid w:val="00513458"/>
    <w:rsid w:val="005140E9"/>
    <w:rsid w:val="00520B63"/>
    <w:rsid w:val="00520FD3"/>
    <w:rsid w:val="00523D35"/>
    <w:rsid w:val="00524B5B"/>
    <w:rsid w:val="0052642B"/>
    <w:rsid w:val="00526696"/>
    <w:rsid w:val="0053329B"/>
    <w:rsid w:val="00533408"/>
    <w:rsid w:val="00533F9A"/>
    <w:rsid w:val="00541D41"/>
    <w:rsid w:val="00543EF7"/>
    <w:rsid w:val="00546CD3"/>
    <w:rsid w:val="00552CBE"/>
    <w:rsid w:val="00554749"/>
    <w:rsid w:val="00554DDE"/>
    <w:rsid w:val="00555F22"/>
    <w:rsid w:val="00560675"/>
    <w:rsid w:val="0056068C"/>
    <w:rsid w:val="00563730"/>
    <w:rsid w:val="00563F20"/>
    <w:rsid w:val="005659D3"/>
    <w:rsid w:val="00566DCF"/>
    <w:rsid w:val="00567165"/>
    <w:rsid w:val="00570D68"/>
    <w:rsid w:val="00573139"/>
    <w:rsid w:val="0057347B"/>
    <w:rsid w:val="00573A81"/>
    <w:rsid w:val="00573AD8"/>
    <w:rsid w:val="00581EEA"/>
    <w:rsid w:val="00584BBD"/>
    <w:rsid w:val="00590AF6"/>
    <w:rsid w:val="00591F7E"/>
    <w:rsid w:val="00592435"/>
    <w:rsid w:val="00592638"/>
    <w:rsid w:val="005936DD"/>
    <w:rsid w:val="00593A77"/>
    <w:rsid w:val="00595C7F"/>
    <w:rsid w:val="005A3701"/>
    <w:rsid w:val="005A4623"/>
    <w:rsid w:val="005A6888"/>
    <w:rsid w:val="005B33E9"/>
    <w:rsid w:val="005B4D51"/>
    <w:rsid w:val="005B51FD"/>
    <w:rsid w:val="005B70A8"/>
    <w:rsid w:val="005B7DF4"/>
    <w:rsid w:val="005C01C4"/>
    <w:rsid w:val="005C2AF1"/>
    <w:rsid w:val="005C3968"/>
    <w:rsid w:val="005C6E1A"/>
    <w:rsid w:val="005C7A1F"/>
    <w:rsid w:val="005D160F"/>
    <w:rsid w:val="005D20F3"/>
    <w:rsid w:val="005D23C6"/>
    <w:rsid w:val="005D4E0C"/>
    <w:rsid w:val="005D7146"/>
    <w:rsid w:val="005E085E"/>
    <w:rsid w:val="005E09D2"/>
    <w:rsid w:val="005E2BDB"/>
    <w:rsid w:val="005E5D13"/>
    <w:rsid w:val="005F0845"/>
    <w:rsid w:val="005F1813"/>
    <w:rsid w:val="005F1DB6"/>
    <w:rsid w:val="005F1DF3"/>
    <w:rsid w:val="005F22F7"/>
    <w:rsid w:val="005F3496"/>
    <w:rsid w:val="005F3602"/>
    <w:rsid w:val="005F3973"/>
    <w:rsid w:val="005F4B53"/>
    <w:rsid w:val="006003BC"/>
    <w:rsid w:val="006009FF"/>
    <w:rsid w:val="00602B37"/>
    <w:rsid w:val="00603F93"/>
    <w:rsid w:val="0060552B"/>
    <w:rsid w:val="00606028"/>
    <w:rsid w:val="00611656"/>
    <w:rsid w:val="006119FF"/>
    <w:rsid w:val="0061381A"/>
    <w:rsid w:val="006152D0"/>
    <w:rsid w:val="0061534E"/>
    <w:rsid w:val="00615F43"/>
    <w:rsid w:val="00616372"/>
    <w:rsid w:val="00621503"/>
    <w:rsid w:val="00625755"/>
    <w:rsid w:val="00625EE3"/>
    <w:rsid w:val="006276C2"/>
    <w:rsid w:val="00627E3F"/>
    <w:rsid w:val="0063297E"/>
    <w:rsid w:val="00632E28"/>
    <w:rsid w:val="00633FF1"/>
    <w:rsid w:val="0063420D"/>
    <w:rsid w:val="0063581F"/>
    <w:rsid w:val="00637431"/>
    <w:rsid w:val="00637E23"/>
    <w:rsid w:val="00643AB4"/>
    <w:rsid w:val="00644613"/>
    <w:rsid w:val="00645330"/>
    <w:rsid w:val="00655700"/>
    <w:rsid w:val="006613CA"/>
    <w:rsid w:val="00662597"/>
    <w:rsid w:val="006647E6"/>
    <w:rsid w:val="006653F7"/>
    <w:rsid w:val="00665627"/>
    <w:rsid w:val="00670138"/>
    <w:rsid w:val="00670FDC"/>
    <w:rsid w:val="006710C1"/>
    <w:rsid w:val="00671F1B"/>
    <w:rsid w:val="00671FAA"/>
    <w:rsid w:val="00672937"/>
    <w:rsid w:val="006739C4"/>
    <w:rsid w:val="006744AA"/>
    <w:rsid w:val="00674784"/>
    <w:rsid w:val="00682F02"/>
    <w:rsid w:val="006831EC"/>
    <w:rsid w:val="00685C15"/>
    <w:rsid w:val="0069037C"/>
    <w:rsid w:val="006924A3"/>
    <w:rsid w:val="00697F07"/>
    <w:rsid w:val="006A3368"/>
    <w:rsid w:val="006A3599"/>
    <w:rsid w:val="006A3858"/>
    <w:rsid w:val="006A385D"/>
    <w:rsid w:val="006A5CDC"/>
    <w:rsid w:val="006A716C"/>
    <w:rsid w:val="006B0733"/>
    <w:rsid w:val="006B10AE"/>
    <w:rsid w:val="006B13EC"/>
    <w:rsid w:val="006B151F"/>
    <w:rsid w:val="006B5828"/>
    <w:rsid w:val="006C14B2"/>
    <w:rsid w:val="006C3BB2"/>
    <w:rsid w:val="006C413A"/>
    <w:rsid w:val="006C6E97"/>
    <w:rsid w:val="006D1497"/>
    <w:rsid w:val="006D69C9"/>
    <w:rsid w:val="006D784D"/>
    <w:rsid w:val="006E32C0"/>
    <w:rsid w:val="006E462D"/>
    <w:rsid w:val="006F061E"/>
    <w:rsid w:val="006F3BCF"/>
    <w:rsid w:val="006F4EC3"/>
    <w:rsid w:val="006F521F"/>
    <w:rsid w:val="006F6362"/>
    <w:rsid w:val="006F7B37"/>
    <w:rsid w:val="007011EE"/>
    <w:rsid w:val="00704ADB"/>
    <w:rsid w:val="00710A42"/>
    <w:rsid w:val="00711240"/>
    <w:rsid w:val="00711ABF"/>
    <w:rsid w:val="00713922"/>
    <w:rsid w:val="00713EC5"/>
    <w:rsid w:val="00715C51"/>
    <w:rsid w:val="00716B4A"/>
    <w:rsid w:val="00721B1A"/>
    <w:rsid w:val="00721E1A"/>
    <w:rsid w:val="00723BAC"/>
    <w:rsid w:val="00726DB4"/>
    <w:rsid w:val="00727936"/>
    <w:rsid w:val="00731F53"/>
    <w:rsid w:val="00732F50"/>
    <w:rsid w:val="0074187B"/>
    <w:rsid w:val="00743CAC"/>
    <w:rsid w:val="00744C3E"/>
    <w:rsid w:val="0074647A"/>
    <w:rsid w:val="007466AF"/>
    <w:rsid w:val="00746778"/>
    <w:rsid w:val="00750BB5"/>
    <w:rsid w:val="007516AA"/>
    <w:rsid w:val="00751936"/>
    <w:rsid w:val="00752074"/>
    <w:rsid w:val="007522B4"/>
    <w:rsid w:val="0075256E"/>
    <w:rsid w:val="00753A8C"/>
    <w:rsid w:val="00754FC4"/>
    <w:rsid w:val="00755EC2"/>
    <w:rsid w:val="00761962"/>
    <w:rsid w:val="007641FA"/>
    <w:rsid w:val="00765FE7"/>
    <w:rsid w:val="00767F4C"/>
    <w:rsid w:val="0077492D"/>
    <w:rsid w:val="00775FE9"/>
    <w:rsid w:val="007767E0"/>
    <w:rsid w:val="00782352"/>
    <w:rsid w:val="00784096"/>
    <w:rsid w:val="0079259C"/>
    <w:rsid w:val="00793B1D"/>
    <w:rsid w:val="007A021D"/>
    <w:rsid w:val="007A0E0C"/>
    <w:rsid w:val="007A1737"/>
    <w:rsid w:val="007A28A2"/>
    <w:rsid w:val="007A45AA"/>
    <w:rsid w:val="007A4955"/>
    <w:rsid w:val="007A7BF3"/>
    <w:rsid w:val="007B0CD5"/>
    <w:rsid w:val="007B1088"/>
    <w:rsid w:val="007B57BF"/>
    <w:rsid w:val="007B77B2"/>
    <w:rsid w:val="007B7F0D"/>
    <w:rsid w:val="007C007F"/>
    <w:rsid w:val="007C157C"/>
    <w:rsid w:val="007C1858"/>
    <w:rsid w:val="007C317E"/>
    <w:rsid w:val="007D1096"/>
    <w:rsid w:val="007D15C8"/>
    <w:rsid w:val="007D259B"/>
    <w:rsid w:val="007D2A2F"/>
    <w:rsid w:val="007E06E7"/>
    <w:rsid w:val="007E090A"/>
    <w:rsid w:val="007E0E83"/>
    <w:rsid w:val="007E28FF"/>
    <w:rsid w:val="007E3356"/>
    <w:rsid w:val="007F2AC1"/>
    <w:rsid w:val="007F2DCA"/>
    <w:rsid w:val="007F4122"/>
    <w:rsid w:val="007F6F77"/>
    <w:rsid w:val="008004B4"/>
    <w:rsid w:val="00800547"/>
    <w:rsid w:val="008013B5"/>
    <w:rsid w:val="0080161A"/>
    <w:rsid w:val="00802882"/>
    <w:rsid w:val="00803897"/>
    <w:rsid w:val="0081349B"/>
    <w:rsid w:val="00814901"/>
    <w:rsid w:val="008154C2"/>
    <w:rsid w:val="0082656C"/>
    <w:rsid w:val="00826FF1"/>
    <w:rsid w:val="00831354"/>
    <w:rsid w:val="00831472"/>
    <w:rsid w:val="00831E0B"/>
    <w:rsid w:val="008343F9"/>
    <w:rsid w:val="00834EB5"/>
    <w:rsid w:val="00835B89"/>
    <w:rsid w:val="00836C1C"/>
    <w:rsid w:val="00837BE7"/>
    <w:rsid w:val="0084074A"/>
    <w:rsid w:val="00842DA5"/>
    <w:rsid w:val="00846990"/>
    <w:rsid w:val="00847A13"/>
    <w:rsid w:val="008512BC"/>
    <w:rsid w:val="00851B39"/>
    <w:rsid w:val="00853AF9"/>
    <w:rsid w:val="00854AD8"/>
    <w:rsid w:val="008552CC"/>
    <w:rsid w:val="008560A3"/>
    <w:rsid w:val="00856105"/>
    <w:rsid w:val="008623EC"/>
    <w:rsid w:val="008667B3"/>
    <w:rsid w:val="00867181"/>
    <w:rsid w:val="00871857"/>
    <w:rsid w:val="0087211C"/>
    <w:rsid w:val="008728E5"/>
    <w:rsid w:val="00872CDB"/>
    <w:rsid w:val="008743FA"/>
    <w:rsid w:val="00875C46"/>
    <w:rsid w:val="00882427"/>
    <w:rsid w:val="00885D16"/>
    <w:rsid w:val="0088755E"/>
    <w:rsid w:val="00890AEF"/>
    <w:rsid w:val="008934FD"/>
    <w:rsid w:val="008A0059"/>
    <w:rsid w:val="008A212E"/>
    <w:rsid w:val="008A4645"/>
    <w:rsid w:val="008A4B2A"/>
    <w:rsid w:val="008A53CF"/>
    <w:rsid w:val="008A59F7"/>
    <w:rsid w:val="008A5EBE"/>
    <w:rsid w:val="008A622F"/>
    <w:rsid w:val="008A6A68"/>
    <w:rsid w:val="008A7063"/>
    <w:rsid w:val="008B0E89"/>
    <w:rsid w:val="008B106F"/>
    <w:rsid w:val="008B115C"/>
    <w:rsid w:val="008B253B"/>
    <w:rsid w:val="008B2DDD"/>
    <w:rsid w:val="008B3605"/>
    <w:rsid w:val="008B3840"/>
    <w:rsid w:val="008B49A8"/>
    <w:rsid w:val="008B5DAF"/>
    <w:rsid w:val="008B6988"/>
    <w:rsid w:val="008B746C"/>
    <w:rsid w:val="008B7D50"/>
    <w:rsid w:val="008C0904"/>
    <w:rsid w:val="008C1EB8"/>
    <w:rsid w:val="008C22E2"/>
    <w:rsid w:val="008C2438"/>
    <w:rsid w:val="008C464A"/>
    <w:rsid w:val="008C481B"/>
    <w:rsid w:val="008C5CDC"/>
    <w:rsid w:val="008C5FE6"/>
    <w:rsid w:val="008D0CF2"/>
    <w:rsid w:val="008D224A"/>
    <w:rsid w:val="008D2D2D"/>
    <w:rsid w:val="008D39BA"/>
    <w:rsid w:val="008E0651"/>
    <w:rsid w:val="008E2379"/>
    <w:rsid w:val="008E3327"/>
    <w:rsid w:val="008E5550"/>
    <w:rsid w:val="008E5D15"/>
    <w:rsid w:val="008F2C72"/>
    <w:rsid w:val="008F3621"/>
    <w:rsid w:val="008F7EC0"/>
    <w:rsid w:val="0090047C"/>
    <w:rsid w:val="00902073"/>
    <w:rsid w:val="00902DE1"/>
    <w:rsid w:val="0090573F"/>
    <w:rsid w:val="009077AB"/>
    <w:rsid w:val="00907D28"/>
    <w:rsid w:val="00907D2E"/>
    <w:rsid w:val="00911558"/>
    <w:rsid w:val="00911A76"/>
    <w:rsid w:val="0091247F"/>
    <w:rsid w:val="00912F89"/>
    <w:rsid w:val="0091303C"/>
    <w:rsid w:val="00913FB4"/>
    <w:rsid w:val="00915FCF"/>
    <w:rsid w:val="00916825"/>
    <w:rsid w:val="00920650"/>
    <w:rsid w:val="0092117C"/>
    <w:rsid w:val="0092430E"/>
    <w:rsid w:val="00926060"/>
    <w:rsid w:val="009266E9"/>
    <w:rsid w:val="0092758A"/>
    <w:rsid w:val="00927919"/>
    <w:rsid w:val="00932D3E"/>
    <w:rsid w:val="00934111"/>
    <w:rsid w:val="009341D0"/>
    <w:rsid w:val="009342D9"/>
    <w:rsid w:val="00935A79"/>
    <w:rsid w:val="00937772"/>
    <w:rsid w:val="00940944"/>
    <w:rsid w:val="00943282"/>
    <w:rsid w:val="009440CD"/>
    <w:rsid w:val="00945721"/>
    <w:rsid w:val="0094586F"/>
    <w:rsid w:val="00946127"/>
    <w:rsid w:val="00946B6A"/>
    <w:rsid w:val="0094750C"/>
    <w:rsid w:val="00951871"/>
    <w:rsid w:val="009545A0"/>
    <w:rsid w:val="00954F8F"/>
    <w:rsid w:val="009567A2"/>
    <w:rsid w:val="00956B44"/>
    <w:rsid w:val="00960E33"/>
    <w:rsid w:val="009613F5"/>
    <w:rsid w:val="00966706"/>
    <w:rsid w:val="00966890"/>
    <w:rsid w:val="0096773E"/>
    <w:rsid w:val="00967C10"/>
    <w:rsid w:val="0097268A"/>
    <w:rsid w:val="00974B64"/>
    <w:rsid w:val="00976CB4"/>
    <w:rsid w:val="00981064"/>
    <w:rsid w:val="0098117A"/>
    <w:rsid w:val="00983057"/>
    <w:rsid w:val="0098676D"/>
    <w:rsid w:val="00990366"/>
    <w:rsid w:val="00993D4A"/>
    <w:rsid w:val="0099571F"/>
    <w:rsid w:val="009958C9"/>
    <w:rsid w:val="009977F3"/>
    <w:rsid w:val="009A0401"/>
    <w:rsid w:val="009A1E7C"/>
    <w:rsid w:val="009A3FCB"/>
    <w:rsid w:val="009A42A7"/>
    <w:rsid w:val="009A6423"/>
    <w:rsid w:val="009A75D7"/>
    <w:rsid w:val="009B0A60"/>
    <w:rsid w:val="009B2DEF"/>
    <w:rsid w:val="009B72DA"/>
    <w:rsid w:val="009B7A4E"/>
    <w:rsid w:val="009C3DB4"/>
    <w:rsid w:val="009C5AE7"/>
    <w:rsid w:val="009C6C05"/>
    <w:rsid w:val="009D294B"/>
    <w:rsid w:val="009D2ABB"/>
    <w:rsid w:val="009E0951"/>
    <w:rsid w:val="009E53B5"/>
    <w:rsid w:val="009E54EC"/>
    <w:rsid w:val="009E70F9"/>
    <w:rsid w:val="009F1967"/>
    <w:rsid w:val="009F1C3B"/>
    <w:rsid w:val="009F3BE4"/>
    <w:rsid w:val="009F3F9F"/>
    <w:rsid w:val="009F693C"/>
    <w:rsid w:val="009F69B0"/>
    <w:rsid w:val="009F6F83"/>
    <w:rsid w:val="00A06024"/>
    <w:rsid w:val="00A1082E"/>
    <w:rsid w:val="00A1086C"/>
    <w:rsid w:val="00A11E29"/>
    <w:rsid w:val="00A1368B"/>
    <w:rsid w:val="00A14C3D"/>
    <w:rsid w:val="00A2265F"/>
    <w:rsid w:val="00A23325"/>
    <w:rsid w:val="00A2383A"/>
    <w:rsid w:val="00A23C4C"/>
    <w:rsid w:val="00A33614"/>
    <w:rsid w:val="00A343E0"/>
    <w:rsid w:val="00A3622F"/>
    <w:rsid w:val="00A3746E"/>
    <w:rsid w:val="00A400E2"/>
    <w:rsid w:val="00A424E5"/>
    <w:rsid w:val="00A451B2"/>
    <w:rsid w:val="00A45758"/>
    <w:rsid w:val="00A45D08"/>
    <w:rsid w:val="00A4693D"/>
    <w:rsid w:val="00A52219"/>
    <w:rsid w:val="00A549E4"/>
    <w:rsid w:val="00A55AC0"/>
    <w:rsid w:val="00A63796"/>
    <w:rsid w:val="00A640E0"/>
    <w:rsid w:val="00A6574C"/>
    <w:rsid w:val="00A65ADA"/>
    <w:rsid w:val="00A66883"/>
    <w:rsid w:val="00A66A6D"/>
    <w:rsid w:val="00A67271"/>
    <w:rsid w:val="00A67385"/>
    <w:rsid w:val="00A6743E"/>
    <w:rsid w:val="00A71436"/>
    <w:rsid w:val="00A72242"/>
    <w:rsid w:val="00A73348"/>
    <w:rsid w:val="00A7486D"/>
    <w:rsid w:val="00A749CE"/>
    <w:rsid w:val="00A749E0"/>
    <w:rsid w:val="00A74AFF"/>
    <w:rsid w:val="00A74CC3"/>
    <w:rsid w:val="00A804EE"/>
    <w:rsid w:val="00A8071A"/>
    <w:rsid w:val="00A80AFE"/>
    <w:rsid w:val="00A81C40"/>
    <w:rsid w:val="00A81D11"/>
    <w:rsid w:val="00A82597"/>
    <w:rsid w:val="00A83BE4"/>
    <w:rsid w:val="00A84144"/>
    <w:rsid w:val="00A85743"/>
    <w:rsid w:val="00A87734"/>
    <w:rsid w:val="00A93AD8"/>
    <w:rsid w:val="00A9460A"/>
    <w:rsid w:val="00AA0699"/>
    <w:rsid w:val="00AA09A6"/>
    <w:rsid w:val="00AA1BA4"/>
    <w:rsid w:val="00AA1CE5"/>
    <w:rsid w:val="00AA1D70"/>
    <w:rsid w:val="00AA25F2"/>
    <w:rsid w:val="00AA570A"/>
    <w:rsid w:val="00AA65BE"/>
    <w:rsid w:val="00AB0509"/>
    <w:rsid w:val="00AB0BBE"/>
    <w:rsid w:val="00AB4477"/>
    <w:rsid w:val="00AC0BBF"/>
    <w:rsid w:val="00AC3314"/>
    <w:rsid w:val="00AC5CD3"/>
    <w:rsid w:val="00AD02E1"/>
    <w:rsid w:val="00AD2B8C"/>
    <w:rsid w:val="00AD4003"/>
    <w:rsid w:val="00AD44EC"/>
    <w:rsid w:val="00AD56F3"/>
    <w:rsid w:val="00AE08DC"/>
    <w:rsid w:val="00AE0D6A"/>
    <w:rsid w:val="00AE188E"/>
    <w:rsid w:val="00AE195F"/>
    <w:rsid w:val="00AE2CF1"/>
    <w:rsid w:val="00AE2F79"/>
    <w:rsid w:val="00AE33B7"/>
    <w:rsid w:val="00AE6EF0"/>
    <w:rsid w:val="00AF028E"/>
    <w:rsid w:val="00AF120E"/>
    <w:rsid w:val="00AF1456"/>
    <w:rsid w:val="00AF1DEC"/>
    <w:rsid w:val="00AF222B"/>
    <w:rsid w:val="00AF42D8"/>
    <w:rsid w:val="00AF5895"/>
    <w:rsid w:val="00AF7D20"/>
    <w:rsid w:val="00B014EF"/>
    <w:rsid w:val="00B055D0"/>
    <w:rsid w:val="00B05BC7"/>
    <w:rsid w:val="00B103DF"/>
    <w:rsid w:val="00B13793"/>
    <w:rsid w:val="00B205AA"/>
    <w:rsid w:val="00B20E4D"/>
    <w:rsid w:val="00B21702"/>
    <w:rsid w:val="00B30317"/>
    <w:rsid w:val="00B3124B"/>
    <w:rsid w:val="00B32E5B"/>
    <w:rsid w:val="00B33E1D"/>
    <w:rsid w:val="00B43A3F"/>
    <w:rsid w:val="00B451C8"/>
    <w:rsid w:val="00B466C9"/>
    <w:rsid w:val="00B4755F"/>
    <w:rsid w:val="00B53BFC"/>
    <w:rsid w:val="00B55593"/>
    <w:rsid w:val="00B60413"/>
    <w:rsid w:val="00B60DFB"/>
    <w:rsid w:val="00B6503B"/>
    <w:rsid w:val="00B75861"/>
    <w:rsid w:val="00B813E4"/>
    <w:rsid w:val="00B82F20"/>
    <w:rsid w:val="00B84936"/>
    <w:rsid w:val="00B85F22"/>
    <w:rsid w:val="00B97017"/>
    <w:rsid w:val="00BA5210"/>
    <w:rsid w:val="00BB0272"/>
    <w:rsid w:val="00BB179A"/>
    <w:rsid w:val="00BB4231"/>
    <w:rsid w:val="00BC3234"/>
    <w:rsid w:val="00BC35EB"/>
    <w:rsid w:val="00BC4F2C"/>
    <w:rsid w:val="00BC5712"/>
    <w:rsid w:val="00BC5C2C"/>
    <w:rsid w:val="00BC6F6F"/>
    <w:rsid w:val="00BD38E0"/>
    <w:rsid w:val="00BE1CEF"/>
    <w:rsid w:val="00BE2647"/>
    <w:rsid w:val="00BE7398"/>
    <w:rsid w:val="00BE7DF6"/>
    <w:rsid w:val="00BF4430"/>
    <w:rsid w:val="00BF6526"/>
    <w:rsid w:val="00C00080"/>
    <w:rsid w:val="00C00395"/>
    <w:rsid w:val="00C021B4"/>
    <w:rsid w:val="00C0226B"/>
    <w:rsid w:val="00C0748C"/>
    <w:rsid w:val="00C07FB3"/>
    <w:rsid w:val="00C10328"/>
    <w:rsid w:val="00C10960"/>
    <w:rsid w:val="00C11ADC"/>
    <w:rsid w:val="00C1324F"/>
    <w:rsid w:val="00C143E4"/>
    <w:rsid w:val="00C14601"/>
    <w:rsid w:val="00C147F7"/>
    <w:rsid w:val="00C175FC"/>
    <w:rsid w:val="00C212A8"/>
    <w:rsid w:val="00C25AD5"/>
    <w:rsid w:val="00C274FB"/>
    <w:rsid w:val="00C30FAA"/>
    <w:rsid w:val="00C31BC2"/>
    <w:rsid w:val="00C35AFF"/>
    <w:rsid w:val="00C3753E"/>
    <w:rsid w:val="00C42B95"/>
    <w:rsid w:val="00C431AE"/>
    <w:rsid w:val="00C4399F"/>
    <w:rsid w:val="00C44B68"/>
    <w:rsid w:val="00C522F7"/>
    <w:rsid w:val="00C539D7"/>
    <w:rsid w:val="00C570C3"/>
    <w:rsid w:val="00C57209"/>
    <w:rsid w:val="00C61619"/>
    <w:rsid w:val="00C62FFE"/>
    <w:rsid w:val="00C630E0"/>
    <w:rsid w:val="00C64C9F"/>
    <w:rsid w:val="00C673FD"/>
    <w:rsid w:val="00C72E16"/>
    <w:rsid w:val="00C72F9E"/>
    <w:rsid w:val="00C734BE"/>
    <w:rsid w:val="00C73C3A"/>
    <w:rsid w:val="00C74088"/>
    <w:rsid w:val="00C750EF"/>
    <w:rsid w:val="00C7748B"/>
    <w:rsid w:val="00C86E3B"/>
    <w:rsid w:val="00C92396"/>
    <w:rsid w:val="00C946A4"/>
    <w:rsid w:val="00C95456"/>
    <w:rsid w:val="00C96301"/>
    <w:rsid w:val="00C969CF"/>
    <w:rsid w:val="00C979FE"/>
    <w:rsid w:val="00CA080A"/>
    <w:rsid w:val="00CA0C02"/>
    <w:rsid w:val="00CA0CE5"/>
    <w:rsid w:val="00CA18CC"/>
    <w:rsid w:val="00CA291B"/>
    <w:rsid w:val="00CB1A5E"/>
    <w:rsid w:val="00CB29D8"/>
    <w:rsid w:val="00CB3103"/>
    <w:rsid w:val="00CB3AF4"/>
    <w:rsid w:val="00CB558F"/>
    <w:rsid w:val="00CB5EFE"/>
    <w:rsid w:val="00CB77FD"/>
    <w:rsid w:val="00CC158B"/>
    <w:rsid w:val="00CC361E"/>
    <w:rsid w:val="00CC38D2"/>
    <w:rsid w:val="00CC4203"/>
    <w:rsid w:val="00CC5260"/>
    <w:rsid w:val="00CC5706"/>
    <w:rsid w:val="00CD328B"/>
    <w:rsid w:val="00CD40F8"/>
    <w:rsid w:val="00CD4900"/>
    <w:rsid w:val="00CD55D6"/>
    <w:rsid w:val="00CD5AA5"/>
    <w:rsid w:val="00CD63FD"/>
    <w:rsid w:val="00CD7422"/>
    <w:rsid w:val="00CD7C46"/>
    <w:rsid w:val="00CE522B"/>
    <w:rsid w:val="00CF188C"/>
    <w:rsid w:val="00CF33B8"/>
    <w:rsid w:val="00CF4193"/>
    <w:rsid w:val="00CF553D"/>
    <w:rsid w:val="00CF5D12"/>
    <w:rsid w:val="00CF73AF"/>
    <w:rsid w:val="00D00718"/>
    <w:rsid w:val="00D01CD2"/>
    <w:rsid w:val="00D10406"/>
    <w:rsid w:val="00D105BB"/>
    <w:rsid w:val="00D11D11"/>
    <w:rsid w:val="00D1628C"/>
    <w:rsid w:val="00D17411"/>
    <w:rsid w:val="00D17434"/>
    <w:rsid w:val="00D17869"/>
    <w:rsid w:val="00D22799"/>
    <w:rsid w:val="00D23125"/>
    <w:rsid w:val="00D23EF2"/>
    <w:rsid w:val="00D279F0"/>
    <w:rsid w:val="00D32FF3"/>
    <w:rsid w:val="00D330E3"/>
    <w:rsid w:val="00D3518F"/>
    <w:rsid w:val="00D3596B"/>
    <w:rsid w:val="00D3638C"/>
    <w:rsid w:val="00D3695C"/>
    <w:rsid w:val="00D42925"/>
    <w:rsid w:val="00D4410C"/>
    <w:rsid w:val="00D4469D"/>
    <w:rsid w:val="00D463EE"/>
    <w:rsid w:val="00D505B5"/>
    <w:rsid w:val="00D5608B"/>
    <w:rsid w:val="00D566E6"/>
    <w:rsid w:val="00D570BC"/>
    <w:rsid w:val="00D571A7"/>
    <w:rsid w:val="00D57830"/>
    <w:rsid w:val="00D603FC"/>
    <w:rsid w:val="00D646CC"/>
    <w:rsid w:val="00D67593"/>
    <w:rsid w:val="00D67CAF"/>
    <w:rsid w:val="00D71008"/>
    <w:rsid w:val="00D75231"/>
    <w:rsid w:val="00D763FE"/>
    <w:rsid w:val="00D80F41"/>
    <w:rsid w:val="00D82347"/>
    <w:rsid w:val="00D83550"/>
    <w:rsid w:val="00D85044"/>
    <w:rsid w:val="00D85818"/>
    <w:rsid w:val="00D900DA"/>
    <w:rsid w:val="00D92192"/>
    <w:rsid w:val="00D93141"/>
    <w:rsid w:val="00D93C0E"/>
    <w:rsid w:val="00D95B53"/>
    <w:rsid w:val="00D95EE0"/>
    <w:rsid w:val="00D95F76"/>
    <w:rsid w:val="00D965BC"/>
    <w:rsid w:val="00D9752E"/>
    <w:rsid w:val="00D97DA4"/>
    <w:rsid w:val="00DA36B1"/>
    <w:rsid w:val="00DA4B65"/>
    <w:rsid w:val="00DA51FA"/>
    <w:rsid w:val="00DA681B"/>
    <w:rsid w:val="00DA716F"/>
    <w:rsid w:val="00DB0124"/>
    <w:rsid w:val="00DB14E7"/>
    <w:rsid w:val="00DB18DD"/>
    <w:rsid w:val="00DB2204"/>
    <w:rsid w:val="00DB5FB6"/>
    <w:rsid w:val="00DB600C"/>
    <w:rsid w:val="00DB60F6"/>
    <w:rsid w:val="00DB6720"/>
    <w:rsid w:val="00DC06E5"/>
    <w:rsid w:val="00DC0976"/>
    <w:rsid w:val="00DC0FD4"/>
    <w:rsid w:val="00DC20C9"/>
    <w:rsid w:val="00DC757F"/>
    <w:rsid w:val="00DD145F"/>
    <w:rsid w:val="00DD59A9"/>
    <w:rsid w:val="00DD669C"/>
    <w:rsid w:val="00DE3E4F"/>
    <w:rsid w:val="00DE49C1"/>
    <w:rsid w:val="00DE4BE2"/>
    <w:rsid w:val="00DE4DEF"/>
    <w:rsid w:val="00DF0250"/>
    <w:rsid w:val="00DF1D11"/>
    <w:rsid w:val="00DF3DAD"/>
    <w:rsid w:val="00DF4370"/>
    <w:rsid w:val="00E0045E"/>
    <w:rsid w:val="00E00A89"/>
    <w:rsid w:val="00E00E04"/>
    <w:rsid w:val="00E04979"/>
    <w:rsid w:val="00E04A9B"/>
    <w:rsid w:val="00E15C96"/>
    <w:rsid w:val="00E24955"/>
    <w:rsid w:val="00E27C82"/>
    <w:rsid w:val="00E27F47"/>
    <w:rsid w:val="00E30A8E"/>
    <w:rsid w:val="00E337E1"/>
    <w:rsid w:val="00E372CA"/>
    <w:rsid w:val="00E375C3"/>
    <w:rsid w:val="00E41F53"/>
    <w:rsid w:val="00E434A1"/>
    <w:rsid w:val="00E43611"/>
    <w:rsid w:val="00E45640"/>
    <w:rsid w:val="00E50624"/>
    <w:rsid w:val="00E5072B"/>
    <w:rsid w:val="00E53908"/>
    <w:rsid w:val="00E53D67"/>
    <w:rsid w:val="00E542CD"/>
    <w:rsid w:val="00E6264A"/>
    <w:rsid w:val="00E65173"/>
    <w:rsid w:val="00E6533F"/>
    <w:rsid w:val="00E66E5B"/>
    <w:rsid w:val="00E70D3C"/>
    <w:rsid w:val="00E73D8E"/>
    <w:rsid w:val="00E74483"/>
    <w:rsid w:val="00E74E1A"/>
    <w:rsid w:val="00E76A4E"/>
    <w:rsid w:val="00E76B37"/>
    <w:rsid w:val="00E861D9"/>
    <w:rsid w:val="00E86E32"/>
    <w:rsid w:val="00E876D3"/>
    <w:rsid w:val="00E9229E"/>
    <w:rsid w:val="00E92CB8"/>
    <w:rsid w:val="00E94D75"/>
    <w:rsid w:val="00EA09D1"/>
    <w:rsid w:val="00EA1F53"/>
    <w:rsid w:val="00EA39B1"/>
    <w:rsid w:val="00EA5163"/>
    <w:rsid w:val="00EA562F"/>
    <w:rsid w:val="00EA6FA1"/>
    <w:rsid w:val="00EA7C8D"/>
    <w:rsid w:val="00EB1200"/>
    <w:rsid w:val="00EB45D9"/>
    <w:rsid w:val="00EB4650"/>
    <w:rsid w:val="00EB617F"/>
    <w:rsid w:val="00EB63DE"/>
    <w:rsid w:val="00EB7821"/>
    <w:rsid w:val="00EC0912"/>
    <w:rsid w:val="00EC4FE2"/>
    <w:rsid w:val="00EC5055"/>
    <w:rsid w:val="00EC694F"/>
    <w:rsid w:val="00EC702B"/>
    <w:rsid w:val="00ED5809"/>
    <w:rsid w:val="00ED5905"/>
    <w:rsid w:val="00ED76F3"/>
    <w:rsid w:val="00EE3874"/>
    <w:rsid w:val="00EE7D04"/>
    <w:rsid w:val="00EF04F7"/>
    <w:rsid w:val="00EF1474"/>
    <w:rsid w:val="00EF558F"/>
    <w:rsid w:val="00EF6AC8"/>
    <w:rsid w:val="00F00B17"/>
    <w:rsid w:val="00F035A8"/>
    <w:rsid w:val="00F03E43"/>
    <w:rsid w:val="00F04B65"/>
    <w:rsid w:val="00F05AA1"/>
    <w:rsid w:val="00F06519"/>
    <w:rsid w:val="00F07474"/>
    <w:rsid w:val="00F10199"/>
    <w:rsid w:val="00F11FA3"/>
    <w:rsid w:val="00F12B9C"/>
    <w:rsid w:val="00F1321A"/>
    <w:rsid w:val="00F1519A"/>
    <w:rsid w:val="00F15807"/>
    <w:rsid w:val="00F17F8B"/>
    <w:rsid w:val="00F211A0"/>
    <w:rsid w:val="00F24501"/>
    <w:rsid w:val="00F26593"/>
    <w:rsid w:val="00F271AF"/>
    <w:rsid w:val="00F27667"/>
    <w:rsid w:val="00F31B85"/>
    <w:rsid w:val="00F33220"/>
    <w:rsid w:val="00F3350C"/>
    <w:rsid w:val="00F36573"/>
    <w:rsid w:val="00F4080D"/>
    <w:rsid w:val="00F434B7"/>
    <w:rsid w:val="00F43DEC"/>
    <w:rsid w:val="00F45BED"/>
    <w:rsid w:val="00F46C39"/>
    <w:rsid w:val="00F54C4D"/>
    <w:rsid w:val="00F5563C"/>
    <w:rsid w:val="00F557E9"/>
    <w:rsid w:val="00F63204"/>
    <w:rsid w:val="00F65C07"/>
    <w:rsid w:val="00F71EA0"/>
    <w:rsid w:val="00F7467A"/>
    <w:rsid w:val="00F765BF"/>
    <w:rsid w:val="00F77306"/>
    <w:rsid w:val="00F77638"/>
    <w:rsid w:val="00F8130E"/>
    <w:rsid w:val="00F9136F"/>
    <w:rsid w:val="00F9247C"/>
    <w:rsid w:val="00F9345B"/>
    <w:rsid w:val="00F93E41"/>
    <w:rsid w:val="00F95DC2"/>
    <w:rsid w:val="00F96B14"/>
    <w:rsid w:val="00FA0F3E"/>
    <w:rsid w:val="00FA1FAE"/>
    <w:rsid w:val="00FA22B5"/>
    <w:rsid w:val="00FA46BA"/>
    <w:rsid w:val="00FA48B5"/>
    <w:rsid w:val="00FA5256"/>
    <w:rsid w:val="00FA58A8"/>
    <w:rsid w:val="00FA6E81"/>
    <w:rsid w:val="00FB121C"/>
    <w:rsid w:val="00FB5C2F"/>
    <w:rsid w:val="00FB6139"/>
    <w:rsid w:val="00FC1241"/>
    <w:rsid w:val="00FC1B31"/>
    <w:rsid w:val="00FC26F5"/>
    <w:rsid w:val="00FC270A"/>
    <w:rsid w:val="00FC2CA6"/>
    <w:rsid w:val="00FC7DA7"/>
    <w:rsid w:val="00FD01D8"/>
    <w:rsid w:val="00FD10C3"/>
    <w:rsid w:val="00FD171F"/>
    <w:rsid w:val="00FD1B0B"/>
    <w:rsid w:val="00FE16E5"/>
    <w:rsid w:val="00FE23A1"/>
    <w:rsid w:val="00FE40F7"/>
    <w:rsid w:val="00FE5489"/>
    <w:rsid w:val="00FE64ED"/>
    <w:rsid w:val="00FF2458"/>
    <w:rsid w:val="00FF499D"/>
    <w:rsid w:val="00FF66D6"/>
    <w:rsid w:val="00FF67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C2CF2"/>
  <w15:docId w15:val="{B6024698-9A52-424C-B466-04388AE2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611656"/>
    <w:rPr>
      <w:sz w:val="16"/>
      <w:szCs w:val="16"/>
    </w:rPr>
  </w:style>
  <w:style w:type="paragraph" w:styleId="CommentText">
    <w:name w:val="annotation text"/>
    <w:basedOn w:val="Normal"/>
    <w:link w:val="CommentTextChar"/>
    <w:unhideWhenUsed/>
    <w:rsid w:val="00611656"/>
    <w:pPr>
      <w:spacing w:line="240" w:lineRule="auto"/>
    </w:pPr>
    <w:rPr>
      <w:sz w:val="20"/>
      <w:szCs w:val="20"/>
    </w:rPr>
  </w:style>
  <w:style w:type="character" w:customStyle="1" w:styleId="CommentTextChar">
    <w:name w:val="Comment Text Char"/>
    <w:basedOn w:val="DefaultParagraphFont"/>
    <w:link w:val="CommentText"/>
    <w:rsid w:val="00611656"/>
  </w:style>
  <w:style w:type="paragraph" w:styleId="CommentSubject">
    <w:name w:val="annotation subject"/>
    <w:basedOn w:val="CommentText"/>
    <w:next w:val="CommentText"/>
    <w:link w:val="CommentSubjectChar"/>
    <w:uiPriority w:val="99"/>
    <w:semiHidden/>
    <w:unhideWhenUsed/>
    <w:rsid w:val="00611656"/>
    <w:rPr>
      <w:b/>
      <w:bCs/>
    </w:rPr>
  </w:style>
  <w:style w:type="character" w:customStyle="1" w:styleId="CommentSubjectChar">
    <w:name w:val="Comment Subject Char"/>
    <w:basedOn w:val="CommentTextChar"/>
    <w:link w:val="CommentSubject"/>
    <w:uiPriority w:val="99"/>
    <w:semiHidden/>
    <w:rsid w:val="00611656"/>
    <w:rPr>
      <w:b/>
      <w:bCs/>
    </w:rPr>
  </w:style>
  <w:style w:type="paragraph" w:styleId="BalloonText">
    <w:name w:val="Balloon Text"/>
    <w:basedOn w:val="Normal"/>
    <w:link w:val="BalloonTextChar"/>
    <w:uiPriority w:val="99"/>
    <w:semiHidden/>
    <w:unhideWhenUsed/>
    <w:rsid w:val="00611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656"/>
    <w:rPr>
      <w:rFonts w:ascii="Tahoma" w:hAnsi="Tahoma" w:cs="Tahoma"/>
      <w:sz w:val="16"/>
      <w:szCs w:val="16"/>
    </w:rPr>
  </w:style>
  <w:style w:type="paragraph" w:customStyle="1" w:styleId="Default">
    <w:name w:val="Default"/>
    <w:rsid w:val="0074677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65FE7"/>
    <w:pPr>
      <w:spacing w:after="0" w:line="240" w:lineRule="auto"/>
      <w:ind w:left="720"/>
    </w:pPr>
    <w:rPr>
      <w:rFonts w:eastAsia="Times New Roman" w:cs="Calibri"/>
    </w:rPr>
  </w:style>
  <w:style w:type="paragraph" w:styleId="NormalWeb">
    <w:name w:val="Normal (Web)"/>
    <w:basedOn w:val="Normal"/>
    <w:uiPriority w:val="99"/>
    <w:unhideWhenUsed/>
    <w:rsid w:val="009342D9"/>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9342D9"/>
    <w:pPr>
      <w:spacing w:after="120"/>
    </w:pPr>
  </w:style>
  <w:style w:type="character" w:customStyle="1" w:styleId="BodyTextChar">
    <w:name w:val="Body Text Char"/>
    <w:basedOn w:val="DefaultParagraphFont"/>
    <w:link w:val="BodyText"/>
    <w:uiPriority w:val="99"/>
    <w:semiHidden/>
    <w:rsid w:val="009342D9"/>
    <w:rPr>
      <w:sz w:val="22"/>
      <w:szCs w:val="22"/>
    </w:rPr>
  </w:style>
  <w:style w:type="character" w:styleId="Hyperlink">
    <w:name w:val="Hyperlink"/>
    <w:basedOn w:val="DefaultParagraphFont"/>
    <w:uiPriority w:val="99"/>
    <w:unhideWhenUsed/>
    <w:rsid w:val="002C5F35"/>
    <w:rPr>
      <w:color w:val="0000FF" w:themeColor="hyperlink"/>
      <w:u w:val="single"/>
    </w:rPr>
  </w:style>
  <w:style w:type="paragraph" w:styleId="Header">
    <w:name w:val="header"/>
    <w:basedOn w:val="Normal"/>
    <w:link w:val="HeaderChar"/>
    <w:uiPriority w:val="99"/>
    <w:unhideWhenUsed/>
    <w:rsid w:val="00032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2A2"/>
    <w:rPr>
      <w:sz w:val="22"/>
      <w:szCs w:val="22"/>
    </w:rPr>
  </w:style>
  <w:style w:type="paragraph" w:styleId="Footer">
    <w:name w:val="footer"/>
    <w:basedOn w:val="Normal"/>
    <w:link w:val="FooterChar"/>
    <w:uiPriority w:val="99"/>
    <w:unhideWhenUsed/>
    <w:rsid w:val="00032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A2"/>
    <w:rPr>
      <w:sz w:val="22"/>
      <w:szCs w:val="22"/>
    </w:rPr>
  </w:style>
  <w:style w:type="paragraph" w:styleId="FootnoteText">
    <w:name w:val="footnote text"/>
    <w:basedOn w:val="Normal"/>
    <w:link w:val="FootnoteTextChar"/>
    <w:uiPriority w:val="99"/>
    <w:semiHidden/>
    <w:rsid w:val="003D1D29"/>
    <w:pPr>
      <w:widowControl w:val="0"/>
      <w:suppressAutoHyphens/>
      <w:spacing w:after="0" w:line="240" w:lineRule="auto"/>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uiPriority w:val="99"/>
    <w:semiHidden/>
    <w:rsid w:val="003D1D29"/>
    <w:rPr>
      <w:rFonts w:ascii="Times New Roman" w:eastAsia="Times New Roman" w:hAnsi="Times New Roman"/>
      <w:lang w:eastAsia="ar-SA"/>
    </w:rPr>
  </w:style>
  <w:style w:type="character" w:styleId="FollowedHyperlink">
    <w:name w:val="FollowedHyperlink"/>
    <w:basedOn w:val="DefaultParagraphFont"/>
    <w:uiPriority w:val="99"/>
    <w:semiHidden/>
    <w:unhideWhenUsed/>
    <w:rsid w:val="00211814"/>
    <w:rPr>
      <w:color w:val="800080" w:themeColor="followedHyperlink"/>
      <w:u w:val="single"/>
    </w:rPr>
  </w:style>
  <w:style w:type="character" w:styleId="Emphasis">
    <w:name w:val="Emphasis"/>
    <w:basedOn w:val="DefaultParagraphFont"/>
    <w:uiPriority w:val="20"/>
    <w:qFormat/>
    <w:rsid w:val="004A5476"/>
    <w:rPr>
      <w:i/>
      <w:iCs/>
    </w:rPr>
  </w:style>
  <w:style w:type="character" w:styleId="UnresolvedMention">
    <w:name w:val="Unresolved Mention"/>
    <w:basedOn w:val="DefaultParagraphFont"/>
    <w:uiPriority w:val="99"/>
    <w:semiHidden/>
    <w:unhideWhenUsed/>
    <w:rsid w:val="00427807"/>
    <w:rPr>
      <w:color w:val="808080"/>
      <w:shd w:val="clear" w:color="auto" w:fill="E6E6E6"/>
    </w:rPr>
  </w:style>
  <w:style w:type="character" w:styleId="FootnoteReference">
    <w:name w:val="footnote reference"/>
    <w:basedOn w:val="DefaultParagraphFont"/>
    <w:uiPriority w:val="99"/>
    <w:semiHidden/>
    <w:unhideWhenUsed/>
    <w:rsid w:val="00AF222B"/>
    <w:rPr>
      <w:vertAlign w:val="superscript"/>
    </w:rPr>
  </w:style>
  <w:style w:type="paragraph" w:styleId="Revision">
    <w:name w:val="Revision"/>
    <w:hidden/>
    <w:uiPriority w:val="99"/>
    <w:semiHidden/>
    <w:rsid w:val="0082656C"/>
    <w:rPr>
      <w:sz w:val="22"/>
      <w:szCs w:val="22"/>
    </w:rPr>
  </w:style>
  <w:style w:type="paragraph" w:customStyle="1" w:styleId="psection-1">
    <w:name w:val="psection-1"/>
    <w:basedOn w:val="Normal"/>
    <w:rsid w:val="00AA1D70"/>
    <w:pPr>
      <w:spacing w:before="150" w:after="100" w:afterAutospacing="1" w:line="240" w:lineRule="auto"/>
    </w:pPr>
    <w:rPr>
      <w:rFonts w:ascii="Times New Roman" w:eastAsia="Times New Roman" w:hAnsi="Times New Roman"/>
      <w:sz w:val="24"/>
      <w:szCs w:val="24"/>
    </w:rPr>
  </w:style>
  <w:style w:type="paragraph" w:customStyle="1" w:styleId="psection-2">
    <w:name w:val="psection-2"/>
    <w:basedOn w:val="Normal"/>
    <w:rsid w:val="00AA1D70"/>
    <w:pPr>
      <w:spacing w:before="100" w:beforeAutospacing="1" w:after="100" w:afterAutospacing="1" w:line="240" w:lineRule="auto"/>
      <w:ind w:left="240"/>
    </w:pPr>
    <w:rPr>
      <w:rFonts w:ascii="Times New Roman" w:eastAsia="Times New Roman" w:hAnsi="Times New Roman"/>
      <w:sz w:val="24"/>
      <w:szCs w:val="24"/>
    </w:rPr>
  </w:style>
  <w:style w:type="character" w:customStyle="1" w:styleId="enumxml1">
    <w:name w:val="enumxml1"/>
    <w:basedOn w:val="DefaultParagraphFont"/>
    <w:rsid w:val="00AA1D70"/>
    <w:rPr>
      <w:b/>
      <w:bCs/>
    </w:rPr>
  </w:style>
  <w:style w:type="character" w:customStyle="1" w:styleId="enumxml2">
    <w:name w:val="enumxml2"/>
    <w:basedOn w:val="DefaultParagraphFont"/>
    <w:rsid w:val="00AA1D70"/>
    <w:rPr>
      <w:b/>
      <w:bCs/>
    </w:rPr>
  </w:style>
  <w:style w:type="character" w:customStyle="1" w:styleId="e">
    <w:name w:val="e"/>
    <w:basedOn w:val="DefaultParagraphFont"/>
    <w:rsid w:val="00AA1D70"/>
  </w:style>
  <w:style w:type="table" w:styleId="TableGrid">
    <w:name w:val="Table Grid"/>
    <w:basedOn w:val="TableNormal"/>
    <w:rsid w:val="003A15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560A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D5A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AA5"/>
  </w:style>
  <w:style w:type="character" w:styleId="EndnoteReference">
    <w:name w:val="endnote reference"/>
    <w:basedOn w:val="DefaultParagraphFont"/>
    <w:uiPriority w:val="99"/>
    <w:semiHidden/>
    <w:unhideWhenUsed/>
    <w:rsid w:val="00CD5AA5"/>
    <w:rPr>
      <w:vertAlign w:val="superscript"/>
    </w:rPr>
  </w:style>
  <w:style w:type="character" w:styleId="PageNumber">
    <w:name w:val="page number"/>
    <w:basedOn w:val="DefaultParagraphFont"/>
    <w:rsid w:val="00A1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a/102637/download" TargetMode="External" /><Relationship Id="rId11" Type="http://schemas.openxmlformats.org/officeDocument/2006/relationships/hyperlink" Target="https://www.fda.gov/media/90978/download" TargetMode="External" /><Relationship Id="rId12" Type="http://schemas.openxmlformats.org/officeDocument/2006/relationships/hyperlink" Target="https://www.fda.gov/media/90986/download" TargetMode="External" /><Relationship Id="rId13" Type="http://schemas.openxmlformats.org/officeDocument/2006/relationships/hyperlink" Target="https://www.fda.gov/regulatory-information/search-fda-guidance-documents" TargetMode="External" /><Relationship Id="rId14" Type="http://schemas.openxmlformats.org/officeDocument/2006/relationships/hyperlink" Target="http://www.fda.gov/ForIndustry/SmallBusinessAssistance/default.htm" TargetMode="External" /><Relationship Id="rId15" Type="http://schemas.openxmlformats.org/officeDocument/2006/relationships/hyperlink" Target="https://www.fda.gov/medwatch%20and%201-800-FDA-1088"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media/102615/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6" ma:contentTypeDescription="Create a new document." ma:contentTypeScope="" ma:versionID="0ad82e6c61050319f0b9d7f2bb9ab5ec">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221ff915e18be2c6ab617a58e3ad801a"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E41DF-DC38-409B-BE7D-9DFC624B9645}">
  <ds:schemaRefs>
    <ds:schemaRef ds:uri="http://schemas.microsoft.com/sharepoint/v3/contenttype/forms"/>
  </ds:schemaRefs>
</ds:datastoreItem>
</file>

<file path=customXml/itemProps2.xml><?xml version="1.0" encoding="utf-8"?>
<ds:datastoreItem xmlns:ds="http://schemas.openxmlformats.org/officeDocument/2006/customXml" ds:itemID="{8BE570DC-DF1C-42B2-9DE5-2E429DDC0EE4}">
  <ds:schemaRefs>
    <ds:schemaRef ds:uri="http://purl.org/dc/dcmitype/"/>
    <ds:schemaRef ds:uri="http://schemas.microsoft.com/office/infopath/2007/PartnerControls"/>
    <ds:schemaRef ds:uri="http://schemas.microsoft.com/office/2006/metadata/properties"/>
    <ds:schemaRef ds:uri="b5022a83-871b-4d85-bad2-b5228c1d4066"/>
    <ds:schemaRef ds:uri="http://schemas.microsoft.com/office/2006/documentManagement/types"/>
    <ds:schemaRef ds:uri="http://schemas.microsoft.com/sharepoint/v3"/>
    <ds:schemaRef ds:uri="http://schemas.openxmlformats.org/package/2006/metadata/core-properties"/>
    <ds:schemaRef ds:uri="http://purl.org/dc/elements/1.1/"/>
    <ds:schemaRef ds:uri="514c19e2-07bf-48e3-9638-5047d7891ec3"/>
    <ds:schemaRef ds:uri="http://www.w3.org/XML/1998/namespace"/>
    <ds:schemaRef ds:uri="http://purl.org/dc/terms/"/>
  </ds:schemaRefs>
</ds:datastoreItem>
</file>

<file path=customXml/itemProps3.xml><?xml version="1.0" encoding="utf-8"?>
<ds:datastoreItem xmlns:ds="http://schemas.openxmlformats.org/officeDocument/2006/customXml" ds:itemID="{410803BA-6DA7-41A8-8843-F00EBA54E787}">
  <ds:schemaRefs>
    <ds:schemaRef ds:uri="http://schemas.openxmlformats.org/officeDocument/2006/bibliography"/>
  </ds:schemaRefs>
</ds:datastoreItem>
</file>

<file path=customXml/itemProps4.xml><?xml version="1.0" encoding="utf-8"?>
<ds:datastoreItem xmlns:ds="http://schemas.openxmlformats.org/officeDocument/2006/customXml" ds:itemID="{E1244601-D1E7-42C0-9B96-970D77705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5502</Words>
  <Characters>31367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Mizrachi, Ila</dc:creator>
  <cp:lastModifiedBy>Markwordt, Dominic</cp:lastModifiedBy>
  <cp:revision>5</cp:revision>
  <dcterms:created xsi:type="dcterms:W3CDTF">2024-09-05T02:08:00Z</dcterms:created>
  <dcterms:modified xsi:type="dcterms:W3CDTF">2024-09-05T13:25:00Z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