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3769" w:rsidP="000E7DCF" w14:paraId="1809C000" w14:textId="02E9D6AC">
      <w:pPr>
        <w:jc w:val="center"/>
      </w:pPr>
      <w:r w:rsidRPr="00357C8A">
        <w:rPr>
          <w:rFonts w:eastAsia="Calibri"/>
        </w:rPr>
        <w:t>United States Food and Drug Administration</w:t>
      </w:r>
      <w:r>
        <w:t xml:space="preserve"> </w:t>
      </w:r>
    </w:p>
    <w:p w:rsidR="00F3386B" w:rsidP="002A0C48" w14:paraId="49177593" w14:textId="77777777">
      <w:pPr>
        <w:jc w:val="center"/>
      </w:pPr>
    </w:p>
    <w:p w:rsidR="00F551A0" w:rsidRPr="00F551A0" w:rsidP="002A0C48" w14:paraId="24067460" w14:textId="77777777">
      <w:pPr>
        <w:spacing w:line="480" w:lineRule="auto"/>
        <w:jc w:val="center"/>
        <w:rPr>
          <w:rFonts w:eastAsia="SimSun"/>
        </w:rPr>
      </w:pPr>
      <w:r w:rsidRPr="00F551A0">
        <w:rPr>
          <w:rFonts w:eastAsia="SimSun"/>
        </w:rPr>
        <w:t>Laboratory Accreditation for Analyses of Foods</w:t>
      </w:r>
    </w:p>
    <w:p w:rsidR="00F551A0" w:rsidRPr="00156BF6" w:rsidP="002A0C48" w14:paraId="26AB56E6" w14:textId="42111ECB">
      <w:pPr>
        <w:jc w:val="center"/>
      </w:pPr>
      <w:r w:rsidRPr="00156BF6">
        <w:t>OMB Control No. 0910-</w:t>
      </w:r>
      <w:r w:rsidRPr="00156BF6" w:rsidR="00783BC4">
        <w:t>0</w:t>
      </w:r>
      <w:r w:rsidRPr="00156BF6" w:rsidR="00C13E5E">
        <w:t>898</w:t>
      </w:r>
    </w:p>
    <w:p w:rsidR="005E55C5" w:rsidP="0099011F" w14:paraId="75B157B2" w14:textId="63BD0398">
      <w:pPr>
        <w:jc w:val="center"/>
      </w:pPr>
      <w:r w:rsidRPr="009A1674">
        <w:br/>
      </w:r>
      <w:r w:rsidRPr="009A1674" w:rsidR="00EB7538">
        <w:t>SUPPORTING STATEM</w:t>
      </w:r>
      <w:r w:rsidR="00F551A0">
        <w:t>ENT</w:t>
      </w:r>
      <w:r w:rsidR="0022007D">
        <w:t xml:space="preserve"> </w:t>
      </w:r>
    </w:p>
    <w:p w:rsidR="000F6684" w:rsidP="0099011F" w14:paraId="23549705" w14:textId="77777777">
      <w:pPr>
        <w:jc w:val="center"/>
      </w:pPr>
    </w:p>
    <w:p w:rsidR="00810FF1" w:rsidRPr="00F551A0" w:rsidP="00156BF6" w14:paraId="15DD0C9D" w14:textId="2C93208D">
      <w:pPr>
        <w:ind w:firstLine="360"/>
      </w:pPr>
      <w:r w:rsidRPr="0022007D">
        <w:rPr>
          <w:b/>
          <w:bCs/>
        </w:rPr>
        <w:t>Part A:  Justification</w:t>
      </w:r>
    </w:p>
    <w:p w:rsidR="0097244E" w:rsidRPr="00473390" w:rsidP="002A0C48" w14:paraId="5C39AFC3" w14:textId="77777777">
      <w:pPr>
        <w:numPr>
          <w:ilvl w:val="0"/>
          <w:numId w:val="1"/>
        </w:numPr>
        <w:tabs>
          <w:tab w:val="clear" w:pos="720"/>
        </w:tabs>
        <w:spacing w:before="100" w:beforeAutospacing="1" w:after="100" w:afterAutospacing="1"/>
        <w:rPr>
          <w:u w:val="single"/>
        </w:rPr>
      </w:pPr>
      <w:r w:rsidRPr="002746DB">
        <w:rPr>
          <w:u w:val="single"/>
        </w:rPr>
        <w:t>Circumstances Making the Collection of Information Necessary</w:t>
      </w:r>
    </w:p>
    <w:p w:rsidR="005016C1" w:rsidP="00690010" w14:paraId="735544FF" w14:textId="7AE4180C">
      <w:pPr>
        <w:pStyle w:val="StyleNormalDoublespaceTimesNewRoman"/>
        <w:spacing w:line="240" w:lineRule="auto"/>
        <w:ind w:left="720"/>
      </w:pPr>
      <w:r>
        <w:t xml:space="preserve">This information collection helps to support implementation of </w:t>
      </w:r>
      <w:r w:rsidR="00C7402A">
        <w:t xml:space="preserve"> </w:t>
      </w:r>
      <w:r w:rsidR="00EC7EFE">
        <w:t>Food and Drug Administration (</w:t>
      </w:r>
      <w:r>
        <w:t>FDA</w:t>
      </w:r>
      <w:r w:rsidR="00C7402A">
        <w:t xml:space="preserve"> </w:t>
      </w:r>
      <w:r w:rsidR="00EC7EFE">
        <w:t>or we</w:t>
      </w:r>
      <w:r w:rsidR="0037505C">
        <w:t>)</w:t>
      </w:r>
      <w:r>
        <w:t xml:space="preserve"> statutory and regulatory authority governing our laboratory accreditation for analysis of foods program under Section 422 of the Federal Food, Drug, and Cosmetic Act (FD&amp;C Act) (</w:t>
      </w:r>
      <w:hyperlink r:id="rId5" w:tgtFrame="_blank" w:history="1">
        <w:r>
          <w:rPr>
            <w:rStyle w:val="Hyperlink"/>
          </w:rPr>
          <w:t>21 U.S.C. 350k</w:t>
        </w:r>
      </w:hyperlink>
      <w:r>
        <w:t xml:space="preserve">) and </w:t>
      </w:r>
      <w:hyperlink r:id="rId6" w:tgtFrame="_blank" w:history="1">
        <w:r>
          <w:rPr>
            <w:rStyle w:val="Hyperlink"/>
          </w:rPr>
          <w:t>21 CFR part 1, subpart R</w:t>
        </w:r>
      </w:hyperlink>
      <w:r>
        <w:t>.</w:t>
      </w:r>
      <w:r w:rsidR="005D3713">
        <w:t xml:space="preserve"> </w:t>
      </w:r>
      <w:r w:rsidR="002A735D">
        <w:rPr>
          <w:rFonts w:cs="Futura Book"/>
          <w:color w:val="000000"/>
        </w:rPr>
        <w:t xml:space="preserve"> </w:t>
      </w:r>
      <w:r w:rsidR="002A735D">
        <w:t xml:space="preserve">FDA has statutory authority to establish a program for the testing of food by accredited laboratories; to establish a publicly available registry of recognized accreditation bodies and laboratories recognized by an accreditation body; and to require reports of any changes that would affect the recognition of such accreditation body or the accreditation of such laboratory. </w:t>
      </w:r>
    </w:p>
    <w:p w:rsidR="009F39FD" w:rsidP="00690010" w14:paraId="38940632" w14:textId="77777777">
      <w:pPr>
        <w:pStyle w:val="StyleNormalDoublespaceTimesNewRoman"/>
        <w:spacing w:line="240" w:lineRule="auto"/>
        <w:ind w:left="720"/>
      </w:pPr>
    </w:p>
    <w:p w:rsidR="009F39FD" w:rsidP="009F39FD" w14:paraId="5716E957" w14:textId="6403A8FB">
      <w:pPr>
        <w:ind w:left="720"/>
      </w:pPr>
      <w:r>
        <w:t>The Laboratory Accreditation for Analysis of Foods (LAAF) regulations contains eligibility requirements for accreditation bodies to qualify for FDA recognition and requirements that accreditation bodies must meet once recognized, such as requirements related to assessing and overseeing laboratories, conflicts of interest, reporting, and records. The regulations also</w:t>
      </w:r>
      <w:r w:rsidR="001F24AC">
        <w:t xml:space="preserve"> </w:t>
      </w:r>
      <w:r>
        <w:t>contains</w:t>
      </w:r>
      <w:r>
        <w:t xml:space="preserve"> eligibility requirements for laboratories to qualify for LAAF-accreditation by a recognized accreditation body and requirements that laboratories must meet once LAAF-accredited, such as requirements related to conflicts of interest, analysis, reporting, and records. These requirements help ensure the effectiveness of the recognized accreditation bodies and LAAF-accredited laboratories under this program. These regulations </w:t>
      </w:r>
      <w:r>
        <w:t>contains</w:t>
      </w:r>
      <w:r w:rsidR="00F71F64">
        <w:t xml:space="preserve"> </w:t>
      </w:r>
      <w:r>
        <w:t xml:space="preserve">procedures to recognize accreditation bodies under this program and procedures for accreditation bodies to follow to accredit LAAF laboratories under this program. </w:t>
      </w:r>
    </w:p>
    <w:p w:rsidR="009F39FD" w:rsidP="00690010" w14:paraId="4606795D" w14:textId="77777777">
      <w:pPr>
        <w:pStyle w:val="StyleNormalDoublespaceTimesNewRoman"/>
        <w:spacing w:line="240" w:lineRule="auto"/>
        <w:ind w:left="720"/>
      </w:pPr>
    </w:p>
    <w:p w:rsidR="00EE32A5" w:rsidRPr="00974C26" w:rsidP="00690010" w14:paraId="62A204E8" w14:textId="68B4B5C1">
      <w:pPr>
        <w:pStyle w:val="StyleNormalDoublespaceTimesNewRoman"/>
        <w:spacing w:line="240" w:lineRule="auto"/>
        <w:ind w:left="720"/>
        <w:rPr>
          <w:rStyle w:val="Emphasis"/>
          <w:i w:val="0"/>
          <w:iCs w:val="0"/>
        </w:rPr>
      </w:pPr>
      <w:r>
        <w:t>The laboratory accreditation program helps fulfill FDA's mandate to ensure the safety of the U.S. food supply and protect U.S. consumers by administering appropriate oversight of certain food testing that is of importance to public health. It also helps ensure that the testing is done in accordance with appropriate model standards, which help</w:t>
      </w:r>
      <w:r w:rsidR="00EF767B">
        <w:t>s to</w:t>
      </w:r>
      <w:r>
        <w:t xml:space="preserve"> produce consistently reliable and valid test results</w:t>
      </w:r>
      <w:r w:rsidR="00974C26">
        <w:t xml:space="preserve">. </w:t>
      </w:r>
      <w:r>
        <w:t xml:space="preserve">You may access additional information about the laboratory accreditation program at: </w:t>
      </w:r>
      <w:hyperlink r:id="rId7" w:tgtFrame="_blank" w:history="1">
        <w:r>
          <w:rPr>
            <w:rStyle w:val="Hyperlink"/>
            <w:i/>
            <w:iCs/>
          </w:rPr>
          <w:t>https://www.fda.gov/​food/​food-safety-modernization-act-fsma/​fda-recognized-accreditation-bodies-laboratory-accreditation-analyses-foods-laaf-program</w:t>
        </w:r>
      </w:hyperlink>
      <w:r>
        <w:rPr>
          <w:rStyle w:val="Emphasis"/>
        </w:rPr>
        <w:t>.</w:t>
      </w:r>
      <w:r>
        <w:t xml:space="preserve"> The public registry is available at </w:t>
      </w:r>
      <w:hyperlink r:id="rId8" w:tgtFrame="_blank" w:history="1">
        <w:r>
          <w:rPr>
            <w:rStyle w:val="Hyperlink"/>
            <w:i/>
            <w:iCs/>
          </w:rPr>
          <w:t>https://datadashboard.fda.gov/​ora/​fd/​laaf.htm</w:t>
        </w:r>
      </w:hyperlink>
      <w:r>
        <w:rPr>
          <w:rStyle w:val="Emphasis"/>
        </w:rPr>
        <w:t>.</w:t>
      </w:r>
    </w:p>
    <w:p w:rsidR="000C623E" w:rsidP="002A0C48" w14:paraId="6CD69138" w14:textId="77777777">
      <w:pPr>
        <w:pStyle w:val="StyleNormalDoublespaceTimesNewRoman"/>
        <w:spacing w:line="240" w:lineRule="auto"/>
        <w:ind w:left="720"/>
        <w:rPr>
          <w:szCs w:val="24"/>
        </w:rPr>
      </w:pPr>
    </w:p>
    <w:p w:rsidR="00A41713" w:rsidRPr="00131AAA" w:rsidP="002A0C48" w14:paraId="6E17CF05" w14:textId="0043B15C">
      <w:pPr>
        <w:pStyle w:val="StyleNormalDoublespaceTimesNewRoman"/>
        <w:spacing w:line="240" w:lineRule="auto"/>
        <w:ind w:left="720"/>
        <w:rPr>
          <w:szCs w:val="24"/>
        </w:rPr>
      </w:pPr>
      <w:r>
        <w:rPr>
          <w:szCs w:val="24"/>
        </w:rPr>
        <w:t xml:space="preserve">We therefore request OMB approval for the information collection provisions </w:t>
      </w:r>
      <w:r w:rsidR="009917BB">
        <w:rPr>
          <w:szCs w:val="24"/>
        </w:rPr>
        <w:t>found in 21 CFR part 1</w:t>
      </w:r>
      <w:r w:rsidR="00F3498F">
        <w:rPr>
          <w:szCs w:val="24"/>
        </w:rPr>
        <w:t>,</w:t>
      </w:r>
      <w:r w:rsidR="009917BB">
        <w:rPr>
          <w:szCs w:val="24"/>
        </w:rPr>
        <w:t xml:space="preserve"> subpart </w:t>
      </w:r>
      <w:r w:rsidR="00267351">
        <w:rPr>
          <w:szCs w:val="24"/>
        </w:rPr>
        <w:t>R</w:t>
      </w:r>
      <w:r w:rsidR="009917BB">
        <w:rPr>
          <w:szCs w:val="24"/>
        </w:rPr>
        <w:t xml:space="preserve">, </w:t>
      </w:r>
      <w:r w:rsidR="00673B12">
        <w:rPr>
          <w:szCs w:val="24"/>
        </w:rPr>
        <w:t xml:space="preserve">and </w:t>
      </w:r>
      <w:r w:rsidR="009917BB">
        <w:rPr>
          <w:szCs w:val="24"/>
        </w:rPr>
        <w:t>discussed in this supporting statement.</w:t>
      </w:r>
    </w:p>
    <w:p w:rsidR="008B30AB" w:rsidRPr="002746DB" w:rsidP="002A0C48" w14:paraId="2FDE9CB4" w14:textId="77777777">
      <w:pPr>
        <w:numPr>
          <w:ilvl w:val="0"/>
          <w:numId w:val="1"/>
        </w:numPr>
        <w:tabs>
          <w:tab w:val="clear" w:pos="720"/>
        </w:tabs>
        <w:spacing w:before="100" w:beforeAutospacing="1" w:after="100" w:afterAutospacing="1"/>
        <w:rPr>
          <w:u w:val="single"/>
        </w:rPr>
      </w:pPr>
      <w:r w:rsidRPr="002746DB">
        <w:rPr>
          <w:u w:val="single"/>
        </w:rPr>
        <w:t xml:space="preserve">Purpose and Use of the Information Collection </w:t>
      </w:r>
    </w:p>
    <w:p w:rsidR="00CF7451" w:rsidP="002A0C48" w14:paraId="4F5F17BB" w14:textId="680E884B">
      <w:pPr>
        <w:ind w:left="720"/>
      </w:pPr>
      <w:r>
        <w:t>T</w:t>
      </w:r>
      <w:r w:rsidR="00BB4F87">
        <w:t>he</w:t>
      </w:r>
      <w:r w:rsidR="00FC039D">
        <w:t xml:space="preserve"> laboratory accreditation program </w:t>
      </w:r>
      <w:r w:rsidR="0056664C">
        <w:t xml:space="preserve">assists </w:t>
      </w:r>
      <w:r>
        <w:t xml:space="preserve">in </w:t>
      </w:r>
      <w:r w:rsidR="00BB4F87">
        <w:t>fulfill</w:t>
      </w:r>
      <w:r>
        <w:t>ing</w:t>
      </w:r>
      <w:r w:rsidR="00BB4F87">
        <w:t xml:space="preserve"> </w:t>
      </w:r>
      <w:r w:rsidR="00025D1C">
        <w:t>FDA</w:t>
      </w:r>
      <w:r w:rsidR="00655BED">
        <w:t>’s</w:t>
      </w:r>
      <w:r w:rsidR="00025D1C">
        <w:t xml:space="preserve"> </w:t>
      </w:r>
      <w:r w:rsidR="00BB4F87">
        <w:t xml:space="preserve">mandate to </w:t>
      </w:r>
      <w:r w:rsidR="00025D1C">
        <w:t xml:space="preserve">ensure the safety of the U.S. food supply and protect U.S. consumers by </w:t>
      </w:r>
      <w:r w:rsidR="00777AC6">
        <w:t xml:space="preserve">administering </w:t>
      </w:r>
      <w:r w:rsidR="00025D1C">
        <w:t>appropriate oversight of certain food testing that is of importance to public health.</w:t>
      </w:r>
      <w:r w:rsidR="00284D22">
        <w:t xml:space="preserve">  </w:t>
      </w:r>
      <w:r w:rsidR="00025D1C">
        <w:t>It also</w:t>
      </w:r>
      <w:r w:rsidR="00791716">
        <w:t xml:space="preserve"> help</w:t>
      </w:r>
      <w:r>
        <w:t>s</w:t>
      </w:r>
      <w:r w:rsidR="00025D1C">
        <w:t xml:space="preserve"> ensure that the testing is done in accordance with appropriate model standards which help</w:t>
      </w:r>
      <w:r w:rsidR="00EF767B">
        <w:t>s to</w:t>
      </w:r>
      <w:r w:rsidR="00025D1C">
        <w:t xml:space="preserve"> produce consistently reliable and valid test results.</w:t>
      </w:r>
      <w:r w:rsidR="00E425E4">
        <w:t xml:space="preserve">  </w:t>
      </w:r>
    </w:p>
    <w:p w:rsidR="00BE2F68" w:rsidP="00156BF6" w14:paraId="524E32A9" w14:textId="77777777">
      <w:pPr>
        <w:ind w:left="720"/>
      </w:pPr>
    </w:p>
    <w:p w:rsidR="000C623E" w:rsidP="000C623E" w14:paraId="47A12B01" w14:textId="77777777">
      <w:pPr>
        <w:pStyle w:val="StyleNormalDoublespaceTimesNewRoman"/>
        <w:spacing w:line="240" w:lineRule="auto"/>
        <w:ind w:left="720"/>
        <w:rPr>
          <w:szCs w:val="24"/>
        </w:rPr>
      </w:pPr>
      <w:r>
        <w:rPr>
          <w:szCs w:val="24"/>
        </w:rPr>
        <w:t xml:space="preserve">Respondents to the information collection are accreditation bodies seeking recognition from FDA, recognized accreditation bodies, laboratories seeking accreditation from recognized accreditation bodies, and accredited laboratories.  Participation in this program is voluntary for laboratories and accreditation bodies; </w:t>
      </w:r>
      <w:r>
        <w:rPr>
          <w:szCs w:val="24"/>
        </w:rPr>
        <w:t>however</w:t>
      </w:r>
      <w:r>
        <w:rPr>
          <w:szCs w:val="24"/>
        </w:rPr>
        <w:t xml:space="preserve"> only recognized accreditation bodies are able to accredit laboratories to conduct food testing as specified in the regulations.</w:t>
      </w:r>
    </w:p>
    <w:p w:rsidR="002746DB" w:rsidRPr="004C6979" w:rsidP="002A0C48" w14:paraId="4CE5A40B" w14:textId="77777777">
      <w:pPr>
        <w:numPr>
          <w:ilvl w:val="0"/>
          <w:numId w:val="1"/>
        </w:numPr>
        <w:tabs>
          <w:tab w:val="clear" w:pos="720"/>
        </w:tabs>
        <w:spacing w:before="100" w:beforeAutospacing="1" w:after="100" w:afterAutospacing="1"/>
        <w:ind w:right="-1440"/>
        <w:rPr>
          <w:u w:val="single"/>
        </w:rPr>
      </w:pPr>
      <w:r w:rsidRPr="004C6979">
        <w:rPr>
          <w:u w:val="single"/>
        </w:rPr>
        <w:t xml:space="preserve">Use of Improved Information Technology and Burden Reduction </w:t>
      </w:r>
    </w:p>
    <w:p w:rsidR="000C65C4" w:rsidP="008C2C7F" w14:paraId="151D0CF3" w14:textId="77777777">
      <w:pPr>
        <w:ind w:left="720"/>
      </w:pPr>
      <w:r w:rsidRPr="00AD52A5">
        <w:t xml:space="preserve">The </w:t>
      </w:r>
      <w:r w:rsidR="00DF3D12">
        <w:t xml:space="preserve">regulations </w:t>
      </w:r>
      <w:r w:rsidR="00E76E21">
        <w:t>require</w:t>
      </w:r>
      <w:r w:rsidR="007679C7">
        <w:t xml:space="preserve"> </w:t>
      </w:r>
      <w:r w:rsidR="000364CB">
        <w:t xml:space="preserve">respondents </w:t>
      </w:r>
      <w:r w:rsidR="00E76E21">
        <w:t xml:space="preserve">to maintain and </w:t>
      </w:r>
      <w:r w:rsidR="000439B1">
        <w:t xml:space="preserve">electronically </w:t>
      </w:r>
      <w:r w:rsidR="00E76E21">
        <w:t xml:space="preserve">submit </w:t>
      </w:r>
      <w:r w:rsidR="004D1808">
        <w:t>certain</w:t>
      </w:r>
      <w:r w:rsidR="00E76E21">
        <w:t xml:space="preserve"> test results, reports, notification</w:t>
      </w:r>
      <w:r w:rsidR="000364CB">
        <w:t>s</w:t>
      </w:r>
      <w:r w:rsidR="007679C7">
        <w:t>, and other records</w:t>
      </w:r>
      <w:r w:rsidR="00E76E21">
        <w:t xml:space="preserve"> to FDA.</w:t>
      </w:r>
      <w:r w:rsidR="000364CB">
        <w:t xml:space="preserve"> </w:t>
      </w:r>
    </w:p>
    <w:p w:rsidR="000C65C4" w:rsidP="008C2C7F" w14:paraId="6AE32F21" w14:textId="77777777">
      <w:pPr>
        <w:ind w:left="720"/>
      </w:pPr>
    </w:p>
    <w:p w:rsidR="0038697B" w:rsidP="000C65C4" w14:paraId="4C8EA8C3" w14:textId="5A747932">
      <w:pPr>
        <w:ind w:left="720"/>
        <w:rPr>
          <w:rStyle w:val="Hyperlink"/>
        </w:rPr>
      </w:pPr>
      <w:r>
        <w:t xml:space="preserve">We are clarifying that the information collection includes the use of an electronic information collection system.  </w:t>
      </w:r>
      <w:r w:rsidR="00632CBA">
        <w:t xml:space="preserve">Respondents submit </w:t>
      </w:r>
      <w:r w:rsidR="002A339D">
        <w:t xml:space="preserve">applicable information through the </w:t>
      </w:r>
      <w:r w:rsidRPr="00270D82" w:rsidR="003A7C46">
        <w:rPr>
          <w:rStyle w:val="cf01"/>
          <w:rFonts w:ascii="Times New Roman" w:hAnsi="Times New Roman" w:cs="Times New Roman"/>
          <w:sz w:val="24"/>
          <w:szCs w:val="24"/>
        </w:rPr>
        <w:t>FURLS Laboratory Accreditation for Analyses of Foods Program portal (FDA Industry Systems</w:t>
      </w:r>
      <w:r w:rsidRPr="00270D82" w:rsidR="00BB170C">
        <w:rPr>
          <w:rStyle w:val="cf01"/>
          <w:rFonts w:ascii="Times New Roman" w:hAnsi="Times New Roman" w:cs="Times New Roman"/>
          <w:sz w:val="24"/>
          <w:szCs w:val="24"/>
        </w:rPr>
        <w:t xml:space="preserve">) </w:t>
      </w:r>
      <w:r w:rsidR="00F33581">
        <w:t>The portal is used for the Accreditation Bodies and LAAF-Accredited Laboratories utilize</w:t>
      </w:r>
      <w:r w:rsidR="00974C26">
        <w:t xml:space="preserve"> </w:t>
      </w:r>
      <w:r w:rsidR="00F33581">
        <w:t xml:space="preserve">the portal to submit data for the program. The </w:t>
      </w:r>
      <w:r w:rsidR="000112E0">
        <w:t>Accreditation Bodies</w:t>
      </w:r>
      <w:r w:rsidR="00F33581">
        <w:t xml:space="preserve"> submit data about the </w:t>
      </w:r>
      <w:r w:rsidR="00010F51">
        <w:t>l</w:t>
      </w:r>
      <w:r w:rsidR="00F33581">
        <w:t xml:space="preserve">aboratories that they have assessed and the corresponding accreditation data. </w:t>
      </w:r>
      <w:r w:rsidR="002A339D">
        <w:t xml:space="preserve">Accredited </w:t>
      </w:r>
      <w:r w:rsidR="00110B5B">
        <w:t>Laboratories</w:t>
      </w:r>
      <w:r w:rsidR="00F33581">
        <w:t xml:space="preserve"> utilize the portal to submit validation and verification data for the program. The FDA LAAF portal user guides</w:t>
      </w:r>
      <w:r w:rsidR="000112E0">
        <w:t xml:space="preserve"> </w:t>
      </w:r>
      <w:r w:rsidR="00F33581">
        <w:t>can be found on the LAAF</w:t>
      </w:r>
      <w:r>
        <w:t xml:space="preserve"> web</w:t>
      </w:r>
      <w:r w:rsidR="00F33581">
        <w:t xml:space="preserve">page </w:t>
      </w:r>
      <w:r w:rsidR="00110B5B">
        <w:t>at:</w:t>
      </w:r>
      <w:r w:rsidRPr="0038697B">
        <w:t xml:space="preserve"> </w:t>
      </w:r>
      <w:hyperlink r:id="rId9" w:tgtFrame="_blank" w:history="1">
        <w:r w:rsidR="00856BC0">
          <w:rPr>
            <w:rStyle w:val="Hyperlink"/>
            <w:i/>
            <w:iCs/>
          </w:rPr>
          <w:t>https://www.fda.gov/​media/​156097/​download?​attachment</w:t>
        </w:r>
      </w:hyperlink>
      <w:r w:rsidR="00856BC0">
        <w:t xml:space="preserve"> </w:t>
      </w:r>
      <w:r w:rsidR="00AB328F">
        <w:t>(</w:t>
      </w:r>
      <w:r w:rsidRPr="00AB328F" w:rsidR="00AB328F">
        <w:t>Step-by-Step Instructions for an Accreditation Body to Apply for and Manage Recognition Status in the Program</w:t>
      </w:r>
      <w:r w:rsidR="00AB328F">
        <w:t xml:space="preserve">) </w:t>
      </w:r>
      <w:r w:rsidR="00856BC0">
        <w:t xml:space="preserve">and </w:t>
      </w:r>
      <w:hyperlink r:id="rId10" w:tgtFrame="_blank" w:history="1">
        <w:r w:rsidR="00856BC0">
          <w:rPr>
            <w:rStyle w:val="Hyperlink"/>
            <w:i/>
            <w:iCs/>
          </w:rPr>
          <w:t>https://www.fda.gov/​media/​161685/​download?​attachment</w:t>
        </w:r>
      </w:hyperlink>
      <w:r w:rsidR="00AB328F">
        <w:rPr>
          <w:rStyle w:val="Emphasis"/>
        </w:rPr>
        <w:t xml:space="preserve"> </w:t>
      </w:r>
      <w:r w:rsidRPr="00270D82" w:rsidR="00AB328F">
        <w:rPr>
          <w:rStyle w:val="Emphasis"/>
          <w:i w:val="0"/>
          <w:iCs w:val="0"/>
        </w:rPr>
        <w:t>(Step-by-Step Instructions for an Accredited Laboratory to Manage Accreditation Status in the Program)</w:t>
      </w:r>
      <w:r w:rsidR="00411452">
        <w:rPr>
          <w:rStyle w:val="Emphasis"/>
        </w:rPr>
        <w:t xml:space="preserve">. </w:t>
      </w:r>
      <w:r>
        <w:t>R</w:t>
      </w:r>
      <w:r w:rsidR="007033AC">
        <w:t>espondents are required to report electronically</w:t>
      </w:r>
      <w:r>
        <w:t xml:space="preserve"> (100% electronic reporting)</w:t>
      </w:r>
      <w:r w:rsidR="007033AC">
        <w:t>. </w:t>
      </w:r>
    </w:p>
    <w:p w:rsidR="002746DB" w:rsidRPr="002746DB" w:rsidP="002A0C48" w14:paraId="5B429AB5" w14:textId="275D1D3A">
      <w:pPr>
        <w:numPr>
          <w:ilvl w:val="0"/>
          <w:numId w:val="1"/>
        </w:numPr>
        <w:tabs>
          <w:tab w:val="clear" w:pos="720"/>
        </w:tabs>
        <w:spacing w:before="100" w:beforeAutospacing="1" w:after="100" w:afterAutospacing="1"/>
        <w:rPr>
          <w:u w:val="single"/>
        </w:rPr>
      </w:pPr>
      <w:r w:rsidRPr="002746DB">
        <w:rPr>
          <w:u w:val="single"/>
        </w:rPr>
        <w:t xml:space="preserve">Efforts to Identify Duplication and Use of Similar Information </w:t>
      </w:r>
    </w:p>
    <w:p w:rsidR="007A57C9" w:rsidRPr="007A57C9" w:rsidP="002A0C48" w14:paraId="2535FFAD" w14:textId="77777777">
      <w:pPr>
        <w:spacing w:before="100" w:beforeAutospacing="1" w:after="100" w:afterAutospacing="1"/>
        <w:ind w:left="720"/>
      </w:pPr>
      <w:r>
        <w:t>We are unaware of duplicative information collection.</w:t>
      </w:r>
    </w:p>
    <w:p w:rsidR="008B0EFA" w:rsidRPr="007A57C9" w:rsidP="002A0C48" w14:paraId="239E553C" w14:textId="65A9BA3E">
      <w:pPr>
        <w:numPr>
          <w:ilvl w:val="0"/>
          <w:numId w:val="1"/>
        </w:numPr>
        <w:tabs>
          <w:tab w:val="clear" w:pos="720"/>
        </w:tabs>
        <w:spacing w:before="100" w:beforeAutospacing="1" w:after="100" w:afterAutospacing="1"/>
        <w:rPr>
          <w:u w:val="single"/>
        </w:rPr>
      </w:pPr>
      <w:r w:rsidRPr="004C6979">
        <w:rPr>
          <w:u w:val="single"/>
        </w:rPr>
        <w:t>Impact on Small Businesses or Other Small Entities</w:t>
      </w:r>
    </w:p>
    <w:p w:rsidR="00987C3F" w:rsidP="002A0C48" w14:paraId="7093BDC8" w14:textId="476DCB4A">
      <w:pPr>
        <w:autoSpaceDE w:val="0"/>
        <w:autoSpaceDN w:val="0"/>
        <w:adjustRightInd w:val="0"/>
        <w:ind w:left="720"/>
        <w:rPr>
          <w:snapToGrid w:val="0"/>
          <w:szCs w:val="20"/>
        </w:rPr>
      </w:pPr>
      <w:r>
        <w:rPr>
          <w:snapToGrid w:val="0"/>
          <w:szCs w:val="20"/>
        </w:rPr>
        <w:t>Although</w:t>
      </w:r>
      <w:r w:rsidR="00607CA1">
        <w:rPr>
          <w:snapToGrid w:val="0"/>
          <w:szCs w:val="20"/>
        </w:rPr>
        <w:t xml:space="preserve"> we </w:t>
      </w:r>
      <w:r w:rsidR="00CA06EB">
        <w:rPr>
          <w:snapToGrid w:val="0"/>
          <w:szCs w:val="20"/>
        </w:rPr>
        <w:t>estimate that all respondents to the information collection are small businesses</w:t>
      </w:r>
      <w:r w:rsidR="006D4459">
        <w:rPr>
          <w:snapToGrid w:val="0"/>
          <w:szCs w:val="20"/>
        </w:rPr>
        <w:t xml:space="preserve">, we do not believe </w:t>
      </w:r>
      <w:r w:rsidR="00A550A2">
        <w:rPr>
          <w:snapToGrid w:val="0"/>
          <w:szCs w:val="20"/>
        </w:rPr>
        <w:t>it poses undue burden on those entities.</w:t>
      </w:r>
      <w:r w:rsidR="00721576">
        <w:rPr>
          <w:snapToGrid w:val="0"/>
          <w:szCs w:val="20"/>
        </w:rPr>
        <w:t xml:space="preserve">  </w:t>
      </w:r>
      <w:r w:rsidR="003E209D">
        <w:rPr>
          <w:snapToGrid w:val="0"/>
          <w:szCs w:val="20"/>
        </w:rPr>
        <w:t xml:space="preserve">At the same time, </w:t>
      </w:r>
      <w:r w:rsidR="00721576">
        <w:rPr>
          <w:snapToGrid w:val="0"/>
          <w:szCs w:val="20"/>
        </w:rPr>
        <w:t xml:space="preserve">FDA offers </w:t>
      </w:r>
      <w:r w:rsidR="002A790F">
        <w:rPr>
          <w:snapToGrid w:val="0"/>
          <w:szCs w:val="20"/>
        </w:rPr>
        <w:t xml:space="preserve">small business assistance through resources on our website </w:t>
      </w:r>
      <w:r>
        <w:rPr>
          <w:snapToGrid w:val="0"/>
          <w:szCs w:val="20"/>
        </w:rPr>
        <w:t xml:space="preserve">at:  </w:t>
      </w:r>
      <w:hyperlink r:id="rId11" w:history="1">
        <w:r w:rsidRPr="007E0A0B">
          <w:rPr>
            <w:rStyle w:val="Hyperlink"/>
            <w:snapToGrid w:val="0"/>
            <w:szCs w:val="20"/>
          </w:rPr>
          <w:t>www.fda.gov/industry/small-business-assistance</w:t>
        </w:r>
      </w:hyperlink>
      <w:r>
        <w:rPr>
          <w:snapToGrid w:val="0"/>
          <w:szCs w:val="20"/>
        </w:rPr>
        <w:t>.</w:t>
      </w:r>
    </w:p>
    <w:p w:rsidR="00CD77C3" w:rsidRPr="004C6979" w:rsidP="002A0C48" w14:paraId="7D36935A" w14:textId="77777777">
      <w:pPr>
        <w:numPr>
          <w:ilvl w:val="0"/>
          <w:numId w:val="1"/>
        </w:numPr>
        <w:tabs>
          <w:tab w:val="clear" w:pos="720"/>
        </w:tabs>
        <w:spacing w:before="100" w:beforeAutospacing="1" w:after="100" w:afterAutospacing="1"/>
        <w:rPr>
          <w:u w:val="single"/>
        </w:rPr>
      </w:pPr>
      <w:r w:rsidRPr="004C6979">
        <w:rPr>
          <w:u w:val="single"/>
        </w:rPr>
        <w:t>Consequences of Collecting the Information Less Frequently</w:t>
      </w:r>
    </w:p>
    <w:p w:rsidR="007A57C9" w:rsidRPr="007A57C9" w:rsidP="002A0C48" w14:paraId="31BFDA4F" w14:textId="4B1FA18E">
      <w:pPr>
        <w:spacing w:before="100" w:beforeAutospacing="1" w:after="100" w:afterAutospacing="1"/>
        <w:ind w:left="720"/>
      </w:pPr>
      <w:r>
        <w:t>The information collection schedule is consistent with current statutory and regulatory requirements.</w:t>
      </w:r>
      <w:r w:rsidR="005C2115">
        <w:t xml:space="preserve">  </w:t>
      </w:r>
    </w:p>
    <w:p w:rsidR="00CD77C3" w:rsidP="002A0C48" w14:paraId="2826D0DB" w14:textId="77777777">
      <w:pPr>
        <w:numPr>
          <w:ilvl w:val="0"/>
          <w:numId w:val="1"/>
        </w:numPr>
        <w:tabs>
          <w:tab w:val="clear" w:pos="720"/>
        </w:tabs>
        <w:spacing w:before="100" w:beforeAutospacing="1" w:after="100" w:afterAutospacing="1"/>
        <w:rPr>
          <w:u w:val="single"/>
        </w:rPr>
      </w:pPr>
      <w:r w:rsidRPr="004C6979">
        <w:rPr>
          <w:u w:val="single"/>
        </w:rPr>
        <w:t>Special Circumstances Relating to the Guidelines of 5 CFR 1320.5</w:t>
      </w:r>
    </w:p>
    <w:p w:rsidR="000D7C89" w:rsidRPr="000D7C89" w:rsidP="002A0C48" w14:paraId="74273853" w14:textId="7B24F580">
      <w:pPr>
        <w:spacing w:before="100" w:beforeAutospacing="1" w:after="100" w:afterAutospacing="1"/>
        <w:ind w:left="720"/>
      </w:pPr>
      <w:r w:rsidRPr="00671D34">
        <w:t xml:space="preserve">Section 422(a)(7) </w:t>
      </w:r>
      <w:r w:rsidR="00557D2F">
        <w:t xml:space="preserve">of the FD&amp;C Act </w:t>
      </w:r>
      <w:r w:rsidRPr="00671D34">
        <w:t xml:space="preserve">provides that FDA shall reevaluate accreditation bodies recognized under the program no less than once every 5 years.  Accordingly, </w:t>
      </w:r>
      <w:r w:rsidR="00DF3D12">
        <w:t xml:space="preserve">the regulations </w:t>
      </w:r>
      <w:r w:rsidR="0038697B">
        <w:t xml:space="preserve">provide for </w:t>
      </w:r>
      <w:r w:rsidR="00024F26">
        <w:t xml:space="preserve">such a record retention schedule in </w:t>
      </w:r>
      <w:r w:rsidR="005B43DE">
        <w:t>21 CFR 1.11</w:t>
      </w:r>
      <w:r w:rsidR="00E86351">
        <w:t>24</w:t>
      </w:r>
      <w:r w:rsidR="00176FBD">
        <w:t>.</w:t>
      </w:r>
    </w:p>
    <w:p w:rsidR="00CD77C3" w:rsidP="002A0C48" w14:paraId="1FA8AF08" w14:textId="77777777">
      <w:pPr>
        <w:numPr>
          <w:ilvl w:val="0"/>
          <w:numId w:val="1"/>
        </w:numPr>
        <w:tabs>
          <w:tab w:val="clear" w:pos="720"/>
        </w:tabs>
        <w:spacing w:before="100" w:beforeAutospacing="1" w:after="100" w:afterAutospacing="1"/>
        <w:rPr>
          <w:u w:val="single"/>
        </w:rPr>
      </w:pPr>
      <w:r w:rsidRPr="004C6979">
        <w:rPr>
          <w:u w:val="single"/>
        </w:rPr>
        <w:t>Comments in Response to the Federal Register Notice and Efforts to Consult Outside the Agency</w:t>
      </w:r>
    </w:p>
    <w:p w:rsidR="003A3218" w:rsidP="002A0C48" w14:paraId="7182F5F0" w14:textId="62DB22A1">
      <w:pPr>
        <w:ind w:left="720"/>
      </w:pPr>
      <w:r w:rsidRPr="00D2629E">
        <w:t xml:space="preserve">In accordance with 5 CFR 1320.8(d), we published a 60-day notice for public comment in the </w:t>
      </w:r>
      <w:r w:rsidRPr="00D2629E">
        <w:rPr>
          <w:i/>
          <w:iCs/>
        </w:rPr>
        <w:t>Federal Register</w:t>
      </w:r>
      <w:r w:rsidRPr="00D2629E">
        <w:t xml:space="preserve"> of </w:t>
      </w:r>
      <w:r w:rsidR="00554DE3">
        <w:t>August</w:t>
      </w:r>
      <w:r>
        <w:t xml:space="preserve"> 1</w:t>
      </w:r>
      <w:r w:rsidR="00554DE3">
        <w:t>5</w:t>
      </w:r>
      <w:r>
        <w:t>, 202</w:t>
      </w:r>
      <w:r w:rsidR="00554DE3">
        <w:t>4</w:t>
      </w:r>
      <w:r>
        <w:t xml:space="preserve"> (8</w:t>
      </w:r>
      <w:r w:rsidR="006C56B3">
        <w:t>9</w:t>
      </w:r>
      <w:r>
        <w:t xml:space="preserve"> FR </w:t>
      </w:r>
      <w:r w:rsidR="006C56B3">
        <w:t>66417</w:t>
      </w:r>
      <w:r w:rsidRPr="00D2629E">
        <w:t xml:space="preserve">).  </w:t>
      </w:r>
      <w:r>
        <w:t>No comments were received.</w:t>
      </w:r>
    </w:p>
    <w:p w:rsidR="00CD77C3" w:rsidRPr="004C6979" w:rsidP="002A0C48" w14:paraId="77351C26" w14:textId="77777777">
      <w:pPr>
        <w:numPr>
          <w:ilvl w:val="0"/>
          <w:numId w:val="1"/>
        </w:numPr>
        <w:tabs>
          <w:tab w:val="clear" w:pos="720"/>
        </w:tabs>
        <w:spacing w:before="100" w:beforeAutospacing="1" w:after="100" w:afterAutospacing="1"/>
        <w:rPr>
          <w:u w:val="single"/>
        </w:rPr>
      </w:pPr>
      <w:r w:rsidRPr="004C6979">
        <w:rPr>
          <w:u w:val="single"/>
        </w:rPr>
        <w:t>Explanation of Any Payment or Gift to Respondents</w:t>
      </w:r>
    </w:p>
    <w:p w:rsidR="00CD77C3" w:rsidP="002A0C48" w14:paraId="4B85C2BC" w14:textId="77777777">
      <w:pPr>
        <w:ind w:left="720"/>
      </w:pPr>
      <w:r>
        <w:t xml:space="preserve">This information collection does </w:t>
      </w:r>
      <w:r w:rsidR="00D87CEE">
        <w:t xml:space="preserve">not </w:t>
      </w:r>
      <w:r>
        <w:t>provide for payments or gifts to respondents.</w:t>
      </w:r>
    </w:p>
    <w:p w:rsidR="00CD77C3" w:rsidRPr="004C6979" w:rsidP="002A0C48" w14:paraId="658C738C" w14:textId="77783065">
      <w:pPr>
        <w:numPr>
          <w:ilvl w:val="0"/>
          <w:numId w:val="1"/>
        </w:numPr>
        <w:tabs>
          <w:tab w:val="clear" w:pos="720"/>
        </w:tabs>
        <w:spacing w:before="100" w:beforeAutospacing="1" w:after="100" w:afterAutospacing="1"/>
        <w:rPr>
          <w:u w:val="single"/>
        </w:rPr>
      </w:pPr>
      <w:r w:rsidRPr="004C6979">
        <w:rPr>
          <w:u w:val="single"/>
        </w:rPr>
        <w:t>Assurance of Confidentiality Provided to Respondents</w:t>
      </w:r>
    </w:p>
    <w:p w:rsidR="00D6741F" w:rsidP="00C64EB7" w14:paraId="1E49FC1B" w14:textId="09124ACB">
      <w:pPr>
        <w:pStyle w:val="ListParagraph"/>
      </w:pPr>
      <w:r w:rsidRPr="00D25102">
        <w:t>In preparing this supporting statement, we consulted our Privacy Office to ensure appropriate identification and handling of information collected. Data will be kept private to the extent provided by law.</w:t>
      </w:r>
      <w:r>
        <w:t xml:space="preserve"> </w:t>
      </w:r>
    </w:p>
    <w:p w:rsidR="00C64EB7" w:rsidP="00C64EB7" w14:paraId="40FFB351" w14:textId="2C8EF654">
      <w:pPr>
        <w:pStyle w:val="ListParagraph"/>
      </w:pPr>
    </w:p>
    <w:p w:rsidR="009C3EE1" w:rsidRPr="002F06C9" w:rsidP="00974C26" w14:paraId="09E1ED17" w14:textId="190DFFF7">
      <w:pPr>
        <w:ind w:left="720" w:firstLine="720"/>
      </w:pPr>
      <w:r>
        <w:rPr>
          <w:i/>
          <w:iCs/>
        </w:rPr>
        <w:t xml:space="preserve">The </w:t>
      </w:r>
      <w:r w:rsidRPr="002F06C9">
        <w:rPr>
          <w:i/>
          <w:iCs/>
        </w:rPr>
        <w:t>Privacy Act</w:t>
      </w:r>
      <w:r>
        <w:rPr>
          <w:i/>
          <w:iCs/>
        </w:rPr>
        <w:t xml:space="preserve"> of 19</w:t>
      </w:r>
      <w:r w:rsidR="00712778">
        <w:rPr>
          <w:i/>
          <w:iCs/>
        </w:rPr>
        <w:t>7</w:t>
      </w:r>
      <w:r>
        <w:rPr>
          <w:i/>
          <w:iCs/>
        </w:rPr>
        <w:t>4</w:t>
      </w:r>
    </w:p>
    <w:p w:rsidR="009C3EE1" w:rsidRPr="002F06C9" w:rsidP="009C3EE1" w14:paraId="3B512E6C" w14:textId="77777777">
      <w:pPr>
        <w:ind w:left="720"/>
      </w:pPr>
    </w:p>
    <w:p w:rsidR="009C3EE1" w:rsidP="009C3EE1" w14:paraId="346EBF60" w14:textId="5DE5455F">
      <w:pPr>
        <w:ind w:left="720"/>
      </w:pPr>
      <w:r w:rsidRPr="002F06C9">
        <w:t>In preparing this supporting statement, we consulted with the FDA Privacy Office to ensure appropriate handling of information collected.  This information collection request (ICR) is collecting personally identifiable information (PII) or other data of a personal nature.  Information is collected when LAAF-accredited laboratories submit information about the qualifications of laboratory analysts, such as a curriculum vitae, and documentation of an individual sampler’s qualifications.</w:t>
      </w:r>
      <w:r>
        <w:t xml:space="preserve">  </w:t>
      </w:r>
      <w:r w:rsidR="000644FA">
        <w:t xml:space="preserve">The </w:t>
      </w:r>
      <w:r>
        <w:t xml:space="preserve">PII </w:t>
      </w:r>
      <w:r w:rsidR="000644FA">
        <w:t xml:space="preserve">submitted is </w:t>
      </w:r>
      <w:r w:rsidR="00EB1AAB">
        <w:t>assum</w:t>
      </w:r>
      <w:r w:rsidR="000644FA">
        <w:t xml:space="preserve">ed to include typical curriculum vitae content such as name and contact information and professional background. This </w:t>
      </w:r>
      <w:r>
        <w:t>is collected in the context of the individual’s professional capacity.  The purpose of the collection is to help</w:t>
      </w:r>
      <w:r w:rsidR="00052162">
        <w:t xml:space="preserve"> ensure</w:t>
      </w:r>
      <w:r>
        <w:t xml:space="preserve"> </w:t>
      </w:r>
      <w:r w:rsidR="00D951C5">
        <w:t>that</w:t>
      </w:r>
      <w:r>
        <w:t xml:space="preserve"> persons involved in the collection and analysis of food testing samples are qualified to perform those tasks.  These information collections are described in 21 CFR §§ 1.1149(a)(1) and 1.1152(d)(12).</w:t>
      </w:r>
    </w:p>
    <w:p w:rsidR="009C3EE1" w:rsidP="009C3EE1" w14:paraId="17B08D0F" w14:textId="77777777"/>
    <w:p w:rsidR="00C64EB7" w:rsidP="009C3EE1" w14:paraId="038CCE6F" w14:textId="51FDEB44">
      <w:pPr>
        <w:pStyle w:val="ListParagraph"/>
      </w:pPr>
      <w:r>
        <w:t xml:space="preserve">We determined that although PII is collected, the collection is not subject to the Privacy Act of 1974, and the </w:t>
      </w:r>
      <w:r>
        <w:t>particular notice</w:t>
      </w:r>
      <w:r>
        <w:t xml:space="preserve"> and other requirements of the </w:t>
      </w:r>
      <w:r w:rsidR="000644FA">
        <w:t xml:space="preserve">Privacy </w:t>
      </w:r>
      <w:r>
        <w:t>Act do not apply.  Specifically, we do not use name or any other personal identifier to retrieve records from the information collected.</w:t>
      </w:r>
    </w:p>
    <w:p w:rsidR="00D6741F" w:rsidP="009C3EE1" w14:paraId="2D5E1F48" w14:textId="77777777">
      <w:pPr>
        <w:pStyle w:val="ListParagraph"/>
      </w:pPr>
    </w:p>
    <w:p w:rsidR="00D6741F" w:rsidRPr="00974C26" w:rsidP="009C3EE1" w14:paraId="41DDE564" w14:textId="5681E14D">
      <w:pPr>
        <w:pStyle w:val="ListParagraph"/>
        <w:rPr>
          <w:i/>
          <w:iCs/>
        </w:rPr>
      </w:pPr>
      <w:r>
        <w:tab/>
      </w:r>
      <w:r w:rsidRPr="00974C26">
        <w:rPr>
          <w:i/>
          <w:iCs/>
        </w:rPr>
        <w:t>Freedom of Information Act</w:t>
      </w:r>
    </w:p>
    <w:p w:rsidR="00D6741F" w:rsidP="009C3EE1" w14:paraId="2020E8DD" w14:textId="77777777">
      <w:pPr>
        <w:pStyle w:val="ListParagraph"/>
      </w:pPr>
    </w:p>
    <w:p w:rsidR="00D6741F" w:rsidRPr="002F06C9" w:rsidP="00D6741F" w14:paraId="6A3078E5" w14:textId="721F101D">
      <w:pPr>
        <w:pStyle w:val="ListParagraph"/>
      </w:pPr>
      <w:r>
        <w:t xml:space="preserve">The collection does not specify confidentiality.  However, reports and records submitted to FDA are subject to FDA regulations on the release of information found in 21 CFR part 20.  Confidential commercial information is protected from disclosure under FOIA in accordance </w:t>
      </w:r>
      <w:r>
        <w:t>with sections 5 U.S.C. 552(a) and (b) and by 21 CFR part 20.  To the extent that § 20.64 applies, we will honor the confidentiality of any data in investigation records compiled for law enforcement purposes.</w:t>
      </w:r>
    </w:p>
    <w:p w:rsidR="004C6979" w:rsidRPr="004C6979" w:rsidP="002A0C48" w14:paraId="36A681B9" w14:textId="77777777">
      <w:pPr>
        <w:numPr>
          <w:ilvl w:val="0"/>
          <w:numId w:val="1"/>
        </w:numPr>
        <w:tabs>
          <w:tab w:val="clear" w:pos="720"/>
        </w:tabs>
        <w:spacing w:before="100" w:beforeAutospacing="1" w:after="100" w:afterAutospacing="1"/>
        <w:rPr>
          <w:u w:val="single"/>
        </w:rPr>
      </w:pPr>
      <w:r w:rsidRPr="004C6979">
        <w:rPr>
          <w:u w:val="single"/>
        </w:rPr>
        <w:t>Justification for Sensitive Questions</w:t>
      </w:r>
    </w:p>
    <w:p w:rsidR="008360FA" w:rsidP="001C2FFA" w14:paraId="371FA6C1" w14:textId="533026B6">
      <w:pPr>
        <w:pStyle w:val="BodyText2"/>
        <w:ind w:left="720"/>
      </w:pPr>
      <w:r>
        <w:t>This information collection does not contain questions of a sensitive nature.</w:t>
      </w:r>
    </w:p>
    <w:p w:rsidR="004C6979" w:rsidRPr="007A57C9" w:rsidP="002A0C48" w14:paraId="13E9AA49" w14:textId="77777777">
      <w:pPr>
        <w:numPr>
          <w:ilvl w:val="0"/>
          <w:numId w:val="1"/>
        </w:numPr>
        <w:tabs>
          <w:tab w:val="clear" w:pos="720"/>
        </w:tabs>
        <w:spacing w:before="100" w:beforeAutospacing="1" w:after="100" w:afterAutospacing="1"/>
        <w:rPr>
          <w:u w:val="single"/>
        </w:rPr>
      </w:pPr>
      <w:r w:rsidRPr="004C6979">
        <w:rPr>
          <w:u w:val="single"/>
        </w:rPr>
        <w:t>Estimates of Annualized Burden Hours and Costs</w:t>
      </w:r>
    </w:p>
    <w:p w:rsidR="004C6979" w:rsidRPr="00CF5486" w:rsidP="002A0C48" w14:paraId="06366121" w14:textId="6D7459A4">
      <w:pPr>
        <w:ind w:left="720"/>
        <w:rPr>
          <w:i/>
          <w:iCs/>
        </w:rPr>
      </w:pPr>
      <w:r w:rsidRPr="00CF5486">
        <w:rPr>
          <w:i/>
          <w:iCs/>
        </w:rPr>
        <w:t xml:space="preserve">12a. </w:t>
      </w:r>
      <w:r w:rsidRPr="00CF5486" w:rsidR="00411D11">
        <w:rPr>
          <w:i/>
          <w:iCs/>
        </w:rPr>
        <w:t xml:space="preserve">Annualized </w:t>
      </w:r>
      <w:r w:rsidRPr="00CF5486">
        <w:rPr>
          <w:i/>
          <w:iCs/>
        </w:rPr>
        <w:t>Hour Burden Estimate</w:t>
      </w:r>
    </w:p>
    <w:p w:rsidR="0085576E" w:rsidP="00D752A5" w14:paraId="6A01904E" w14:textId="529D20D3">
      <w:pPr>
        <w:rPr>
          <w:i/>
        </w:rPr>
      </w:pPr>
    </w:p>
    <w:tbl>
      <w:tblPr>
        <w:tblpPr w:leftFromText="180" w:rightFromText="180" w:vertAnchor="text" w:tblpY="1"/>
        <w:tblOverlap w:val="neve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1619"/>
        <w:gridCol w:w="1441"/>
        <w:gridCol w:w="1241"/>
        <w:gridCol w:w="1169"/>
        <w:gridCol w:w="986"/>
        <w:gridCol w:w="12"/>
      </w:tblGrid>
      <w:tr w14:paraId="1AD08923" w14:textId="77777777" w:rsidTr="00F71F64">
        <w:tblPrEx>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0"/>
        </w:trPr>
        <w:tc>
          <w:tcPr>
            <w:tcW w:w="5000" w:type="pct"/>
            <w:gridSpan w:val="7"/>
            <w:tcBorders>
              <w:top w:val="nil"/>
              <w:left w:val="nil"/>
              <w:bottom w:val="single" w:sz="4" w:space="0" w:color="auto"/>
              <w:right w:val="nil"/>
            </w:tcBorders>
            <w:hideMark/>
          </w:tcPr>
          <w:p w:rsidR="00B42716" w:rsidRPr="00E47894" w:rsidP="00B42716" w14:paraId="132C0535" w14:textId="26792AD1">
            <w:pPr>
              <w:keepNext/>
              <w:jc w:val="center"/>
            </w:pPr>
            <w:r w:rsidRPr="00E47894">
              <w:t>Table 1--Estimated Annual Reporting Burden</w:t>
            </w:r>
            <w:r w:rsidRPr="00E47894">
              <w:rPr>
                <w:vertAlign w:val="superscript"/>
              </w:rPr>
              <w:t>1</w:t>
            </w:r>
          </w:p>
        </w:tc>
      </w:tr>
      <w:tr w14:paraId="22BA7DD5" w14:textId="77777777" w:rsidTr="001C2FFA">
        <w:tblPrEx>
          <w:tblW w:w="4957" w:type="pct"/>
          <w:tblLayout w:type="fixed"/>
          <w:tblLook w:val="01E0"/>
        </w:tblPrEx>
        <w:trPr>
          <w:gridAfter w:val="1"/>
          <w:wAfter w:w="6" w:type="dxa"/>
          <w:trHeight w:val="20"/>
          <w:tblHeader/>
        </w:trPr>
        <w:tc>
          <w:tcPr>
            <w:tcW w:w="1669" w:type="pct"/>
            <w:tcBorders>
              <w:top w:val="single" w:sz="4" w:space="0" w:color="auto"/>
              <w:left w:val="single" w:sz="4" w:space="0" w:color="auto"/>
              <w:bottom w:val="single" w:sz="4" w:space="0" w:color="auto"/>
              <w:right w:val="single" w:sz="4" w:space="0" w:color="auto"/>
            </w:tcBorders>
            <w:hideMark/>
          </w:tcPr>
          <w:p w:rsidR="00B42716" w:rsidRPr="00E47894" w:rsidP="00B42716" w14:paraId="4D29D71C" w14:textId="77777777">
            <w:pPr>
              <w:keepNext/>
              <w:jc w:val="center"/>
            </w:pPr>
            <w:r w:rsidRPr="00E47894">
              <w:t>21 CFR Part 1, Subpart R citation; IC Activity</w:t>
            </w:r>
          </w:p>
        </w:tc>
        <w:tc>
          <w:tcPr>
            <w:tcW w:w="834" w:type="pct"/>
            <w:tcBorders>
              <w:top w:val="single" w:sz="4" w:space="0" w:color="auto"/>
              <w:left w:val="single" w:sz="4" w:space="0" w:color="auto"/>
              <w:bottom w:val="single" w:sz="4" w:space="0" w:color="auto"/>
              <w:right w:val="single" w:sz="4" w:space="0" w:color="auto"/>
            </w:tcBorders>
            <w:hideMark/>
          </w:tcPr>
          <w:p w:rsidR="00B42716" w:rsidRPr="00E47894" w:rsidP="00B42716" w14:paraId="592E2D61" w14:textId="77777777">
            <w:pPr>
              <w:keepNext/>
              <w:jc w:val="center"/>
            </w:pPr>
            <w:r w:rsidRPr="00E47894">
              <w:t>No. of Respondents</w:t>
            </w:r>
          </w:p>
        </w:tc>
        <w:tc>
          <w:tcPr>
            <w:tcW w:w="742" w:type="pct"/>
            <w:tcBorders>
              <w:top w:val="single" w:sz="4" w:space="0" w:color="auto"/>
              <w:left w:val="single" w:sz="4" w:space="0" w:color="auto"/>
              <w:bottom w:val="single" w:sz="4" w:space="0" w:color="auto"/>
              <w:right w:val="single" w:sz="4" w:space="0" w:color="auto"/>
            </w:tcBorders>
            <w:hideMark/>
          </w:tcPr>
          <w:p w:rsidR="00B42716" w:rsidRPr="00E47894" w:rsidP="00B42716" w14:paraId="5B8FC4C5" w14:textId="77777777">
            <w:pPr>
              <w:keepNext/>
              <w:jc w:val="center"/>
            </w:pPr>
            <w:r w:rsidRPr="00E47894">
              <w:rPr>
                <w:bCs/>
              </w:rPr>
              <w:t>No. of Responses per Respondent</w:t>
            </w:r>
          </w:p>
        </w:tc>
        <w:tc>
          <w:tcPr>
            <w:tcW w:w="639" w:type="pct"/>
            <w:tcBorders>
              <w:top w:val="single" w:sz="4" w:space="0" w:color="auto"/>
              <w:left w:val="single" w:sz="4" w:space="0" w:color="auto"/>
              <w:bottom w:val="single" w:sz="4" w:space="0" w:color="auto"/>
              <w:right w:val="single" w:sz="4" w:space="0" w:color="auto"/>
            </w:tcBorders>
            <w:hideMark/>
          </w:tcPr>
          <w:p w:rsidR="00B42716" w:rsidRPr="00E47894" w:rsidP="00B42716" w14:paraId="357C8DF0" w14:textId="77777777">
            <w:pPr>
              <w:keepNext/>
              <w:jc w:val="center"/>
            </w:pPr>
            <w:r w:rsidRPr="00E47894">
              <w:t>Total Annual Responses</w:t>
            </w:r>
          </w:p>
        </w:tc>
        <w:tc>
          <w:tcPr>
            <w:tcW w:w="602" w:type="pct"/>
            <w:tcBorders>
              <w:top w:val="single" w:sz="4" w:space="0" w:color="auto"/>
              <w:left w:val="single" w:sz="4" w:space="0" w:color="auto"/>
              <w:bottom w:val="single" w:sz="4" w:space="0" w:color="auto"/>
              <w:right w:val="single" w:sz="4" w:space="0" w:color="auto"/>
            </w:tcBorders>
            <w:hideMark/>
          </w:tcPr>
          <w:p w:rsidR="00B42716" w:rsidRPr="00E47894" w:rsidP="00B42716" w14:paraId="065DF7E6" w14:textId="77777777">
            <w:pPr>
              <w:keepNext/>
              <w:jc w:val="center"/>
            </w:pPr>
            <w:r w:rsidRPr="00E47894">
              <w:rPr>
                <w:bCs/>
              </w:rPr>
              <w:t xml:space="preserve">Average Burden per Response </w:t>
            </w:r>
          </w:p>
        </w:tc>
        <w:tc>
          <w:tcPr>
            <w:tcW w:w="508" w:type="pct"/>
            <w:tcBorders>
              <w:top w:val="single" w:sz="4" w:space="0" w:color="auto"/>
              <w:left w:val="single" w:sz="4" w:space="0" w:color="auto"/>
              <w:bottom w:val="single" w:sz="4" w:space="0" w:color="auto"/>
              <w:right w:val="single" w:sz="4" w:space="0" w:color="auto"/>
            </w:tcBorders>
            <w:hideMark/>
          </w:tcPr>
          <w:p w:rsidR="00B42716" w:rsidRPr="00E47894" w:rsidP="00B42716" w14:paraId="5DFBDF83" w14:textId="77777777">
            <w:pPr>
              <w:keepNext/>
              <w:jc w:val="center"/>
            </w:pPr>
            <w:r w:rsidRPr="00E47894">
              <w:t>Total Hours</w:t>
            </w:r>
          </w:p>
        </w:tc>
      </w:tr>
      <w:tr w14:paraId="6D8B452D" w14:textId="77777777" w:rsidTr="001C2FFA">
        <w:tblPrEx>
          <w:tblW w:w="4957" w:type="pct"/>
          <w:tblLayout w:type="fixed"/>
          <w:tblLook w:val="01E0"/>
        </w:tblPrEx>
        <w:trPr>
          <w:gridAfter w:val="1"/>
          <w:wAfter w:w="6" w:type="dxa"/>
          <w:cantSplit/>
          <w:trHeight w:val="20"/>
        </w:trPr>
        <w:tc>
          <w:tcPr>
            <w:tcW w:w="1669" w:type="pct"/>
            <w:tcBorders>
              <w:top w:val="single" w:sz="4" w:space="0" w:color="auto"/>
              <w:left w:val="single" w:sz="4" w:space="0" w:color="auto"/>
              <w:bottom w:val="single" w:sz="4" w:space="0" w:color="auto"/>
              <w:right w:val="single" w:sz="4" w:space="0" w:color="auto"/>
            </w:tcBorders>
            <w:shd w:val="clear" w:color="auto" w:fill="auto"/>
          </w:tcPr>
          <w:p w:rsidR="00B42716" w:rsidRPr="00E47894" w:rsidP="00B42716" w14:paraId="677A14AA" w14:textId="77777777">
            <w:pPr>
              <w:keepNext/>
            </w:pPr>
            <w:r w:rsidRPr="00E47894">
              <w:t>§§ 1.1113 and 1.1114; Accreditation bodies (ABs) application for recognition (one-time submission)</w:t>
            </w:r>
          </w:p>
          <w:p w:rsidR="00B42716" w:rsidRPr="00E47894" w:rsidP="00B42716" w14:paraId="5177B81D" w14:textId="77777777">
            <w:pPr>
              <w:keepNext/>
            </w:pPr>
          </w:p>
          <w:p w:rsidR="00B42716" w:rsidRPr="00E47894" w:rsidP="00B42716" w14:paraId="78DF2220" w14:textId="77777777">
            <w:pPr>
              <w:keepNext/>
            </w:pPr>
            <w:r w:rsidRPr="00E47894">
              <w:t>§§ 1.1113 and 1.1114; ABs--application for renewal of recognition</w:t>
            </w:r>
          </w:p>
          <w:p w:rsidR="00B42716" w:rsidRPr="00E47894" w:rsidP="00B42716" w14:paraId="232D0D8D" w14:textId="77777777">
            <w:pPr>
              <w:keepNext/>
            </w:pPr>
          </w:p>
          <w:p w:rsidR="00B42716" w:rsidRPr="00E47894" w:rsidP="00B42716" w14:paraId="126DB1AB" w14:textId="77777777">
            <w:pPr>
              <w:keepNext/>
            </w:pPr>
            <w:r w:rsidRPr="00E47894">
              <w:t>§ 1.1123; ABs-- reports, notifications, and documentation requirements</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B42716" w:rsidRPr="00E47894" w:rsidP="00B42716" w14:paraId="15459FA0" w14:textId="77777777">
            <w:pPr>
              <w:keepNext/>
              <w:jc w:val="right"/>
            </w:pPr>
            <w:r w:rsidRPr="00E47894">
              <w:t>8</w:t>
            </w:r>
          </w:p>
        </w:tc>
        <w:tc>
          <w:tcPr>
            <w:tcW w:w="742" w:type="pct"/>
            <w:tcBorders>
              <w:top w:val="single" w:sz="4" w:space="0" w:color="auto"/>
              <w:left w:val="single" w:sz="4" w:space="0" w:color="auto"/>
              <w:bottom w:val="single" w:sz="4" w:space="0" w:color="auto"/>
              <w:right w:val="single" w:sz="4" w:space="0" w:color="auto"/>
            </w:tcBorders>
            <w:shd w:val="clear" w:color="auto" w:fill="auto"/>
          </w:tcPr>
          <w:p w:rsidR="00B42716" w:rsidRPr="00E47894" w:rsidP="00B42716" w14:paraId="2B0980F0" w14:textId="77777777">
            <w:pPr>
              <w:keepNext/>
              <w:jc w:val="right"/>
            </w:pPr>
            <w:r w:rsidRPr="00E47894">
              <w:t>44</w:t>
            </w: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B42716" w:rsidRPr="00E47894" w:rsidP="00B42716" w14:paraId="26A4396D" w14:textId="77777777">
            <w:pPr>
              <w:keepNext/>
              <w:jc w:val="right"/>
            </w:pPr>
            <w:r w:rsidRPr="00E47894">
              <w:t>352</w:t>
            </w:r>
          </w:p>
        </w:tc>
        <w:tc>
          <w:tcPr>
            <w:tcW w:w="602" w:type="pct"/>
            <w:tcBorders>
              <w:top w:val="single" w:sz="4" w:space="0" w:color="auto"/>
              <w:left w:val="single" w:sz="4" w:space="0" w:color="auto"/>
              <w:bottom w:val="single" w:sz="4" w:space="0" w:color="auto"/>
              <w:right w:val="single" w:sz="4" w:space="0" w:color="auto"/>
            </w:tcBorders>
            <w:shd w:val="clear" w:color="auto" w:fill="auto"/>
          </w:tcPr>
          <w:p w:rsidR="00B42716" w:rsidRPr="00E47894" w:rsidP="00B42716" w14:paraId="053BD3F5" w14:textId="77777777">
            <w:pPr>
              <w:keepNext/>
              <w:jc w:val="right"/>
            </w:pPr>
            <w:r w:rsidRPr="00E47894">
              <w:t xml:space="preserve">2.2068 </w:t>
            </w:r>
          </w:p>
          <w:p w:rsidR="00B42716" w:rsidRPr="00E47894" w:rsidP="00B42716" w14:paraId="633F0ACF" w14:textId="77777777">
            <w:pPr>
              <w:keepNext/>
              <w:jc w:val="right"/>
            </w:pPr>
            <w:r w:rsidRPr="00E47894">
              <w:t xml:space="preserve">(2 hours and 12 minutes) </w:t>
            </w: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B42716" w:rsidRPr="00E47894" w:rsidP="00B42716" w14:paraId="048E98DF" w14:textId="77777777">
            <w:pPr>
              <w:keepNext/>
              <w:jc w:val="right"/>
            </w:pPr>
            <w:r w:rsidRPr="00E47894">
              <w:t>776.8</w:t>
            </w:r>
          </w:p>
        </w:tc>
      </w:tr>
      <w:tr w14:paraId="2887DE8B" w14:textId="77777777" w:rsidTr="001C2FFA">
        <w:tblPrEx>
          <w:tblW w:w="4957" w:type="pct"/>
          <w:tblLayout w:type="fixed"/>
          <w:tblLook w:val="01E0"/>
        </w:tblPrEx>
        <w:trPr>
          <w:gridAfter w:val="1"/>
          <w:wAfter w:w="6" w:type="dxa"/>
          <w:cantSplit/>
          <w:trHeight w:val="20"/>
        </w:trPr>
        <w:tc>
          <w:tcPr>
            <w:tcW w:w="1669" w:type="pct"/>
            <w:tcBorders>
              <w:top w:val="single" w:sz="4" w:space="0" w:color="auto"/>
              <w:left w:val="single" w:sz="4" w:space="0" w:color="auto"/>
              <w:bottom w:val="single" w:sz="4" w:space="0" w:color="auto"/>
              <w:right w:val="single" w:sz="4" w:space="0" w:color="auto"/>
            </w:tcBorders>
          </w:tcPr>
          <w:p w:rsidR="00B42716" w:rsidRPr="00E47894" w:rsidP="00B42716" w14:paraId="12E9C8F6" w14:textId="77777777">
            <w:pPr>
              <w:keepNext/>
            </w:pPr>
            <w:r w:rsidRPr="00E47894">
              <w:t>§ 1.1116(a) and (b); ABs-- notices of intent to relinquish, records custodian</w:t>
            </w:r>
          </w:p>
        </w:tc>
        <w:tc>
          <w:tcPr>
            <w:tcW w:w="834" w:type="pct"/>
            <w:tcBorders>
              <w:top w:val="single" w:sz="4" w:space="0" w:color="auto"/>
              <w:left w:val="single" w:sz="4" w:space="0" w:color="auto"/>
              <w:bottom w:val="single" w:sz="4" w:space="0" w:color="auto"/>
              <w:right w:val="single" w:sz="4" w:space="0" w:color="auto"/>
            </w:tcBorders>
          </w:tcPr>
          <w:p w:rsidR="00B42716" w:rsidRPr="00E47894" w:rsidP="00B42716" w14:paraId="2DCF315A" w14:textId="77777777">
            <w:pPr>
              <w:keepNext/>
              <w:jc w:val="right"/>
            </w:pPr>
            <w:r w:rsidRPr="00E47894">
              <w:t>1</w:t>
            </w:r>
          </w:p>
        </w:tc>
        <w:tc>
          <w:tcPr>
            <w:tcW w:w="742" w:type="pct"/>
            <w:tcBorders>
              <w:top w:val="single" w:sz="4" w:space="0" w:color="auto"/>
              <w:left w:val="single" w:sz="4" w:space="0" w:color="auto"/>
              <w:bottom w:val="single" w:sz="4" w:space="0" w:color="auto"/>
              <w:right w:val="single" w:sz="4" w:space="0" w:color="auto"/>
            </w:tcBorders>
          </w:tcPr>
          <w:p w:rsidR="00B42716" w:rsidRPr="00E47894" w:rsidP="00B42716" w14:paraId="00A51514" w14:textId="77777777">
            <w:pPr>
              <w:keepNext/>
              <w:jc w:val="right"/>
            </w:pPr>
            <w:r w:rsidRPr="00E47894">
              <w:t>3</w:t>
            </w:r>
          </w:p>
        </w:tc>
        <w:tc>
          <w:tcPr>
            <w:tcW w:w="639" w:type="pct"/>
            <w:tcBorders>
              <w:top w:val="single" w:sz="4" w:space="0" w:color="auto"/>
              <w:left w:val="single" w:sz="4" w:space="0" w:color="auto"/>
              <w:bottom w:val="single" w:sz="4" w:space="0" w:color="auto"/>
              <w:right w:val="single" w:sz="4" w:space="0" w:color="auto"/>
            </w:tcBorders>
          </w:tcPr>
          <w:p w:rsidR="00B42716" w:rsidRPr="00E47894" w:rsidP="00B42716" w14:paraId="58264966" w14:textId="77777777">
            <w:pPr>
              <w:keepNext/>
              <w:jc w:val="right"/>
            </w:pPr>
            <w:r w:rsidRPr="00E47894">
              <w:t>3</w:t>
            </w:r>
          </w:p>
        </w:tc>
        <w:tc>
          <w:tcPr>
            <w:tcW w:w="602" w:type="pct"/>
            <w:tcBorders>
              <w:top w:val="single" w:sz="4" w:space="0" w:color="auto"/>
              <w:left w:val="single" w:sz="4" w:space="0" w:color="auto"/>
              <w:bottom w:val="single" w:sz="4" w:space="0" w:color="auto"/>
              <w:right w:val="single" w:sz="4" w:space="0" w:color="auto"/>
            </w:tcBorders>
          </w:tcPr>
          <w:p w:rsidR="00B42716" w:rsidRPr="00E47894" w:rsidP="00B42716" w14:paraId="4FDAC38B" w14:textId="77777777">
            <w:pPr>
              <w:keepNext/>
              <w:jc w:val="right"/>
            </w:pPr>
            <w:r w:rsidRPr="00E47894">
              <w:t>3</w:t>
            </w:r>
          </w:p>
        </w:tc>
        <w:tc>
          <w:tcPr>
            <w:tcW w:w="508" w:type="pct"/>
            <w:tcBorders>
              <w:top w:val="single" w:sz="4" w:space="0" w:color="auto"/>
              <w:left w:val="single" w:sz="4" w:space="0" w:color="auto"/>
              <w:bottom w:val="single" w:sz="4" w:space="0" w:color="auto"/>
              <w:right w:val="single" w:sz="4" w:space="0" w:color="auto"/>
            </w:tcBorders>
          </w:tcPr>
          <w:p w:rsidR="00B42716" w:rsidRPr="00E47894" w:rsidP="00B42716" w14:paraId="168C899C" w14:textId="77777777">
            <w:pPr>
              <w:keepNext/>
              <w:jc w:val="right"/>
            </w:pPr>
            <w:r w:rsidRPr="00E47894">
              <w:t>9</w:t>
            </w:r>
          </w:p>
        </w:tc>
      </w:tr>
      <w:tr w14:paraId="4F63E127" w14:textId="77777777" w:rsidTr="001C2FFA">
        <w:tblPrEx>
          <w:tblW w:w="4957" w:type="pct"/>
          <w:tblLayout w:type="fixed"/>
          <w:tblLook w:val="01E0"/>
        </w:tblPrEx>
        <w:trPr>
          <w:gridAfter w:val="1"/>
          <w:wAfter w:w="6" w:type="dxa"/>
          <w:cantSplit/>
          <w:trHeight w:val="20"/>
        </w:trPr>
        <w:tc>
          <w:tcPr>
            <w:tcW w:w="1669" w:type="pct"/>
            <w:tcBorders>
              <w:top w:val="single" w:sz="4" w:space="0" w:color="auto"/>
              <w:left w:val="single" w:sz="4" w:space="0" w:color="auto"/>
              <w:bottom w:val="single" w:sz="4" w:space="0" w:color="auto"/>
              <w:right w:val="single" w:sz="4" w:space="0" w:color="auto"/>
            </w:tcBorders>
            <w:shd w:val="clear" w:color="auto" w:fill="auto"/>
          </w:tcPr>
          <w:p w:rsidR="00B42716" w:rsidRPr="00E47894" w:rsidP="00B42716" w14:paraId="7F714F29" w14:textId="77777777">
            <w:r w:rsidRPr="00E47894">
              <w:t>§§ 1.1138 and 1.1139; laboratories--submission of application for LAAF-accreditation (one-time submission)</w:t>
            </w:r>
          </w:p>
          <w:p w:rsidR="00B42716" w:rsidRPr="00E47894" w:rsidP="00B42716" w14:paraId="38F6E1D7" w14:textId="77777777"/>
          <w:p w:rsidR="00B42716" w:rsidRPr="00E47894" w:rsidP="00B42716" w14:paraId="7242B804" w14:textId="77777777">
            <w:r w:rsidRPr="00E47894">
              <w:t>§§ 1.1149(a) and 1.1152(c)(1), (2); laboratories--submission of sampling plan, sample collection report, and sampler qualifications</w:t>
            </w:r>
          </w:p>
          <w:p w:rsidR="00B42716" w:rsidRPr="00E47894" w:rsidP="00B42716" w14:paraId="049A532A" w14:textId="77777777"/>
          <w:p w:rsidR="00B42716" w:rsidRPr="00E47894" w:rsidP="00B42716" w14:paraId="2F752057" w14:textId="77777777">
            <w:r w:rsidRPr="00E47894">
              <w:t xml:space="preserve">§§ 1.1152(d) and 1.1153(a); laboratories--qualification to </w:t>
            </w:r>
            <w:r w:rsidRPr="00E47894">
              <w:t>submit abridged analytical reports (one-time submission)</w:t>
            </w:r>
          </w:p>
          <w:p w:rsidR="00B42716" w:rsidRPr="00E47894" w:rsidP="00B42716" w14:paraId="3B667848" w14:textId="77777777"/>
          <w:p w:rsidR="00B42716" w:rsidRPr="00E47894" w:rsidP="00B42716" w14:paraId="6521315A" w14:textId="77777777">
            <w:r w:rsidRPr="00E47894">
              <w:t>§ 1.1153; laboratories--abridged analytical reports submissions</w:t>
            </w:r>
          </w:p>
          <w:p w:rsidR="00B42716" w:rsidRPr="00E47894" w:rsidP="00B42716" w14:paraId="456F49AC" w14:textId="77777777"/>
          <w:p w:rsidR="00B42716" w:rsidRPr="00E47894" w:rsidP="00B42716" w14:paraId="596A2E9D" w14:textId="77777777">
            <w:r w:rsidRPr="00E47894">
              <w:t>§ 1.1149(c); laboratories--advance notice of sampling submissions</w:t>
            </w:r>
          </w:p>
          <w:p w:rsidR="00B42716" w:rsidRPr="00E47894" w:rsidP="00B42716" w14:paraId="598B22C9" w14:textId="77777777"/>
          <w:p w:rsidR="00B42716" w:rsidRPr="00E47894" w:rsidP="00B42716" w14:paraId="49C26C7C" w14:textId="77777777">
            <w:r w:rsidRPr="00E47894">
              <w:t>§ 1.1152(f); laboratories--immediate notification</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B42716" w:rsidRPr="00E47894" w:rsidP="00B42716" w14:paraId="42C8A75D" w14:textId="77777777">
            <w:pPr>
              <w:jc w:val="right"/>
            </w:pPr>
            <w:r w:rsidRPr="00E47894">
              <w:t>160</w:t>
            </w:r>
          </w:p>
        </w:tc>
        <w:tc>
          <w:tcPr>
            <w:tcW w:w="742" w:type="pct"/>
            <w:tcBorders>
              <w:top w:val="single" w:sz="4" w:space="0" w:color="auto"/>
              <w:left w:val="single" w:sz="4" w:space="0" w:color="auto"/>
              <w:bottom w:val="single" w:sz="4" w:space="0" w:color="auto"/>
              <w:right w:val="single" w:sz="4" w:space="0" w:color="auto"/>
            </w:tcBorders>
            <w:shd w:val="clear" w:color="auto" w:fill="auto"/>
          </w:tcPr>
          <w:p w:rsidR="00B42716" w:rsidRPr="00E47894" w:rsidP="00B42716" w14:paraId="26C97E38" w14:textId="77777777">
            <w:pPr>
              <w:jc w:val="right"/>
            </w:pPr>
            <w:r w:rsidRPr="00E47894">
              <w:t>63.5</w:t>
            </w: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B42716" w:rsidRPr="00E47894" w:rsidP="00B42716" w14:paraId="1AFBDF3F" w14:textId="77777777">
            <w:pPr>
              <w:jc w:val="right"/>
            </w:pPr>
            <w:r w:rsidRPr="00E47894">
              <w:t>10,160</w:t>
            </w:r>
          </w:p>
        </w:tc>
        <w:tc>
          <w:tcPr>
            <w:tcW w:w="602" w:type="pct"/>
            <w:tcBorders>
              <w:top w:val="single" w:sz="4" w:space="0" w:color="auto"/>
              <w:left w:val="single" w:sz="4" w:space="0" w:color="auto"/>
              <w:bottom w:val="single" w:sz="4" w:space="0" w:color="auto"/>
              <w:right w:val="single" w:sz="4" w:space="0" w:color="auto"/>
            </w:tcBorders>
            <w:shd w:val="clear" w:color="auto" w:fill="auto"/>
          </w:tcPr>
          <w:p w:rsidR="00B42716" w:rsidRPr="00E47894" w:rsidP="00B42716" w14:paraId="4BB03081" w14:textId="77777777">
            <w:pPr>
              <w:jc w:val="right"/>
            </w:pPr>
            <w:r w:rsidRPr="00E47894">
              <w:t>1.8051</w:t>
            </w:r>
          </w:p>
          <w:p w:rsidR="00B42716" w:rsidRPr="00E47894" w:rsidP="00B42716" w14:paraId="41419CAE" w14:textId="77777777">
            <w:pPr>
              <w:jc w:val="right"/>
            </w:pPr>
            <w:r w:rsidRPr="00E47894">
              <w:t>(1 hour and 49 minutes)</w:t>
            </w: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B42716" w:rsidRPr="00E47894" w:rsidP="00B42716" w14:paraId="0D24948F" w14:textId="77777777">
            <w:pPr>
              <w:jc w:val="right"/>
            </w:pPr>
            <w:r w:rsidRPr="00E47894">
              <w:t>18,340</w:t>
            </w:r>
          </w:p>
        </w:tc>
      </w:tr>
      <w:tr w14:paraId="25F121BB" w14:textId="77777777" w:rsidTr="001C2FFA">
        <w:tblPrEx>
          <w:tblW w:w="4957" w:type="pct"/>
          <w:tblLayout w:type="fixed"/>
          <w:tblLook w:val="01E0"/>
        </w:tblPrEx>
        <w:trPr>
          <w:gridAfter w:val="1"/>
          <w:wAfter w:w="6" w:type="dxa"/>
          <w:cantSplit/>
          <w:trHeight w:val="20"/>
        </w:trPr>
        <w:tc>
          <w:tcPr>
            <w:tcW w:w="1669" w:type="pct"/>
            <w:tcBorders>
              <w:top w:val="single" w:sz="4" w:space="0" w:color="auto"/>
              <w:left w:val="single" w:sz="4" w:space="0" w:color="auto"/>
              <w:bottom w:val="single" w:sz="4" w:space="0" w:color="auto"/>
              <w:right w:val="single" w:sz="4" w:space="0" w:color="auto"/>
            </w:tcBorders>
            <w:shd w:val="clear" w:color="auto" w:fill="auto"/>
          </w:tcPr>
          <w:p w:rsidR="00B42716" w:rsidRPr="00E47894" w:rsidP="00B42716" w14:paraId="45C17FA4" w14:textId="77777777">
            <w:r w:rsidRPr="00E47894">
              <w:t>§ 1.1140(a); laboratories – notices of intent to relinquish, records custodian</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B42716" w:rsidRPr="00E47894" w:rsidP="00B42716" w14:paraId="2B4A94B1" w14:textId="77777777">
            <w:pPr>
              <w:jc w:val="right"/>
            </w:pPr>
            <w:r w:rsidRPr="00E47894">
              <w:t>2</w:t>
            </w:r>
          </w:p>
        </w:tc>
        <w:tc>
          <w:tcPr>
            <w:tcW w:w="742" w:type="pct"/>
            <w:tcBorders>
              <w:top w:val="single" w:sz="4" w:space="0" w:color="auto"/>
              <w:left w:val="single" w:sz="4" w:space="0" w:color="auto"/>
              <w:bottom w:val="single" w:sz="4" w:space="0" w:color="auto"/>
              <w:right w:val="single" w:sz="4" w:space="0" w:color="auto"/>
            </w:tcBorders>
            <w:shd w:val="clear" w:color="auto" w:fill="auto"/>
          </w:tcPr>
          <w:p w:rsidR="00B42716" w:rsidRPr="00E47894" w:rsidP="00B42716" w14:paraId="6737032B" w14:textId="77777777">
            <w:pPr>
              <w:jc w:val="right"/>
            </w:pPr>
            <w:r w:rsidRPr="00E47894">
              <w:t>3</w:t>
            </w: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B42716" w:rsidRPr="00E47894" w:rsidP="00B42716" w14:paraId="448183A7" w14:textId="77777777">
            <w:pPr>
              <w:jc w:val="right"/>
            </w:pPr>
            <w:r w:rsidRPr="00E47894">
              <w:t>6</w:t>
            </w:r>
          </w:p>
        </w:tc>
        <w:tc>
          <w:tcPr>
            <w:tcW w:w="602" w:type="pct"/>
            <w:tcBorders>
              <w:top w:val="single" w:sz="4" w:space="0" w:color="auto"/>
              <w:left w:val="single" w:sz="4" w:space="0" w:color="auto"/>
              <w:bottom w:val="single" w:sz="4" w:space="0" w:color="auto"/>
              <w:right w:val="single" w:sz="4" w:space="0" w:color="auto"/>
            </w:tcBorders>
            <w:shd w:val="clear" w:color="auto" w:fill="auto"/>
          </w:tcPr>
          <w:p w:rsidR="00B42716" w:rsidRPr="00E47894" w:rsidP="00B42716" w14:paraId="37A48140" w14:textId="77777777">
            <w:pPr>
              <w:jc w:val="right"/>
            </w:pPr>
            <w:r w:rsidRPr="00E47894">
              <w:t>1</w:t>
            </w: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B42716" w:rsidRPr="00E47894" w:rsidP="00B42716" w14:paraId="3CFF3716" w14:textId="77777777">
            <w:pPr>
              <w:jc w:val="right"/>
            </w:pPr>
            <w:r w:rsidRPr="00E47894">
              <w:t>6</w:t>
            </w:r>
          </w:p>
        </w:tc>
      </w:tr>
      <w:tr w14:paraId="0B270ADE" w14:textId="77777777" w:rsidTr="001C2FFA">
        <w:tblPrEx>
          <w:tblW w:w="4957" w:type="pct"/>
          <w:tblLayout w:type="fixed"/>
          <w:tblLook w:val="01E0"/>
        </w:tblPrEx>
        <w:trPr>
          <w:gridAfter w:val="1"/>
          <w:wAfter w:w="6" w:type="dxa"/>
          <w:cantSplit/>
          <w:trHeight w:val="20"/>
        </w:trPr>
        <w:tc>
          <w:tcPr>
            <w:tcW w:w="1669" w:type="pct"/>
            <w:tcBorders>
              <w:top w:val="single" w:sz="4" w:space="0" w:color="auto"/>
              <w:left w:val="single" w:sz="4" w:space="0" w:color="auto"/>
              <w:bottom w:val="single" w:sz="4" w:space="0" w:color="auto"/>
              <w:right w:val="single" w:sz="4" w:space="0" w:color="auto"/>
            </w:tcBorders>
            <w:hideMark/>
          </w:tcPr>
          <w:p w:rsidR="00B42716" w:rsidRPr="00E47894" w:rsidP="00B42716" w14:paraId="2EA7DB80" w14:textId="77777777">
            <w:r w:rsidRPr="00E47894">
              <w:t>§ 1.1152(c)(4) and (5); laboratories--validation and verification studies submissions</w:t>
            </w:r>
          </w:p>
        </w:tc>
        <w:tc>
          <w:tcPr>
            <w:tcW w:w="834" w:type="pct"/>
            <w:tcBorders>
              <w:top w:val="single" w:sz="4" w:space="0" w:color="auto"/>
              <w:left w:val="single" w:sz="4" w:space="0" w:color="auto"/>
              <w:bottom w:val="single" w:sz="4" w:space="0" w:color="auto"/>
              <w:right w:val="single" w:sz="4" w:space="0" w:color="auto"/>
            </w:tcBorders>
          </w:tcPr>
          <w:p w:rsidR="00B42716" w:rsidRPr="00E47894" w:rsidP="00B42716" w14:paraId="789C8BCC" w14:textId="77777777">
            <w:pPr>
              <w:jc w:val="right"/>
            </w:pPr>
            <w:r w:rsidRPr="00E47894">
              <w:t>50</w:t>
            </w:r>
          </w:p>
        </w:tc>
        <w:tc>
          <w:tcPr>
            <w:tcW w:w="742" w:type="pct"/>
            <w:tcBorders>
              <w:top w:val="single" w:sz="4" w:space="0" w:color="auto"/>
              <w:left w:val="single" w:sz="4" w:space="0" w:color="auto"/>
              <w:bottom w:val="single" w:sz="4" w:space="0" w:color="auto"/>
              <w:right w:val="single" w:sz="4" w:space="0" w:color="auto"/>
            </w:tcBorders>
          </w:tcPr>
          <w:p w:rsidR="00B42716" w:rsidRPr="00E47894" w:rsidP="00B42716" w14:paraId="28AC0A32" w14:textId="77777777">
            <w:pPr>
              <w:jc w:val="right"/>
            </w:pPr>
            <w:r w:rsidRPr="00E47894">
              <w:t>5</w:t>
            </w:r>
          </w:p>
        </w:tc>
        <w:tc>
          <w:tcPr>
            <w:tcW w:w="639" w:type="pct"/>
            <w:tcBorders>
              <w:top w:val="single" w:sz="4" w:space="0" w:color="auto"/>
              <w:left w:val="single" w:sz="4" w:space="0" w:color="auto"/>
              <w:bottom w:val="single" w:sz="4" w:space="0" w:color="auto"/>
              <w:right w:val="single" w:sz="4" w:space="0" w:color="auto"/>
            </w:tcBorders>
          </w:tcPr>
          <w:p w:rsidR="00B42716" w:rsidRPr="00E47894" w:rsidP="00B42716" w14:paraId="6B0FE805" w14:textId="77777777">
            <w:pPr>
              <w:jc w:val="right"/>
            </w:pPr>
            <w:r w:rsidRPr="00E47894">
              <w:t>250</w:t>
            </w:r>
          </w:p>
        </w:tc>
        <w:tc>
          <w:tcPr>
            <w:tcW w:w="602" w:type="pct"/>
            <w:tcBorders>
              <w:top w:val="single" w:sz="4" w:space="0" w:color="auto"/>
              <w:left w:val="single" w:sz="4" w:space="0" w:color="auto"/>
              <w:bottom w:val="single" w:sz="4" w:space="0" w:color="auto"/>
              <w:right w:val="single" w:sz="4" w:space="0" w:color="auto"/>
            </w:tcBorders>
          </w:tcPr>
          <w:p w:rsidR="00B42716" w:rsidRPr="00E47894" w:rsidP="00B42716" w14:paraId="5C44E912" w14:textId="77777777">
            <w:pPr>
              <w:jc w:val="right"/>
            </w:pPr>
            <w:r w:rsidRPr="00E47894">
              <w:t>1.5</w:t>
            </w:r>
          </w:p>
          <w:p w:rsidR="00B42716" w:rsidRPr="00E47894" w:rsidP="00B42716" w14:paraId="5AAE4F0C" w14:textId="77777777">
            <w:pPr>
              <w:jc w:val="right"/>
            </w:pPr>
            <w:r w:rsidRPr="00E47894">
              <w:t xml:space="preserve">(1 hour and 30 minutes) </w:t>
            </w:r>
          </w:p>
          <w:p w:rsidR="00B42716" w:rsidRPr="00E47894" w:rsidP="00B42716" w14:paraId="6C1B74B2" w14:textId="77777777">
            <w:pPr>
              <w:jc w:val="right"/>
            </w:pPr>
          </w:p>
        </w:tc>
        <w:tc>
          <w:tcPr>
            <w:tcW w:w="508" w:type="pct"/>
            <w:tcBorders>
              <w:top w:val="single" w:sz="4" w:space="0" w:color="auto"/>
              <w:left w:val="single" w:sz="4" w:space="0" w:color="auto"/>
              <w:bottom w:val="single" w:sz="4" w:space="0" w:color="auto"/>
              <w:right w:val="single" w:sz="4" w:space="0" w:color="auto"/>
            </w:tcBorders>
          </w:tcPr>
          <w:p w:rsidR="00B42716" w:rsidRPr="00E47894" w:rsidP="00B42716" w14:paraId="7458BBBC" w14:textId="77777777">
            <w:pPr>
              <w:jc w:val="right"/>
            </w:pPr>
            <w:r w:rsidRPr="00E47894">
              <w:t>375</w:t>
            </w:r>
          </w:p>
        </w:tc>
      </w:tr>
      <w:tr w14:paraId="79219A00" w14:textId="77777777" w:rsidTr="001C2FFA">
        <w:tblPrEx>
          <w:tblW w:w="4957" w:type="pct"/>
          <w:tblLayout w:type="fixed"/>
          <w:tblLook w:val="01E0"/>
        </w:tblPrEx>
        <w:trPr>
          <w:gridAfter w:val="1"/>
          <w:wAfter w:w="6" w:type="dxa"/>
          <w:cantSplit/>
          <w:trHeight w:val="20"/>
        </w:trPr>
        <w:tc>
          <w:tcPr>
            <w:tcW w:w="1669" w:type="pct"/>
            <w:tcBorders>
              <w:top w:val="single" w:sz="4" w:space="0" w:color="auto"/>
              <w:left w:val="single" w:sz="4" w:space="0" w:color="auto"/>
              <w:bottom w:val="single" w:sz="4" w:space="0" w:color="auto"/>
              <w:right w:val="single" w:sz="4" w:space="0" w:color="auto"/>
            </w:tcBorders>
          </w:tcPr>
          <w:p w:rsidR="00B42716" w:rsidRPr="00E47894" w:rsidP="00B42716" w14:paraId="73D8ABF4" w14:textId="77777777">
            <w:r w:rsidRPr="00E47894">
              <w:t>§§ 1.1142; 1.1171; 1.1173; and 1.1174; requests in response to FDA action</w:t>
            </w:r>
          </w:p>
        </w:tc>
        <w:tc>
          <w:tcPr>
            <w:tcW w:w="834" w:type="pct"/>
            <w:tcBorders>
              <w:top w:val="single" w:sz="4" w:space="0" w:color="auto"/>
              <w:left w:val="single" w:sz="4" w:space="0" w:color="auto"/>
              <w:bottom w:val="single" w:sz="4" w:space="0" w:color="auto"/>
              <w:right w:val="single" w:sz="4" w:space="0" w:color="auto"/>
            </w:tcBorders>
          </w:tcPr>
          <w:p w:rsidR="00B42716" w:rsidRPr="00E47894" w:rsidP="00B42716" w14:paraId="5A49B084" w14:textId="77777777">
            <w:pPr>
              <w:jc w:val="right"/>
            </w:pPr>
            <w:r w:rsidRPr="00E47894">
              <w:t>1</w:t>
            </w:r>
          </w:p>
        </w:tc>
        <w:tc>
          <w:tcPr>
            <w:tcW w:w="742" w:type="pct"/>
            <w:tcBorders>
              <w:top w:val="single" w:sz="4" w:space="0" w:color="auto"/>
              <w:left w:val="single" w:sz="4" w:space="0" w:color="auto"/>
              <w:bottom w:val="single" w:sz="4" w:space="0" w:color="auto"/>
              <w:right w:val="single" w:sz="4" w:space="0" w:color="auto"/>
            </w:tcBorders>
          </w:tcPr>
          <w:p w:rsidR="00B42716" w:rsidRPr="00E47894" w:rsidP="00B42716" w14:paraId="5805A1FA" w14:textId="77777777">
            <w:pPr>
              <w:jc w:val="right"/>
            </w:pPr>
            <w:r w:rsidRPr="00E47894">
              <w:t>1</w:t>
            </w:r>
          </w:p>
        </w:tc>
        <w:tc>
          <w:tcPr>
            <w:tcW w:w="639" w:type="pct"/>
            <w:tcBorders>
              <w:top w:val="single" w:sz="4" w:space="0" w:color="auto"/>
              <w:left w:val="single" w:sz="4" w:space="0" w:color="auto"/>
              <w:bottom w:val="single" w:sz="4" w:space="0" w:color="auto"/>
              <w:right w:val="single" w:sz="4" w:space="0" w:color="auto"/>
            </w:tcBorders>
          </w:tcPr>
          <w:p w:rsidR="00B42716" w:rsidRPr="00E47894" w:rsidP="00B42716" w14:paraId="6B23CE7B" w14:textId="77777777">
            <w:pPr>
              <w:jc w:val="right"/>
            </w:pPr>
            <w:r w:rsidRPr="00E47894">
              <w:t>1</w:t>
            </w:r>
          </w:p>
        </w:tc>
        <w:tc>
          <w:tcPr>
            <w:tcW w:w="602" w:type="pct"/>
            <w:tcBorders>
              <w:top w:val="single" w:sz="4" w:space="0" w:color="auto"/>
              <w:left w:val="single" w:sz="4" w:space="0" w:color="auto"/>
              <w:bottom w:val="single" w:sz="4" w:space="0" w:color="auto"/>
              <w:right w:val="single" w:sz="4" w:space="0" w:color="auto"/>
            </w:tcBorders>
          </w:tcPr>
          <w:p w:rsidR="00B42716" w:rsidRPr="00E47894" w:rsidP="00B42716" w14:paraId="57B53CA5" w14:textId="77777777">
            <w:pPr>
              <w:jc w:val="right"/>
            </w:pPr>
            <w:r w:rsidRPr="00E47894">
              <w:t>1</w:t>
            </w:r>
          </w:p>
        </w:tc>
        <w:tc>
          <w:tcPr>
            <w:tcW w:w="508" w:type="pct"/>
            <w:tcBorders>
              <w:top w:val="single" w:sz="4" w:space="0" w:color="auto"/>
              <w:left w:val="single" w:sz="4" w:space="0" w:color="auto"/>
              <w:bottom w:val="single" w:sz="4" w:space="0" w:color="auto"/>
              <w:right w:val="single" w:sz="4" w:space="0" w:color="auto"/>
            </w:tcBorders>
          </w:tcPr>
          <w:p w:rsidR="00B42716" w:rsidRPr="00E47894" w:rsidP="00B42716" w14:paraId="5EE45870" w14:textId="77777777">
            <w:pPr>
              <w:jc w:val="right"/>
            </w:pPr>
            <w:r w:rsidRPr="00E47894">
              <w:t>1</w:t>
            </w:r>
          </w:p>
        </w:tc>
      </w:tr>
      <w:tr w14:paraId="45DA0BED" w14:textId="77777777" w:rsidTr="001C2FFA">
        <w:tblPrEx>
          <w:tblW w:w="4957" w:type="pct"/>
          <w:tblLayout w:type="fixed"/>
          <w:tblLook w:val="01E0"/>
        </w:tblPrEx>
        <w:trPr>
          <w:gridAfter w:val="1"/>
          <w:wAfter w:w="6" w:type="dxa"/>
          <w:cantSplit/>
          <w:trHeight w:val="20"/>
        </w:trPr>
        <w:tc>
          <w:tcPr>
            <w:tcW w:w="1669" w:type="pct"/>
            <w:tcBorders>
              <w:top w:val="single" w:sz="4" w:space="0" w:color="auto"/>
              <w:left w:val="single" w:sz="4" w:space="0" w:color="auto"/>
              <w:bottom w:val="single" w:sz="4" w:space="0" w:color="auto"/>
              <w:right w:val="single" w:sz="4" w:space="0" w:color="auto"/>
            </w:tcBorders>
            <w:hideMark/>
          </w:tcPr>
          <w:p w:rsidR="00B42716" w:rsidRPr="00E47894" w:rsidP="00B42716" w14:paraId="191DDF9F" w14:textId="77777777">
            <w:r w:rsidRPr="00E47894">
              <w:t>Total</w:t>
            </w:r>
          </w:p>
        </w:tc>
        <w:tc>
          <w:tcPr>
            <w:tcW w:w="834" w:type="pct"/>
            <w:tcBorders>
              <w:top w:val="single" w:sz="4" w:space="0" w:color="auto"/>
              <w:left w:val="single" w:sz="4" w:space="0" w:color="auto"/>
              <w:bottom w:val="single" w:sz="4" w:space="0" w:color="auto"/>
              <w:right w:val="single" w:sz="4" w:space="0" w:color="auto"/>
            </w:tcBorders>
          </w:tcPr>
          <w:p w:rsidR="00B42716" w:rsidRPr="00E47894" w:rsidP="00B42716" w14:paraId="2A18A6B6" w14:textId="77777777">
            <w:pPr>
              <w:jc w:val="right"/>
            </w:pPr>
          </w:p>
        </w:tc>
        <w:tc>
          <w:tcPr>
            <w:tcW w:w="742" w:type="pct"/>
            <w:tcBorders>
              <w:top w:val="single" w:sz="4" w:space="0" w:color="auto"/>
              <w:left w:val="single" w:sz="4" w:space="0" w:color="auto"/>
              <w:bottom w:val="single" w:sz="4" w:space="0" w:color="auto"/>
              <w:right w:val="single" w:sz="4" w:space="0" w:color="auto"/>
            </w:tcBorders>
          </w:tcPr>
          <w:p w:rsidR="00B42716" w:rsidRPr="00E47894" w:rsidP="00B42716" w14:paraId="0EC066B1" w14:textId="77777777">
            <w:pPr>
              <w:jc w:val="right"/>
            </w:pPr>
          </w:p>
        </w:tc>
        <w:tc>
          <w:tcPr>
            <w:tcW w:w="639" w:type="pct"/>
            <w:tcBorders>
              <w:top w:val="single" w:sz="4" w:space="0" w:color="auto"/>
              <w:left w:val="single" w:sz="4" w:space="0" w:color="auto"/>
              <w:bottom w:val="single" w:sz="4" w:space="0" w:color="auto"/>
              <w:right w:val="single" w:sz="4" w:space="0" w:color="auto"/>
            </w:tcBorders>
          </w:tcPr>
          <w:p w:rsidR="00B42716" w:rsidRPr="00E47894" w:rsidP="00B42716" w14:paraId="06304E39" w14:textId="77777777">
            <w:pPr>
              <w:jc w:val="right"/>
            </w:pPr>
            <w:r w:rsidRPr="00E47894">
              <w:t>10,772</w:t>
            </w:r>
          </w:p>
        </w:tc>
        <w:tc>
          <w:tcPr>
            <w:tcW w:w="602" w:type="pct"/>
            <w:tcBorders>
              <w:top w:val="single" w:sz="4" w:space="0" w:color="auto"/>
              <w:left w:val="single" w:sz="4" w:space="0" w:color="auto"/>
              <w:bottom w:val="single" w:sz="4" w:space="0" w:color="auto"/>
              <w:right w:val="single" w:sz="4" w:space="0" w:color="auto"/>
            </w:tcBorders>
          </w:tcPr>
          <w:p w:rsidR="00B42716" w:rsidRPr="00E47894" w:rsidP="00B42716" w14:paraId="0635A3D9" w14:textId="77777777">
            <w:pPr>
              <w:jc w:val="right"/>
            </w:pPr>
          </w:p>
        </w:tc>
        <w:tc>
          <w:tcPr>
            <w:tcW w:w="508" w:type="pct"/>
            <w:tcBorders>
              <w:top w:val="single" w:sz="4" w:space="0" w:color="auto"/>
              <w:left w:val="single" w:sz="4" w:space="0" w:color="auto"/>
              <w:bottom w:val="single" w:sz="4" w:space="0" w:color="auto"/>
              <w:right w:val="single" w:sz="4" w:space="0" w:color="auto"/>
            </w:tcBorders>
          </w:tcPr>
          <w:p w:rsidR="00B42716" w:rsidRPr="00E47894" w:rsidP="00B42716" w14:paraId="52DB65B7" w14:textId="77777777">
            <w:pPr>
              <w:jc w:val="right"/>
            </w:pPr>
            <w:r w:rsidRPr="00E47894">
              <w:t>19,508</w:t>
            </w:r>
          </w:p>
        </w:tc>
      </w:tr>
    </w:tbl>
    <w:p w:rsidR="00B42716" w:rsidRPr="002D56CE" w:rsidP="00974C26" w14:paraId="2F610631" w14:textId="2A46F962">
      <w:pPr>
        <w:pStyle w:val="FootnoteText"/>
      </w:pPr>
      <w:r>
        <w:rPr>
          <w:rStyle w:val="FootnoteReference"/>
        </w:rPr>
        <w:footnoteRef/>
      </w:r>
      <w:r>
        <w:t xml:space="preserve"> </w:t>
      </w:r>
      <w:r w:rsidRPr="002D56CE">
        <w:rPr>
          <w:rStyle w:val="cf01"/>
          <w:rFonts w:ascii="Times New Roman" w:hAnsi="Times New Roman" w:cs="Times New Roman"/>
          <w:sz w:val="20"/>
          <w:szCs w:val="20"/>
        </w:rPr>
        <w:t>Totals may not sum due to rounding.</w:t>
      </w:r>
    </w:p>
    <w:p w:rsidR="00FF6F8C" w:rsidP="00A24537" w14:paraId="681494A9" w14:textId="77777777">
      <w:pPr>
        <w:tabs>
          <w:tab w:val="left" w:pos="720"/>
        </w:tabs>
        <w:ind w:left="720"/>
      </w:pPr>
    </w:p>
    <w:p w:rsidR="00FD2E7F" w:rsidP="00FD2E7F" w14:paraId="2BEB0320" w14:textId="44EBCFC0">
      <w:pPr>
        <w:tabs>
          <w:tab w:val="left" w:pos="720"/>
        </w:tabs>
        <w:ind w:left="720"/>
        <w:rPr>
          <w:u w:val="single"/>
        </w:rPr>
      </w:pPr>
      <w:r w:rsidRPr="00FD2E7F">
        <w:rPr>
          <w:i/>
          <w:iCs/>
          <w:u w:val="single"/>
        </w:rPr>
        <w:t>Reporting:</w:t>
      </w:r>
      <w:r w:rsidRPr="00C75A01">
        <w:rPr>
          <w:u w:val="single"/>
        </w:rPr>
        <w:t xml:space="preserve"> </w:t>
      </w:r>
      <w:r w:rsidR="00AF3C61">
        <w:t>W</w:t>
      </w:r>
      <w:r w:rsidRPr="0066000E">
        <w:t>e estimate a total of 1</w:t>
      </w:r>
      <w:r w:rsidR="00074FCA">
        <w:t>60</w:t>
      </w:r>
      <w:r w:rsidRPr="0066000E">
        <w:t xml:space="preserve"> respondent</w:t>
      </w:r>
      <w:r w:rsidR="00C073C7">
        <w:t>s that are laboratories participating in the program</w:t>
      </w:r>
      <w:r w:rsidRPr="0066000E">
        <w:t xml:space="preserve">.  We </w:t>
      </w:r>
      <w:r w:rsidR="00C073C7">
        <w:t xml:space="preserve">also </w:t>
      </w:r>
      <w:r w:rsidRPr="0066000E">
        <w:t>estimate that 5 to 80 accreditation bodies could apply for FDA recognition under</w:t>
      </w:r>
      <w:r w:rsidRPr="0066000E" w:rsidR="000028D0">
        <w:t xml:space="preserve"> the regulations</w:t>
      </w:r>
      <w:r w:rsidRPr="0066000E">
        <w:t xml:space="preserve"> and </w:t>
      </w:r>
      <w:r w:rsidR="000A2883">
        <w:t>to date, the program has received</w:t>
      </w:r>
      <w:r w:rsidRPr="0066000E">
        <w:t xml:space="preserve"> </w:t>
      </w:r>
      <w:r w:rsidR="000A2883">
        <w:t>8</w:t>
      </w:r>
      <w:r w:rsidR="00654476">
        <w:t xml:space="preserve"> </w:t>
      </w:r>
      <w:r w:rsidR="000A2883">
        <w:t>applications</w:t>
      </w:r>
      <w:r w:rsidR="00654476">
        <w:t xml:space="preserve"> </w:t>
      </w:r>
      <w:r w:rsidRPr="0066000E">
        <w:t>for FDA recognition.  In this analysis, we annualize the one-time submission burden using a 3-year period horizon, for an annualized one-time reporting burden of 6,</w:t>
      </w:r>
      <w:r w:rsidR="0008398C">
        <w:t>560</w:t>
      </w:r>
      <w:r w:rsidRPr="0066000E">
        <w:t xml:space="preserve"> hours.  Cumulatively, this results in a total annual reporting burden of 19,</w:t>
      </w:r>
      <w:r w:rsidR="00572824">
        <w:t>508</w:t>
      </w:r>
      <w:r w:rsidRPr="0066000E">
        <w:t xml:space="preserve"> hours, as reflected in table 1.</w:t>
      </w:r>
    </w:p>
    <w:p w:rsidR="003472F8" w:rsidRPr="003472F8" w:rsidP="00FD2E7F" w14:paraId="03B0C01A" w14:textId="77777777">
      <w:pPr>
        <w:tabs>
          <w:tab w:val="left" w:pos="720"/>
        </w:tabs>
        <w:ind w:left="720"/>
        <w:rPr>
          <w:u w:val="single"/>
        </w:rPr>
      </w:pPr>
    </w:p>
    <w:p w:rsidR="00736527" w:rsidRPr="00A27704" w:rsidP="00736527" w14:paraId="256A5C5E" w14:textId="37C08B2A">
      <w:pPr>
        <w:tabs>
          <w:tab w:val="left" w:pos="720"/>
        </w:tabs>
        <w:ind w:left="720"/>
      </w:pPr>
      <w:r w:rsidRPr="00A27704">
        <w:t xml:space="preserve">Section 1.1114 requires an accreditation body seeking initial recognition to </w:t>
      </w:r>
      <w:r w:rsidRPr="00A27704">
        <w:t>submit an application</w:t>
      </w:r>
      <w:r w:rsidRPr="00A27704">
        <w:t xml:space="preserve"> to FDA demonstrating it meets the eligibility requirements described in § 1.1113.  The burden to prepare and </w:t>
      </w:r>
      <w:r w:rsidRPr="00A27704">
        <w:t>submit an application</w:t>
      </w:r>
      <w:r w:rsidRPr="00A27704">
        <w:t xml:space="preserve"> is an initial burden and, once realized, would apply only to respondents new to the program.  We estimate this process would take one analyst between 40 and 80 hours to compile all the relevant information, prepare for an assessment, complete </w:t>
      </w:r>
      <w:r w:rsidR="00D02B1E">
        <w:t xml:space="preserve">the </w:t>
      </w:r>
      <w:r w:rsidRPr="00A27704">
        <w:t>initial application process, and submit the application.  For this analysis we assume a middle value of 60 hours.  Section 1.1114 requires a recognized accreditation body to apply for renewal of recognition at least every 5 years.  We believe renewal would take less time than an initial application because much of the information will have already been compiled and therefore assume between 20 and 40 hours.  For this analysis we use a middle value and calculate that each recognized accreditation body spend</w:t>
      </w:r>
      <w:r w:rsidR="00EF767B">
        <w:t>s</w:t>
      </w:r>
      <w:r w:rsidRPr="00A27704">
        <w:t xml:space="preserve"> 30 hours every 5 years to complete and </w:t>
      </w:r>
      <w:r w:rsidRPr="00A27704">
        <w:t>submit an application</w:t>
      </w:r>
      <w:r w:rsidRPr="00A27704">
        <w:t xml:space="preserve"> for renewal of its recognition.  This </w:t>
      </w:r>
      <w:r w:rsidRPr="00A27704">
        <w:t xml:space="preserve">results in 6 hours per year (30 hours ÷ 5 years) for each accreditation body.  </w:t>
      </w:r>
      <w:r w:rsidRPr="00A27704">
        <w:t xml:space="preserve">Section 1.1123 requires a recognized accreditation body to submit certain reports, notifications, and documentation to FDA, including significant changes affecting its accreditation program or the accreditation status of laboratories it LAAF-accredits, and ensure FDA has access to these and other records.  </w:t>
      </w:r>
      <w:r w:rsidR="00F8102E">
        <w:t>In all, w</w:t>
      </w:r>
      <w:r w:rsidRPr="00A27704">
        <w:t>e estimate recognized accreditation bodies would incur a burden of 3.</w:t>
      </w:r>
      <w:r w:rsidR="00DA2C20">
        <w:t>66</w:t>
      </w:r>
      <w:r w:rsidRPr="00A27704">
        <w:t xml:space="preserve"> hours per month, or 4</w:t>
      </w:r>
      <w:r w:rsidR="00F5743E">
        <w:t>4</w:t>
      </w:r>
      <w:r w:rsidRPr="00A27704">
        <w:t xml:space="preserve"> hours per year, complying with the reporting requirements of § 1.1123 and the recordkeeping requirements of § 1.1124.  For this analysis, we </w:t>
      </w:r>
      <w:r w:rsidR="00581BB7">
        <w:t xml:space="preserve">estimate </w:t>
      </w:r>
      <w:r w:rsidRPr="00A27704">
        <w:t>4</w:t>
      </w:r>
      <w:r w:rsidR="00E842FC">
        <w:t>4</w:t>
      </w:r>
      <w:r w:rsidRPr="00A27704">
        <w:t xml:space="preserve"> hours (i.e., </w:t>
      </w:r>
      <w:r w:rsidR="00A93E66">
        <w:t>2 hours and 12 minutes</w:t>
      </w:r>
      <w:r w:rsidR="001245E1">
        <w:t xml:space="preserve"> or 2.2068 hours</w:t>
      </w:r>
      <w:r w:rsidRPr="00A27704" w:rsidR="00A93E66">
        <w:t xml:space="preserve"> </w:t>
      </w:r>
      <w:r w:rsidR="00875849">
        <w:t>as the average burden per response</w:t>
      </w:r>
      <w:r w:rsidRPr="00A27704">
        <w:t xml:space="preserve"> per month)</w:t>
      </w:r>
      <w:r w:rsidR="00190C47">
        <w:t>.</w:t>
      </w:r>
      <w:r w:rsidRPr="00A27704">
        <w:t xml:space="preserve"> Annually, this results in </w:t>
      </w:r>
      <w:r w:rsidR="004A25D2">
        <w:t>776.8</w:t>
      </w:r>
      <w:r w:rsidRPr="00A27704">
        <w:t xml:space="preserve"> hours (</w:t>
      </w:r>
      <w:r>
        <w:t>8</w:t>
      </w:r>
      <w:r w:rsidRPr="00A27704">
        <w:t xml:space="preserve"> recognized accreditation bodies × 4</w:t>
      </w:r>
      <w:r w:rsidR="00A93E66">
        <w:t>4</w:t>
      </w:r>
      <w:r w:rsidRPr="00A27704">
        <w:t xml:space="preserve"> responses per accreditation body × </w:t>
      </w:r>
      <w:r w:rsidR="00D81685">
        <w:t>2.2068</w:t>
      </w:r>
      <w:r w:rsidRPr="00A27704">
        <w:t xml:space="preserve"> hours per response), as reflected in row </w:t>
      </w:r>
      <w:r w:rsidR="00F8102E">
        <w:t>1</w:t>
      </w:r>
      <w:r w:rsidRPr="00A27704">
        <w:t>.</w:t>
      </w:r>
    </w:p>
    <w:p w:rsidR="003472F8" w:rsidRPr="00A27704" w:rsidP="00FD2E7F" w14:paraId="4335514E" w14:textId="77777777">
      <w:pPr>
        <w:tabs>
          <w:tab w:val="left" w:pos="720"/>
        </w:tabs>
        <w:ind w:left="720"/>
      </w:pPr>
    </w:p>
    <w:p w:rsidR="003472F8" w:rsidRPr="00A27704" w:rsidP="00FD2E7F" w14:paraId="0DF73256" w14:textId="7E298CC6">
      <w:pPr>
        <w:tabs>
          <w:tab w:val="left" w:pos="720"/>
        </w:tabs>
        <w:ind w:left="720"/>
      </w:pPr>
      <w:r w:rsidRPr="00A27704">
        <w:t xml:space="preserve">Section 1.1116 requires that if a recognized accreditation body voluntarily chooses to relinquish or not renew its recognition, it must notify FDA and the laboratories it LAAF-accredits of its intention to depart the program at least 60 days ahead of the departure.  The recognized accreditation body must also provide FDA with the name and contact information of the custodian who maintain and make available to FDA requisite program records.  We estimate a 1% voluntary departure rate, which equates to the departure of </w:t>
      </w:r>
      <w:r w:rsidR="009609AD">
        <w:t>1</w:t>
      </w:r>
      <w:r w:rsidRPr="00A27704">
        <w:t xml:space="preserve"> recognized accreditation body annually.  We estimate it would take a recognized accreditation body </w:t>
      </w:r>
      <w:r w:rsidR="007B5BF2">
        <w:t>three</w:t>
      </w:r>
      <w:r w:rsidRPr="00A27704">
        <w:t xml:space="preserve"> hour</w:t>
      </w:r>
      <w:r w:rsidR="007B5BF2">
        <w:t>s</w:t>
      </w:r>
      <w:r w:rsidRPr="00A27704">
        <w:t xml:space="preserve"> for each of the three required notices.  Accordingly, with rounding, the estimate for the burden associated with § 1.1116 is </w:t>
      </w:r>
      <w:r w:rsidR="00CC626A">
        <w:t>9 hours</w:t>
      </w:r>
      <w:r w:rsidR="00D6741F">
        <w:t xml:space="preserve"> </w:t>
      </w:r>
      <w:r w:rsidRPr="00A27704">
        <w:t>(</w:t>
      </w:r>
      <w:r w:rsidR="007B5BF2">
        <w:t>1</w:t>
      </w:r>
      <w:r w:rsidRPr="00A27704">
        <w:t xml:space="preserve"> recognized accreditation body </w:t>
      </w:r>
      <w:r w:rsidRPr="00A27704" w:rsidR="00DF6968">
        <w:t>×</w:t>
      </w:r>
      <w:r w:rsidRPr="00A27704">
        <w:t xml:space="preserve"> 3 notices = </w:t>
      </w:r>
      <w:r w:rsidR="00687015">
        <w:t>3</w:t>
      </w:r>
      <w:r w:rsidRPr="00A27704">
        <w:t xml:space="preserve"> annual responses, which rounds to </w:t>
      </w:r>
      <w:r w:rsidR="00687015">
        <w:t>3</w:t>
      </w:r>
      <w:r w:rsidRPr="00A27704">
        <w:t xml:space="preserve">; </w:t>
      </w:r>
      <w:r w:rsidR="00687015">
        <w:t>3</w:t>
      </w:r>
      <w:r w:rsidRPr="00A27704">
        <w:t xml:space="preserve"> annual response </w:t>
      </w:r>
      <w:r w:rsidRPr="00A27704" w:rsidR="00DF6968">
        <w:t>×</w:t>
      </w:r>
      <w:r w:rsidRPr="00A27704">
        <w:t xml:space="preserve"> 3 hours = </w:t>
      </w:r>
      <w:r w:rsidR="00687015">
        <w:t>9</w:t>
      </w:r>
      <w:r w:rsidRPr="00A27704">
        <w:t xml:space="preserve"> total hours), as reflected in row </w:t>
      </w:r>
      <w:r w:rsidR="00687015">
        <w:t>2</w:t>
      </w:r>
      <w:r w:rsidRPr="00A27704">
        <w:t>.</w:t>
      </w:r>
    </w:p>
    <w:p w:rsidR="003472F8" w:rsidRPr="00A27704" w:rsidP="00FD2E7F" w14:paraId="154A0976" w14:textId="77777777">
      <w:pPr>
        <w:tabs>
          <w:tab w:val="left" w:pos="720"/>
        </w:tabs>
        <w:ind w:left="720"/>
      </w:pPr>
    </w:p>
    <w:p w:rsidR="000011AA" w:rsidP="00FD2E7F" w14:paraId="770C8265" w14:textId="674FF86E">
      <w:pPr>
        <w:tabs>
          <w:tab w:val="left" w:pos="720"/>
        </w:tabs>
        <w:ind w:left="720"/>
      </w:pPr>
      <w:r w:rsidRPr="00A27704">
        <w:t xml:space="preserve">Section 1.1139 requires a laboratory seeking LAAF-accreditation to </w:t>
      </w:r>
      <w:r w:rsidRPr="00A27704">
        <w:t>submit an application</w:t>
      </w:r>
      <w:r w:rsidRPr="00A27704">
        <w:t xml:space="preserve"> to a recognized accreditation body, demonstrating that it meets the eligibility requirements specified in § 1.1138.  </w:t>
      </w:r>
      <w:r w:rsidRPr="00A27704" w:rsidR="00966C28">
        <w:t xml:space="preserve">Section 1.1152(a) through (e) requires a LAAF-accredited laboratory to submit test results of testing required to be conducted under the LAAF program and include supporting documentation.  As discussed in our supporting statement, only a percentage of that testing would be defined as information collection under the PRA. Section 1.1152(c)(1) requires a LAAF-accredited laboratory to submit a sample collection plan and sample collection report (the contents of which are described in § 1.1149(a)) with each test result.  Under § 1.1152(c)(2), a LAAF-accredited laboratory must include documentation of the sampler’s qualifications the first time the sampler collects a sample. Section 1.1153(a) allows a LAAF-accredited laboratory to qualify to submit abridged analytical reports in lieu of full analytical reports.  We </w:t>
      </w:r>
      <w:r w:rsidR="00EF767B">
        <w:t>estimate this as a</w:t>
      </w:r>
      <w:r w:rsidRPr="00A27704" w:rsidR="00966C28">
        <w:t xml:space="preserve"> </w:t>
      </w:r>
      <w:r w:rsidRPr="00A27704" w:rsidR="00966C28">
        <w:t>a</w:t>
      </w:r>
      <w:r w:rsidRPr="00A27704" w:rsidR="00966C28">
        <w:t xml:space="preserve"> one-time burden, but we may revisit this assumption in the future based on actual rates of revocation of permission to submit abridged analytical reports. </w:t>
      </w:r>
    </w:p>
    <w:p w:rsidR="00832B8E" w:rsidP="000011AA" w14:paraId="64B85818" w14:textId="77777777">
      <w:pPr>
        <w:tabs>
          <w:tab w:val="left" w:pos="720"/>
        </w:tabs>
        <w:ind w:left="720"/>
      </w:pPr>
    </w:p>
    <w:p w:rsidR="000011AA" w:rsidP="000011AA" w14:paraId="2BF3321C" w14:textId="27730A16">
      <w:pPr>
        <w:tabs>
          <w:tab w:val="left" w:pos="720"/>
        </w:tabs>
        <w:ind w:left="720"/>
      </w:pPr>
      <w:r w:rsidRPr="00A27704">
        <w:t>Under section 1.1149(c), FDA may require under certain circumstances, that a LAAF-accredited laboratory submit an advance notice of sampling to FDA before each of the next several occasions that the sampler collect</w:t>
      </w:r>
      <w:r w:rsidR="00EF767B">
        <w:t>s</w:t>
      </w:r>
      <w:r w:rsidRPr="00A27704">
        <w:t xml:space="preserve"> a sample that the LAAF-accredited laboratory analyze</w:t>
      </w:r>
      <w:r w:rsidR="00EF767B">
        <w:t>s</w:t>
      </w:r>
      <w:r w:rsidRPr="00A27704">
        <w:t xml:space="preserve"> under the LAAF program.  We assume that it would take a laboratory analyst between </w:t>
      </w:r>
      <w:r>
        <w:t>one</w:t>
      </w:r>
      <w:r w:rsidRPr="00A27704">
        <w:t xml:space="preserve"> and </w:t>
      </w:r>
      <w:r>
        <w:t>two</w:t>
      </w:r>
      <w:r w:rsidRPr="00A27704">
        <w:t xml:space="preserve"> hours to compile and submit the required information, and we assume that between one percent and five percent of all test results submitted annually under the LAAF program </w:t>
      </w:r>
      <w:r w:rsidR="00EF767B">
        <w:t xml:space="preserve">is </w:t>
      </w:r>
      <w:r w:rsidRPr="00A27704">
        <w:t xml:space="preserve">subject to the advance notice of sampling requirement.  For this analysis we assume middle values of 1.5 hours and three percent, respectively.  </w:t>
      </w:r>
      <w:r w:rsidRPr="00A27704" w:rsidR="00832B8E">
        <w:t xml:space="preserve">Section 1.1152(f) requires </w:t>
      </w:r>
      <w:r w:rsidRPr="00A27704" w:rsidR="00832B8E">
        <w:t xml:space="preserve">a LAAF-accredited laboratory to notify FDA and the recognized accreditation body of any changes that affect the laboratory’s LAAF-accreditation.  Note, however, that a LAAF-accredited laboratory is not required to notify FDA of changes that the recognized accreditation body must provide to FDA under § 1.1123(d).  As a conservative estimate, we assume that each LAAF-accredited laboratory </w:t>
      </w:r>
      <w:r w:rsidR="00EF767B">
        <w:t xml:space="preserve">has </w:t>
      </w:r>
      <w:r w:rsidRPr="00A27704" w:rsidR="00832B8E">
        <w:t>some change requiring notification of its recognized accreditation body, and for half of those changes the LAAF-accredited laboratory will also need to notify FDA.</w:t>
      </w:r>
    </w:p>
    <w:p w:rsidR="00B27854" w:rsidP="00FD2E7F" w14:paraId="41E2383C" w14:textId="77777777">
      <w:pPr>
        <w:tabs>
          <w:tab w:val="left" w:pos="720"/>
        </w:tabs>
        <w:ind w:left="720"/>
      </w:pPr>
      <w:r w:rsidRPr="00A27704">
        <w:t xml:space="preserve">  </w:t>
      </w:r>
    </w:p>
    <w:p w:rsidR="00FD2E7F" w:rsidRPr="00A27704" w:rsidP="00FD2E7F" w14:paraId="21335E44" w14:textId="4D137CC1">
      <w:pPr>
        <w:tabs>
          <w:tab w:val="left" w:pos="720"/>
        </w:tabs>
        <w:ind w:left="720"/>
      </w:pPr>
      <w:r>
        <w:t>In all, w</w:t>
      </w:r>
      <w:r w:rsidRPr="00A27704">
        <w:t>e estimate 1</w:t>
      </w:r>
      <w:r w:rsidR="00E31E1F">
        <w:t>6</w:t>
      </w:r>
      <w:r w:rsidRPr="00A27704">
        <w:t xml:space="preserve">0 laboratories apply and assume it would take one analyst an average of </w:t>
      </w:r>
      <w:r w:rsidR="00EF11EB">
        <w:t>one hour and 49 minutes (1.8051</w:t>
      </w:r>
      <w:r w:rsidR="00295BE8">
        <w:t xml:space="preserve"> hours) </w:t>
      </w:r>
      <w:r w:rsidRPr="00A27704">
        <w:t>to compile all the relevant information</w:t>
      </w:r>
      <w:r w:rsidR="00DD69AC">
        <w:t xml:space="preserve">, with an estimated 63.5 response per </w:t>
      </w:r>
      <w:r w:rsidR="005F570E">
        <w:t>laboratory</w:t>
      </w:r>
      <w:r w:rsidR="00DE7DF7">
        <w:t xml:space="preserve">. </w:t>
      </w:r>
      <w:r w:rsidRPr="00A27704" w:rsidR="00514655">
        <w:t xml:space="preserve">Annually, this results in </w:t>
      </w:r>
      <w:r w:rsidR="006E6494">
        <w:t>18</w:t>
      </w:r>
      <w:r w:rsidR="00735CAF">
        <w:t>,</w:t>
      </w:r>
      <w:r w:rsidR="006E6494">
        <w:t>340</w:t>
      </w:r>
      <w:r w:rsidRPr="00A27704" w:rsidR="00514655">
        <w:t xml:space="preserve"> hours (</w:t>
      </w:r>
      <w:r w:rsidR="006E6494">
        <w:t>160 laboratories</w:t>
      </w:r>
      <w:r w:rsidRPr="00A27704" w:rsidR="00514655">
        <w:t xml:space="preserve"> × </w:t>
      </w:r>
      <w:r w:rsidR="0089599B">
        <w:t>63.5</w:t>
      </w:r>
      <w:r w:rsidRPr="00A27704" w:rsidR="00514655">
        <w:t xml:space="preserve"> responses per </w:t>
      </w:r>
      <w:r w:rsidR="005F570E">
        <w:t xml:space="preserve">laboratory </w:t>
      </w:r>
      <w:r w:rsidRPr="00A27704" w:rsidR="00514655">
        <w:t xml:space="preserve">× </w:t>
      </w:r>
      <w:r w:rsidR="0089599B">
        <w:t>1.8051</w:t>
      </w:r>
      <w:r w:rsidRPr="00A27704" w:rsidR="00514655">
        <w:t xml:space="preserve"> hours per response), as reflected in row</w:t>
      </w:r>
      <w:r w:rsidR="008902C0">
        <w:t xml:space="preserve"> 3.</w:t>
      </w:r>
    </w:p>
    <w:p w:rsidR="003472F8" w:rsidRPr="00A27704" w:rsidP="00FD2E7F" w14:paraId="5AAD94B1" w14:textId="77777777">
      <w:pPr>
        <w:tabs>
          <w:tab w:val="left" w:pos="720"/>
        </w:tabs>
        <w:ind w:left="720"/>
      </w:pPr>
    </w:p>
    <w:p w:rsidR="00FD2E7F" w:rsidP="00FD2E7F" w14:paraId="4AB40D1A" w14:textId="2ABA9E1E">
      <w:pPr>
        <w:tabs>
          <w:tab w:val="left" w:pos="720"/>
        </w:tabs>
        <w:ind w:left="720"/>
      </w:pPr>
      <w:r w:rsidRPr="00A27704">
        <w:t>Section 1.1140 provides that if a laboratory voluntarily chooses to relinquish or not renew its LAAF-accreditation, it must notify FDA and its recognized accreditation body of its intention to do so at least 60 days ahead of the departure.  If the laboratory is voluntarily relinquishing or not renewing all methods within its scope, it must also provide FDA with the name and contact information of the custodian who maintain</w:t>
      </w:r>
      <w:r w:rsidR="00EF767B">
        <w:t>s</w:t>
      </w:r>
      <w:r w:rsidRPr="00A27704">
        <w:t xml:space="preserve"> and make</w:t>
      </w:r>
      <w:r w:rsidR="00EF767B">
        <w:t>s</w:t>
      </w:r>
      <w:r w:rsidRPr="00A27704">
        <w:t xml:space="preserve"> available to FDA requisite program records.  We estimate a 1% program departure rate, which equates to the departure of 1.</w:t>
      </w:r>
      <w:r w:rsidR="00EE5AC4">
        <w:t>6</w:t>
      </w:r>
      <w:r w:rsidRPr="00A27704">
        <w:t xml:space="preserve">0 LAAF-accredited laboratories each year, which we round to 2.  We estimate it would take a laboratory one hour for each of the three required notices.  Accordingly, we estimate a burden of 6 hours per year under § 1.1140 (2 laboratories </w:t>
      </w:r>
      <w:r w:rsidRPr="00A27704" w:rsidR="00DF6968">
        <w:t>×</w:t>
      </w:r>
      <w:r w:rsidRPr="00A27704">
        <w:t xml:space="preserve"> 3 notices = 6 annual responses; 6 annual responses </w:t>
      </w:r>
      <w:r w:rsidRPr="00A27704" w:rsidR="00DF6968">
        <w:t>×</w:t>
      </w:r>
      <w:r w:rsidRPr="00A27704">
        <w:t xml:space="preserve"> 1 hour = 6 total hours), as reflected in row </w:t>
      </w:r>
      <w:r w:rsidR="00EC4F10">
        <w:t>4</w:t>
      </w:r>
      <w:r w:rsidRPr="00A27704">
        <w:t>.</w:t>
      </w:r>
      <w:r w:rsidR="000011AA">
        <w:t xml:space="preserve"> </w:t>
      </w:r>
    </w:p>
    <w:p w:rsidR="001D132C" w:rsidRPr="00A27704" w:rsidP="00FD2E7F" w14:paraId="5AB8116B" w14:textId="77777777">
      <w:pPr>
        <w:tabs>
          <w:tab w:val="left" w:pos="720"/>
        </w:tabs>
        <w:ind w:left="720"/>
      </w:pPr>
    </w:p>
    <w:p w:rsidR="00B3054E" w:rsidP="00B3054E" w14:paraId="023D6F37" w14:textId="20EB4641">
      <w:pPr>
        <w:tabs>
          <w:tab w:val="left" w:pos="720"/>
        </w:tabs>
        <w:ind w:left="720"/>
      </w:pPr>
      <w:r>
        <w:t>Section 1.1152(c)(4) and (5) require a LAAF-accredited laboratory to submit verification and validation studies to FDA as part of an analytical report.</w:t>
      </w:r>
      <w:r>
        <w:t xml:space="preserve"> </w:t>
      </w:r>
      <w:r w:rsidRPr="00A27704">
        <w:t>We estimate it would take a laboratory one</w:t>
      </w:r>
      <w:r w:rsidR="00934754">
        <w:t xml:space="preserve"> and a half</w:t>
      </w:r>
      <w:r w:rsidRPr="00A27704">
        <w:t xml:space="preserve"> hour</w:t>
      </w:r>
      <w:r w:rsidR="00934754">
        <w:t>s (1.5 hours)</w:t>
      </w:r>
      <w:r w:rsidRPr="00A27704">
        <w:t xml:space="preserve"> for each of the </w:t>
      </w:r>
      <w:r w:rsidR="00934754">
        <w:t xml:space="preserve">five </w:t>
      </w:r>
      <w:r w:rsidRPr="00A27704">
        <w:t xml:space="preserve">required </w:t>
      </w:r>
      <w:r w:rsidR="005F7687">
        <w:t>reports</w:t>
      </w:r>
      <w:r w:rsidRPr="00A27704">
        <w:t xml:space="preserve">.  Accordingly, we estimate a burden of </w:t>
      </w:r>
      <w:r w:rsidR="005F7687">
        <w:t>375</w:t>
      </w:r>
      <w:r w:rsidRPr="00A27704">
        <w:t xml:space="preserve"> hours per year under </w:t>
      </w:r>
      <w:r w:rsidR="005F7687">
        <w:t xml:space="preserve">Section 1.1152(c)(4) and (5) </w:t>
      </w:r>
      <w:r w:rsidRPr="00A27704">
        <w:t>(</w:t>
      </w:r>
      <w:r w:rsidR="005F7687">
        <w:t>50</w:t>
      </w:r>
      <w:r w:rsidRPr="00A27704">
        <w:t xml:space="preserve"> laboratories × </w:t>
      </w:r>
      <w:r w:rsidR="005F7687">
        <w:t>5</w:t>
      </w:r>
      <w:r w:rsidRPr="00A27704">
        <w:t xml:space="preserve"> </w:t>
      </w:r>
      <w:r w:rsidR="005F7687">
        <w:t>reports</w:t>
      </w:r>
      <w:r w:rsidRPr="00A27704">
        <w:t xml:space="preserve"> = </w:t>
      </w:r>
      <w:r w:rsidR="00BA3C24">
        <w:t>250</w:t>
      </w:r>
      <w:r w:rsidRPr="00A27704">
        <w:t xml:space="preserve"> annual responses; </w:t>
      </w:r>
      <w:r w:rsidR="00BA3C24">
        <w:t>250</w:t>
      </w:r>
      <w:r w:rsidRPr="00A27704">
        <w:t xml:space="preserve"> annual responses × 1</w:t>
      </w:r>
      <w:r w:rsidR="00BA3C24">
        <w:t>.5</w:t>
      </w:r>
      <w:r w:rsidRPr="00A27704">
        <w:t xml:space="preserve"> hour</w:t>
      </w:r>
      <w:r w:rsidR="00BA3C24">
        <w:t>s</w:t>
      </w:r>
      <w:r w:rsidRPr="00A27704">
        <w:t xml:space="preserve"> = </w:t>
      </w:r>
      <w:r w:rsidR="00BA3C24">
        <w:t>375</w:t>
      </w:r>
      <w:r w:rsidRPr="00A27704">
        <w:t xml:space="preserve"> total hours), as reflected in row </w:t>
      </w:r>
      <w:r w:rsidR="00DA53C5">
        <w:t>5</w:t>
      </w:r>
      <w:r w:rsidRPr="00A27704">
        <w:t>.</w:t>
      </w:r>
      <w:r>
        <w:t xml:space="preserve"> </w:t>
      </w:r>
    </w:p>
    <w:p w:rsidR="003472F8" w:rsidRPr="00A27704" w:rsidP="00FD2E7F" w14:paraId="6B180BEA" w14:textId="77777777">
      <w:pPr>
        <w:tabs>
          <w:tab w:val="left" w:pos="720"/>
        </w:tabs>
        <w:ind w:left="720"/>
      </w:pPr>
    </w:p>
    <w:p w:rsidR="0004390A" w:rsidRPr="00C75A01" w:rsidP="00FD2E7F" w14:paraId="4133DE00" w14:textId="3E9D9F8A">
      <w:pPr>
        <w:tabs>
          <w:tab w:val="left" w:pos="720"/>
        </w:tabs>
        <w:ind w:left="720"/>
        <w:rPr>
          <w:u w:val="single"/>
        </w:rPr>
      </w:pPr>
      <w:r w:rsidRPr="00A27704">
        <w:t xml:space="preserve">Sections 1.1142, 1.1171, 1.1173, and 1.1174 provide for requests to FDA.  Specifically, § 1.1142 provides for requests for reinstatement of LAAF accreditation; § 1.1171 provides for requests for reconsideration of denials; and §§ 1.1173 and 1.1174 provide for requests for hearings.  </w:t>
      </w:r>
      <w:r w:rsidR="0020283F">
        <w:t>W</w:t>
      </w:r>
      <w:r w:rsidRPr="00A27704">
        <w:t xml:space="preserve">e estimate a cumulative total of 1 respondent and 1 burden hour, as reflected in row </w:t>
      </w:r>
      <w:r w:rsidR="00DA53C5">
        <w:t>6</w:t>
      </w:r>
      <w:r w:rsidRPr="00A27704">
        <w:t>.</w:t>
      </w:r>
    </w:p>
    <w:p w:rsidR="00BD6032" w:rsidP="00FD2E7F" w14:paraId="32A17350" w14:textId="330ABFCB">
      <w:pPr>
        <w:tabs>
          <w:tab w:val="left" w:pos="720"/>
        </w:tabs>
        <w:ind w:left="720"/>
        <w:rPr>
          <w:u w:val="single"/>
        </w:rPr>
      </w:pPr>
    </w:p>
    <w:p w:rsidR="00AC5FDA" w:rsidRPr="004B06DC" w:rsidP="00AC5FDA" w14:paraId="6CB2D048" w14:textId="181C988D">
      <w:pPr>
        <w:keepNext/>
        <w:jc w:val="center"/>
        <w:rPr>
          <w:vertAlign w:val="superscript"/>
        </w:rPr>
      </w:pPr>
      <w:r w:rsidRPr="004B06DC">
        <w:t xml:space="preserve">Table </w:t>
      </w:r>
      <w:r w:rsidRPr="004B06DC">
        <w:t>2.--</w:t>
      </w:r>
      <w:r w:rsidRPr="004B06DC">
        <w:t>Estimated Annual Recordkeeping Burden</w:t>
      </w:r>
      <w:r w:rsidRPr="004B06DC">
        <w:rPr>
          <w:vertAlign w:val="superscript"/>
        </w:rPr>
        <w:t>1</w:t>
      </w:r>
    </w:p>
    <w:tbl>
      <w:tblPr>
        <w:tblW w:w="524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1710"/>
        <w:gridCol w:w="1622"/>
        <w:gridCol w:w="1170"/>
        <w:gridCol w:w="1709"/>
        <w:gridCol w:w="1170"/>
      </w:tblGrid>
      <w:tr w14:paraId="6EABDA6D" w14:textId="77777777" w:rsidTr="00974C26">
        <w:tblPrEx>
          <w:tblW w:w="524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20"/>
          <w:tblHeader/>
        </w:trPr>
        <w:tc>
          <w:tcPr>
            <w:tcW w:w="1403" w:type="pct"/>
            <w:tcBorders>
              <w:top w:val="single" w:sz="4" w:space="0" w:color="auto"/>
              <w:left w:val="single" w:sz="4" w:space="0" w:color="auto"/>
              <w:bottom w:val="single" w:sz="4" w:space="0" w:color="auto"/>
              <w:right w:val="single" w:sz="4" w:space="0" w:color="auto"/>
            </w:tcBorders>
            <w:hideMark/>
          </w:tcPr>
          <w:p w:rsidR="00AC5FDA" w:rsidRPr="004B06DC" w:rsidP="00FC6CC5" w14:paraId="22ED5890" w14:textId="77777777">
            <w:pPr>
              <w:jc w:val="center"/>
            </w:pPr>
            <w:r w:rsidRPr="004B06DC">
              <w:t>21 CFR part 1, subpart R; IC Activity</w:t>
            </w:r>
          </w:p>
        </w:tc>
        <w:tc>
          <w:tcPr>
            <w:tcW w:w="833" w:type="pct"/>
            <w:tcBorders>
              <w:top w:val="single" w:sz="4" w:space="0" w:color="auto"/>
              <w:left w:val="single" w:sz="4" w:space="0" w:color="auto"/>
              <w:bottom w:val="single" w:sz="4" w:space="0" w:color="auto"/>
              <w:right w:val="single" w:sz="4" w:space="0" w:color="auto"/>
            </w:tcBorders>
            <w:hideMark/>
          </w:tcPr>
          <w:p w:rsidR="00AC5FDA" w:rsidRPr="004B06DC" w:rsidP="00FC6CC5" w14:paraId="066B5047" w14:textId="77777777">
            <w:pPr>
              <w:jc w:val="center"/>
            </w:pPr>
            <w:r w:rsidRPr="004B06DC">
              <w:t>No. of Recordkeepers</w:t>
            </w:r>
          </w:p>
        </w:tc>
        <w:tc>
          <w:tcPr>
            <w:tcW w:w="790" w:type="pct"/>
            <w:tcBorders>
              <w:top w:val="single" w:sz="4" w:space="0" w:color="auto"/>
              <w:left w:val="single" w:sz="4" w:space="0" w:color="auto"/>
              <w:bottom w:val="single" w:sz="4" w:space="0" w:color="auto"/>
              <w:right w:val="single" w:sz="4" w:space="0" w:color="auto"/>
            </w:tcBorders>
            <w:hideMark/>
          </w:tcPr>
          <w:p w:rsidR="00AC5FDA" w:rsidRPr="004B06DC" w:rsidP="00FC6CC5" w14:paraId="5DF35D9A" w14:textId="77777777">
            <w:pPr>
              <w:jc w:val="center"/>
            </w:pPr>
            <w:r w:rsidRPr="004B06DC">
              <w:rPr>
                <w:bCs/>
              </w:rPr>
              <w:t>No. of Records per Recordkeeper</w:t>
            </w:r>
          </w:p>
        </w:tc>
        <w:tc>
          <w:tcPr>
            <w:tcW w:w="570" w:type="pct"/>
            <w:tcBorders>
              <w:top w:val="single" w:sz="4" w:space="0" w:color="auto"/>
              <w:left w:val="single" w:sz="4" w:space="0" w:color="auto"/>
              <w:bottom w:val="single" w:sz="4" w:space="0" w:color="auto"/>
              <w:right w:val="single" w:sz="4" w:space="0" w:color="auto"/>
            </w:tcBorders>
            <w:hideMark/>
          </w:tcPr>
          <w:p w:rsidR="00AC5FDA" w:rsidRPr="004B06DC" w:rsidP="00FC6CC5" w14:paraId="5C5AC46B" w14:textId="77777777">
            <w:pPr>
              <w:jc w:val="center"/>
            </w:pPr>
            <w:r w:rsidRPr="004B06DC">
              <w:t>Total Annual Records</w:t>
            </w:r>
          </w:p>
        </w:tc>
        <w:tc>
          <w:tcPr>
            <w:tcW w:w="833" w:type="pct"/>
            <w:tcBorders>
              <w:top w:val="single" w:sz="4" w:space="0" w:color="auto"/>
              <w:left w:val="single" w:sz="4" w:space="0" w:color="auto"/>
              <w:bottom w:val="single" w:sz="4" w:space="0" w:color="auto"/>
              <w:right w:val="single" w:sz="4" w:space="0" w:color="auto"/>
            </w:tcBorders>
            <w:hideMark/>
          </w:tcPr>
          <w:p w:rsidR="00AC5FDA" w:rsidRPr="004B06DC" w:rsidP="00FC6CC5" w14:paraId="212E3728" w14:textId="0A7692B7">
            <w:pPr>
              <w:jc w:val="center"/>
            </w:pPr>
            <w:r w:rsidRPr="004B06DC">
              <w:rPr>
                <w:bCs/>
              </w:rPr>
              <w:t xml:space="preserve">Average Burden per Recordkeeping </w:t>
            </w:r>
          </w:p>
        </w:tc>
        <w:tc>
          <w:tcPr>
            <w:tcW w:w="570" w:type="pct"/>
            <w:tcBorders>
              <w:top w:val="single" w:sz="4" w:space="0" w:color="auto"/>
              <w:left w:val="single" w:sz="4" w:space="0" w:color="auto"/>
              <w:bottom w:val="single" w:sz="4" w:space="0" w:color="auto"/>
              <w:right w:val="single" w:sz="4" w:space="0" w:color="auto"/>
            </w:tcBorders>
            <w:hideMark/>
          </w:tcPr>
          <w:p w:rsidR="00AC5FDA" w:rsidRPr="004B06DC" w:rsidP="00FC6CC5" w14:paraId="0506BDCB" w14:textId="77777777">
            <w:pPr>
              <w:jc w:val="center"/>
            </w:pPr>
            <w:r w:rsidRPr="004B06DC">
              <w:t>Total Hours</w:t>
            </w:r>
          </w:p>
        </w:tc>
      </w:tr>
      <w:tr w14:paraId="01C6B4F6" w14:textId="77777777" w:rsidTr="00974C26">
        <w:tblPrEx>
          <w:tblW w:w="5245" w:type="pct"/>
          <w:tblInd w:w="-5" w:type="dxa"/>
          <w:tblLayout w:type="fixed"/>
          <w:tblLook w:val="01E0"/>
        </w:tblPrEx>
        <w:trPr>
          <w:cantSplit/>
          <w:trHeight w:val="20"/>
        </w:trPr>
        <w:tc>
          <w:tcPr>
            <w:tcW w:w="1403" w:type="pct"/>
            <w:tcBorders>
              <w:top w:val="single" w:sz="4" w:space="0" w:color="auto"/>
              <w:left w:val="single" w:sz="4" w:space="0" w:color="auto"/>
              <w:bottom w:val="single" w:sz="4" w:space="0" w:color="auto"/>
              <w:right w:val="single" w:sz="4" w:space="0" w:color="auto"/>
            </w:tcBorders>
          </w:tcPr>
          <w:p w:rsidR="00AC5FDA" w:rsidRPr="004B06DC" w:rsidP="00FC6CC5" w14:paraId="51E784F4" w14:textId="77777777">
            <w:r w:rsidRPr="004B06DC">
              <w:t>§ 1.1113; recordkeeping associated with ISO/IEC 17011:2017</w:t>
            </w:r>
          </w:p>
          <w:p w:rsidR="00AC5FDA" w:rsidRPr="004B06DC" w:rsidP="00FC6CC5" w14:paraId="39E45A22" w14:textId="77777777"/>
          <w:p w:rsidR="00AC5FDA" w:rsidRPr="004B06DC" w:rsidP="00FC6CC5" w14:paraId="0862ADDC" w14:textId="77777777">
            <w:r w:rsidRPr="004B06DC">
              <w:t>§ 1.1124; ABs--additional recordkeeping requirements a recognized accreditation body must maintain, for 5 years after the date of creation of the records, records created while it is recognized demonstrating its compliance with this subpart</w:t>
            </w:r>
          </w:p>
        </w:tc>
        <w:tc>
          <w:tcPr>
            <w:tcW w:w="833" w:type="pct"/>
            <w:tcBorders>
              <w:top w:val="single" w:sz="4" w:space="0" w:color="auto"/>
              <w:left w:val="single" w:sz="4" w:space="0" w:color="auto"/>
              <w:bottom w:val="single" w:sz="4" w:space="0" w:color="auto"/>
              <w:right w:val="single" w:sz="4" w:space="0" w:color="auto"/>
            </w:tcBorders>
          </w:tcPr>
          <w:p w:rsidR="00AC5FDA" w:rsidRPr="004B06DC" w:rsidP="00FC6CC5" w14:paraId="4CB48CCA" w14:textId="77777777">
            <w:pPr>
              <w:jc w:val="right"/>
            </w:pPr>
            <w:r w:rsidRPr="004B06DC">
              <w:t>8</w:t>
            </w:r>
          </w:p>
        </w:tc>
        <w:tc>
          <w:tcPr>
            <w:tcW w:w="790" w:type="pct"/>
            <w:tcBorders>
              <w:top w:val="single" w:sz="4" w:space="0" w:color="auto"/>
              <w:left w:val="single" w:sz="4" w:space="0" w:color="auto"/>
              <w:bottom w:val="single" w:sz="4" w:space="0" w:color="auto"/>
              <w:right w:val="single" w:sz="4" w:space="0" w:color="auto"/>
            </w:tcBorders>
          </w:tcPr>
          <w:p w:rsidR="00AC5FDA" w:rsidRPr="004B06DC" w:rsidP="00FC6CC5" w14:paraId="458A003E" w14:textId="77777777">
            <w:pPr>
              <w:jc w:val="right"/>
            </w:pPr>
            <w:r w:rsidRPr="004B06DC">
              <w:t>2</w:t>
            </w:r>
          </w:p>
        </w:tc>
        <w:tc>
          <w:tcPr>
            <w:tcW w:w="570" w:type="pct"/>
            <w:tcBorders>
              <w:top w:val="single" w:sz="4" w:space="0" w:color="auto"/>
              <w:left w:val="single" w:sz="4" w:space="0" w:color="auto"/>
              <w:bottom w:val="single" w:sz="4" w:space="0" w:color="auto"/>
              <w:right w:val="single" w:sz="4" w:space="0" w:color="auto"/>
            </w:tcBorders>
          </w:tcPr>
          <w:p w:rsidR="00AC5FDA" w:rsidRPr="004B06DC" w:rsidP="00FC6CC5" w14:paraId="5A3822B6" w14:textId="77777777">
            <w:pPr>
              <w:jc w:val="right"/>
            </w:pPr>
            <w:r w:rsidRPr="004B06DC">
              <w:t>16</w:t>
            </w:r>
          </w:p>
        </w:tc>
        <w:tc>
          <w:tcPr>
            <w:tcW w:w="833" w:type="pct"/>
            <w:tcBorders>
              <w:top w:val="single" w:sz="4" w:space="0" w:color="auto"/>
              <w:left w:val="single" w:sz="4" w:space="0" w:color="auto"/>
              <w:bottom w:val="single" w:sz="4" w:space="0" w:color="auto"/>
              <w:right w:val="single" w:sz="4" w:space="0" w:color="auto"/>
            </w:tcBorders>
          </w:tcPr>
          <w:p w:rsidR="00AC5FDA" w:rsidRPr="004B06DC" w:rsidP="00FC6CC5" w14:paraId="3698984E" w14:textId="77777777">
            <w:pPr>
              <w:jc w:val="right"/>
            </w:pPr>
            <w:r w:rsidRPr="004B06DC">
              <w:t>22</w:t>
            </w:r>
          </w:p>
        </w:tc>
        <w:tc>
          <w:tcPr>
            <w:tcW w:w="570" w:type="pct"/>
            <w:tcBorders>
              <w:top w:val="single" w:sz="4" w:space="0" w:color="auto"/>
              <w:left w:val="single" w:sz="4" w:space="0" w:color="auto"/>
              <w:bottom w:val="single" w:sz="4" w:space="0" w:color="auto"/>
              <w:right w:val="single" w:sz="4" w:space="0" w:color="auto"/>
            </w:tcBorders>
          </w:tcPr>
          <w:p w:rsidR="00AC5FDA" w:rsidRPr="004B06DC" w:rsidP="00FC6CC5" w14:paraId="1717A94D" w14:textId="77777777">
            <w:pPr>
              <w:jc w:val="right"/>
            </w:pPr>
            <w:r w:rsidRPr="004B06DC">
              <w:t>176</w:t>
            </w:r>
          </w:p>
        </w:tc>
      </w:tr>
      <w:tr w14:paraId="1BBB676B" w14:textId="77777777" w:rsidTr="00974C26">
        <w:tblPrEx>
          <w:tblW w:w="5245" w:type="pct"/>
          <w:tblInd w:w="-5" w:type="dxa"/>
          <w:tblLayout w:type="fixed"/>
          <w:tblLook w:val="01E0"/>
        </w:tblPrEx>
        <w:trPr>
          <w:cantSplit/>
          <w:trHeight w:val="20"/>
        </w:trPr>
        <w:tc>
          <w:tcPr>
            <w:tcW w:w="1403" w:type="pct"/>
            <w:tcBorders>
              <w:top w:val="single" w:sz="4" w:space="0" w:color="auto"/>
              <w:left w:val="single" w:sz="4" w:space="0" w:color="auto"/>
              <w:bottom w:val="single" w:sz="4" w:space="0" w:color="auto"/>
              <w:right w:val="single" w:sz="4" w:space="0" w:color="auto"/>
            </w:tcBorders>
          </w:tcPr>
          <w:p w:rsidR="00AC5FDA" w:rsidRPr="004B06DC" w:rsidP="00FC6CC5" w14:paraId="3F18E782" w14:textId="77777777">
            <w:r w:rsidRPr="004B06DC">
              <w:t>§ 1.1138; laboratories--becoming accredited to ISO/IEC 17025:2017 (one-time); Laboratories adding ISO 17025 to become LAAF-accredited.</w:t>
            </w:r>
          </w:p>
        </w:tc>
        <w:tc>
          <w:tcPr>
            <w:tcW w:w="833" w:type="pct"/>
            <w:tcBorders>
              <w:top w:val="single" w:sz="4" w:space="0" w:color="auto"/>
              <w:left w:val="single" w:sz="4" w:space="0" w:color="auto"/>
              <w:bottom w:val="single" w:sz="4" w:space="0" w:color="auto"/>
              <w:right w:val="single" w:sz="4" w:space="0" w:color="auto"/>
            </w:tcBorders>
          </w:tcPr>
          <w:p w:rsidR="00AC5FDA" w:rsidRPr="004B06DC" w:rsidP="00FC6CC5" w14:paraId="39762B2A" w14:textId="77777777">
            <w:pPr>
              <w:jc w:val="right"/>
            </w:pPr>
            <w:r w:rsidRPr="004B06DC">
              <w:t>9</w:t>
            </w:r>
          </w:p>
        </w:tc>
        <w:tc>
          <w:tcPr>
            <w:tcW w:w="790" w:type="pct"/>
            <w:tcBorders>
              <w:top w:val="single" w:sz="4" w:space="0" w:color="auto"/>
              <w:left w:val="single" w:sz="4" w:space="0" w:color="auto"/>
              <w:bottom w:val="single" w:sz="4" w:space="0" w:color="auto"/>
              <w:right w:val="single" w:sz="4" w:space="0" w:color="auto"/>
            </w:tcBorders>
          </w:tcPr>
          <w:p w:rsidR="00AC5FDA" w:rsidRPr="004B06DC" w:rsidP="00FC6CC5" w14:paraId="0562B8F0" w14:textId="77777777">
            <w:pPr>
              <w:jc w:val="right"/>
            </w:pPr>
            <w:r w:rsidRPr="004B06DC">
              <w:t>1</w:t>
            </w:r>
          </w:p>
        </w:tc>
        <w:tc>
          <w:tcPr>
            <w:tcW w:w="570" w:type="pct"/>
            <w:tcBorders>
              <w:top w:val="single" w:sz="4" w:space="0" w:color="auto"/>
              <w:left w:val="single" w:sz="4" w:space="0" w:color="auto"/>
              <w:bottom w:val="single" w:sz="4" w:space="0" w:color="auto"/>
              <w:right w:val="single" w:sz="4" w:space="0" w:color="auto"/>
            </w:tcBorders>
          </w:tcPr>
          <w:p w:rsidR="00AC5FDA" w:rsidRPr="004B06DC" w:rsidP="00FC6CC5" w14:paraId="375D7806" w14:textId="77777777">
            <w:pPr>
              <w:jc w:val="right"/>
            </w:pPr>
            <w:r w:rsidRPr="004B06DC">
              <w:t>9</w:t>
            </w:r>
          </w:p>
        </w:tc>
        <w:tc>
          <w:tcPr>
            <w:tcW w:w="833" w:type="pct"/>
            <w:tcBorders>
              <w:top w:val="single" w:sz="4" w:space="0" w:color="auto"/>
              <w:left w:val="single" w:sz="4" w:space="0" w:color="auto"/>
              <w:bottom w:val="single" w:sz="4" w:space="0" w:color="auto"/>
              <w:right w:val="single" w:sz="4" w:space="0" w:color="auto"/>
            </w:tcBorders>
          </w:tcPr>
          <w:p w:rsidR="00AC5FDA" w:rsidRPr="004B06DC" w:rsidP="00FC6CC5" w14:paraId="17D257CC" w14:textId="77777777">
            <w:pPr>
              <w:jc w:val="right"/>
            </w:pPr>
            <w:r w:rsidRPr="004B06DC">
              <w:t>91.06</w:t>
            </w:r>
          </w:p>
          <w:p w:rsidR="00AC5FDA" w:rsidRPr="004B06DC" w:rsidP="00FC6CC5" w14:paraId="7B7EE9DF" w14:textId="77777777">
            <w:pPr>
              <w:jc w:val="right"/>
            </w:pPr>
            <w:r w:rsidRPr="004B06DC">
              <w:t xml:space="preserve">(91 hours and 4 minutes) </w:t>
            </w:r>
          </w:p>
          <w:p w:rsidR="00AC5FDA" w:rsidRPr="004B06DC" w:rsidP="00FC6CC5" w14:paraId="4EDF1C21" w14:textId="77777777">
            <w:pPr>
              <w:jc w:val="right"/>
            </w:pPr>
          </w:p>
        </w:tc>
        <w:tc>
          <w:tcPr>
            <w:tcW w:w="570" w:type="pct"/>
            <w:tcBorders>
              <w:top w:val="single" w:sz="4" w:space="0" w:color="auto"/>
              <w:left w:val="single" w:sz="4" w:space="0" w:color="auto"/>
              <w:bottom w:val="single" w:sz="4" w:space="0" w:color="auto"/>
              <w:right w:val="single" w:sz="4" w:space="0" w:color="auto"/>
            </w:tcBorders>
          </w:tcPr>
          <w:p w:rsidR="00AC5FDA" w:rsidRPr="004B06DC" w:rsidP="00FC6CC5" w14:paraId="6046EB3D" w14:textId="77777777">
            <w:pPr>
              <w:jc w:val="right"/>
            </w:pPr>
            <w:r w:rsidRPr="004B06DC">
              <w:t>820</w:t>
            </w:r>
          </w:p>
        </w:tc>
      </w:tr>
      <w:tr w14:paraId="16A4C3B1" w14:textId="77777777" w:rsidTr="00974C26">
        <w:tblPrEx>
          <w:tblW w:w="5245" w:type="pct"/>
          <w:tblInd w:w="-5" w:type="dxa"/>
          <w:tblLayout w:type="fixed"/>
          <w:tblLook w:val="01E0"/>
        </w:tblPrEx>
        <w:trPr>
          <w:cantSplit/>
          <w:trHeight w:val="20"/>
        </w:trPr>
        <w:tc>
          <w:tcPr>
            <w:tcW w:w="1403" w:type="pct"/>
            <w:tcBorders>
              <w:top w:val="single" w:sz="4" w:space="0" w:color="auto"/>
              <w:left w:val="single" w:sz="4" w:space="0" w:color="auto"/>
              <w:bottom w:val="single" w:sz="4" w:space="0" w:color="auto"/>
              <w:right w:val="single" w:sz="4" w:space="0" w:color="auto"/>
            </w:tcBorders>
          </w:tcPr>
          <w:p w:rsidR="00AC5FDA" w:rsidRPr="004B06DC" w:rsidP="00FC6CC5" w14:paraId="7F7B28B1" w14:textId="77777777">
            <w:r w:rsidRPr="004B06DC">
              <w:t>§ 1.1138; laboratories--maintaining ISO/IEC 17025: 2017 accreditation</w:t>
            </w:r>
          </w:p>
          <w:p w:rsidR="00AC5FDA" w:rsidRPr="004B06DC" w:rsidP="00FC6CC5" w14:paraId="32D510AD" w14:textId="77777777"/>
          <w:p w:rsidR="00AC5FDA" w:rsidRPr="004B06DC" w:rsidP="00FC6CC5" w14:paraId="32ED98C9" w14:textId="77777777">
            <w:r w:rsidRPr="004B06DC">
              <w:t>§ 1.1154; laboratories—additional recordkeeping requirements; a LAAF-accredited laboratory must maintain, for 5 years after the date of creation, records created and received while it is LAAF-accredited that relate to compliance with this subpart</w:t>
            </w:r>
          </w:p>
        </w:tc>
        <w:tc>
          <w:tcPr>
            <w:tcW w:w="833" w:type="pct"/>
            <w:tcBorders>
              <w:top w:val="single" w:sz="4" w:space="0" w:color="auto"/>
              <w:left w:val="single" w:sz="4" w:space="0" w:color="auto"/>
              <w:bottom w:val="single" w:sz="4" w:space="0" w:color="auto"/>
              <w:right w:val="single" w:sz="4" w:space="0" w:color="auto"/>
            </w:tcBorders>
          </w:tcPr>
          <w:p w:rsidR="00AC5FDA" w:rsidRPr="004B06DC" w:rsidP="00FC6CC5" w14:paraId="600B2BFD" w14:textId="77777777">
            <w:pPr>
              <w:jc w:val="right"/>
            </w:pPr>
            <w:r w:rsidRPr="004B06DC">
              <w:t>160</w:t>
            </w:r>
          </w:p>
        </w:tc>
        <w:tc>
          <w:tcPr>
            <w:tcW w:w="790" w:type="pct"/>
            <w:tcBorders>
              <w:top w:val="single" w:sz="4" w:space="0" w:color="auto"/>
              <w:left w:val="single" w:sz="4" w:space="0" w:color="auto"/>
              <w:bottom w:val="single" w:sz="4" w:space="0" w:color="auto"/>
              <w:right w:val="single" w:sz="4" w:space="0" w:color="auto"/>
            </w:tcBorders>
          </w:tcPr>
          <w:p w:rsidR="00AC5FDA" w:rsidRPr="004B06DC" w:rsidP="00FC6CC5" w14:paraId="27A36200" w14:textId="77777777">
            <w:pPr>
              <w:jc w:val="right"/>
            </w:pPr>
            <w:r w:rsidRPr="004B06DC">
              <w:t>2</w:t>
            </w:r>
          </w:p>
        </w:tc>
        <w:tc>
          <w:tcPr>
            <w:tcW w:w="570" w:type="pct"/>
            <w:tcBorders>
              <w:top w:val="single" w:sz="4" w:space="0" w:color="auto"/>
              <w:left w:val="single" w:sz="4" w:space="0" w:color="auto"/>
              <w:bottom w:val="single" w:sz="4" w:space="0" w:color="auto"/>
              <w:right w:val="single" w:sz="4" w:space="0" w:color="auto"/>
            </w:tcBorders>
          </w:tcPr>
          <w:p w:rsidR="00AC5FDA" w:rsidRPr="004B06DC" w:rsidP="00FC6CC5" w14:paraId="41F372B7" w14:textId="77777777">
            <w:pPr>
              <w:jc w:val="right"/>
            </w:pPr>
            <w:r w:rsidRPr="004B06DC">
              <w:t>320</w:t>
            </w:r>
          </w:p>
        </w:tc>
        <w:tc>
          <w:tcPr>
            <w:tcW w:w="833" w:type="pct"/>
            <w:tcBorders>
              <w:top w:val="single" w:sz="4" w:space="0" w:color="auto"/>
              <w:left w:val="single" w:sz="4" w:space="0" w:color="auto"/>
              <w:bottom w:val="single" w:sz="4" w:space="0" w:color="auto"/>
              <w:right w:val="single" w:sz="4" w:space="0" w:color="auto"/>
            </w:tcBorders>
          </w:tcPr>
          <w:p w:rsidR="00AC5FDA" w:rsidRPr="004B06DC" w:rsidP="00FC6CC5" w14:paraId="3384B2B8" w14:textId="77777777">
            <w:pPr>
              <w:jc w:val="right"/>
            </w:pPr>
            <w:r w:rsidRPr="004B06DC">
              <w:t>450.765</w:t>
            </w:r>
          </w:p>
          <w:p w:rsidR="00AC5FDA" w:rsidRPr="004B06DC" w:rsidP="00FC6CC5" w14:paraId="04C90754" w14:textId="77777777">
            <w:pPr>
              <w:jc w:val="right"/>
            </w:pPr>
            <w:r w:rsidRPr="004B06DC">
              <w:t>(450 hours and 46 minutes)</w:t>
            </w:r>
          </w:p>
        </w:tc>
        <w:tc>
          <w:tcPr>
            <w:tcW w:w="570" w:type="pct"/>
            <w:tcBorders>
              <w:top w:val="single" w:sz="4" w:space="0" w:color="auto"/>
              <w:left w:val="single" w:sz="4" w:space="0" w:color="auto"/>
              <w:bottom w:val="single" w:sz="4" w:space="0" w:color="auto"/>
              <w:right w:val="single" w:sz="4" w:space="0" w:color="auto"/>
            </w:tcBorders>
          </w:tcPr>
          <w:p w:rsidR="00AC5FDA" w:rsidRPr="004B06DC" w:rsidP="00FC6CC5" w14:paraId="2F2AC3C2" w14:textId="77777777">
            <w:pPr>
              <w:jc w:val="right"/>
            </w:pPr>
            <w:r w:rsidRPr="004B06DC">
              <w:t>144,245</w:t>
            </w:r>
          </w:p>
        </w:tc>
      </w:tr>
      <w:tr w14:paraId="268892AB" w14:textId="77777777" w:rsidTr="00974C26">
        <w:tblPrEx>
          <w:tblW w:w="5245" w:type="pct"/>
          <w:tblInd w:w="-5" w:type="dxa"/>
          <w:tblLayout w:type="fixed"/>
          <w:tblLook w:val="01E0"/>
        </w:tblPrEx>
        <w:trPr>
          <w:cantSplit/>
          <w:trHeight w:val="20"/>
        </w:trPr>
        <w:tc>
          <w:tcPr>
            <w:tcW w:w="1403" w:type="pct"/>
            <w:tcBorders>
              <w:top w:val="single" w:sz="4" w:space="0" w:color="auto"/>
              <w:left w:val="single" w:sz="4" w:space="0" w:color="auto"/>
              <w:bottom w:val="single" w:sz="4" w:space="0" w:color="auto"/>
              <w:right w:val="single" w:sz="4" w:space="0" w:color="auto"/>
            </w:tcBorders>
            <w:hideMark/>
          </w:tcPr>
          <w:p w:rsidR="00AC5FDA" w:rsidRPr="004B06DC" w:rsidP="00FC6CC5" w14:paraId="49F42B73" w14:textId="77777777">
            <w:r w:rsidRPr="004B06DC">
              <w:t>Total</w:t>
            </w:r>
          </w:p>
        </w:tc>
        <w:tc>
          <w:tcPr>
            <w:tcW w:w="833" w:type="pct"/>
            <w:tcBorders>
              <w:top w:val="single" w:sz="4" w:space="0" w:color="auto"/>
              <w:left w:val="single" w:sz="4" w:space="0" w:color="auto"/>
              <w:bottom w:val="single" w:sz="4" w:space="0" w:color="auto"/>
              <w:right w:val="single" w:sz="4" w:space="0" w:color="auto"/>
            </w:tcBorders>
          </w:tcPr>
          <w:p w:rsidR="00AC5FDA" w:rsidRPr="004B06DC" w:rsidP="00FC6CC5" w14:paraId="3733C5ED" w14:textId="77777777">
            <w:pPr>
              <w:jc w:val="right"/>
            </w:pPr>
          </w:p>
        </w:tc>
        <w:tc>
          <w:tcPr>
            <w:tcW w:w="790" w:type="pct"/>
            <w:tcBorders>
              <w:top w:val="single" w:sz="4" w:space="0" w:color="auto"/>
              <w:left w:val="single" w:sz="4" w:space="0" w:color="auto"/>
              <w:bottom w:val="single" w:sz="4" w:space="0" w:color="auto"/>
              <w:right w:val="single" w:sz="4" w:space="0" w:color="auto"/>
            </w:tcBorders>
          </w:tcPr>
          <w:p w:rsidR="00AC5FDA" w:rsidRPr="004B06DC" w:rsidP="00FC6CC5" w14:paraId="583CE532" w14:textId="77777777">
            <w:pPr>
              <w:jc w:val="right"/>
            </w:pPr>
          </w:p>
        </w:tc>
        <w:tc>
          <w:tcPr>
            <w:tcW w:w="570" w:type="pct"/>
            <w:tcBorders>
              <w:top w:val="single" w:sz="4" w:space="0" w:color="auto"/>
              <w:left w:val="single" w:sz="4" w:space="0" w:color="auto"/>
              <w:bottom w:val="single" w:sz="4" w:space="0" w:color="auto"/>
              <w:right w:val="single" w:sz="4" w:space="0" w:color="auto"/>
            </w:tcBorders>
          </w:tcPr>
          <w:p w:rsidR="00AC5FDA" w:rsidRPr="004B06DC" w:rsidP="00FC6CC5" w14:paraId="33318FAC" w14:textId="77777777">
            <w:pPr>
              <w:jc w:val="right"/>
            </w:pPr>
            <w:r w:rsidRPr="004B06DC">
              <w:t>345</w:t>
            </w:r>
          </w:p>
        </w:tc>
        <w:tc>
          <w:tcPr>
            <w:tcW w:w="833" w:type="pct"/>
            <w:tcBorders>
              <w:top w:val="single" w:sz="4" w:space="0" w:color="auto"/>
              <w:left w:val="single" w:sz="4" w:space="0" w:color="auto"/>
              <w:bottom w:val="single" w:sz="4" w:space="0" w:color="auto"/>
              <w:right w:val="single" w:sz="4" w:space="0" w:color="auto"/>
            </w:tcBorders>
          </w:tcPr>
          <w:p w:rsidR="00AC5FDA" w:rsidRPr="004B06DC" w:rsidP="00FC6CC5" w14:paraId="0F619187" w14:textId="77777777">
            <w:pPr>
              <w:jc w:val="right"/>
            </w:pPr>
          </w:p>
        </w:tc>
        <w:tc>
          <w:tcPr>
            <w:tcW w:w="570" w:type="pct"/>
            <w:tcBorders>
              <w:top w:val="single" w:sz="4" w:space="0" w:color="auto"/>
              <w:left w:val="single" w:sz="4" w:space="0" w:color="auto"/>
              <w:bottom w:val="single" w:sz="4" w:space="0" w:color="auto"/>
              <w:right w:val="single" w:sz="4" w:space="0" w:color="auto"/>
            </w:tcBorders>
          </w:tcPr>
          <w:p w:rsidR="00AC5FDA" w:rsidRPr="004B06DC" w:rsidP="00FC6CC5" w14:paraId="2D18ABEE" w14:textId="77777777">
            <w:pPr>
              <w:jc w:val="right"/>
            </w:pPr>
            <w:r w:rsidRPr="004B06DC">
              <w:t>145,241</w:t>
            </w:r>
          </w:p>
        </w:tc>
      </w:tr>
    </w:tbl>
    <w:p w:rsidR="00AC5FDA" w:rsidRPr="00156BF6" w:rsidP="00161B38" w14:paraId="2E0FC99B" w14:textId="1D5A62A2">
      <w:pPr>
        <w:rPr>
          <w:sz w:val="20"/>
          <w:szCs w:val="20"/>
        </w:rPr>
      </w:pPr>
      <w:r w:rsidRPr="00156BF6">
        <w:rPr>
          <w:sz w:val="20"/>
          <w:szCs w:val="20"/>
          <w:vertAlign w:val="superscript"/>
        </w:rPr>
        <w:t>1</w:t>
      </w:r>
      <w:r w:rsidRPr="00156BF6">
        <w:rPr>
          <w:sz w:val="20"/>
          <w:szCs w:val="20"/>
        </w:rPr>
        <w:t xml:space="preserve"> </w:t>
      </w:r>
      <w:r w:rsidRPr="00156BF6">
        <w:rPr>
          <w:rStyle w:val="cf01"/>
          <w:rFonts w:ascii="Times New Roman" w:hAnsi="Times New Roman" w:cs="Times New Roman"/>
          <w:sz w:val="20"/>
          <w:szCs w:val="20"/>
        </w:rPr>
        <w:t>Totals may not sum due to rounding</w:t>
      </w:r>
      <w:r w:rsidRPr="00156BF6">
        <w:rPr>
          <w:sz w:val="20"/>
          <w:szCs w:val="20"/>
        </w:rPr>
        <w:t>.</w:t>
      </w:r>
    </w:p>
    <w:p w:rsidR="00BD6032" w:rsidRPr="00BD6032" w:rsidP="00FD2E7F" w14:paraId="3E6C8FC9" w14:textId="77777777">
      <w:pPr>
        <w:tabs>
          <w:tab w:val="left" w:pos="720"/>
        </w:tabs>
        <w:ind w:left="720"/>
        <w:rPr>
          <w:u w:val="single"/>
        </w:rPr>
      </w:pPr>
    </w:p>
    <w:p w:rsidR="00836435" w:rsidP="00836435" w14:paraId="4CCFD448" w14:textId="3FA324A7">
      <w:pPr>
        <w:tabs>
          <w:tab w:val="left" w:pos="720"/>
        </w:tabs>
        <w:ind w:left="720"/>
        <w:rPr>
          <w:u w:val="single"/>
        </w:rPr>
      </w:pPr>
      <w:r w:rsidRPr="00836435">
        <w:rPr>
          <w:i/>
          <w:iCs/>
          <w:u w:val="single"/>
        </w:rPr>
        <w:t>Recordkeeping</w:t>
      </w:r>
      <w:r w:rsidRPr="00A27704">
        <w:rPr>
          <w:i/>
          <w:iCs/>
        </w:rPr>
        <w:t>:</w:t>
      </w:r>
      <w:r w:rsidRPr="00A27704">
        <w:t xml:space="preserve"> We estimate the annual recordkeeping requirements be </w:t>
      </w:r>
      <w:r w:rsidR="003C652E">
        <w:t>145,24</w:t>
      </w:r>
      <w:r w:rsidR="00AC3E08">
        <w:t>1</w:t>
      </w:r>
      <w:r w:rsidRPr="00A27704">
        <w:t>, as reflected in table 2.</w:t>
      </w:r>
    </w:p>
    <w:p w:rsidR="00925DE5" w:rsidRPr="00836435" w:rsidP="00836435" w14:paraId="178EB7FE" w14:textId="77777777">
      <w:pPr>
        <w:tabs>
          <w:tab w:val="left" w:pos="720"/>
        </w:tabs>
        <w:ind w:left="720"/>
        <w:rPr>
          <w:u w:val="single"/>
        </w:rPr>
      </w:pPr>
    </w:p>
    <w:p w:rsidR="00836435" w:rsidRPr="00A27704" w:rsidP="00BE1D6C" w14:paraId="61E2F9D4" w14:textId="6E5E655D">
      <w:pPr>
        <w:tabs>
          <w:tab w:val="left" w:pos="720"/>
        </w:tabs>
        <w:ind w:left="720"/>
      </w:pPr>
      <w:r>
        <w:t>Section 1.1113 requires a recognized accreditation body to meet the requirements of ISO/IEC 17011:2017.  While ISO/IEC 17011:2017 includes recordkeeping requirements, as noted above</w:t>
      </w:r>
      <w:r w:rsidR="000E5045">
        <w:t>,</w:t>
      </w:r>
      <w:r>
        <w:t xml:space="preserve"> we know that all 8 of the accreditation bodies that have become recognized currently adhere to ISO/IEC 17011:2017.  We therefore regard these activities as usual and customary; however, we include a place holder of one response and one burden hour for each respondent,</w:t>
      </w:r>
      <w:r w:rsidR="00EE2ECA">
        <w:t xml:space="preserve"> for a total of 8 hours</w:t>
      </w:r>
      <w:r>
        <w:t>.</w:t>
      </w:r>
      <w:r w:rsidR="0004748D">
        <w:t xml:space="preserve"> </w:t>
      </w:r>
      <w:r w:rsidRPr="00A27704">
        <w:t xml:space="preserve">Section 1.1124 requires maintenance of certain records in addition to those required by ISO/IEC 17011:2017.  We estimate that a recognized accreditation body incur a burden of 12 hours per year to comply with both the recordkeeping requirements of § 1.1124 and the reporting requirements of § 1.1123.  For this analysis, we identify the recordkeeping and reporting burdens separately, assuming 21 of those annual hours would be spent complying with the recordkeeping requirements of § 1.1124.  Thus, the annual recordkeeping burden for the </w:t>
      </w:r>
      <w:r w:rsidR="00CD1EAA">
        <w:t>8</w:t>
      </w:r>
      <w:r w:rsidR="00392F48">
        <w:t xml:space="preserve"> </w:t>
      </w:r>
      <w:r w:rsidRPr="00A27704">
        <w:t xml:space="preserve">recognized accreditation bodies to meet the additional recordkeeping requirements of § 1.1124 would be </w:t>
      </w:r>
      <w:r w:rsidR="003613B9">
        <w:t>168</w:t>
      </w:r>
      <w:r w:rsidRPr="00A27704">
        <w:t xml:space="preserve"> hours</w:t>
      </w:r>
      <w:r w:rsidR="00877831">
        <w:t>. W</w:t>
      </w:r>
      <w:r w:rsidR="00F855FE">
        <w:t>e</w:t>
      </w:r>
      <w:r w:rsidR="00877831">
        <w:t xml:space="preserve"> combined</w:t>
      </w:r>
      <w:r w:rsidR="00F855FE">
        <w:t xml:space="preserve"> the </w:t>
      </w:r>
      <w:r w:rsidR="00AD24DF">
        <w:t xml:space="preserve">estimated burden of the </w:t>
      </w:r>
      <w:r w:rsidR="00AD24DF">
        <w:t>aforementioned sections</w:t>
      </w:r>
      <w:r w:rsidR="00AD24DF">
        <w:t xml:space="preserve"> for</w:t>
      </w:r>
      <w:r w:rsidR="00856290">
        <w:t xml:space="preserve"> a total of 176 hours</w:t>
      </w:r>
      <w:r w:rsidRPr="00A27704">
        <w:t xml:space="preserve"> as reflected in row </w:t>
      </w:r>
      <w:r w:rsidR="000D54A8">
        <w:t>1</w:t>
      </w:r>
      <w:r w:rsidRPr="00A27704">
        <w:t>.</w:t>
      </w:r>
    </w:p>
    <w:p w:rsidR="007663C1" w:rsidRPr="00A27704" w:rsidP="00836435" w14:paraId="4254D74E" w14:textId="77777777">
      <w:pPr>
        <w:tabs>
          <w:tab w:val="left" w:pos="720"/>
        </w:tabs>
        <w:ind w:left="720"/>
      </w:pPr>
    </w:p>
    <w:p w:rsidR="00836435" w:rsidRPr="00A27704" w:rsidP="00836435" w14:paraId="5B97338C" w14:textId="0FC8F7FF">
      <w:pPr>
        <w:tabs>
          <w:tab w:val="left" w:pos="720"/>
        </w:tabs>
        <w:ind w:left="720"/>
      </w:pPr>
      <w:r w:rsidRPr="00A27704">
        <w:t xml:space="preserve">Section 1.1138 requires a laboratory to be ISO/IEC 17025:2017-accredited, including meeting its recordkeeping requirements, to become LAAF-accredited under the </w:t>
      </w:r>
      <w:r w:rsidR="009B2FF8">
        <w:t>regulations</w:t>
      </w:r>
      <w:r w:rsidRPr="00A27704">
        <w:t>.  We estimate that 7 to 10 laboratories not currently accredited to ISO/IEC 17025:2017 would become so accredited to participate in the LAAF program.  For this estimate, we assume the middle value of 8.5 laboratories, which we round up to 9, would become ISO/IEC 17025-accredited to participate in the LAAF program.  The burden to become ISO/IEC 17025:2017-accredited is an initial burden and, once realized, would apply only to respondents becoming accredited to ISO/IEC 17025:2017 to participate in the LAAF program.  We estimate that it would take a mean of 91.06 hours for the associated recordkeeping activities.  In this analysis, we annualize this recordkeeping burden using a 3-year period horizon, for an annualized recordkeeping burden of 8</w:t>
      </w:r>
      <w:r w:rsidR="00E86ED2">
        <w:t>20</w:t>
      </w:r>
      <w:r w:rsidRPr="00A27704">
        <w:t xml:space="preserve">, as reflected in row </w:t>
      </w:r>
      <w:r w:rsidR="00BA6B2C">
        <w:t>2</w:t>
      </w:r>
      <w:r w:rsidRPr="00A27704">
        <w:t>.</w:t>
      </w:r>
    </w:p>
    <w:p w:rsidR="007663C1" w:rsidRPr="00A27704" w:rsidP="00836435" w14:paraId="36675151" w14:textId="77777777">
      <w:pPr>
        <w:tabs>
          <w:tab w:val="left" w:pos="720"/>
        </w:tabs>
        <w:ind w:left="720"/>
      </w:pPr>
    </w:p>
    <w:p w:rsidR="00836435" w:rsidP="008D50FA" w14:paraId="16D9CA94" w14:textId="2A2065CC">
      <w:pPr>
        <w:tabs>
          <w:tab w:val="left" w:pos="720"/>
        </w:tabs>
        <w:ind w:left="720"/>
        <w:rPr>
          <w:u w:val="single"/>
        </w:rPr>
      </w:pPr>
      <w:r w:rsidRPr="00A27704">
        <w:t>Section 1.1138 requires a LAAF-accredited laboratory to maintain conformance with ISO/IEC 17025:2017, including its recordkeeping requirements.  Section 1.1154 requires maintenance of certain records in addition to those required by ISO/IEC 17025:2017.  We estimate that a LAAF-accredited laboratory incur</w:t>
      </w:r>
      <w:r w:rsidR="00EF767B">
        <w:t>s</w:t>
      </w:r>
      <w:r w:rsidRPr="00A27704">
        <w:t xml:space="preserve"> a burden of about 1 hour per month (</w:t>
      </w:r>
      <w:r w:rsidR="00F316EA">
        <w:t>450</w:t>
      </w:r>
      <w:r w:rsidRPr="00A27704">
        <w:t xml:space="preserve"> hours</w:t>
      </w:r>
      <w:r w:rsidR="00F316EA">
        <w:t xml:space="preserve"> and </w:t>
      </w:r>
      <w:r w:rsidR="004F1B2A">
        <w:t>46 minutes</w:t>
      </w:r>
      <w:r w:rsidRPr="00A27704">
        <w:t xml:space="preserve"> per year) to </w:t>
      </w:r>
      <w:r w:rsidR="00EF2758">
        <w:t xml:space="preserve">maintain accreditation and </w:t>
      </w:r>
      <w:r w:rsidRPr="00A27704">
        <w:t>comply with the recordkeeping requirements in §</w:t>
      </w:r>
      <w:r w:rsidRPr="00A27704" w:rsidR="005E69B6">
        <w:t>§1.11</w:t>
      </w:r>
      <w:r w:rsidR="005E69B6">
        <w:t>38 and</w:t>
      </w:r>
      <w:r w:rsidRPr="00A27704">
        <w:t xml:space="preserve">1.1154.  This results in an annual burden of </w:t>
      </w:r>
      <w:r w:rsidR="009544AB">
        <w:t>1</w:t>
      </w:r>
      <w:r w:rsidR="00020611">
        <w:t>44</w:t>
      </w:r>
      <w:r w:rsidR="009544AB">
        <w:t>,</w:t>
      </w:r>
      <w:r w:rsidR="00020611">
        <w:t>245</w:t>
      </w:r>
      <w:r w:rsidR="005E69B6">
        <w:t xml:space="preserve"> </w:t>
      </w:r>
      <w:r w:rsidRPr="00A27704">
        <w:t xml:space="preserve">hours, as reflected in row </w:t>
      </w:r>
      <w:r w:rsidR="00020611">
        <w:t>3</w:t>
      </w:r>
      <w:r w:rsidRPr="00A27704">
        <w:t>.</w:t>
      </w:r>
    </w:p>
    <w:p w:rsidR="007663C1" w:rsidP="00836435" w14:paraId="49C6FD74" w14:textId="77777777">
      <w:pPr>
        <w:tabs>
          <w:tab w:val="left" w:pos="720"/>
        </w:tabs>
        <w:ind w:left="720"/>
        <w:rPr>
          <w:u w:val="single"/>
        </w:rPr>
      </w:pPr>
    </w:p>
    <w:p w:rsidR="00D6741F" w:rsidRPr="00836435" w:rsidP="00836435" w14:paraId="24E057F8" w14:textId="4E41CC1A">
      <w:pPr>
        <w:tabs>
          <w:tab w:val="left" w:pos="720"/>
        </w:tabs>
        <w:ind w:left="720"/>
        <w:rPr>
          <w:u w:val="single"/>
        </w:rPr>
      </w:pPr>
      <w:r>
        <w:rPr>
          <w:u w:val="single"/>
        </w:rPr>
        <w:t xml:space="preserve">The </w:t>
      </w:r>
      <w:r w:rsidRPr="00974C26">
        <w:rPr>
          <w:b/>
          <w:bCs/>
          <w:u w:val="single"/>
        </w:rPr>
        <w:t xml:space="preserve">total burden </w:t>
      </w:r>
      <w:r>
        <w:rPr>
          <w:u w:val="single"/>
        </w:rPr>
        <w:t xml:space="preserve">for this ICR is </w:t>
      </w:r>
      <w:r w:rsidR="004648E0">
        <w:rPr>
          <w:u w:val="single"/>
        </w:rPr>
        <w:t xml:space="preserve">167,749 </w:t>
      </w:r>
      <w:r>
        <w:rPr>
          <w:u w:val="single"/>
        </w:rPr>
        <w:t>hours.</w:t>
      </w:r>
    </w:p>
    <w:p w:rsidR="00560333" w:rsidP="002A0C48" w14:paraId="7765DDF9" w14:textId="77777777">
      <w:pPr>
        <w:rPr>
          <w:i/>
        </w:rPr>
      </w:pPr>
    </w:p>
    <w:p w:rsidR="00A93ED9" w:rsidRPr="004870F9" w:rsidP="00CC7253" w14:paraId="1A018AE7" w14:textId="77777777">
      <w:pPr>
        <w:pStyle w:val="BodyText2"/>
        <w:ind w:left="720"/>
        <w:rPr>
          <w:i/>
          <w:iCs/>
        </w:rPr>
      </w:pPr>
      <w:r w:rsidRPr="004870F9">
        <w:rPr>
          <w:i/>
          <w:iCs/>
        </w:rPr>
        <w:t xml:space="preserve">12b. </w:t>
      </w:r>
      <w:r w:rsidRPr="004870F9" w:rsidR="00411D11">
        <w:rPr>
          <w:i/>
          <w:iCs/>
        </w:rPr>
        <w:t>Annualized Cost Burden Estimate</w:t>
      </w:r>
    </w:p>
    <w:p w:rsidR="00A93ED9" w:rsidP="002A0C48" w14:paraId="483A73B1" w14:textId="77777777">
      <w:pPr>
        <w:pStyle w:val="BodyText2"/>
        <w:ind w:left="720"/>
      </w:pPr>
    </w:p>
    <w:p w:rsidR="007039B0" w:rsidRPr="00B144D4" w:rsidP="002A0C48" w14:paraId="05753ADA" w14:textId="4A97924D">
      <w:pPr>
        <w:pStyle w:val="BodyText2"/>
        <w:ind w:left="720"/>
      </w:pPr>
      <w:r w:rsidRPr="00B144D4">
        <w:rPr>
          <w:szCs w:val="24"/>
        </w:rPr>
        <w:t>We estimate that the annualized reporting cost burden under the</w:t>
      </w:r>
      <w:r w:rsidR="00052162">
        <w:rPr>
          <w:szCs w:val="24"/>
        </w:rPr>
        <w:t xml:space="preserve"> regulations</w:t>
      </w:r>
      <w:r w:rsidRPr="00B144D4">
        <w:rPr>
          <w:szCs w:val="24"/>
        </w:rPr>
        <w:t xml:space="preserve"> would be </w:t>
      </w:r>
      <w:r w:rsidR="00FB5B63">
        <w:rPr>
          <w:szCs w:val="24"/>
        </w:rPr>
        <w:t>$</w:t>
      </w:r>
      <w:r w:rsidRPr="00D605EA" w:rsidR="00D605EA">
        <w:rPr>
          <w:szCs w:val="24"/>
        </w:rPr>
        <w:t>1,535,568.04</w:t>
      </w:r>
      <w:r w:rsidRPr="007244F5">
        <w:rPr>
          <w:szCs w:val="24"/>
        </w:rPr>
        <w:t xml:space="preserve"> (see Table 3 below) and the </w:t>
      </w:r>
      <w:r w:rsidR="002454D1">
        <w:rPr>
          <w:szCs w:val="24"/>
        </w:rPr>
        <w:t>annual</w:t>
      </w:r>
      <w:r w:rsidR="00F46EBB">
        <w:rPr>
          <w:szCs w:val="24"/>
        </w:rPr>
        <w:t>ized</w:t>
      </w:r>
      <w:r w:rsidRPr="0014588F" w:rsidR="00611D3B">
        <w:rPr>
          <w:szCs w:val="24"/>
        </w:rPr>
        <w:t xml:space="preserve"> recordkeeping cost burden</w:t>
      </w:r>
      <w:r w:rsidRPr="002A4B4D" w:rsidR="00611D3B">
        <w:rPr>
          <w:szCs w:val="24"/>
        </w:rPr>
        <w:t xml:space="preserve"> under the </w:t>
      </w:r>
      <w:r w:rsidR="00C43499">
        <w:rPr>
          <w:szCs w:val="24"/>
        </w:rPr>
        <w:t>regulations</w:t>
      </w:r>
      <w:r w:rsidRPr="002A4B4D" w:rsidR="00611D3B">
        <w:rPr>
          <w:szCs w:val="24"/>
        </w:rPr>
        <w:t xml:space="preserve"> would be </w:t>
      </w:r>
      <w:r w:rsidRPr="007244F5" w:rsidR="00BC02B0">
        <w:rPr>
          <w:szCs w:val="24"/>
        </w:rPr>
        <w:t>$</w:t>
      </w:r>
      <w:r w:rsidRPr="00375CBC" w:rsidR="00375CBC">
        <w:rPr>
          <w:szCs w:val="24"/>
        </w:rPr>
        <w:t>11,887,310.64</w:t>
      </w:r>
      <w:r w:rsidRPr="007244F5" w:rsidR="00611D3B">
        <w:rPr>
          <w:szCs w:val="24"/>
        </w:rPr>
        <w:t xml:space="preserve"> (see Table 4 below), for a total</w:t>
      </w:r>
      <w:r w:rsidR="005222D6">
        <w:rPr>
          <w:szCs w:val="24"/>
        </w:rPr>
        <w:t xml:space="preserve"> annualized</w:t>
      </w:r>
      <w:r w:rsidRPr="007244F5" w:rsidR="00611D3B">
        <w:rPr>
          <w:szCs w:val="24"/>
        </w:rPr>
        <w:t xml:space="preserve"> information collection burden</w:t>
      </w:r>
      <w:r w:rsidR="005222D6">
        <w:rPr>
          <w:szCs w:val="24"/>
        </w:rPr>
        <w:t xml:space="preserve"> cost estimate</w:t>
      </w:r>
      <w:r w:rsidRPr="007244F5" w:rsidR="00611D3B">
        <w:rPr>
          <w:szCs w:val="24"/>
        </w:rPr>
        <w:t xml:space="preserve"> of $</w:t>
      </w:r>
      <w:r w:rsidR="00C92C40">
        <w:rPr>
          <w:szCs w:val="24"/>
        </w:rPr>
        <w:t>13,422,878.68</w:t>
      </w:r>
      <w:r w:rsidRPr="007244F5" w:rsidR="00611D3B">
        <w:rPr>
          <w:szCs w:val="24"/>
        </w:rPr>
        <w:t>.</w:t>
      </w:r>
    </w:p>
    <w:p w:rsidR="00C06B2D" w:rsidP="002A0C48" w14:paraId="7D5F5FBC" w14:textId="77777777">
      <w:pPr>
        <w:pStyle w:val="BodyText2"/>
        <w:ind w:left="720"/>
      </w:pPr>
    </w:p>
    <w:p w:rsidR="00396F98" w:rsidP="002A0C48" w14:paraId="4EE8A562" w14:textId="357483D2">
      <w:pPr>
        <w:pStyle w:val="BodyText2"/>
        <w:ind w:left="720"/>
      </w:pPr>
      <w:r>
        <w:t xml:space="preserve">We believe that recordkeeping and reporting requirements of the </w:t>
      </w:r>
      <w:r w:rsidR="00CB4553">
        <w:t xml:space="preserve">information collection </w:t>
      </w:r>
      <w:r>
        <w:t>are conducted by personnel with differing wage rates</w:t>
      </w:r>
      <w:r w:rsidR="00F44533">
        <w:t xml:space="preserve">. </w:t>
      </w:r>
      <w:r>
        <w:t>With respect to the reporting burden on accreditation bodies:</w:t>
      </w:r>
    </w:p>
    <w:p w:rsidR="00396F98" w:rsidP="002A0C48" w14:paraId="4E1D84A1" w14:textId="77777777">
      <w:pPr>
        <w:pStyle w:val="BodyText2"/>
        <w:ind w:left="720"/>
      </w:pPr>
    </w:p>
    <w:p w:rsidR="00396F98" w:rsidRPr="00B144D4" w:rsidP="002A0C48" w14:paraId="5D760122" w14:textId="3B8E0922">
      <w:pPr>
        <w:pStyle w:val="BodyText2"/>
        <w:numPr>
          <w:ilvl w:val="0"/>
          <w:numId w:val="51"/>
        </w:numPr>
      </w:pPr>
      <w:r>
        <w:t xml:space="preserve">We </w:t>
      </w:r>
      <w:r w:rsidR="00697637">
        <w:t xml:space="preserve">assume </w:t>
      </w:r>
      <w:r>
        <w:t xml:space="preserve">the reporting burden </w:t>
      </w:r>
      <w:r w:rsidR="00334B29">
        <w:t xml:space="preserve">on accreditation bodies </w:t>
      </w:r>
      <w:r w:rsidR="000941DB">
        <w:t xml:space="preserve">to apply for recognition or </w:t>
      </w:r>
      <w:r w:rsidR="00D45780">
        <w:t xml:space="preserve">apply for renewal of recognition </w:t>
      </w:r>
      <w:r>
        <w:t>under §</w:t>
      </w:r>
      <w:r w:rsidR="00D45780">
        <w:t>§</w:t>
      </w:r>
      <w:r>
        <w:t xml:space="preserve"> 1.</w:t>
      </w:r>
      <w:r w:rsidR="006A6D3B">
        <w:t>1113</w:t>
      </w:r>
      <w:r>
        <w:t xml:space="preserve"> and </w:t>
      </w:r>
      <w:r w:rsidR="00094B09">
        <w:t>1.1114</w:t>
      </w:r>
      <w:r>
        <w:t xml:space="preserve"> to be conducted by personnel at the level of a Lawyer, as</w:t>
      </w:r>
      <w:r w:rsidRPr="00DF6516">
        <w:rPr>
          <w:szCs w:val="24"/>
        </w:rPr>
        <w:t xml:space="preserve"> reported in the Bure</w:t>
      </w:r>
      <w:r>
        <w:rPr>
          <w:szCs w:val="24"/>
        </w:rPr>
        <w:t xml:space="preserve">au of Labor Statistics, May </w:t>
      </w:r>
      <w:r w:rsidR="001574F3">
        <w:rPr>
          <w:szCs w:val="24"/>
        </w:rPr>
        <w:t>202</w:t>
      </w:r>
      <w:r w:rsidR="005A617D">
        <w:rPr>
          <w:szCs w:val="24"/>
        </w:rPr>
        <w:t>3</w:t>
      </w:r>
      <w:r w:rsidRPr="00DF6516" w:rsidR="001574F3">
        <w:rPr>
          <w:szCs w:val="24"/>
        </w:rPr>
        <w:t xml:space="preserve"> </w:t>
      </w:r>
      <w:r w:rsidRPr="00DF6516">
        <w:rPr>
          <w:szCs w:val="24"/>
        </w:rPr>
        <w:t xml:space="preserve">National Occupational Survey under occupation code </w:t>
      </w:r>
      <w:r>
        <w:rPr>
          <w:szCs w:val="24"/>
        </w:rPr>
        <w:t xml:space="preserve">23-1011. </w:t>
      </w:r>
      <w:r w:rsidRPr="00DF6516">
        <w:rPr>
          <w:szCs w:val="24"/>
        </w:rPr>
        <w:t>We multiply the wage by two to account for overhead to obtain a fully loaded hourly wage of $</w:t>
      </w:r>
      <w:r w:rsidR="00F9072A">
        <w:rPr>
          <w:szCs w:val="24"/>
        </w:rPr>
        <w:t>1</w:t>
      </w:r>
      <w:r w:rsidR="00755F1B">
        <w:rPr>
          <w:szCs w:val="24"/>
        </w:rPr>
        <w:t>69</w:t>
      </w:r>
      <w:r w:rsidR="00F9072A">
        <w:rPr>
          <w:szCs w:val="24"/>
        </w:rPr>
        <w:t>.</w:t>
      </w:r>
      <w:r w:rsidR="00755F1B">
        <w:rPr>
          <w:szCs w:val="24"/>
        </w:rPr>
        <w:t>68</w:t>
      </w:r>
      <w:r w:rsidRPr="00DF6516">
        <w:rPr>
          <w:szCs w:val="24"/>
        </w:rPr>
        <w:t xml:space="preserve"> for a </w:t>
      </w:r>
      <w:r>
        <w:rPr>
          <w:szCs w:val="24"/>
        </w:rPr>
        <w:t>Lawyer</w:t>
      </w:r>
      <w:r w:rsidRPr="00DF6516">
        <w:rPr>
          <w:szCs w:val="24"/>
        </w:rPr>
        <w:t>.</w:t>
      </w:r>
      <w:r>
        <w:rPr>
          <w:szCs w:val="24"/>
        </w:rPr>
        <w:t xml:space="preserve">  </w:t>
      </w:r>
    </w:p>
    <w:p w:rsidR="00396F98" w:rsidRPr="0014588F" w:rsidP="002A0C48" w14:paraId="13165DBB" w14:textId="77777777">
      <w:pPr>
        <w:pStyle w:val="BodyText2"/>
        <w:ind w:left="1440"/>
      </w:pPr>
    </w:p>
    <w:p w:rsidR="00396F98" w:rsidRPr="00B144D4" w:rsidP="002A0C48" w14:paraId="5C168362" w14:textId="53013BC3">
      <w:pPr>
        <w:pStyle w:val="BodyText2"/>
        <w:numPr>
          <w:ilvl w:val="0"/>
          <w:numId w:val="51"/>
        </w:numPr>
      </w:pPr>
      <w:r>
        <w:rPr>
          <w:szCs w:val="24"/>
        </w:rPr>
        <w:t xml:space="preserve">We </w:t>
      </w:r>
      <w:r w:rsidR="00697637">
        <w:rPr>
          <w:szCs w:val="24"/>
        </w:rPr>
        <w:t xml:space="preserve">assume </w:t>
      </w:r>
      <w:r>
        <w:t>the reporting burden</w:t>
      </w:r>
      <w:r w:rsidR="005D089E">
        <w:t xml:space="preserve"> on accreditation bodies</w:t>
      </w:r>
      <w:r>
        <w:t xml:space="preserve"> under § 1.1123 (</w:t>
      </w:r>
      <w:r w:rsidR="006837F1">
        <w:t>reports, notifications, and documentation</w:t>
      </w:r>
      <w:r w:rsidR="00592103">
        <w:t xml:space="preserve"> requirements</w:t>
      </w:r>
      <w:r>
        <w:t>) to be conducted by accreditation body personnel at the level of Microbiologist, as</w:t>
      </w:r>
      <w:r w:rsidRPr="00DF6516">
        <w:rPr>
          <w:szCs w:val="24"/>
        </w:rPr>
        <w:t xml:space="preserve"> reported in the Bure</w:t>
      </w:r>
      <w:r>
        <w:rPr>
          <w:szCs w:val="24"/>
        </w:rPr>
        <w:t xml:space="preserve">au of Labor Statistics, May </w:t>
      </w:r>
      <w:r w:rsidR="00592103">
        <w:rPr>
          <w:szCs w:val="24"/>
        </w:rPr>
        <w:t>202</w:t>
      </w:r>
      <w:r w:rsidR="005D0548">
        <w:rPr>
          <w:szCs w:val="24"/>
        </w:rPr>
        <w:t>3</w:t>
      </w:r>
      <w:r w:rsidRPr="00DF6516" w:rsidR="00592103">
        <w:rPr>
          <w:szCs w:val="24"/>
        </w:rPr>
        <w:t xml:space="preserve"> </w:t>
      </w:r>
      <w:r w:rsidRPr="00DF6516">
        <w:rPr>
          <w:szCs w:val="24"/>
        </w:rPr>
        <w:t>National Occupational Survey under occupation code 19-1022</w:t>
      </w:r>
      <w:r>
        <w:rPr>
          <w:szCs w:val="24"/>
        </w:rPr>
        <w:t xml:space="preserve">.  </w:t>
      </w:r>
      <w:r w:rsidRPr="00DF6516">
        <w:rPr>
          <w:szCs w:val="24"/>
        </w:rPr>
        <w:t>We multiply the wage by two to account for overhead to obtain a fully loaded hourly wage of $</w:t>
      </w:r>
      <w:r w:rsidR="00EF14B6">
        <w:rPr>
          <w:szCs w:val="24"/>
        </w:rPr>
        <w:t>8</w:t>
      </w:r>
      <w:r w:rsidR="00881D1E">
        <w:rPr>
          <w:szCs w:val="24"/>
        </w:rPr>
        <w:t>9</w:t>
      </w:r>
      <w:r w:rsidR="00EF14B6">
        <w:rPr>
          <w:szCs w:val="24"/>
        </w:rPr>
        <w:t>.</w:t>
      </w:r>
      <w:r w:rsidR="00881D1E">
        <w:rPr>
          <w:szCs w:val="24"/>
        </w:rPr>
        <w:t>78</w:t>
      </w:r>
      <w:r w:rsidRPr="00DF6516">
        <w:rPr>
          <w:szCs w:val="24"/>
        </w:rPr>
        <w:t xml:space="preserve"> for a Microbiologist.</w:t>
      </w:r>
    </w:p>
    <w:p w:rsidR="00396F98" w:rsidP="002A0C48" w14:paraId="66BB2622" w14:textId="77777777">
      <w:pPr>
        <w:pStyle w:val="BodyText2"/>
        <w:ind w:left="720"/>
        <w:rPr>
          <w:szCs w:val="24"/>
        </w:rPr>
      </w:pPr>
    </w:p>
    <w:p w:rsidR="00396F98" w:rsidRPr="005912AE" w:rsidP="002A0C48" w14:paraId="34B2D6E5" w14:textId="749D6D54">
      <w:pPr>
        <w:pStyle w:val="BodyText2"/>
        <w:ind w:left="720"/>
      </w:pPr>
      <w:r w:rsidRPr="005912AE">
        <w:t>With respect to the reporting burden on laboratories:</w:t>
      </w:r>
    </w:p>
    <w:p w:rsidR="00C47AF7" w:rsidRPr="005912AE" w:rsidP="002A0C48" w14:paraId="4BEAE249" w14:textId="77777777">
      <w:pPr>
        <w:pStyle w:val="BodyText2"/>
        <w:ind w:left="720"/>
      </w:pPr>
    </w:p>
    <w:p w:rsidR="009B0825" w:rsidRPr="005912AE" w:rsidP="002A0C48" w14:paraId="0CF7F539" w14:textId="60CCD484">
      <w:pPr>
        <w:pStyle w:val="BodyText2"/>
        <w:numPr>
          <w:ilvl w:val="0"/>
          <w:numId w:val="52"/>
        </w:numPr>
      </w:pPr>
      <w:r w:rsidRPr="005912AE">
        <w:rPr>
          <w:szCs w:val="24"/>
        </w:rPr>
        <w:t xml:space="preserve">We </w:t>
      </w:r>
      <w:r w:rsidR="00D6741F">
        <w:rPr>
          <w:szCs w:val="24"/>
        </w:rPr>
        <w:t xml:space="preserve">assume </w:t>
      </w:r>
      <w:r w:rsidRPr="005912AE" w:rsidR="00D6741F">
        <w:rPr>
          <w:szCs w:val="24"/>
        </w:rPr>
        <w:t>the</w:t>
      </w:r>
      <w:r w:rsidRPr="005912AE">
        <w:rPr>
          <w:szCs w:val="24"/>
        </w:rPr>
        <w:t xml:space="preserve"> reporting burden</w:t>
      </w:r>
      <w:r w:rsidRPr="005912AE" w:rsidR="00C47AF7">
        <w:rPr>
          <w:szCs w:val="24"/>
        </w:rPr>
        <w:t xml:space="preserve"> on laboratories</w:t>
      </w:r>
      <w:r w:rsidRPr="005912AE">
        <w:rPr>
          <w:szCs w:val="24"/>
        </w:rPr>
        <w:t xml:space="preserve"> </w:t>
      </w:r>
      <w:r w:rsidRPr="005912AE">
        <w:t>under §</w:t>
      </w:r>
      <w:r w:rsidR="000754E6">
        <w:t>§</w:t>
      </w:r>
      <w:r w:rsidRPr="005912AE">
        <w:t xml:space="preserve"> 1.</w:t>
      </w:r>
      <w:r w:rsidRPr="005912AE" w:rsidR="000754E6">
        <w:t>11</w:t>
      </w:r>
      <w:r w:rsidR="000754E6">
        <w:t>38</w:t>
      </w:r>
      <w:r w:rsidR="000504D2">
        <w:t xml:space="preserve"> and 1.1139</w:t>
      </w:r>
      <w:r w:rsidRPr="005912AE" w:rsidR="000754E6">
        <w:t xml:space="preserve"> </w:t>
      </w:r>
      <w:r w:rsidRPr="005912AE">
        <w:t xml:space="preserve">(the application for accreditation) to be conducted by laboratory personnel at the level of a </w:t>
      </w:r>
      <w:r w:rsidR="00A409DE">
        <w:t>Food Scientist</w:t>
      </w:r>
      <w:r w:rsidR="00F62F42">
        <w:t xml:space="preserve"> and Technologist</w:t>
      </w:r>
      <w:r w:rsidRPr="005912AE" w:rsidR="00A409DE">
        <w:t xml:space="preserve"> </w:t>
      </w:r>
      <w:r w:rsidRPr="005912AE">
        <w:t>as</w:t>
      </w:r>
      <w:r w:rsidRPr="005912AE">
        <w:rPr>
          <w:szCs w:val="24"/>
        </w:rPr>
        <w:t xml:space="preserve"> reported in the Bureau of Labor Statistics, May </w:t>
      </w:r>
      <w:r w:rsidR="005138B6">
        <w:rPr>
          <w:szCs w:val="24"/>
        </w:rPr>
        <w:t>202</w:t>
      </w:r>
      <w:r w:rsidR="00881D1E">
        <w:rPr>
          <w:szCs w:val="24"/>
        </w:rPr>
        <w:t>3</w:t>
      </w:r>
      <w:r w:rsidRPr="005912AE" w:rsidR="005138B6">
        <w:rPr>
          <w:szCs w:val="24"/>
        </w:rPr>
        <w:t xml:space="preserve"> </w:t>
      </w:r>
      <w:r w:rsidRPr="005912AE">
        <w:rPr>
          <w:szCs w:val="24"/>
        </w:rPr>
        <w:t xml:space="preserve">National Occupational Survey under occupation code </w:t>
      </w:r>
      <w:r w:rsidR="00A65362">
        <w:rPr>
          <w:szCs w:val="24"/>
        </w:rPr>
        <w:t>19-1012</w:t>
      </w:r>
      <w:r w:rsidR="00A40F60">
        <w:rPr>
          <w:szCs w:val="24"/>
        </w:rPr>
        <w:t xml:space="preserve"> </w:t>
      </w:r>
      <w:r w:rsidR="000A4009">
        <w:rPr>
          <w:szCs w:val="24"/>
        </w:rPr>
        <w:t>at the</w:t>
      </w:r>
      <w:r w:rsidRPr="005912AE">
        <w:rPr>
          <w:szCs w:val="24"/>
        </w:rPr>
        <w:t xml:space="preserve"> fully loaded hourly wage of $</w:t>
      </w:r>
      <w:r w:rsidR="007F62F0">
        <w:rPr>
          <w:szCs w:val="24"/>
        </w:rPr>
        <w:t>84.96</w:t>
      </w:r>
      <w:r w:rsidRPr="005912AE">
        <w:rPr>
          <w:szCs w:val="24"/>
        </w:rPr>
        <w:t>.</w:t>
      </w:r>
    </w:p>
    <w:p w:rsidR="009B0825" w:rsidRPr="00823B09" w:rsidP="002A0C48" w14:paraId="1F8731FF" w14:textId="77777777">
      <w:pPr>
        <w:pStyle w:val="BodyText2"/>
        <w:ind w:left="1440"/>
        <w:rPr>
          <w:highlight w:val="lightGray"/>
        </w:rPr>
      </w:pPr>
    </w:p>
    <w:p w:rsidR="009B0825" w:rsidRPr="005912AE" w:rsidP="002A0C48" w14:paraId="2095D682" w14:textId="50DE4AAD">
      <w:pPr>
        <w:pStyle w:val="BodyText2"/>
        <w:numPr>
          <w:ilvl w:val="0"/>
          <w:numId w:val="52"/>
        </w:numPr>
      </w:pPr>
      <w:r w:rsidRPr="005912AE">
        <w:rPr>
          <w:szCs w:val="24"/>
        </w:rPr>
        <w:t xml:space="preserve">We </w:t>
      </w:r>
      <w:r w:rsidR="00697637">
        <w:rPr>
          <w:szCs w:val="24"/>
        </w:rPr>
        <w:t xml:space="preserve">assume </w:t>
      </w:r>
      <w:r w:rsidRPr="005912AE">
        <w:rPr>
          <w:szCs w:val="24"/>
        </w:rPr>
        <w:t>the reporting burden</w:t>
      </w:r>
      <w:r w:rsidRPr="005912AE" w:rsidR="00C47AF7">
        <w:rPr>
          <w:szCs w:val="24"/>
        </w:rPr>
        <w:t xml:space="preserve"> on laboratories</w:t>
      </w:r>
      <w:r w:rsidRPr="005912AE">
        <w:rPr>
          <w:szCs w:val="24"/>
        </w:rPr>
        <w:t xml:space="preserve"> under §§ </w:t>
      </w:r>
      <w:r w:rsidR="00737BA1">
        <w:rPr>
          <w:szCs w:val="24"/>
        </w:rPr>
        <w:t>1.1149, 1.1152, and 1.1153</w:t>
      </w:r>
      <w:r w:rsidR="0033108B">
        <w:rPr>
          <w:szCs w:val="24"/>
        </w:rPr>
        <w:t xml:space="preserve"> </w:t>
      </w:r>
      <w:r w:rsidRPr="005912AE">
        <w:rPr>
          <w:szCs w:val="24"/>
        </w:rPr>
        <w:t xml:space="preserve">(submission of sampling plans, sample collection reports, sampler qualifications, analytical reports (including qualifying to submit abridged analytical reports and submission of abridged analytical reports), validation studies, verification studies, and advance notices of sampling) </w:t>
      </w:r>
      <w:r w:rsidRPr="005912AE">
        <w:t>to be conducted by laboratory personnel at the level of a Food Scientist and Technologist</w:t>
      </w:r>
      <w:r w:rsidRPr="005912AE" w:rsidR="00AD154D">
        <w:t xml:space="preserve"> </w:t>
      </w:r>
      <w:r w:rsidRPr="005912AE">
        <w:t>, as</w:t>
      </w:r>
      <w:r w:rsidRPr="005912AE">
        <w:rPr>
          <w:szCs w:val="24"/>
        </w:rPr>
        <w:t xml:space="preserve"> reported in the Bureau of Labor Statistics, May </w:t>
      </w:r>
      <w:r w:rsidR="0060599E">
        <w:rPr>
          <w:szCs w:val="24"/>
        </w:rPr>
        <w:t>202</w:t>
      </w:r>
      <w:r w:rsidR="00994E72">
        <w:rPr>
          <w:szCs w:val="24"/>
        </w:rPr>
        <w:t>3</w:t>
      </w:r>
      <w:r w:rsidRPr="005912AE" w:rsidR="0060599E">
        <w:rPr>
          <w:szCs w:val="24"/>
        </w:rPr>
        <w:t xml:space="preserve"> </w:t>
      </w:r>
      <w:r w:rsidRPr="005912AE">
        <w:rPr>
          <w:szCs w:val="24"/>
        </w:rPr>
        <w:t xml:space="preserve">National Occupational Survey under occupation code </w:t>
      </w:r>
      <w:r w:rsidR="009B18B9">
        <w:rPr>
          <w:szCs w:val="24"/>
        </w:rPr>
        <w:t>1</w:t>
      </w:r>
      <w:r w:rsidR="007F40C5">
        <w:rPr>
          <w:szCs w:val="24"/>
        </w:rPr>
        <w:t>9</w:t>
      </w:r>
      <w:r w:rsidR="009B18B9">
        <w:rPr>
          <w:szCs w:val="24"/>
        </w:rPr>
        <w:t>-</w:t>
      </w:r>
      <w:r w:rsidR="007F40C5">
        <w:rPr>
          <w:szCs w:val="24"/>
        </w:rPr>
        <w:t>1012</w:t>
      </w:r>
      <w:r w:rsidRPr="005912AE" w:rsidR="0041212C">
        <w:rPr>
          <w:szCs w:val="24"/>
        </w:rPr>
        <w:t xml:space="preserve">. </w:t>
      </w:r>
      <w:r w:rsidRPr="005912AE">
        <w:rPr>
          <w:szCs w:val="24"/>
        </w:rPr>
        <w:t>We multiply the wage by two to account for overhead to obtain a fully loaded hourly wage of $</w:t>
      </w:r>
      <w:r w:rsidR="00630037">
        <w:rPr>
          <w:szCs w:val="24"/>
        </w:rPr>
        <w:t>84.96</w:t>
      </w:r>
      <w:r w:rsidRPr="005912AE">
        <w:rPr>
          <w:szCs w:val="24"/>
        </w:rPr>
        <w:t xml:space="preserve"> for a </w:t>
      </w:r>
      <w:r w:rsidRPr="005912AE">
        <w:t>Food Scientist and Technologist</w:t>
      </w:r>
      <w:r w:rsidRPr="005912AE">
        <w:rPr>
          <w:szCs w:val="24"/>
        </w:rPr>
        <w:t>.</w:t>
      </w:r>
    </w:p>
    <w:p w:rsidR="00396F98" w:rsidP="002A0C48" w14:paraId="2F530F05" w14:textId="77777777">
      <w:pPr>
        <w:pStyle w:val="BodyText2"/>
      </w:pPr>
    </w:p>
    <w:p w:rsidR="00396F98" w:rsidP="002A0C48" w14:paraId="20740BD5" w14:textId="439F49EF">
      <w:pPr>
        <w:pStyle w:val="BodyText2"/>
        <w:ind w:left="720"/>
      </w:pPr>
      <w:r>
        <w:t>With respect to the recordkeeping burden on accreditation bodies:</w:t>
      </w:r>
    </w:p>
    <w:p w:rsidR="00426B6F" w:rsidP="002A0C48" w14:paraId="1EF6BC21" w14:textId="77777777">
      <w:pPr>
        <w:pStyle w:val="BodyText2"/>
        <w:ind w:left="720"/>
      </w:pPr>
    </w:p>
    <w:p w:rsidR="00426B6F" w:rsidP="002A0C48" w14:paraId="7A9BF7FB" w14:textId="7AE3B413">
      <w:pPr>
        <w:pStyle w:val="BodyText2"/>
        <w:numPr>
          <w:ilvl w:val="0"/>
          <w:numId w:val="53"/>
        </w:numPr>
      </w:pPr>
      <w:r>
        <w:t xml:space="preserve">We </w:t>
      </w:r>
      <w:r w:rsidR="00697637">
        <w:t xml:space="preserve">assume </w:t>
      </w:r>
      <w:r>
        <w:t>the recordkeeping burden</w:t>
      </w:r>
      <w:r w:rsidR="00EF3637">
        <w:t xml:space="preserve"> on </w:t>
      </w:r>
      <w:r w:rsidR="00530CBA">
        <w:t>accreditation bodies</w:t>
      </w:r>
      <w:r>
        <w:t xml:space="preserve"> under § 1.1124 (the recordkeeping requirements</w:t>
      </w:r>
      <w:r w:rsidR="00D55802">
        <w:t xml:space="preserve"> in addition to those of ISO/IEC 17011</w:t>
      </w:r>
      <w:r w:rsidR="006E7C76">
        <w:t>:2017</w:t>
      </w:r>
      <w:r>
        <w:t>) to be conducted by accreditation body personnel at the level of Microbiologist, as</w:t>
      </w:r>
      <w:r w:rsidRPr="00DF6516">
        <w:rPr>
          <w:szCs w:val="24"/>
        </w:rPr>
        <w:t xml:space="preserve"> reported in the Bure</w:t>
      </w:r>
      <w:r>
        <w:rPr>
          <w:szCs w:val="24"/>
        </w:rPr>
        <w:t xml:space="preserve">au of Labor Statistics, May </w:t>
      </w:r>
      <w:r w:rsidR="006E7C76">
        <w:rPr>
          <w:szCs w:val="24"/>
        </w:rPr>
        <w:t>202</w:t>
      </w:r>
      <w:r w:rsidR="00994E72">
        <w:rPr>
          <w:szCs w:val="24"/>
        </w:rPr>
        <w:t>3</w:t>
      </w:r>
      <w:r w:rsidRPr="00DF6516" w:rsidR="006E7C76">
        <w:rPr>
          <w:szCs w:val="24"/>
        </w:rPr>
        <w:t xml:space="preserve"> </w:t>
      </w:r>
      <w:r w:rsidRPr="00DF6516">
        <w:rPr>
          <w:szCs w:val="24"/>
        </w:rPr>
        <w:t>National Occupational Survey under occupation code 19-1022</w:t>
      </w:r>
      <w:r w:rsidR="000A4009">
        <w:rPr>
          <w:szCs w:val="24"/>
        </w:rPr>
        <w:t>, at the</w:t>
      </w:r>
      <w:r w:rsidRPr="00DF6516">
        <w:rPr>
          <w:szCs w:val="24"/>
        </w:rPr>
        <w:t xml:space="preserve"> fully loaded hourly wage of $</w:t>
      </w:r>
      <w:r w:rsidR="0046034E">
        <w:rPr>
          <w:szCs w:val="24"/>
        </w:rPr>
        <w:t>89.78</w:t>
      </w:r>
      <w:r w:rsidRPr="00DF6516">
        <w:rPr>
          <w:szCs w:val="24"/>
        </w:rPr>
        <w:t>.</w:t>
      </w:r>
    </w:p>
    <w:p w:rsidR="00396F98" w:rsidP="002A0C48" w14:paraId="4C8548A7" w14:textId="77777777">
      <w:pPr>
        <w:pStyle w:val="BodyText2"/>
        <w:ind w:left="720"/>
      </w:pPr>
    </w:p>
    <w:p w:rsidR="00396F98" w:rsidP="002A0C48" w14:paraId="3040FADF" w14:textId="6A0F7F97">
      <w:pPr>
        <w:pStyle w:val="BodyText2"/>
        <w:ind w:left="720"/>
      </w:pPr>
      <w:r>
        <w:t>With respect to the recordkeeping burden on laboratories:</w:t>
      </w:r>
    </w:p>
    <w:p w:rsidR="00426B6F" w:rsidP="002A0C48" w14:paraId="47E50C70" w14:textId="77777777">
      <w:pPr>
        <w:pStyle w:val="BodyText2"/>
        <w:ind w:left="720"/>
      </w:pPr>
    </w:p>
    <w:p w:rsidR="00426B6F" w:rsidP="002A0C48" w14:paraId="391AECD8" w14:textId="0C8025F5">
      <w:pPr>
        <w:pStyle w:val="BodyText2"/>
        <w:numPr>
          <w:ilvl w:val="0"/>
          <w:numId w:val="53"/>
        </w:numPr>
      </w:pPr>
      <w:r>
        <w:t>W</w:t>
      </w:r>
      <w:r>
        <w:t xml:space="preserve">e </w:t>
      </w:r>
      <w:r w:rsidR="00697637">
        <w:t xml:space="preserve">assume </w:t>
      </w:r>
      <w:r>
        <w:t xml:space="preserve">the recordkeeping burden </w:t>
      </w:r>
      <w:r w:rsidR="00EF3637">
        <w:t xml:space="preserve">on laboratories </w:t>
      </w:r>
      <w:r>
        <w:t xml:space="preserve">under § </w:t>
      </w:r>
      <w:r>
        <w:rPr>
          <w:szCs w:val="24"/>
        </w:rPr>
        <w:t>1.1138 (</w:t>
      </w:r>
      <w:r w:rsidR="00A44860">
        <w:rPr>
          <w:szCs w:val="24"/>
        </w:rPr>
        <w:t xml:space="preserve">attaining and maintaining </w:t>
      </w:r>
      <w:r>
        <w:rPr>
          <w:szCs w:val="24"/>
        </w:rPr>
        <w:t>ISO/IEC 17025</w:t>
      </w:r>
      <w:r w:rsidR="003C1769">
        <w:rPr>
          <w:szCs w:val="24"/>
        </w:rPr>
        <w:t>:2017</w:t>
      </w:r>
      <w:r w:rsidR="00AA76B8">
        <w:rPr>
          <w:szCs w:val="24"/>
        </w:rPr>
        <w:t>-accreditation</w:t>
      </w:r>
      <w:r>
        <w:rPr>
          <w:szCs w:val="24"/>
        </w:rPr>
        <w:t>)</w:t>
      </w:r>
      <w:r w:rsidR="000C7B61">
        <w:rPr>
          <w:szCs w:val="24"/>
        </w:rPr>
        <w:t xml:space="preserve"> and § 1.1154 (</w:t>
      </w:r>
      <w:r w:rsidR="00324758">
        <w:rPr>
          <w:szCs w:val="24"/>
        </w:rPr>
        <w:t>additional recordkeeping requirements)</w:t>
      </w:r>
      <w:r>
        <w:rPr>
          <w:szCs w:val="24"/>
        </w:rPr>
        <w:t xml:space="preserve"> </w:t>
      </w:r>
      <w:r>
        <w:t xml:space="preserve">to be conducted by laboratory personnel at the level of </w:t>
      </w:r>
      <w:r w:rsidR="00EF3637">
        <w:t>Food Scientist and Technologist</w:t>
      </w:r>
      <w:r w:rsidR="00973764">
        <w:t xml:space="preserve"> </w:t>
      </w:r>
      <w:r w:rsidR="00EF3637">
        <w:t xml:space="preserve">as reported in the Bureau of Labor Statistics, May </w:t>
      </w:r>
      <w:r w:rsidR="001B194B">
        <w:t>202</w:t>
      </w:r>
      <w:r w:rsidR="00B42D31">
        <w:t>3</w:t>
      </w:r>
      <w:r w:rsidR="001B194B">
        <w:t xml:space="preserve"> </w:t>
      </w:r>
      <w:r w:rsidR="00EF3637">
        <w:t>National Occupational Survey under occupation code</w:t>
      </w:r>
      <w:r w:rsidR="00730F68">
        <w:t xml:space="preserve"> </w:t>
      </w:r>
      <w:r w:rsidR="00B42D31">
        <w:rPr>
          <w:szCs w:val="24"/>
        </w:rPr>
        <w:t>19-1012</w:t>
      </w:r>
      <w:r w:rsidR="000A4009">
        <w:t xml:space="preserve">, at the </w:t>
      </w:r>
      <w:r w:rsidR="00EF3637">
        <w:t>fully loaded hourly wage of $</w:t>
      </w:r>
      <w:r w:rsidR="00B42D31">
        <w:rPr>
          <w:szCs w:val="24"/>
        </w:rPr>
        <w:t>84.96</w:t>
      </w:r>
      <w:r w:rsidRPr="00DF6516">
        <w:rPr>
          <w:szCs w:val="24"/>
        </w:rPr>
        <w:t>.</w:t>
      </w:r>
    </w:p>
    <w:p w:rsidR="00C170FE" w:rsidP="00A20D4D" w14:paraId="5DE70F12" w14:textId="77777777">
      <w:pPr>
        <w:pStyle w:val="BodyText2"/>
      </w:pPr>
    </w:p>
    <w:p w:rsidR="00C170FE" w:rsidP="002A0C48" w14:paraId="172C888A" w14:textId="77777777">
      <w:pPr>
        <w:pStyle w:val="BodyText2"/>
        <w:ind w:left="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394"/>
        <w:gridCol w:w="1926"/>
      </w:tblGrid>
      <w:tr w14:paraId="1D78BC63" w14:textId="77777777" w:rsidTr="00041030">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280" w:type="dxa"/>
            <w:gridSpan w:val="4"/>
            <w:shd w:val="clear" w:color="auto" w:fill="auto"/>
          </w:tcPr>
          <w:p w:rsidR="005C699E" w:rsidRPr="007244F5" w:rsidP="002A0C48" w14:paraId="7ABF71AC" w14:textId="4183F2A8">
            <w:pPr>
              <w:jc w:val="center"/>
              <w:rPr>
                <w:sz w:val="20"/>
                <w:szCs w:val="20"/>
              </w:rPr>
            </w:pPr>
            <w:r w:rsidRPr="00CB50DD">
              <w:rPr>
                <w:sz w:val="20"/>
                <w:szCs w:val="20"/>
              </w:rPr>
              <w:t>Table 3</w:t>
            </w:r>
            <w:r w:rsidR="006F401F">
              <w:rPr>
                <w:sz w:val="20"/>
                <w:szCs w:val="20"/>
              </w:rPr>
              <w:t>--</w:t>
            </w:r>
            <w:r w:rsidRPr="00CB50DD">
              <w:rPr>
                <w:sz w:val="20"/>
                <w:szCs w:val="20"/>
              </w:rPr>
              <w:t>Estimated Annual Reporting Burden Cost</w:t>
            </w:r>
          </w:p>
        </w:tc>
      </w:tr>
      <w:tr w14:paraId="7F11E709" w14:textId="77777777" w:rsidTr="00B86DFA">
        <w:tblPrEx>
          <w:tblW w:w="0" w:type="auto"/>
          <w:tblInd w:w="828" w:type="dxa"/>
          <w:tblLook w:val="01E0"/>
        </w:tblPrEx>
        <w:tc>
          <w:tcPr>
            <w:tcW w:w="2160" w:type="dxa"/>
            <w:shd w:val="clear" w:color="auto" w:fill="auto"/>
          </w:tcPr>
          <w:p w:rsidR="00C06B2D" w:rsidRPr="007244F5" w:rsidP="002A0C48" w14:paraId="3BDFE0D5" w14:textId="77777777">
            <w:pPr>
              <w:rPr>
                <w:b/>
                <w:sz w:val="20"/>
                <w:szCs w:val="20"/>
              </w:rPr>
            </w:pPr>
            <w:r w:rsidRPr="007244F5">
              <w:rPr>
                <w:b/>
                <w:sz w:val="20"/>
                <w:szCs w:val="20"/>
              </w:rPr>
              <w:t>Type of Respondent</w:t>
            </w:r>
          </w:p>
        </w:tc>
        <w:tc>
          <w:tcPr>
            <w:tcW w:w="1800" w:type="dxa"/>
            <w:shd w:val="clear" w:color="auto" w:fill="auto"/>
          </w:tcPr>
          <w:p w:rsidR="00C06B2D" w:rsidRPr="007244F5" w:rsidP="002A0C48" w14:paraId="16C10E11" w14:textId="77777777">
            <w:pPr>
              <w:rPr>
                <w:b/>
                <w:sz w:val="20"/>
                <w:szCs w:val="20"/>
              </w:rPr>
            </w:pPr>
            <w:r w:rsidRPr="007244F5">
              <w:rPr>
                <w:b/>
                <w:sz w:val="20"/>
                <w:szCs w:val="20"/>
              </w:rPr>
              <w:t>Total Burden Hours</w:t>
            </w:r>
          </w:p>
        </w:tc>
        <w:tc>
          <w:tcPr>
            <w:tcW w:w="2394" w:type="dxa"/>
            <w:shd w:val="clear" w:color="auto" w:fill="auto"/>
          </w:tcPr>
          <w:p w:rsidR="00C06B2D" w:rsidRPr="007244F5" w:rsidP="002A0C48" w14:paraId="07456EFB" w14:textId="77777777">
            <w:pPr>
              <w:rPr>
                <w:b/>
                <w:sz w:val="20"/>
                <w:szCs w:val="20"/>
              </w:rPr>
            </w:pPr>
            <w:r w:rsidRPr="00CB50DD">
              <w:rPr>
                <w:b/>
                <w:sz w:val="20"/>
                <w:szCs w:val="20"/>
              </w:rPr>
              <w:t xml:space="preserve">Fully Loaded </w:t>
            </w:r>
            <w:r w:rsidRPr="007244F5" w:rsidR="00921FEC">
              <w:rPr>
                <w:b/>
                <w:sz w:val="20"/>
                <w:szCs w:val="20"/>
              </w:rPr>
              <w:t>Hourly Wage</w:t>
            </w:r>
          </w:p>
        </w:tc>
        <w:tc>
          <w:tcPr>
            <w:tcW w:w="1926" w:type="dxa"/>
            <w:shd w:val="clear" w:color="auto" w:fill="auto"/>
          </w:tcPr>
          <w:p w:rsidR="00C06B2D" w:rsidRPr="007244F5" w:rsidP="002A0C48" w14:paraId="0DBF4DA2" w14:textId="77777777">
            <w:pPr>
              <w:rPr>
                <w:b/>
                <w:sz w:val="20"/>
                <w:szCs w:val="20"/>
              </w:rPr>
            </w:pPr>
            <w:r w:rsidRPr="007244F5">
              <w:rPr>
                <w:b/>
                <w:sz w:val="20"/>
                <w:szCs w:val="20"/>
              </w:rPr>
              <w:t>Total Respondent Costs</w:t>
            </w:r>
          </w:p>
        </w:tc>
      </w:tr>
      <w:tr w14:paraId="7A201768" w14:textId="77777777" w:rsidTr="00B86DFA">
        <w:tblPrEx>
          <w:tblW w:w="0" w:type="auto"/>
          <w:tblInd w:w="828" w:type="dxa"/>
          <w:tblLook w:val="01E0"/>
        </w:tblPrEx>
        <w:tc>
          <w:tcPr>
            <w:tcW w:w="2160" w:type="dxa"/>
            <w:shd w:val="clear" w:color="auto" w:fill="auto"/>
          </w:tcPr>
          <w:p w:rsidR="005C699E" w:rsidRPr="007244F5" w:rsidP="002A0C48" w14:paraId="6CD94465" w14:textId="77777777">
            <w:pPr>
              <w:rPr>
                <w:sz w:val="20"/>
                <w:szCs w:val="20"/>
              </w:rPr>
            </w:pPr>
            <w:r w:rsidRPr="007244F5">
              <w:rPr>
                <w:sz w:val="20"/>
                <w:szCs w:val="20"/>
              </w:rPr>
              <w:t>Lawyer</w:t>
            </w:r>
          </w:p>
        </w:tc>
        <w:tc>
          <w:tcPr>
            <w:tcW w:w="1800" w:type="dxa"/>
            <w:shd w:val="clear" w:color="auto" w:fill="auto"/>
          </w:tcPr>
          <w:p w:rsidR="005C699E" w:rsidRPr="007244F5" w:rsidP="002A0C48" w14:paraId="6621C7E8" w14:textId="70ADCB51">
            <w:pPr>
              <w:rPr>
                <w:sz w:val="20"/>
                <w:szCs w:val="20"/>
              </w:rPr>
            </w:pPr>
            <w:r>
              <w:rPr>
                <w:sz w:val="20"/>
                <w:szCs w:val="20"/>
              </w:rPr>
              <w:t>94.4</w:t>
            </w:r>
          </w:p>
        </w:tc>
        <w:tc>
          <w:tcPr>
            <w:tcW w:w="2394" w:type="dxa"/>
            <w:shd w:val="clear" w:color="auto" w:fill="auto"/>
          </w:tcPr>
          <w:p w:rsidR="005C699E" w:rsidRPr="00170010" w:rsidP="002A0C48" w14:paraId="38FEFACE" w14:textId="39357292">
            <w:pPr>
              <w:rPr>
                <w:sz w:val="20"/>
                <w:szCs w:val="20"/>
              </w:rPr>
            </w:pPr>
            <w:r w:rsidRPr="00170010">
              <w:rPr>
                <w:sz w:val="20"/>
                <w:szCs w:val="20"/>
              </w:rPr>
              <w:t>$</w:t>
            </w:r>
            <w:r w:rsidRPr="00D174D8" w:rsidR="009C30D4">
              <w:rPr>
                <w:sz w:val="20"/>
                <w:szCs w:val="20"/>
              </w:rPr>
              <w:t xml:space="preserve">169.68 </w:t>
            </w:r>
          </w:p>
        </w:tc>
        <w:tc>
          <w:tcPr>
            <w:tcW w:w="1926" w:type="dxa"/>
            <w:shd w:val="clear" w:color="auto" w:fill="auto"/>
          </w:tcPr>
          <w:p w:rsidR="005C699E" w:rsidRPr="007244F5" w:rsidP="002A0C48" w14:paraId="28E87D6A" w14:textId="75553DB7">
            <w:pPr>
              <w:jc w:val="right"/>
              <w:rPr>
                <w:sz w:val="20"/>
                <w:szCs w:val="20"/>
              </w:rPr>
            </w:pPr>
            <w:r>
              <w:rPr>
                <w:sz w:val="20"/>
                <w:szCs w:val="20"/>
              </w:rPr>
              <w:t>$</w:t>
            </w:r>
            <w:r w:rsidR="00AE7289">
              <w:rPr>
                <w:sz w:val="20"/>
                <w:szCs w:val="20"/>
              </w:rPr>
              <w:t>16,017</w:t>
            </w:r>
            <w:r w:rsidR="00473F8B">
              <w:rPr>
                <w:sz w:val="20"/>
                <w:szCs w:val="20"/>
              </w:rPr>
              <w:t>.79</w:t>
            </w:r>
          </w:p>
        </w:tc>
      </w:tr>
      <w:tr w14:paraId="69C3078A" w14:textId="77777777" w:rsidTr="00B86DFA">
        <w:tblPrEx>
          <w:tblW w:w="0" w:type="auto"/>
          <w:tblInd w:w="828" w:type="dxa"/>
          <w:tblLook w:val="01E0"/>
        </w:tblPrEx>
        <w:tc>
          <w:tcPr>
            <w:tcW w:w="2160" w:type="dxa"/>
            <w:shd w:val="clear" w:color="auto" w:fill="auto"/>
          </w:tcPr>
          <w:p w:rsidR="003D04F6" w:rsidRPr="007244F5" w:rsidP="002A0C48" w14:paraId="3C2EF10F" w14:textId="77777777">
            <w:pPr>
              <w:rPr>
                <w:sz w:val="20"/>
                <w:szCs w:val="20"/>
              </w:rPr>
            </w:pPr>
            <w:r w:rsidRPr="007244F5">
              <w:rPr>
                <w:sz w:val="20"/>
                <w:szCs w:val="20"/>
              </w:rPr>
              <w:t>Microbiologist</w:t>
            </w:r>
          </w:p>
        </w:tc>
        <w:tc>
          <w:tcPr>
            <w:tcW w:w="1800" w:type="dxa"/>
            <w:shd w:val="clear" w:color="auto" w:fill="auto"/>
          </w:tcPr>
          <w:p w:rsidR="003D04F6" w:rsidRPr="007244F5" w:rsidP="002A0C48" w14:paraId="6FE2A516" w14:textId="565DC614">
            <w:pPr>
              <w:rPr>
                <w:sz w:val="20"/>
                <w:szCs w:val="20"/>
              </w:rPr>
            </w:pPr>
            <w:r>
              <w:rPr>
                <w:sz w:val="20"/>
                <w:szCs w:val="20"/>
              </w:rPr>
              <w:t>294</w:t>
            </w:r>
          </w:p>
        </w:tc>
        <w:tc>
          <w:tcPr>
            <w:tcW w:w="2394" w:type="dxa"/>
            <w:shd w:val="clear" w:color="auto" w:fill="auto"/>
          </w:tcPr>
          <w:p w:rsidR="003D04F6" w:rsidRPr="00170010" w:rsidP="002A0C48" w14:paraId="64E4389F" w14:textId="483F1CC0">
            <w:pPr>
              <w:rPr>
                <w:sz w:val="20"/>
                <w:szCs w:val="20"/>
              </w:rPr>
            </w:pPr>
            <w:r w:rsidRPr="00170010">
              <w:rPr>
                <w:sz w:val="20"/>
                <w:szCs w:val="20"/>
              </w:rPr>
              <w:t>$</w:t>
            </w:r>
            <w:r w:rsidRPr="00C50BB8" w:rsidR="00952F55">
              <w:rPr>
                <w:sz w:val="20"/>
                <w:szCs w:val="20"/>
              </w:rPr>
              <w:t xml:space="preserve">89.78 </w:t>
            </w:r>
          </w:p>
        </w:tc>
        <w:tc>
          <w:tcPr>
            <w:tcW w:w="1926" w:type="dxa"/>
            <w:shd w:val="clear" w:color="auto" w:fill="auto"/>
          </w:tcPr>
          <w:p w:rsidR="003D04F6" w:rsidRPr="007244F5" w:rsidP="002A0C48" w14:paraId="225D20E0" w14:textId="1AA95494">
            <w:pPr>
              <w:jc w:val="right"/>
              <w:rPr>
                <w:sz w:val="20"/>
                <w:szCs w:val="20"/>
              </w:rPr>
            </w:pPr>
            <w:r>
              <w:rPr>
                <w:sz w:val="20"/>
                <w:szCs w:val="20"/>
              </w:rPr>
              <w:t>$</w:t>
            </w:r>
            <w:r w:rsidR="00473F8B">
              <w:rPr>
                <w:sz w:val="20"/>
                <w:szCs w:val="20"/>
              </w:rPr>
              <w:t>26,</w:t>
            </w:r>
            <w:r w:rsidR="00176231">
              <w:rPr>
                <w:sz w:val="20"/>
                <w:szCs w:val="20"/>
              </w:rPr>
              <w:t>395.32</w:t>
            </w:r>
          </w:p>
        </w:tc>
      </w:tr>
      <w:tr w14:paraId="3DF8ECA8" w14:textId="77777777" w:rsidTr="00B86DFA">
        <w:tblPrEx>
          <w:tblW w:w="0" w:type="auto"/>
          <w:tblInd w:w="828" w:type="dxa"/>
          <w:tblLook w:val="01E0"/>
        </w:tblPrEx>
        <w:tc>
          <w:tcPr>
            <w:tcW w:w="2160" w:type="dxa"/>
            <w:shd w:val="clear" w:color="auto" w:fill="auto"/>
          </w:tcPr>
          <w:p w:rsidR="00235FDE" w:rsidRPr="007244F5" w:rsidP="002A0C48" w14:paraId="7A0534FC" w14:textId="49EAB536">
            <w:pPr>
              <w:rPr>
                <w:sz w:val="20"/>
                <w:szCs w:val="20"/>
              </w:rPr>
            </w:pPr>
            <w:r w:rsidRPr="007244F5">
              <w:rPr>
                <w:sz w:val="20"/>
                <w:szCs w:val="20"/>
              </w:rPr>
              <w:t>Food Scientist and Technologist</w:t>
            </w:r>
          </w:p>
        </w:tc>
        <w:tc>
          <w:tcPr>
            <w:tcW w:w="1800" w:type="dxa"/>
            <w:shd w:val="clear" w:color="auto" w:fill="auto"/>
          </w:tcPr>
          <w:p w:rsidR="00235FDE" w:rsidRPr="00304F1C" w:rsidP="002A0C48" w14:paraId="34CEB16A" w14:textId="05780ADF">
            <w:pPr>
              <w:rPr>
                <w:sz w:val="20"/>
                <w:szCs w:val="20"/>
              </w:rPr>
            </w:pPr>
            <w:r w:rsidRPr="00270D82">
              <w:rPr>
                <w:sz w:val="20"/>
                <w:szCs w:val="20"/>
              </w:rPr>
              <w:t>19,508</w:t>
            </w:r>
          </w:p>
        </w:tc>
        <w:tc>
          <w:tcPr>
            <w:tcW w:w="2394" w:type="dxa"/>
            <w:shd w:val="clear" w:color="auto" w:fill="auto"/>
          </w:tcPr>
          <w:p w:rsidR="00235FDE" w:rsidRPr="00170010" w:rsidP="002A0C48" w14:paraId="787911BC" w14:textId="20B7FF1E">
            <w:pPr>
              <w:rPr>
                <w:sz w:val="20"/>
                <w:szCs w:val="20"/>
              </w:rPr>
            </w:pPr>
            <w:r w:rsidRPr="00170010">
              <w:rPr>
                <w:sz w:val="20"/>
                <w:szCs w:val="20"/>
              </w:rPr>
              <w:t>$</w:t>
            </w:r>
            <w:r w:rsidRPr="00C50BB8" w:rsidR="00952F55">
              <w:rPr>
                <w:sz w:val="20"/>
                <w:szCs w:val="20"/>
              </w:rPr>
              <w:t>84.96</w:t>
            </w:r>
          </w:p>
        </w:tc>
        <w:tc>
          <w:tcPr>
            <w:tcW w:w="1926" w:type="dxa"/>
            <w:shd w:val="clear" w:color="auto" w:fill="auto"/>
          </w:tcPr>
          <w:p w:rsidR="00235FDE" w:rsidRPr="007244F5" w:rsidP="002A0C48" w14:paraId="57AA5E85" w14:textId="56E8CE05">
            <w:pPr>
              <w:jc w:val="right"/>
              <w:rPr>
                <w:sz w:val="20"/>
                <w:szCs w:val="20"/>
              </w:rPr>
            </w:pPr>
            <w:r>
              <w:rPr>
                <w:sz w:val="20"/>
                <w:szCs w:val="20"/>
              </w:rPr>
              <w:t>$</w:t>
            </w:r>
            <w:r w:rsidR="00176231">
              <w:rPr>
                <w:sz w:val="20"/>
                <w:szCs w:val="20"/>
              </w:rPr>
              <w:t>1,65</w:t>
            </w:r>
            <w:r w:rsidR="00BD207D">
              <w:rPr>
                <w:sz w:val="20"/>
                <w:szCs w:val="20"/>
              </w:rPr>
              <w:t>7</w:t>
            </w:r>
            <w:r w:rsidR="00176231">
              <w:rPr>
                <w:sz w:val="20"/>
                <w:szCs w:val="20"/>
              </w:rPr>
              <w:t>,</w:t>
            </w:r>
            <w:r w:rsidR="00BD207D">
              <w:rPr>
                <w:sz w:val="20"/>
                <w:szCs w:val="20"/>
              </w:rPr>
              <w:t>399</w:t>
            </w:r>
            <w:r w:rsidR="00C50BB8">
              <w:rPr>
                <w:sz w:val="20"/>
                <w:szCs w:val="20"/>
              </w:rPr>
              <w:t>.</w:t>
            </w:r>
            <w:r w:rsidR="00BD207D">
              <w:rPr>
                <w:sz w:val="20"/>
                <w:szCs w:val="20"/>
              </w:rPr>
              <w:t>68</w:t>
            </w:r>
            <w:r w:rsidR="00C50BB8">
              <w:rPr>
                <w:sz w:val="20"/>
                <w:szCs w:val="20"/>
              </w:rPr>
              <w:t xml:space="preserve"> </w:t>
            </w:r>
          </w:p>
        </w:tc>
      </w:tr>
      <w:tr w14:paraId="6F1ADE53" w14:textId="77777777" w:rsidTr="00B86DFA">
        <w:tblPrEx>
          <w:tblW w:w="0" w:type="auto"/>
          <w:tblInd w:w="828" w:type="dxa"/>
          <w:tblLook w:val="01E0"/>
        </w:tblPrEx>
        <w:tc>
          <w:tcPr>
            <w:tcW w:w="6354" w:type="dxa"/>
            <w:gridSpan w:val="3"/>
            <w:shd w:val="clear" w:color="auto" w:fill="auto"/>
          </w:tcPr>
          <w:p w:rsidR="003740BC" w:rsidRPr="007244F5" w:rsidP="002A0C48" w14:paraId="119BC8CB" w14:textId="77777777">
            <w:pPr>
              <w:rPr>
                <w:b/>
                <w:sz w:val="20"/>
                <w:szCs w:val="20"/>
              </w:rPr>
            </w:pPr>
            <w:r w:rsidRPr="007244F5">
              <w:rPr>
                <w:b/>
                <w:sz w:val="20"/>
                <w:szCs w:val="20"/>
              </w:rPr>
              <w:t>Total</w:t>
            </w:r>
          </w:p>
        </w:tc>
        <w:tc>
          <w:tcPr>
            <w:tcW w:w="1926" w:type="dxa"/>
            <w:shd w:val="clear" w:color="auto" w:fill="auto"/>
          </w:tcPr>
          <w:p w:rsidR="003740BC" w:rsidRPr="007244F5" w:rsidP="002A0C48" w14:paraId="2072CC78" w14:textId="4B809DB7">
            <w:pPr>
              <w:jc w:val="right"/>
              <w:rPr>
                <w:b/>
                <w:sz w:val="20"/>
                <w:szCs w:val="20"/>
              </w:rPr>
            </w:pPr>
            <w:r>
              <w:rPr>
                <w:b/>
                <w:sz w:val="20"/>
                <w:szCs w:val="20"/>
              </w:rPr>
              <w:t>$</w:t>
            </w:r>
            <w:bookmarkStart w:id="0" w:name="_Hlk86169629"/>
            <w:r w:rsidR="00B7022E">
              <w:t xml:space="preserve"> </w:t>
            </w:r>
            <w:r w:rsidRPr="00270D82" w:rsidR="00B7022E">
              <w:rPr>
                <w:rStyle w:val="cf01"/>
                <w:rFonts w:ascii="Times New Roman" w:hAnsi="Times New Roman" w:cs="Times New Roman"/>
                <w:b/>
                <w:bCs/>
                <w:sz w:val="20"/>
                <w:szCs w:val="20"/>
              </w:rPr>
              <w:t>1,699,812.79</w:t>
            </w:r>
            <w:r w:rsidR="00B7022E">
              <w:rPr>
                <w:b/>
                <w:sz w:val="20"/>
                <w:szCs w:val="20"/>
              </w:rPr>
              <w:t xml:space="preserve"> </w:t>
            </w:r>
            <w:bookmarkEnd w:id="0"/>
          </w:p>
        </w:tc>
      </w:tr>
    </w:tbl>
    <w:p w:rsidR="003740BC" w:rsidP="002A0C48" w14:paraId="74D001F9" w14:textId="77777777">
      <w:pPr>
        <w:pStyle w:val="BodyText2"/>
        <w:ind w:left="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394"/>
        <w:gridCol w:w="1926"/>
      </w:tblGrid>
      <w:tr w14:paraId="77CEA701" w14:textId="77777777" w:rsidTr="00041030">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280" w:type="dxa"/>
            <w:gridSpan w:val="4"/>
            <w:shd w:val="clear" w:color="auto" w:fill="auto"/>
          </w:tcPr>
          <w:p w:rsidR="005C699E" w:rsidRPr="001D4F89" w:rsidP="002A0C48" w14:paraId="6AE895FB" w14:textId="7E00E374">
            <w:pPr>
              <w:jc w:val="center"/>
              <w:rPr>
                <w:sz w:val="20"/>
                <w:szCs w:val="20"/>
              </w:rPr>
            </w:pPr>
            <w:r>
              <w:rPr>
                <w:sz w:val="20"/>
                <w:szCs w:val="20"/>
              </w:rPr>
              <w:t>Table 4</w:t>
            </w:r>
            <w:r w:rsidR="006F401F">
              <w:rPr>
                <w:sz w:val="20"/>
                <w:szCs w:val="20"/>
              </w:rPr>
              <w:t>--</w:t>
            </w:r>
            <w:r>
              <w:rPr>
                <w:sz w:val="20"/>
                <w:szCs w:val="20"/>
              </w:rPr>
              <w:t>Estimated Annual Recordkeeping Burden Cost</w:t>
            </w:r>
          </w:p>
        </w:tc>
      </w:tr>
      <w:tr w14:paraId="7328876B" w14:textId="77777777" w:rsidTr="00041030">
        <w:tblPrEx>
          <w:tblW w:w="0" w:type="auto"/>
          <w:tblInd w:w="828" w:type="dxa"/>
          <w:tblLook w:val="01E0"/>
        </w:tblPrEx>
        <w:tc>
          <w:tcPr>
            <w:tcW w:w="2160" w:type="dxa"/>
            <w:shd w:val="clear" w:color="auto" w:fill="auto"/>
          </w:tcPr>
          <w:p w:rsidR="005C699E" w:rsidRPr="001D4F89" w:rsidP="002A0C48" w14:paraId="4DE9D610" w14:textId="77777777">
            <w:pPr>
              <w:rPr>
                <w:b/>
                <w:sz w:val="20"/>
                <w:szCs w:val="20"/>
              </w:rPr>
            </w:pPr>
            <w:r w:rsidRPr="001D4F89">
              <w:rPr>
                <w:b/>
                <w:sz w:val="20"/>
                <w:szCs w:val="20"/>
              </w:rPr>
              <w:t>Type of Respondent</w:t>
            </w:r>
          </w:p>
        </w:tc>
        <w:tc>
          <w:tcPr>
            <w:tcW w:w="1800" w:type="dxa"/>
            <w:shd w:val="clear" w:color="auto" w:fill="auto"/>
          </w:tcPr>
          <w:p w:rsidR="005C699E" w:rsidRPr="001D4F89" w:rsidP="002A0C48" w14:paraId="1EC5F1AA" w14:textId="77777777">
            <w:pPr>
              <w:rPr>
                <w:b/>
                <w:sz w:val="20"/>
                <w:szCs w:val="20"/>
              </w:rPr>
            </w:pPr>
            <w:r w:rsidRPr="001D4F89">
              <w:rPr>
                <w:b/>
                <w:sz w:val="20"/>
                <w:szCs w:val="20"/>
              </w:rPr>
              <w:t>Total Burden Hours</w:t>
            </w:r>
          </w:p>
        </w:tc>
        <w:tc>
          <w:tcPr>
            <w:tcW w:w="2394" w:type="dxa"/>
            <w:shd w:val="clear" w:color="auto" w:fill="auto"/>
          </w:tcPr>
          <w:p w:rsidR="005C699E" w:rsidRPr="001D4F89" w:rsidP="002A0C48" w14:paraId="2AD4D609" w14:textId="77777777">
            <w:pPr>
              <w:rPr>
                <w:b/>
                <w:sz w:val="20"/>
                <w:szCs w:val="20"/>
              </w:rPr>
            </w:pPr>
            <w:r w:rsidRPr="001D4F89">
              <w:rPr>
                <w:b/>
                <w:sz w:val="20"/>
                <w:szCs w:val="20"/>
              </w:rPr>
              <w:t>Hourly Wage Rate</w:t>
            </w:r>
          </w:p>
        </w:tc>
        <w:tc>
          <w:tcPr>
            <w:tcW w:w="1926" w:type="dxa"/>
            <w:shd w:val="clear" w:color="auto" w:fill="auto"/>
          </w:tcPr>
          <w:p w:rsidR="005C699E" w:rsidRPr="001D4F89" w:rsidP="002A0C48" w14:paraId="4223D17D" w14:textId="77777777">
            <w:pPr>
              <w:rPr>
                <w:b/>
                <w:sz w:val="20"/>
                <w:szCs w:val="20"/>
              </w:rPr>
            </w:pPr>
            <w:r w:rsidRPr="001D4F89">
              <w:rPr>
                <w:b/>
                <w:sz w:val="20"/>
                <w:szCs w:val="20"/>
              </w:rPr>
              <w:t>Total Respondent Costs</w:t>
            </w:r>
          </w:p>
        </w:tc>
      </w:tr>
      <w:tr w14:paraId="76264D0A" w14:textId="77777777" w:rsidTr="00041030">
        <w:tblPrEx>
          <w:tblW w:w="0" w:type="auto"/>
          <w:tblInd w:w="828" w:type="dxa"/>
          <w:tblLook w:val="01E0"/>
        </w:tblPrEx>
        <w:tc>
          <w:tcPr>
            <w:tcW w:w="2160" w:type="dxa"/>
            <w:shd w:val="clear" w:color="auto" w:fill="auto"/>
          </w:tcPr>
          <w:p w:rsidR="005C699E" w:rsidRPr="001D4F89" w:rsidP="002A0C48" w14:paraId="74DFF9FF" w14:textId="77777777">
            <w:pPr>
              <w:rPr>
                <w:sz w:val="20"/>
                <w:szCs w:val="20"/>
              </w:rPr>
            </w:pPr>
            <w:r w:rsidRPr="001D4F89">
              <w:rPr>
                <w:sz w:val="20"/>
                <w:szCs w:val="20"/>
              </w:rPr>
              <w:t>Microbiologist</w:t>
            </w:r>
          </w:p>
        </w:tc>
        <w:tc>
          <w:tcPr>
            <w:tcW w:w="1800" w:type="dxa"/>
            <w:shd w:val="clear" w:color="auto" w:fill="auto"/>
          </w:tcPr>
          <w:p w:rsidR="005C699E" w:rsidRPr="001D4F89" w:rsidP="002A0C48" w14:paraId="4F869BA7" w14:textId="31FE809C">
            <w:pPr>
              <w:rPr>
                <w:sz w:val="20"/>
                <w:szCs w:val="20"/>
              </w:rPr>
            </w:pPr>
            <w:r>
              <w:rPr>
                <w:sz w:val="20"/>
                <w:szCs w:val="20"/>
              </w:rPr>
              <w:t>88</w:t>
            </w:r>
          </w:p>
        </w:tc>
        <w:tc>
          <w:tcPr>
            <w:tcW w:w="2394" w:type="dxa"/>
            <w:shd w:val="clear" w:color="auto" w:fill="auto"/>
          </w:tcPr>
          <w:p w:rsidR="005C699E" w:rsidRPr="00170010" w:rsidP="002A0C48" w14:paraId="7A0E44C9" w14:textId="4B2A5800">
            <w:pPr>
              <w:rPr>
                <w:sz w:val="20"/>
                <w:szCs w:val="20"/>
              </w:rPr>
            </w:pPr>
            <w:r w:rsidRPr="00170010">
              <w:rPr>
                <w:sz w:val="20"/>
                <w:szCs w:val="20"/>
              </w:rPr>
              <w:t>$</w:t>
            </w:r>
            <w:r w:rsidRPr="00D174D8" w:rsidR="00952F55">
              <w:rPr>
                <w:sz w:val="20"/>
                <w:szCs w:val="20"/>
              </w:rPr>
              <w:t xml:space="preserve">89.78 </w:t>
            </w:r>
          </w:p>
        </w:tc>
        <w:tc>
          <w:tcPr>
            <w:tcW w:w="1926" w:type="dxa"/>
            <w:shd w:val="clear" w:color="auto" w:fill="auto"/>
          </w:tcPr>
          <w:p w:rsidR="005C699E" w:rsidRPr="001D4F89" w:rsidP="002A0C48" w14:paraId="1071BB2C" w14:textId="72DFB433">
            <w:pPr>
              <w:jc w:val="right"/>
              <w:rPr>
                <w:sz w:val="20"/>
                <w:szCs w:val="20"/>
              </w:rPr>
            </w:pPr>
            <w:r>
              <w:rPr>
                <w:sz w:val="20"/>
                <w:szCs w:val="20"/>
              </w:rPr>
              <w:t>$7,</w:t>
            </w:r>
            <w:r w:rsidR="00293E83">
              <w:rPr>
                <w:sz w:val="20"/>
                <w:szCs w:val="20"/>
              </w:rPr>
              <w:t>900.64</w:t>
            </w:r>
          </w:p>
        </w:tc>
      </w:tr>
      <w:tr w14:paraId="2D8C2D87" w14:textId="77777777" w:rsidTr="00041030">
        <w:tblPrEx>
          <w:tblW w:w="0" w:type="auto"/>
          <w:tblInd w:w="828" w:type="dxa"/>
          <w:tblLook w:val="01E0"/>
        </w:tblPrEx>
        <w:tc>
          <w:tcPr>
            <w:tcW w:w="2160" w:type="dxa"/>
            <w:shd w:val="clear" w:color="auto" w:fill="auto"/>
          </w:tcPr>
          <w:p w:rsidR="005C699E" w:rsidRPr="001D4F89" w:rsidP="002A0C48" w14:paraId="36667278" w14:textId="4C36A831">
            <w:pPr>
              <w:rPr>
                <w:sz w:val="20"/>
                <w:szCs w:val="20"/>
              </w:rPr>
            </w:pPr>
            <w:r w:rsidRPr="001D4F89">
              <w:rPr>
                <w:sz w:val="20"/>
                <w:szCs w:val="20"/>
              </w:rPr>
              <w:t>Food Scientist and Technologist</w:t>
            </w:r>
          </w:p>
        </w:tc>
        <w:tc>
          <w:tcPr>
            <w:tcW w:w="1800" w:type="dxa"/>
            <w:shd w:val="clear" w:color="auto" w:fill="auto"/>
          </w:tcPr>
          <w:p w:rsidR="005C699E" w:rsidRPr="001D4F89" w:rsidP="002A0C48" w14:paraId="1342268F" w14:textId="1A5B3CF4">
            <w:pPr>
              <w:rPr>
                <w:sz w:val="20"/>
                <w:szCs w:val="20"/>
              </w:rPr>
            </w:pPr>
            <w:r w:rsidRPr="00270D82">
              <w:rPr>
                <w:sz w:val="20"/>
                <w:szCs w:val="20"/>
              </w:rPr>
              <w:t>145,241</w:t>
            </w:r>
          </w:p>
        </w:tc>
        <w:tc>
          <w:tcPr>
            <w:tcW w:w="2394" w:type="dxa"/>
            <w:shd w:val="clear" w:color="auto" w:fill="auto"/>
          </w:tcPr>
          <w:p w:rsidR="005C699E" w:rsidRPr="00170010" w:rsidP="002A0C48" w14:paraId="6BCE01EE" w14:textId="5A6EE351">
            <w:pPr>
              <w:rPr>
                <w:sz w:val="20"/>
                <w:szCs w:val="20"/>
              </w:rPr>
            </w:pPr>
            <w:r w:rsidRPr="00170010">
              <w:rPr>
                <w:sz w:val="20"/>
                <w:szCs w:val="20"/>
              </w:rPr>
              <w:t>$</w:t>
            </w:r>
            <w:r w:rsidRPr="00D174D8" w:rsidR="00952F55">
              <w:rPr>
                <w:sz w:val="20"/>
                <w:szCs w:val="20"/>
              </w:rPr>
              <w:t>84.96</w:t>
            </w:r>
          </w:p>
        </w:tc>
        <w:tc>
          <w:tcPr>
            <w:tcW w:w="1926" w:type="dxa"/>
            <w:shd w:val="clear" w:color="auto" w:fill="auto"/>
          </w:tcPr>
          <w:p w:rsidR="005C699E" w:rsidRPr="001D4F89" w:rsidP="002A0C48" w14:paraId="592CFA53" w14:textId="432BAFB1">
            <w:pPr>
              <w:jc w:val="right"/>
              <w:rPr>
                <w:sz w:val="20"/>
                <w:szCs w:val="20"/>
              </w:rPr>
            </w:pPr>
            <w:r>
              <w:rPr>
                <w:sz w:val="20"/>
                <w:szCs w:val="20"/>
              </w:rPr>
              <w:t>$</w:t>
            </w:r>
            <w:r w:rsidR="00AF3E08">
              <w:rPr>
                <w:sz w:val="20"/>
                <w:szCs w:val="20"/>
              </w:rPr>
              <w:t>12,339,675.36</w:t>
            </w:r>
          </w:p>
        </w:tc>
      </w:tr>
      <w:tr w14:paraId="2DE38716" w14:textId="77777777" w:rsidTr="00041030">
        <w:tblPrEx>
          <w:tblW w:w="0" w:type="auto"/>
          <w:tblInd w:w="828" w:type="dxa"/>
          <w:tblLook w:val="01E0"/>
        </w:tblPrEx>
        <w:tc>
          <w:tcPr>
            <w:tcW w:w="6354" w:type="dxa"/>
            <w:gridSpan w:val="3"/>
            <w:shd w:val="clear" w:color="auto" w:fill="auto"/>
          </w:tcPr>
          <w:p w:rsidR="005C699E" w:rsidRPr="001D4F89" w:rsidP="002A0C48" w14:paraId="75BB52AE" w14:textId="77777777">
            <w:pPr>
              <w:rPr>
                <w:b/>
                <w:sz w:val="20"/>
                <w:szCs w:val="20"/>
              </w:rPr>
            </w:pPr>
            <w:r w:rsidRPr="001D4F89">
              <w:rPr>
                <w:b/>
                <w:sz w:val="20"/>
                <w:szCs w:val="20"/>
              </w:rPr>
              <w:t>Total</w:t>
            </w:r>
          </w:p>
        </w:tc>
        <w:tc>
          <w:tcPr>
            <w:tcW w:w="1926" w:type="dxa"/>
            <w:shd w:val="clear" w:color="auto" w:fill="auto"/>
          </w:tcPr>
          <w:p w:rsidR="005C699E" w:rsidRPr="001D4F89" w:rsidP="002A0C48" w14:paraId="2E5FD7B8" w14:textId="230B73D1">
            <w:pPr>
              <w:jc w:val="right"/>
              <w:rPr>
                <w:b/>
                <w:sz w:val="20"/>
                <w:szCs w:val="20"/>
              </w:rPr>
            </w:pPr>
            <w:r>
              <w:rPr>
                <w:b/>
                <w:sz w:val="20"/>
                <w:szCs w:val="20"/>
              </w:rPr>
              <w:t>$</w:t>
            </w:r>
            <w:r w:rsidR="00535B86">
              <w:rPr>
                <w:b/>
                <w:sz w:val="20"/>
                <w:szCs w:val="20"/>
              </w:rPr>
              <w:t>12,347,576</w:t>
            </w:r>
          </w:p>
        </w:tc>
      </w:tr>
    </w:tbl>
    <w:p w:rsidR="004C6979" w:rsidRPr="004C6979" w:rsidP="002A0C48" w14:paraId="0CC21749" w14:textId="77777777">
      <w:pPr>
        <w:numPr>
          <w:ilvl w:val="0"/>
          <w:numId w:val="1"/>
        </w:numPr>
        <w:tabs>
          <w:tab w:val="clear" w:pos="720"/>
        </w:tabs>
        <w:spacing w:before="100" w:beforeAutospacing="1" w:after="100" w:afterAutospacing="1"/>
        <w:rPr>
          <w:u w:val="single"/>
        </w:rPr>
      </w:pPr>
      <w:r w:rsidRPr="004C6979">
        <w:rPr>
          <w:u w:val="single"/>
        </w:rPr>
        <w:t>Estimates of Other Total Annual Cost</w:t>
      </w:r>
      <w:r w:rsidR="007C75B1">
        <w:rPr>
          <w:u w:val="single"/>
        </w:rPr>
        <w:t>s</w:t>
      </w:r>
      <w:r w:rsidRPr="004C6979">
        <w:rPr>
          <w:u w:val="single"/>
        </w:rPr>
        <w:t xml:space="preserve"> to Respondents and</w:t>
      </w:r>
      <w:r w:rsidR="00350523">
        <w:rPr>
          <w:u w:val="single"/>
        </w:rPr>
        <w:t>/or Recordkeepers/Capital Costs</w:t>
      </w:r>
    </w:p>
    <w:p w:rsidR="00350523" w:rsidP="002A0C48" w14:paraId="0D03F928" w14:textId="790D24EB">
      <w:pPr>
        <w:ind w:left="720"/>
      </w:pPr>
      <w:r>
        <w:t xml:space="preserve">There </w:t>
      </w:r>
      <w:r>
        <w:t>are</w:t>
      </w:r>
      <w:r>
        <w:t xml:space="preserve"> no capital, start-up, operating</w:t>
      </w:r>
      <w:r w:rsidR="00BF5C69">
        <w:t>,</w:t>
      </w:r>
      <w:r>
        <w:t xml:space="preserve"> or maintenance costs associated with this information collection.</w:t>
      </w:r>
    </w:p>
    <w:p w:rsidR="004C6979" w:rsidRPr="004C6979" w:rsidP="002A0C48" w14:paraId="6C7A1865" w14:textId="77777777">
      <w:pPr>
        <w:numPr>
          <w:ilvl w:val="0"/>
          <w:numId w:val="1"/>
        </w:numPr>
        <w:tabs>
          <w:tab w:val="clear" w:pos="720"/>
        </w:tabs>
        <w:spacing w:before="100" w:beforeAutospacing="1" w:after="100" w:afterAutospacing="1"/>
        <w:rPr>
          <w:u w:val="single"/>
        </w:rPr>
      </w:pPr>
      <w:r w:rsidRPr="004C6979">
        <w:rPr>
          <w:u w:val="single"/>
        </w:rPr>
        <w:t>Annualized Cost to the Federal Government</w:t>
      </w:r>
    </w:p>
    <w:p w:rsidR="004648E0" w:rsidP="00270D82" w14:paraId="575A120F" w14:textId="08C4C94B">
      <w:pPr>
        <w:ind w:left="720"/>
        <w:rPr>
          <w:rFonts w:eastAsia="Calibri"/>
        </w:rPr>
      </w:pPr>
      <w:r>
        <w:rPr>
          <w:rFonts w:eastAsia="Calibri"/>
        </w:rPr>
        <w:t>Implementing</w:t>
      </w:r>
      <w:r w:rsidR="00956275">
        <w:rPr>
          <w:rFonts w:eastAsia="Calibri"/>
        </w:rPr>
        <w:t xml:space="preserve"> the</w:t>
      </w:r>
      <w:r>
        <w:rPr>
          <w:rFonts w:eastAsia="Calibri"/>
        </w:rPr>
        <w:t xml:space="preserve"> </w:t>
      </w:r>
      <w:r w:rsidR="00956275">
        <w:rPr>
          <w:rFonts w:eastAsia="Calibri"/>
        </w:rPr>
        <w:t>l</w:t>
      </w:r>
      <w:r>
        <w:rPr>
          <w:rFonts w:eastAsia="Calibri"/>
        </w:rPr>
        <w:t xml:space="preserve">aboratory </w:t>
      </w:r>
      <w:r w:rsidR="00956275">
        <w:rPr>
          <w:rFonts w:eastAsia="Calibri"/>
        </w:rPr>
        <w:t>a</w:t>
      </w:r>
      <w:r>
        <w:rPr>
          <w:rFonts w:eastAsia="Calibri"/>
        </w:rPr>
        <w:t xml:space="preserve">ccreditation for </w:t>
      </w:r>
      <w:r w:rsidR="00956275">
        <w:rPr>
          <w:rFonts w:eastAsia="Calibri"/>
        </w:rPr>
        <w:t>a</w:t>
      </w:r>
      <w:r>
        <w:rPr>
          <w:rFonts w:eastAsia="Calibri"/>
        </w:rPr>
        <w:t xml:space="preserve">nalyses of </w:t>
      </w:r>
      <w:r w:rsidR="00956275">
        <w:rPr>
          <w:rFonts w:eastAsia="Calibri"/>
        </w:rPr>
        <w:t>f</w:t>
      </w:r>
      <w:r>
        <w:rPr>
          <w:rFonts w:eastAsia="Calibri"/>
        </w:rPr>
        <w:t xml:space="preserve">ood </w:t>
      </w:r>
      <w:r w:rsidR="00956275">
        <w:rPr>
          <w:rFonts w:eastAsia="Calibri"/>
        </w:rPr>
        <w:t xml:space="preserve">program </w:t>
      </w:r>
      <w:r>
        <w:rPr>
          <w:rFonts w:eastAsia="Calibri"/>
        </w:rPr>
        <w:t xml:space="preserve">requires allocating </w:t>
      </w:r>
      <w:r w:rsidR="00920D83">
        <w:rPr>
          <w:rFonts w:eastAsia="Calibri"/>
        </w:rPr>
        <w:t>a</w:t>
      </w:r>
      <w:r>
        <w:rPr>
          <w:rFonts w:eastAsia="Calibri"/>
        </w:rPr>
        <w:t>gency resources to administer the process, including the maintenance of the program, program administration document review</w:t>
      </w:r>
      <w:r w:rsidRPr="00D111B2">
        <w:rPr>
          <w:rFonts w:eastAsia="Calibri"/>
        </w:rPr>
        <w:t>,</w:t>
      </w:r>
      <w:r>
        <w:rPr>
          <w:rFonts w:eastAsia="Calibri"/>
        </w:rPr>
        <w:t xml:space="preserve"> analytical data review, and information technology costs.</w:t>
      </w:r>
      <w:r w:rsidRPr="006B51F0">
        <w:t xml:space="preserve"> </w:t>
      </w:r>
      <w:r>
        <w:rPr>
          <w:rFonts w:eastAsia="Calibri"/>
        </w:rPr>
        <w:t xml:space="preserve">Program </w:t>
      </w:r>
      <w:r w:rsidR="00920D83">
        <w:rPr>
          <w:rFonts w:eastAsia="Calibri"/>
        </w:rPr>
        <w:t>c</w:t>
      </w:r>
      <w:r>
        <w:rPr>
          <w:rFonts w:eastAsia="Calibri"/>
        </w:rPr>
        <w:t>oordinators and laboratory analysts will perform the work.</w:t>
      </w:r>
    </w:p>
    <w:p w:rsidR="004648E0" w:rsidP="004648E0" w14:paraId="35739F05" w14:textId="77777777">
      <w:pPr>
        <w:ind w:left="1440"/>
        <w:rPr>
          <w:rFonts w:eastAsia="Calibri"/>
        </w:rPr>
      </w:pPr>
    </w:p>
    <w:p w:rsidR="004648E0" w:rsidP="00270D82" w14:paraId="2FA846ED" w14:textId="6B72DD74">
      <w:pPr>
        <w:spacing w:after="200"/>
        <w:ind w:left="720"/>
        <w:rPr>
          <w:rFonts w:eastAsia="Calibri"/>
        </w:rPr>
      </w:pPr>
      <w:r w:rsidRPr="008344AF">
        <w:rPr>
          <w:rFonts w:eastAsia="Calibri"/>
        </w:rPr>
        <w:t xml:space="preserve">We base our estimate </w:t>
      </w:r>
      <w:r>
        <w:rPr>
          <w:rFonts w:eastAsia="Calibri"/>
        </w:rPr>
        <w:t xml:space="preserve">for personnel costs </w:t>
      </w:r>
      <w:r w:rsidRPr="008344AF">
        <w:rPr>
          <w:rFonts w:eastAsia="Calibri"/>
        </w:rPr>
        <w:t>on the hourly rate</w:t>
      </w:r>
      <w:r>
        <w:rPr>
          <w:rFonts w:eastAsia="Calibri"/>
        </w:rPr>
        <w:t>s</w:t>
      </w:r>
      <w:r w:rsidRPr="008344AF">
        <w:rPr>
          <w:rFonts w:eastAsia="Calibri"/>
        </w:rPr>
        <w:t xml:space="preserve"> </w:t>
      </w:r>
      <w:r>
        <w:rPr>
          <w:rFonts w:eastAsia="Calibri"/>
        </w:rPr>
        <w:t>for</w:t>
      </w:r>
      <w:r w:rsidRPr="008344AF">
        <w:rPr>
          <w:rFonts w:eastAsia="Calibri"/>
        </w:rPr>
        <w:t xml:space="preserve"> </w:t>
      </w:r>
      <w:r>
        <w:rPr>
          <w:rFonts w:eastAsia="Calibri"/>
        </w:rPr>
        <w:t>two</w:t>
      </w:r>
      <w:r w:rsidRPr="008344AF">
        <w:rPr>
          <w:rFonts w:eastAsia="Calibri"/>
        </w:rPr>
        <w:t xml:space="preserve"> full-time </w:t>
      </w:r>
      <w:r w:rsidR="00DF1F2D">
        <w:rPr>
          <w:rFonts w:eastAsia="Calibri"/>
        </w:rPr>
        <w:t xml:space="preserve">program </w:t>
      </w:r>
      <w:r w:rsidR="00712778">
        <w:rPr>
          <w:rFonts w:eastAsia="Calibri"/>
        </w:rPr>
        <w:t xml:space="preserve">administrative </w:t>
      </w:r>
      <w:r w:rsidRPr="008344AF">
        <w:rPr>
          <w:rFonts w:eastAsia="Calibri"/>
        </w:rPr>
        <w:t>employee</w:t>
      </w:r>
      <w:r>
        <w:rPr>
          <w:rFonts w:eastAsia="Calibri"/>
        </w:rPr>
        <w:t>s</w:t>
      </w:r>
      <w:r w:rsidR="00DF1F2D">
        <w:rPr>
          <w:rFonts w:eastAsia="Calibri"/>
        </w:rPr>
        <w:t xml:space="preserve"> (one GS-14, one GS-13) and the three full time laboratory analysts performing data package reviews (2 GS-12 and one GS-13)</w:t>
      </w:r>
      <w:r w:rsidR="00920D83">
        <w:rPr>
          <w:rFonts w:eastAsia="Calibri"/>
        </w:rPr>
        <w:t xml:space="preserve">.  </w:t>
      </w:r>
      <w:r>
        <w:rPr>
          <w:rFonts w:eastAsia="Calibri"/>
        </w:rPr>
        <w:t>GS levels for the</w:t>
      </w:r>
      <w:r w:rsidR="004309AD">
        <w:rPr>
          <w:rFonts w:eastAsia="Calibri"/>
        </w:rPr>
        <w:t xml:space="preserve"> Program Coordinators and laboratory analysts</w:t>
      </w:r>
      <w:r>
        <w:rPr>
          <w:rFonts w:eastAsia="Calibri"/>
        </w:rPr>
        <w:t xml:space="preserve"> </w:t>
      </w:r>
      <w:r w:rsidR="00920D83">
        <w:rPr>
          <w:rFonts w:eastAsia="Calibri"/>
        </w:rPr>
        <w:t>The</w:t>
      </w:r>
      <w:r w:rsidR="00920D83">
        <w:rPr>
          <w:rFonts w:eastAsia="Calibri"/>
        </w:rPr>
        <w:t xml:space="preserve"> estimates (based on the </w:t>
      </w:r>
      <w:r w:rsidR="00AA1932">
        <w:rPr>
          <w:rFonts w:eastAsia="Calibri"/>
        </w:rPr>
        <w:t>General Schedule locality pay table for Denve</w:t>
      </w:r>
      <w:r w:rsidR="00920D83">
        <w:rPr>
          <w:rFonts w:eastAsia="Calibri"/>
        </w:rPr>
        <w:t>r) are as follows:</w:t>
      </w:r>
      <w:r>
        <w:rPr>
          <w:rFonts w:eastAsia="Calibri"/>
        </w:rPr>
        <w:t xml:space="preserve"> </w:t>
      </w:r>
    </w:p>
    <w:p w:rsidR="004648E0" w:rsidRPr="00EF51B2" w:rsidP="004648E0" w14:paraId="65B5D035" w14:textId="271651B9">
      <w:pPr>
        <w:pStyle w:val="ListParagraph"/>
        <w:numPr>
          <w:ilvl w:val="0"/>
          <w:numId w:val="58"/>
        </w:numPr>
        <w:ind w:left="2520"/>
        <w:rPr>
          <w:rFonts w:eastAsia="Calibri"/>
        </w:rPr>
      </w:pPr>
      <w:r w:rsidRPr="0050033C">
        <w:rPr>
          <w:rFonts w:eastAsia="Calibri"/>
        </w:rPr>
        <w:t xml:space="preserve">Two full-time employees at the </w:t>
      </w:r>
      <w:r w:rsidRPr="00EF51B2">
        <w:rPr>
          <w:rFonts w:eastAsia="Calibri"/>
        </w:rPr>
        <w:t>GS-12/Step 3 level,</w:t>
      </w:r>
      <w:r w:rsidRPr="00FF1860">
        <w:t xml:space="preserve"> </w:t>
      </w:r>
      <w:r w:rsidRPr="0050033C">
        <w:rPr>
          <w:rFonts w:eastAsia="Calibri"/>
        </w:rPr>
        <w:t>which is $4</w:t>
      </w:r>
      <w:r>
        <w:rPr>
          <w:rFonts w:eastAsia="Calibri"/>
        </w:rPr>
        <w:t>9.41</w:t>
      </w:r>
      <w:r w:rsidRPr="00EF51B2">
        <w:rPr>
          <w:rFonts w:eastAsia="Calibri"/>
        </w:rPr>
        <w:t xml:space="preserve"> per hour</w:t>
      </w:r>
    </w:p>
    <w:p w:rsidR="004648E0" w:rsidRPr="002862A2" w:rsidP="004648E0" w14:paraId="0B01607E" w14:textId="77777777">
      <w:pPr>
        <w:pStyle w:val="ListParagraph"/>
        <w:numPr>
          <w:ilvl w:val="0"/>
          <w:numId w:val="58"/>
        </w:numPr>
        <w:ind w:left="2520"/>
        <w:rPr>
          <w:rFonts w:eastAsia="Calibri"/>
        </w:rPr>
      </w:pPr>
      <w:r w:rsidRPr="00775D4A">
        <w:rPr>
          <w:rFonts w:eastAsia="Calibri"/>
        </w:rPr>
        <w:t>Two full-time employees at the GS-1</w:t>
      </w:r>
      <w:r w:rsidRPr="00772BD3">
        <w:rPr>
          <w:rFonts w:eastAsia="Calibri"/>
        </w:rPr>
        <w:t>3</w:t>
      </w:r>
      <w:r w:rsidRPr="001232DA">
        <w:rPr>
          <w:rFonts w:eastAsia="Calibri"/>
        </w:rPr>
        <w:t>/Step 3 level, which is $</w:t>
      </w:r>
      <w:r w:rsidRPr="00C66E32">
        <w:rPr>
          <w:rFonts w:eastAsia="Calibri"/>
        </w:rPr>
        <w:t>5</w:t>
      </w:r>
      <w:r>
        <w:rPr>
          <w:rFonts w:eastAsia="Calibri"/>
        </w:rPr>
        <w:t>8</w:t>
      </w:r>
      <w:r w:rsidRPr="00397165">
        <w:rPr>
          <w:rFonts w:eastAsia="Calibri"/>
        </w:rPr>
        <w:t>.</w:t>
      </w:r>
      <w:r>
        <w:rPr>
          <w:rFonts w:eastAsia="Calibri"/>
        </w:rPr>
        <w:t>76</w:t>
      </w:r>
      <w:r w:rsidRPr="00ED6AD7">
        <w:rPr>
          <w:rFonts w:eastAsia="Calibri"/>
        </w:rPr>
        <w:t xml:space="preserve"> per hour</w:t>
      </w:r>
    </w:p>
    <w:p w:rsidR="004648E0" w:rsidP="004648E0" w14:paraId="4EDF7014" w14:textId="77777777">
      <w:pPr>
        <w:pStyle w:val="ListParagraph"/>
        <w:numPr>
          <w:ilvl w:val="0"/>
          <w:numId w:val="58"/>
        </w:numPr>
        <w:ind w:left="2520"/>
        <w:rPr>
          <w:rFonts w:eastAsia="Calibri"/>
        </w:rPr>
      </w:pPr>
      <w:r w:rsidRPr="002862A2">
        <w:rPr>
          <w:rFonts w:eastAsia="Calibri"/>
        </w:rPr>
        <w:t>One full-time employee at the GS-14/Step 3 level, which is $</w:t>
      </w:r>
      <w:r>
        <w:rPr>
          <w:rFonts w:eastAsia="Calibri"/>
        </w:rPr>
        <w:t>69.44</w:t>
      </w:r>
      <w:r w:rsidRPr="002862A2">
        <w:rPr>
          <w:rFonts w:eastAsia="Calibri"/>
        </w:rPr>
        <w:t xml:space="preserve"> per hour</w:t>
      </w:r>
    </w:p>
    <w:p w:rsidR="00284287" w:rsidP="004648E0" w14:paraId="0EBC2F54" w14:textId="1780BCEB">
      <w:pPr>
        <w:pStyle w:val="ListParagraph"/>
        <w:numPr>
          <w:ilvl w:val="0"/>
          <w:numId w:val="58"/>
        </w:numPr>
        <w:ind w:left="2520"/>
        <w:rPr>
          <w:rFonts w:eastAsia="Calibri"/>
        </w:rPr>
      </w:pPr>
      <w:r>
        <w:rPr>
          <w:rFonts w:eastAsia="Calibri"/>
        </w:rPr>
        <w:t xml:space="preserve">Average hourly wage: ((2 </w:t>
      </w:r>
      <w:r w:rsidRPr="00EF51B2">
        <w:rPr>
          <w:rFonts w:eastAsia="Calibri"/>
        </w:rPr>
        <w:t>×</w:t>
      </w:r>
      <w:r>
        <w:rPr>
          <w:rFonts w:eastAsia="Calibri"/>
        </w:rPr>
        <w:t xml:space="preserve"> </w:t>
      </w:r>
      <w:r w:rsidRPr="002862A2">
        <w:rPr>
          <w:rFonts w:eastAsia="Calibri"/>
        </w:rPr>
        <w:t>$</w:t>
      </w:r>
      <w:r>
        <w:rPr>
          <w:rFonts w:eastAsia="Calibri"/>
        </w:rPr>
        <w:t xml:space="preserve">49.41) + (2 </w:t>
      </w:r>
      <w:r w:rsidRPr="00EF51B2">
        <w:rPr>
          <w:rFonts w:eastAsia="Calibri"/>
        </w:rPr>
        <w:t>×</w:t>
      </w:r>
      <w:r>
        <w:rPr>
          <w:rFonts w:eastAsia="Calibri"/>
        </w:rPr>
        <w:t xml:space="preserve"> </w:t>
      </w:r>
      <w:r w:rsidRPr="002862A2">
        <w:rPr>
          <w:rFonts w:eastAsia="Calibri"/>
        </w:rPr>
        <w:t>$</w:t>
      </w:r>
      <w:r>
        <w:rPr>
          <w:rFonts w:eastAsia="Calibri"/>
        </w:rPr>
        <w:t xml:space="preserve">58.76) + </w:t>
      </w:r>
      <w:r w:rsidRPr="002862A2">
        <w:rPr>
          <w:rFonts w:eastAsia="Calibri"/>
        </w:rPr>
        <w:t>$</w:t>
      </w:r>
      <w:r>
        <w:rPr>
          <w:rFonts w:eastAsia="Calibri"/>
        </w:rPr>
        <w:t>69.44) ÷ 5 = $57.16</w:t>
      </w:r>
    </w:p>
    <w:p w:rsidR="008D5156" w:rsidP="008D5156" w14:paraId="2CE9F098" w14:textId="77777777">
      <w:pPr>
        <w:rPr>
          <w:rFonts w:eastAsia="Calibri"/>
        </w:rPr>
      </w:pPr>
    </w:p>
    <w:p w:rsidR="004648E0" w:rsidRPr="00AA1932" w:rsidP="00270D82" w14:paraId="6CDB92D8" w14:textId="00E65050">
      <w:pPr>
        <w:ind w:firstLine="720"/>
        <w:rPr>
          <w:rFonts w:eastAsia="Calibri"/>
        </w:rPr>
      </w:pPr>
      <w:r>
        <w:rPr>
          <w:rFonts w:eastAsia="Calibri"/>
        </w:rPr>
        <w:t>We also estimate t</w:t>
      </w:r>
      <w:r w:rsidRPr="00AA1932">
        <w:rPr>
          <w:rFonts w:eastAsia="Calibri"/>
        </w:rPr>
        <w:t xml:space="preserve">he average annual IT cost </w:t>
      </w:r>
      <w:r>
        <w:rPr>
          <w:rFonts w:eastAsia="Calibri"/>
        </w:rPr>
        <w:t xml:space="preserve">for this program to be </w:t>
      </w:r>
      <w:r w:rsidRPr="00AA1932" w:rsidR="00956275">
        <w:rPr>
          <w:rFonts w:eastAsia="Calibri"/>
        </w:rPr>
        <w:t>$</w:t>
      </w:r>
      <w:r w:rsidRPr="00AA1932">
        <w:rPr>
          <w:rFonts w:eastAsia="Calibri"/>
        </w:rPr>
        <w:t>370,000 per year.</w:t>
      </w:r>
    </w:p>
    <w:p w:rsidR="004648E0" w:rsidRPr="0050033C" w:rsidP="004648E0" w14:paraId="3E9D51AB" w14:textId="77777777">
      <w:pPr>
        <w:pStyle w:val="ListParagraph"/>
        <w:ind w:left="2520"/>
        <w:rPr>
          <w:rFonts w:eastAsia="Calibri"/>
        </w:rPr>
      </w:pPr>
    </w:p>
    <w:p w:rsidR="004648E0" w:rsidP="00270D82" w14:paraId="3452E7DC" w14:textId="10A71B6D">
      <w:pPr>
        <w:spacing w:after="200"/>
        <w:ind w:left="720"/>
        <w:rPr>
          <w:rFonts w:eastAsia="Calibri"/>
        </w:rPr>
      </w:pPr>
      <w:r w:rsidRPr="008344AF">
        <w:rPr>
          <w:rFonts w:eastAsia="Calibri"/>
        </w:rPr>
        <w:t xml:space="preserve">Thus, we estimate that the annual cost to the </w:t>
      </w:r>
      <w:r w:rsidR="000B0C06">
        <w:rPr>
          <w:rFonts w:eastAsia="Calibri"/>
        </w:rPr>
        <w:t>f</w:t>
      </w:r>
      <w:r w:rsidRPr="008344AF">
        <w:rPr>
          <w:rFonts w:eastAsia="Calibri"/>
        </w:rPr>
        <w:t xml:space="preserve">ederal </w:t>
      </w:r>
      <w:r w:rsidR="000B0C06">
        <w:rPr>
          <w:rFonts w:eastAsia="Calibri"/>
        </w:rPr>
        <w:t>g</w:t>
      </w:r>
      <w:r w:rsidRPr="008344AF">
        <w:rPr>
          <w:rFonts w:eastAsia="Calibri"/>
        </w:rPr>
        <w:t xml:space="preserve">overnment would be approximately </w:t>
      </w:r>
      <w:r w:rsidRPr="00D059F9">
        <w:rPr>
          <w:rFonts w:eastAsia="Calibri"/>
        </w:rPr>
        <w:t>$</w:t>
      </w:r>
      <w:r w:rsidR="00DF1F2D">
        <w:rPr>
          <w:rFonts w:eastAsia="Calibri"/>
        </w:rPr>
        <w:t>798,700</w:t>
      </w:r>
      <w:r>
        <w:rPr>
          <w:rFonts w:eastAsia="Calibri"/>
        </w:rPr>
        <w:t xml:space="preserve"> </w:t>
      </w:r>
      <w:r w:rsidRPr="0050033C">
        <w:rPr>
          <w:rFonts w:eastAsia="Calibri"/>
        </w:rPr>
        <w:t>(</w:t>
      </w:r>
      <w:r w:rsidRPr="00EF51B2">
        <w:rPr>
          <w:rFonts w:eastAsia="Calibri"/>
        </w:rPr>
        <w:t>5 FTEs × 1</w:t>
      </w:r>
      <w:r w:rsidR="00956275">
        <w:rPr>
          <w:rFonts w:eastAsia="Calibri"/>
        </w:rPr>
        <w:t>,</w:t>
      </w:r>
      <w:r>
        <w:rPr>
          <w:rFonts w:eastAsia="Calibri"/>
        </w:rPr>
        <w:t>500</w:t>
      </w:r>
      <w:r w:rsidRPr="0050033C">
        <w:rPr>
          <w:rFonts w:eastAsia="Calibri"/>
        </w:rPr>
        <w:t xml:space="preserve"> hours </w:t>
      </w:r>
      <w:r w:rsidRPr="00EF51B2">
        <w:rPr>
          <w:rFonts w:eastAsia="Calibri"/>
        </w:rPr>
        <w:t>× $</w:t>
      </w:r>
      <w:r w:rsidR="00DF1F2D">
        <w:rPr>
          <w:rFonts w:eastAsia="Calibri"/>
        </w:rPr>
        <w:t>57.16</w:t>
      </w:r>
      <w:r w:rsidRPr="00EF51B2">
        <w:rPr>
          <w:rFonts w:eastAsia="Calibri"/>
        </w:rPr>
        <w:t>/hour</w:t>
      </w:r>
      <w:r>
        <w:rPr>
          <w:rFonts w:eastAsia="Calibri"/>
        </w:rPr>
        <w:t xml:space="preserve"> (average hourly wage</w:t>
      </w:r>
      <w:r w:rsidRPr="00EF51B2">
        <w:rPr>
          <w:rFonts w:eastAsia="Calibri"/>
        </w:rPr>
        <w:t>)</w:t>
      </w:r>
      <w:r w:rsidR="00284287">
        <w:rPr>
          <w:rFonts w:eastAsia="Calibri"/>
        </w:rPr>
        <w:t xml:space="preserve"> </w:t>
      </w:r>
      <w:r>
        <w:rPr>
          <w:rFonts w:eastAsia="Calibri"/>
        </w:rPr>
        <w:t xml:space="preserve">+ </w:t>
      </w:r>
      <w:r w:rsidR="00956275">
        <w:rPr>
          <w:rFonts w:eastAsia="Calibri"/>
        </w:rPr>
        <w:t>$</w:t>
      </w:r>
      <w:r>
        <w:rPr>
          <w:rFonts w:eastAsia="Calibri"/>
        </w:rPr>
        <w:t>370,000 IT)</w:t>
      </w:r>
      <w:r w:rsidRPr="00EF51B2">
        <w:rPr>
          <w:rFonts w:eastAsia="Calibri"/>
        </w:rPr>
        <w:t>.</w:t>
      </w:r>
      <w:r w:rsidR="00DF1F2D">
        <w:rPr>
          <w:rFonts w:eastAsia="Calibri"/>
        </w:rPr>
        <w:t xml:space="preserve"> </w:t>
      </w:r>
    </w:p>
    <w:p w:rsidR="004C6979" w:rsidP="002A0C48" w14:paraId="5564FED7" w14:textId="77777777">
      <w:pPr>
        <w:numPr>
          <w:ilvl w:val="0"/>
          <w:numId w:val="1"/>
        </w:numPr>
        <w:tabs>
          <w:tab w:val="clear" w:pos="720"/>
        </w:tabs>
        <w:spacing w:before="100" w:beforeAutospacing="1" w:after="100" w:afterAutospacing="1"/>
        <w:rPr>
          <w:u w:val="single"/>
        </w:rPr>
      </w:pPr>
      <w:r w:rsidRPr="004C6979">
        <w:rPr>
          <w:u w:val="single"/>
        </w:rPr>
        <w:t>Explanation for Program Changes or Adjustments</w:t>
      </w:r>
    </w:p>
    <w:p w:rsidR="00D61559" w:rsidRPr="004C6979" w:rsidP="002A0C48" w14:paraId="1E9156F9" w14:textId="3278016E">
      <w:pPr>
        <w:spacing w:before="100" w:beforeAutospacing="1" w:after="100" w:afterAutospacing="1"/>
        <w:ind w:left="720"/>
        <w:rPr>
          <w:u w:val="single"/>
        </w:rPr>
      </w:pPr>
      <w:r>
        <w:t>Based on the number of applicants</w:t>
      </w:r>
      <w:r w:rsidR="000D0941">
        <w:t xml:space="preserve">, we </w:t>
      </w:r>
      <w:r w:rsidR="000D0941">
        <w:t>are able to</w:t>
      </w:r>
      <w:r w:rsidR="009E673D">
        <w:t xml:space="preserve"> </w:t>
      </w:r>
      <w:r w:rsidR="00DD0B09">
        <w:t>more accurately calculate the number of food testing laboratories seeking accreditation and as a result the number of respondents to the information collection decreased (from 170 respondents in the currently approved collection to 160 respondents). Consequently, we have adjusted our burden estimate, which results in a decrease of 227 responses and 9,303 burden hours from the currently approved information collection.</w:t>
      </w:r>
    </w:p>
    <w:p w:rsidR="004C6979" w:rsidRPr="004C6979" w:rsidP="002A0C48" w14:paraId="48C25244" w14:textId="77777777">
      <w:pPr>
        <w:numPr>
          <w:ilvl w:val="0"/>
          <w:numId w:val="1"/>
        </w:numPr>
        <w:tabs>
          <w:tab w:val="clear" w:pos="720"/>
        </w:tabs>
        <w:spacing w:before="100" w:beforeAutospacing="1" w:after="100" w:afterAutospacing="1"/>
        <w:rPr>
          <w:u w:val="single"/>
        </w:rPr>
      </w:pPr>
      <w:r w:rsidRPr="007244F5">
        <w:rPr>
          <w:u w:val="single"/>
        </w:rPr>
        <w:t>P</w:t>
      </w:r>
      <w:r w:rsidRPr="004C6979" w:rsidR="00EB7538">
        <w:rPr>
          <w:u w:val="single"/>
        </w:rPr>
        <w:t>lans for Tabulation and Publication and Project Time Schedule</w:t>
      </w:r>
    </w:p>
    <w:p w:rsidR="003E4AC6" w:rsidP="002A0C48" w14:paraId="61DAE34D" w14:textId="4815D220">
      <w:pPr>
        <w:ind w:left="720"/>
      </w:pPr>
      <w:r>
        <w:t>Consistent with</w:t>
      </w:r>
      <w:r w:rsidR="00052162">
        <w:t xml:space="preserve"> 21 CFR 1.1109</w:t>
      </w:r>
      <w:r w:rsidR="001D2BB1">
        <w:t xml:space="preserve"> </w:t>
      </w:r>
      <w:r w:rsidR="0068103C">
        <w:t xml:space="preserve">and </w:t>
      </w:r>
      <w:r w:rsidR="00052162">
        <w:t xml:space="preserve">provisions </w:t>
      </w:r>
      <w:r w:rsidR="00914C3D">
        <w:t>in section 422</w:t>
      </w:r>
      <w:r w:rsidR="00FB7B4F">
        <w:t>(a)(1)(</w:t>
      </w:r>
      <w:r w:rsidR="00F463CA">
        <w:t>B</w:t>
      </w:r>
      <w:r w:rsidR="00161062">
        <w:t>)</w:t>
      </w:r>
      <w:r w:rsidR="001D2BB1">
        <w:t xml:space="preserve"> </w:t>
      </w:r>
      <w:r w:rsidR="00090D17">
        <w:t>of the FD&amp;C Act</w:t>
      </w:r>
      <w:r w:rsidR="00161062">
        <w:t xml:space="preserve">, </w:t>
      </w:r>
      <w:r>
        <w:t xml:space="preserve">FDA </w:t>
      </w:r>
      <w:r w:rsidR="00052162">
        <w:t>maintain</w:t>
      </w:r>
      <w:r w:rsidR="00EF767B">
        <w:t>s</w:t>
      </w:r>
      <w:r w:rsidR="00052162">
        <w:t xml:space="preserve"> </w:t>
      </w:r>
      <w:r>
        <w:t xml:space="preserve">on its website a publicly available registry of recognized accreditation bodies and </w:t>
      </w:r>
      <w:r w:rsidR="00115E07">
        <w:t>LAAF-</w:t>
      </w:r>
      <w:r>
        <w:t>accredited laboratories.</w:t>
      </w:r>
      <w:r w:rsidR="00956275">
        <w:t xml:space="preserve">  The registry can be accessed at </w:t>
      </w:r>
      <w:hyperlink r:id="rId8" w:history="1">
        <w:r w:rsidRPr="00BE1A6D" w:rsidR="00956275">
          <w:rPr>
            <w:rStyle w:val="Hyperlink"/>
          </w:rPr>
          <w:t>https://datadashboard.fda.gov/ora/fd/laaf.htm</w:t>
        </w:r>
      </w:hyperlink>
      <w:r w:rsidR="00956275">
        <w:t xml:space="preserve">.  </w:t>
      </w:r>
    </w:p>
    <w:p w:rsidR="00EC34A6" w:rsidRPr="004B6DFD" w:rsidP="002A0C48" w14:paraId="7A479312" w14:textId="149B2C9A">
      <w:pPr>
        <w:numPr>
          <w:ilvl w:val="0"/>
          <w:numId w:val="1"/>
        </w:numPr>
        <w:tabs>
          <w:tab w:val="clear" w:pos="720"/>
        </w:tabs>
        <w:spacing w:before="100" w:beforeAutospacing="1" w:after="100" w:afterAutospacing="1"/>
        <w:rPr>
          <w:u w:val="single"/>
        </w:rPr>
      </w:pPr>
      <w:r w:rsidRPr="004C6979">
        <w:rPr>
          <w:u w:val="single"/>
        </w:rPr>
        <w:t>Reason(s) Display of OMB Expiration Date is Inappropriate</w:t>
      </w:r>
    </w:p>
    <w:p w:rsidR="0067166E" w:rsidP="002A0C48" w14:paraId="43309EFE" w14:textId="07CD0863">
      <w:pPr>
        <w:ind w:left="720"/>
      </w:pPr>
      <w:r>
        <w:t xml:space="preserve">The </w:t>
      </w:r>
      <w:r w:rsidR="00555AF1">
        <w:t xml:space="preserve">regulations </w:t>
      </w:r>
      <w:r w:rsidR="009C6548">
        <w:t>incorporate</w:t>
      </w:r>
      <w:r w:rsidR="00555AF1">
        <w:t xml:space="preserve"> proprietary standards, and the OMB control number and expiration date </w:t>
      </w:r>
      <w:r w:rsidR="004648E0">
        <w:t xml:space="preserve">do </w:t>
      </w:r>
      <w:r w:rsidR="00555AF1">
        <w:t xml:space="preserve">not appear on those </w:t>
      </w:r>
      <w:r w:rsidR="009C6548">
        <w:t>documents</w:t>
      </w:r>
      <w:r w:rsidR="00D951C5">
        <w:t xml:space="preserve">.  </w:t>
      </w:r>
      <w:r w:rsidR="003E702C">
        <w:t>Specifically, the</w:t>
      </w:r>
      <w:r w:rsidR="004C0F73">
        <w:t xml:space="preserve"> following </w:t>
      </w:r>
      <w:r w:rsidR="00F061D9">
        <w:t>p</w:t>
      </w:r>
      <w:r w:rsidR="00334674">
        <w:t>ropriet</w:t>
      </w:r>
      <w:r w:rsidR="009E6A65">
        <w:t>a</w:t>
      </w:r>
      <w:r w:rsidR="00334674">
        <w:t>ry standards</w:t>
      </w:r>
      <w:r w:rsidR="00D951C5">
        <w:t xml:space="preserve"> are incorporated by reference</w:t>
      </w:r>
      <w:r w:rsidR="004C0F73">
        <w:t>:</w:t>
      </w:r>
      <w:r w:rsidR="009E6A65">
        <w:t xml:space="preserve"> </w:t>
      </w:r>
    </w:p>
    <w:p w:rsidR="0067166E" w:rsidP="002A0C48" w14:paraId="126C023A" w14:textId="77777777">
      <w:pPr>
        <w:ind w:left="720"/>
      </w:pPr>
    </w:p>
    <w:p w:rsidR="0067166E" w:rsidP="002A0C48" w14:paraId="6D703717" w14:textId="320CDA26">
      <w:pPr>
        <w:numPr>
          <w:ilvl w:val="0"/>
          <w:numId w:val="57"/>
        </w:numPr>
        <w:tabs>
          <w:tab w:val="clear" w:pos="720"/>
        </w:tabs>
        <w:ind w:left="1080"/>
      </w:pPr>
      <w:r w:rsidRPr="0067166E">
        <w:t>ISO/IEC 17011:2017, “</w:t>
      </w:r>
      <w:r w:rsidRPr="0067166E">
        <w:rPr>
          <w:i/>
          <w:iCs/>
        </w:rPr>
        <w:t>Conformity Assessment--Requirements for Accreditation Bodies Accrediting Conformity Assessment Bodies</w:t>
      </w:r>
      <w:r w:rsidRPr="0067166E">
        <w:t>,” Second edition, November 2017</w:t>
      </w:r>
      <w:r w:rsidR="004A00A2">
        <w:t>;</w:t>
      </w:r>
      <w:r w:rsidRPr="0067166E">
        <w:t xml:space="preserve"> and</w:t>
      </w:r>
    </w:p>
    <w:p w:rsidR="004A00A2" w:rsidRPr="0067166E" w:rsidP="002A0C48" w14:paraId="0DD25E12" w14:textId="77777777">
      <w:pPr>
        <w:ind w:left="1080"/>
      </w:pPr>
    </w:p>
    <w:p w:rsidR="0067166E" w:rsidRPr="0067166E" w:rsidP="002A0C48" w14:paraId="04FE63AC" w14:textId="77777777">
      <w:pPr>
        <w:numPr>
          <w:ilvl w:val="0"/>
          <w:numId w:val="57"/>
        </w:numPr>
        <w:tabs>
          <w:tab w:val="clear" w:pos="720"/>
        </w:tabs>
        <w:ind w:left="1080"/>
      </w:pPr>
      <w:r w:rsidRPr="0067166E">
        <w:t>ISO/IEC 17025:2017, “</w:t>
      </w:r>
      <w:r w:rsidRPr="0067166E">
        <w:rPr>
          <w:i/>
          <w:iCs/>
        </w:rPr>
        <w:t>General Requirements for the Competence of Testing and Calibration Laboratories</w:t>
      </w:r>
      <w:r w:rsidRPr="0067166E">
        <w:t>,” Third edition, November 2017.</w:t>
      </w:r>
    </w:p>
    <w:p w:rsidR="0087481A" w:rsidP="002A0C48" w14:paraId="4A9AD598" w14:textId="0E3D3173">
      <w:pPr>
        <w:ind w:left="720"/>
      </w:pPr>
    </w:p>
    <w:p w:rsidR="007C3D33" w:rsidP="00471751" w14:paraId="5C9EBAE7" w14:textId="18FA89EC">
      <w:pPr>
        <w:keepNext/>
        <w:ind w:left="720"/>
        <w:contextualSpacing/>
      </w:pPr>
      <w:r>
        <w:t>The</w:t>
      </w:r>
      <w:r w:rsidR="001F3589">
        <w:t>se</w:t>
      </w:r>
      <w:r>
        <w:t xml:space="preserve"> standards may be examined at FDA’s Dockets Management Staff</w:t>
      </w:r>
      <w:r w:rsidR="00471751">
        <w:t>,</w:t>
      </w:r>
      <w:r w:rsidRPr="00E3313A" w:rsidR="00E3313A">
        <w:t xml:space="preserve"> 5630 Fishers Lane, Rm. 1061, Rockville, MD 20852, 240-402-7500</w:t>
      </w:r>
      <w:r>
        <w:t>.</w:t>
      </w:r>
      <w:r w:rsidR="00471751">
        <w:t xml:space="preserve">  </w:t>
      </w:r>
      <w:r>
        <w:t xml:space="preserve">The standards are available for purchase from the International Organization for Standardization (ISO), </w:t>
      </w:r>
      <w:r>
        <w:rPr>
          <w:lang w:val="en"/>
        </w:rPr>
        <w:t xml:space="preserve">Chemin de </w:t>
      </w:r>
      <w:r>
        <w:rPr>
          <w:lang w:val="en"/>
        </w:rPr>
        <w:t>Blandonnet</w:t>
      </w:r>
      <w:r>
        <w:rPr>
          <w:lang w:val="en"/>
        </w:rPr>
        <w:t xml:space="preserve"> 8, CP 401, 1214 Vernier,</w:t>
      </w:r>
      <w:r>
        <w:t xml:space="preserve"> Geneva, Switzerland, +41 22 749 01 11, central@iso.org (</w:t>
      </w:r>
      <w:hyperlink r:id="rId12" w:history="1">
        <w:r w:rsidRPr="00C11939" w:rsidR="00747BF7">
          <w:rPr>
            <w:rStyle w:val="Hyperlink"/>
          </w:rPr>
          <w:t>https://www.iso.org/store.html</w:t>
        </w:r>
      </w:hyperlink>
      <w:r>
        <w:t>) or from any other source from which the user is assured that the copy to be received is an accurate version of the standard.</w:t>
      </w:r>
    </w:p>
    <w:p w:rsidR="00EB7538" w:rsidP="002A0C48" w14:paraId="71CAB242" w14:textId="262840B1">
      <w:pPr>
        <w:numPr>
          <w:ilvl w:val="0"/>
          <w:numId w:val="1"/>
        </w:numPr>
        <w:tabs>
          <w:tab w:val="clear" w:pos="720"/>
        </w:tabs>
        <w:spacing w:before="100" w:beforeAutospacing="1" w:after="100" w:afterAutospacing="1"/>
        <w:rPr>
          <w:u w:val="single"/>
        </w:rPr>
      </w:pPr>
      <w:r w:rsidRPr="004C6979">
        <w:rPr>
          <w:u w:val="single"/>
        </w:rPr>
        <w:t>Exceptions to Certification for Paperwork Reduction Act Submissions</w:t>
      </w:r>
    </w:p>
    <w:p w:rsidR="002746DB" w:rsidRPr="004C6979" w:rsidP="002A0C48" w14:paraId="08257CE0" w14:textId="77777777">
      <w:pPr>
        <w:spacing w:before="100" w:beforeAutospacing="1" w:after="100" w:afterAutospacing="1"/>
        <w:ind w:firstLine="720"/>
        <w:rPr>
          <w:b/>
        </w:rPr>
      </w:pPr>
      <w:r>
        <w:t>There are no exceptions to the certification.</w:t>
      </w:r>
    </w:p>
    <w:sectPr w:rsidSect="007F7E35">
      <w:footerReference w:type="even" r:id="rId13"/>
      <w:footerReference w:type="default" r:id="rId14"/>
      <w:headerReference w:type="first" r:id="rId15"/>
      <w:pgSz w:w="12240" w:h="15840" w:code="1"/>
      <w:pgMar w:top="1440" w:right="1296" w:bottom="1440" w:left="1152"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Book">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789" w:rsidP="003F3DF5" w14:paraId="3FD37C2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12789" w14:paraId="2F4F95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789" w:rsidP="003F3DF5" w14:paraId="10612C6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40F1">
      <w:rPr>
        <w:rStyle w:val="PageNumber"/>
        <w:noProof/>
      </w:rPr>
      <w:t>12</w:t>
    </w:r>
    <w:r>
      <w:rPr>
        <w:rStyle w:val="PageNumber"/>
      </w:rPr>
      <w:fldChar w:fldCharType="end"/>
    </w:r>
  </w:p>
  <w:p w:rsidR="00512789" w14:paraId="7AF247F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04C" w14:paraId="09FCBDAE" w14:textId="254208C8">
    <w:pPr>
      <w:pStyle w:val="Header"/>
    </w:pPr>
    <w:r>
      <w:rPr>
        <w:noProof/>
      </w:rPr>
      <w:drawing>
        <wp:inline distT="0" distB="0" distL="0" distR="0">
          <wp:extent cx="2762250" cy="571500"/>
          <wp:effectExtent l="0" t="0" r="0" b="0"/>
          <wp:docPr id="1046380909" name="Picture 104638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80909"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6225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4945206"/>
    <w:multiLevelType w:val="hybridMultilevel"/>
    <w:tmpl w:val="0CFED3B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7E20BFA"/>
    <w:multiLevelType w:val="hybridMultilevel"/>
    <w:tmpl w:val="34504924"/>
    <w:lvl w:ilvl="0">
      <w:start w:val="1"/>
      <w:numFmt w:val="bullet"/>
      <w:lvlText w:val=""/>
      <w:lvlJc w:val="left"/>
      <w:pPr>
        <w:ind w:left="1509" w:hanging="360"/>
      </w:pPr>
      <w:rPr>
        <w:rFonts w:ascii="Symbol" w:hAnsi="Symbol" w:hint="default"/>
      </w:rPr>
    </w:lvl>
    <w:lvl w:ilvl="1" w:tentative="1">
      <w:start w:val="1"/>
      <w:numFmt w:val="bullet"/>
      <w:lvlText w:val="o"/>
      <w:lvlJc w:val="left"/>
      <w:pPr>
        <w:ind w:left="2229" w:hanging="360"/>
      </w:pPr>
      <w:rPr>
        <w:rFonts w:ascii="Courier New" w:hAnsi="Courier New" w:cs="Courier New" w:hint="default"/>
      </w:rPr>
    </w:lvl>
    <w:lvl w:ilvl="2" w:tentative="1">
      <w:start w:val="1"/>
      <w:numFmt w:val="bullet"/>
      <w:lvlText w:val=""/>
      <w:lvlJc w:val="left"/>
      <w:pPr>
        <w:ind w:left="2949" w:hanging="360"/>
      </w:pPr>
      <w:rPr>
        <w:rFonts w:ascii="Wingdings" w:hAnsi="Wingdings" w:hint="default"/>
      </w:rPr>
    </w:lvl>
    <w:lvl w:ilvl="3" w:tentative="1">
      <w:start w:val="1"/>
      <w:numFmt w:val="bullet"/>
      <w:lvlText w:val=""/>
      <w:lvlJc w:val="left"/>
      <w:pPr>
        <w:ind w:left="3669" w:hanging="360"/>
      </w:pPr>
      <w:rPr>
        <w:rFonts w:ascii="Symbol" w:hAnsi="Symbol" w:hint="default"/>
      </w:rPr>
    </w:lvl>
    <w:lvl w:ilvl="4" w:tentative="1">
      <w:start w:val="1"/>
      <w:numFmt w:val="bullet"/>
      <w:lvlText w:val="o"/>
      <w:lvlJc w:val="left"/>
      <w:pPr>
        <w:ind w:left="4389" w:hanging="360"/>
      </w:pPr>
      <w:rPr>
        <w:rFonts w:ascii="Courier New" w:hAnsi="Courier New" w:cs="Courier New" w:hint="default"/>
      </w:rPr>
    </w:lvl>
    <w:lvl w:ilvl="5" w:tentative="1">
      <w:start w:val="1"/>
      <w:numFmt w:val="bullet"/>
      <w:lvlText w:val=""/>
      <w:lvlJc w:val="left"/>
      <w:pPr>
        <w:ind w:left="5109" w:hanging="360"/>
      </w:pPr>
      <w:rPr>
        <w:rFonts w:ascii="Wingdings" w:hAnsi="Wingdings" w:hint="default"/>
      </w:rPr>
    </w:lvl>
    <w:lvl w:ilvl="6" w:tentative="1">
      <w:start w:val="1"/>
      <w:numFmt w:val="bullet"/>
      <w:lvlText w:val=""/>
      <w:lvlJc w:val="left"/>
      <w:pPr>
        <w:ind w:left="5829" w:hanging="360"/>
      </w:pPr>
      <w:rPr>
        <w:rFonts w:ascii="Symbol" w:hAnsi="Symbol" w:hint="default"/>
      </w:rPr>
    </w:lvl>
    <w:lvl w:ilvl="7" w:tentative="1">
      <w:start w:val="1"/>
      <w:numFmt w:val="bullet"/>
      <w:lvlText w:val="o"/>
      <w:lvlJc w:val="left"/>
      <w:pPr>
        <w:ind w:left="6549" w:hanging="360"/>
      </w:pPr>
      <w:rPr>
        <w:rFonts w:ascii="Courier New" w:hAnsi="Courier New" w:cs="Courier New" w:hint="default"/>
      </w:rPr>
    </w:lvl>
    <w:lvl w:ilvl="8" w:tentative="1">
      <w:start w:val="1"/>
      <w:numFmt w:val="bullet"/>
      <w:lvlText w:val=""/>
      <w:lvlJc w:val="left"/>
      <w:pPr>
        <w:ind w:left="7269" w:hanging="360"/>
      </w:pPr>
      <w:rPr>
        <w:rFonts w:ascii="Wingdings" w:hAnsi="Wingdings" w:hint="default"/>
      </w:rPr>
    </w:lvl>
  </w:abstractNum>
  <w:abstractNum w:abstractNumId="4">
    <w:nsid w:val="08926DD0"/>
    <w:multiLevelType w:val="hybridMultilevel"/>
    <w:tmpl w:val="473049B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B3A6ACE"/>
    <w:multiLevelType w:val="hybridMultilevel"/>
    <w:tmpl w:val="44EA2790"/>
    <w:lvl w:ilvl="0">
      <w:start w:val="1"/>
      <w:numFmt w:val="bullet"/>
      <w:lvlText w:val=""/>
      <w:lvlJc w:val="left"/>
      <w:pPr>
        <w:tabs>
          <w:tab w:val="num" w:pos="1440"/>
        </w:tabs>
        <w:ind w:left="1440" w:hanging="360"/>
      </w:pPr>
      <w:rPr>
        <w:rFonts w:ascii="Symbol" w:hAnsi="Symbol" w:hint="default"/>
        <w:color w:val="auto"/>
        <w:sz w:val="20"/>
        <w:szCs w:val="20"/>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0DED6575"/>
    <w:multiLevelType w:val="hybridMultilevel"/>
    <w:tmpl w:val="1292BFC6"/>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7">
    <w:nsid w:val="14B91F04"/>
    <w:multiLevelType w:val="hybridMultilevel"/>
    <w:tmpl w:val="0764FE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E2515D4"/>
    <w:multiLevelType w:val="hybridMultilevel"/>
    <w:tmpl w:val="3A8806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277157EF"/>
    <w:multiLevelType w:val="hybridMultilevel"/>
    <w:tmpl w:val="ABC400BA"/>
    <w:lvl w:ilvl="0">
      <w:start w:val="1"/>
      <w:numFmt w:val="upperLetter"/>
      <w:pStyle w:val="Heading2"/>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CA6BBF"/>
    <w:multiLevelType w:val="hybridMultilevel"/>
    <w:tmpl w:val="B4AEF0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2A3F6F8E"/>
    <w:multiLevelType w:val="hybridMultilevel"/>
    <w:tmpl w:val="F3F0DD98"/>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12">
    <w:nsid w:val="2E385D16"/>
    <w:multiLevelType w:val="hybridMultilevel"/>
    <w:tmpl w:val="06B489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32133949"/>
    <w:multiLevelType w:val="hybridMultilevel"/>
    <w:tmpl w:val="EE1E77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329D65D6"/>
    <w:multiLevelType w:val="hybridMultilevel"/>
    <w:tmpl w:val="35AA028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360E004A"/>
    <w:multiLevelType w:val="hybridMultilevel"/>
    <w:tmpl w:val="78E44F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4D4A06"/>
    <w:multiLevelType w:val="hybridMultilevel"/>
    <w:tmpl w:val="116E13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3A727494"/>
    <w:multiLevelType w:val="hybridMultilevel"/>
    <w:tmpl w:val="33C2E12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nsid w:val="3D9D7543"/>
    <w:multiLevelType w:val="hybridMultilevel"/>
    <w:tmpl w:val="C9F689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E811088"/>
    <w:multiLevelType w:val="hybridMultilevel"/>
    <w:tmpl w:val="CADE4A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3E935420"/>
    <w:multiLevelType w:val="multilevel"/>
    <w:tmpl w:val="3604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1AB03BC"/>
    <w:multiLevelType w:val="hybridMultilevel"/>
    <w:tmpl w:val="CB806EC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3">
    <w:nsid w:val="434F798B"/>
    <w:multiLevelType w:val="hybridMultilevel"/>
    <w:tmpl w:val="4D5AF6F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43623B9A"/>
    <w:multiLevelType w:val="hybridMultilevel"/>
    <w:tmpl w:val="AB50C1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25">
    <w:nsid w:val="45912058"/>
    <w:multiLevelType w:val="hybridMultilevel"/>
    <w:tmpl w:val="063EBFB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
    <w:nsid w:val="482E5952"/>
    <w:multiLevelType w:val="hybridMultilevel"/>
    <w:tmpl w:val="3EEAE5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497E1B52"/>
    <w:multiLevelType w:val="hybridMultilevel"/>
    <w:tmpl w:val="9AA8869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0">
    <w:nsid w:val="4D422FFD"/>
    <w:multiLevelType w:val="hybridMultilevel"/>
    <w:tmpl w:val="69FEA0E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4D5C0C3F"/>
    <w:multiLevelType w:val="hybridMultilevel"/>
    <w:tmpl w:val="C9A0A8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2">
    <w:nsid w:val="4F594495"/>
    <w:multiLevelType w:val="hybridMultilevel"/>
    <w:tmpl w:val="F306B620"/>
    <w:lvl w:ilvl="0">
      <w:start w:val="1"/>
      <w:numFmt w:val="decimal"/>
      <w:lvlText w:val="%1."/>
      <w:lvlJc w:val="left"/>
      <w:pPr>
        <w:ind w:left="720" w:hanging="360"/>
      </w:pPr>
      <w:rPr>
        <w:rFonts w:cs="Times New Roman"/>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3">
    <w:nsid w:val="50272BC2"/>
    <w:multiLevelType w:val="hybridMultilevel"/>
    <w:tmpl w:val="9B1C2E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503A1327"/>
    <w:multiLevelType w:val="hybridMultilevel"/>
    <w:tmpl w:val="D930ACD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5">
    <w:nsid w:val="50A4594D"/>
    <w:multiLevelType w:val="hybridMultilevel"/>
    <w:tmpl w:val="A8BA880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6">
    <w:nsid w:val="52B10A5B"/>
    <w:multiLevelType w:val="hybridMultilevel"/>
    <w:tmpl w:val="F4C6EC1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7">
    <w:nsid w:val="545632BB"/>
    <w:multiLevelType w:val="hybridMultilevel"/>
    <w:tmpl w:val="006C6F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59A01E43"/>
    <w:multiLevelType w:val="hybridMultilevel"/>
    <w:tmpl w:val="351826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5ADB58CB"/>
    <w:multiLevelType w:val="hybridMultilevel"/>
    <w:tmpl w:val="A57AC9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0">
    <w:nsid w:val="5B9A63D6"/>
    <w:multiLevelType w:val="hybridMultilevel"/>
    <w:tmpl w:val="707CAA4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1">
    <w:nsid w:val="5D3632B9"/>
    <w:multiLevelType w:val="hybridMultilevel"/>
    <w:tmpl w:val="4552EA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65012B74"/>
    <w:multiLevelType w:val="hybridMultilevel"/>
    <w:tmpl w:val="56DCAA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658B58D1"/>
    <w:multiLevelType w:val="hybridMultilevel"/>
    <w:tmpl w:val="420412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4">
    <w:nsid w:val="68DA5096"/>
    <w:multiLevelType w:val="hybridMultilevel"/>
    <w:tmpl w:val="AC744B66"/>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45">
    <w:nsid w:val="70DC063A"/>
    <w:multiLevelType w:val="hybridMultilevel"/>
    <w:tmpl w:val="403C87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72AB59D4"/>
    <w:multiLevelType w:val="hybridMultilevel"/>
    <w:tmpl w:val="AC2EF528"/>
    <w:lvl w:ilvl="0">
      <w:start w:val="1"/>
      <w:numFmt w:val="bullet"/>
      <w:lvlText w:val=""/>
      <w:lvlJc w:val="left"/>
      <w:pPr>
        <w:ind w:left="-360" w:hanging="360"/>
      </w:pPr>
      <w:rPr>
        <w:rFonts w:ascii="Symbol" w:hAnsi="Symbol" w:hint="default"/>
      </w:rPr>
    </w:lvl>
    <w:lvl w:ilvl="1" w:tentative="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47">
    <w:nsid w:val="72FB651B"/>
    <w:multiLevelType w:val="hybridMultilevel"/>
    <w:tmpl w:val="0566598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8">
    <w:nsid w:val="73346864"/>
    <w:multiLevelType w:val="hybridMultilevel"/>
    <w:tmpl w:val="06C6322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9">
    <w:nsid w:val="739F61EA"/>
    <w:multiLevelType w:val="hybridMultilevel"/>
    <w:tmpl w:val="4344FD8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0">
    <w:nsid w:val="748555CD"/>
    <w:multiLevelType w:val="hybridMultilevel"/>
    <w:tmpl w:val="D14ABF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1">
    <w:nsid w:val="77567685"/>
    <w:multiLevelType w:val="hybridMultilevel"/>
    <w:tmpl w:val="1FEE56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2">
    <w:nsid w:val="77DC103B"/>
    <w:multiLevelType w:val="hybridMultilevel"/>
    <w:tmpl w:val="AB600B5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3">
    <w:nsid w:val="787168E8"/>
    <w:multiLevelType w:val="hybridMultilevel"/>
    <w:tmpl w:val="D0DAF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4">
    <w:nsid w:val="7D1010E7"/>
    <w:multiLevelType w:val="hybridMultilevel"/>
    <w:tmpl w:val="E59E9A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5">
    <w:nsid w:val="7FE538FE"/>
    <w:multiLevelType w:val="hybridMultilevel"/>
    <w:tmpl w:val="30D832A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319816869">
    <w:abstractNumId w:val="16"/>
  </w:num>
  <w:num w:numId="2" w16cid:durableId="2110731883">
    <w:abstractNumId w:val="28"/>
  </w:num>
  <w:num w:numId="3" w16cid:durableId="163862069">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4" w16cid:durableId="50158994">
    <w:abstractNumId w:val="35"/>
  </w:num>
  <w:num w:numId="5" w16cid:durableId="938410454">
    <w:abstractNumId w:val="12"/>
  </w:num>
  <w:num w:numId="6" w16cid:durableId="988021696">
    <w:abstractNumId w:val="39"/>
  </w:num>
  <w:num w:numId="7" w16cid:durableId="1362630176">
    <w:abstractNumId w:val="48"/>
  </w:num>
  <w:num w:numId="8" w16cid:durableId="575209560">
    <w:abstractNumId w:val="8"/>
  </w:num>
  <w:num w:numId="9" w16cid:durableId="1653211891">
    <w:abstractNumId w:val="40"/>
  </w:num>
  <w:num w:numId="10" w16cid:durableId="1642340523">
    <w:abstractNumId w:val="34"/>
  </w:num>
  <w:num w:numId="11" w16cid:durableId="434331727">
    <w:abstractNumId w:val="14"/>
  </w:num>
  <w:num w:numId="12" w16cid:durableId="820275623">
    <w:abstractNumId w:val="52"/>
  </w:num>
  <w:num w:numId="13" w16cid:durableId="1676684151">
    <w:abstractNumId w:val="31"/>
  </w:num>
  <w:num w:numId="14" w16cid:durableId="1951735590">
    <w:abstractNumId w:val="13"/>
  </w:num>
  <w:num w:numId="15" w16cid:durableId="877475784">
    <w:abstractNumId w:val="25"/>
  </w:num>
  <w:num w:numId="16" w16cid:durableId="388304595">
    <w:abstractNumId w:val="23"/>
  </w:num>
  <w:num w:numId="17" w16cid:durableId="143740272">
    <w:abstractNumId w:val="47"/>
  </w:num>
  <w:num w:numId="18" w16cid:durableId="1635135407">
    <w:abstractNumId w:val="51"/>
  </w:num>
  <w:num w:numId="19" w16cid:durableId="437874526">
    <w:abstractNumId w:val="49"/>
  </w:num>
  <w:num w:numId="20" w16cid:durableId="1407145712">
    <w:abstractNumId w:val="30"/>
  </w:num>
  <w:num w:numId="21" w16cid:durableId="1343626516">
    <w:abstractNumId w:val="22"/>
  </w:num>
  <w:num w:numId="22" w16cid:durableId="756171803">
    <w:abstractNumId w:val="7"/>
  </w:num>
  <w:num w:numId="23" w16cid:durableId="345062951">
    <w:abstractNumId w:val="43"/>
  </w:num>
  <w:num w:numId="24" w16cid:durableId="1711492724">
    <w:abstractNumId w:val="36"/>
  </w:num>
  <w:num w:numId="25" w16cid:durableId="1926456849">
    <w:abstractNumId w:val="18"/>
  </w:num>
  <w:num w:numId="26" w16cid:durableId="1740982891">
    <w:abstractNumId w:val="11"/>
  </w:num>
  <w:num w:numId="27" w16cid:durableId="2036104880">
    <w:abstractNumId w:val="55"/>
  </w:num>
  <w:num w:numId="28" w16cid:durableId="1651590419">
    <w:abstractNumId w:val="44"/>
  </w:num>
  <w:num w:numId="29" w16cid:durableId="1694185168">
    <w:abstractNumId w:val="10"/>
  </w:num>
  <w:num w:numId="30" w16cid:durableId="1334991375">
    <w:abstractNumId w:val="29"/>
  </w:num>
  <w:num w:numId="31" w16cid:durableId="878274293">
    <w:abstractNumId w:val="5"/>
  </w:num>
  <w:num w:numId="32" w16cid:durableId="1632327630">
    <w:abstractNumId w:val="1"/>
  </w:num>
  <w:num w:numId="33" w16cid:durableId="1199850814">
    <w:abstractNumId w:val="33"/>
  </w:num>
  <w:num w:numId="34" w16cid:durableId="1601182985">
    <w:abstractNumId w:val="50"/>
  </w:num>
  <w:num w:numId="35" w16cid:durableId="1932200718">
    <w:abstractNumId w:val="19"/>
  </w:num>
  <w:num w:numId="36" w16cid:durableId="1120998737">
    <w:abstractNumId w:val="41"/>
  </w:num>
  <w:num w:numId="37" w16cid:durableId="1046486260">
    <w:abstractNumId w:val="15"/>
  </w:num>
  <w:num w:numId="38" w16cid:durableId="1869828262">
    <w:abstractNumId w:val="37"/>
  </w:num>
  <w:num w:numId="39" w16cid:durableId="1067529312">
    <w:abstractNumId w:val="42"/>
  </w:num>
  <w:num w:numId="40" w16cid:durableId="933829091">
    <w:abstractNumId w:val="4"/>
  </w:num>
  <w:num w:numId="41" w16cid:durableId="1065647088">
    <w:abstractNumId w:val="6"/>
  </w:num>
  <w:num w:numId="42" w16cid:durableId="1484927348">
    <w:abstractNumId w:val="54"/>
  </w:num>
  <w:num w:numId="43" w16cid:durableId="1643195035">
    <w:abstractNumId w:val="17"/>
  </w:num>
  <w:num w:numId="44" w16cid:durableId="1108083072">
    <w:abstractNumId w:val="32"/>
    <w:lvlOverride w:ilvl="0">
      <w:startOverride w:val="1"/>
    </w:lvlOverride>
    <w:lvlOverride w:ilvl="1"/>
    <w:lvlOverride w:ilvl="2"/>
    <w:lvlOverride w:ilvl="3"/>
    <w:lvlOverride w:ilvl="4"/>
    <w:lvlOverride w:ilvl="5"/>
    <w:lvlOverride w:ilvl="6"/>
    <w:lvlOverride w:ilvl="7"/>
    <w:lvlOverride w:ilvl="8"/>
  </w:num>
  <w:num w:numId="45" w16cid:durableId="727411783">
    <w:abstractNumId w:val="32"/>
  </w:num>
  <w:num w:numId="46" w16cid:durableId="473527246">
    <w:abstractNumId w:val="24"/>
  </w:num>
  <w:num w:numId="47" w16cid:durableId="862594020">
    <w:abstractNumId w:val="45"/>
  </w:num>
  <w:num w:numId="48" w16cid:durableId="1741554949">
    <w:abstractNumId w:val="53"/>
  </w:num>
  <w:num w:numId="49" w16cid:durableId="528495204">
    <w:abstractNumId w:val="26"/>
  </w:num>
  <w:num w:numId="50" w16cid:durableId="277682869">
    <w:abstractNumId w:val="3"/>
  </w:num>
  <w:num w:numId="51" w16cid:durableId="27492094">
    <w:abstractNumId w:val="27"/>
  </w:num>
  <w:num w:numId="52" w16cid:durableId="1488016143">
    <w:abstractNumId w:val="20"/>
  </w:num>
  <w:num w:numId="53" w16cid:durableId="2166343">
    <w:abstractNumId w:val="38"/>
  </w:num>
  <w:num w:numId="54" w16cid:durableId="358623312">
    <w:abstractNumId w:val="9"/>
  </w:num>
  <w:num w:numId="55" w16cid:durableId="1616668498">
    <w:abstractNumId w:val="9"/>
    <w:lvlOverride w:ilvl="0">
      <w:startOverride w:val="1"/>
    </w:lvlOverride>
  </w:num>
  <w:num w:numId="56" w16cid:durableId="356540696">
    <w:abstractNumId w:val="2"/>
  </w:num>
  <w:num w:numId="57" w16cid:durableId="419110144">
    <w:abstractNumId w:val="21"/>
  </w:num>
  <w:num w:numId="58" w16cid:durableId="520054542">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11AA"/>
    <w:rsid w:val="0000164A"/>
    <w:rsid w:val="00001B93"/>
    <w:rsid w:val="00001DA1"/>
    <w:rsid w:val="00001ED8"/>
    <w:rsid w:val="000028D0"/>
    <w:rsid w:val="00004993"/>
    <w:rsid w:val="0000629E"/>
    <w:rsid w:val="00007C24"/>
    <w:rsid w:val="00010377"/>
    <w:rsid w:val="00010F51"/>
    <w:rsid w:val="000112E0"/>
    <w:rsid w:val="000115E7"/>
    <w:rsid w:val="00012760"/>
    <w:rsid w:val="0001345E"/>
    <w:rsid w:val="000139BB"/>
    <w:rsid w:val="000145F0"/>
    <w:rsid w:val="000167E8"/>
    <w:rsid w:val="00017466"/>
    <w:rsid w:val="00017580"/>
    <w:rsid w:val="0001768C"/>
    <w:rsid w:val="00020611"/>
    <w:rsid w:val="00021D1D"/>
    <w:rsid w:val="00021DD5"/>
    <w:rsid w:val="00022BB1"/>
    <w:rsid w:val="00023CA8"/>
    <w:rsid w:val="00023D43"/>
    <w:rsid w:val="00024F26"/>
    <w:rsid w:val="0002594C"/>
    <w:rsid w:val="00025D1C"/>
    <w:rsid w:val="000262ED"/>
    <w:rsid w:val="00026CDB"/>
    <w:rsid w:val="00027988"/>
    <w:rsid w:val="00030445"/>
    <w:rsid w:val="00030E19"/>
    <w:rsid w:val="00030E2C"/>
    <w:rsid w:val="0003172D"/>
    <w:rsid w:val="00031A2C"/>
    <w:rsid w:val="00032EBA"/>
    <w:rsid w:val="00033340"/>
    <w:rsid w:val="000359AB"/>
    <w:rsid w:val="00035F90"/>
    <w:rsid w:val="000364CB"/>
    <w:rsid w:val="00037E07"/>
    <w:rsid w:val="000409AD"/>
    <w:rsid w:val="00040B0B"/>
    <w:rsid w:val="00041030"/>
    <w:rsid w:val="00042002"/>
    <w:rsid w:val="0004214C"/>
    <w:rsid w:val="000424B3"/>
    <w:rsid w:val="0004336F"/>
    <w:rsid w:val="000434F1"/>
    <w:rsid w:val="0004365A"/>
    <w:rsid w:val="0004374C"/>
    <w:rsid w:val="0004390A"/>
    <w:rsid w:val="00043921"/>
    <w:rsid w:val="000439B1"/>
    <w:rsid w:val="00043C7F"/>
    <w:rsid w:val="00043E99"/>
    <w:rsid w:val="00044F6A"/>
    <w:rsid w:val="00046C5F"/>
    <w:rsid w:val="00046DAB"/>
    <w:rsid w:val="00047457"/>
    <w:rsid w:val="0004748D"/>
    <w:rsid w:val="000477AA"/>
    <w:rsid w:val="000504D2"/>
    <w:rsid w:val="0005132B"/>
    <w:rsid w:val="00051C4B"/>
    <w:rsid w:val="00051F5E"/>
    <w:rsid w:val="00052162"/>
    <w:rsid w:val="00052179"/>
    <w:rsid w:val="0005232E"/>
    <w:rsid w:val="000530C2"/>
    <w:rsid w:val="00054B3A"/>
    <w:rsid w:val="000557FC"/>
    <w:rsid w:val="00055865"/>
    <w:rsid w:val="00057474"/>
    <w:rsid w:val="00060E3C"/>
    <w:rsid w:val="0006103B"/>
    <w:rsid w:val="00061108"/>
    <w:rsid w:val="00062681"/>
    <w:rsid w:val="00062E3F"/>
    <w:rsid w:val="00063323"/>
    <w:rsid w:val="0006349D"/>
    <w:rsid w:val="00063BB9"/>
    <w:rsid w:val="000640E4"/>
    <w:rsid w:val="000644FA"/>
    <w:rsid w:val="000650B6"/>
    <w:rsid w:val="0006511C"/>
    <w:rsid w:val="0006570F"/>
    <w:rsid w:val="00066C50"/>
    <w:rsid w:val="000701AB"/>
    <w:rsid w:val="00070A81"/>
    <w:rsid w:val="00071D3F"/>
    <w:rsid w:val="00073298"/>
    <w:rsid w:val="0007375F"/>
    <w:rsid w:val="00073C17"/>
    <w:rsid w:val="00074624"/>
    <w:rsid w:val="0007484C"/>
    <w:rsid w:val="00074FCA"/>
    <w:rsid w:val="000754E6"/>
    <w:rsid w:val="00075B27"/>
    <w:rsid w:val="00075DE8"/>
    <w:rsid w:val="00076496"/>
    <w:rsid w:val="00077793"/>
    <w:rsid w:val="00077933"/>
    <w:rsid w:val="00077E80"/>
    <w:rsid w:val="00080A1D"/>
    <w:rsid w:val="00080C3B"/>
    <w:rsid w:val="00080D16"/>
    <w:rsid w:val="00081F69"/>
    <w:rsid w:val="00082E1B"/>
    <w:rsid w:val="0008398C"/>
    <w:rsid w:val="000839B1"/>
    <w:rsid w:val="00085026"/>
    <w:rsid w:val="00086678"/>
    <w:rsid w:val="0008689E"/>
    <w:rsid w:val="00086A86"/>
    <w:rsid w:val="00086D6C"/>
    <w:rsid w:val="000905C8"/>
    <w:rsid w:val="00090742"/>
    <w:rsid w:val="00090D17"/>
    <w:rsid w:val="000925A3"/>
    <w:rsid w:val="00092AE8"/>
    <w:rsid w:val="0009307F"/>
    <w:rsid w:val="00093E66"/>
    <w:rsid w:val="000941DB"/>
    <w:rsid w:val="00094B09"/>
    <w:rsid w:val="0009564E"/>
    <w:rsid w:val="000957C9"/>
    <w:rsid w:val="0009604C"/>
    <w:rsid w:val="0009631D"/>
    <w:rsid w:val="00096C76"/>
    <w:rsid w:val="000A07D7"/>
    <w:rsid w:val="000A1051"/>
    <w:rsid w:val="000A1254"/>
    <w:rsid w:val="000A19BE"/>
    <w:rsid w:val="000A2883"/>
    <w:rsid w:val="000A3060"/>
    <w:rsid w:val="000A30D4"/>
    <w:rsid w:val="000A3CC8"/>
    <w:rsid w:val="000A4009"/>
    <w:rsid w:val="000A42CF"/>
    <w:rsid w:val="000A4977"/>
    <w:rsid w:val="000A4FF9"/>
    <w:rsid w:val="000A579F"/>
    <w:rsid w:val="000A5A0A"/>
    <w:rsid w:val="000A5CB5"/>
    <w:rsid w:val="000A5DC2"/>
    <w:rsid w:val="000A69C4"/>
    <w:rsid w:val="000A69C5"/>
    <w:rsid w:val="000A6A67"/>
    <w:rsid w:val="000A7B5C"/>
    <w:rsid w:val="000A7ECA"/>
    <w:rsid w:val="000A7FAC"/>
    <w:rsid w:val="000B0C06"/>
    <w:rsid w:val="000B0E4D"/>
    <w:rsid w:val="000B10AC"/>
    <w:rsid w:val="000B130C"/>
    <w:rsid w:val="000B332C"/>
    <w:rsid w:val="000B396F"/>
    <w:rsid w:val="000B3E8D"/>
    <w:rsid w:val="000B4C9C"/>
    <w:rsid w:val="000B54BE"/>
    <w:rsid w:val="000B5DD7"/>
    <w:rsid w:val="000B5E38"/>
    <w:rsid w:val="000B60CA"/>
    <w:rsid w:val="000B6A25"/>
    <w:rsid w:val="000C0438"/>
    <w:rsid w:val="000C0A77"/>
    <w:rsid w:val="000C2945"/>
    <w:rsid w:val="000C2954"/>
    <w:rsid w:val="000C3A42"/>
    <w:rsid w:val="000C3CFD"/>
    <w:rsid w:val="000C4A2B"/>
    <w:rsid w:val="000C4EEA"/>
    <w:rsid w:val="000C4EF5"/>
    <w:rsid w:val="000C4F4C"/>
    <w:rsid w:val="000C503C"/>
    <w:rsid w:val="000C560C"/>
    <w:rsid w:val="000C5823"/>
    <w:rsid w:val="000C623E"/>
    <w:rsid w:val="000C65C4"/>
    <w:rsid w:val="000C75E3"/>
    <w:rsid w:val="000C7698"/>
    <w:rsid w:val="000C7B61"/>
    <w:rsid w:val="000D01CB"/>
    <w:rsid w:val="000D0941"/>
    <w:rsid w:val="000D1004"/>
    <w:rsid w:val="000D325F"/>
    <w:rsid w:val="000D45A2"/>
    <w:rsid w:val="000D48FD"/>
    <w:rsid w:val="000D51C9"/>
    <w:rsid w:val="000D54A8"/>
    <w:rsid w:val="000D5BF0"/>
    <w:rsid w:val="000D6A71"/>
    <w:rsid w:val="000D7268"/>
    <w:rsid w:val="000D77C7"/>
    <w:rsid w:val="000D7C32"/>
    <w:rsid w:val="000D7C89"/>
    <w:rsid w:val="000E1734"/>
    <w:rsid w:val="000E1C64"/>
    <w:rsid w:val="000E2754"/>
    <w:rsid w:val="000E2F76"/>
    <w:rsid w:val="000E3316"/>
    <w:rsid w:val="000E3321"/>
    <w:rsid w:val="000E4DA0"/>
    <w:rsid w:val="000E5045"/>
    <w:rsid w:val="000E5259"/>
    <w:rsid w:val="000E6865"/>
    <w:rsid w:val="000E7DCF"/>
    <w:rsid w:val="000F053F"/>
    <w:rsid w:val="000F0A26"/>
    <w:rsid w:val="000F0EE8"/>
    <w:rsid w:val="000F1CFC"/>
    <w:rsid w:val="000F26F3"/>
    <w:rsid w:val="000F3E9A"/>
    <w:rsid w:val="000F403C"/>
    <w:rsid w:val="000F561C"/>
    <w:rsid w:val="000F584A"/>
    <w:rsid w:val="000F6684"/>
    <w:rsid w:val="000F6EE0"/>
    <w:rsid w:val="000F7119"/>
    <w:rsid w:val="00100008"/>
    <w:rsid w:val="00100739"/>
    <w:rsid w:val="00100E31"/>
    <w:rsid w:val="001015DD"/>
    <w:rsid w:val="00101B01"/>
    <w:rsid w:val="00102D7E"/>
    <w:rsid w:val="00103119"/>
    <w:rsid w:val="00103A20"/>
    <w:rsid w:val="00104678"/>
    <w:rsid w:val="00104693"/>
    <w:rsid w:val="00104F83"/>
    <w:rsid w:val="00106913"/>
    <w:rsid w:val="001073EC"/>
    <w:rsid w:val="00107885"/>
    <w:rsid w:val="001079B4"/>
    <w:rsid w:val="00110B5B"/>
    <w:rsid w:val="001120C2"/>
    <w:rsid w:val="00112D7A"/>
    <w:rsid w:val="00112FDD"/>
    <w:rsid w:val="00114FC4"/>
    <w:rsid w:val="00115E07"/>
    <w:rsid w:val="00116EA5"/>
    <w:rsid w:val="001179DE"/>
    <w:rsid w:val="00117AB1"/>
    <w:rsid w:val="001204B5"/>
    <w:rsid w:val="0012098E"/>
    <w:rsid w:val="00121C0E"/>
    <w:rsid w:val="0012217F"/>
    <w:rsid w:val="0012329C"/>
    <w:rsid w:val="001232DA"/>
    <w:rsid w:val="00123CA7"/>
    <w:rsid w:val="001245E1"/>
    <w:rsid w:val="00124B26"/>
    <w:rsid w:val="00124C5D"/>
    <w:rsid w:val="00124D2D"/>
    <w:rsid w:val="0013052B"/>
    <w:rsid w:val="001306F3"/>
    <w:rsid w:val="00131AAA"/>
    <w:rsid w:val="00131CD9"/>
    <w:rsid w:val="00132A71"/>
    <w:rsid w:val="00133152"/>
    <w:rsid w:val="001343F5"/>
    <w:rsid w:val="00134F54"/>
    <w:rsid w:val="00134FA7"/>
    <w:rsid w:val="001351F7"/>
    <w:rsid w:val="00135271"/>
    <w:rsid w:val="00135281"/>
    <w:rsid w:val="00135C84"/>
    <w:rsid w:val="0013787B"/>
    <w:rsid w:val="00137950"/>
    <w:rsid w:val="0014070F"/>
    <w:rsid w:val="00140D57"/>
    <w:rsid w:val="001410C0"/>
    <w:rsid w:val="00142267"/>
    <w:rsid w:val="001423BD"/>
    <w:rsid w:val="00142DAE"/>
    <w:rsid w:val="00143062"/>
    <w:rsid w:val="001439C2"/>
    <w:rsid w:val="00144EF6"/>
    <w:rsid w:val="0014588F"/>
    <w:rsid w:val="00146360"/>
    <w:rsid w:val="0014664E"/>
    <w:rsid w:val="00146719"/>
    <w:rsid w:val="00146780"/>
    <w:rsid w:val="001479EE"/>
    <w:rsid w:val="00147C58"/>
    <w:rsid w:val="001501C8"/>
    <w:rsid w:val="001503BA"/>
    <w:rsid w:val="001505C7"/>
    <w:rsid w:val="0015158E"/>
    <w:rsid w:val="00151CE6"/>
    <w:rsid w:val="00152F29"/>
    <w:rsid w:val="00153119"/>
    <w:rsid w:val="00153CBA"/>
    <w:rsid w:val="00153F94"/>
    <w:rsid w:val="00154CBC"/>
    <w:rsid w:val="0015505C"/>
    <w:rsid w:val="001555CA"/>
    <w:rsid w:val="00156BF6"/>
    <w:rsid w:val="001574F3"/>
    <w:rsid w:val="00157A4C"/>
    <w:rsid w:val="00157ACF"/>
    <w:rsid w:val="00160389"/>
    <w:rsid w:val="00160DA5"/>
    <w:rsid w:val="00161062"/>
    <w:rsid w:val="001617CD"/>
    <w:rsid w:val="00161B38"/>
    <w:rsid w:val="0016366B"/>
    <w:rsid w:val="00164465"/>
    <w:rsid w:val="00164524"/>
    <w:rsid w:val="00164FB3"/>
    <w:rsid w:val="00165629"/>
    <w:rsid w:val="00165686"/>
    <w:rsid w:val="001660AF"/>
    <w:rsid w:val="00167197"/>
    <w:rsid w:val="00170010"/>
    <w:rsid w:val="00170753"/>
    <w:rsid w:val="001710FC"/>
    <w:rsid w:val="00171EE4"/>
    <w:rsid w:val="001725D1"/>
    <w:rsid w:val="00173975"/>
    <w:rsid w:val="00173A38"/>
    <w:rsid w:val="0017459A"/>
    <w:rsid w:val="001757C4"/>
    <w:rsid w:val="00176231"/>
    <w:rsid w:val="00176FBD"/>
    <w:rsid w:val="001779D5"/>
    <w:rsid w:val="00180D05"/>
    <w:rsid w:val="001814B4"/>
    <w:rsid w:val="00181F35"/>
    <w:rsid w:val="001825DA"/>
    <w:rsid w:val="00182DD7"/>
    <w:rsid w:val="00183BBB"/>
    <w:rsid w:val="00185270"/>
    <w:rsid w:val="00186B8C"/>
    <w:rsid w:val="00190C47"/>
    <w:rsid w:val="00192035"/>
    <w:rsid w:val="0019241A"/>
    <w:rsid w:val="001928BB"/>
    <w:rsid w:val="00193211"/>
    <w:rsid w:val="00193FD0"/>
    <w:rsid w:val="00194D28"/>
    <w:rsid w:val="00194F0F"/>
    <w:rsid w:val="00194F25"/>
    <w:rsid w:val="00195BFB"/>
    <w:rsid w:val="001969BA"/>
    <w:rsid w:val="00196EFC"/>
    <w:rsid w:val="00197042"/>
    <w:rsid w:val="001973BD"/>
    <w:rsid w:val="001975EC"/>
    <w:rsid w:val="00197E0C"/>
    <w:rsid w:val="001A070D"/>
    <w:rsid w:val="001A118C"/>
    <w:rsid w:val="001A268C"/>
    <w:rsid w:val="001A2825"/>
    <w:rsid w:val="001A3B5A"/>
    <w:rsid w:val="001A411F"/>
    <w:rsid w:val="001A499F"/>
    <w:rsid w:val="001A4C07"/>
    <w:rsid w:val="001A5B2F"/>
    <w:rsid w:val="001A5D3B"/>
    <w:rsid w:val="001A685B"/>
    <w:rsid w:val="001A6AC6"/>
    <w:rsid w:val="001A7097"/>
    <w:rsid w:val="001B194B"/>
    <w:rsid w:val="001B2E86"/>
    <w:rsid w:val="001B4619"/>
    <w:rsid w:val="001B5A45"/>
    <w:rsid w:val="001B5D7B"/>
    <w:rsid w:val="001B70DD"/>
    <w:rsid w:val="001B7131"/>
    <w:rsid w:val="001B7CE9"/>
    <w:rsid w:val="001C074E"/>
    <w:rsid w:val="001C0ECB"/>
    <w:rsid w:val="001C0FA0"/>
    <w:rsid w:val="001C279C"/>
    <w:rsid w:val="001C2D7A"/>
    <w:rsid w:val="001C2FFA"/>
    <w:rsid w:val="001C316E"/>
    <w:rsid w:val="001C3A24"/>
    <w:rsid w:val="001C452C"/>
    <w:rsid w:val="001C4E36"/>
    <w:rsid w:val="001C5F6C"/>
    <w:rsid w:val="001C5FC4"/>
    <w:rsid w:val="001D0058"/>
    <w:rsid w:val="001D132C"/>
    <w:rsid w:val="001D24FD"/>
    <w:rsid w:val="001D2850"/>
    <w:rsid w:val="001D2BB1"/>
    <w:rsid w:val="001D495A"/>
    <w:rsid w:val="001D4F89"/>
    <w:rsid w:val="001D5DF4"/>
    <w:rsid w:val="001D65DA"/>
    <w:rsid w:val="001D6AC2"/>
    <w:rsid w:val="001E06C0"/>
    <w:rsid w:val="001E0D20"/>
    <w:rsid w:val="001E0D4D"/>
    <w:rsid w:val="001E1503"/>
    <w:rsid w:val="001E1703"/>
    <w:rsid w:val="001E1A8D"/>
    <w:rsid w:val="001E1E87"/>
    <w:rsid w:val="001E242C"/>
    <w:rsid w:val="001E244C"/>
    <w:rsid w:val="001E34B0"/>
    <w:rsid w:val="001E3D1C"/>
    <w:rsid w:val="001E6B33"/>
    <w:rsid w:val="001E7424"/>
    <w:rsid w:val="001E7961"/>
    <w:rsid w:val="001E7CC6"/>
    <w:rsid w:val="001E7E58"/>
    <w:rsid w:val="001F1437"/>
    <w:rsid w:val="001F24AC"/>
    <w:rsid w:val="001F3059"/>
    <w:rsid w:val="001F3589"/>
    <w:rsid w:val="001F3D45"/>
    <w:rsid w:val="001F41D1"/>
    <w:rsid w:val="001F60E0"/>
    <w:rsid w:val="001F6F8B"/>
    <w:rsid w:val="001F7F5B"/>
    <w:rsid w:val="00200DF2"/>
    <w:rsid w:val="0020225E"/>
    <w:rsid w:val="0020239E"/>
    <w:rsid w:val="0020283F"/>
    <w:rsid w:val="002040F1"/>
    <w:rsid w:val="0020411D"/>
    <w:rsid w:val="00204CCF"/>
    <w:rsid w:val="0020547F"/>
    <w:rsid w:val="00205949"/>
    <w:rsid w:val="00205ADB"/>
    <w:rsid w:val="00205E78"/>
    <w:rsid w:val="00210D5C"/>
    <w:rsid w:val="00211160"/>
    <w:rsid w:val="00211320"/>
    <w:rsid w:val="00211446"/>
    <w:rsid w:val="002116D6"/>
    <w:rsid w:val="0021200D"/>
    <w:rsid w:val="002126E6"/>
    <w:rsid w:val="00212F3E"/>
    <w:rsid w:val="002132F4"/>
    <w:rsid w:val="00213F6F"/>
    <w:rsid w:val="0021408A"/>
    <w:rsid w:val="00214370"/>
    <w:rsid w:val="00214CC9"/>
    <w:rsid w:val="002159F3"/>
    <w:rsid w:val="00215C61"/>
    <w:rsid w:val="00216306"/>
    <w:rsid w:val="0021649D"/>
    <w:rsid w:val="00217652"/>
    <w:rsid w:val="002179DC"/>
    <w:rsid w:val="00217FB8"/>
    <w:rsid w:val="0022007D"/>
    <w:rsid w:val="002211B3"/>
    <w:rsid w:val="00221C86"/>
    <w:rsid w:val="002232EA"/>
    <w:rsid w:val="00223406"/>
    <w:rsid w:val="00224D47"/>
    <w:rsid w:val="00224ECF"/>
    <w:rsid w:val="002252A7"/>
    <w:rsid w:val="00225575"/>
    <w:rsid w:val="0022564F"/>
    <w:rsid w:val="002259EF"/>
    <w:rsid w:val="00225BC6"/>
    <w:rsid w:val="00227A81"/>
    <w:rsid w:val="00231CAF"/>
    <w:rsid w:val="002321CE"/>
    <w:rsid w:val="00232A61"/>
    <w:rsid w:val="00233D39"/>
    <w:rsid w:val="00233DC5"/>
    <w:rsid w:val="00233EE3"/>
    <w:rsid w:val="002349E1"/>
    <w:rsid w:val="00234A4B"/>
    <w:rsid w:val="00234DDF"/>
    <w:rsid w:val="0023531B"/>
    <w:rsid w:val="00235FDE"/>
    <w:rsid w:val="002365B8"/>
    <w:rsid w:val="002367C4"/>
    <w:rsid w:val="00240D52"/>
    <w:rsid w:val="00241E15"/>
    <w:rsid w:val="002427A5"/>
    <w:rsid w:val="00242ED1"/>
    <w:rsid w:val="002442D3"/>
    <w:rsid w:val="002444BB"/>
    <w:rsid w:val="00244B65"/>
    <w:rsid w:val="002454D1"/>
    <w:rsid w:val="00245586"/>
    <w:rsid w:val="0024588A"/>
    <w:rsid w:val="002467B2"/>
    <w:rsid w:val="0024706A"/>
    <w:rsid w:val="002508F4"/>
    <w:rsid w:val="00250FC4"/>
    <w:rsid w:val="002511F1"/>
    <w:rsid w:val="002528F1"/>
    <w:rsid w:val="0025301A"/>
    <w:rsid w:val="00253E6D"/>
    <w:rsid w:val="00254069"/>
    <w:rsid w:val="00254B90"/>
    <w:rsid w:val="0025607C"/>
    <w:rsid w:val="002565C1"/>
    <w:rsid w:val="00257587"/>
    <w:rsid w:val="002600D1"/>
    <w:rsid w:val="0026016B"/>
    <w:rsid w:val="002609FC"/>
    <w:rsid w:val="00260B75"/>
    <w:rsid w:val="00261E6A"/>
    <w:rsid w:val="00263085"/>
    <w:rsid w:val="00263A61"/>
    <w:rsid w:val="002640E7"/>
    <w:rsid w:val="00267351"/>
    <w:rsid w:val="002677FB"/>
    <w:rsid w:val="00267DCC"/>
    <w:rsid w:val="00267E1D"/>
    <w:rsid w:val="00267E8B"/>
    <w:rsid w:val="00267FC4"/>
    <w:rsid w:val="00270748"/>
    <w:rsid w:val="00270D82"/>
    <w:rsid w:val="00270EAE"/>
    <w:rsid w:val="002710A5"/>
    <w:rsid w:val="002713E9"/>
    <w:rsid w:val="0027142A"/>
    <w:rsid w:val="00271D42"/>
    <w:rsid w:val="002720DA"/>
    <w:rsid w:val="00272165"/>
    <w:rsid w:val="002734E5"/>
    <w:rsid w:val="0027361F"/>
    <w:rsid w:val="002739D3"/>
    <w:rsid w:val="00273A1A"/>
    <w:rsid w:val="00273BD0"/>
    <w:rsid w:val="002746DB"/>
    <w:rsid w:val="00274D96"/>
    <w:rsid w:val="002753AF"/>
    <w:rsid w:val="0027544E"/>
    <w:rsid w:val="00275B7E"/>
    <w:rsid w:val="00276034"/>
    <w:rsid w:val="0027618C"/>
    <w:rsid w:val="0027688F"/>
    <w:rsid w:val="00277F0A"/>
    <w:rsid w:val="00280C55"/>
    <w:rsid w:val="00280CAF"/>
    <w:rsid w:val="00281AF3"/>
    <w:rsid w:val="00282586"/>
    <w:rsid w:val="002827DE"/>
    <w:rsid w:val="00282F09"/>
    <w:rsid w:val="00283123"/>
    <w:rsid w:val="00283827"/>
    <w:rsid w:val="00283DF4"/>
    <w:rsid w:val="00284287"/>
    <w:rsid w:val="002847B4"/>
    <w:rsid w:val="00284D22"/>
    <w:rsid w:val="00285577"/>
    <w:rsid w:val="0028557E"/>
    <w:rsid w:val="00285787"/>
    <w:rsid w:val="00286042"/>
    <w:rsid w:val="002862A2"/>
    <w:rsid w:val="00286DB1"/>
    <w:rsid w:val="00287D95"/>
    <w:rsid w:val="00290616"/>
    <w:rsid w:val="00291469"/>
    <w:rsid w:val="00291EE2"/>
    <w:rsid w:val="00291F62"/>
    <w:rsid w:val="00293E83"/>
    <w:rsid w:val="002940A1"/>
    <w:rsid w:val="00295252"/>
    <w:rsid w:val="00295793"/>
    <w:rsid w:val="00295BE8"/>
    <w:rsid w:val="0029663A"/>
    <w:rsid w:val="0029675D"/>
    <w:rsid w:val="00296C34"/>
    <w:rsid w:val="00297532"/>
    <w:rsid w:val="002A0C48"/>
    <w:rsid w:val="002A0F11"/>
    <w:rsid w:val="002A1210"/>
    <w:rsid w:val="002A1B9B"/>
    <w:rsid w:val="002A20C6"/>
    <w:rsid w:val="002A22D4"/>
    <w:rsid w:val="002A339D"/>
    <w:rsid w:val="002A4118"/>
    <w:rsid w:val="002A443F"/>
    <w:rsid w:val="002A4539"/>
    <w:rsid w:val="002A4B4D"/>
    <w:rsid w:val="002A4C37"/>
    <w:rsid w:val="002A735D"/>
    <w:rsid w:val="002A7740"/>
    <w:rsid w:val="002A790F"/>
    <w:rsid w:val="002A793D"/>
    <w:rsid w:val="002B1314"/>
    <w:rsid w:val="002B1ADA"/>
    <w:rsid w:val="002B1B56"/>
    <w:rsid w:val="002B20B5"/>
    <w:rsid w:val="002B4E72"/>
    <w:rsid w:val="002C08A1"/>
    <w:rsid w:val="002C15CC"/>
    <w:rsid w:val="002C16C3"/>
    <w:rsid w:val="002C188A"/>
    <w:rsid w:val="002C1AB4"/>
    <w:rsid w:val="002C2D9D"/>
    <w:rsid w:val="002C54CF"/>
    <w:rsid w:val="002D04B1"/>
    <w:rsid w:val="002D14D8"/>
    <w:rsid w:val="002D224B"/>
    <w:rsid w:val="002D2782"/>
    <w:rsid w:val="002D46D8"/>
    <w:rsid w:val="002D4799"/>
    <w:rsid w:val="002D54B6"/>
    <w:rsid w:val="002D5500"/>
    <w:rsid w:val="002D56CE"/>
    <w:rsid w:val="002D5CD3"/>
    <w:rsid w:val="002D68A4"/>
    <w:rsid w:val="002D68C5"/>
    <w:rsid w:val="002D7095"/>
    <w:rsid w:val="002D7505"/>
    <w:rsid w:val="002D7576"/>
    <w:rsid w:val="002E012F"/>
    <w:rsid w:val="002E01A6"/>
    <w:rsid w:val="002E100E"/>
    <w:rsid w:val="002E1E59"/>
    <w:rsid w:val="002E2399"/>
    <w:rsid w:val="002E34DD"/>
    <w:rsid w:val="002E3FA4"/>
    <w:rsid w:val="002E4C8F"/>
    <w:rsid w:val="002E4F06"/>
    <w:rsid w:val="002E5A84"/>
    <w:rsid w:val="002E6B43"/>
    <w:rsid w:val="002E6FAF"/>
    <w:rsid w:val="002E73AB"/>
    <w:rsid w:val="002F06C9"/>
    <w:rsid w:val="002F0E84"/>
    <w:rsid w:val="002F0FBA"/>
    <w:rsid w:val="002F11BD"/>
    <w:rsid w:val="002F1BC1"/>
    <w:rsid w:val="002F34BC"/>
    <w:rsid w:val="002F369F"/>
    <w:rsid w:val="002F4141"/>
    <w:rsid w:val="002F50AD"/>
    <w:rsid w:val="002F58B4"/>
    <w:rsid w:val="002F5983"/>
    <w:rsid w:val="002F6212"/>
    <w:rsid w:val="002F6F6F"/>
    <w:rsid w:val="002F7BC2"/>
    <w:rsid w:val="003009C8"/>
    <w:rsid w:val="00300A18"/>
    <w:rsid w:val="003012EA"/>
    <w:rsid w:val="00302FF0"/>
    <w:rsid w:val="00304F1C"/>
    <w:rsid w:val="003053AA"/>
    <w:rsid w:val="003058A8"/>
    <w:rsid w:val="00305D37"/>
    <w:rsid w:val="00305E13"/>
    <w:rsid w:val="00305E61"/>
    <w:rsid w:val="00306561"/>
    <w:rsid w:val="00306BFE"/>
    <w:rsid w:val="00306FBE"/>
    <w:rsid w:val="00307EF4"/>
    <w:rsid w:val="0031094D"/>
    <w:rsid w:val="003109F7"/>
    <w:rsid w:val="003113FF"/>
    <w:rsid w:val="00311D92"/>
    <w:rsid w:val="00312042"/>
    <w:rsid w:val="00312B19"/>
    <w:rsid w:val="0031602A"/>
    <w:rsid w:val="00317846"/>
    <w:rsid w:val="003204A8"/>
    <w:rsid w:val="00320B38"/>
    <w:rsid w:val="0032220C"/>
    <w:rsid w:val="0032277F"/>
    <w:rsid w:val="003228F8"/>
    <w:rsid w:val="003234A7"/>
    <w:rsid w:val="00324758"/>
    <w:rsid w:val="00324CA5"/>
    <w:rsid w:val="003265A7"/>
    <w:rsid w:val="003276F9"/>
    <w:rsid w:val="00327832"/>
    <w:rsid w:val="00327A6D"/>
    <w:rsid w:val="00327C90"/>
    <w:rsid w:val="00330110"/>
    <w:rsid w:val="003303FE"/>
    <w:rsid w:val="00330A64"/>
    <w:rsid w:val="0033108B"/>
    <w:rsid w:val="003315FC"/>
    <w:rsid w:val="00331BC6"/>
    <w:rsid w:val="00331FFF"/>
    <w:rsid w:val="003323F9"/>
    <w:rsid w:val="00332953"/>
    <w:rsid w:val="00333E61"/>
    <w:rsid w:val="00334104"/>
    <w:rsid w:val="00334674"/>
    <w:rsid w:val="00334923"/>
    <w:rsid w:val="00334B29"/>
    <w:rsid w:val="003352B2"/>
    <w:rsid w:val="00335D77"/>
    <w:rsid w:val="00336A9B"/>
    <w:rsid w:val="003376B8"/>
    <w:rsid w:val="00340568"/>
    <w:rsid w:val="0034284B"/>
    <w:rsid w:val="00342BB9"/>
    <w:rsid w:val="00343AFA"/>
    <w:rsid w:val="00343F0A"/>
    <w:rsid w:val="0034557A"/>
    <w:rsid w:val="003472F8"/>
    <w:rsid w:val="00347424"/>
    <w:rsid w:val="00350523"/>
    <w:rsid w:val="0035099F"/>
    <w:rsid w:val="0035189D"/>
    <w:rsid w:val="0035228A"/>
    <w:rsid w:val="0035235C"/>
    <w:rsid w:val="003536A7"/>
    <w:rsid w:val="00353D99"/>
    <w:rsid w:val="00353DE9"/>
    <w:rsid w:val="00353FC1"/>
    <w:rsid w:val="003544E7"/>
    <w:rsid w:val="003558B6"/>
    <w:rsid w:val="00356BEA"/>
    <w:rsid w:val="00357BE9"/>
    <w:rsid w:val="00357C8A"/>
    <w:rsid w:val="003613B9"/>
    <w:rsid w:val="00361831"/>
    <w:rsid w:val="00361C47"/>
    <w:rsid w:val="00361DC9"/>
    <w:rsid w:val="0036399A"/>
    <w:rsid w:val="00363E42"/>
    <w:rsid w:val="00364200"/>
    <w:rsid w:val="003666BC"/>
    <w:rsid w:val="00366ECE"/>
    <w:rsid w:val="003670D4"/>
    <w:rsid w:val="00367246"/>
    <w:rsid w:val="0036752D"/>
    <w:rsid w:val="00367ED8"/>
    <w:rsid w:val="0037073D"/>
    <w:rsid w:val="00372D5A"/>
    <w:rsid w:val="003740BC"/>
    <w:rsid w:val="00374AEC"/>
    <w:rsid w:val="00374F45"/>
    <w:rsid w:val="0037505C"/>
    <w:rsid w:val="00375B03"/>
    <w:rsid w:val="00375CBC"/>
    <w:rsid w:val="00376053"/>
    <w:rsid w:val="003764F0"/>
    <w:rsid w:val="00376625"/>
    <w:rsid w:val="00377008"/>
    <w:rsid w:val="00377310"/>
    <w:rsid w:val="00377E55"/>
    <w:rsid w:val="003801A3"/>
    <w:rsid w:val="00380AB0"/>
    <w:rsid w:val="00380DDA"/>
    <w:rsid w:val="00380E8A"/>
    <w:rsid w:val="00382882"/>
    <w:rsid w:val="00383909"/>
    <w:rsid w:val="00383A7D"/>
    <w:rsid w:val="00383D90"/>
    <w:rsid w:val="00384F4E"/>
    <w:rsid w:val="00385067"/>
    <w:rsid w:val="003851D7"/>
    <w:rsid w:val="0038537C"/>
    <w:rsid w:val="00385B5A"/>
    <w:rsid w:val="00385BBF"/>
    <w:rsid w:val="00385C57"/>
    <w:rsid w:val="0038697B"/>
    <w:rsid w:val="00390C77"/>
    <w:rsid w:val="003911B5"/>
    <w:rsid w:val="00391C84"/>
    <w:rsid w:val="00392F48"/>
    <w:rsid w:val="0039377A"/>
    <w:rsid w:val="003944C0"/>
    <w:rsid w:val="00395A6F"/>
    <w:rsid w:val="00395C3B"/>
    <w:rsid w:val="00396795"/>
    <w:rsid w:val="00396F98"/>
    <w:rsid w:val="00397165"/>
    <w:rsid w:val="00397804"/>
    <w:rsid w:val="00397E39"/>
    <w:rsid w:val="003A1A27"/>
    <w:rsid w:val="003A21CE"/>
    <w:rsid w:val="003A3218"/>
    <w:rsid w:val="003A4573"/>
    <w:rsid w:val="003A4923"/>
    <w:rsid w:val="003A4C15"/>
    <w:rsid w:val="003A4F9F"/>
    <w:rsid w:val="003A50CC"/>
    <w:rsid w:val="003A5770"/>
    <w:rsid w:val="003A5927"/>
    <w:rsid w:val="003A5F5E"/>
    <w:rsid w:val="003A6357"/>
    <w:rsid w:val="003A6674"/>
    <w:rsid w:val="003A69A7"/>
    <w:rsid w:val="003A6E73"/>
    <w:rsid w:val="003A6F97"/>
    <w:rsid w:val="003A7C46"/>
    <w:rsid w:val="003A7E4C"/>
    <w:rsid w:val="003B42B3"/>
    <w:rsid w:val="003B4B60"/>
    <w:rsid w:val="003B6384"/>
    <w:rsid w:val="003B6FFB"/>
    <w:rsid w:val="003C095E"/>
    <w:rsid w:val="003C1769"/>
    <w:rsid w:val="003C1A67"/>
    <w:rsid w:val="003C264B"/>
    <w:rsid w:val="003C31EF"/>
    <w:rsid w:val="003C49F0"/>
    <w:rsid w:val="003C4EBB"/>
    <w:rsid w:val="003C53ED"/>
    <w:rsid w:val="003C55A7"/>
    <w:rsid w:val="003C5C47"/>
    <w:rsid w:val="003C6229"/>
    <w:rsid w:val="003C652E"/>
    <w:rsid w:val="003C6876"/>
    <w:rsid w:val="003C7460"/>
    <w:rsid w:val="003C7BF2"/>
    <w:rsid w:val="003D0267"/>
    <w:rsid w:val="003D04F6"/>
    <w:rsid w:val="003D114B"/>
    <w:rsid w:val="003D1531"/>
    <w:rsid w:val="003D235D"/>
    <w:rsid w:val="003D2713"/>
    <w:rsid w:val="003D3401"/>
    <w:rsid w:val="003D3829"/>
    <w:rsid w:val="003D4242"/>
    <w:rsid w:val="003D444D"/>
    <w:rsid w:val="003D4F06"/>
    <w:rsid w:val="003D6713"/>
    <w:rsid w:val="003D6817"/>
    <w:rsid w:val="003D69EC"/>
    <w:rsid w:val="003D7291"/>
    <w:rsid w:val="003E07C8"/>
    <w:rsid w:val="003E13C4"/>
    <w:rsid w:val="003E209D"/>
    <w:rsid w:val="003E244C"/>
    <w:rsid w:val="003E4489"/>
    <w:rsid w:val="003E4AC6"/>
    <w:rsid w:val="003E4C82"/>
    <w:rsid w:val="003E4EC6"/>
    <w:rsid w:val="003E527E"/>
    <w:rsid w:val="003E553E"/>
    <w:rsid w:val="003E657A"/>
    <w:rsid w:val="003E670A"/>
    <w:rsid w:val="003E67F1"/>
    <w:rsid w:val="003E702C"/>
    <w:rsid w:val="003E7078"/>
    <w:rsid w:val="003E7D71"/>
    <w:rsid w:val="003F02DC"/>
    <w:rsid w:val="003F039A"/>
    <w:rsid w:val="003F1428"/>
    <w:rsid w:val="003F1826"/>
    <w:rsid w:val="003F2391"/>
    <w:rsid w:val="003F2CCF"/>
    <w:rsid w:val="003F2D40"/>
    <w:rsid w:val="003F3DF5"/>
    <w:rsid w:val="003F450A"/>
    <w:rsid w:val="003F55CB"/>
    <w:rsid w:val="003F5689"/>
    <w:rsid w:val="003F656D"/>
    <w:rsid w:val="003F7870"/>
    <w:rsid w:val="00400000"/>
    <w:rsid w:val="004007EB"/>
    <w:rsid w:val="00402A9A"/>
    <w:rsid w:val="00404A07"/>
    <w:rsid w:val="0040539C"/>
    <w:rsid w:val="0040774C"/>
    <w:rsid w:val="00410A19"/>
    <w:rsid w:val="00410B03"/>
    <w:rsid w:val="00411452"/>
    <w:rsid w:val="00411D11"/>
    <w:rsid w:val="0041212C"/>
    <w:rsid w:val="00412466"/>
    <w:rsid w:val="004128E0"/>
    <w:rsid w:val="0041485F"/>
    <w:rsid w:val="00415DD5"/>
    <w:rsid w:val="00415E23"/>
    <w:rsid w:val="00415FE1"/>
    <w:rsid w:val="00416107"/>
    <w:rsid w:val="004166FD"/>
    <w:rsid w:val="0041670D"/>
    <w:rsid w:val="00417B3C"/>
    <w:rsid w:val="004226EA"/>
    <w:rsid w:val="0042285D"/>
    <w:rsid w:val="004238D2"/>
    <w:rsid w:val="00424061"/>
    <w:rsid w:val="004244BD"/>
    <w:rsid w:val="00425EC8"/>
    <w:rsid w:val="00426B6F"/>
    <w:rsid w:val="00430021"/>
    <w:rsid w:val="004309AD"/>
    <w:rsid w:val="00431471"/>
    <w:rsid w:val="0043183F"/>
    <w:rsid w:val="00431E57"/>
    <w:rsid w:val="00432A17"/>
    <w:rsid w:val="00432DFB"/>
    <w:rsid w:val="004331BD"/>
    <w:rsid w:val="00433A14"/>
    <w:rsid w:val="00433CDA"/>
    <w:rsid w:val="004343BD"/>
    <w:rsid w:val="00434DBA"/>
    <w:rsid w:val="004355FB"/>
    <w:rsid w:val="00435C22"/>
    <w:rsid w:val="0043624F"/>
    <w:rsid w:val="00437CF6"/>
    <w:rsid w:val="00437FD6"/>
    <w:rsid w:val="00440A0C"/>
    <w:rsid w:val="004416AC"/>
    <w:rsid w:val="00442708"/>
    <w:rsid w:val="00442A3C"/>
    <w:rsid w:val="00442D16"/>
    <w:rsid w:val="00442E76"/>
    <w:rsid w:val="004433F7"/>
    <w:rsid w:val="0044351D"/>
    <w:rsid w:val="00443969"/>
    <w:rsid w:val="00443F50"/>
    <w:rsid w:val="004443F1"/>
    <w:rsid w:val="00445B3D"/>
    <w:rsid w:val="0044642F"/>
    <w:rsid w:val="004467CA"/>
    <w:rsid w:val="00447D3A"/>
    <w:rsid w:val="00447D74"/>
    <w:rsid w:val="00450948"/>
    <w:rsid w:val="00450A74"/>
    <w:rsid w:val="00450F48"/>
    <w:rsid w:val="00450F71"/>
    <w:rsid w:val="00451294"/>
    <w:rsid w:val="004512E6"/>
    <w:rsid w:val="0045164E"/>
    <w:rsid w:val="004546BF"/>
    <w:rsid w:val="004550AF"/>
    <w:rsid w:val="004555E4"/>
    <w:rsid w:val="004579BC"/>
    <w:rsid w:val="004600E8"/>
    <w:rsid w:val="00460141"/>
    <w:rsid w:val="0046034E"/>
    <w:rsid w:val="00460424"/>
    <w:rsid w:val="00460B51"/>
    <w:rsid w:val="00463B6F"/>
    <w:rsid w:val="004648E0"/>
    <w:rsid w:val="00464E03"/>
    <w:rsid w:val="0046511A"/>
    <w:rsid w:val="00465350"/>
    <w:rsid w:val="004653D8"/>
    <w:rsid w:val="00465DA4"/>
    <w:rsid w:val="004661DA"/>
    <w:rsid w:val="00466281"/>
    <w:rsid w:val="00466475"/>
    <w:rsid w:val="00466489"/>
    <w:rsid w:val="0046657C"/>
    <w:rsid w:val="00466BD8"/>
    <w:rsid w:val="0046750C"/>
    <w:rsid w:val="004702A0"/>
    <w:rsid w:val="00471751"/>
    <w:rsid w:val="0047190A"/>
    <w:rsid w:val="00472CAD"/>
    <w:rsid w:val="00473390"/>
    <w:rsid w:val="00473F8B"/>
    <w:rsid w:val="00475845"/>
    <w:rsid w:val="00475A98"/>
    <w:rsid w:val="00475CE2"/>
    <w:rsid w:val="00475DBE"/>
    <w:rsid w:val="0047701B"/>
    <w:rsid w:val="00477568"/>
    <w:rsid w:val="00477BDB"/>
    <w:rsid w:val="00477F92"/>
    <w:rsid w:val="00480AE9"/>
    <w:rsid w:val="00480DC8"/>
    <w:rsid w:val="004810DD"/>
    <w:rsid w:val="00482A78"/>
    <w:rsid w:val="00482D21"/>
    <w:rsid w:val="00483A5E"/>
    <w:rsid w:val="0048436E"/>
    <w:rsid w:val="004846BF"/>
    <w:rsid w:val="00484BEF"/>
    <w:rsid w:val="00485515"/>
    <w:rsid w:val="00485CC1"/>
    <w:rsid w:val="004870F9"/>
    <w:rsid w:val="00487222"/>
    <w:rsid w:val="00487272"/>
    <w:rsid w:val="0048747E"/>
    <w:rsid w:val="00487AF7"/>
    <w:rsid w:val="00491080"/>
    <w:rsid w:val="004913E3"/>
    <w:rsid w:val="00491A17"/>
    <w:rsid w:val="00491E85"/>
    <w:rsid w:val="00495642"/>
    <w:rsid w:val="0049583D"/>
    <w:rsid w:val="0049605A"/>
    <w:rsid w:val="004A00A2"/>
    <w:rsid w:val="004A2137"/>
    <w:rsid w:val="004A255D"/>
    <w:rsid w:val="004A25D2"/>
    <w:rsid w:val="004A36E5"/>
    <w:rsid w:val="004A403F"/>
    <w:rsid w:val="004A430E"/>
    <w:rsid w:val="004A48C6"/>
    <w:rsid w:val="004A5892"/>
    <w:rsid w:val="004A5A8B"/>
    <w:rsid w:val="004A60D9"/>
    <w:rsid w:val="004A63D8"/>
    <w:rsid w:val="004A7B35"/>
    <w:rsid w:val="004B06DC"/>
    <w:rsid w:val="004B1782"/>
    <w:rsid w:val="004B2276"/>
    <w:rsid w:val="004B2CFC"/>
    <w:rsid w:val="004B3117"/>
    <w:rsid w:val="004B43BD"/>
    <w:rsid w:val="004B43D6"/>
    <w:rsid w:val="004B4465"/>
    <w:rsid w:val="004B4A8E"/>
    <w:rsid w:val="004B5197"/>
    <w:rsid w:val="004B5E1D"/>
    <w:rsid w:val="004B68A0"/>
    <w:rsid w:val="004B6DFD"/>
    <w:rsid w:val="004B6EF3"/>
    <w:rsid w:val="004B7946"/>
    <w:rsid w:val="004C01F7"/>
    <w:rsid w:val="004C0F73"/>
    <w:rsid w:val="004C14EA"/>
    <w:rsid w:val="004C1515"/>
    <w:rsid w:val="004C161E"/>
    <w:rsid w:val="004C1E10"/>
    <w:rsid w:val="004C262E"/>
    <w:rsid w:val="004C3F2E"/>
    <w:rsid w:val="004C4BCF"/>
    <w:rsid w:val="004C4BFE"/>
    <w:rsid w:val="004C52FB"/>
    <w:rsid w:val="004C6979"/>
    <w:rsid w:val="004C6DD6"/>
    <w:rsid w:val="004C72B6"/>
    <w:rsid w:val="004C79C8"/>
    <w:rsid w:val="004D0300"/>
    <w:rsid w:val="004D1344"/>
    <w:rsid w:val="004D166A"/>
    <w:rsid w:val="004D1808"/>
    <w:rsid w:val="004D19CE"/>
    <w:rsid w:val="004D3108"/>
    <w:rsid w:val="004D3E7A"/>
    <w:rsid w:val="004D42FE"/>
    <w:rsid w:val="004D5B13"/>
    <w:rsid w:val="004D62D5"/>
    <w:rsid w:val="004D6873"/>
    <w:rsid w:val="004D7456"/>
    <w:rsid w:val="004D7D46"/>
    <w:rsid w:val="004E09D5"/>
    <w:rsid w:val="004E0A53"/>
    <w:rsid w:val="004E2A0C"/>
    <w:rsid w:val="004E3EB9"/>
    <w:rsid w:val="004E408B"/>
    <w:rsid w:val="004E475D"/>
    <w:rsid w:val="004E4969"/>
    <w:rsid w:val="004E5DC9"/>
    <w:rsid w:val="004E6244"/>
    <w:rsid w:val="004E6BEF"/>
    <w:rsid w:val="004E6C2F"/>
    <w:rsid w:val="004E6C6B"/>
    <w:rsid w:val="004E7686"/>
    <w:rsid w:val="004E7D6B"/>
    <w:rsid w:val="004F0B14"/>
    <w:rsid w:val="004F1B2A"/>
    <w:rsid w:val="004F1C67"/>
    <w:rsid w:val="004F4238"/>
    <w:rsid w:val="004F5800"/>
    <w:rsid w:val="004F594B"/>
    <w:rsid w:val="004F61E1"/>
    <w:rsid w:val="004F73A7"/>
    <w:rsid w:val="0050033C"/>
    <w:rsid w:val="00500E42"/>
    <w:rsid w:val="005016C1"/>
    <w:rsid w:val="00502118"/>
    <w:rsid w:val="0050213A"/>
    <w:rsid w:val="00502571"/>
    <w:rsid w:val="005026E8"/>
    <w:rsid w:val="0050275A"/>
    <w:rsid w:val="00502B3F"/>
    <w:rsid w:val="00502E6C"/>
    <w:rsid w:val="00503EB1"/>
    <w:rsid w:val="00504D5D"/>
    <w:rsid w:val="00507B0F"/>
    <w:rsid w:val="0051074A"/>
    <w:rsid w:val="005107C5"/>
    <w:rsid w:val="00510B5B"/>
    <w:rsid w:val="00512789"/>
    <w:rsid w:val="00513194"/>
    <w:rsid w:val="00513789"/>
    <w:rsid w:val="005138B6"/>
    <w:rsid w:val="005141C3"/>
    <w:rsid w:val="0051431A"/>
    <w:rsid w:val="00514655"/>
    <w:rsid w:val="005169D3"/>
    <w:rsid w:val="005179B0"/>
    <w:rsid w:val="005212CF"/>
    <w:rsid w:val="005216E0"/>
    <w:rsid w:val="005222D6"/>
    <w:rsid w:val="00522653"/>
    <w:rsid w:val="005228F5"/>
    <w:rsid w:val="00523310"/>
    <w:rsid w:val="00523502"/>
    <w:rsid w:val="00523999"/>
    <w:rsid w:val="005246EA"/>
    <w:rsid w:val="005250E7"/>
    <w:rsid w:val="00525879"/>
    <w:rsid w:val="00526694"/>
    <w:rsid w:val="00526A66"/>
    <w:rsid w:val="0052782C"/>
    <w:rsid w:val="005300C6"/>
    <w:rsid w:val="00530CBA"/>
    <w:rsid w:val="00530DD9"/>
    <w:rsid w:val="0053266B"/>
    <w:rsid w:val="00532894"/>
    <w:rsid w:val="005328B8"/>
    <w:rsid w:val="0053347E"/>
    <w:rsid w:val="005345FD"/>
    <w:rsid w:val="00535A53"/>
    <w:rsid w:val="00535B86"/>
    <w:rsid w:val="00536495"/>
    <w:rsid w:val="0053669E"/>
    <w:rsid w:val="00536EEC"/>
    <w:rsid w:val="005402D9"/>
    <w:rsid w:val="0054039E"/>
    <w:rsid w:val="005420EF"/>
    <w:rsid w:val="0054234B"/>
    <w:rsid w:val="00544138"/>
    <w:rsid w:val="00544614"/>
    <w:rsid w:val="00545BE2"/>
    <w:rsid w:val="00546F1D"/>
    <w:rsid w:val="005470E1"/>
    <w:rsid w:val="00550755"/>
    <w:rsid w:val="00551725"/>
    <w:rsid w:val="0055256E"/>
    <w:rsid w:val="00552668"/>
    <w:rsid w:val="00552DE7"/>
    <w:rsid w:val="005534C4"/>
    <w:rsid w:val="005534EB"/>
    <w:rsid w:val="00554075"/>
    <w:rsid w:val="00554DE3"/>
    <w:rsid w:val="00555AF1"/>
    <w:rsid w:val="00557D2F"/>
    <w:rsid w:val="00560333"/>
    <w:rsid w:val="00560B6B"/>
    <w:rsid w:val="00561DAC"/>
    <w:rsid w:val="00563ACB"/>
    <w:rsid w:val="00564F32"/>
    <w:rsid w:val="00565EAC"/>
    <w:rsid w:val="0056629B"/>
    <w:rsid w:val="0056664C"/>
    <w:rsid w:val="00566FBF"/>
    <w:rsid w:val="00567B3E"/>
    <w:rsid w:val="005700FE"/>
    <w:rsid w:val="005723D9"/>
    <w:rsid w:val="00572824"/>
    <w:rsid w:val="00573BA9"/>
    <w:rsid w:val="00573DC1"/>
    <w:rsid w:val="00575203"/>
    <w:rsid w:val="00575AE0"/>
    <w:rsid w:val="005763BD"/>
    <w:rsid w:val="00577407"/>
    <w:rsid w:val="00577F66"/>
    <w:rsid w:val="00580C57"/>
    <w:rsid w:val="00581BB7"/>
    <w:rsid w:val="00582194"/>
    <w:rsid w:val="00582234"/>
    <w:rsid w:val="00582246"/>
    <w:rsid w:val="005839EC"/>
    <w:rsid w:val="00584583"/>
    <w:rsid w:val="00585902"/>
    <w:rsid w:val="00586062"/>
    <w:rsid w:val="00586068"/>
    <w:rsid w:val="005873CE"/>
    <w:rsid w:val="005905FF"/>
    <w:rsid w:val="00590EEB"/>
    <w:rsid w:val="005912AE"/>
    <w:rsid w:val="00591F34"/>
    <w:rsid w:val="00592103"/>
    <w:rsid w:val="00592267"/>
    <w:rsid w:val="005925AA"/>
    <w:rsid w:val="00593855"/>
    <w:rsid w:val="00593A96"/>
    <w:rsid w:val="00595DC1"/>
    <w:rsid w:val="00596108"/>
    <w:rsid w:val="005971E0"/>
    <w:rsid w:val="005A08ED"/>
    <w:rsid w:val="005A200A"/>
    <w:rsid w:val="005A2117"/>
    <w:rsid w:val="005A241D"/>
    <w:rsid w:val="005A3892"/>
    <w:rsid w:val="005A3D18"/>
    <w:rsid w:val="005A4099"/>
    <w:rsid w:val="005A4467"/>
    <w:rsid w:val="005A617D"/>
    <w:rsid w:val="005A6E3A"/>
    <w:rsid w:val="005A7216"/>
    <w:rsid w:val="005B0585"/>
    <w:rsid w:val="005B1A5A"/>
    <w:rsid w:val="005B1CA8"/>
    <w:rsid w:val="005B2A05"/>
    <w:rsid w:val="005B2A8C"/>
    <w:rsid w:val="005B2D11"/>
    <w:rsid w:val="005B3203"/>
    <w:rsid w:val="005B43DE"/>
    <w:rsid w:val="005B4418"/>
    <w:rsid w:val="005B558C"/>
    <w:rsid w:val="005B58C5"/>
    <w:rsid w:val="005B5B99"/>
    <w:rsid w:val="005B671B"/>
    <w:rsid w:val="005B7157"/>
    <w:rsid w:val="005B79D0"/>
    <w:rsid w:val="005B7B6A"/>
    <w:rsid w:val="005C1539"/>
    <w:rsid w:val="005C17B7"/>
    <w:rsid w:val="005C2115"/>
    <w:rsid w:val="005C38B2"/>
    <w:rsid w:val="005C41B5"/>
    <w:rsid w:val="005C4D96"/>
    <w:rsid w:val="005C5029"/>
    <w:rsid w:val="005C55C2"/>
    <w:rsid w:val="005C5C3C"/>
    <w:rsid w:val="005C6218"/>
    <w:rsid w:val="005C699E"/>
    <w:rsid w:val="005C6A7A"/>
    <w:rsid w:val="005C745C"/>
    <w:rsid w:val="005C74A4"/>
    <w:rsid w:val="005C7CF6"/>
    <w:rsid w:val="005D0548"/>
    <w:rsid w:val="005D089E"/>
    <w:rsid w:val="005D14FE"/>
    <w:rsid w:val="005D1F31"/>
    <w:rsid w:val="005D28AA"/>
    <w:rsid w:val="005D30AF"/>
    <w:rsid w:val="005D3713"/>
    <w:rsid w:val="005D37FC"/>
    <w:rsid w:val="005D3FA2"/>
    <w:rsid w:val="005D407B"/>
    <w:rsid w:val="005D480F"/>
    <w:rsid w:val="005D4A51"/>
    <w:rsid w:val="005D4DF5"/>
    <w:rsid w:val="005D59F5"/>
    <w:rsid w:val="005D7999"/>
    <w:rsid w:val="005D7A0B"/>
    <w:rsid w:val="005E03B7"/>
    <w:rsid w:val="005E072C"/>
    <w:rsid w:val="005E0858"/>
    <w:rsid w:val="005E1961"/>
    <w:rsid w:val="005E2E65"/>
    <w:rsid w:val="005E3816"/>
    <w:rsid w:val="005E3C8F"/>
    <w:rsid w:val="005E3D2F"/>
    <w:rsid w:val="005E426A"/>
    <w:rsid w:val="005E4F20"/>
    <w:rsid w:val="005E55C5"/>
    <w:rsid w:val="005E66C9"/>
    <w:rsid w:val="005E69B6"/>
    <w:rsid w:val="005E6D67"/>
    <w:rsid w:val="005E744E"/>
    <w:rsid w:val="005E7FCA"/>
    <w:rsid w:val="005F1ECF"/>
    <w:rsid w:val="005F2990"/>
    <w:rsid w:val="005F33A8"/>
    <w:rsid w:val="005F3F82"/>
    <w:rsid w:val="005F403B"/>
    <w:rsid w:val="005F47BF"/>
    <w:rsid w:val="005F570E"/>
    <w:rsid w:val="005F6163"/>
    <w:rsid w:val="005F7575"/>
    <w:rsid w:val="005F7687"/>
    <w:rsid w:val="00602344"/>
    <w:rsid w:val="00603B81"/>
    <w:rsid w:val="00603DAF"/>
    <w:rsid w:val="00603E6A"/>
    <w:rsid w:val="00604816"/>
    <w:rsid w:val="00605257"/>
    <w:rsid w:val="0060599E"/>
    <w:rsid w:val="00605BE1"/>
    <w:rsid w:val="00606CFA"/>
    <w:rsid w:val="00607CA1"/>
    <w:rsid w:val="00607CBA"/>
    <w:rsid w:val="00607E03"/>
    <w:rsid w:val="006119A9"/>
    <w:rsid w:val="00611D3B"/>
    <w:rsid w:val="00611D6B"/>
    <w:rsid w:val="006124B5"/>
    <w:rsid w:val="00612EF9"/>
    <w:rsid w:val="00612F36"/>
    <w:rsid w:val="00613DE1"/>
    <w:rsid w:val="00615AF9"/>
    <w:rsid w:val="00615EB4"/>
    <w:rsid w:val="00616196"/>
    <w:rsid w:val="00616DCF"/>
    <w:rsid w:val="006205A2"/>
    <w:rsid w:val="006219C9"/>
    <w:rsid w:val="00622685"/>
    <w:rsid w:val="0062279C"/>
    <w:rsid w:val="006230BB"/>
    <w:rsid w:val="006233B7"/>
    <w:rsid w:val="00623587"/>
    <w:rsid w:val="00624BE6"/>
    <w:rsid w:val="00630037"/>
    <w:rsid w:val="006300BC"/>
    <w:rsid w:val="00630FA8"/>
    <w:rsid w:val="00631F28"/>
    <w:rsid w:val="00631F8C"/>
    <w:rsid w:val="0063239C"/>
    <w:rsid w:val="006326EC"/>
    <w:rsid w:val="00632820"/>
    <w:rsid w:val="00632CBA"/>
    <w:rsid w:val="0063358D"/>
    <w:rsid w:val="00635A58"/>
    <w:rsid w:val="00636119"/>
    <w:rsid w:val="00636DA2"/>
    <w:rsid w:val="0063701F"/>
    <w:rsid w:val="00637B1A"/>
    <w:rsid w:val="00641737"/>
    <w:rsid w:val="00641CF8"/>
    <w:rsid w:val="00641DD5"/>
    <w:rsid w:val="00641E82"/>
    <w:rsid w:val="006443CE"/>
    <w:rsid w:val="006453E8"/>
    <w:rsid w:val="00646E07"/>
    <w:rsid w:val="00647F36"/>
    <w:rsid w:val="00650775"/>
    <w:rsid w:val="00650ADC"/>
    <w:rsid w:val="0065298F"/>
    <w:rsid w:val="00652C9A"/>
    <w:rsid w:val="006530D7"/>
    <w:rsid w:val="00654121"/>
    <w:rsid w:val="00654163"/>
    <w:rsid w:val="00654476"/>
    <w:rsid w:val="0065484A"/>
    <w:rsid w:val="006549C2"/>
    <w:rsid w:val="0065525A"/>
    <w:rsid w:val="00655684"/>
    <w:rsid w:val="00655BED"/>
    <w:rsid w:val="0066000E"/>
    <w:rsid w:val="006604AD"/>
    <w:rsid w:val="00660AF0"/>
    <w:rsid w:val="00661CFF"/>
    <w:rsid w:val="00662317"/>
    <w:rsid w:val="00662F92"/>
    <w:rsid w:val="00663A42"/>
    <w:rsid w:val="00663AA6"/>
    <w:rsid w:val="0066413C"/>
    <w:rsid w:val="006641C7"/>
    <w:rsid w:val="00665DFC"/>
    <w:rsid w:val="006676C4"/>
    <w:rsid w:val="006678F2"/>
    <w:rsid w:val="0067095D"/>
    <w:rsid w:val="00670BE2"/>
    <w:rsid w:val="0067166E"/>
    <w:rsid w:val="00671D34"/>
    <w:rsid w:val="006728BD"/>
    <w:rsid w:val="00672E2A"/>
    <w:rsid w:val="00673509"/>
    <w:rsid w:val="00673B12"/>
    <w:rsid w:val="00674A80"/>
    <w:rsid w:val="0067502A"/>
    <w:rsid w:val="006754F9"/>
    <w:rsid w:val="00676750"/>
    <w:rsid w:val="006770B8"/>
    <w:rsid w:val="00677991"/>
    <w:rsid w:val="00680B77"/>
    <w:rsid w:val="00680FA2"/>
    <w:rsid w:val="00680FCD"/>
    <w:rsid w:val="0068103C"/>
    <w:rsid w:val="006822B4"/>
    <w:rsid w:val="00682878"/>
    <w:rsid w:val="00682C6C"/>
    <w:rsid w:val="006837F1"/>
    <w:rsid w:val="00683CA4"/>
    <w:rsid w:val="006843E2"/>
    <w:rsid w:val="006846B7"/>
    <w:rsid w:val="00684D5A"/>
    <w:rsid w:val="006854FD"/>
    <w:rsid w:val="00686B41"/>
    <w:rsid w:val="00687015"/>
    <w:rsid w:val="00690010"/>
    <w:rsid w:val="00691368"/>
    <w:rsid w:val="00692130"/>
    <w:rsid w:val="00692856"/>
    <w:rsid w:val="0069436E"/>
    <w:rsid w:val="0069481C"/>
    <w:rsid w:val="006949D1"/>
    <w:rsid w:val="0069516E"/>
    <w:rsid w:val="00695893"/>
    <w:rsid w:val="00695B3E"/>
    <w:rsid w:val="006963C0"/>
    <w:rsid w:val="00697637"/>
    <w:rsid w:val="006A039E"/>
    <w:rsid w:val="006A11A4"/>
    <w:rsid w:val="006A14AD"/>
    <w:rsid w:val="006A1563"/>
    <w:rsid w:val="006A26C6"/>
    <w:rsid w:val="006A34C8"/>
    <w:rsid w:val="006A4528"/>
    <w:rsid w:val="006A4B82"/>
    <w:rsid w:val="006A4FC4"/>
    <w:rsid w:val="006A4FFE"/>
    <w:rsid w:val="006A5733"/>
    <w:rsid w:val="006A5DFD"/>
    <w:rsid w:val="006A67B5"/>
    <w:rsid w:val="006A6D3B"/>
    <w:rsid w:val="006A7D5D"/>
    <w:rsid w:val="006B0535"/>
    <w:rsid w:val="006B1092"/>
    <w:rsid w:val="006B109B"/>
    <w:rsid w:val="006B27F6"/>
    <w:rsid w:val="006B49F9"/>
    <w:rsid w:val="006B4E51"/>
    <w:rsid w:val="006B4EEA"/>
    <w:rsid w:val="006B51F0"/>
    <w:rsid w:val="006B5F4B"/>
    <w:rsid w:val="006B63A2"/>
    <w:rsid w:val="006B6C68"/>
    <w:rsid w:val="006B7602"/>
    <w:rsid w:val="006C04C4"/>
    <w:rsid w:val="006C1709"/>
    <w:rsid w:val="006C1E46"/>
    <w:rsid w:val="006C3C88"/>
    <w:rsid w:val="006C41B1"/>
    <w:rsid w:val="006C479A"/>
    <w:rsid w:val="006C4A7B"/>
    <w:rsid w:val="006C4F07"/>
    <w:rsid w:val="006C55B7"/>
    <w:rsid w:val="006C56B3"/>
    <w:rsid w:val="006C60B9"/>
    <w:rsid w:val="006C6932"/>
    <w:rsid w:val="006C7105"/>
    <w:rsid w:val="006C7603"/>
    <w:rsid w:val="006C76A2"/>
    <w:rsid w:val="006C778E"/>
    <w:rsid w:val="006C79C7"/>
    <w:rsid w:val="006C7ED8"/>
    <w:rsid w:val="006D10D6"/>
    <w:rsid w:val="006D14B9"/>
    <w:rsid w:val="006D239F"/>
    <w:rsid w:val="006D32E7"/>
    <w:rsid w:val="006D405B"/>
    <w:rsid w:val="006D4459"/>
    <w:rsid w:val="006D47A6"/>
    <w:rsid w:val="006D48C4"/>
    <w:rsid w:val="006D5D57"/>
    <w:rsid w:val="006D676A"/>
    <w:rsid w:val="006D6D57"/>
    <w:rsid w:val="006D7CD1"/>
    <w:rsid w:val="006E316F"/>
    <w:rsid w:val="006E37A3"/>
    <w:rsid w:val="006E43FB"/>
    <w:rsid w:val="006E4865"/>
    <w:rsid w:val="006E4DB1"/>
    <w:rsid w:val="006E546B"/>
    <w:rsid w:val="006E5E9D"/>
    <w:rsid w:val="006E5EC6"/>
    <w:rsid w:val="006E6494"/>
    <w:rsid w:val="006E756B"/>
    <w:rsid w:val="006E76B1"/>
    <w:rsid w:val="006E7C76"/>
    <w:rsid w:val="006F00CD"/>
    <w:rsid w:val="006F0275"/>
    <w:rsid w:val="006F1CBA"/>
    <w:rsid w:val="006F2929"/>
    <w:rsid w:val="006F2B31"/>
    <w:rsid w:val="006F3F15"/>
    <w:rsid w:val="006F401F"/>
    <w:rsid w:val="006F4D6D"/>
    <w:rsid w:val="006F5421"/>
    <w:rsid w:val="006F5FEE"/>
    <w:rsid w:val="006F69EE"/>
    <w:rsid w:val="006F6EAE"/>
    <w:rsid w:val="006F7008"/>
    <w:rsid w:val="007002E4"/>
    <w:rsid w:val="00701E92"/>
    <w:rsid w:val="00702532"/>
    <w:rsid w:val="00702924"/>
    <w:rsid w:val="007033AC"/>
    <w:rsid w:val="007035E6"/>
    <w:rsid w:val="00703785"/>
    <w:rsid w:val="007039B0"/>
    <w:rsid w:val="00704930"/>
    <w:rsid w:val="00704DA1"/>
    <w:rsid w:val="00705086"/>
    <w:rsid w:val="0070526C"/>
    <w:rsid w:val="0070542C"/>
    <w:rsid w:val="00705838"/>
    <w:rsid w:val="00706676"/>
    <w:rsid w:val="007071CB"/>
    <w:rsid w:val="00707C58"/>
    <w:rsid w:val="00707FB1"/>
    <w:rsid w:val="00710BE0"/>
    <w:rsid w:val="00711A16"/>
    <w:rsid w:val="0071228D"/>
    <w:rsid w:val="007122E1"/>
    <w:rsid w:val="00712597"/>
    <w:rsid w:val="00712778"/>
    <w:rsid w:val="007128D8"/>
    <w:rsid w:val="007130F1"/>
    <w:rsid w:val="00713204"/>
    <w:rsid w:val="00715021"/>
    <w:rsid w:val="007153BF"/>
    <w:rsid w:val="007159D6"/>
    <w:rsid w:val="0071643C"/>
    <w:rsid w:val="007164A0"/>
    <w:rsid w:val="0071732F"/>
    <w:rsid w:val="00717ABA"/>
    <w:rsid w:val="00717AF4"/>
    <w:rsid w:val="007200BD"/>
    <w:rsid w:val="00720D71"/>
    <w:rsid w:val="00720EA2"/>
    <w:rsid w:val="00721576"/>
    <w:rsid w:val="00721EED"/>
    <w:rsid w:val="00722394"/>
    <w:rsid w:val="007224FE"/>
    <w:rsid w:val="007226A0"/>
    <w:rsid w:val="00722E52"/>
    <w:rsid w:val="007235D7"/>
    <w:rsid w:val="00723921"/>
    <w:rsid w:val="007244F5"/>
    <w:rsid w:val="00725158"/>
    <w:rsid w:val="007253E6"/>
    <w:rsid w:val="007257C9"/>
    <w:rsid w:val="007275D6"/>
    <w:rsid w:val="00727DB4"/>
    <w:rsid w:val="0073021C"/>
    <w:rsid w:val="00730F68"/>
    <w:rsid w:val="00731FCB"/>
    <w:rsid w:val="00732571"/>
    <w:rsid w:val="00732A5F"/>
    <w:rsid w:val="00735CAF"/>
    <w:rsid w:val="00736282"/>
    <w:rsid w:val="00736298"/>
    <w:rsid w:val="0073646C"/>
    <w:rsid w:val="00736481"/>
    <w:rsid w:val="00736527"/>
    <w:rsid w:val="00736CA2"/>
    <w:rsid w:val="00736D15"/>
    <w:rsid w:val="00736EE3"/>
    <w:rsid w:val="00737BA1"/>
    <w:rsid w:val="007404F8"/>
    <w:rsid w:val="00741D89"/>
    <w:rsid w:val="00741FDE"/>
    <w:rsid w:val="007435CB"/>
    <w:rsid w:val="00743B14"/>
    <w:rsid w:val="0074400E"/>
    <w:rsid w:val="00745683"/>
    <w:rsid w:val="00745A8F"/>
    <w:rsid w:val="00745C87"/>
    <w:rsid w:val="00745D32"/>
    <w:rsid w:val="007476AD"/>
    <w:rsid w:val="00747BF7"/>
    <w:rsid w:val="00750239"/>
    <w:rsid w:val="00750701"/>
    <w:rsid w:val="0075112A"/>
    <w:rsid w:val="00751442"/>
    <w:rsid w:val="007515B7"/>
    <w:rsid w:val="00751BA7"/>
    <w:rsid w:val="00751E2D"/>
    <w:rsid w:val="00752BE1"/>
    <w:rsid w:val="00752E6C"/>
    <w:rsid w:val="00752F73"/>
    <w:rsid w:val="00753410"/>
    <w:rsid w:val="00753443"/>
    <w:rsid w:val="00754497"/>
    <w:rsid w:val="00754BB0"/>
    <w:rsid w:val="00755326"/>
    <w:rsid w:val="00755F1B"/>
    <w:rsid w:val="0075621A"/>
    <w:rsid w:val="00757D81"/>
    <w:rsid w:val="00760030"/>
    <w:rsid w:val="007611D9"/>
    <w:rsid w:val="0076359E"/>
    <w:rsid w:val="007637EB"/>
    <w:rsid w:val="00763BD2"/>
    <w:rsid w:val="007646FF"/>
    <w:rsid w:val="0076490F"/>
    <w:rsid w:val="00764A9F"/>
    <w:rsid w:val="00765B11"/>
    <w:rsid w:val="007663C1"/>
    <w:rsid w:val="007679C7"/>
    <w:rsid w:val="00767D09"/>
    <w:rsid w:val="00770EC0"/>
    <w:rsid w:val="00771478"/>
    <w:rsid w:val="00772BD3"/>
    <w:rsid w:val="00772E12"/>
    <w:rsid w:val="00772EE5"/>
    <w:rsid w:val="007737DF"/>
    <w:rsid w:val="00773967"/>
    <w:rsid w:val="00773C4C"/>
    <w:rsid w:val="00774B54"/>
    <w:rsid w:val="00775042"/>
    <w:rsid w:val="00775D4A"/>
    <w:rsid w:val="0077627D"/>
    <w:rsid w:val="00776429"/>
    <w:rsid w:val="00777AC6"/>
    <w:rsid w:val="00777B31"/>
    <w:rsid w:val="00781B1A"/>
    <w:rsid w:val="007832D4"/>
    <w:rsid w:val="00783BC4"/>
    <w:rsid w:val="00785B77"/>
    <w:rsid w:val="00786B27"/>
    <w:rsid w:val="00786CD3"/>
    <w:rsid w:val="00786D83"/>
    <w:rsid w:val="007877F0"/>
    <w:rsid w:val="00787C39"/>
    <w:rsid w:val="007901BE"/>
    <w:rsid w:val="00791716"/>
    <w:rsid w:val="00792416"/>
    <w:rsid w:val="00792F09"/>
    <w:rsid w:val="00793985"/>
    <w:rsid w:val="00795D18"/>
    <w:rsid w:val="00795DF3"/>
    <w:rsid w:val="007A332A"/>
    <w:rsid w:val="007A373C"/>
    <w:rsid w:val="007A40F2"/>
    <w:rsid w:val="007A49FF"/>
    <w:rsid w:val="007A57C9"/>
    <w:rsid w:val="007A6008"/>
    <w:rsid w:val="007A64D2"/>
    <w:rsid w:val="007B05C6"/>
    <w:rsid w:val="007B0FB5"/>
    <w:rsid w:val="007B115F"/>
    <w:rsid w:val="007B219F"/>
    <w:rsid w:val="007B225C"/>
    <w:rsid w:val="007B24FE"/>
    <w:rsid w:val="007B26EE"/>
    <w:rsid w:val="007B44EE"/>
    <w:rsid w:val="007B489D"/>
    <w:rsid w:val="007B5068"/>
    <w:rsid w:val="007B5656"/>
    <w:rsid w:val="007B5BF2"/>
    <w:rsid w:val="007B5BFB"/>
    <w:rsid w:val="007B7AAD"/>
    <w:rsid w:val="007C0B45"/>
    <w:rsid w:val="007C0DF3"/>
    <w:rsid w:val="007C2705"/>
    <w:rsid w:val="007C284C"/>
    <w:rsid w:val="007C2CC6"/>
    <w:rsid w:val="007C2E18"/>
    <w:rsid w:val="007C3D33"/>
    <w:rsid w:val="007C5B42"/>
    <w:rsid w:val="007C6ECB"/>
    <w:rsid w:val="007C71C3"/>
    <w:rsid w:val="007C75B1"/>
    <w:rsid w:val="007D0E87"/>
    <w:rsid w:val="007D1184"/>
    <w:rsid w:val="007D2251"/>
    <w:rsid w:val="007D23CC"/>
    <w:rsid w:val="007D2A1C"/>
    <w:rsid w:val="007D2A61"/>
    <w:rsid w:val="007D3128"/>
    <w:rsid w:val="007D3D17"/>
    <w:rsid w:val="007D3DFC"/>
    <w:rsid w:val="007D3F06"/>
    <w:rsid w:val="007D6609"/>
    <w:rsid w:val="007D6A46"/>
    <w:rsid w:val="007E0120"/>
    <w:rsid w:val="007E0A0B"/>
    <w:rsid w:val="007E1AF1"/>
    <w:rsid w:val="007E2510"/>
    <w:rsid w:val="007E2F07"/>
    <w:rsid w:val="007E3374"/>
    <w:rsid w:val="007E47E6"/>
    <w:rsid w:val="007E4B41"/>
    <w:rsid w:val="007E53D8"/>
    <w:rsid w:val="007E5A57"/>
    <w:rsid w:val="007E7AD0"/>
    <w:rsid w:val="007E7CCC"/>
    <w:rsid w:val="007F02CA"/>
    <w:rsid w:val="007F137D"/>
    <w:rsid w:val="007F1761"/>
    <w:rsid w:val="007F1B67"/>
    <w:rsid w:val="007F1F42"/>
    <w:rsid w:val="007F2366"/>
    <w:rsid w:val="007F321D"/>
    <w:rsid w:val="007F40C5"/>
    <w:rsid w:val="007F62F0"/>
    <w:rsid w:val="007F7E35"/>
    <w:rsid w:val="008011FC"/>
    <w:rsid w:val="008022B5"/>
    <w:rsid w:val="008026DC"/>
    <w:rsid w:val="0080345A"/>
    <w:rsid w:val="00803A89"/>
    <w:rsid w:val="0080517E"/>
    <w:rsid w:val="00805524"/>
    <w:rsid w:val="00805EB5"/>
    <w:rsid w:val="0080776D"/>
    <w:rsid w:val="00807AF1"/>
    <w:rsid w:val="00807F5E"/>
    <w:rsid w:val="00810145"/>
    <w:rsid w:val="008108FA"/>
    <w:rsid w:val="00810BC0"/>
    <w:rsid w:val="00810FF1"/>
    <w:rsid w:val="00811479"/>
    <w:rsid w:val="0081156E"/>
    <w:rsid w:val="00811CFC"/>
    <w:rsid w:val="00813412"/>
    <w:rsid w:val="00815A65"/>
    <w:rsid w:val="00815D04"/>
    <w:rsid w:val="00816F4E"/>
    <w:rsid w:val="00817266"/>
    <w:rsid w:val="00820360"/>
    <w:rsid w:val="0082038A"/>
    <w:rsid w:val="0082147F"/>
    <w:rsid w:val="0082190F"/>
    <w:rsid w:val="00822336"/>
    <w:rsid w:val="00822417"/>
    <w:rsid w:val="00823587"/>
    <w:rsid w:val="00823B09"/>
    <w:rsid w:val="00823DF6"/>
    <w:rsid w:val="00823DFA"/>
    <w:rsid w:val="00824315"/>
    <w:rsid w:val="008268E2"/>
    <w:rsid w:val="00826A8E"/>
    <w:rsid w:val="00826C56"/>
    <w:rsid w:val="00827397"/>
    <w:rsid w:val="00830CF9"/>
    <w:rsid w:val="0083112D"/>
    <w:rsid w:val="008311E0"/>
    <w:rsid w:val="008317CE"/>
    <w:rsid w:val="008319A3"/>
    <w:rsid w:val="00831B15"/>
    <w:rsid w:val="00831E63"/>
    <w:rsid w:val="008321D9"/>
    <w:rsid w:val="00832B8E"/>
    <w:rsid w:val="008332DD"/>
    <w:rsid w:val="008342A3"/>
    <w:rsid w:val="008344AF"/>
    <w:rsid w:val="00835A7E"/>
    <w:rsid w:val="00835C22"/>
    <w:rsid w:val="008360FA"/>
    <w:rsid w:val="00836435"/>
    <w:rsid w:val="00840150"/>
    <w:rsid w:val="008402C3"/>
    <w:rsid w:val="00840E43"/>
    <w:rsid w:val="00840F65"/>
    <w:rsid w:val="0084198D"/>
    <w:rsid w:val="008426F0"/>
    <w:rsid w:val="00842B5D"/>
    <w:rsid w:val="00842D8D"/>
    <w:rsid w:val="00843752"/>
    <w:rsid w:val="008437C6"/>
    <w:rsid w:val="0084479F"/>
    <w:rsid w:val="0084554D"/>
    <w:rsid w:val="00845BA0"/>
    <w:rsid w:val="00846E84"/>
    <w:rsid w:val="0084764D"/>
    <w:rsid w:val="0084791A"/>
    <w:rsid w:val="00847DD5"/>
    <w:rsid w:val="008507AE"/>
    <w:rsid w:val="00850C09"/>
    <w:rsid w:val="0085118E"/>
    <w:rsid w:val="00852378"/>
    <w:rsid w:val="00853DE6"/>
    <w:rsid w:val="0085576E"/>
    <w:rsid w:val="00855975"/>
    <w:rsid w:val="00855F1E"/>
    <w:rsid w:val="00856290"/>
    <w:rsid w:val="00856BC0"/>
    <w:rsid w:val="0085725E"/>
    <w:rsid w:val="008601CF"/>
    <w:rsid w:val="0086207E"/>
    <w:rsid w:val="00862C02"/>
    <w:rsid w:val="00863020"/>
    <w:rsid w:val="00863248"/>
    <w:rsid w:val="008635FD"/>
    <w:rsid w:val="00866DD9"/>
    <w:rsid w:val="00867D0D"/>
    <w:rsid w:val="00870B5A"/>
    <w:rsid w:val="00870D58"/>
    <w:rsid w:val="00871BAF"/>
    <w:rsid w:val="00872798"/>
    <w:rsid w:val="00873599"/>
    <w:rsid w:val="00873757"/>
    <w:rsid w:val="00873DBB"/>
    <w:rsid w:val="0087481A"/>
    <w:rsid w:val="00874EE0"/>
    <w:rsid w:val="00875849"/>
    <w:rsid w:val="00876916"/>
    <w:rsid w:val="0087732D"/>
    <w:rsid w:val="008773FE"/>
    <w:rsid w:val="00877831"/>
    <w:rsid w:val="00881C84"/>
    <w:rsid w:val="00881D1E"/>
    <w:rsid w:val="008840FE"/>
    <w:rsid w:val="008841F0"/>
    <w:rsid w:val="00884DEB"/>
    <w:rsid w:val="008850C0"/>
    <w:rsid w:val="00885322"/>
    <w:rsid w:val="00885B09"/>
    <w:rsid w:val="00885CD1"/>
    <w:rsid w:val="008867E6"/>
    <w:rsid w:val="008870CD"/>
    <w:rsid w:val="00887636"/>
    <w:rsid w:val="008879EB"/>
    <w:rsid w:val="00887A56"/>
    <w:rsid w:val="008902C0"/>
    <w:rsid w:val="0089118C"/>
    <w:rsid w:val="008918ED"/>
    <w:rsid w:val="00891940"/>
    <w:rsid w:val="00892400"/>
    <w:rsid w:val="00892406"/>
    <w:rsid w:val="00892473"/>
    <w:rsid w:val="008929AF"/>
    <w:rsid w:val="008936EF"/>
    <w:rsid w:val="00893917"/>
    <w:rsid w:val="008942FF"/>
    <w:rsid w:val="00895375"/>
    <w:rsid w:val="0089599B"/>
    <w:rsid w:val="008961B8"/>
    <w:rsid w:val="00897AE4"/>
    <w:rsid w:val="00897D38"/>
    <w:rsid w:val="008A1201"/>
    <w:rsid w:val="008A151B"/>
    <w:rsid w:val="008A209D"/>
    <w:rsid w:val="008A22BB"/>
    <w:rsid w:val="008A4750"/>
    <w:rsid w:val="008A4D24"/>
    <w:rsid w:val="008A515F"/>
    <w:rsid w:val="008A57DC"/>
    <w:rsid w:val="008A5BB4"/>
    <w:rsid w:val="008A6A23"/>
    <w:rsid w:val="008B0A16"/>
    <w:rsid w:val="008B0E29"/>
    <w:rsid w:val="008B0EFA"/>
    <w:rsid w:val="008B10C7"/>
    <w:rsid w:val="008B1237"/>
    <w:rsid w:val="008B1362"/>
    <w:rsid w:val="008B15EF"/>
    <w:rsid w:val="008B1A9C"/>
    <w:rsid w:val="008B2311"/>
    <w:rsid w:val="008B30AB"/>
    <w:rsid w:val="008B310D"/>
    <w:rsid w:val="008B318C"/>
    <w:rsid w:val="008B3288"/>
    <w:rsid w:val="008B3D85"/>
    <w:rsid w:val="008B4219"/>
    <w:rsid w:val="008B48EA"/>
    <w:rsid w:val="008B4941"/>
    <w:rsid w:val="008B4D7C"/>
    <w:rsid w:val="008B54A8"/>
    <w:rsid w:val="008B5D1A"/>
    <w:rsid w:val="008B5D92"/>
    <w:rsid w:val="008C0671"/>
    <w:rsid w:val="008C0C49"/>
    <w:rsid w:val="008C11AE"/>
    <w:rsid w:val="008C2C7F"/>
    <w:rsid w:val="008C3D82"/>
    <w:rsid w:val="008C4053"/>
    <w:rsid w:val="008C6A1C"/>
    <w:rsid w:val="008C6E42"/>
    <w:rsid w:val="008C7399"/>
    <w:rsid w:val="008C73CD"/>
    <w:rsid w:val="008C7692"/>
    <w:rsid w:val="008C7E7E"/>
    <w:rsid w:val="008D0780"/>
    <w:rsid w:val="008D1701"/>
    <w:rsid w:val="008D1BB1"/>
    <w:rsid w:val="008D3EAE"/>
    <w:rsid w:val="008D3F32"/>
    <w:rsid w:val="008D43A7"/>
    <w:rsid w:val="008D50FA"/>
    <w:rsid w:val="008D5156"/>
    <w:rsid w:val="008D5228"/>
    <w:rsid w:val="008D577B"/>
    <w:rsid w:val="008D7016"/>
    <w:rsid w:val="008D7230"/>
    <w:rsid w:val="008D7FDE"/>
    <w:rsid w:val="008E069E"/>
    <w:rsid w:val="008E2A9F"/>
    <w:rsid w:val="008E2F63"/>
    <w:rsid w:val="008E5229"/>
    <w:rsid w:val="008E527B"/>
    <w:rsid w:val="008E5F55"/>
    <w:rsid w:val="008E6193"/>
    <w:rsid w:val="008E6CE4"/>
    <w:rsid w:val="008E6D8B"/>
    <w:rsid w:val="008E6ED1"/>
    <w:rsid w:val="008F1151"/>
    <w:rsid w:val="008F17B8"/>
    <w:rsid w:val="008F1A98"/>
    <w:rsid w:val="008F1DFE"/>
    <w:rsid w:val="008F3216"/>
    <w:rsid w:val="008F5183"/>
    <w:rsid w:val="008F560A"/>
    <w:rsid w:val="008F5D34"/>
    <w:rsid w:val="008F7803"/>
    <w:rsid w:val="008F7BE9"/>
    <w:rsid w:val="009001A8"/>
    <w:rsid w:val="0090062B"/>
    <w:rsid w:val="00900CAA"/>
    <w:rsid w:val="009011FD"/>
    <w:rsid w:val="00902966"/>
    <w:rsid w:val="0090408C"/>
    <w:rsid w:val="00904E5B"/>
    <w:rsid w:val="00905838"/>
    <w:rsid w:val="00905DEF"/>
    <w:rsid w:val="00905E73"/>
    <w:rsid w:val="00906899"/>
    <w:rsid w:val="00906B3C"/>
    <w:rsid w:val="009115BD"/>
    <w:rsid w:val="00911648"/>
    <w:rsid w:val="00913462"/>
    <w:rsid w:val="009135BD"/>
    <w:rsid w:val="00913B43"/>
    <w:rsid w:val="00913BEA"/>
    <w:rsid w:val="00914652"/>
    <w:rsid w:val="0091481E"/>
    <w:rsid w:val="009148CC"/>
    <w:rsid w:val="00914C3D"/>
    <w:rsid w:val="009158A6"/>
    <w:rsid w:val="00915ACA"/>
    <w:rsid w:val="00915DAD"/>
    <w:rsid w:val="00915E7E"/>
    <w:rsid w:val="00916098"/>
    <w:rsid w:val="009202FF"/>
    <w:rsid w:val="00920D83"/>
    <w:rsid w:val="00920DD0"/>
    <w:rsid w:val="00920DF9"/>
    <w:rsid w:val="009218BC"/>
    <w:rsid w:val="00921E1E"/>
    <w:rsid w:val="00921FEC"/>
    <w:rsid w:val="0092217C"/>
    <w:rsid w:val="0092291C"/>
    <w:rsid w:val="00922B42"/>
    <w:rsid w:val="00923781"/>
    <w:rsid w:val="00924438"/>
    <w:rsid w:val="0092492E"/>
    <w:rsid w:val="00925DE5"/>
    <w:rsid w:val="00926090"/>
    <w:rsid w:val="0092612D"/>
    <w:rsid w:val="00927006"/>
    <w:rsid w:val="00927138"/>
    <w:rsid w:val="009271A2"/>
    <w:rsid w:val="00927787"/>
    <w:rsid w:val="009279C9"/>
    <w:rsid w:val="00930203"/>
    <w:rsid w:val="00930E67"/>
    <w:rsid w:val="009311D2"/>
    <w:rsid w:val="009311E6"/>
    <w:rsid w:val="00931275"/>
    <w:rsid w:val="009321F9"/>
    <w:rsid w:val="00934754"/>
    <w:rsid w:val="00934F83"/>
    <w:rsid w:val="009367B2"/>
    <w:rsid w:val="00936A28"/>
    <w:rsid w:val="00936AC7"/>
    <w:rsid w:val="00937742"/>
    <w:rsid w:val="00941176"/>
    <w:rsid w:val="0094120B"/>
    <w:rsid w:val="00941402"/>
    <w:rsid w:val="00941853"/>
    <w:rsid w:val="009432C2"/>
    <w:rsid w:val="00943DE2"/>
    <w:rsid w:val="009443E5"/>
    <w:rsid w:val="009443EE"/>
    <w:rsid w:val="0094451D"/>
    <w:rsid w:val="00944ED8"/>
    <w:rsid w:val="00945AFF"/>
    <w:rsid w:val="00945CB1"/>
    <w:rsid w:val="0094711B"/>
    <w:rsid w:val="00950352"/>
    <w:rsid w:val="009508F6"/>
    <w:rsid w:val="009517BF"/>
    <w:rsid w:val="00951BAF"/>
    <w:rsid w:val="0095215D"/>
    <w:rsid w:val="00952E65"/>
    <w:rsid w:val="00952F55"/>
    <w:rsid w:val="00953983"/>
    <w:rsid w:val="00953B64"/>
    <w:rsid w:val="009544AB"/>
    <w:rsid w:val="009546EF"/>
    <w:rsid w:val="00955570"/>
    <w:rsid w:val="00956275"/>
    <w:rsid w:val="009562B3"/>
    <w:rsid w:val="00956459"/>
    <w:rsid w:val="00956B64"/>
    <w:rsid w:val="00956FA9"/>
    <w:rsid w:val="00957AD0"/>
    <w:rsid w:val="00960027"/>
    <w:rsid w:val="00960482"/>
    <w:rsid w:val="009609AD"/>
    <w:rsid w:val="00960BFC"/>
    <w:rsid w:val="00960E49"/>
    <w:rsid w:val="009612C5"/>
    <w:rsid w:val="00962405"/>
    <w:rsid w:val="0096307E"/>
    <w:rsid w:val="00963544"/>
    <w:rsid w:val="0096420E"/>
    <w:rsid w:val="00964781"/>
    <w:rsid w:val="009649CE"/>
    <w:rsid w:val="00964A69"/>
    <w:rsid w:val="009656C4"/>
    <w:rsid w:val="0096582E"/>
    <w:rsid w:val="0096599F"/>
    <w:rsid w:val="00965F7C"/>
    <w:rsid w:val="00966559"/>
    <w:rsid w:val="00966C28"/>
    <w:rsid w:val="009709DD"/>
    <w:rsid w:val="00970DAF"/>
    <w:rsid w:val="0097244E"/>
    <w:rsid w:val="00973764"/>
    <w:rsid w:val="009746E1"/>
    <w:rsid w:val="00974C26"/>
    <w:rsid w:val="00974D6E"/>
    <w:rsid w:val="00974DBF"/>
    <w:rsid w:val="009756A1"/>
    <w:rsid w:val="009775B4"/>
    <w:rsid w:val="00977F8D"/>
    <w:rsid w:val="00980835"/>
    <w:rsid w:val="009827B9"/>
    <w:rsid w:val="00982F62"/>
    <w:rsid w:val="00983387"/>
    <w:rsid w:val="00983DB2"/>
    <w:rsid w:val="00986DC0"/>
    <w:rsid w:val="00987C3F"/>
    <w:rsid w:val="0099011F"/>
    <w:rsid w:val="00991141"/>
    <w:rsid w:val="009917BB"/>
    <w:rsid w:val="0099190F"/>
    <w:rsid w:val="009922BB"/>
    <w:rsid w:val="00992A8F"/>
    <w:rsid w:val="00992B16"/>
    <w:rsid w:val="00993693"/>
    <w:rsid w:val="009936AF"/>
    <w:rsid w:val="009941E0"/>
    <w:rsid w:val="00994E3D"/>
    <w:rsid w:val="00994E72"/>
    <w:rsid w:val="00994E97"/>
    <w:rsid w:val="00995000"/>
    <w:rsid w:val="009966C6"/>
    <w:rsid w:val="0099777B"/>
    <w:rsid w:val="0099777F"/>
    <w:rsid w:val="00997E89"/>
    <w:rsid w:val="009A1674"/>
    <w:rsid w:val="009A16A3"/>
    <w:rsid w:val="009A1B5E"/>
    <w:rsid w:val="009A2231"/>
    <w:rsid w:val="009A259E"/>
    <w:rsid w:val="009A33CE"/>
    <w:rsid w:val="009A38F4"/>
    <w:rsid w:val="009A6FF1"/>
    <w:rsid w:val="009B07D1"/>
    <w:rsid w:val="009B0825"/>
    <w:rsid w:val="009B10E0"/>
    <w:rsid w:val="009B15EF"/>
    <w:rsid w:val="009B18A4"/>
    <w:rsid w:val="009B18B9"/>
    <w:rsid w:val="009B223C"/>
    <w:rsid w:val="009B2FF8"/>
    <w:rsid w:val="009B376F"/>
    <w:rsid w:val="009B4579"/>
    <w:rsid w:val="009B47FD"/>
    <w:rsid w:val="009B4C09"/>
    <w:rsid w:val="009B703E"/>
    <w:rsid w:val="009C0265"/>
    <w:rsid w:val="009C081E"/>
    <w:rsid w:val="009C14D2"/>
    <w:rsid w:val="009C15D0"/>
    <w:rsid w:val="009C1722"/>
    <w:rsid w:val="009C180B"/>
    <w:rsid w:val="009C1F68"/>
    <w:rsid w:val="009C255B"/>
    <w:rsid w:val="009C25F6"/>
    <w:rsid w:val="009C29FA"/>
    <w:rsid w:val="009C2DBF"/>
    <w:rsid w:val="009C30D4"/>
    <w:rsid w:val="009C3EE1"/>
    <w:rsid w:val="009C4DD2"/>
    <w:rsid w:val="009C5068"/>
    <w:rsid w:val="009C5398"/>
    <w:rsid w:val="009C580C"/>
    <w:rsid w:val="009C6548"/>
    <w:rsid w:val="009C684F"/>
    <w:rsid w:val="009D074C"/>
    <w:rsid w:val="009D23DE"/>
    <w:rsid w:val="009D2AD5"/>
    <w:rsid w:val="009D3081"/>
    <w:rsid w:val="009D3B36"/>
    <w:rsid w:val="009D3B6E"/>
    <w:rsid w:val="009D4661"/>
    <w:rsid w:val="009D5498"/>
    <w:rsid w:val="009D563D"/>
    <w:rsid w:val="009D5E4E"/>
    <w:rsid w:val="009D5FC3"/>
    <w:rsid w:val="009D6BAA"/>
    <w:rsid w:val="009D6F9A"/>
    <w:rsid w:val="009D6FFD"/>
    <w:rsid w:val="009D701C"/>
    <w:rsid w:val="009D7CF5"/>
    <w:rsid w:val="009E021E"/>
    <w:rsid w:val="009E162D"/>
    <w:rsid w:val="009E2180"/>
    <w:rsid w:val="009E244C"/>
    <w:rsid w:val="009E673D"/>
    <w:rsid w:val="009E6A65"/>
    <w:rsid w:val="009E6DA3"/>
    <w:rsid w:val="009E6FEA"/>
    <w:rsid w:val="009E7B0A"/>
    <w:rsid w:val="009F157F"/>
    <w:rsid w:val="009F1C3F"/>
    <w:rsid w:val="009F1E42"/>
    <w:rsid w:val="009F1F1D"/>
    <w:rsid w:val="009F2AD6"/>
    <w:rsid w:val="009F2B4F"/>
    <w:rsid w:val="009F3005"/>
    <w:rsid w:val="009F35C2"/>
    <w:rsid w:val="009F39FD"/>
    <w:rsid w:val="009F5487"/>
    <w:rsid w:val="009F5583"/>
    <w:rsid w:val="009F5EA3"/>
    <w:rsid w:val="009F66B5"/>
    <w:rsid w:val="009F6717"/>
    <w:rsid w:val="009F7574"/>
    <w:rsid w:val="009F7DDC"/>
    <w:rsid w:val="00A00016"/>
    <w:rsid w:val="00A0047E"/>
    <w:rsid w:val="00A0054B"/>
    <w:rsid w:val="00A010E7"/>
    <w:rsid w:val="00A01404"/>
    <w:rsid w:val="00A017CD"/>
    <w:rsid w:val="00A026F6"/>
    <w:rsid w:val="00A02C32"/>
    <w:rsid w:val="00A02D6C"/>
    <w:rsid w:val="00A03926"/>
    <w:rsid w:val="00A0523A"/>
    <w:rsid w:val="00A0594F"/>
    <w:rsid w:val="00A05A91"/>
    <w:rsid w:val="00A05EC2"/>
    <w:rsid w:val="00A0783B"/>
    <w:rsid w:val="00A079D7"/>
    <w:rsid w:val="00A07B0C"/>
    <w:rsid w:val="00A11621"/>
    <w:rsid w:val="00A13517"/>
    <w:rsid w:val="00A13D58"/>
    <w:rsid w:val="00A14404"/>
    <w:rsid w:val="00A158A4"/>
    <w:rsid w:val="00A16221"/>
    <w:rsid w:val="00A203F1"/>
    <w:rsid w:val="00A20A7D"/>
    <w:rsid w:val="00A20B8F"/>
    <w:rsid w:val="00A20D4D"/>
    <w:rsid w:val="00A2150C"/>
    <w:rsid w:val="00A21584"/>
    <w:rsid w:val="00A21DAC"/>
    <w:rsid w:val="00A21DF1"/>
    <w:rsid w:val="00A2311D"/>
    <w:rsid w:val="00A24537"/>
    <w:rsid w:val="00A2464A"/>
    <w:rsid w:val="00A252C6"/>
    <w:rsid w:val="00A25E3E"/>
    <w:rsid w:val="00A2659A"/>
    <w:rsid w:val="00A26B9D"/>
    <w:rsid w:val="00A27704"/>
    <w:rsid w:val="00A3052E"/>
    <w:rsid w:val="00A30801"/>
    <w:rsid w:val="00A31457"/>
    <w:rsid w:val="00A32CC7"/>
    <w:rsid w:val="00A3414F"/>
    <w:rsid w:val="00A34519"/>
    <w:rsid w:val="00A35D42"/>
    <w:rsid w:val="00A3636D"/>
    <w:rsid w:val="00A3636E"/>
    <w:rsid w:val="00A36456"/>
    <w:rsid w:val="00A36EC8"/>
    <w:rsid w:val="00A409DE"/>
    <w:rsid w:val="00A40F60"/>
    <w:rsid w:val="00A4100C"/>
    <w:rsid w:val="00A41538"/>
    <w:rsid w:val="00A41713"/>
    <w:rsid w:val="00A4184F"/>
    <w:rsid w:val="00A4192C"/>
    <w:rsid w:val="00A41A94"/>
    <w:rsid w:val="00A42AFC"/>
    <w:rsid w:val="00A43272"/>
    <w:rsid w:val="00A4338F"/>
    <w:rsid w:val="00A43BBF"/>
    <w:rsid w:val="00A43D1E"/>
    <w:rsid w:val="00A43E05"/>
    <w:rsid w:val="00A44860"/>
    <w:rsid w:val="00A46CCF"/>
    <w:rsid w:val="00A4701B"/>
    <w:rsid w:val="00A47CBA"/>
    <w:rsid w:val="00A47E30"/>
    <w:rsid w:val="00A47F4D"/>
    <w:rsid w:val="00A50CDD"/>
    <w:rsid w:val="00A52136"/>
    <w:rsid w:val="00A53451"/>
    <w:rsid w:val="00A54C58"/>
    <w:rsid w:val="00A550A2"/>
    <w:rsid w:val="00A5523B"/>
    <w:rsid w:val="00A56A97"/>
    <w:rsid w:val="00A56FD0"/>
    <w:rsid w:val="00A57AAA"/>
    <w:rsid w:val="00A602DB"/>
    <w:rsid w:val="00A60D0C"/>
    <w:rsid w:val="00A627F8"/>
    <w:rsid w:val="00A62DF9"/>
    <w:rsid w:val="00A630DE"/>
    <w:rsid w:val="00A64F5B"/>
    <w:rsid w:val="00A65362"/>
    <w:rsid w:val="00A6621F"/>
    <w:rsid w:val="00A66357"/>
    <w:rsid w:val="00A66A53"/>
    <w:rsid w:val="00A679AD"/>
    <w:rsid w:val="00A67D14"/>
    <w:rsid w:val="00A700F1"/>
    <w:rsid w:val="00A70317"/>
    <w:rsid w:val="00A70426"/>
    <w:rsid w:val="00A70D50"/>
    <w:rsid w:val="00A71794"/>
    <w:rsid w:val="00A72637"/>
    <w:rsid w:val="00A73131"/>
    <w:rsid w:val="00A750CC"/>
    <w:rsid w:val="00A763F7"/>
    <w:rsid w:val="00A77AF9"/>
    <w:rsid w:val="00A80E0E"/>
    <w:rsid w:val="00A816EA"/>
    <w:rsid w:val="00A82751"/>
    <w:rsid w:val="00A83218"/>
    <w:rsid w:val="00A84494"/>
    <w:rsid w:val="00A85A5F"/>
    <w:rsid w:val="00A86227"/>
    <w:rsid w:val="00A86C4F"/>
    <w:rsid w:val="00A90361"/>
    <w:rsid w:val="00A906EC"/>
    <w:rsid w:val="00A91E10"/>
    <w:rsid w:val="00A91E9A"/>
    <w:rsid w:val="00A928AD"/>
    <w:rsid w:val="00A92F35"/>
    <w:rsid w:val="00A93E66"/>
    <w:rsid w:val="00A93ED9"/>
    <w:rsid w:val="00A93F7D"/>
    <w:rsid w:val="00A94F6A"/>
    <w:rsid w:val="00A95090"/>
    <w:rsid w:val="00A961EE"/>
    <w:rsid w:val="00A96221"/>
    <w:rsid w:val="00A970CF"/>
    <w:rsid w:val="00A97D33"/>
    <w:rsid w:val="00AA1223"/>
    <w:rsid w:val="00AA1932"/>
    <w:rsid w:val="00AA2C40"/>
    <w:rsid w:val="00AA657D"/>
    <w:rsid w:val="00AA66B7"/>
    <w:rsid w:val="00AA66DE"/>
    <w:rsid w:val="00AA76B8"/>
    <w:rsid w:val="00AA7F22"/>
    <w:rsid w:val="00AB2BD1"/>
    <w:rsid w:val="00AB328F"/>
    <w:rsid w:val="00AB52AD"/>
    <w:rsid w:val="00AB5C7D"/>
    <w:rsid w:val="00AB5D63"/>
    <w:rsid w:val="00AB5EEA"/>
    <w:rsid w:val="00AB66D1"/>
    <w:rsid w:val="00AC00BE"/>
    <w:rsid w:val="00AC0A69"/>
    <w:rsid w:val="00AC0F06"/>
    <w:rsid w:val="00AC1AFE"/>
    <w:rsid w:val="00AC21AD"/>
    <w:rsid w:val="00AC2668"/>
    <w:rsid w:val="00AC2F24"/>
    <w:rsid w:val="00AC2F69"/>
    <w:rsid w:val="00AC3E08"/>
    <w:rsid w:val="00AC4334"/>
    <w:rsid w:val="00AC500C"/>
    <w:rsid w:val="00AC547E"/>
    <w:rsid w:val="00AC5FDA"/>
    <w:rsid w:val="00AC63B0"/>
    <w:rsid w:val="00AC67C4"/>
    <w:rsid w:val="00AC6A99"/>
    <w:rsid w:val="00AC6AE5"/>
    <w:rsid w:val="00AC6AFE"/>
    <w:rsid w:val="00AC7644"/>
    <w:rsid w:val="00AD01ED"/>
    <w:rsid w:val="00AD0F31"/>
    <w:rsid w:val="00AD154D"/>
    <w:rsid w:val="00AD162A"/>
    <w:rsid w:val="00AD24DF"/>
    <w:rsid w:val="00AD27F3"/>
    <w:rsid w:val="00AD28AF"/>
    <w:rsid w:val="00AD3C10"/>
    <w:rsid w:val="00AD4D69"/>
    <w:rsid w:val="00AD4DFF"/>
    <w:rsid w:val="00AD52A5"/>
    <w:rsid w:val="00AD53DC"/>
    <w:rsid w:val="00AD5A5D"/>
    <w:rsid w:val="00AD6834"/>
    <w:rsid w:val="00AD7477"/>
    <w:rsid w:val="00AD7718"/>
    <w:rsid w:val="00AD7FBE"/>
    <w:rsid w:val="00AE1A57"/>
    <w:rsid w:val="00AE298D"/>
    <w:rsid w:val="00AE3C2B"/>
    <w:rsid w:val="00AE3D9D"/>
    <w:rsid w:val="00AE3F41"/>
    <w:rsid w:val="00AE6392"/>
    <w:rsid w:val="00AE6550"/>
    <w:rsid w:val="00AE68B1"/>
    <w:rsid w:val="00AE6A9D"/>
    <w:rsid w:val="00AE7289"/>
    <w:rsid w:val="00AE7343"/>
    <w:rsid w:val="00AE7CF8"/>
    <w:rsid w:val="00AF0B2A"/>
    <w:rsid w:val="00AF1449"/>
    <w:rsid w:val="00AF3060"/>
    <w:rsid w:val="00AF3C61"/>
    <w:rsid w:val="00AF3E08"/>
    <w:rsid w:val="00AF4357"/>
    <w:rsid w:val="00AF45BB"/>
    <w:rsid w:val="00AF4D03"/>
    <w:rsid w:val="00AF4EB8"/>
    <w:rsid w:val="00AF5A99"/>
    <w:rsid w:val="00AF5D00"/>
    <w:rsid w:val="00AF6953"/>
    <w:rsid w:val="00AF78C9"/>
    <w:rsid w:val="00AF7C74"/>
    <w:rsid w:val="00AF7D77"/>
    <w:rsid w:val="00B018F5"/>
    <w:rsid w:val="00B02176"/>
    <w:rsid w:val="00B02B42"/>
    <w:rsid w:val="00B02E7B"/>
    <w:rsid w:val="00B052D8"/>
    <w:rsid w:val="00B055EF"/>
    <w:rsid w:val="00B070F8"/>
    <w:rsid w:val="00B1026C"/>
    <w:rsid w:val="00B1067E"/>
    <w:rsid w:val="00B111C8"/>
    <w:rsid w:val="00B12310"/>
    <w:rsid w:val="00B128C1"/>
    <w:rsid w:val="00B1290B"/>
    <w:rsid w:val="00B13430"/>
    <w:rsid w:val="00B13CA4"/>
    <w:rsid w:val="00B144D4"/>
    <w:rsid w:val="00B14CD2"/>
    <w:rsid w:val="00B150E1"/>
    <w:rsid w:val="00B15446"/>
    <w:rsid w:val="00B16242"/>
    <w:rsid w:val="00B165C7"/>
    <w:rsid w:val="00B21BC1"/>
    <w:rsid w:val="00B223B9"/>
    <w:rsid w:val="00B23238"/>
    <w:rsid w:val="00B23769"/>
    <w:rsid w:val="00B2409B"/>
    <w:rsid w:val="00B25085"/>
    <w:rsid w:val="00B2558B"/>
    <w:rsid w:val="00B2664C"/>
    <w:rsid w:val="00B27224"/>
    <w:rsid w:val="00B2738C"/>
    <w:rsid w:val="00B27854"/>
    <w:rsid w:val="00B27D9D"/>
    <w:rsid w:val="00B3054E"/>
    <w:rsid w:val="00B32CAA"/>
    <w:rsid w:val="00B33779"/>
    <w:rsid w:val="00B33C42"/>
    <w:rsid w:val="00B33C6B"/>
    <w:rsid w:val="00B34F04"/>
    <w:rsid w:val="00B35E9E"/>
    <w:rsid w:val="00B40403"/>
    <w:rsid w:val="00B405DB"/>
    <w:rsid w:val="00B42716"/>
    <w:rsid w:val="00B42D31"/>
    <w:rsid w:val="00B43A1B"/>
    <w:rsid w:val="00B446E0"/>
    <w:rsid w:val="00B45959"/>
    <w:rsid w:val="00B46823"/>
    <w:rsid w:val="00B46A62"/>
    <w:rsid w:val="00B474C4"/>
    <w:rsid w:val="00B50041"/>
    <w:rsid w:val="00B50470"/>
    <w:rsid w:val="00B50BD3"/>
    <w:rsid w:val="00B50F4A"/>
    <w:rsid w:val="00B51734"/>
    <w:rsid w:val="00B51B8E"/>
    <w:rsid w:val="00B52234"/>
    <w:rsid w:val="00B53302"/>
    <w:rsid w:val="00B53BFB"/>
    <w:rsid w:val="00B55603"/>
    <w:rsid w:val="00B559C9"/>
    <w:rsid w:val="00B55D42"/>
    <w:rsid w:val="00B56DFB"/>
    <w:rsid w:val="00B5702D"/>
    <w:rsid w:val="00B61105"/>
    <w:rsid w:val="00B6247A"/>
    <w:rsid w:val="00B62933"/>
    <w:rsid w:val="00B62D5E"/>
    <w:rsid w:val="00B63ABE"/>
    <w:rsid w:val="00B64471"/>
    <w:rsid w:val="00B64A74"/>
    <w:rsid w:val="00B65454"/>
    <w:rsid w:val="00B67BBE"/>
    <w:rsid w:val="00B7022E"/>
    <w:rsid w:val="00B70750"/>
    <w:rsid w:val="00B70899"/>
    <w:rsid w:val="00B71002"/>
    <w:rsid w:val="00B71061"/>
    <w:rsid w:val="00B7116E"/>
    <w:rsid w:val="00B74E07"/>
    <w:rsid w:val="00B757E4"/>
    <w:rsid w:val="00B75F9B"/>
    <w:rsid w:val="00B7603E"/>
    <w:rsid w:val="00B763CB"/>
    <w:rsid w:val="00B76907"/>
    <w:rsid w:val="00B77614"/>
    <w:rsid w:val="00B77CA4"/>
    <w:rsid w:val="00B80907"/>
    <w:rsid w:val="00B80EB7"/>
    <w:rsid w:val="00B81075"/>
    <w:rsid w:val="00B81409"/>
    <w:rsid w:val="00B81808"/>
    <w:rsid w:val="00B82BDC"/>
    <w:rsid w:val="00B85000"/>
    <w:rsid w:val="00B85F16"/>
    <w:rsid w:val="00B863E5"/>
    <w:rsid w:val="00B86414"/>
    <w:rsid w:val="00B86DFA"/>
    <w:rsid w:val="00B872E6"/>
    <w:rsid w:val="00B87B31"/>
    <w:rsid w:val="00B91901"/>
    <w:rsid w:val="00B91BB1"/>
    <w:rsid w:val="00B920E9"/>
    <w:rsid w:val="00B92406"/>
    <w:rsid w:val="00B92818"/>
    <w:rsid w:val="00B92EBE"/>
    <w:rsid w:val="00B93137"/>
    <w:rsid w:val="00B936D0"/>
    <w:rsid w:val="00B956E3"/>
    <w:rsid w:val="00B959FF"/>
    <w:rsid w:val="00B9636D"/>
    <w:rsid w:val="00B9653B"/>
    <w:rsid w:val="00B97142"/>
    <w:rsid w:val="00BA10CA"/>
    <w:rsid w:val="00BA12AF"/>
    <w:rsid w:val="00BA1529"/>
    <w:rsid w:val="00BA2856"/>
    <w:rsid w:val="00BA2857"/>
    <w:rsid w:val="00BA34C5"/>
    <w:rsid w:val="00BA3648"/>
    <w:rsid w:val="00BA3C24"/>
    <w:rsid w:val="00BA5BD3"/>
    <w:rsid w:val="00BA6411"/>
    <w:rsid w:val="00BA643B"/>
    <w:rsid w:val="00BA6B2C"/>
    <w:rsid w:val="00BA75BB"/>
    <w:rsid w:val="00BB0D7D"/>
    <w:rsid w:val="00BB170C"/>
    <w:rsid w:val="00BB20E5"/>
    <w:rsid w:val="00BB24F5"/>
    <w:rsid w:val="00BB2B89"/>
    <w:rsid w:val="00BB3B25"/>
    <w:rsid w:val="00BB4F64"/>
    <w:rsid w:val="00BB4F87"/>
    <w:rsid w:val="00BB56FE"/>
    <w:rsid w:val="00BB57E6"/>
    <w:rsid w:val="00BB6333"/>
    <w:rsid w:val="00BC02B0"/>
    <w:rsid w:val="00BC32D3"/>
    <w:rsid w:val="00BC4526"/>
    <w:rsid w:val="00BC46B0"/>
    <w:rsid w:val="00BC57F4"/>
    <w:rsid w:val="00BC5992"/>
    <w:rsid w:val="00BC6155"/>
    <w:rsid w:val="00BC730D"/>
    <w:rsid w:val="00BD0304"/>
    <w:rsid w:val="00BD052B"/>
    <w:rsid w:val="00BD0947"/>
    <w:rsid w:val="00BD097A"/>
    <w:rsid w:val="00BD0C0D"/>
    <w:rsid w:val="00BD1038"/>
    <w:rsid w:val="00BD1AE5"/>
    <w:rsid w:val="00BD207D"/>
    <w:rsid w:val="00BD3D5B"/>
    <w:rsid w:val="00BD3FAB"/>
    <w:rsid w:val="00BD589D"/>
    <w:rsid w:val="00BD6002"/>
    <w:rsid w:val="00BD6032"/>
    <w:rsid w:val="00BD63CD"/>
    <w:rsid w:val="00BD78D6"/>
    <w:rsid w:val="00BE0316"/>
    <w:rsid w:val="00BE0BA5"/>
    <w:rsid w:val="00BE17AC"/>
    <w:rsid w:val="00BE17FA"/>
    <w:rsid w:val="00BE1A6D"/>
    <w:rsid w:val="00BE1D6C"/>
    <w:rsid w:val="00BE2D26"/>
    <w:rsid w:val="00BE2F68"/>
    <w:rsid w:val="00BE3600"/>
    <w:rsid w:val="00BE584C"/>
    <w:rsid w:val="00BE5A51"/>
    <w:rsid w:val="00BE6E5B"/>
    <w:rsid w:val="00BE6ECF"/>
    <w:rsid w:val="00BE734F"/>
    <w:rsid w:val="00BF085B"/>
    <w:rsid w:val="00BF0970"/>
    <w:rsid w:val="00BF0974"/>
    <w:rsid w:val="00BF1335"/>
    <w:rsid w:val="00BF13D5"/>
    <w:rsid w:val="00BF1AA0"/>
    <w:rsid w:val="00BF250A"/>
    <w:rsid w:val="00BF4A53"/>
    <w:rsid w:val="00BF525D"/>
    <w:rsid w:val="00BF5296"/>
    <w:rsid w:val="00BF5396"/>
    <w:rsid w:val="00BF54BE"/>
    <w:rsid w:val="00BF59D1"/>
    <w:rsid w:val="00BF5C69"/>
    <w:rsid w:val="00BF6312"/>
    <w:rsid w:val="00BF6642"/>
    <w:rsid w:val="00BF6B83"/>
    <w:rsid w:val="00BF762C"/>
    <w:rsid w:val="00C006EC"/>
    <w:rsid w:val="00C009AD"/>
    <w:rsid w:val="00C0140C"/>
    <w:rsid w:val="00C01E1F"/>
    <w:rsid w:val="00C01F6F"/>
    <w:rsid w:val="00C03215"/>
    <w:rsid w:val="00C034E0"/>
    <w:rsid w:val="00C03DCB"/>
    <w:rsid w:val="00C046B9"/>
    <w:rsid w:val="00C04840"/>
    <w:rsid w:val="00C05AE4"/>
    <w:rsid w:val="00C05BA6"/>
    <w:rsid w:val="00C05BD4"/>
    <w:rsid w:val="00C061FB"/>
    <w:rsid w:val="00C06B2D"/>
    <w:rsid w:val="00C073C7"/>
    <w:rsid w:val="00C0778A"/>
    <w:rsid w:val="00C10318"/>
    <w:rsid w:val="00C1116B"/>
    <w:rsid w:val="00C11939"/>
    <w:rsid w:val="00C11CB8"/>
    <w:rsid w:val="00C124C3"/>
    <w:rsid w:val="00C12E5B"/>
    <w:rsid w:val="00C13775"/>
    <w:rsid w:val="00C13E5E"/>
    <w:rsid w:val="00C14420"/>
    <w:rsid w:val="00C149AB"/>
    <w:rsid w:val="00C153DF"/>
    <w:rsid w:val="00C15FF1"/>
    <w:rsid w:val="00C16C5E"/>
    <w:rsid w:val="00C16EFE"/>
    <w:rsid w:val="00C170FE"/>
    <w:rsid w:val="00C208AF"/>
    <w:rsid w:val="00C20F09"/>
    <w:rsid w:val="00C21140"/>
    <w:rsid w:val="00C22263"/>
    <w:rsid w:val="00C24147"/>
    <w:rsid w:val="00C246D0"/>
    <w:rsid w:val="00C24D41"/>
    <w:rsid w:val="00C250ED"/>
    <w:rsid w:val="00C25AED"/>
    <w:rsid w:val="00C25C61"/>
    <w:rsid w:val="00C268D0"/>
    <w:rsid w:val="00C26D4B"/>
    <w:rsid w:val="00C2757D"/>
    <w:rsid w:val="00C27A37"/>
    <w:rsid w:val="00C27E26"/>
    <w:rsid w:val="00C3129A"/>
    <w:rsid w:val="00C31813"/>
    <w:rsid w:val="00C31CC9"/>
    <w:rsid w:val="00C32411"/>
    <w:rsid w:val="00C3260B"/>
    <w:rsid w:val="00C339A8"/>
    <w:rsid w:val="00C34367"/>
    <w:rsid w:val="00C3444E"/>
    <w:rsid w:val="00C34F96"/>
    <w:rsid w:val="00C35893"/>
    <w:rsid w:val="00C35E2A"/>
    <w:rsid w:val="00C36020"/>
    <w:rsid w:val="00C36E87"/>
    <w:rsid w:val="00C37163"/>
    <w:rsid w:val="00C40151"/>
    <w:rsid w:val="00C40694"/>
    <w:rsid w:val="00C410C7"/>
    <w:rsid w:val="00C410F5"/>
    <w:rsid w:val="00C41523"/>
    <w:rsid w:val="00C41912"/>
    <w:rsid w:val="00C41E6A"/>
    <w:rsid w:val="00C42FF7"/>
    <w:rsid w:val="00C43499"/>
    <w:rsid w:val="00C437C7"/>
    <w:rsid w:val="00C43A40"/>
    <w:rsid w:val="00C43C04"/>
    <w:rsid w:val="00C47418"/>
    <w:rsid w:val="00C47AF7"/>
    <w:rsid w:val="00C47F00"/>
    <w:rsid w:val="00C50B15"/>
    <w:rsid w:val="00C50B2A"/>
    <w:rsid w:val="00C50BB8"/>
    <w:rsid w:val="00C514E1"/>
    <w:rsid w:val="00C5222D"/>
    <w:rsid w:val="00C5294D"/>
    <w:rsid w:val="00C546DD"/>
    <w:rsid w:val="00C547AA"/>
    <w:rsid w:val="00C5580F"/>
    <w:rsid w:val="00C56E17"/>
    <w:rsid w:val="00C576D6"/>
    <w:rsid w:val="00C616A0"/>
    <w:rsid w:val="00C6357A"/>
    <w:rsid w:val="00C645FB"/>
    <w:rsid w:val="00C649F7"/>
    <w:rsid w:val="00C64EB7"/>
    <w:rsid w:val="00C66E18"/>
    <w:rsid w:val="00C66E32"/>
    <w:rsid w:val="00C70542"/>
    <w:rsid w:val="00C72480"/>
    <w:rsid w:val="00C7402A"/>
    <w:rsid w:val="00C74326"/>
    <w:rsid w:val="00C74540"/>
    <w:rsid w:val="00C75A01"/>
    <w:rsid w:val="00C75CBF"/>
    <w:rsid w:val="00C76FA0"/>
    <w:rsid w:val="00C76FD4"/>
    <w:rsid w:val="00C8034A"/>
    <w:rsid w:val="00C80B9F"/>
    <w:rsid w:val="00C815B2"/>
    <w:rsid w:val="00C8245C"/>
    <w:rsid w:val="00C82CC4"/>
    <w:rsid w:val="00C82E4F"/>
    <w:rsid w:val="00C83221"/>
    <w:rsid w:val="00C83836"/>
    <w:rsid w:val="00C84711"/>
    <w:rsid w:val="00C84A8B"/>
    <w:rsid w:val="00C850B6"/>
    <w:rsid w:val="00C86580"/>
    <w:rsid w:val="00C86602"/>
    <w:rsid w:val="00C868BF"/>
    <w:rsid w:val="00C86A45"/>
    <w:rsid w:val="00C875D6"/>
    <w:rsid w:val="00C87BA5"/>
    <w:rsid w:val="00C90643"/>
    <w:rsid w:val="00C92030"/>
    <w:rsid w:val="00C92C08"/>
    <w:rsid w:val="00C92C40"/>
    <w:rsid w:val="00C9332C"/>
    <w:rsid w:val="00C9389C"/>
    <w:rsid w:val="00C93B16"/>
    <w:rsid w:val="00C93BBE"/>
    <w:rsid w:val="00C93DBF"/>
    <w:rsid w:val="00C947DC"/>
    <w:rsid w:val="00C94A83"/>
    <w:rsid w:val="00C95D59"/>
    <w:rsid w:val="00C97199"/>
    <w:rsid w:val="00C974DF"/>
    <w:rsid w:val="00C977E5"/>
    <w:rsid w:val="00C97C8B"/>
    <w:rsid w:val="00CA03CA"/>
    <w:rsid w:val="00CA045D"/>
    <w:rsid w:val="00CA06EB"/>
    <w:rsid w:val="00CA16B1"/>
    <w:rsid w:val="00CA2EDD"/>
    <w:rsid w:val="00CA33C3"/>
    <w:rsid w:val="00CA3417"/>
    <w:rsid w:val="00CA4815"/>
    <w:rsid w:val="00CA4B3D"/>
    <w:rsid w:val="00CA5000"/>
    <w:rsid w:val="00CA5C06"/>
    <w:rsid w:val="00CA6945"/>
    <w:rsid w:val="00CA6D9D"/>
    <w:rsid w:val="00CA7C78"/>
    <w:rsid w:val="00CA7D32"/>
    <w:rsid w:val="00CB037B"/>
    <w:rsid w:val="00CB0BA7"/>
    <w:rsid w:val="00CB0D97"/>
    <w:rsid w:val="00CB1080"/>
    <w:rsid w:val="00CB1B1C"/>
    <w:rsid w:val="00CB2495"/>
    <w:rsid w:val="00CB2CEB"/>
    <w:rsid w:val="00CB389F"/>
    <w:rsid w:val="00CB3908"/>
    <w:rsid w:val="00CB4553"/>
    <w:rsid w:val="00CB50DD"/>
    <w:rsid w:val="00CB5C62"/>
    <w:rsid w:val="00CB5D22"/>
    <w:rsid w:val="00CB5EF1"/>
    <w:rsid w:val="00CB6E59"/>
    <w:rsid w:val="00CC01C7"/>
    <w:rsid w:val="00CC0629"/>
    <w:rsid w:val="00CC2894"/>
    <w:rsid w:val="00CC3FB6"/>
    <w:rsid w:val="00CC480A"/>
    <w:rsid w:val="00CC626A"/>
    <w:rsid w:val="00CC64FC"/>
    <w:rsid w:val="00CC69C6"/>
    <w:rsid w:val="00CC6AB4"/>
    <w:rsid w:val="00CC6C8D"/>
    <w:rsid w:val="00CC6F22"/>
    <w:rsid w:val="00CC7253"/>
    <w:rsid w:val="00CD0BFC"/>
    <w:rsid w:val="00CD1136"/>
    <w:rsid w:val="00CD1EAA"/>
    <w:rsid w:val="00CD2A3A"/>
    <w:rsid w:val="00CD2C4E"/>
    <w:rsid w:val="00CD438E"/>
    <w:rsid w:val="00CD4E5F"/>
    <w:rsid w:val="00CD63AB"/>
    <w:rsid w:val="00CD77C3"/>
    <w:rsid w:val="00CD7901"/>
    <w:rsid w:val="00CE0957"/>
    <w:rsid w:val="00CE0FDC"/>
    <w:rsid w:val="00CE112C"/>
    <w:rsid w:val="00CE1902"/>
    <w:rsid w:val="00CE1E4C"/>
    <w:rsid w:val="00CE254B"/>
    <w:rsid w:val="00CE35F1"/>
    <w:rsid w:val="00CE4116"/>
    <w:rsid w:val="00CE4DEF"/>
    <w:rsid w:val="00CE6A1D"/>
    <w:rsid w:val="00CE77BD"/>
    <w:rsid w:val="00CE7F07"/>
    <w:rsid w:val="00CF038E"/>
    <w:rsid w:val="00CF061B"/>
    <w:rsid w:val="00CF0BC7"/>
    <w:rsid w:val="00CF1F49"/>
    <w:rsid w:val="00CF22AE"/>
    <w:rsid w:val="00CF3805"/>
    <w:rsid w:val="00CF46D7"/>
    <w:rsid w:val="00CF5486"/>
    <w:rsid w:val="00CF55D4"/>
    <w:rsid w:val="00CF59FD"/>
    <w:rsid w:val="00CF6B87"/>
    <w:rsid w:val="00CF7451"/>
    <w:rsid w:val="00CF7528"/>
    <w:rsid w:val="00CF7876"/>
    <w:rsid w:val="00CF7C5E"/>
    <w:rsid w:val="00CF7F9E"/>
    <w:rsid w:val="00D006F4"/>
    <w:rsid w:val="00D007CD"/>
    <w:rsid w:val="00D0135D"/>
    <w:rsid w:val="00D01B44"/>
    <w:rsid w:val="00D02228"/>
    <w:rsid w:val="00D02B1E"/>
    <w:rsid w:val="00D03181"/>
    <w:rsid w:val="00D03349"/>
    <w:rsid w:val="00D034CA"/>
    <w:rsid w:val="00D059F9"/>
    <w:rsid w:val="00D06B0A"/>
    <w:rsid w:val="00D07960"/>
    <w:rsid w:val="00D10CFB"/>
    <w:rsid w:val="00D1115F"/>
    <w:rsid w:val="00D111B2"/>
    <w:rsid w:val="00D12B98"/>
    <w:rsid w:val="00D13E05"/>
    <w:rsid w:val="00D14C18"/>
    <w:rsid w:val="00D1558A"/>
    <w:rsid w:val="00D15D49"/>
    <w:rsid w:val="00D16593"/>
    <w:rsid w:val="00D16FA5"/>
    <w:rsid w:val="00D174D8"/>
    <w:rsid w:val="00D209FC"/>
    <w:rsid w:val="00D215DF"/>
    <w:rsid w:val="00D22657"/>
    <w:rsid w:val="00D23203"/>
    <w:rsid w:val="00D23E12"/>
    <w:rsid w:val="00D25102"/>
    <w:rsid w:val="00D25F19"/>
    <w:rsid w:val="00D2629E"/>
    <w:rsid w:val="00D267F5"/>
    <w:rsid w:val="00D26FA9"/>
    <w:rsid w:val="00D30CA2"/>
    <w:rsid w:val="00D31384"/>
    <w:rsid w:val="00D32915"/>
    <w:rsid w:val="00D33057"/>
    <w:rsid w:val="00D3345B"/>
    <w:rsid w:val="00D340F7"/>
    <w:rsid w:val="00D34814"/>
    <w:rsid w:val="00D35E71"/>
    <w:rsid w:val="00D364C4"/>
    <w:rsid w:val="00D40342"/>
    <w:rsid w:val="00D404B1"/>
    <w:rsid w:val="00D408E0"/>
    <w:rsid w:val="00D415D4"/>
    <w:rsid w:val="00D423F3"/>
    <w:rsid w:val="00D42A5D"/>
    <w:rsid w:val="00D447C4"/>
    <w:rsid w:val="00D44FD5"/>
    <w:rsid w:val="00D45780"/>
    <w:rsid w:val="00D46637"/>
    <w:rsid w:val="00D47406"/>
    <w:rsid w:val="00D4775D"/>
    <w:rsid w:val="00D47FD5"/>
    <w:rsid w:val="00D5086F"/>
    <w:rsid w:val="00D510C7"/>
    <w:rsid w:val="00D52C62"/>
    <w:rsid w:val="00D534B7"/>
    <w:rsid w:val="00D53B9F"/>
    <w:rsid w:val="00D53C2A"/>
    <w:rsid w:val="00D53E73"/>
    <w:rsid w:val="00D557D2"/>
    <w:rsid w:val="00D55802"/>
    <w:rsid w:val="00D6028E"/>
    <w:rsid w:val="00D605EA"/>
    <w:rsid w:val="00D6069D"/>
    <w:rsid w:val="00D6077B"/>
    <w:rsid w:val="00D607E5"/>
    <w:rsid w:val="00D608DA"/>
    <w:rsid w:val="00D61559"/>
    <w:rsid w:val="00D62321"/>
    <w:rsid w:val="00D624BE"/>
    <w:rsid w:val="00D634B8"/>
    <w:rsid w:val="00D641B2"/>
    <w:rsid w:val="00D6460B"/>
    <w:rsid w:val="00D64843"/>
    <w:rsid w:val="00D6565A"/>
    <w:rsid w:val="00D65A2C"/>
    <w:rsid w:val="00D65E7A"/>
    <w:rsid w:val="00D6741F"/>
    <w:rsid w:val="00D70670"/>
    <w:rsid w:val="00D714EE"/>
    <w:rsid w:val="00D71C95"/>
    <w:rsid w:val="00D72889"/>
    <w:rsid w:val="00D730BF"/>
    <w:rsid w:val="00D74D0A"/>
    <w:rsid w:val="00D74D30"/>
    <w:rsid w:val="00D752A5"/>
    <w:rsid w:val="00D752CA"/>
    <w:rsid w:val="00D7598B"/>
    <w:rsid w:val="00D75C20"/>
    <w:rsid w:val="00D761CB"/>
    <w:rsid w:val="00D7726C"/>
    <w:rsid w:val="00D80E33"/>
    <w:rsid w:val="00D810F6"/>
    <w:rsid w:val="00D81268"/>
    <w:rsid w:val="00D81685"/>
    <w:rsid w:val="00D81931"/>
    <w:rsid w:val="00D82921"/>
    <w:rsid w:val="00D8385B"/>
    <w:rsid w:val="00D841CD"/>
    <w:rsid w:val="00D848F7"/>
    <w:rsid w:val="00D86B56"/>
    <w:rsid w:val="00D87CEE"/>
    <w:rsid w:val="00D9236B"/>
    <w:rsid w:val="00D92B1F"/>
    <w:rsid w:val="00D9340A"/>
    <w:rsid w:val="00D938EA"/>
    <w:rsid w:val="00D93FAA"/>
    <w:rsid w:val="00D951C5"/>
    <w:rsid w:val="00D954B4"/>
    <w:rsid w:val="00D95A98"/>
    <w:rsid w:val="00D96042"/>
    <w:rsid w:val="00D96997"/>
    <w:rsid w:val="00D96FA6"/>
    <w:rsid w:val="00D978F1"/>
    <w:rsid w:val="00D97A26"/>
    <w:rsid w:val="00DA17C9"/>
    <w:rsid w:val="00DA185B"/>
    <w:rsid w:val="00DA1873"/>
    <w:rsid w:val="00DA2267"/>
    <w:rsid w:val="00DA2C20"/>
    <w:rsid w:val="00DA33F8"/>
    <w:rsid w:val="00DA3B6A"/>
    <w:rsid w:val="00DA3D40"/>
    <w:rsid w:val="00DA51E1"/>
    <w:rsid w:val="00DA5218"/>
    <w:rsid w:val="00DA53C5"/>
    <w:rsid w:val="00DA6C83"/>
    <w:rsid w:val="00DB01C6"/>
    <w:rsid w:val="00DB07FB"/>
    <w:rsid w:val="00DB0EE9"/>
    <w:rsid w:val="00DB11B4"/>
    <w:rsid w:val="00DB1787"/>
    <w:rsid w:val="00DB5289"/>
    <w:rsid w:val="00DB606A"/>
    <w:rsid w:val="00DB63FF"/>
    <w:rsid w:val="00DB660F"/>
    <w:rsid w:val="00DB6713"/>
    <w:rsid w:val="00DC0B17"/>
    <w:rsid w:val="00DC1A9B"/>
    <w:rsid w:val="00DC20C3"/>
    <w:rsid w:val="00DC3788"/>
    <w:rsid w:val="00DC3E0C"/>
    <w:rsid w:val="00DC446B"/>
    <w:rsid w:val="00DC4F5B"/>
    <w:rsid w:val="00DC76C7"/>
    <w:rsid w:val="00DC77D1"/>
    <w:rsid w:val="00DD09F5"/>
    <w:rsid w:val="00DD0B09"/>
    <w:rsid w:val="00DD1CF5"/>
    <w:rsid w:val="00DD2C65"/>
    <w:rsid w:val="00DD4166"/>
    <w:rsid w:val="00DD4201"/>
    <w:rsid w:val="00DD523D"/>
    <w:rsid w:val="00DD54A2"/>
    <w:rsid w:val="00DD5507"/>
    <w:rsid w:val="00DD5E9F"/>
    <w:rsid w:val="00DD69AC"/>
    <w:rsid w:val="00DD6E15"/>
    <w:rsid w:val="00DD7F4B"/>
    <w:rsid w:val="00DE0279"/>
    <w:rsid w:val="00DE13AD"/>
    <w:rsid w:val="00DE268A"/>
    <w:rsid w:val="00DE4129"/>
    <w:rsid w:val="00DE4931"/>
    <w:rsid w:val="00DE5711"/>
    <w:rsid w:val="00DE665A"/>
    <w:rsid w:val="00DE6EAB"/>
    <w:rsid w:val="00DE75E3"/>
    <w:rsid w:val="00DE7DF7"/>
    <w:rsid w:val="00DF0197"/>
    <w:rsid w:val="00DF1491"/>
    <w:rsid w:val="00DF1901"/>
    <w:rsid w:val="00DF1F2D"/>
    <w:rsid w:val="00DF25FC"/>
    <w:rsid w:val="00DF3D12"/>
    <w:rsid w:val="00DF55D0"/>
    <w:rsid w:val="00DF6006"/>
    <w:rsid w:val="00DF6516"/>
    <w:rsid w:val="00DF6968"/>
    <w:rsid w:val="00DF6B7C"/>
    <w:rsid w:val="00E0064F"/>
    <w:rsid w:val="00E00EA0"/>
    <w:rsid w:val="00E0205A"/>
    <w:rsid w:val="00E02427"/>
    <w:rsid w:val="00E02487"/>
    <w:rsid w:val="00E030F4"/>
    <w:rsid w:val="00E04563"/>
    <w:rsid w:val="00E05CE5"/>
    <w:rsid w:val="00E0667B"/>
    <w:rsid w:val="00E069FD"/>
    <w:rsid w:val="00E0738F"/>
    <w:rsid w:val="00E10064"/>
    <w:rsid w:val="00E1047B"/>
    <w:rsid w:val="00E11032"/>
    <w:rsid w:val="00E12269"/>
    <w:rsid w:val="00E1227B"/>
    <w:rsid w:val="00E12C7B"/>
    <w:rsid w:val="00E13633"/>
    <w:rsid w:val="00E138F1"/>
    <w:rsid w:val="00E14A3C"/>
    <w:rsid w:val="00E15254"/>
    <w:rsid w:val="00E16253"/>
    <w:rsid w:val="00E162EE"/>
    <w:rsid w:val="00E173C2"/>
    <w:rsid w:val="00E17944"/>
    <w:rsid w:val="00E20B97"/>
    <w:rsid w:val="00E21903"/>
    <w:rsid w:val="00E22855"/>
    <w:rsid w:val="00E2309D"/>
    <w:rsid w:val="00E2344D"/>
    <w:rsid w:val="00E234D7"/>
    <w:rsid w:val="00E2370B"/>
    <w:rsid w:val="00E24C02"/>
    <w:rsid w:val="00E26758"/>
    <w:rsid w:val="00E26F80"/>
    <w:rsid w:val="00E27112"/>
    <w:rsid w:val="00E271FA"/>
    <w:rsid w:val="00E27633"/>
    <w:rsid w:val="00E27955"/>
    <w:rsid w:val="00E3032B"/>
    <w:rsid w:val="00E3091B"/>
    <w:rsid w:val="00E30B16"/>
    <w:rsid w:val="00E30E7D"/>
    <w:rsid w:val="00E31059"/>
    <w:rsid w:val="00E31228"/>
    <w:rsid w:val="00E31E1F"/>
    <w:rsid w:val="00E31F70"/>
    <w:rsid w:val="00E32724"/>
    <w:rsid w:val="00E330BF"/>
    <w:rsid w:val="00E3313A"/>
    <w:rsid w:val="00E33162"/>
    <w:rsid w:val="00E3341A"/>
    <w:rsid w:val="00E3388E"/>
    <w:rsid w:val="00E34F83"/>
    <w:rsid w:val="00E36308"/>
    <w:rsid w:val="00E40B3F"/>
    <w:rsid w:val="00E42338"/>
    <w:rsid w:val="00E423FC"/>
    <w:rsid w:val="00E425E4"/>
    <w:rsid w:val="00E4357B"/>
    <w:rsid w:val="00E43BCD"/>
    <w:rsid w:val="00E4411F"/>
    <w:rsid w:val="00E45120"/>
    <w:rsid w:val="00E45940"/>
    <w:rsid w:val="00E45D6E"/>
    <w:rsid w:val="00E46962"/>
    <w:rsid w:val="00E46AAF"/>
    <w:rsid w:val="00E46CC3"/>
    <w:rsid w:val="00E47894"/>
    <w:rsid w:val="00E47F64"/>
    <w:rsid w:val="00E47F83"/>
    <w:rsid w:val="00E507F6"/>
    <w:rsid w:val="00E539B2"/>
    <w:rsid w:val="00E53EBE"/>
    <w:rsid w:val="00E553FD"/>
    <w:rsid w:val="00E559C0"/>
    <w:rsid w:val="00E55A65"/>
    <w:rsid w:val="00E5617F"/>
    <w:rsid w:val="00E56418"/>
    <w:rsid w:val="00E565FA"/>
    <w:rsid w:val="00E566E2"/>
    <w:rsid w:val="00E6011C"/>
    <w:rsid w:val="00E607C9"/>
    <w:rsid w:val="00E63C13"/>
    <w:rsid w:val="00E63C84"/>
    <w:rsid w:val="00E63DE5"/>
    <w:rsid w:val="00E65A37"/>
    <w:rsid w:val="00E65EEA"/>
    <w:rsid w:val="00E668D5"/>
    <w:rsid w:val="00E70872"/>
    <w:rsid w:val="00E70D31"/>
    <w:rsid w:val="00E710C7"/>
    <w:rsid w:val="00E713E6"/>
    <w:rsid w:val="00E71524"/>
    <w:rsid w:val="00E719AE"/>
    <w:rsid w:val="00E75E35"/>
    <w:rsid w:val="00E76389"/>
    <w:rsid w:val="00E76E21"/>
    <w:rsid w:val="00E77B48"/>
    <w:rsid w:val="00E77BA5"/>
    <w:rsid w:val="00E80004"/>
    <w:rsid w:val="00E80FC2"/>
    <w:rsid w:val="00E842FC"/>
    <w:rsid w:val="00E8441F"/>
    <w:rsid w:val="00E8450F"/>
    <w:rsid w:val="00E852AF"/>
    <w:rsid w:val="00E858B7"/>
    <w:rsid w:val="00E86351"/>
    <w:rsid w:val="00E86714"/>
    <w:rsid w:val="00E86ED2"/>
    <w:rsid w:val="00E87216"/>
    <w:rsid w:val="00E9020B"/>
    <w:rsid w:val="00E90502"/>
    <w:rsid w:val="00E91799"/>
    <w:rsid w:val="00E91AC1"/>
    <w:rsid w:val="00E91CEB"/>
    <w:rsid w:val="00E92280"/>
    <w:rsid w:val="00E943B5"/>
    <w:rsid w:val="00E94A70"/>
    <w:rsid w:val="00E95C49"/>
    <w:rsid w:val="00E96E8F"/>
    <w:rsid w:val="00E9718A"/>
    <w:rsid w:val="00EA0A60"/>
    <w:rsid w:val="00EA1342"/>
    <w:rsid w:val="00EA15E8"/>
    <w:rsid w:val="00EA1843"/>
    <w:rsid w:val="00EA1AD8"/>
    <w:rsid w:val="00EA1EB5"/>
    <w:rsid w:val="00EA21FE"/>
    <w:rsid w:val="00EA2EE5"/>
    <w:rsid w:val="00EA3127"/>
    <w:rsid w:val="00EA31CB"/>
    <w:rsid w:val="00EA34E3"/>
    <w:rsid w:val="00EA4759"/>
    <w:rsid w:val="00EA5F27"/>
    <w:rsid w:val="00EA64C8"/>
    <w:rsid w:val="00EA661A"/>
    <w:rsid w:val="00EA6ED9"/>
    <w:rsid w:val="00EA7AAD"/>
    <w:rsid w:val="00EB022E"/>
    <w:rsid w:val="00EB0732"/>
    <w:rsid w:val="00EB1AAB"/>
    <w:rsid w:val="00EB225C"/>
    <w:rsid w:val="00EB2487"/>
    <w:rsid w:val="00EB264A"/>
    <w:rsid w:val="00EB447E"/>
    <w:rsid w:val="00EB563C"/>
    <w:rsid w:val="00EB68FA"/>
    <w:rsid w:val="00EB7538"/>
    <w:rsid w:val="00EC1B8B"/>
    <w:rsid w:val="00EC34A6"/>
    <w:rsid w:val="00EC427D"/>
    <w:rsid w:val="00EC4F10"/>
    <w:rsid w:val="00EC687B"/>
    <w:rsid w:val="00EC7EFE"/>
    <w:rsid w:val="00ED1425"/>
    <w:rsid w:val="00ED16F8"/>
    <w:rsid w:val="00ED1945"/>
    <w:rsid w:val="00ED30A6"/>
    <w:rsid w:val="00ED3769"/>
    <w:rsid w:val="00ED37CC"/>
    <w:rsid w:val="00ED37F1"/>
    <w:rsid w:val="00ED527A"/>
    <w:rsid w:val="00ED6291"/>
    <w:rsid w:val="00ED6AD7"/>
    <w:rsid w:val="00ED74C7"/>
    <w:rsid w:val="00ED7B9B"/>
    <w:rsid w:val="00EE177B"/>
    <w:rsid w:val="00EE2ECA"/>
    <w:rsid w:val="00EE32A5"/>
    <w:rsid w:val="00EE3B45"/>
    <w:rsid w:val="00EE5686"/>
    <w:rsid w:val="00EE58D5"/>
    <w:rsid w:val="00EE5AC4"/>
    <w:rsid w:val="00EE6468"/>
    <w:rsid w:val="00EE6550"/>
    <w:rsid w:val="00EE6867"/>
    <w:rsid w:val="00EE6DB8"/>
    <w:rsid w:val="00EE6FBC"/>
    <w:rsid w:val="00EE7A5E"/>
    <w:rsid w:val="00EF06B3"/>
    <w:rsid w:val="00EF0D21"/>
    <w:rsid w:val="00EF0E3A"/>
    <w:rsid w:val="00EF11EB"/>
    <w:rsid w:val="00EF14B6"/>
    <w:rsid w:val="00EF183E"/>
    <w:rsid w:val="00EF1A12"/>
    <w:rsid w:val="00EF1A48"/>
    <w:rsid w:val="00EF261D"/>
    <w:rsid w:val="00EF2758"/>
    <w:rsid w:val="00EF2CB8"/>
    <w:rsid w:val="00EF3637"/>
    <w:rsid w:val="00EF393C"/>
    <w:rsid w:val="00EF3C3F"/>
    <w:rsid w:val="00EF458A"/>
    <w:rsid w:val="00EF47AB"/>
    <w:rsid w:val="00EF4B34"/>
    <w:rsid w:val="00EF51B2"/>
    <w:rsid w:val="00EF5234"/>
    <w:rsid w:val="00EF6168"/>
    <w:rsid w:val="00EF731C"/>
    <w:rsid w:val="00EF75F0"/>
    <w:rsid w:val="00EF767B"/>
    <w:rsid w:val="00EF7A71"/>
    <w:rsid w:val="00F0024B"/>
    <w:rsid w:val="00F005CA"/>
    <w:rsid w:val="00F02297"/>
    <w:rsid w:val="00F022A0"/>
    <w:rsid w:val="00F02B32"/>
    <w:rsid w:val="00F02C81"/>
    <w:rsid w:val="00F03B0C"/>
    <w:rsid w:val="00F03C32"/>
    <w:rsid w:val="00F05C83"/>
    <w:rsid w:val="00F061D9"/>
    <w:rsid w:val="00F0651A"/>
    <w:rsid w:val="00F0655B"/>
    <w:rsid w:val="00F06A41"/>
    <w:rsid w:val="00F06CE0"/>
    <w:rsid w:val="00F06D31"/>
    <w:rsid w:val="00F06E4C"/>
    <w:rsid w:val="00F07B4E"/>
    <w:rsid w:val="00F117F3"/>
    <w:rsid w:val="00F12027"/>
    <w:rsid w:val="00F1224F"/>
    <w:rsid w:val="00F12EEB"/>
    <w:rsid w:val="00F1379E"/>
    <w:rsid w:val="00F13B44"/>
    <w:rsid w:val="00F153A9"/>
    <w:rsid w:val="00F164EE"/>
    <w:rsid w:val="00F16CFB"/>
    <w:rsid w:val="00F16E57"/>
    <w:rsid w:val="00F17158"/>
    <w:rsid w:val="00F174E5"/>
    <w:rsid w:val="00F207A4"/>
    <w:rsid w:val="00F20C63"/>
    <w:rsid w:val="00F212B3"/>
    <w:rsid w:val="00F21B5D"/>
    <w:rsid w:val="00F245E0"/>
    <w:rsid w:val="00F24EA8"/>
    <w:rsid w:val="00F25085"/>
    <w:rsid w:val="00F27E5F"/>
    <w:rsid w:val="00F3016D"/>
    <w:rsid w:val="00F30931"/>
    <w:rsid w:val="00F31197"/>
    <w:rsid w:val="00F315DF"/>
    <w:rsid w:val="00F316EA"/>
    <w:rsid w:val="00F33581"/>
    <w:rsid w:val="00F3386B"/>
    <w:rsid w:val="00F338F8"/>
    <w:rsid w:val="00F34361"/>
    <w:rsid w:val="00F346F9"/>
    <w:rsid w:val="00F347C1"/>
    <w:rsid w:val="00F3498F"/>
    <w:rsid w:val="00F355AC"/>
    <w:rsid w:val="00F36B99"/>
    <w:rsid w:val="00F37287"/>
    <w:rsid w:val="00F37499"/>
    <w:rsid w:val="00F37F94"/>
    <w:rsid w:val="00F404DE"/>
    <w:rsid w:val="00F407EA"/>
    <w:rsid w:val="00F40F2F"/>
    <w:rsid w:val="00F416C0"/>
    <w:rsid w:val="00F431E5"/>
    <w:rsid w:val="00F44533"/>
    <w:rsid w:val="00F45C1E"/>
    <w:rsid w:val="00F4608F"/>
    <w:rsid w:val="00F463CA"/>
    <w:rsid w:val="00F46EBB"/>
    <w:rsid w:val="00F477C4"/>
    <w:rsid w:val="00F47A39"/>
    <w:rsid w:val="00F50915"/>
    <w:rsid w:val="00F5252C"/>
    <w:rsid w:val="00F5265F"/>
    <w:rsid w:val="00F53B2C"/>
    <w:rsid w:val="00F551A0"/>
    <w:rsid w:val="00F55540"/>
    <w:rsid w:val="00F55548"/>
    <w:rsid w:val="00F55AC4"/>
    <w:rsid w:val="00F56EC3"/>
    <w:rsid w:val="00F5743E"/>
    <w:rsid w:val="00F57DC4"/>
    <w:rsid w:val="00F60928"/>
    <w:rsid w:val="00F62561"/>
    <w:rsid w:val="00F62928"/>
    <w:rsid w:val="00F62B3F"/>
    <w:rsid w:val="00F62F42"/>
    <w:rsid w:val="00F64C44"/>
    <w:rsid w:val="00F64E46"/>
    <w:rsid w:val="00F66330"/>
    <w:rsid w:val="00F7040F"/>
    <w:rsid w:val="00F71A5A"/>
    <w:rsid w:val="00F71F64"/>
    <w:rsid w:val="00F724B6"/>
    <w:rsid w:val="00F72722"/>
    <w:rsid w:val="00F731F9"/>
    <w:rsid w:val="00F73510"/>
    <w:rsid w:val="00F743C7"/>
    <w:rsid w:val="00F74ED1"/>
    <w:rsid w:val="00F74F6E"/>
    <w:rsid w:val="00F75CF1"/>
    <w:rsid w:val="00F761D6"/>
    <w:rsid w:val="00F76882"/>
    <w:rsid w:val="00F769E0"/>
    <w:rsid w:val="00F77D4B"/>
    <w:rsid w:val="00F80FE3"/>
    <w:rsid w:val="00F8102E"/>
    <w:rsid w:val="00F810E5"/>
    <w:rsid w:val="00F81C23"/>
    <w:rsid w:val="00F83B86"/>
    <w:rsid w:val="00F841CA"/>
    <w:rsid w:val="00F844B0"/>
    <w:rsid w:val="00F84D69"/>
    <w:rsid w:val="00F855FE"/>
    <w:rsid w:val="00F86211"/>
    <w:rsid w:val="00F86B3D"/>
    <w:rsid w:val="00F87B87"/>
    <w:rsid w:val="00F87D78"/>
    <w:rsid w:val="00F9072A"/>
    <w:rsid w:val="00F9159A"/>
    <w:rsid w:val="00F92B6C"/>
    <w:rsid w:val="00F93172"/>
    <w:rsid w:val="00F93CF5"/>
    <w:rsid w:val="00F9555A"/>
    <w:rsid w:val="00F958C4"/>
    <w:rsid w:val="00F96402"/>
    <w:rsid w:val="00FA19C4"/>
    <w:rsid w:val="00FA1ED2"/>
    <w:rsid w:val="00FA1F88"/>
    <w:rsid w:val="00FA2102"/>
    <w:rsid w:val="00FA27A8"/>
    <w:rsid w:val="00FA43C8"/>
    <w:rsid w:val="00FA610F"/>
    <w:rsid w:val="00FA75FE"/>
    <w:rsid w:val="00FB0DAF"/>
    <w:rsid w:val="00FB1032"/>
    <w:rsid w:val="00FB17D3"/>
    <w:rsid w:val="00FB1CD6"/>
    <w:rsid w:val="00FB21A6"/>
    <w:rsid w:val="00FB2448"/>
    <w:rsid w:val="00FB2659"/>
    <w:rsid w:val="00FB28D9"/>
    <w:rsid w:val="00FB2D75"/>
    <w:rsid w:val="00FB3479"/>
    <w:rsid w:val="00FB47A9"/>
    <w:rsid w:val="00FB48CA"/>
    <w:rsid w:val="00FB4FE6"/>
    <w:rsid w:val="00FB5B63"/>
    <w:rsid w:val="00FB5C80"/>
    <w:rsid w:val="00FB6177"/>
    <w:rsid w:val="00FB74BA"/>
    <w:rsid w:val="00FB7B4F"/>
    <w:rsid w:val="00FB7E42"/>
    <w:rsid w:val="00FC039D"/>
    <w:rsid w:val="00FC0C22"/>
    <w:rsid w:val="00FC17F9"/>
    <w:rsid w:val="00FC2C4F"/>
    <w:rsid w:val="00FC3440"/>
    <w:rsid w:val="00FC4203"/>
    <w:rsid w:val="00FC528C"/>
    <w:rsid w:val="00FC5C58"/>
    <w:rsid w:val="00FC652B"/>
    <w:rsid w:val="00FC6B2D"/>
    <w:rsid w:val="00FC6BDE"/>
    <w:rsid w:val="00FC6CC5"/>
    <w:rsid w:val="00FC6E48"/>
    <w:rsid w:val="00FD1332"/>
    <w:rsid w:val="00FD27EF"/>
    <w:rsid w:val="00FD2E7F"/>
    <w:rsid w:val="00FD48AD"/>
    <w:rsid w:val="00FD5052"/>
    <w:rsid w:val="00FD524B"/>
    <w:rsid w:val="00FD5624"/>
    <w:rsid w:val="00FD75CE"/>
    <w:rsid w:val="00FE0698"/>
    <w:rsid w:val="00FE32D1"/>
    <w:rsid w:val="00FE36F5"/>
    <w:rsid w:val="00FE3746"/>
    <w:rsid w:val="00FE37AC"/>
    <w:rsid w:val="00FE528E"/>
    <w:rsid w:val="00FE5DFE"/>
    <w:rsid w:val="00FE5F87"/>
    <w:rsid w:val="00FE680E"/>
    <w:rsid w:val="00FE72D1"/>
    <w:rsid w:val="00FE750D"/>
    <w:rsid w:val="00FE7B56"/>
    <w:rsid w:val="00FF0CC0"/>
    <w:rsid w:val="00FF161A"/>
    <w:rsid w:val="00FF1860"/>
    <w:rsid w:val="00FF5BFE"/>
    <w:rsid w:val="00FF6276"/>
    <w:rsid w:val="00FF6F8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D2BB2A3"/>
  <w15:chartTrackingRefBased/>
  <w15:docId w15:val="{85648A42-87A3-42A1-8CF2-D41ADE6A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paragraph" w:styleId="Heading2">
    <w:name w:val="heading 2"/>
    <w:basedOn w:val="Normal"/>
    <w:next w:val="Normal"/>
    <w:link w:val="Heading2Char"/>
    <w:unhideWhenUsed/>
    <w:qFormat/>
    <w:rsid w:val="00D40342"/>
    <w:pPr>
      <w:keepNext/>
      <w:keepLines/>
      <w:numPr>
        <w:numId w:val="54"/>
      </w:numPr>
      <w:spacing w:before="200" w:after="120" w:line="276" w:lineRule="auto"/>
      <w:ind w:left="360"/>
      <w:outlineLvl w:val="1"/>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uiPriority w:val="99"/>
    <w:semiHidden/>
    <w:rsid w:val="00254069"/>
    <w:rPr>
      <w:rFonts w:ascii="Tahoma" w:hAnsi="Tahoma" w:cs="Tahoma"/>
      <w:sz w:val="16"/>
      <w:szCs w:val="16"/>
    </w:rPr>
  </w:style>
  <w:style w:type="table" w:styleId="TableGrid">
    <w:name w:val="Table Grid"/>
    <w:basedOn w:val="TableNormal"/>
    <w:uiPriority w:val="59"/>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FootnoteText">
    <w:name w:val="footnote text"/>
    <w:basedOn w:val="Normal"/>
    <w:link w:val="FootnoteTextChar"/>
    <w:unhideWhenUsed/>
    <w:rsid w:val="0097244E"/>
    <w:rPr>
      <w:rFonts w:eastAsia="SimSun"/>
      <w:sz w:val="20"/>
      <w:szCs w:val="20"/>
    </w:rPr>
  </w:style>
  <w:style w:type="character" w:customStyle="1" w:styleId="FootnoteTextChar">
    <w:name w:val="Footnote Text Char"/>
    <w:link w:val="FootnoteText"/>
    <w:uiPriority w:val="99"/>
    <w:rsid w:val="0097244E"/>
    <w:rPr>
      <w:rFonts w:eastAsia="SimSun"/>
    </w:rPr>
  </w:style>
  <w:style w:type="character" w:customStyle="1" w:styleId="StyleNormalDoublespaceTimesNewRomanChar">
    <w:name w:val="Style Normal Double space + Times New Roman Char"/>
    <w:link w:val="StyleNormalDoublespaceTimesNewRoman"/>
    <w:locked/>
    <w:rsid w:val="0097244E"/>
    <w:rPr>
      <w:sz w:val="24"/>
    </w:rPr>
  </w:style>
  <w:style w:type="paragraph" w:customStyle="1" w:styleId="StyleNormalDoublespaceTimesNewRoman">
    <w:name w:val="Style Normal Double space + Times New Roman"/>
    <w:basedOn w:val="Normal"/>
    <w:link w:val="StyleNormalDoublespaceTimesNewRomanChar"/>
    <w:rsid w:val="0097244E"/>
    <w:pPr>
      <w:spacing w:line="480" w:lineRule="auto"/>
    </w:pPr>
    <w:rPr>
      <w:szCs w:val="20"/>
    </w:rPr>
  </w:style>
  <w:style w:type="character" w:styleId="FootnoteReference">
    <w:name w:val="footnote reference"/>
    <w:unhideWhenUsed/>
    <w:rsid w:val="0097244E"/>
    <w:rPr>
      <w:rFonts w:ascii="Times New Roman" w:hAnsi="Times New Roman" w:cs="Times New Roman" w:hint="default"/>
      <w:vertAlign w:val="superscript"/>
    </w:rPr>
  </w:style>
  <w:style w:type="character" w:styleId="CommentReference">
    <w:name w:val="annotation reference"/>
    <w:rsid w:val="00473390"/>
    <w:rPr>
      <w:sz w:val="16"/>
      <w:szCs w:val="16"/>
    </w:rPr>
  </w:style>
  <w:style w:type="paragraph" w:styleId="CommentText">
    <w:name w:val="annotation text"/>
    <w:basedOn w:val="Normal"/>
    <w:link w:val="CommentTextChar"/>
    <w:rsid w:val="00473390"/>
    <w:rPr>
      <w:sz w:val="20"/>
      <w:szCs w:val="20"/>
    </w:rPr>
  </w:style>
  <w:style w:type="character" w:customStyle="1" w:styleId="CommentTextChar">
    <w:name w:val="Comment Text Char"/>
    <w:basedOn w:val="DefaultParagraphFont"/>
    <w:link w:val="CommentText"/>
    <w:rsid w:val="00473390"/>
  </w:style>
  <w:style w:type="paragraph" w:styleId="CommentSubject">
    <w:name w:val="annotation subject"/>
    <w:basedOn w:val="CommentText"/>
    <w:next w:val="CommentText"/>
    <w:link w:val="CommentSubjectChar"/>
    <w:rsid w:val="00473390"/>
    <w:rPr>
      <w:b/>
      <w:bCs/>
    </w:rPr>
  </w:style>
  <w:style w:type="character" w:customStyle="1" w:styleId="CommentSubjectChar">
    <w:name w:val="Comment Subject Char"/>
    <w:link w:val="CommentSubject"/>
    <w:rsid w:val="00473390"/>
    <w:rPr>
      <w:b/>
      <w:bCs/>
    </w:rPr>
  </w:style>
  <w:style w:type="character" w:styleId="Hyperlink">
    <w:name w:val="Hyperlink"/>
    <w:uiPriority w:val="99"/>
    <w:unhideWhenUsed/>
    <w:rsid w:val="00CE7F07"/>
    <w:rPr>
      <w:color w:val="0000FF"/>
      <w:u w:val="single"/>
    </w:rPr>
  </w:style>
  <w:style w:type="paragraph" w:styleId="Revision">
    <w:name w:val="Revision"/>
    <w:hidden/>
    <w:uiPriority w:val="99"/>
    <w:semiHidden/>
    <w:rsid w:val="00A90361"/>
    <w:rPr>
      <w:sz w:val="24"/>
      <w:szCs w:val="24"/>
    </w:rPr>
  </w:style>
  <w:style w:type="paragraph" w:styleId="ListParagraph">
    <w:name w:val="List Paragraph"/>
    <w:basedOn w:val="Normal"/>
    <w:uiPriority w:val="34"/>
    <w:qFormat/>
    <w:rsid w:val="00E63C13"/>
    <w:pPr>
      <w:ind w:left="720"/>
    </w:pPr>
  </w:style>
  <w:style w:type="character" w:customStyle="1" w:styleId="p">
    <w:name w:val="p"/>
    <w:rsid w:val="000D7C89"/>
  </w:style>
  <w:style w:type="paragraph" w:styleId="NoSpacing">
    <w:name w:val="No Spacing"/>
    <w:uiPriority w:val="1"/>
    <w:qFormat/>
    <w:rsid w:val="00560333"/>
    <w:rPr>
      <w:rFonts w:ascii="Calibri" w:eastAsia="Calibri" w:hAnsi="Calibri"/>
      <w:sz w:val="22"/>
      <w:szCs w:val="22"/>
    </w:rPr>
  </w:style>
  <w:style w:type="character" w:customStyle="1" w:styleId="documentbody">
    <w:name w:val="documentbody"/>
    <w:rsid w:val="000409AD"/>
    <w:rPr>
      <w:rFonts w:ascii="Times New Roman" w:hAnsi="Times New Roman" w:cs="Times New Roman" w:hint="default"/>
    </w:rPr>
  </w:style>
  <w:style w:type="character" w:customStyle="1" w:styleId="Heading2Char">
    <w:name w:val="Heading 2 Char"/>
    <w:link w:val="Heading2"/>
    <w:rsid w:val="00D40342"/>
    <w:rPr>
      <w:b/>
      <w:bCs/>
      <w:sz w:val="24"/>
      <w:szCs w:val="26"/>
    </w:rPr>
  </w:style>
  <w:style w:type="character" w:customStyle="1" w:styleId="BalloonTextChar">
    <w:name w:val="Balloon Text Char"/>
    <w:link w:val="BalloonText"/>
    <w:uiPriority w:val="99"/>
    <w:semiHidden/>
    <w:locked/>
    <w:rsid w:val="00D40342"/>
    <w:rPr>
      <w:rFonts w:ascii="Tahoma" w:hAnsi="Tahoma" w:cs="Tahoma"/>
      <w:sz w:val="16"/>
      <w:szCs w:val="16"/>
    </w:rPr>
  </w:style>
  <w:style w:type="paragraph" w:styleId="Header">
    <w:name w:val="header"/>
    <w:basedOn w:val="Normal"/>
    <w:link w:val="HeaderChar"/>
    <w:rsid w:val="000C4EEA"/>
    <w:pPr>
      <w:tabs>
        <w:tab w:val="center" w:pos="4680"/>
        <w:tab w:val="right" w:pos="9360"/>
      </w:tabs>
    </w:pPr>
  </w:style>
  <w:style w:type="character" w:customStyle="1" w:styleId="HeaderChar">
    <w:name w:val="Header Char"/>
    <w:link w:val="Header"/>
    <w:rsid w:val="000C4EEA"/>
    <w:rPr>
      <w:sz w:val="24"/>
      <w:szCs w:val="24"/>
    </w:rPr>
  </w:style>
  <w:style w:type="character" w:styleId="UnresolvedMention">
    <w:name w:val="Unresolved Mention"/>
    <w:basedOn w:val="DefaultParagraphFont"/>
    <w:uiPriority w:val="99"/>
    <w:semiHidden/>
    <w:unhideWhenUsed/>
    <w:rsid w:val="00CC3FB6"/>
    <w:rPr>
      <w:color w:val="605E5C"/>
      <w:shd w:val="clear" w:color="auto" w:fill="E1DFDD"/>
    </w:rPr>
  </w:style>
  <w:style w:type="character" w:styleId="FollowedHyperlink">
    <w:name w:val="FollowedHyperlink"/>
    <w:basedOn w:val="DefaultParagraphFont"/>
    <w:rsid w:val="00E668D5"/>
    <w:rPr>
      <w:color w:val="954F72" w:themeColor="followedHyperlink"/>
      <w:u w:val="single"/>
    </w:rPr>
  </w:style>
  <w:style w:type="character" w:customStyle="1" w:styleId="cf01">
    <w:name w:val="cf01"/>
    <w:basedOn w:val="DefaultParagraphFont"/>
    <w:rsid w:val="00B42716"/>
    <w:rPr>
      <w:rFonts w:ascii="Segoe UI" w:hAnsi="Segoe UI" w:cs="Segoe UI" w:hint="default"/>
      <w:sz w:val="18"/>
      <w:szCs w:val="18"/>
    </w:rPr>
  </w:style>
  <w:style w:type="character" w:styleId="Emphasis">
    <w:name w:val="Emphasis"/>
    <w:basedOn w:val="DefaultParagraphFont"/>
    <w:uiPriority w:val="20"/>
    <w:qFormat/>
    <w:rsid w:val="00DA22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da.gov/media/161685/download?attachment" TargetMode="External" /><Relationship Id="rId11" Type="http://schemas.openxmlformats.org/officeDocument/2006/relationships/hyperlink" Target="http://www.fda.gov/industry/small-business-assistance" TargetMode="External" /><Relationship Id="rId12" Type="http://schemas.openxmlformats.org/officeDocument/2006/relationships/hyperlink" Target="https://www.iso.org/store.html"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govinfo.gov/link/uscode/21/350k" TargetMode="External" /><Relationship Id="rId6" Type="http://schemas.openxmlformats.org/officeDocument/2006/relationships/hyperlink" Target="https://www.ecfr.gov/current/title-21/part-1/subpart-R" TargetMode="External" /><Relationship Id="rId7" Type="http://schemas.openxmlformats.org/officeDocument/2006/relationships/hyperlink" Target="https://www.fda.gov/food/food-safety-modernization-act-fsma/fda-recognized-accreditation-bodies-laboratory-accreditation-analyses-foods-laaf-program" TargetMode="External" /><Relationship Id="rId8" Type="http://schemas.openxmlformats.org/officeDocument/2006/relationships/hyperlink" Target="https://datadashboard.fda.gov/ora/fd/laaf.htm" TargetMode="External" /><Relationship Id="rId9" Type="http://schemas.openxmlformats.org/officeDocument/2006/relationships/hyperlink" Target="https://www.fda.gov/media/156097/download?attachmen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66C93-AAC9-408F-BFF9-1FCE938BD16B}">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4386</Words>
  <Characters>26272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Hanratty, James</dc:creator>
  <cp:lastModifiedBy>Showalter, Rachel</cp:lastModifiedBy>
  <cp:revision>4</cp:revision>
  <dcterms:created xsi:type="dcterms:W3CDTF">2024-12-17T18:06:00Z</dcterms:created>
  <dcterms:modified xsi:type="dcterms:W3CDTF">2024-12-20T01:15:00Z</dcterms:modified>
</cp:coreProperties>
</file>