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2D5A" w:rsidRPr="00610BF3" w:rsidP="00610BF3" w14:paraId="3BF555C4" w14:textId="185742BA">
      <w:pPr>
        <w:pStyle w:val="BodyText"/>
        <w:spacing w:before="47"/>
        <w:ind w:left="532" w:right="827"/>
        <w:jc w:val="center"/>
        <w:rPr>
          <w:rFonts w:ascii="Times New Roman" w:hAnsi="Times New Roman" w:cs="Times New Roman"/>
          <w:b/>
        </w:rPr>
      </w:pPr>
      <w:r w:rsidRPr="00610BF3">
        <w:rPr>
          <w:rFonts w:ascii="Times New Roman" w:hAnsi="Times New Roman" w:cs="Times New Roman"/>
          <w:b/>
        </w:rPr>
        <w:t>Supporting Statement</w:t>
      </w:r>
      <w:r w:rsidR="006D6321">
        <w:rPr>
          <w:rFonts w:ascii="Times New Roman" w:hAnsi="Times New Roman" w:cs="Times New Roman"/>
          <w:b/>
        </w:rPr>
        <w:t xml:space="preserve"> </w:t>
      </w:r>
      <w:r w:rsidRPr="00610BF3">
        <w:rPr>
          <w:rFonts w:ascii="Times New Roman" w:hAnsi="Times New Roman" w:cs="Times New Roman"/>
          <w:b/>
        </w:rPr>
        <w:t>B</w:t>
      </w:r>
      <w:r w:rsidR="006D6321">
        <w:rPr>
          <w:rFonts w:ascii="Times New Roman" w:hAnsi="Times New Roman" w:cs="Times New Roman"/>
          <w:b/>
        </w:rPr>
        <w:t>:</w:t>
      </w:r>
    </w:p>
    <w:p w:rsidR="006D6321" w:rsidP="006D6321" w14:paraId="5B7FEA9E" w14:textId="77777777">
      <w:pPr>
        <w:jc w:val="center"/>
        <w:rPr>
          <w:rFonts w:eastAsia="Courier New" w:cs="Times New Roman"/>
          <w:b/>
          <w:szCs w:val="24"/>
        </w:rPr>
      </w:pPr>
      <w:r>
        <w:rPr>
          <w:rFonts w:eastAsia="Courier New" w:cs="Times New Roman"/>
          <w:b/>
          <w:szCs w:val="24"/>
        </w:rPr>
        <w:t xml:space="preserve">Payment Error Rate Measurement – State </w:t>
      </w:r>
      <w:r w:rsidRPr="00980B7D">
        <w:rPr>
          <w:rFonts w:eastAsia="Courier New" w:cs="Times New Roman"/>
          <w:b/>
          <w:szCs w:val="24"/>
        </w:rPr>
        <w:t xml:space="preserve">Medicaid and </w:t>
      </w:r>
      <w:r>
        <w:rPr>
          <w:rFonts w:eastAsia="Courier New" w:cs="Times New Roman"/>
          <w:b/>
          <w:szCs w:val="24"/>
        </w:rPr>
        <w:t>CHIP</w:t>
      </w:r>
      <w:r w:rsidRPr="00980B7D">
        <w:rPr>
          <w:rFonts w:eastAsia="Courier New" w:cs="Times New Roman"/>
          <w:b/>
          <w:szCs w:val="24"/>
        </w:rPr>
        <w:t xml:space="preserve"> Eligibility </w:t>
      </w:r>
    </w:p>
    <w:p w:rsidR="006D6321" w:rsidP="006D6321" w14:paraId="55588C3C" w14:textId="77777777">
      <w:pPr>
        <w:spacing w:before="11"/>
        <w:jc w:val="center"/>
        <w:rPr>
          <w:rFonts w:eastAsia="Times New Roman" w:cs="Times New Roman"/>
          <w:u w:color="000000"/>
        </w:rPr>
      </w:pPr>
      <w:r>
        <w:rPr>
          <w:rFonts w:eastAsia="Times New Roman" w:cs="Times New Roman"/>
          <w:u w:color="000000"/>
        </w:rPr>
        <w:t>(CMS-10184, OMB-0938-1012)</w:t>
      </w:r>
    </w:p>
    <w:p w:rsidR="00422D5A" w:rsidRPr="00B34F88" w14:paraId="59AF6706" w14:textId="77777777">
      <w:pPr>
        <w:spacing w:before="3"/>
        <w:rPr>
          <w:rFonts w:eastAsia="Courier New" w:cs="Times New Roman"/>
          <w:sz w:val="21"/>
          <w:szCs w:val="21"/>
        </w:rPr>
      </w:pPr>
    </w:p>
    <w:p w:rsidR="00422D5A" w:rsidRPr="00B34F88" w:rsidP="00B34F88" w14:paraId="39103955" w14:textId="77777777">
      <w:pPr>
        <w:pStyle w:val="ListParagraph"/>
        <w:numPr>
          <w:ilvl w:val="0"/>
          <w:numId w:val="1"/>
        </w:numPr>
        <w:tabs>
          <w:tab w:val="left" w:pos="677"/>
        </w:tabs>
        <w:ind w:right="109" w:firstLine="0"/>
        <w:rPr>
          <w:rFonts w:ascii="Courier New" w:eastAsia="Courier New" w:hAnsi="Courier New" w:cs="Courier New"/>
          <w:szCs w:val="24"/>
        </w:rPr>
      </w:pPr>
      <w:r w:rsidRPr="00B34F88">
        <w:rPr>
          <w:rFonts w:cs="Times New Roman"/>
          <w:u w:val="single" w:color="000000"/>
        </w:rPr>
        <w:t>Describe potential respondent</w:t>
      </w:r>
      <w:r w:rsidRPr="00B34F88">
        <w:rPr>
          <w:rFonts w:cs="Times New Roman"/>
          <w:spacing w:val="-5"/>
          <w:u w:val="single" w:color="000000"/>
        </w:rPr>
        <w:t xml:space="preserve"> </w:t>
      </w:r>
      <w:r w:rsidRPr="00B34F88">
        <w:rPr>
          <w:rFonts w:cs="Times New Roman"/>
          <w:u w:val="single" w:color="000000"/>
        </w:rPr>
        <w:t>universe.</w:t>
      </w:r>
    </w:p>
    <w:p w:rsidR="002F12A1" w:rsidP="00D02E96" w14:paraId="3E7437CA" w14:textId="1724F493">
      <w:pPr>
        <w:jc w:val="both"/>
      </w:pPr>
      <w:r>
        <w:t xml:space="preserve">The </w:t>
      </w:r>
      <w:r w:rsidR="00F60CE1">
        <w:t xml:space="preserve">respondent </w:t>
      </w:r>
      <w:r>
        <w:t>universe for th</w:t>
      </w:r>
      <w:r w:rsidR="00F60CE1">
        <w:t>e PERM program</w:t>
      </w:r>
      <w:r>
        <w:t xml:space="preserve"> </w:t>
      </w:r>
      <w:r w:rsidR="00873030">
        <w:t>is</w:t>
      </w:r>
      <w:r w:rsidR="005022D6">
        <w:t xml:space="preserve"> the Medicaid and CHIP programs from the</w:t>
      </w:r>
      <w:r>
        <w:t xml:space="preserve"> 50 </w:t>
      </w:r>
      <w:r>
        <w:t>States</w:t>
      </w:r>
      <w:r w:rsidR="00D02E96">
        <w:t xml:space="preserve"> </w:t>
      </w:r>
      <w:r w:rsidR="00493F06">
        <w:t>,</w:t>
      </w:r>
      <w:r>
        <w:t>the</w:t>
      </w:r>
      <w:r>
        <w:t xml:space="preserve"> District of Columbia</w:t>
      </w:r>
      <w:r w:rsidR="00493F06">
        <w:t>, and Puerto Rico territory</w:t>
      </w:r>
      <w:r>
        <w:t>.</w:t>
      </w:r>
      <w:r>
        <w:t xml:space="preserve"> </w:t>
      </w:r>
      <w:r w:rsidR="002A31EB">
        <w:t>All states</w:t>
      </w:r>
      <w:r>
        <w:rPr>
          <w:rStyle w:val="FootnoteReference"/>
        </w:rPr>
        <w:footnoteReference w:id="3"/>
      </w:r>
      <w:r w:rsidR="002A31EB">
        <w:t xml:space="preserve"> must participate in PERM based on regulatory requirements and historically, all states have participated as requested. </w:t>
      </w:r>
      <w:r>
        <w:t>The sample design for PERM is typically referred to as a two-phase sampling</w:t>
      </w:r>
      <w:r w:rsidRPr="00853906">
        <w:t xml:space="preserve"> </w:t>
      </w:r>
      <w:r>
        <w:t>approach, where</w:t>
      </w:r>
      <w:r w:rsidRPr="00853906">
        <w:t xml:space="preserve"> </w:t>
      </w:r>
      <w:r>
        <w:t>the</w:t>
      </w:r>
      <w:r w:rsidRPr="00853906">
        <w:t xml:space="preserve"> </w:t>
      </w:r>
      <w:r>
        <w:t>first</w:t>
      </w:r>
      <w:r w:rsidRPr="00853906">
        <w:t xml:space="preserve"> </w:t>
      </w:r>
      <w:r>
        <w:t>stage</w:t>
      </w:r>
      <w:r w:rsidRPr="00853906">
        <w:t xml:space="preserve"> </w:t>
      </w:r>
      <w:r>
        <w:t>refers</w:t>
      </w:r>
      <w:r w:rsidRPr="00853906">
        <w:t xml:space="preserve"> </w:t>
      </w:r>
      <w:r>
        <w:t>to</w:t>
      </w:r>
      <w:r w:rsidRPr="00853906">
        <w:t xml:space="preserve"> </w:t>
      </w:r>
      <w:r>
        <w:t>the</w:t>
      </w:r>
      <w:r w:rsidRPr="00853906">
        <w:t xml:space="preserve"> </w:t>
      </w:r>
      <w:r>
        <w:t>sampling</w:t>
      </w:r>
      <w:r w:rsidRPr="00853906">
        <w:t xml:space="preserve"> </w:t>
      </w:r>
      <w:r>
        <w:t>of</w:t>
      </w:r>
      <w:r w:rsidRPr="00853906">
        <w:t xml:space="preserve"> </w:t>
      </w:r>
      <w:r>
        <w:t>states</w:t>
      </w:r>
      <w:r w:rsidRPr="00853906">
        <w:t xml:space="preserve"> </w:t>
      </w:r>
      <w:r>
        <w:t>and</w:t>
      </w:r>
      <w:r w:rsidRPr="00853906">
        <w:t xml:space="preserve"> </w:t>
      </w:r>
      <w:r>
        <w:t>the</w:t>
      </w:r>
      <w:r w:rsidRPr="00853906">
        <w:t xml:space="preserve"> </w:t>
      </w:r>
      <w:r>
        <w:t>second</w:t>
      </w:r>
      <w:r w:rsidRPr="00853906">
        <w:t xml:space="preserve"> </w:t>
      </w:r>
      <w:r>
        <w:t>stage</w:t>
      </w:r>
      <w:r w:rsidRPr="00853906">
        <w:t xml:space="preserve"> </w:t>
      </w:r>
      <w:r>
        <w:t>refers</w:t>
      </w:r>
      <w:r w:rsidRPr="00853906">
        <w:t xml:space="preserve"> </w:t>
      </w:r>
      <w:r>
        <w:t>to</w:t>
      </w:r>
      <w:r w:rsidRPr="00853906">
        <w:t xml:space="preserve"> </w:t>
      </w:r>
      <w:r>
        <w:t>the sampling of claim line items or payments within a</w:t>
      </w:r>
      <w:r w:rsidRPr="00853906">
        <w:t xml:space="preserve"> </w:t>
      </w:r>
      <w:r>
        <w:t xml:space="preserve">state. </w:t>
      </w:r>
    </w:p>
    <w:p w:rsidR="002F12A1" w:rsidP="00D02E96" w14:paraId="0B8D05EB" w14:textId="2F1BEED8">
      <w:pPr>
        <w:jc w:val="both"/>
      </w:pPr>
      <w:r w:rsidRPr="002F12A1">
        <w:t xml:space="preserve">To measure improper payments for PERM, </w:t>
      </w:r>
      <w:r>
        <w:t xml:space="preserve">the first stage of the sampling design determined that </w:t>
      </w:r>
      <w:r w:rsidRPr="002F12A1">
        <w:t>17</w:t>
      </w:r>
      <w:r w:rsidR="00493F06">
        <w:t>-18</w:t>
      </w:r>
      <w:r w:rsidRPr="002F12A1">
        <w:t xml:space="preserve"> </w:t>
      </w:r>
      <w:r w:rsidR="00E42612">
        <w:t>s</w:t>
      </w:r>
      <w:r w:rsidRPr="002F12A1">
        <w:t>tates</w:t>
      </w:r>
      <w:r w:rsidR="00493F06">
        <w:t>, depending on the Cycle,</w:t>
      </w:r>
      <w:r w:rsidRPr="002F12A1">
        <w:t xml:space="preserve"> from a total of 50 </w:t>
      </w:r>
      <w:r w:rsidR="00E42612">
        <w:t>s</w:t>
      </w:r>
      <w:r w:rsidRPr="002F12A1">
        <w:t xml:space="preserve">tates plus the District of Columbia </w:t>
      </w:r>
      <w:r w:rsidR="00493F06">
        <w:t xml:space="preserve">and Puerto Rico </w:t>
      </w:r>
      <w:r>
        <w:t xml:space="preserve">would participate in PERM </w:t>
      </w:r>
      <w:r w:rsidRPr="002F12A1">
        <w:t>each</w:t>
      </w:r>
      <w:r>
        <w:t xml:space="preserve"> year to create a three-</w:t>
      </w:r>
      <w:r w:rsidRPr="002F12A1">
        <w:t>year rotation cycle.</w:t>
      </w:r>
      <w:r>
        <w:t xml:space="preserve"> Both the Medicaid and CHIP programs are reviewed in the same year. The PERM review cycles have been established, as shown in Table 1 below, so states know in which year they are required to participate in PERM.</w:t>
      </w:r>
    </w:p>
    <w:p w:rsidR="002F12A1" w:rsidRPr="002F12A1" w:rsidP="00D02E96" w14:paraId="3C28D16D" w14:textId="77777777">
      <w:pPr>
        <w:ind w:left="2073" w:right="437"/>
        <w:jc w:val="both"/>
        <w:rPr>
          <w:rFonts w:eastAsia="Times New Roman" w:cs="Times New Roman"/>
          <w:sz w:val="20"/>
          <w:szCs w:val="20"/>
        </w:rPr>
      </w:pPr>
      <w:r w:rsidRPr="002F12A1">
        <w:rPr>
          <w:b/>
          <w:sz w:val="20"/>
          <w:szCs w:val="20"/>
        </w:rPr>
        <w:t>Table 1. States Selected for Medicaid Improper Payment</w:t>
      </w:r>
      <w:r w:rsidRPr="002F12A1">
        <w:rPr>
          <w:b/>
          <w:spacing w:val="-13"/>
          <w:sz w:val="20"/>
          <w:szCs w:val="20"/>
        </w:rPr>
        <w:t xml:space="preserve"> </w:t>
      </w:r>
      <w:r w:rsidRPr="002F12A1">
        <w:rPr>
          <w:b/>
          <w:sz w:val="20"/>
          <w:szCs w:val="20"/>
        </w:rPr>
        <w:t>Measurements</w:t>
      </w:r>
    </w:p>
    <w:p w:rsidR="002F12A1" w:rsidP="00D02E96" w14:paraId="04F72043" w14:textId="77777777">
      <w:pPr>
        <w:spacing w:before="10"/>
        <w:jc w:val="both"/>
        <w:rPr>
          <w:rFonts w:eastAsia="Times New Roman" w:cs="Times New Roman"/>
          <w:b/>
          <w:bCs/>
          <w:sz w:val="6"/>
          <w:szCs w:val="6"/>
        </w:rPr>
      </w:pPr>
    </w:p>
    <w:tbl>
      <w:tblPr>
        <w:tblW w:w="0" w:type="auto"/>
        <w:tblInd w:w="186" w:type="dxa"/>
        <w:tblLayout w:type="fixed"/>
        <w:tblCellMar>
          <w:left w:w="0" w:type="dxa"/>
          <w:right w:w="0" w:type="dxa"/>
        </w:tblCellMar>
        <w:tblLook w:val="01E0"/>
      </w:tblPr>
      <w:tblGrid>
        <w:gridCol w:w="1529"/>
        <w:gridCol w:w="7833"/>
      </w:tblGrid>
      <w:tr w14:paraId="328E7DF5" w14:textId="77777777" w:rsidTr="00D02E96">
        <w:tblPrEx>
          <w:tblW w:w="0" w:type="auto"/>
          <w:tblInd w:w="186" w:type="dxa"/>
          <w:tblLayout w:type="fixed"/>
          <w:tblCellMar>
            <w:left w:w="0" w:type="dxa"/>
            <w:right w:w="0" w:type="dxa"/>
          </w:tblCellMar>
          <w:tblLook w:val="01E0"/>
        </w:tblPrEx>
        <w:trPr>
          <w:trHeight w:hRule="exact" w:val="795"/>
        </w:trPr>
        <w:tc>
          <w:tcPr>
            <w:tcW w:w="1529" w:type="dxa"/>
            <w:tcBorders>
              <w:top w:val="single" w:sz="4" w:space="0" w:color="000000"/>
              <w:left w:val="single" w:sz="4" w:space="0" w:color="000000"/>
              <w:bottom w:val="single" w:sz="4" w:space="0" w:color="000000"/>
              <w:right w:val="single" w:sz="4" w:space="0" w:color="000000"/>
            </w:tcBorders>
          </w:tcPr>
          <w:p w:rsidR="002F12A1" w:rsidRPr="00980B7D" w:rsidP="00D02E96" w14:paraId="179D5FC4" w14:textId="77777777">
            <w:pPr>
              <w:pStyle w:val="TableParagraph"/>
              <w:spacing w:after="40" w:line="276" w:lineRule="auto"/>
              <w:jc w:val="both"/>
              <w:rPr>
                <w:b/>
                <w:sz w:val="20"/>
              </w:rPr>
            </w:pPr>
            <w:r>
              <w:rPr>
                <w:b/>
                <w:sz w:val="20"/>
              </w:rPr>
              <w:t>Cycle</w:t>
            </w:r>
            <w:r>
              <w:rPr>
                <w:b/>
                <w:spacing w:val="-2"/>
                <w:sz w:val="20"/>
              </w:rPr>
              <w:t xml:space="preserve"> </w:t>
            </w:r>
            <w:r>
              <w:rPr>
                <w:b/>
                <w:sz w:val="20"/>
              </w:rPr>
              <w:t>1</w:t>
            </w:r>
          </w:p>
          <w:p w:rsidR="002F12A1" w:rsidP="00D02E96" w14:paraId="0B6FA93D" w14:textId="77777777">
            <w:pPr>
              <w:pStyle w:val="TableParagraph"/>
              <w:spacing w:after="40" w:line="276" w:lineRule="auto"/>
              <w:jc w:val="both"/>
              <w:rPr>
                <w:rFonts w:eastAsia="Times New Roman" w:cs="Times New Roman"/>
                <w:sz w:val="20"/>
                <w:szCs w:val="20"/>
              </w:rPr>
            </w:pPr>
          </w:p>
        </w:tc>
        <w:tc>
          <w:tcPr>
            <w:tcW w:w="7833" w:type="dxa"/>
            <w:tcBorders>
              <w:top w:val="single" w:sz="4" w:space="0" w:color="000000"/>
              <w:left w:val="single" w:sz="4" w:space="0" w:color="000000"/>
              <w:bottom w:val="single" w:sz="4" w:space="0" w:color="000000"/>
              <w:right w:val="single" w:sz="4" w:space="0" w:color="000000"/>
            </w:tcBorders>
          </w:tcPr>
          <w:p w:rsidR="002F12A1" w:rsidP="00D02E96" w14:paraId="55BC4421" w14:textId="77777777">
            <w:pPr>
              <w:pStyle w:val="TableParagraph"/>
              <w:spacing w:before="40" w:after="40" w:line="276" w:lineRule="auto"/>
              <w:ind w:left="101" w:right="283"/>
              <w:jc w:val="both"/>
              <w:rPr>
                <w:rFonts w:eastAsia="Times New Roman" w:cs="Times New Roman"/>
                <w:sz w:val="20"/>
                <w:szCs w:val="20"/>
              </w:rPr>
            </w:pPr>
            <w:r>
              <w:rPr>
                <w:sz w:val="20"/>
              </w:rPr>
              <w:t>Arkansas, Connecticut, Delaware, Idaho, Illinois, Kansas, Michigan, Minnesota,</w:t>
            </w:r>
            <w:r>
              <w:rPr>
                <w:spacing w:val="-10"/>
                <w:sz w:val="20"/>
              </w:rPr>
              <w:t xml:space="preserve"> </w:t>
            </w:r>
            <w:r>
              <w:rPr>
                <w:sz w:val="20"/>
              </w:rPr>
              <w:t>Missouri,</w:t>
            </w:r>
            <w:r>
              <w:rPr>
                <w:w w:val="99"/>
                <w:sz w:val="20"/>
              </w:rPr>
              <w:t xml:space="preserve"> </w:t>
            </w:r>
            <w:r>
              <w:rPr>
                <w:sz w:val="20"/>
              </w:rPr>
              <w:t>New Mexico, North Dakota, Ohio, Oklahoma, Pennsylvania, Virginia, Wisconsin,</w:t>
            </w:r>
            <w:r>
              <w:rPr>
                <w:spacing w:val="-34"/>
                <w:sz w:val="20"/>
              </w:rPr>
              <w:t xml:space="preserve"> </w:t>
            </w:r>
            <w:r>
              <w:rPr>
                <w:sz w:val="20"/>
              </w:rPr>
              <w:t>Wyoming</w:t>
            </w:r>
          </w:p>
        </w:tc>
      </w:tr>
      <w:tr w14:paraId="5AE3EEA0" w14:textId="77777777" w:rsidTr="00D02E96">
        <w:tblPrEx>
          <w:tblW w:w="0" w:type="auto"/>
          <w:tblInd w:w="186" w:type="dxa"/>
          <w:tblLayout w:type="fixed"/>
          <w:tblCellMar>
            <w:left w:w="0" w:type="dxa"/>
            <w:right w:w="0" w:type="dxa"/>
          </w:tblCellMar>
          <w:tblLook w:val="01E0"/>
        </w:tblPrEx>
        <w:trPr>
          <w:trHeight w:hRule="exact" w:val="1049"/>
        </w:trPr>
        <w:tc>
          <w:tcPr>
            <w:tcW w:w="1529" w:type="dxa"/>
            <w:tcBorders>
              <w:top w:val="single" w:sz="4" w:space="0" w:color="000000"/>
              <w:left w:val="single" w:sz="4" w:space="0" w:color="000000"/>
              <w:bottom w:val="single" w:sz="4" w:space="0" w:color="000000"/>
              <w:right w:val="single" w:sz="4" w:space="0" w:color="000000"/>
            </w:tcBorders>
          </w:tcPr>
          <w:p w:rsidR="002F12A1" w:rsidP="00D02E96" w14:paraId="1F82DCEC" w14:textId="77777777">
            <w:pPr>
              <w:pStyle w:val="TableParagraph"/>
              <w:spacing w:after="40" w:line="276" w:lineRule="auto"/>
              <w:ind w:right="1"/>
              <w:jc w:val="both"/>
              <w:rPr>
                <w:rFonts w:eastAsia="Times New Roman" w:cs="Times New Roman"/>
                <w:sz w:val="20"/>
                <w:szCs w:val="20"/>
              </w:rPr>
            </w:pPr>
            <w:r>
              <w:rPr>
                <w:b/>
                <w:sz w:val="20"/>
              </w:rPr>
              <w:t>Cycle</w:t>
            </w:r>
            <w:r>
              <w:rPr>
                <w:b/>
                <w:spacing w:val="-2"/>
                <w:sz w:val="20"/>
              </w:rPr>
              <w:t xml:space="preserve"> </w:t>
            </w:r>
            <w:r>
              <w:rPr>
                <w:b/>
                <w:sz w:val="20"/>
              </w:rPr>
              <w:t>2</w:t>
            </w:r>
          </w:p>
          <w:p w:rsidR="002F12A1" w:rsidP="00D02E96" w14:paraId="7A62170F" w14:textId="77777777">
            <w:pPr>
              <w:pStyle w:val="TableParagraph"/>
              <w:spacing w:after="40" w:line="276" w:lineRule="auto"/>
              <w:ind w:right="2"/>
              <w:jc w:val="both"/>
              <w:rPr>
                <w:rFonts w:eastAsia="Times New Roman" w:cs="Times New Roman"/>
                <w:sz w:val="20"/>
                <w:szCs w:val="20"/>
              </w:rPr>
            </w:pPr>
          </w:p>
        </w:tc>
        <w:tc>
          <w:tcPr>
            <w:tcW w:w="7833" w:type="dxa"/>
            <w:tcBorders>
              <w:top w:val="single" w:sz="4" w:space="0" w:color="000000"/>
              <w:left w:val="single" w:sz="4" w:space="0" w:color="000000"/>
              <w:bottom w:val="single" w:sz="4" w:space="0" w:color="000000"/>
              <w:right w:val="single" w:sz="4" w:space="0" w:color="000000"/>
            </w:tcBorders>
          </w:tcPr>
          <w:p w:rsidR="002F12A1" w:rsidP="00D02E96" w14:paraId="201B85AD" w14:textId="77777777">
            <w:pPr>
              <w:pStyle w:val="TableParagraph"/>
              <w:spacing w:before="40" w:after="40" w:line="276" w:lineRule="auto"/>
              <w:ind w:left="101" w:right="158"/>
              <w:jc w:val="both"/>
              <w:rPr>
                <w:rFonts w:eastAsia="Times New Roman" w:cs="Times New Roman"/>
                <w:sz w:val="20"/>
                <w:szCs w:val="20"/>
              </w:rPr>
            </w:pPr>
            <w:r>
              <w:rPr>
                <w:sz w:val="20"/>
              </w:rPr>
              <w:t>Alabama, California, Colorado, Georgia, Kentucky, Maryland, Massachusetts, Nebraska,</w:t>
            </w:r>
            <w:r>
              <w:rPr>
                <w:spacing w:val="-26"/>
                <w:sz w:val="20"/>
              </w:rPr>
              <w:t xml:space="preserve"> </w:t>
            </w:r>
            <w:r>
              <w:rPr>
                <w:sz w:val="20"/>
              </w:rPr>
              <w:t>New</w:t>
            </w:r>
            <w:r>
              <w:rPr>
                <w:w w:val="99"/>
                <w:sz w:val="20"/>
              </w:rPr>
              <w:t xml:space="preserve"> </w:t>
            </w:r>
            <w:r w:rsidR="009310E1">
              <w:rPr>
                <w:sz w:val="20"/>
              </w:rPr>
              <w:t>Hampshire, New J</w:t>
            </w:r>
            <w:r>
              <w:rPr>
                <w:sz w:val="20"/>
              </w:rPr>
              <w:t>ersey, North Carolina, Rhode Island, South Carolina, Tennessee,</w:t>
            </w:r>
            <w:r>
              <w:rPr>
                <w:spacing w:val="-7"/>
                <w:sz w:val="20"/>
              </w:rPr>
              <w:t xml:space="preserve"> </w:t>
            </w:r>
            <w:r>
              <w:rPr>
                <w:sz w:val="20"/>
              </w:rPr>
              <w:t>Utah,</w:t>
            </w:r>
            <w:r>
              <w:rPr>
                <w:w w:val="99"/>
                <w:sz w:val="20"/>
              </w:rPr>
              <w:t xml:space="preserve"> </w:t>
            </w:r>
            <w:r>
              <w:rPr>
                <w:sz w:val="20"/>
              </w:rPr>
              <w:t>Vermont, West</w:t>
            </w:r>
            <w:r>
              <w:rPr>
                <w:spacing w:val="-9"/>
                <w:sz w:val="20"/>
              </w:rPr>
              <w:t xml:space="preserve"> </w:t>
            </w:r>
            <w:r>
              <w:rPr>
                <w:sz w:val="20"/>
              </w:rPr>
              <w:t>Virginia</w:t>
            </w:r>
          </w:p>
        </w:tc>
      </w:tr>
      <w:tr w14:paraId="37C94F0C" w14:textId="77777777" w:rsidTr="00D02E96">
        <w:tblPrEx>
          <w:tblW w:w="0" w:type="auto"/>
          <w:tblInd w:w="186" w:type="dxa"/>
          <w:tblLayout w:type="fixed"/>
          <w:tblCellMar>
            <w:left w:w="0" w:type="dxa"/>
            <w:right w:w="0" w:type="dxa"/>
          </w:tblCellMar>
          <w:tblLook w:val="01E0"/>
        </w:tblPrEx>
        <w:trPr>
          <w:trHeight w:hRule="exact" w:val="750"/>
        </w:trPr>
        <w:tc>
          <w:tcPr>
            <w:tcW w:w="1529" w:type="dxa"/>
            <w:tcBorders>
              <w:top w:val="single" w:sz="4" w:space="0" w:color="000000"/>
              <w:left w:val="single" w:sz="4" w:space="0" w:color="000000"/>
              <w:bottom w:val="single" w:sz="4" w:space="0" w:color="000000"/>
              <w:right w:val="single" w:sz="4" w:space="0" w:color="000000"/>
            </w:tcBorders>
          </w:tcPr>
          <w:p w:rsidR="002F12A1" w:rsidP="00D02E96" w14:paraId="7546537A" w14:textId="77777777">
            <w:pPr>
              <w:pStyle w:val="TableParagraph"/>
              <w:spacing w:after="40" w:line="276" w:lineRule="auto"/>
              <w:ind w:right="1"/>
              <w:jc w:val="both"/>
              <w:rPr>
                <w:rFonts w:eastAsia="Times New Roman" w:cs="Times New Roman"/>
                <w:sz w:val="20"/>
                <w:szCs w:val="20"/>
              </w:rPr>
            </w:pPr>
            <w:r>
              <w:rPr>
                <w:b/>
                <w:sz w:val="20"/>
              </w:rPr>
              <w:t>Cycle</w:t>
            </w:r>
            <w:r>
              <w:rPr>
                <w:b/>
                <w:spacing w:val="-2"/>
                <w:sz w:val="20"/>
              </w:rPr>
              <w:t xml:space="preserve"> </w:t>
            </w:r>
            <w:r>
              <w:rPr>
                <w:b/>
                <w:sz w:val="20"/>
              </w:rPr>
              <w:t>3</w:t>
            </w:r>
          </w:p>
          <w:p w:rsidR="002F12A1" w:rsidP="00D02E96" w14:paraId="25FD69FB" w14:textId="77777777">
            <w:pPr>
              <w:pStyle w:val="TableParagraph"/>
              <w:spacing w:after="40" w:line="276" w:lineRule="auto"/>
              <w:ind w:right="2"/>
              <w:jc w:val="both"/>
              <w:rPr>
                <w:rFonts w:eastAsia="Times New Roman" w:cs="Times New Roman"/>
                <w:sz w:val="20"/>
                <w:szCs w:val="20"/>
              </w:rPr>
            </w:pPr>
          </w:p>
        </w:tc>
        <w:tc>
          <w:tcPr>
            <w:tcW w:w="7833" w:type="dxa"/>
            <w:tcBorders>
              <w:top w:val="single" w:sz="4" w:space="0" w:color="000000"/>
              <w:left w:val="single" w:sz="4" w:space="0" w:color="000000"/>
              <w:bottom w:val="single" w:sz="4" w:space="0" w:color="000000"/>
              <w:right w:val="single" w:sz="4" w:space="0" w:color="000000"/>
            </w:tcBorders>
          </w:tcPr>
          <w:p w:rsidR="002F12A1" w:rsidP="00D02E96" w14:paraId="05D78300" w14:textId="75188A0F">
            <w:pPr>
              <w:pStyle w:val="TableParagraph"/>
              <w:spacing w:before="40" w:after="40" w:line="276" w:lineRule="auto"/>
              <w:ind w:left="101" w:right="567"/>
              <w:jc w:val="both"/>
              <w:rPr>
                <w:rFonts w:eastAsia="Times New Roman" w:cs="Times New Roman"/>
                <w:sz w:val="20"/>
                <w:szCs w:val="20"/>
              </w:rPr>
            </w:pPr>
            <w:r>
              <w:rPr>
                <w:sz w:val="20"/>
              </w:rPr>
              <w:t>Alaska, Arizona, District of Columbia, Florida, Hawaii, Indiana, Iowa, Louisiana,</w:t>
            </w:r>
            <w:r>
              <w:rPr>
                <w:spacing w:val="-27"/>
                <w:sz w:val="20"/>
              </w:rPr>
              <w:t xml:space="preserve"> </w:t>
            </w:r>
            <w:r>
              <w:rPr>
                <w:sz w:val="20"/>
              </w:rPr>
              <w:t>Maine,</w:t>
            </w:r>
            <w:r>
              <w:rPr>
                <w:w w:val="99"/>
                <w:sz w:val="20"/>
              </w:rPr>
              <w:t xml:space="preserve"> </w:t>
            </w:r>
            <w:r>
              <w:rPr>
                <w:sz w:val="20"/>
              </w:rPr>
              <w:t xml:space="preserve">Mississippi, Montana, New York, Oregon, </w:t>
            </w:r>
            <w:r w:rsidR="00D02E96">
              <w:rPr>
                <w:sz w:val="20"/>
              </w:rPr>
              <w:t xml:space="preserve">Puerto Rico, </w:t>
            </w:r>
            <w:r>
              <w:rPr>
                <w:sz w:val="20"/>
              </w:rPr>
              <w:t>South Dakota, Texas,</w:t>
            </w:r>
            <w:r>
              <w:rPr>
                <w:spacing w:val="-28"/>
                <w:sz w:val="20"/>
              </w:rPr>
              <w:t xml:space="preserve"> </w:t>
            </w:r>
            <w:r>
              <w:rPr>
                <w:sz w:val="20"/>
              </w:rPr>
              <w:t>Washington</w:t>
            </w:r>
          </w:p>
        </w:tc>
      </w:tr>
    </w:tbl>
    <w:p w:rsidR="002F12A1" w:rsidP="00493F06" w14:paraId="40EA541B" w14:textId="77777777">
      <w:pPr>
        <w:jc w:val="both"/>
      </w:pPr>
    </w:p>
    <w:p w:rsidR="00493F06" w:rsidP="00D02E96" w14:paraId="0FE66778" w14:textId="77777777">
      <w:pPr>
        <w:jc w:val="both"/>
      </w:pPr>
    </w:p>
    <w:p w:rsidR="00610BF3" w:rsidRPr="00610BF3" w:rsidP="00D02E96" w14:paraId="78A953FD" w14:textId="77777777">
      <w:pPr>
        <w:jc w:val="both"/>
        <w:rPr>
          <w:i/>
        </w:rPr>
      </w:pPr>
      <w:r w:rsidRPr="00610BF3">
        <w:rPr>
          <w:i/>
        </w:rPr>
        <w:t>Stage 1: State Cycle Selection</w:t>
      </w:r>
    </w:p>
    <w:p w:rsidR="002F12A1" w:rsidP="00D02E96" w14:paraId="13081C5B" w14:textId="4E933C90">
      <w:pPr>
        <w:jc w:val="both"/>
      </w:pPr>
      <w:r>
        <w:t xml:space="preserve">To determine which </w:t>
      </w:r>
      <w:r>
        <w:t>states</w:t>
      </w:r>
      <w:r>
        <w:t xml:space="preserve"> participate in each cycle, </w:t>
      </w:r>
      <w:r w:rsidR="00E42612">
        <w:t>s</w:t>
      </w:r>
      <w:r>
        <w:t>tates were ranked by their past Federal fee-for-service (FFS) expenditures and grouped into the four strata of 17</w:t>
      </w:r>
      <w:r w:rsidR="00395086">
        <w:t>-18</w:t>
      </w:r>
      <w:r>
        <w:t xml:space="preserve"> States each for three PERM cycles (3x17</w:t>
      </w:r>
      <w:r w:rsidR="00395086">
        <w:t>+1</w:t>
      </w:r>
      <w:r>
        <w:t>=</w:t>
      </w:r>
      <w:r w:rsidR="00395086">
        <w:t>52</w:t>
      </w:r>
      <w:r>
        <w:t xml:space="preserve">). This distribution of </w:t>
      </w:r>
      <w:r w:rsidR="00E42612">
        <w:t>s</w:t>
      </w:r>
      <w:r>
        <w:t>tates is shown in Table 2, below</w:t>
      </w:r>
      <w:r w:rsidR="00516C1F">
        <w:t>, where stratum 1A consists of the largest states in terms of expenditures and stratum 3 consists of the smallest</w:t>
      </w:r>
      <w:r>
        <w:t>.</w:t>
      </w:r>
    </w:p>
    <w:p w:rsidR="002F12A1" w:rsidRPr="00B34F88" w:rsidP="00D02E96" w14:paraId="393483E2" w14:textId="77777777">
      <w:pPr>
        <w:keepNext/>
        <w:ind w:left="2073" w:right="437"/>
        <w:jc w:val="both"/>
        <w:rPr>
          <w:rFonts w:eastAsia="Times New Roman" w:cs="Times New Roman"/>
          <w:sz w:val="20"/>
          <w:szCs w:val="20"/>
        </w:rPr>
      </w:pPr>
      <w:r w:rsidRPr="002F12A1">
        <w:rPr>
          <w:b/>
          <w:sz w:val="20"/>
          <w:szCs w:val="20"/>
        </w:rPr>
        <w:t xml:space="preserve">Table </w:t>
      </w:r>
      <w:r>
        <w:rPr>
          <w:b/>
          <w:sz w:val="20"/>
          <w:szCs w:val="20"/>
        </w:rPr>
        <w:t>2</w:t>
      </w:r>
      <w:r w:rsidRPr="002F12A1">
        <w:rPr>
          <w:b/>
          <w:sz w:val="20"/>
          <w:szCs w:val="20"/>
        </w:rPr>
        <w:t xml:space="preserve">. </w:t>
      </w:r>
      <w:r>
        <w:rPr>
          <w:b/>
          <w:sz w:val="20"/>
          <w:szCs w:val="20"/>
        </w:rPr>
        <w:t>State Strata Distribution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477"/>
        <w:gridCol w:w="1760"/>
        <w:gridCol w:w="1800"/>
        <w:gridCol w:w="1886"/>
      </w:tblGrid>
      <w:tr w14:paraId="7C241E26" w14:textId="77777777" w:rsidTr="00E40A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hRule="exact" w:val="307"/>
          <w:tblHeader/>
          <w:jc w:val="center"/>
        </w:trPr>
        <w:tc>
          <w:tcPr>
            <w:tcW w:w="1477" w:type="dxa"/>
          </w:tcPr>
          <w:p w:rsidR="002F12A1" w:rsidRPr="00B34F88" w:rsidP="00D02E96" w14:paraId="2EB4511D" w14:textId="77777777">
            <w:pPr>
              <w:pStyle w:val="TableParagraph"/>
              <w:keepNext/>
              <w:spacing w:line="270" w:lineRule="exact"/>
              <w:ind w:left="303"/>
              <w:jc w:val="both"/>
              <w:rPr>
                <w:rFonts w:eastAsia="Times New Roman" w:cs="Times New Roman"/>
                <w:sz w:val="20"/>
                <w:szCs w:val="20"/>
              </w:rPr>
            </w:pPr>
            <w:r w:rsidRPr="00B34F88">
              <w:rPr>
                <w:b/>
                <w:sz w:val="20"/>
                <w:szCs w:val="20"/>
              </w:rPr>
              <w:t>Stratum</w:t>
            </w:r>
          </w:p>
        </w:tc>
        <w:tc>
          <w:tcPr>
            <w:tcW w:w="1760" w:type="dxa"/>
          </w:tcPr>
          <w:p w:rsidR="002F12A1" w:rsidRPr="00B34F88" w:rsidP="00D02E96" w14:paraId="5698A179" w14:textId="77777777">
            <w:pPr>
              <w:pStyle w:val="TableParagraph"/>
              <w:keepNext/>
              <w:spacing w:line="270" w:lineRule="exact"/>
              <w:ind w:left="487"/>
              <w:jc w:val="both"/>
              <w:rPr>
                <w:rFonts w:eastAsia="Times New Roman" w:cs="Times New Roman"/>
                <w:sz w:val="20"/>
                <w:szCs w:val="20"/>
              </w:rPr>
            </w:pPr>
            <w:r w:rsidRPr="00B34F88">
              <w:rPr>
                <w:b/>
                <w:sz w:val="20"/>
                <w:szCs w:val="20"/>
              </w:rPr>
              <w:t>Cycle</w:t>
            </w:r>
            <w:r w:rsidRPr="00B34F88">
              <w:rPr>
                <w:b/>
                <w:spacing w:val="-2"/>
                <w:sz w:val="20"/>
                <w:szCs w:val="20"/>
              </w:rPr>
              <w:t xml:space="preserve"> </w:t>
            </w:r>
            <w:r w:rsidRPr="00B34F88">
              <w:rPr>
                <w:b/>
                <w:sz w:val="20"/>
                <w:szCs w:val="20"/>
              </w:rPr>
              <w:t>1</w:t>
            </w:r>
          </w:p>
        </w:tc>
        <w:tc>
          <w:tcPr>
            <w:tcW w:w="1800" w:type="dxa"/>
          </w:tcPr>
          <w:p w:rsidR="002F12A1" w:rsidRPr="00B34F88" w:rsidP="00D02E96" w14:paraId="387773ED" w14:textId="77777777">
            <w:pPr>
              <w:pStyle w:val="TableParagraph"/>
              <w:keepNext/>
              <w:spacing w:line="270" w:lineRule="exact"/>
              <w:ind w:left="508"/>
              <w:jc w:val="both"/>
              <w:rPr>
                <w:rFonts w:eastAsia="Times New Roman" w:cs="Times New Roman"/>
                <w:sz w:val="20"/>
                <w:szCs w:val="20"/>
              </w:rPr>
            </w:pPr>
            <w:r w:rsidRPr="00B34F88">
              <w:rPr>
                <w:b/>
                <w:sz w:val="20"/>
                <w:szCs w:val="20"/>
              </w:rPr>
              <w:t>Cycle</w:t>
            </w:r>
            <w:r w:rsidRPr="00B34F88">
              <w:rPr>
                <w:b/>
                <w:spacing w:val="-2"/>
                <w:sz w:val="20"/>
                <w:szCs w:val="20"/>
              </w:rPr>
              <w:t xml:space="preserve"> </w:t>
            </w:r>
            <w:r w:rsidRPr="00B34F88">
              <w:rPr>
                <w:b/>
                <w:sz w:val="20"/>
                <w:szCs w:val="20"/>
              </w:rPr>
              <w:t>2</w:t>
            </w:r>
          </w:p>
        </w:tc>
        <w:tc>
          <w:tcPr>
            <w:tcW w:w="1886" w:type="dxa"/>
          </w:tcPr>
          <w:p w:rsidR="002F12A1" w:rsidRPr="00B34F88" w:rsidP="00D02E96" w14:paraId="59A72430" w14:textId="77777777">
            <w:pPr>
              <w:pStyle w:val="TableParagraph"/>
              <w:keepNext/>
              <w:spacing w:line="270" w:lineRule="exact"/>
              <w:ind w:left="561"/>
              <w:jc w:val="both"/>
              <w:rPr>
                <w:rFonts w:eastAsia="Times New Roman" w:cs="Times New Roman"/>
                <w:sz w:val="20"/>
                <w:szCs w:val="20"/>
              </w:rPr>
            </w:pPr>
            <w:r w:rsidRPr="00B34F88">
              <w:rPr>
                <w:b/>
                <w:sz w:val="20"/>
                <w:szCs w:val="20"/>
              </w:rPr>
              <w:t>Cycle</w:t>
            </w:r>
            <w:r w:rsidRPr="00B34F88">
              <w:rPr>
                <w:b/>
                <w:spacing w:val="-2"/>
                <w:sz w:val="20"/>
                <w:szCs w:val="20"/>
              </w:rPr>
              <w:t xml:space="preserve"> </w:t>
            </w:r>
            <w:r w:rsidRPr="00B34F88">
              <w:rPr>
                <w:b/>
                <w:sz w:val="20"/>
                <w:szCs w:val="20"/>
              </w:rPr>
              <w:t>3</w:t>
            </w:r>
          </w:p>
        </w:tc>
      </w:tr>
      <w:tr w14:paraId="60557257" w14:textId="77777777" w:rsidTr="00E40ADA">
        <w:tblPrEx>
          <w:tblW w:w="0" w:type="auto"/>
          <w:jc w:val="center"/>
          <w:tblLayout w:type="fixed"/>
          <w:tblCellMar>
            <w:left w:w="0" w:type="dxa"/>
            <w:right w:w="0" w:type="dxa"/>
          </w:tblCellMar>
          <w:tblLook w:val="01E0"/>
        </w:tblPrEx>
        <w:trPr>
          <w:cantSplit/>
          <w:trHeight w:hRule="exact" w:val="305"/>
          <w:jc w:val="center"/>
        </w:trPr>
        <w:tc>
          <w:tcPr>
            <w:tcW w:w="1477" w:type="dxa"/>
          </w:tcPr>
          <w:p w:rsidR="002F12A1" w:rsidRPr="00B34F88" w:rsidP="00D02E96" w14:paraId="10A59A68" w14:textId="77777777">
            <w:pPr>
              <w:pStyle w:val="TableParagraph"/>
              <w:keepNext/>
              <w:spacing w:line="273" w:lineRule="exact"/>
              <w:ind w:left="1"/>
              <w:jc w:val="both"/>
              <w:rPr>
                <w:rFonts w:eastAsia="Times New Roman" w:cs="Times New Roman"/>
                <w:sz w:val="20"/>
                <w:szCs w:val="20"/>
              </w:rPr>
            </w:pPr>
            <w:r w:rsidRPr="00B34F88">
              <w:rPr>
                <w:b/>
                <w:sz w:val="20"/>
                <w:szCs w:val="20"/>
              </w:rPr>
              <w:t>1A</w:t>
            </w:r>
          </w:p>
        </w:tc>
        <w:tc>
          <w:tcPr>
            <w:tcW w:w="1760" w:type="dxa"/>
          </w:tcPr>
          <w:p w:rsidR="002F12A1" w:rsidRPr="00B34F88" w:rsidP="00D02E96" w14:paraId="3C215256" w14:textId="77777777">
            <w:pPr>
              <w:pStyle w:val="TableParagraph"/>
              <w:keepNext/>
              <w:spacing w:line="268" w:lineRule="exact"/>
              <w:jc w:val="both"/>
              <w:rPr>
                <w:rFonts w:eastAsia="Times New Roman" w:cs="Times New Roman"/>
                <w:sz w:val="20"/>
                <w:szCs w:val="20"/>
              </w:rPr>
            </w:pPr>
            <w:r w:rsidRPr="00B34F88">
              <w:rPr>
                <w:sz w:val="20"/>
                <w:szCs w:val="20"/>
              </w:rPr>
              <w:t>3</w:t>
            </w:r>
          </w:p>
        </w:tc>
        <w:tc>
          <w:tcPr>
            <w:tcW w:w="1800" w:type="dxa"/>
          </w:tcPr>
          <w:p w:rsidR="002F12A1" w:rsidRPr="00B34F88" w:rsidP="00D02E96" w14:paraId="65607CD0" w14:textId="77777777">
            <w:pPr>
              <w:pStyle w:val="TableParagraph"/>
              <w:keepNext/>
              <w:spacing w:line="268" w:lineRule="exact"/>
              <w:jc w:val="both"/>
              <w:rPr>
                <w:rFonts w:eastAsia="Times New Roman" w:cs="Times New Roman"/>
                <w:sz w:val="20"/>
                <w:szCs w:val="20"/>
              </w:rPr>
            </w:pPr>
            <w:r w:rsidRPr="00B34F88">
              <w:rPr>
                <w:sz w:val="20"/>
                <w:szCs w:val="20"/>
              </w:rPr>
              <w:t>3</w:t>
            </w:r>
          </w:p>
        </w:tc>
        <w:tc>
          <w:tcPr>
            <w:tcW w:w="1886" w:type="dxa"/>
            <w:vAlign w:val="center"/>
          </w:tcPr>
          <w:p w:rsidR="002F12A1" w:rsidRPr="00B34F88" w:rsidP="00D02E96" w14:paraId="41A13405" w14:textId="77777777">
            <w:pPr>
              <w:pStyle w:val="TableParagraph"/>
              <w:keepNext/>
              <w:spacing w:line="268" w:lineRule="exact"/>
              <w:jc w:val="both"/>
              <w:rPr>
                <w:rFonts w:eastAsia="Times New Roman" w:cs="Times New Roman"/>
                <w:sz w:val="20"/>
                <w:szCs w:val="20"/>
              </w:rPr>
            </w:pPr>
            <w:r w:rsidRPr="00B34F88">
              <w:rPr>
                <w:rFonts w:eastAsia="Times New Roman" w:cs="Times New Roman"/>
                <w:sz w:val="20"/>
                <w:szCs w:val="20"/>
              </w:rPr>
              <w:t>3</w:t>
            </w:r>
          </w:p>
        </w:tc>
      </w:tr>
      <w:tr w14:paraId="30A732AA" w14:textId="77777777" w:rsidTr="00E40ADA">
        <w:tblPrEx>
          <w:tblW w:w="0" w:type="auto"/>
          <w:jc w:val="center"/>
          <w:tblLayout w:type="fixed"/>
          <w:tblCellMar>
            <w:left w:w="0" w:type="dxa"/>
            <w:right w:w="0" w:type="dxa"/>
          </w:tblCellMar>
          <w:tblLook w:val="01E0"/>
        </w:tblPrEx>
        <w:trPr>
          <w:cantSplit/>
          <w:trHeight w:hRule="exact" w:val="307"/>
          <w:jc w:val="center"/>
        </w:trPr>
        <w:tc>
          <w:tcPr>
            <w:tcW w:w="1477" w:type="dxa"/>
          </w:tcPr>
          <w:p w:rsidR="002F12A1" w:rsidRPr="00B34F88" w:rsidP="00D02E96" w14:paraId="49105B3B" w14:textId="77777777">
            <w:pPr>
              <w:pStyle w:val="TableParagraph"/>
              <w:keepNext/>
              <w:spacing w:line="273" w:lineRule="exact"/>
              <w:ind w:left="2"/>
              <w:jc w:val="both"/>
              <w:rPr>
                <w:rFonts w:eastAsia="Times New Roman" w:cs="Times New Roman"/>
                <w:sz w:val="20"/>
                <w:szCs w:val="20"/>
              </w:rPr>
            </w:pPr>
            <w:r w:rsidRPr="00B34F88">
              <w:rPr>
                <w:b/>
                <w:sz w:val="20"/>
                <w:szCs w:val="20"/>
              </w:rPr>
              <w:t>1B</w:t>
            </w:r>
          </w:p>
        </w:tc>
        <w:tc>
          <w:tcPr>
            <w:tcW w:w="1760" w:type="dxa"/>
          </w:tcPr>
          <w:p w:rsidR="002F12A1" w:rsidRPr="00B34F88" w:rsidP="00D02E96" w14:paraId="1388C84B" w14:textId="77777777">
            <w:pPr>
              <w:pStyle w:val="TableParagraph"/>
              <w:keepNext/>
              <w:spacing w:line="268" w:lineRule="exact"/>
              <w:jc w:val="both"/>
              <w:rPr>
                <w:rFonts w:eastAsia="Times New Roman" w:cs="Times New Roman"/>
                <w:sz w:val="20"/>
                <w:szCs w:val="20"/>
              </w:rPr>
            </w:pPr>
            <w:r w:rsidRPr="00B34F88">
              <w:rPr>
                <w:sz w:val="20"/>
                <w:szCs w:val="20"/>
              </w:rPr>
              <w:t>3</w:t>
            </w:r>
          </w:p>
        </w:tc>
        <w:tc>
          <w:tcPr>
            <w:tcW w:w="1800" w:type="dxa"/>
          </w:tcPr>
          <w:p w:rsidR="002F12A1" w:rsidRPr="00B34F88" w:rsidP="00D02E96" w14:paraId="0178A145" w14:textId="77777777">
            <w:pPr>
              <w:pStyle w:val="TableParagraph"/>
              <w:keepNext/>
              <w:spacing w:line="268" w:lineRule="exact"/>
              <w:jc w:val="both"/>
              <w:rPr>
                <w:rFonts w:eastAsia="Times New Roman" w:cs="Times New Roman"/>
                <w:sz w:val="20"/>
                <w:szCs w:val="20"/>
              </w:rPr>
            </w:pPr>
            <w:r w:rsidRPr="00B34F88">
              <w:rPr>
                <w:sz w:val="20"/>
                <w:szCs w:val="20"/>
              </w:rPr>
              <w:t>3</w:t>
            </w:r>
          </w:p>
        </w:tc>
        <w:tc>
          <w:tcPr>
            <w:tcW w:w="1886" w:type="dxa"/>
            <w:vAlign w:val="center"/>
          </w:tcPr>
          <w:p w:rsidR="002F12A1" w:rsidRPr="00B34F88" w:rsidP="00D02E96" w14:paraId="0BCF7424" w14:textId="77777777">
            <w:pPr>
              <w:pStyle w:val="TableParagraph"/>
              <w:keepNext/>
              <w:spacing w:line="268" w:lineRule="exact"/>
              <w:jc w:val="both"/>
              <w:rPr>
                <w:rFonts w:eastAsia="Times New Roman" w:cs="Times New Roman"/>
                <w:sz w:val="20"/>
                <w:szCs w:val="20"/>
              </w:rPr>
            </w:pPr>
            <w:r w:rsidRPr="00B34F88">
              <w:rPr>
                <w:sz w:val="20"/>
                <w:szCs w:val="20"/>
              </w:rPr>
              <w:t>2</w:t>
            </w:r>
          </w:p>
        </w:tc>
      </w:tr>
      <w:tr w14:paraId="13E1F012" w14:textId="77777777" w:rsidTr="00E40ADA">
        <w:tblPrEx>
          <w:tblW w:w="0" w:type="auto"/>
          <w:jc w:val="center"/>
          <w:tblLayout w:type="fixed"/>
          <w:tblCellMar>
            <w:left w:w="0" w:type="dxa"/>
            <w:right w:w="0" w:type="dxa"/>
          </w:tblCellMar>
          <w:tblLook w:val="01E0"/>
        </w:tblPrEx>
        <w:trPr>
          <w:cantSplit/>
          <w:trHeight w:hRule="exact" w:val="305"/>
          <w:jc w:val="center"/>
        </w:trPr>
        <w:tc>
          <w:tcPr>
            <w:tcW w:w="1477" w:type="dxa"/>
          </w:tcPr>
          <w:p w:rsidR="002F12A1" w:rsidRPr="00B34F88" w:rsidP="00D02E96" w14:paraId="194F81D5" w14:textId="77777777">
            <w:pPr>
              <w:pStyle w:val="TableParagraph"/>
              <w:spacing w:line="273" w:lineRule="exact"/>
              <w:ind w:left="1"/>
              <w:jc w:val="both"/>
              <w:rPr>
                <w:rFonts w:eastAsia="Times New Roman" w:cs="Times New Roman"/>
                <w:sz w:val="20"/>
                <w:szCs w:val="20"/>
              </w:rPr>
            </w:pPr>
            <w:r w:rsidRPr="00B34F88">
              <w:rPr>
                <w:b/>
                <w:sz w:val="20"/>
                <w:szCs w:val="20"/>
              </w:rPr>
              <w:t>2</w:t>
            </w:r>
          </w:p>
        </w:tc>
        <w:tc>
          <w:tcPr>
            <w:tcW w:w="1760" w:type="dxa"/>
          </w:tcPr>
          <w:p w:rsidR="002F12A1" w:rsidRPr="00B34F88" w:rsidP="00D02E96" w14:paraId="1A3490F3" w14:textId="77777777">
            <w:pPr>
              <w:pStyle w:val="TableParagraph"/>
              <w:spacing w:line="268" w:lineRule="exact"/>
              <w:jc w:val="both"/>
              <w:rPr>
                <w:rFonts w:eastAsia="Times New Roman" w:cs="Times New Roman"/>
                <w:sz w:val="20"/>
                <w:szCs w:val="20"/>
              </w:rPr>
            </w:pPr>
            <w:r w:rsidRPr="00B34F88">
              <w:rPr>
                <w:sz w:val="20"/>
                <w:szCs w:val="20"/>
              </w:rPr>
              <w:t>6</w:t>
            </w:r>
          </w:p>
        </w:tc>
        <w:tc>
          <w:tcPr>
            <w:tcW w:w="1800" w:type="dxa"/>
          </w:tcPr>
          <w:p w:rsidR="002F12A1" w:rsidRPr="00B34F88" w:rsidP="00D02E96" w14:paraId="6DA97DD3" w14:textId="77777777">
            <w:pPr>
              <w:pStyle w:val="TableParagraph"/>
              <w:spacing w:line="268" w:lineRule="exact"/>
              <w:jc w:val="both"/>
              <w:rPr>
                <w:rFonts w:eastAsia="Times New Roman" w:cs="Times New Roman"/>
                <w:sz w:val="20"/>
                <w:szCs w:val="20"/>
              </w:rPr>
            </w:pPr>
            <w:r w:rsidRPr="00B34F88">
              <w:rPr>
                <w:sz w:val="20"/>
                <w:szCs w:val="20"/>
              </w:rPr>
              <w:t>5</w:t>
            </w:r>
          </w:p>
        </w:tc>
        <w:tc>
          <w:tcPr>
            <w:tcW w:w="1886" w:type="dxa"/>
            <w:vAlign w:val="center"/>
          </w:tcPr>
          <w:p w:rsidR="002F12A1" w:rsidRPr="00B34F88" w:rsidP="00D02E96" w14:paraId="1A4CEB0C" w14:textId="77777777">
            <w:pPr>
              <w:pStyle w:val="TableParagraph"/>
              <w:spacing w:line="268" w:lineRule="exact"/>
              <w:jc w:val="both"/>
              <w:rPr>
                <w:rFonts w:eastAsia="Times New Roman" w:cs="Times New Roman"/>
                <w:sz w:val="20"/>
                <w:szCs w:val="20"/>
              </w:rPr>
            </w:pPr>
            <w:r w:rsidRPr="00B34F88">
              <w:rPr>
                <w:sz w:val="20"/>
                <w:szCs w:val="20"/>
              </w:rPr>
              <w:t>6</w:t>
            </w:r>
          </w:p>
        </w:tc>
      </w:tr>
      <w:tr w14:paraId="7C70859A" w14:textId="77777777" w:rsidTr="00E40ADA">
        <w:tblPrEx>
          <w:tblW w:w="0" w:type="auto"/>
          <w:jc w:val="center"/>
          <w:tblLayout w:type="fixed"/>
          <w:tblCellMar>
            <w:left w:w="0" w:type="dxa"/>
            <w:right w:w="0" w:type="dxa"/>
          </w:tblCellMar>
          <w:tblLook w:val="01E0"/>
        </w:tblPrEx>
        <w:trPr>
          <w:cantSplit/>
          <w:trHeight w:hRule="exact" w:val="307"/>
          <w:jc w:val="center"/>
        </w:trPr>
        <w:tc>
          <w:tcPr>
            <w:tcW w:w="1477" w:type="dxa"/>
          </w:tcPr>
          <w:p w:rsidR="002F12A1" w:rsidRPr="00B34F88" w:rsidP="00D02E96" w14:paraId="5DC3ABAB" w14:textId="77777777">
            <w:pPr>
              <w:pStyle w:val="TableParagraph"/>
              <w:spacing w:line="273" w:lineRule="exact"/>
              <w:ind w:left="1"/>
              <w:jc w:val="both"/>
              <w:rPr>
                <w:rFonts w:eastAsia="Times New Roman" w:cs="Times New Roman"/>
                <w:sz w:val="20"/>
                <w:szCs w:val="20"/>
              </w:rPr>
            </w:pPr>
            <w:r w:rsidRPr="00B34F88">
              <w:rPr>
                <w:b/>
                <w:sz w:val="20"/>
                <w:szCs w:val="20"/>
              </w:rPr>
              <w:t>3</w:t>
            </w:r>
          </w:p>
        </w:tc>
        <w:tc>
          <w:tcPr>
            <w:tcW w:w="1760" w:type="dxa"/>
          </w:tcPr>
          <w:p w:rsidR="002F12A1" w:rsidRPr="00B34F88" w:rsidP="00D02E96" w14:paraId="369DA3C0" w14:textId="77777777">
            <w:pPr>
              <w:pStyle w:val="TableParagraph"/>
              <w:spacing w:line="268" w:lineRule="exact"/>
              <w:jc w:val="both"/>
              <w:rPr>
                <w:rFonts w:eastAsia="Times New Roman" w:cs="Times New Roman"/>
                <w:sz w:val="20"/>
                <w:szCs w:val="20"/>
              </w:rPr>
            </w:pPr>
            <w:r w:rsidRPr="00B34F88">
              <w:rPr>
                <w:sz w:val="20"/>
                <w:szCs w:val="20"/>
              </w:rPr>
              <w:t>5</w:t>
            </w:r>
          </w:p>
        </w:tc>
        <w:tc>
          <w:tcPr>
            <w:tcW w:w="1800" w:type="dxa"/>
          </w:tcPr>
          <w:p w:rsidR="002F12A1" w:rsidRPr="00B34F88" w:rsidP="00D02E96" w14:paraId="589FD46A" w14:textId="77777777">
            <w:pPr>
              <w:pStyle w:val="TableParagraph"/>
              <w:spacing w:line="268" w:lineRule="exact"/>
              <w:jc w:val="both"/>
              <w:rPr>
                <w:rFonts w:eastAsia="Times New Roman" w:cs="Times New Roman"/>
                <w:sz w:val="20"/>
                <w:szCs w:val="20"/>
              </w:rPr>
            </w:pPr>
            <w:r w:rsidRPr="00B34F88">
              <w:rPr>
                <w:sz w:val="20"/>
                <w:szCs w:val="20"/>
              </w:rPr>
              <w:t>6</w:t>
            </w:r>
          </w:p>
        </w:tc>
        <w:tc>
          <w:tcPr>
            <w:tcW w:w="1886" w:type="dxa"/>
            <w:vAlign w:val="center"/>
          </w:tcPr>
          <w:p w:rsidR="002F12A1" w:rsidRPr="00B34F88" w:rsidP="00D02E96" w14:paraId="06A4D448" w14:textId="7AB8E212">
            <w:pPr>
              <w:pStyle w:val="TableParagraph"/>
              <w:spacing w:line="268" w:lineRule="exact"/>
              <w:jc w:val="both"/>
              <w:rPr>
                <w:rFonts w:eastAsia="Times New Roman" w:cs="Times New Roman"/>
                <w:sz w:val="20"/>
                <w:szCs w:val="20"/>
              </w:rPr>
            </w:pPr>
            <w:r>
              <w:rPr>
                <w:sz w:val="20"/>
                <w:szCs w:val="20"/>
              </w:rPr>
              <w:t>7</w:t>
            </w:r>
          </w:p>
        </w:tc>
      </w:tr>
      <w:tr w14:paraId="6F4B1A39" w14:textId="77777777" w:rsidTr="00E40ADA">
        <w:tblPrEx>
          <w:tblW w:w="0" w:type="auto"/>
          <w:jc w:val="center"/>
          <w:tblLayout w:type="fixed"/>
          <w:tblCellMar>
            <w:left w:w="0" w:type="dxa"/>
            <w:right w:w="0" w:type="dxa"/>
          </w:tblCellMar>
          <w:tblLook w:val="01E0"/>
        </w:tblPrEx>
        <w:trPr>
          <w:cantSplit/>
          <w:trHeight w:hRule="exact" w:val="295"/>
          <w:jc w:val="center"/>
        </w:trPr>
        <w:tc>
          <w:tcPr>
            <w:tcW w:w="1477" w:type="dxa"/>
          </w:tcPr>
          <w:p w:rsidR="002F12A1" w:rsidRPr="00B34F88" w:rsidP="00D02E96" w14:paraId="03C24EAC" w14:textId="77777777">
            <w:pPr>
              <w:pStyle w:val="TableParagraph"/>
              <w:spacing w:line="265" w:lineRule="exact"/>
              <w:ind w:left="454"/>
              <w:jc w:val="both"/>
              <w:rPr>
                <w:rFonts w:eastAsia="Times New Roman" w:cs="Times New Roman"/>
                <w:sz w:val="20"/>
                <w:szCs w:val="20"/>
              </w:rPr>
            </w:pPr>
            <w:r w:rsidRPr="00B34F88">
              <w:rPr>
                <w:b/>
                <w:sz w:val="20"/>
                <w:szCs w:val="20"/>
              </w:rPr>
              <w:t>Total</w:t>
            </w:r>
          </w:p>
        </w:tc>
        <w:tc>
          <w:tcPr>
            <w:tcW w:w="1760" w:type="dxa"/>
          </w:tcPr>
          <w:p w:rsidR="002F12A1" w:rsidRPr="00B34F88" w:rsidP="00D02E96" w14:paraId="5050DB59" w14:textId="77777777">
            <w:pPr>
              <w:pStyle w:val="TableParagraph"/>
              <w:spacing w:line="265" w:lineRule="exact"/>
              <w:jc w:val="both"/>
              <w:rPr>
                <w:rFonts w:eastAsia="Times New Roman" w:cs="Times New Roman"/>
                <w:sz w:val="20"/>
                <w:szCs w:val="20"/>
              </w:rPr>
            </w:pPr>
            <w:r w:rsidRPr="00B34F88">
              <w:rPr>
                <w:sz w:val="20"/>
                <w:szCs w:val="20"/>
              </w:rPr>
              <w:t>17</w:t>
            </w:r>
          </w:p>
        </w:tc>
        <w:tc>
          <w:tcPr>
            <w:tcW w:w="1800" w:type="dxa"/>
          </w:tcPr>
          <w:p w:rsidR="002F12A1" w:rsidRPr="00B34F88" w:rsidP="00D02E96" w14:paraId="48FBCE62" w14:textId="77777777">
            <w:pPr>
              <w:pStyle w:val="TableParagraph"/>
              <w:spacing w:line="265" w:lineRule="exact"/>
              <w:jc w:val="both"/>
              <w:rPr>
                <w:rFonts w:eastAsia="Times New Roman" w:cs="Times New Roman"/>
                <w:sz w:val="20"/>
                <w:szCs w:val="20"/>
              </w:rPr>
            </w:pPr>
            <w:r w:rsidRPr="00B34F88">
              <w:rPr>
                <w:sz w:val="20"/>
                <w:szCs w:val="20"/>
              </w:rPr>
              <w:t>17</w:t>
            </w:r>
          </w:p>
        </w:tc>
        <w:tc>
          <w:tcPr>
            <w:tcW w:w="1886" w:type="dxa"/>
            <w:vAlign w:val="center"/>
          </w:tcPr>
          <w:p w:rsidR="002F12A1" w:rsidRPr="00B34F88" w:rsidP="00D02E96" w14:paraId="7F295266" w14:textId="05F8B1CC">
            <w:pPr>
              <w:pStyle w:val="TableParagraph"/>
              <w:spacing w:line="265" w:lineRule="exact"/>
              <w:jc w:val="both"/>
              <w:rPr>
                <w:rFonts w:eastAsia="Times New Roman" w:cs="Times New Roman"/>
                <w:sz w:val="20"/>
                <w:szCs w:val="20"/>
              </w:rPr>
            </w:pPr>
            <w:r w:rsidRPr="00B34F88">
              <w:rPr>
                <w:sz w:val="20"/>
                <w:szCs w:val="20"/>
              </w:rPr>
              <w:t>1</w:t>
            </w:r>
            <w:r w:rsidR="00493F06">
              <w:rPr>
                <w:sz w:val="20"/>
                <w:szCs w:val="20"/>
              </w:rPr>
              <w:t>8</w:t>
            </w:r>
          </w:p>
        </w:tc>
      </w:tr>
    </w:tbl>
    <w:p w:rsidR="00422D5A" w:rsidP="00D02E96" w14:paraId="2F39F09F" w14:textId="77777777">
      <w:pPr>
        <w:jc w:val="both"/>
      </w:pPr>
    </w:p>
    <w:p w:rsidR="00610BF3" w:rsidRPr="00610BF3" w:rsidP="00D02E96" w14:paraId="5CD0DD99" w14:textId="77777777">
      <w:pPr>
        <w:jc w:val="both"/>
        <w:rPr>
          <w:i/>
        </w:rPr>
      </w:pPr>
      <w:r w:rsidRPr="00610BF3">
        <w:rPr>
          <w:i/>
        </w:rPr>
        <w:t xml:space="preserve">Stage 1: </w:t>
      </w:r>
      <w:r>
        <w:rPr>
          <w:i/>
        </w:rPr>
        <w:t>Sample Size Calculation</w:t>
      </w:r>
    </w:p>
    <w:p w:rsidR="00B32A05" w:rsidP="00D02E96" w14:paraId="53D22E9E" w14:textId="4FF54A4C">
      <w:pPr>
        <w:jc w:val="both"/>
      </w:pPr>
      <w:r>
        <w:t xml:space="preserve">The second stage of the PERM sampling approach involves selecting a sample of </w:t>
      </w:r>
      <w:r w:rsidRPr="002F12A1">
        <w:t xml:space="preserve">claim line items or payments </w:t>
      </w:r>
      <w:r>
        <w:t xml:space="preserve">from each state in each cycle. Establishing sample sizes is critical to ensuring that the PERM rate measurement meets </w:t>
      </w:r>
      <w:r w:rsidR="00A7472A">
        <w:t>PIIA</w:t>
      </w:r>
      <w:r>
        <w:t xml:space="preserve"> statistical requirements.  In accordance with </w:t>
      </w:r>
      <w:r w:rsidR="00A7472A">
        <w:t>PIIA</w:t>
      </w:r>
      <w:r>
        <w:t xml:space="preserve">, PERM is focused on establishing a national improper payment rate that meets national level </w:t>
      </w:r>
      <w:r w:rsidR="00A7472A">
        <w:t>PIIA</w:t>
      </w:r>
      <w:r>
        <w:t xml:space="preserve"> precision requirements, with state level precision as a secondary goal.  Therefore, the focus of the sample size determination is national-level precision. For each cycle, CMS establishes a national annual sample size to meet precision requirements and distributes the sample across states.  The state-specific sample sizes are based on state characteristics, which may include expenditures and past state PERM improper payment rates and precision.  This approach allows CMS to maintain the reliability of state estimates and to </w:t>
      </w:r>
      <w:r w:rsidR="00E42612">
        <w:t>improve</w:t>
      </w:r>
      <w:r>
        <w:t xml:space="preserve"> national improper payment</w:t>
      </w:r>
      <w:r w:rsidR="00E42612">
        <w:t xml:space="preserve"> rate precision</w:t>
      </w:r>
      <w:r>
        <w:t xml:space="preserve">.  Further, it allows CMS to effectuate more control of the PERM program’s budget by establishing a national sample size.  </w:t>
      </w:r>
    </w:p>
    <w:p w:rsidR="00B32A05" w:rsidP="00D02E96" w14:paraId="41533CCA" w14:textId="3EA7222F">
      <w:pPr>
        <w:jc w:val="both"/>
      </w:pPr>
      <w:r>
        <w:t>Due to financial and time constraints as well as state burden considerations,</w:t>
      </w:r>
      <w:r w:rsidRPr="005C4AE1">
        <w:t xml:space="preserve"> </w:t>
      </w:r>
      <w:r>
        <w:t xml:space="preserve">there is a state-specific minimum and maximum of claims or payments sampled from both Medicaid and CHIP. </w:t>
      </w:r>
      <w:r w:rsidR="00E42612">
        <w:t xml:space="preserve">Sample sizes </w:t>
      </w:r>
      <w:r>
        <w:t xml:space="preserve">are </w:t>
      </w:r>
      <w:r w:rsidR="0058251D">
        <w:t xml:space="preserve">calculated for </w:t>
      </w:r>
      <w:r>
        <w:t xml:space="preserve">the </w:t>
      </w:r>
      <w:r w:rsidR="0058251D">
        <w:t>FFS,</w:t>
      </w:r>
      <w:r>
        <w:t xml:space="preserve"> managed care</w:t>
      </w:r>
      <w:r w:rsidR="0058251D">
        <w:t>, and eligibility</w:t>
      </w:r>
      <w:r>
        <w:t xml:space="preserve"> universes</w:t>
      </w:r>
      <w:r w:rsidR="0058251D">
        <w:t xml:space="preserve"> within the two programs</w:t>
      </w:r>
      <w:r>
        <w:t xml:space="preserve">. State-specific sample sizes are calculated prior to the beginning of each PERM cycle and submitted to states. </w:t>
      </w:r>
    </w:p>
    <w:p w:rsidR="00422D5A" w:rsidP="00D02E96" w14:paraId="314FDF9C" w14:textId="2CD74210">
      <w:pPr>
        <w:jc w:val="both"/>
      </w:pPr>
      <w:r>
        <w:t>The anticipated response rate is 100 percent due to</w:t>
      </w:r>
      <w:r>
        <w:rPr>
          <w:spacing w:val="-23"/>
        </w:rPr>
        <w:t xml:space="preserve"> </w:t>
      </w:r>
      <w:r>
        <w:t>the</w:t>
      </w:r>
      <w:r>
        <w:rPr>
          <w:spacing w:val="-1"/>
        </w:rPr>
        <w:t xml:space="preserve"> </w:t>
      </w:r>
      <w:r>
        <w:t>statutory requirements at section 1902(a)(6) of the Act</w:t>
      </w:r>
      <w:r>
        <w:rPr>
          <w:spacing w:val="-36"/>
        </w:rPr>
        <w:t xml:space="preserve"> </w:t>
      </w:r>
      <w:r>
        <w:t>and</w:t>
      </w:r>
      <w:r>
        <w:rPr>
          <w:spacing w:val="-1"/>
        </w:rPr>
        <w:t xml:space="preserve"> </w:t>
      </w:r>
      <w:r>
        <w:t xml:space="preserve">Section 2107(b)(1) of the Act that require </w:t>
      </w:r>
      <w:r w:rsidR="0058251D">
        <w:t>s</w:t>
      </w:r>
      <w:r>
        <w:t>tates to</w:t>
      </w:r>
      <w:r>
        <w:rPr>
          <w:spacing w:val="-40"/>
        </w:rPr>
        <w:t xml:space="preserve"> </w:t>
      </w:r>
      <w:r>
        <w:t>provide</w:t>
      </w:r>
      <w:r>
        <w:rPr>
          <w:spacing w:val="-1"/>
        </w:rPr>
        <w:t xml:space="preserve"> </w:t>
      </w:r>
      <w:r>
        <w:t>information necessary for the Secretary to monitor</w:t>
      </w:r>
      <w:r>
        <w:rPr>
          <w:spacing w:val="-33"/>
        </w:rPr>
        <w:t xml:space="preserve"> </w:t>
      </w:r>
      <w:r>
        <w:t>program</w:t>
      </w:r>
      <w:r>
        <w:rPr>
          <w:spacing w:val="-1"/>
        </w:rPr>
        <w:t xml:space="preserve"> </w:t>
      </w:r>
      <w:r>
        <w:t>performance.</w:t>
      </w:r>
      <w:r w:rsidR="002A31EB">
        <w:t xml:space="preserve"> As noted above, all states have participated in PERM as requested which is the basis of the anticipated responses rate.</w:t>
      </w:r>
    </w:p>
    <w:p w:rsidR="00422D5A" w:rsidRPr="005022D6" w:rsidP="00D02E96" w14:paraId="60422F6C" w14:textId="77777777">
      <w:pPr>
        <w:pStyle w:val="ListParagraph"/>
        <w:numPr>
          <w:ilvl w:val="0"/>
          <w:numId w:val="1"/>
        </w:numPr>
        <w:tabs>
          <w:tab w:val="left" w:pos="677"/>
        </w:tabs>
        <w:ind w:left="676" w:right="109"/>
        <w:jc w:val="both"/>
        <w:rPr>
          <w:rFonts w:ascii="Courier New" w:eastAsia="Courier New" w:hAnsi="Courier New" w:cs="Courier New"/>
          <w:szCs w:val="24"/>
        </w:rPr>
      </w:pPr>
      <w:r w:rsidRPr="005022D6">
        <w:rPr>
          <w:rFonts w:cs="Times New Roman"/>
          <w:u w:val="single" w:color="000000"/>
        </w:rPr>
        <w:t>Describe procedures for collecting</w:t>
      </w:r>
      <w:r w:rsidRPr="005022D6">
        <w:rPr>
          <w:rFonts w:cs="Times New Roman"/>
          <w:spacing w:val="-10"/>
          <w:u w:val="single" w:color="000000"/>
        </w:rPr>
        <w:t xml:space="preserve"> </w:t>
      </w:r>
      <w:r w:rsidRPr="005022D6">
        <w:rPr>
          <w:rFonts w:cs="Times New Roman"/>
          <w:u w:val="single" w:color="000000"/>
        </w:rPr>
        <w:t>information.</w:t>
      </w:r>
    </w:p>
    <w:p w:rsidR="00E20B6E" w:rsidP="00D02E96" w14:paraId="66223493" w14:textId="2D3C7CC2">
      <w:pPr>
        <w:jc w:val="both"/>
      </w:pPr>
      <w:r>
        <w:t xml:space="preserve">The PERM program </w:t>
      </w:r>
      <w:r w:rsidR="00BD38EF">
        <w:t>seeks to estimate</w:t>
      </w:r>
      <w:r>
        <w:t xml:space="preserve"> national</w:t>
      </w:r>
      <w:r w:rsidR="00BD38EF">
        <w:t xml:space="preserve"> and state level</w:t>
      </w:r>
      <w:r>
        <w:t xml:space="preserve"> Medicaid</w:t>
      </w:r>
      <w:r w:rsidR="005022D6">
        <w:t xml:space="preserve"> and CHIP</w:t>
      </w:r>
      <w:r>
        <w:t xml:space="preserve"> </w:t>
      </w:r>
      <w:r w:rsidR="005022D6">
        <w:t xml:space="preserve">improper payment </w:t>
      </w:r>
      <w:r>
        <w:t>rate</w:t>
      </w:r>
      <w:r w:rsidR="005022D6">
        <w:t>s</w:t>
      </w:r>
      <w:r w:rsidR="00BD38EF">
        <w:t xml:space="preserve">. </w:t>
      </w:r>
      <w:r>
        <w:t xml:space="preserve">According to </w:t>
      </w:r>
      <w:r w:rsidR="00A7472A">
        <w:t>PIIA</w:t>
      </w:r>
      <w:r w:rsidR="00610BF3">
        <w:t xml:space="preserve"> </w:t>
      </w:r>
      <w:r>
        <w:t>requirements, the estimated</w:t>
      </w:r>
      <w:r>
        <w:rPr>
          <w:spacing w:val="5"/>
        </w:rPr>
        <w:t xml:space="preserve"> </w:t>
      </w:r>
      <w:r>
        <w:t xml:space="preserve">national </w:t>
      </w:r>
      <w:r w:rsidR="00EB5AF1">
        <w:t xml:space="preserve">improper payment </w:t>
      </w:r>
      <w:r>
        <w:t>rate must be bound by a 9</w:t>
      </w:r>
      <w:r w:rsidR="00E42612">
        <w:t>5</w:t>
      </w:r>
      <w:r>
        <w:t xml:space="preserve">% confidence interval of </w:t>
      </w:r>
      <w:r w:rsidR="00E42612">
        <w:t>3</w:t>
      </w:r>
      <w:r>
        <w:t xml:space="preserve"> percentage points in</w:t>
      </w:r>
      <w:r w:rsidR="005022D6">
        <w:rPr>
          <w:spacing w:val="51"/>
        </w:rPr>
        <w:t xml:space="preserve"> </w:t>
      </w:r>
      <w:r>
        <w:t xml:space="preserve">either direction of the estimate. </w:t>
      </w:r>
      <w:r w:rsidR="00BD38EF">
        <w:t xml:space="preserve">The national </w:t>
      </w:r>
      <w:r w:rsidR="00EB5AF1">
        <w:t xml:space="preserve">improper payment </w:t>
      </w:r>
      <w:r w:rsidR="00BD38EF">
        <w:t xml:space="preserve">rate is based on the </w:t>
      </w:r>
      <w:r w:rsidR="00EB5AF1">
        <w:t xml:space="preserve">improper payment </w:t>
      </w:r>
      <w:r w:rsidR="00BD38EF">
        <w:t xml:space="preserve">rates from all </w:t>
      </w:r>
      <w:r w:rsidR="00493F06">
        <w:t xml:space="preserve">52 </w:t>
      </w:r>
      <w:r w:rsidR="00BD38EF">
        <w:t>states</w:t>
      </w:r>
      <w:r>
        <w:t>.</w:t>
      </w:r>
    </w:p>
    <w:p w:rsidR="00E20B6E" w:rsidRPr="00610BF3" w:rsidP="00D02E96" w14:paraId="4947CC49" w14:textId="0C347C0D">
      <w:pPr>
        <w:jc w:val="both"/>
        <w:rPr>
          <w:rFonts w:cs="Times New Roman"/>
          <w:szCs w:val="24"/>
        </w:rPr>
      </w:pPr>
      <w:r>
        <w:t>Given the number of samples per state required to achieve this precision, not all 5</w:t>
      </w:r>
      <w:r w:rsidR="00493F06">
        <w:t>2</w:t>
      </w:r>
      <w:r>
        <w:t xml:space="preserve"> states can be sampled every year. As a result, each year </w:t>
      </w:r>
      <w:r w:rsidR="00E52B0F">
        <w:t>the PERM program sample</w:t>
      </w:r>
      <w:r>
        <w:t>s</w:t>
      </w:r>
      <w:r w:rsidR="00E52B0F">
        <w:t xml:space="preserve"> 17</w:t>
      </w:r>
      <w:r w:rsidR="00493F06">
        <w:t>-18</w:t>
      </w:r>
      <w:r w:rsidR="00E52B0F">
        <w:rPr>
          <w:spacing w:val="49"/>
        </w:rPr>
        <w:t xml:space="preserve"> </w:t>
      </w:r>
      <w:r w:rsidR="00E52B0F">
        <w:t xml:space="preserve">states, without replacement. </w:t>
      </w:r>
      <w:r>
        <w:t>This</w:t>
      </w:r>
      <w:r w:rsidR="00E52B0F">
        <w:t xml:space="preserve"> ensures that</w:t>
      </w:r>
      <w:r w:rsidR="00E52B0F">
        <w:rPr>
          <w:spacing w:val="42"/>
        </w:rPr>
        <w:t xml:space="preserve"> </w:t>
      </w:r>
      <w:r>
        <w:t>every</w:t>
      </w:r>
      <w:r w:rsidR="00E52B0F">
        <w:t xml:space="preserve"> </w:t>
      </w:r>
      <w:r w:rsidRPr="00CD1AE8" w:rsidR="00E52B0F">
        <w:rPr>
          <w:rFonts w:cs="Times New Roman"/>
          <w:szCs w:val="24"/>
        </w:rPr>
        <w:t>state</w:t>
      </w:r>
      <w:r>
        <w:rPr>
          <w:rFonts w:cs="Times New Roman"/>
          <w:szCs w:val="24"/>
        </w:rPr>
        <w:t xml:space="preserve"> is</w:t>
      </w:r>
      <w:r w:rsidRPr="00CD1AE8" w:rsidR="00E52B0F">
        <w:rPr>
          <w:rFonts w:cs="Times New Roman"/>
          <w:szCs w:val="24"/>
        </w:rPr>
        <w:t xml:space="preserve"> sampled only once in a span of 3</w:t>
      </w:r>
      <w:r w:rsidRPr="00CD1AE8" w:rsidR="00E52B0F">
        <w:rPr>
          <w:rFonts w:cs="Times New Roman"/>
          <w:spacing w:val="-6"/>
          <w:szCs w:val="24"/>
        </w:rPr>
        <w:t xml:space="preserve"> </w:t>
      </w:r>
      <w:r w:rsidRPr="00CD1AE8" w:rsidR="00E52B0F">
        <w:rPr>
          <w:rFonts w:cs="Times New Roman"/>
          <w:szCs w:val="24"/>
        </w:rPr>
        <w:t>years.</w:t>
      </w:r>
      <w:r w:rsidR="00BF2F6E">
        <w:rPr>
          <w:rFonts w:cs="Times New Roman"/>
          <w:szCs w:val="24"/>
        </w:rPr>
        <w:t xml:space="preserve"> </w:t>
      </w:r>
      <w:r>
        <w:rPr>
          <w:rFonts w:cs="Times New Roman"/>
          <w:szCs w:val="24"/>
        </w:rPr>
        <w:t xml:space="preserve">The national </w:t>
      </w:r>
      <w:r w:rsidR="00EB5AF1">
        <w:rPr>
          <w:rFonts w:cs="Times New Roman"/>
          <w:szCs w:val="24"/>
        </w:rPr>
        <w:t xml:space="preserve">improper payment </w:t>
      </w:r>
      <w:r>
        <w:rPr>
          <w:rFonts w:cs="Times New Roman"/>
          <w:szCs w:val="24"/>
        </w:rPr>
        <w:t xml:space="preserve">rate </w:t>
      </w:r>
      <w:r>
        <w:rPr>
          <w:rFonts w:cs="Times New Roman"/>
          <w:szCs w:val="24"/>
        </w:rPr>
        <w:t>takes into account</w:t>
      </w:r>
      <w:r>
        <w:rPr>
          <w:rFonts w:cs="Times New Roman"/>
          <w:szCs w:val="24"/>
        </w:rPr>
        <w:t xml:space="preserve"> the latest samples from all </w:t>
      </w:r>
      <w:r w:rsidR="00493F06">
        <w:rPr>
          <w:rFonts w:cs="Times New Roman"/>
          <w:szCs w:val="24"/>
        </w:rPr>
        <w:t xml:space="preserve">52 </w:t>
      </w:r>
      <w:r>
        <w:rPr>
          <w:rFonts w:cs="Times New Roman"/>
          <w:szCs w:val="24"/>
        </w:rPr>
        <w:t>states across the three years and is calculated in the same way as the individual state rates.</w:t>
      </w:r>
      <w:r w:rsidR="00BF2F6E">
        <w:rPr>
          <w:rFonts w:cs="Times New Roman"/>
          <w:szCs w:val="24"/>
        </w:rPr>
        <w:t xml:space="preserve"> In addition to the national rate, a 17</w:t>
      </w:r>
      <w:r w:rsidR="00493F06">
        <w:rPr>
          <w:rFonts w:cs="Times New Roman"/>
          <w:szCs w:val="24"/>
        </w:rPr>
        <w:t>-18</w:t>
      </w:r>
      <w:r w:rsidR="00BF2F6E">
        <w:rPr>
          <w:rFonts w:cs="Times New Roman"/>
          <w:szCs w:val="24"/>
        </w:rPr>
        <w:t xml:space="preserve"> state cycle ra</w:t>
      </w:r>
      <w:r w:rsidR="00401D35">
        <w:rPr>
          <w:rFonts w:cs="Times New Roman"/>
          <w:szCs w:val="24"/>
        </w:rPr>
        <w:t xml:space="preserve">te is also calculated for </w:t>
      </w:r>
      <w:r w:rsidR="00BF2F6E">
        <w:rPr>
          <w:rFonts w:cs="Times New Roman"/>
          <w:szCs w:val="24"/>
        </w:rPr>
        <w:t>the states sampled during t</w:t>
      </w:r>
      <w:r w:rsidR="00401D35">
        <w:rPr>
          <w:rFonts w:cs="Times New Roman"/>
          <w:szCs w:val="24"/>
        </w:rPr>
        <w:t>hat year</w:t>
      </w:r>
      <w:r w:rsidR="00BF2F6E">
        <w:rPr>
          <w:rFonts w:cs="Times New Roman"/>
          <w:szCs w:val="24"/>
        </w:rPr>
        <w:t>.</w:t>
      </w:r>
    </w:p>
    <w:p w:rsidR="00B32A05" w:rsidP="00D02E96" w14:paraId="6274E109" w14:textId="08A5EBE9">
      <w:pPr>
        <w:jc w:val="both"/>
      </w:pPr>
      <w:r>
        <w:t>After determining the 17</w:t>
      </w:r>
      <w:r w:rsidR="00493F06">
        <w:t>-18</w:t>
      </w:r>
      <w:r>
        <w:t xml:space="preserve"> states that are sampled each cycle, a sampling scheme within each state was created. The stratification methodology may change from cycle to cycle to try and improve the precision. The number of claims sampled per state depends on the results from the state, including previous improper payment rate and precision and current expenditures. For eligibility programs that are being reviewed for the first time under new methodologies, the number of claims will be predetermined based on the total cycle eligibility sample size. </w:t>
      </w:r>
    </w:p>
    <w:p w:rsidR="002A31EB" w:rsidP="00D02E96" w14:paraId="38EA1247" w14:textId="3CEB6EB0">
      <w:pPr>
        <w:jc w:val="both"/>
      </w:pPr>
      <w:r>
        <w:t xml:space="preserve">Periodic data collection occurs quarterly for each state in each cycle. CMS requests quarterly Medicaid and CHIP </w:t>
      </w:r>
      <w:r w:rsidR="00E42612">
        <w:t>FFS</w:t>
      </w:r>
      <w:r>
        <w:t xml:space="preserve"> and managed care payment universes 15 day</w:t>
      </w:r>
      <w:r w:rsidR="005E4948">
        <w:t>s</w:t>
      </w:r>
      <w:r>
        <w:t xml:space="preserve"> after the end of each quarter in the year under review. </w:t>
      </w:r>
    </w:p>
    <w:p w:rsidR="00E52B0F" w:rsidP="00D02E96" w14:paraId="06CBF8E0" w14:textId="286F057C">
      <w:pPr>
        <w:jc w:val="both"/>
      </w:pPr>
      <w:r>
        <w:t xml:space="preserve">CMS employs a stratification approach in both the </w:t>
      </w:r>
      <w:r w:rsidR="0058251D">
        <w:t>FFS</w:t>
      </w:r>
      <w:r>
        <w:t xml:space="preserve"> and managed care universes </w:t>
      </w:r>
      <w:r>
        <w:t>in order to</w:t>
      </w:r>
      <w:r>
        <w:t xml:space="preserve"> minimize variance in the </w:t>
      </w:r>
      <w:r w:rsidR="00EB5AF1">
        <w:t xml:space="preserve">improper payment </w:t>
      </w:r>
      <w:r>
        <w:t xml:space="preserve">rate and improve precision. The stratification approach is applied by the Federal contractor with minimal additional burden to the states submitting data. Stratification approaches are shared with the HHS Office of Inspector General and other oversight entities, as requested. </w:t>
      </w:r>
    </w:p>
    <w:p w:rsidR="001418AC" w:rsidP="00D02E96" w14:paraId="5A175D00" w14:textId="00A805B6">
      <w:pPr>
        <w:jc w:val="both"/>
      </w:pPr>
      <w:r>
        <w:t>As noted above, although</w:t>
      </w:r>
      <w:r w:rsidR="00EB6F7F">
        <w:t xml:space="preserve"> the stratification scheme may vary from cycl</w:t>
      </w:r>
      <w:r w:rsidR="00E07393">
        <w:t>e to cycle, the general procedure for sample selection remains the same</w:t>
      </w:r>
      <w:r w:rsidR="00EB6F7F">
        <w:t xml:space="preserve">. </w:t>
      </w:r>
      <w:r w:rsidR="00E07393">
        <w:t xml:space="preserve">Universe data is received </w:t>
      </w:r>
      <w:r w:rsidR="00FB2DE1">
        <w:t>each</w:t>
      </w:r>
      <w:r w:rsidR="00E07393">
        <w:t xml:space="preserve"> quarter and </w:t>
      </w:r>
      <w:r w:rsidR="00FB2DE1">
        <w:t xml:space="preserve">claims are sorted into strata. Usually, the claims are sorted by their paid amounts within each stratum so that the sampled claims will be spread out in terms of their payments. </w:t>
      </w:r>
      <w:r w:rsidR="00305F2E">
        <w:t xml:space="preserve">A systematic random sample is then taken, where </w:t>
      </w:r>
      <w:r w:rsidR="00305F2E">
        <w:rPr>
          <w:i/>
        </w:rPr>
        <w:t xml:space="preserve">k </w:t>
      </w:r>
      <w:r w:rsidR="00305F2E">
        <w:t xml:space="preserve">is the skip factor based on the universe total number of claims and </w:t>
      </w:r>
      <w:r w:rsidR="0058251D">
        <w:t xml:space="preserve">target </w:t>
      </w:r>
      <w:r w:rsidR="00305F2E">
        <w:t xml:space="preserve">number of claims to sample and the </w:t>
      </w:r>
      <w:r w:rsidR="00305F2E">
        <w:rPr>
          <w:i/>
        </w:rPr>
        <w:t>k</w:t>
      </w:r>
      <w:r w:rsidR="00305F2E">
        <w:t>th claim is sampled.</w:t>
      </w:r>
    </w:p>
    <w:p w:rsidR="001B776E" w:rsidRPr="001418AC" w:rsidP="00D02E96" w14:paraId="4D57A89C" w14:textId="77777777">
      <w:pPr>
        <w:jc w:val="both"/>
        <w:rPr>
          <w:rFonts w:cs="Times New Roman"/>
          <w:szCs w:val="20"/>
        </w:rPr>
      </w:pPr>
      <w:r>
        <w:t xml:space="preserve">It is important to note that even though the sampling methodology is determined before the </w:t>
      </w:r>
      <w:r w:rsidR="00F00BDE">
        <w:t xml:space="preserve">sampling begins, </w:t>
      </w:r>
      <w:r w:rsidR="003A1679">
        <w:t xml:space="preserve">universes </w:t>
      </w:r>
      <w:r w:rsidR="00F00BDE">
        <w:t xml:space="preserve">from individual states may vary in terms of completeness </w:t>
      </w:r>
      <w:r w:rsidR="003A1679">
        <w:t xml:space="preserve">or clarity. As a result, it is not uncommon to encounter challenges in terms of sampling. Sometimes, depending on deadlines and state submissions, it is necessary to do an oversample in the universe or </w:t>
      </w:r>
      <w:r w:rsidR="00902C3A">
        <w:t xml:space="preserve">implement specialized sampling procedures that are </w:t>
      </w:r>
      <w:r w:rsidR="003A1679">
        <w:t>still statistically valid</w:t>
      </w:r>
      <w:r w:rsidR="00902C3A">
        <w:t xml:space="preserve"> </w:t>
      </w:r>
      <w:r w:rsidR="00902C3A">
        <w:t>in order to</w:t>
      </w:r>
      <w:r w:rsidR="00902C3A">
        <w:t xml:space="preserve"> address these challenges</w:t>
      </w:r>
      <w:r w:rsidR="003A1679">
        <w:t>.</w:t>
      </w:r>
    </w:p>
    <w:p w:rsidR="00E52B0F" w:rsidRPr="00610BF3" w:rsidP="00D02E96" w14:paraId="36EC39D2" w14:textId="77777777">
      <w:pPr>
        <w:pStyle w:val="Heading3"/>
        <w:jc w:val="both"/>
        <w:rPr>
          <w:rFonts w:ascii="Times New Roman" w:hAnsi="Times New Roman" w:cs="Times New Roman"/>
          <w:b w:val="0"/>
          <w:sz w:val="24"/>
          <w:szCs w:val="24"/>
        </w:rPr>
      </w:pPr>
      <w:bookmarkStart w:id="0" w:name="_Toc171935433"/>
      <w:bookmarkStart w:id="1" w:name="_Toc185869229"/>
      <w:r w:rsidRPr="00610BF3">
        <w:rPr>
          <w:rFonts w:ascii="Times New Roman" w:hAnsi="Times New Roman" w:cs="Times New Roman"/>
          <w:b w:val="0"/>
          <w:sz w:val="24"/>
          <w:szCs w:val="24"/>
        </w:rPr>
        <w:t>State Level Statistics</w:t>
      </w:r>
      <w:bookmarkEnd w:id="0"/>
      <w:bookmarkEnd w:id="1"/>
    </w:p>
    <w:p w:rsidR="0058251D" w:rsidP="00D02E96" w14:paraId="1018B2B0" w14:textId="77777777">
      <w:pPr>
        <w:jc w:val="both"/>
        <w:rPr>
          <w:rFonts w:cs="Times New Roman"/>
          <w:szCs w:val="24"/>
        </w:rPr>
      </w:pPr>
      <w:r>
        <w:rPr>
          <w:rFonts w:cs="Times New Roman"/>
          <w:szCs w:val="24"/>
        </w:rPr>
        <w:t xml:space="preserve">Improper payment rates are calculated by dividing the total dollars in improper payments by the total payments. As the entire universe of claims cannot be reviewed for improper payments, the sampled claims are reviewed </w:t>
      </w:r>
      <w:r>
        <w:rPr>
          <w:rFonts w:cs="Times New Roman"/>
          <w:szCs w:val="24"/>
        </w:rPr>
        <w:t>in order to</w:t>
      </w:r>
      <w:r>
        <w:rPr>
          <w:rFonts w:cs="Times New Roman"/>
          <w:szCs w:val="24"/>
        </w:rPr>
        <w:t xml:space="preserve"> estimate the true improper payment rate. The following discusses the process for estimating the improper payment rate and variance:</w:t>
      </w:r>
    </w:p>
    <w:p w:rsidR="00F00BDE" w:rsidP="00D02E96" w14:paraId="1944816A" w14:textId="77777777">
      <w:pPr>
        <w:jc w:val="both"/>
      </w:pPr>
      <w:r w:rsidRPr="00CD1AE8">
        <w:rPr>
          <w:rFonts w:cs="Times New Roman"/>
          <w:szCs w:val="24"/>
        </w:rPr>
        <w:t>For state level statistics, the estimator is si</w:t>
      </w:r>
      <w:r w:rsidRPr="00B440C0">
        <w:rPr>
          <w:rFonts w:cs="Times New Roman"/>
          <w:szCs w:val="24"/>
        </w:rPr>
        <w:t>mply a combined ratio estimator</w:t>
      </w:r>
      <w:r>
        <w:rPr>
          <w:rFonts w:cs="Times New Roman"/>
          <w:szCs w:val="24"/>
        </w:rPr>
        <w:t xml:space="preserve">. </w:t>
      </w:r>
      <w:r w:rsidRPr="00CD1AE8">
        <w:rPr>
          <w:rFonts w:cs="Times New Roman"/>
          <w:szCs w:val="24"/>
        </w:rPr>
        <w:t>Note all formulas are generalized such that they apply to the</w:t>
      </w:r>
      <w:r w:rsidR="00597126">
        <w:rPr>
          <w:rFonts w:cs="Times New Roman"/>
          <w:szCs w:val="24"/>
        </w:rPr>
        <w:t xml:space="preserve"> three</w:t>
      </w:r>
      <w:r w:rsidRPr="00CD1AE8">
        <w:rPr>
          <w:rFonts w:cs="Times New Roman"/>
          <w:szCs w:val="24"/>
        </w:rPr>
        <w:t xml:space="preserve"> state rates being computed (</w:t>
      </w:r>
      <w:r w:rsidR="00597126">
        <w:rPr>
          <w:rFonts w:cs="Times New Roman"/>
          <w:szCs w:val="24"/>
        </w:rPr>
        <w:t>fee-for-service, managed care, and</w:t>
      </w:r>
      <w:r w:rsidRPr="00CD1AE8">
        <w:rPr>
          <w:rFonts w:cs="Times New Roman"/>
          <w:szCs w:val="24"/>
        </w:rPr>
        <w:t xml:space="preserve"> </w:t>
      </w:r>
      <w:r w:rsidR="00597126">
        <w:rPr>
          <w:rFonts w:cs="Times New Roman"/>
          <w:szCs w:val="24"/>
        </w:rPr>
        <w:t>e</w:t>
      </w:r>
      <w:r w:rsidRPr="00CD1AE8">
        <w:rPr>
          <w:rFonts w:cs="Times New Roman"/>
          <w:szCs w:val="24"/>
        </w:rPr>
        <w:t xml:space="preserve">ligibility). Note that population totals referenced are </w:t>
      </w:r>
      <w:r>
        <w:rPr>
          <w:rFonts w:cs="Times New Roman"/>
          <w:szCs w:val="24"/>
        </w:rPr>
        <w:t>with</w:t>
      </w:r>
      <w:r w:rsidRPr="00CD1AE8">
        <w:rPr>
          <w:rFonts w:cs="Times New Roman"/>
          <w:szCs w:val="24"/>
        </w:rPr>
        <w:t xml:space="preserve"> respect to the universe being estimated. For example, when computing </w:t>
      </w:r>
      <w:r w:rsidRPr="00CD1AE8">
        <w:rPr>
          <w:rFonts w:cs="Times New Roman"/>
          <w:szCs w:val="24"/>
        </w:rPr>
        <w:t>a</w:t>
      </w:r>
      <w:r w:rsidRPr="00CD1AE8">
        <w:rPr>
          <w:rFonts w:cs="Times New Roman"/>
          <w:szCs w:val="24"/>
        </w:rPr>
        <w:t xml:space="preserve"> FFS </w:t>
      </w:r>
      <w:r w:rsidR="00EB5AF1">
        <w:rPr>
          <w:rFonts w:cs="Times New Roman"/>
          <w:szCs w:val="24"/>
        </w:rPr>
        <w:t>improper payment</w:t>
      </w:r>
      <w:r w:rsidRPr="00CD1AE8" w:rsidR="00EB5AF1">
        <w:rPr>
          <w:rFonts w:cs="Times New Roman"/>
          <w:szCs w:val="24"/>
        </w:rPr>
        <w:t xml:space="preserve"> </w:t>
      </w:r>
      <w:r w:rsidRPr="00CD1AE8">
        <w:rPr>
          <w:rFonts w:cs="Times New Roman"/>
          <w:szCs w:val="24"/>
        </w:rPr>
        <w:t>rate for the state, the population payments and universe claims vo</w:t>
      </w:r>
      <w:r>
        <w:rPr>
          <w:rFonts w:cs="Times New Roman"/>
          <w:szCs w:val="24"/>
        </w:rPr>
        <w:t>lumes refer to the FFS universe.</w:t>
      </w:r>
    </w:p>
    <w:p w:rsidR="0058251D" w:rsidRPr="00CD1AE8" w:rsidP="00493F06" w14:paraId="0054C82F" w14:textId="77777777">
      <w:pPr>
        <w:jc w:val="both"/>
        <w:rPr>
          <w:rFonts w:cs="Times New Roman"/>
          <w:szCs w:val="24"/>
        </w:rPr>
      </w:pPr>
      <w:r w:rsidRPr="00CD1AE8">
        <w:rPr>
          <w:rFonts w:cs="Times New Roman"/>
          <w:szCs w:val="24"/>
        </w:rPr>
        <w:t xml:space="preserve">Let the state level </w:t>
      </w:r>
      <w:r>
        <w:rPr>
          <w:rFonts w:cs="Times New Roman"/>
          <w:szCs w:val="24"/>
        </w:rPr>
        <w:t>improper payment</w:t>
      </w:r>
      <w:r w:rsidRPr="00CD1AE8">
        <w:rPr>
          <w:rFonts w:cs="Times New Roman"/>
          <w:szCs w:val="24"/>
        </w:rPr>
        <w:t xml:space="preserve"> rate be denoted by:</w:t>
      </w:r>
    </w:p>
    <w:p w:rsidR="0058251D" w:rsidRPr="00CD1AE8" w:rsidP="00D02E96" w14:paraId="4F90565D" w14:textId="77777777">
      <w:pPr>
        <w:jc w:val="both"/>
        <w:rPr>
          <w:rFonts w:cs="Times New Roman"/>
          <w:szCs w:val="24"/>
        </w:rPr>
      </w:pPr>
      <w:r w:rsidRPr="00B15BE2">
        <w:rPr>
          <w:rFonts w:cs="Times New Roman"/>
          <w:szCs w:val="24"/>
        </w:rPr>
        <w:t>(</w:t>
      </w:r>
      <w:r>
        <w:rPr>
          <w:rFonts w:cs="Times New Roman"/>
          <w:szCs w:val="24"/>
        </w:rPr>
        <w:t>1</w:t>
      </w:r>
      <w:r w:rsidRPr="00CD1AE8">
        <w:rPr>
          <w:rFonts w:cs="Times New Roman"/>
          <w:szCs w:val="24"/>
        </w:rPr>
        <w:t>)</w:t>
      </w:r>
      <w:r>
        <w:rPr>
          <w:rFonts w:cs="Times New Roman"/>
          <w:szCs w:val="24"/>
        </w:rPr>
        <w:tab/>
      </w:r>
      <w:r>
        <w:rPr>
          <w:rFonts w:cs="Times New Roman"/>
          <w:noProof/>
          <w:position w:val="-34"/>
          <w:szCs w:val="24"/>
        </w:rPr>
        <w:drawing>
          <wp:inline distT="0" distB="0" distL="0" distR="0">
            <wp:extent cx="504825" cy="504825"/>
            <wp:effectExtent l="0" t="0" r="0" b="9525"/>
            <wp:docPr id="3" name="Picture 3" descr="R hat subcript i equals t hat subscript e subscript i divided by t hat subscipt p subscript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p w:rsidR="0058251D" w:rsidRPr="00CD1AE8" w:rsidP="00493F06" w14:paraId="6F4E1CD4" w14:textId="77777777">
      <w:pPr>
        <w:jc w:val="both"/>
        <w:rPr>
          <w:rFonts w:cs="Times New Roman"/>
          <w:szCs w:val="24"/>
        </w:rPr>
      </w:pPr>
      <w:r>
        <w:rPr>
          <w:rFonts w:cs="Times New Roman"/>
          <w:szCs w:val="24"/>
        </w:rPr>
        <w:t>T</w:t>
      </w:r>
      <w:r w:rsidRPr="00CD1AE8">
        <w:rPr>
          <w:rFonts w:cs="Times New Roman"/>
          <w:szCs w:val="24"/>
        </w:rPr>
        <w:t>he estimators in the numerator and denominator follow the general form:</w:t>
      </w:r>
    </w:p>
    <w:p w:rsidR="0058251D" w:rsidP="00D02E96" w14:paraId="22B4E096" w14:textId="77777777">
      <w:pPr>
        <w:spacing w:after="0"/>
        <w:ind w:left="2880"/>
        <w:jc w:val="both"/>
        <w:rPr>
          <w:rFonts w:cs="Times New Roman"/>
          <w:szCs w:val="24"/>
        </w:rPr>
      </w:pPr>
      <w:r w:rsidRPr="00896760">
        <w:rPr>
          <w:noProof/>
        </w:rPr>
        <w:drawing>
          <wp:anchor distT="0" distB="0" distL="114300" distR="114300" simplePos="0" relativeHeight="251658240" behindDoc="0" locked="0" layoutInCell="1" allowOverlap="1">
            <wp:simplePos x="0" y="0"/>
            <wp:positionH relativeFrom="column">
              <wp:posOffset>349250</wp:posOffset>
            </wp:positionH>
            <wp:positionV relativeFrom="paragraph">
              <wp:posOffset>10795</wp:posOffset>
            </wp:positionV>
            <wp:extent cx="1365250" cy="662940"/>
            <wp:effectExtent l="0" t="0" r="0" b="0"/>
            <wp:wrapSquare wrapText="bothSides"/>
            <wp:docPr id="1" name="Picture 1" descr="t hat subscript x subscript i equals begin summation, from j equals 1 to a, of begin fraction, M subscript i j over m subscript i j, end fraction, end summation times begin summation, from k equals 1 to m subscript i j, of x subscript i times j times k, end sum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6723" r="37630"/>
                    <a:stretch>
                      <a:fillRect/>
                    </a:stretch>
                  </pic:blipFill>
                  <pic:spPr bwMode="auto">
                    <a:xfrm>
                      <a:off x="0" y="0"/>
                      <a:ext cx="1365250" cy="66294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251D" w:rsidP="00D02E96" w14:paraId="10189FCE" w14:textId="77777777">
      <w:pPr>
        <w:spacing w:after="0"/>
        <w:jc w:val="both"/>
        <w:rPr>
          <w:rFonts w:cs="Times New Roman"/>
          <w:szCs w:val="24"/>
        </w:rPr>
      </w:pPr>
      <w:r w:rsidRPr="00B15BE2">
        <w:rPr>
          <w:rFonts w:cs="Times New Roman"/>
          <w:szCs w:val="24"/>
        </w:rPr>
        <w:t>(</w:t>
      </w:r>
      <w:r>
        <w:rPr>
          <w:rFonts w:cs="Times New Roman"/>
          <w:szCs w:val="24"/>
        </w:rPr>
        <w:t>2)</w:t>
      </w:r>
      <w:r>
        <w:rPr>
          <w:rFonts w:cs="Times New Roman"/>
          <w:szCs w:val="24"/>
        </w:rPr>
        <w:tab/>
      </w:r>
    </w:p>
    <w:p w:rsidR="0058251D" w:rsidRPr="00CD1AE8" w:rsidP="00D02E96" w14:paraId="1BB755FD" w14:textId="77777777">
      <w:pPr>
        <w:ind w:left="2880"/>
        <w:jc w:val="both"/>
        <w:rPr>
          <w:rFonts w:cs="Times New Roman"/>
          <w:szCs w:val="24"/>
        </w:rPr>
      </w:pPr>
    </w:p>
    <w:p w:rsidR="0058251D" w:rsidP="00493F06" w14:paraId="636A8E92" w14:textId="77777777">
      <w:pPr>
        <w:jc w:val="both"/>
        <w:rPr>
          <w:rFonts w:cs="Times New Roman"/>
          <w:szCs w:val="24"/>
        </w:rPr>
      </w:pPr>
      <w:r w:rsidRPr="00713AC0">
        <w:rPr>
          <w:rFonts w:cs="Times New Roman"/>
          <w:szCs w:val="24"/>
        </w:rPr>
        <w:t>where</w:t>
      </w:r>
      <w:r>
        <w:rPr>
          <w:rFonts w:cs="Times New Roman"/>
          <w:szCs w:val="24"/>
        </w:rPr>
        <w:t xml:space="preserve"> </w:t>
      </w:r>
    </w:p>
    <w:p w:rsidR="0058251D" w:rsidRPr="00AB73AD" w:rsidP="00493F06" w14:paraId="09EC51B5" w14:textId="4B6808B3">
      <w:pPr>
        <w:ind w:firstLine="720"/>
        <w:jc w:val="both"/>
        <w:rPr>
          <w:rFonts w:cs="Times New Roman"/>
          <w:i/>
          <w:szCs w:val="24"/>
        </w:rPr>
      </w:pPr>
      <w:r>
        <w:rPr>
          <w:rFonts w:cs="Times New Roman"/>
          <w:i/>
          <w:szCs w:val="24"/>
        </w:rPr>
        <w:t>a</w:t>
      </w:r>
      <w:r>
        <w:rPr>
          <w:rFonts w:cs="Times New Roman"/>
          <w:szCs w:val="24"/>
        </w:rPr>
        <w:t xml:space="preserve"> = number of strata in state </w:t>
      </w:r>
      <w:r>
        <w:rPr>
          <w:rFonts w:cs="Times New Roman"/>
          <w:i/>
          <w:szCs w:val="24"/>
        </w:rPr>
        <w:t>i</w:t>
      </w:r>
    </w:p>
    <w:p w:rsidR="0058251D" w:rsidRPr="00CD1AE8" w:rsidP="00493F06" w14:paraId="4A0737FD" w14:textId="4DA089DE">
      <w:pPr>
        <w:ind w:firstLine="720"/>
        <w:jc w:val="both"/>
        <w:rPr>
          <w:rFonts w:cs="Times New Roman"/>
          <w:szCs w:val="24"/>
        </w:rPr>
      </w:pPr>
      <w:r>
        <w:rPr>
          <w:rFonts w:cs="Times New Roman"/>
          <w:position w:val="-1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 subscript i j " style="width:20.25pt;height:19.5pt" o:oleicon="f" o:ole="">
            <v:imagedata r:id="rId8" o:title=""/>
          </v:shape>
          <o:OLEObject Type="Embed" ProgID="Equation.3" ShapeID="_x0000_i1025" DrawAspect="Content" ObjectID="_1768022293" r:id="rId9"/>
        </w:object>
      </w:r>
      <w:r>
        <w:rPr>
          <w:rFonts w:cs="Times New Roman"/>
          <w:szCs w:val="24"/>
        </w:rPr>
        <w:t xml:space="preserve"> =</w:t>
      </w:r>
      <w:r w:rsidRPr="00CD1AE8">
        <w:rPr>
          <w:rFonts w:cs="Times New Roman"/>
          <w:szCs w:val="24"/>
        </w:rPr>
        <w:t xml:space="preserve"> </w:t>
      </w:r>
      <w:r>
        <w:rPr>
          <w:rFonts w:cs="Times New Roman"/>
          <w:szCs w:val="24"/>
        </w:rPr>
        <w:t xml:space="preserve">total expenditures in the universe for </w:t>
      </w:r>
      <w:r>
        <w:rPr>
          <w:rFonts w:cs="Times New Roman"/>
          <w:szCs w:val="24"/>
        </w:rPr>
        <w:t xml:space="preserve">stratum </w:t>
      </w:r>
      <w:r w:rsidRPr="00DF2454">
        <w:rPr>
          <w:i/>
        </w:rPr>
        <w:t>j</w:t>
      </w:r>
      <w:r>
        <w:rPr>
          <w:rFonts w:cs="Times New Roman"/>
          <w:i/>
          <w:szCs w:val="24"/>
        </w:rPr>
        <w:t xml:space="preserve"> </w:t>
      </w:r>
      <w:r>
        <w:rPr>
          <w:rFonts w:cs="Times New Roman"/>
          <w:szCs w:val="24"/>
        </w:rPr>
        <w:t xml:space="preserve">of </w:t>
      </w:r>
      <w:r w:rsidRPr="00CD1AE8">
        <w:rPr>
          <w:rFonts w:cs="Times New Roman"/>
          <w:szCs w:val="24"/>
        </w:rPr>
        <w:t xml:space="preserve">state </w:t>
      </w:r>
      <w:r w:rsidRPr="00AB73AD">
        <w:rPr>
          <w:rFonts w:cs="Times New Roman"/>
          <w:i/>
          <w:szCs w:val="24"/>
        </w:rPr>
        <w:t>i</w:t>
      </w:r>
    </w:p>
    <w:p w:rsidR="0058251D" w:rsidRPr="00CD1AE8" w:rsidP="00493F06" w14:paraId="11FBB756" w14:textId="6B244007">
      <w:pPr>
        <w:ind w:firstLine="720"/>
        <w:jc w:val="both"/>
        <w:rPr>
          <w:rFonts w:cs="Times New Roman"/>
          <w:szCs w:val="24"/>
        </w:rPr>
      </w:pPr>
      <w:r>
        <w:rPr>
          <w:rFonts w:cs="Times New Roman"/>
          <w:position w:val="-14"/>
          <w:szCs w:val="24"/>
        </w:rPr>
        <w:object>
          <v:shape id="_x0000_i1026" type="#_x0000_t75" alt="m subscript i j " style="width:17.25pt;height:19.5pt" o:oleicon="f" o:ole="">
            <v:imagedata r:id="rId10" o:title=""/>
          </v:shape>
          <o:OLEObject Type="Embed" ProgID="Equation.3" ShapeID="_x0000_i1026" DrawAspect="Content" ObjectID="_1768022294" r:id="rId11"/>
        </w:object>
      </w:r>
      <w:r w:rsidRPr="00CD1AE8">
        <w:rPr>
          <w:rFonts w:cs="Times New Roman"/>
          <w:szCs w:val="24"/>
        </w:rPr>
        <w:t xml:space="preserve"> </w:t>
      </w:r>
      <w:r>
        <w:rPr>
          <w:rFonts w:cs="Times New Roman"/>
          <w:szCs w:val="24"/>
        </w:rPr>
        <w:t>=</w:t>
      </w:r>
      <w:r w:rsidRPr="00CD1AE8">
        <w:rPr>
          <w:rFonts w:cs="Times New Roman"/>
          <w:szCs w:val="24"/>
        </w:rPr>
        <w:t xml:space="preserve"> </w:t>
      </w:r>
      <w:r w:rsidR="00A7472A">
        <w:rPr>
          <w:rFonts w:cs="Times New Roman"/>
          <w:szCs w:val="24"/>
        </w:rPr>
        <w:t xml:space="preserve">total expenditures in the sample for </w:t>
      </w:r>
      <w:r>
        <w:rPr>
          <w:rFonts w:cs="Times New Roman"/>
          <w:szCs w:val="24"/>
        </w:rPr>
        <w:t xml:space="preserve">stratum </w:t>
      </w:r>
      <w:r w:rsidRPr="00DF2454">
        <w:rPr>
          <w:i/>
        </w:rPr>
        <w:t>j</w:t>
      </w:r>
      <w:r>
        <w:rPr>
          <w:rFonts w:cs="Times New Roman"/>
          <w:i/>
          <w:szCs w:val="24"/>
        </w:rPr>
        <w:t xml:space="preserve"> </w:t>
      </w:r>
      <w:r>
        <w:rPr>
          <w:rFonts w:cs="Times New Roman"/>
          <w:szCs w:val="24"/>
        </w:rPr>
        <w:t xml:space="preserve">of </w:t>
      </w:r>
      <w:r w:rsidRPr="00CD1AE8">
        <w:rPr>
          <w:rFonts w:cs="Times New Roman"/>
          <w:szCs w:val="24"/>
        </w:rPr>
        <w:t xml:space="preserve">state </w:t>
      </w:r>
      <w:r w:rsidRPr="00F5440E">
        <w:rPr>
          <w:rFonts w:cs="Times New Roman"/>
          <w:i/>
          <w:szCs w:val="24"/>
        </w:rPr>
        <w:t>i</w:t>
      </w:r>
    </w:p>
    <w:p w:rsidR="0058251D" w:rsidRPr="00CD1AE8" w:rsidP="00493F06" w14:paraId="00B50A3B" w14:textId="1F8DE199">
      <w:pPr>
        <w:ind w:firstLine="720"/>
        <w:jc w:val="both"/>
        <w:rPr>
          <w:rFonts w:cs="Times New Roman"/>
          <w:szCs w:val="24"/>
        </w:rPr>
      </w:pPr>
      <w:r>
        <w:rPr>
          <w:rFonts w:cs="Times New Roman"/>
          <w:position w:val="-14"/>
          <w:szCs w:val="24"/>
        </w:rPr>
        <w:object>
          <v:shape id="_x0000_i1027" type="#_x0000_t75" alt="x subscript i j k" style="width:17.25pt;height:19.5pt" o:oleicon="f" o:ole="">
            <v:imagedata r:id="rId12" o:title=""/>
          </v:shape>
          <o:OLEObject Type="Embed" ProgID="Equation.3" ShapeID="_x0000_i1027" DrawAspect="Content" ObjectID="_1768022295" r:id="rId13"/>
        </w:object>
      </w:r>
      <w:r w:rsidRPr="00CD1AE8">
        <w:rPr>
          <w:rFonts w:cs="Times New Roman"/>
          <w:szCs w:val="24"/>
        </w:rPr>
        <w:t xml:space="preserve"> </w:t>
      </w:r>
      <w:r>
        <w:rPr>
          <w:rFonts w:cs="Times New Roman"/>
          <w:szCs w:val="24"/>
        </w:rPr>
        <w:t>=</w:t>
      </w:r>
      <w:r w:rsidRPr="00CD1AE8">
        <w:rPr>
          <w:rFonts w:cs="Times New Roman"/>
          <w:szCs w:val="24"/>
        </w:rPr>
        <w:t xml:space="preserve"> </w:t>
      </w:r>
      <w:r>
        <w:rPr>
          <w:rFonts w:cs="Times New Roman"/>
          <w:szCs w:val="24"/>
        </w:rPr>
        <w:t xml:space="preserve">improper or total payment of </w:t>
      </w:r>
      <w:r>
        <w:rPr>
          <w:rFonts w:cs="Times New Roman"/>
          <w:szCs w:val="24"/>
        </w:rPr>
        <w:t>line item</w:t>
      </w:r>
      <w:r>
        <w:rPr>
          <w:rFonts w:cs="Times New Roman"/>
          <w:szCs w:val="24"/>
        </w:rPr>
        <w:t xml:space="preserve"> </w:t>
      </w:r>
      <w:r w:rsidRPr="00DF2454">
        <w:rPr>
          <w:i/>
        </w:rPr>
        <w:t>k</w:t>
      </w:r>
      <w:r>
        <w:rPr>
          <w:rFonts w:cs="Times New Roman"/>
          <w:szCs w:val="24"/>
        </w:rPr>
        <w:t xml:space="preserve"> in stratum </w:t>
      </w:r>
      <w:r w:rsidRPr="00DF2454">
        <w:rPr>
          <w:i/>
        </w:rPr>
        <w:t>j</w:t>
      </w:r>
      <w:r>
        <w:rPr>
          <w:rFonts w:cs="Times New Roman"/>
          <w:i/>
          <w:szCs w:val="24"/>
        </w:rPr>
        <w:t xml:space="preserve"> </w:t>
      </w:r>
      <w:r>
        <w:rPr>
          <w:rFonts w:cs="Times New Roman"/>
          <w:szCs w:val="24"/>
        </w:rPr>
        <w:t xml:space="preserve">of </w:t>
      </w:r>
      <w:r w:rsidRPr="00CD1AE8">
        <w:rPr>
          <w:rFonts w:cs="Times New Roman"/>
          <w:szCs w:val="24"/>
        </w:rPr>
        <w:t xml:space="preserve">state </w:t>
      </w:r>
      <w:r w:rsidRPr="00F5440E">
        <w:rPr>
          <w:rFonts w:cs="Times New Roman"/>
          <w:i/>
          <w:szCs w:val="24"/>
        </w:rPr>
        <w:t>i</w:t>
      </w:r>
    </w:p>
    <w:p w:rsidR="0058251D" w:rsidRPr="00CD1AE8" w:rsidP="00493F06" w14:paraId="3C561E73" w14:textId="77777777">
      <w:pPr>
        <w:jc w:val="both"/>
        <w:rPr>
          <w:rFonts w:cs="Times New Roman"/>
          <w:szCs w:val="24"/>
        </w:rPr>
      </w:pPr>
      <w:r w:rsidRPr="00CD1AE8">
        <w:rPr>
          <w:rFonts w:cs="Times New Roman"/>
          <w:szCs w:val="24"/>
        </w:rPr>
        <w:t xml:space="preserve">The estimated variance of the estimated state level </w:t>
      </w:r>
      <w:r>
        <w:rPr>
          <w:rFonts w:cs="Times New Roman"/>
          <w:szCs w:val="24"/>
        </w:rPr>
        <w:t>improper payment</w:t>
      </w:r>
      <w:r w:rsidRPr="00CD1AE8">
        <w:rPr>
          <w:rFonts w:cs="Times New Roman"/>
          <w:szCs w:val="24"/>
        </w:rPr>
        <w:t xml:space="preserve"> rate is given by:</w:t>
      </w:r>
    </w:p>
    <w:p w:rsidR="0058251D" w:rsidRPr="00CD1AE8" w:rsidP="00D02E96" w14:paraId="4EDAF147" w14:textId="77777777">
      <w:pPr>
        <w:jc w:val="both"/>
        <w:rPr>
          <w:rFonts w:cs="Times New Roman"/>
          <w:szCs w:val="24"/>
        </w:rPr>
      </w:pPr>
      <w:r w:rsidRPr="00B15BE2">
        <w:rPr>
          <w:rFonts w:cs="Times New Roman"/>
          <w:szCs w:val="24"/>
        </w:rPr>
        <w:t>(</w:t>
      </w:r>
      <w:r>
        <w:rPr>
          <w:rFonts w:cs="Times New Roman"/>
          <w:szCs w:val="24"/>
        </w:rPr>
        <w:t>3)</w:t>
      </w:r>
      <w:r>
        <w:rPr>
          <w:rFonts w:cs="Times New Roman"/>
          <w:szCs w:val="24"/>
        </w:rPr>
        <w:tab/>
      </w:r>
      <w:r>
        <w:rPr>
          <w:rFonts w:cs="Times New Roman"/>
          <w:noProof/>
          <w:position w:val="-34"/>
          <w:szCs w:val="24"/>
        </w:rPr>
        <w:drawing>
          <wp:inline distT="0" distB="0" distL="0" distR="0">
            <wp:extent cx="1962150" cy="752475"/>
            <wp:effectExtent l="0" t="0" r="0" b="9525"/>
            <wp:docPr id="4" name="Picture 4" descr="Var hat, open parenthesis, R hat subscript i, close parenthesis, equals begin fraction, begin summation, from j equals 1 to a, of begin fraction, begin square, M subscript i j, end square, over m subscript i j, end fraction, times begin summation, from k equals 1 to m subscript i j, of begin fraction, begin square theta subscript i j k minus theta bar subscript i j k, end square, over m subscript i j minus 1, end fraction, over begin square t hat subscript p subscript i, end square,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2150" cy="752475"/>
                    </a:xfrm>
                    <a:prstGeom prst="rect">
                      <a:avLst/>
                    </a:prstGeom>
                    <a:noFill/>
                    <a:ln>
                      <a:noFill/>
                    </a:ln>
                  </pic:spPr>
                </pic:pic>
              </a:graphicData>
            </a:graphic>
          </wp:inline>
        </w:drawing>
      </w:r>
    </w:p>
    <w:p w:rsidR="0058251D" w:rsidP="00D02E96" w14:paraId="40670B62" w14:textId="77777777">
      <w:pPr>
        <w:jc w:val="both"/>
        <w:rPr>
          <w:rFonts w:eastAsiaTheme="minorEastAsia" w:cs="Times New Roman"/>
          <w:szCs w:val="24"/>
        </w:rPr>
      </w:pPr>
      <w:r>
        <w:rPr>
          <w:rFonts w:eastAsiaTheme="minorEastAsia" w:cs="Times New Roman"/>
          <w:szCs w:val="24"/>
        </w:rPr>
        <w:t>where</w:t>
      </w:r>
    </w:p>
    <w:p w:rsidR="0058251D" w:rsidP="00493F06" w14:paraId="4C2C793B" w14:textId="6DDABF39">
      <w:pPr>
        <w:jc w:val="both"/>
        <w:rPr>
          <w:rFonts w:eastAsiaTheme="minorEastAsia" w:cs="Times New Roman"/>
          <w:i/>
          <w:szCs w:val="24"/>
        </w:rPr>
      </w:pPr>
      <w:r>
        <w:rPr>
          <w:rFonts w:eastAsiaTheme="minorEastAsia" w:cs="Times New Roman"/>
          <w:szCs w:val="24"/>
        </w:rPr>
        <w:tab/>
      </w:r>
      <w:r>
        <w:rPr>
          <w:position w:val="-14"/>
        </w:rPr>
        <w:object>
          <v:shape id="_x0000_i1028" type="#_x0000_t75" alt="theta subscript i j k" style="width:17.25pt;height:18.75pt" o:oleicon="f" o:ole="">
            <v:imagedata r:id="rId15" o:title=""/>
          </v:shape>
          <o:OLEObject Type="Embed" ProgID="Equation.DSMT4" ShapeID="_x0000_i1028" DrawAspect="Content" ObjectID="_1768022296" r:id="rId16"/>
        </w:object>
      </w:r>
      <w:r w:rsidR="00D505A2">
        <w:rPr>
          <w:rFonts w:eastAsiaTheme="minorEastAsia"/>
          <w:szCs w:val="24"/>
        </w:rPr>
        <w:t xml:space="preserve"> = </w:t>
      </w:r>
      <w:bookmarkStart w:id="2" w:name="MTBlankEqn"/>
      <w:r>
        <w:rPr>
          <w:position w:val="-14"/>
        </w:rPr>
        <w:object>
          <v:shape id="_x0000_i1029" type="#_x0000_t75" alt="e subscript i j k" style="width:15pt;height:18.75pt" o:oleicon="f" o:ole="">
            <v:imagedata r:id="rId17" o:title=""/>
          </v:shape>
          <o:OLEObject Type="Embed" ProgID="Equation.DSMT4" ShapeID="_x0000_i1029" DrawAspect="Content" ObjectID="_1768022297" r:id="rId18"/>
        </w:object>
      </w:r>
      <w:bookmarkEnd w:id="2"/>
      <w:r w:rsidR="00D505A2">
        <w:rPr>
          <w:rFonts w:eastAsiaTheme="minorEastAsia"/>
          <w:szCs w:val="24"/>
        </w:rPr>
        <w:t xml:space="preserve"> =</w:t>
      </w:r>
      <w:r>
        <w:rPr>
          <w:rFonts w:eastAsiaTheme="minorEastAsia" w:cs="Times New Roman"/>
          <w:szCs w:val="24"/>
        </w:rPr>
        <w:t xml:space="preserve"> improper payment of </w:t>
      </w:r>
      <w:r>
        <w:rPr>
          <w:rFonts w:eastAsiaTheme="minorEastAsia" w:cs="Times New Roman"/>
          <w:szCs w:val="24"/>
        </w:rPr>
        <w:t>line item</w:t>
      </w:r>
      <w:r>
        <w:rPr>
          <w:rFonts w:eastAsiaTheme="minorEastAsia" w:cs="Times New Roman"/>
          <w:szCs w:val="24"/>
        </w:rPr>
        <w:t xml:space="preserve"> </w:t>
      </w:r>
      <w:r>
        <w:rPr>
          <w:rFonts w:eastAsiaTheme="minorEastAsia" w:cs="Times New Roman"/>
          <w:i/>
          <w:szCs w:val="24"/>
        </w:rPr>
        <w:t xml:space="preserve">k </w:t>
      </w:r>
      <w:r>
        <w:rPr>
          <w:rFonts w:eastAsiaTheme="minorEastAsia" w:cs="Times New Roman"/>
          <w:szCs w:val="24"/>
        </w:rPr>
        <w:t xml:space="preserve">in stratum </w:t>
      </w:r>
      <w:r>
        <w:rPr>
          <w:rFonts w:eastAsiaTheme="minorEastAsia" w:cs="Times New Roman"/>
          <w:i/>
          <w:szCs w:val="24"/>
        </w:rPr>
        <w:t xml:space="preserve">j </w:t>
      </w:r>
      <w:r>
        <w:rPr>
          <w:rFonts w:eastAsiaTheme="minorEastAsia" w:cs="Times New Roman"/>
          <w:szCs w:val="24"/>
        </w:rPr>
        <w:t xml:space="preserve">of state </w:t>
      </w:r>
      <w:r>
        <w:rPr>
          <w:rFonts w:eastAsiaTheme="minorEastAsia" w:cs="Times New Roman"/>
          <w:i/>
          <w:szCs w:val="24"/>
        </w:rPr>
        <w:t>i</w:t>
      </w:r>
    </w:p>
    <w:p w:rsidR="0058251D" w:rsidP="00493F06" w14:paraId="6133A2F9" w14:textId="04725B0A">
      <w:pPr>
        <w:ind w:left="1440" w:hanging="720"/>
        <w:jc w:val="both"/>
        <w:rPr>
          <w:rFonts w:eastAsiaTheme="minorEastAsia" w:cs="Times New Roman"/>
          <w:i/>
          <w:szCs w:val="24"/>
        </w:rPr>
      </w:pPr>
      <w:r>
        <w:rPr>
          <w:position w:val="-14"/>
        </w:rPr>
        <w:object>
          <v:shape id="_x0000_i1030" type="#_x0000_t75" alt="theta bar subscript i j k equals R subscript i j times p subscript i j k" style="width:54.75pt;height:20.25pt" o:oleicon="f" o:ole="">
            <v:imagedata r:id="rId19" o:title=""/>
          </v:shape>
          <o:OLEObject Type="Embed" ProgID="Equation.DSMT4" ShapeID="_x0000_i1030" DrawAspect="Content" ObjectID="_1768022298" r:id="rId20"/>
        </w:object>
      </w:r>
      <w:r>
        <w:rPr>
          <w:rFonts w:eastAsiaTheme="minorEastAsia" w:cs="Times New Roman"/>
          <w:i/>
          <w:szCs w:val="24"/>
        </w:rPr>
        <w:t>=</w:t>
      </w:r>
      <w:r>
        <w:rPr>
          <w:rFonts w:eastAsiaTheme="minorEastAsia" w:cs="Times New Roman"/>
          <w:szCs w:val="24"/>
        </w:rPr>
        <w:t xml:space="preserve"> improper payment rate for stratum </w:t>
      </w:r>
      <w:r>
        <w:rPr>
          <w:rFonts w:eastAsiaTheme="minorEastAsia" w:cs="Times New Roman"/>
          <w:i/>
          <w:szCs w:val="24"/>
        </w:rPr>
        <w:t xml:space="preserve">j </w:t>
      </w:r>
      <w:r>
        <w:rPr>
          <w:rFonts w:eastAsiaTheme="minorEastAsia" w:cs="Times New Roman"/>
          <w:szCs w:val="24"/>
        </w:rPr>
        <w:t xml:space="preserve">of state </w:t>
      </w:r>
      <w:r>
        <w:rPr>
          <w:rFonts w:eastAsiaTheme="minorEastAsia" w:cs="Times New Roman"/>
          <w:i/>
          <w:szCs w:val="24"/>
        </w:rPr>
        <w:t>i</w:t>
      </w:r>
      <w:r>
        <w:rPr>
          <w:rFonts w:eastAsiaTheme="minorEastAsia" w:cs="Times New Roman"/>
          <w:i/>
          <w:szCs w:val="24"/>
        </w:rPr>
        <w:t xml:space="preserve"> </w:t>
      </w:r>
      <w:r>
        <w:rPr>
          <w:rFonts w:eastAsiaTheme="minorEastAsia" w:cs="Times New Roman"/>
          <w:szCs w:val="24"/>
        </w:rPr>
        <w:t xml:space="preserve">multiplied by the total payment of </w:t>
      </w:r>
      <w:r>
        <w:rPr>
          <w:rFonts w:eastAsiaTheme="minorEastAsia" w:cs="Times New Roman"/>
          <w:szCs w:val="24"/>
        </w:rPr>
        <w:t>line item</w:t>
      </w:r>
      <w:r>
        <w:rPr>
          <w:rFonts w:eastAsiaTheme="minorEastAsia" w:cs="Times New Roman"/>
          <w:szCs w:val="24"/>
        </w:rPr>
        <w:t xml:space="preserve"> </w:t>
      </w:r>
      <w:r>
        <w:rPr>
          <w:rFonts w:eastAsiaTheme="minorEastAsia" w:cs="Times New Roman"/>
          <w:i/>
          <w:szCs w:val="24"/>
        </w:rPr>
        <w:t xml:space="preserve">k </w:t>
      </w:r>
      <w:r>
        <w:rPr>
          <w:rFonts w:eastAsiaTheme="minorEastAsia" w:cs="Times New Roman"/>
          <w:szCs w:val="24"/>
        </w:rPr>
        <w:t xml:space="preserve">in stratum </w:t>
      </w:r>
      <w:r>
        <w:rPr>
          <w:rFonts w:eastAsiaTheme="minorEastAsia" w:cs="Times New Roman"/>
          <w:i/>
          <w:szCs w:val="24"/>
        </w:rPr>
        <w:t xml:space="preserve">j </w:t>
      </w:r>
      <w:r>
        <w:rPr>
          <w:rFonts w:eastAsiaTheme="minorEastAsia" w:cs="Times New Roman"/>
          <w:szCs w:val="24"/>
        </w:rPr>
        <w:t xml:space="preserve">of state </w:t>
      </w:r>
      <w:r>
        <w:rPr>
          <w:rFonts w:eastAsiaTheme="minorEastAsia" w:cs="Times New Roman"/>
          <w:i/>
          <w:szCs w:val="24"/>
        </w:rPr>
        <w:t>i</w:t>
      </w:r>
    </w:p>
    <w:p w:rsidR="0058251D" w:rsidRPr="00CD1AE8" w:rsidP="00493F06" w14:paraId="150022CB" w14:textId="77777777">
      <w:pPr>
        <w:jc w:val="both"/>
        <w:rPr>
          <w:rFonts w:cs="Times New Roman"/>
          <w:szCs w:val="24"/>
        </w:rPr>
      </w:pPr>
    </w:p>
    <w:p w:rsidR="0058251D" w:rsidRPr="00610BF3" w:rsidP="00493F06" w14:paraId="414394A5" w14:textId="77777777">
      <w:pPr>
        <w:pStyle w:val="Heading3"/>
        <w:jc w:val="both"/>
        <w:rPr>
          <w:rFonts w:ascii="Times New Roman" w:hAnsi="Times New Roman" w:cs="Times New Roman"/>
          <w:b w:val="0"/>
          <w:sz w:val="24"/>
          <w:szCs w:val="24"/>
        </w:rPr>
      </w:pPr>
      <w:r w:rsidRPr="00610BF3">
        <w:rPr>
          <w:rFonts w:ascii="Times New Roman" w:hAnsi="Times New Roman" w:cs="Times New Roman"/>
          <w:b w:val="0"/>
          <w:sz w:val="24"/>
          <w:szCs w:val="24"/>
        </w:rPr>
        <w:t>National Level Statistics</w:t>
      </w:r>
    </w:p>
    <w:p w:rsidR="0058251D" w:rsidRPr="00CD1AE8" w:rsidP="00493F06" w14:paraId="58AA620B" w14:textId="77777777">
      <w:pPr>
        <w:jc w:val="both"/>
        <w:rPr>
          <w:rFonts w:cs="Times New Roman"/>
          <w:szCs w:val="24"/>
        </w:rPr>
      </w:pPr>
      <w:r>
        <w:rPr>
          <w:rFonts w:cs="Times New Roman"/>
          <w:szCs w:val="24"/>
        </w:rPr>
        <w:t>Similar to</w:t>
      </w:r>
      <w:r>
        <w:rPr>
          <w:rFonts w:cs="Times New Roman"/>
          <w:szCs w:val="24"/>
        </w:rPr>
        <w:t xml:space="preserve"> the State level calculations, t</w:t>
      </w:r>
      <w:r w:rsidRPr="00CD1AE8">
        <w:rPr>
          <w:rFonts w:cs="Times New Roman"/>
          <w:szCs w:val="24"/>
        </w:rPr>
        <w:t xml:space="preserve">he estimated national </w:t>
      </w:r>
      <w:r>
        <w:rPr>
          <w:rFonts w:cs="Times New Roman"/>
          <w:szCs w:val="24"/>
        </w:rPr>
        <w:t>improper payment</w:t>
      </w:r>
      <w:r w:rsidRPr="00CD1AE8">
        <w:rPr>
          <w:rFonts w:cs="Times New Roman"/>
          <w:szCs w:val="24"/>
        </w:rPr>
        <w:t xml:space="preserve"> rate is calculated by:</w:t>
      </w:r>
    </w:p>
    <w:p w:rsidR="0058251D" w:rsidRPr="00CD1AE8" w:rsidP="00D02E96" w14:paraId="1B80339D" w14:textId="77777777">
      <w:pPr>
        <w:jc w:val="both"/>
        <w:rPr>
          <w:rFonts w:cs="Times New Roman"/>
          <w:szCs w:val="24"/>
        </w:rPr>
      </w:pPr>
      <w:r w:rsidRPr="00B15BE2">
        <w:rPr>
          <w:rFonts w:cs="Times New Roman"/>
          <w:szCs w:val="24"/>
        </w:rPr>
        <w:t>(</w:t>
      </w:r>
      <w:r>
        <w:rPr>
          <w:rFonts w:cs="Times New Roman"/>
          <w:szCs w:val="24"/>
        </w:rPr>
        <w:t>4)</w:t>
      </w:r>
      <w:r>
        <w:rPr>
          <w:rFonts w:cs="Times New Roman"/>
          <w:szCs w:val="24"/>
        </w:rPr>
        <w:tab/>
      </w:r>
      <w:r>
        <w:rPr>
          <w:rFonts w:cs="Times New Roman"/>
          <w:noProof/>
          <w:position w:val="-32"/>
          <w:szCs w:val="24"/>
        </w:rPr>
        <w:drawing>
          <wp:inline distT="0" distB="0" distL="0" distR="0">
            <wp:extent cx="771525" cy="657225"/>
            <wp:effectExtent l="0" t="0" r="9525" b="9525"/>
            <wp:docPr id="5" name="Picture 5" descr="R hat equals begin fraction, begin summation, from i equals 1 to 51, of t subscript p subscript i times R hat subscript i end summation, over t subscript p,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57225"/>
                    </a:xfrm>
                    <a:prstGeom prst="rect">
                      <a:avLst/>
                    </a:prstGeom>
                    <a:noFill/>
                    <a:ln>
                      <a:noFill/>
                    </a:ln>
                  </pic:spPr>
                </pic:pic>
              </a:graphicData>
            </a:graphic>
          </wp:inline>
        </w:drawing>
      </w:r>
    </w:p>
    <w:p w:rsidR="0058251D" w:rsidRPr="00CD1AE8" w:rsidP="00D02E96" w14:paraId="2048CBEE" w14:textId="77777777">
      <w:pPr>
        <w:jc w:val="both"/>
        <w:rPr>
          <w:rFonts w:cs="Times New Roman"/>
          <w:szCs w:val="24"/>
        </w:rPr>
      </w:pPr>
      <w:r w:rsidRPr="00CD1AE8">
        <w:rPr>
          <w:rFonts w:cs="Times New Roman"/>
          <w:szCs w:val="24"/>
        </w:rPr>
        <w:t>where</w:t>
      </w:r>
    </w:p>
    <w:p w:rsidR="0058251D" w:rsidRPr="00CD1AE8" w:rsidP="00493F06" w14:paraId="23C41E4A" w14:textId="77A3A72C">
      <w:pPr>
        <w:ind w:firstLine="720"/>
        <w:jc w:val="both"/>
        <w:rPr>
          <w:rFonts w:cs="Times New Roman"/>
          <w:szCs w:val="24"/>
        </w:rPr>
      </w:pPr>
      <w:r>
        <w:rPr>
          <w:rFonts w:cs="Times New Roman"/>
          <w:position w:val="-14"/>
          <w:szCs w:val="24"/>
        </w:rPr>
        <w:object>
          <v:shape id="_x0000_i1031" type="#_x0000_t75" alt="t subscript p subscript i" style="width:14.25pt;height:18.75pt" o:oleicon="f" o:ole="">
            <v:imagedata r:id="rId22" o:title=""/>
          </v:shape>
          <o:OLEObject Type="Embed" ProgID="Equation.3" ShapeID="_x0000_i1031" DrawAspect="Content" ObjectID="_1768022299" r:id="rId23"/>
        </w:object>
      </w:r>
      <w:r w:rsidRPr="00CD1AE8">
        <w:rPr>
          <w:rFonts w:cs="Times New Roman"/>
          <w:szCs w:val="24"/>
        </w:rPr>
        <w:t xml:space="preserve">= total universe payments for state </w:t>
      </w:r>
      <w:r w:rsidRPr="00CD1AE8">
        <w:rPr>
          <w:rFonts w:cs="Times New Roman"/>
          <w:szCs w:val="24"/>
        </w:rPr>
        <w:t>i</w:t>
      </w:r>
    </w:p>
    <w:p w:rsidR="0058251D" w:rsidRPr="00CD1AE8" w:rsidP="00493F06" w14:paraId="35CAB288" w14:textId="03DF7788">
      <w:pPr>
        <w:ind w:firstLine="720"/>
        <w:jc w:val="both"/>
        <w:rPr>
          <w:rFonts w:cs="Times New Roman"/>
          <w:szCs w:val="24"/>
        </w:rPr>
      </w:pPr>
      <w:r>
        <w:rPr>
          <w:rFonts w:cs="Times New Roman"/>
          <w:position w:val="-20"/>
          <w:szCs w:val="24"/>
        </w:rPr>
        <w:object>
          <v:shape id="_x0000_i1032" type="#_x0000_t75" alt="t subscript p" style="width:20.25pt;height:21.75pt" o:oleicon="f" o:ole="">
            <v:imagedata r:id="rId24" o:title=""/>
          </v:shape>
          <o:OLEObject Type="Embed" ProgID="Equation.3" ShapeID="_x0000_i1032" DrawAspect="Content" ObjectID="_1768022300" r:id="rId25"/>
        </w:object>
      </w:r>
      <w:r w:rsidRPr="00CD1AE8">
        <w:rPr>
          <w:rFonts w:cs="Times New Roman"/>
          <w:szCs w:val="24"/>
        </w:rPr>
        <w:t>= total universe payment</w:t>
      </w:r>
    </w:p>
    <w:p w:rsidR="0058251D" w:rsidP="00493F06" w14:paraId="3C2FE758" w14:textId="2470B0E4">
      <w:pPr>
        <w:ind w:firstLine="720"/>
        <w:jc w:val="both"/>
        <w:rPr>
          <w:rFonts w:cs="Times New Roman"/>
          <w:szCs w:val="24"/>
        </w:rPr>
      </w:pPr>
      <w:r>
        <w:rPr>
          <w:rFonts w:cs="Times New Roman"/>
          <w:position w:val="-12"/>
          <w:szCs w:val="24"/>
        </w:rPr>
        <w:object>
          <v:shape id="_x0000_i1033" type="#_x0000_t75" alt="R hat subscript i " style="width:12.75pt;height:20.25pt" o:oleicon="f" o:ole="">
            <v:imagedata r:id="rId26" o:title=""/>
          </v:shape>
          <o:OLEObject Type="Embed" ProgID="Equation.3" ShapeID="_x0000_i1033" DrawAspect="Content" ObjectID="_1768022301" r:id="rId27"/>
        </w:object>
      </w:r>
      <w:r>
        <w:rPr>
          <w:rFonts w:cs="Times New Roman"/>
          <w:szCs w:val="24"/>
        </w:rPr>
        <w:t xml:space="preserve"> </w:t>
      </w:r>
      <w:r w:rsidRPr="00CD1AE8">
        <w:rPr>
          <w:rFonts w:cs="Times New Roman"/>
          <w:szCs w:val="24"/>
        </w:rPr>
        <w:t>=</w:t>
      </w:r>
      <w:r>
        <w:rPr>
          <w:rFonts w:cs="Times New Roman"/>
          <w:szCs w:val="24"/>
        </w:rPr>
        <w:t xml:space="preserve"> </w:t>
      </w:r>
      <w:r w:rsidRPr="00CD1AE8">
        <w:rPr>
          <w:rFonts w:cs="Times New Roman"/>
          <w:szCs w:val="24"/>
        </w:rPr>
        <w:t xml:space="preserve">estimated </w:t>
      </w:r>
      <w:r>
        <w:rPr>
          <w:rFonts w:cs="Times New Roman"/>
          <w:szCs w:val="24"/>
        </w:rPr>
        <w:t>improper payment</w:t>
      </w:r>
      <w:r w:rsidRPr="00CD1AE8">
        <w:rPr>
          <w:rFonts w:cs="Times New Roman"/>
          <w:szCs w:val="24"/>
        </w:rPr>
        <w:t xml:space="preserve"> rate for state </w:t>
      </w:r>
      <w:r w:rsidRPr="00CD1AE8">
        <w:rPr>
          <w:rFonts w:cs="Times New Roman"/>
          <w:szCs w:val="24"/>
        </w:rPr>
        <w:t>i</w:t>
      </w:r>
    </w:p>
    <w:p w:rsidR="0058251D" w:rsidRPr="00CD1AE8" w:rsidP="00493F06" w14:paraId="14CAEFF1" w14:textId="77777777">
      <w:pPr>
        <w:ind w:firstLine="720"/>
        <w:jc w:val="both"/>
        <w:rPr>
          <w:rFonts w:cs="Times New Roman"/>
          <w:szCs w:val="24"/>
        </w:rPr>
      </w:pPr>
    </w:p>
    <w:p w:rsidR="0058251D" w:rsidRPr="00CD1AE8" w:rsidP="00493F06" w14:paraId="4863A347" w14:textId="77777777">
      <w:pPr>
        <w:jc w:val="both"/>
        <w:rPr>
          <w:rFonts w:cs="Times New Roman"/>
          <w:szCs w:val="24"/>
        </w:rPr>
      </w:pPr>
      <w:r w:rsidRPr="00CD1AE8">
        <w:rPr>
          <w:rFonts w:cs="Times New Roman"/>
          <w:szCs w:val="24"/>
        </w:rPr>
        <w:t xml:space="preserve">The estimated variance of the estimated </w:t>
      </w:r>
      <w:r>
        <w:rPr>
          <w:rFonts w:cs="Times New Roman"/>
          <w:szCs w:val="24"/>
        </w:rPr>
        <w:t>improper payment</w:t>
      </w:r>
      <w:r w:rsidRPr="00CD1AE8">
        <w:rPr>
          <w:rFonts w:cs="Times New Roman"/>
          <w:szCs w:val="24"/>
        </w:rPr>
        <w:t xml:space="preserve"> rate is calculated by:</w:t>
      </w:r>
    </w:p>
    <w:p w:rsidR="0058251D" w:rsidRPr="00CD1AE8" w:rsidP="00D02E96" w14:paraId="317BB382" w14:textId="243B0A53">
      <w:pPr>
        <w:jc w:val="both"/>
        <w:rPr>
          <w:rFonts w:cs="Times New Roman"/>
          <w:szCs w:val="24"/>
        </w:rPr>
      </w:pPr>
      <w:r w:rsidRPr="00B15BE2">
        <w:rPr>
          <w:rFonts w:cs="Times New Roman"/>
          <w:szCs w:val="24"/>
        </w:rPr>
        <w:t>(</w:t>
      </w:r>
      <w:r>
        <w:rPr>
          <w:rFonts w:cs="Times New Roman"/>
          <w:szCs w:val="24"/>
        </w:rPr>
        <w:t>5)</w:t>
      </w:r>
      <w:r>
        <w:rPr>
          <w:rFonts w:cs="Times New Roman"/>
          <w:szCs w:val="24"/>
        </w:rPr>
        <w:tab/>
      </w:r>
      <w:r>
        <w:rPr>
          <w:rFonts w:cs="Times New Roman"/>
          <w:noProof/>
          <w:position w:val="-32"/>
          <w:szCs w:val="24"/>
        </w:rPr>
        <w:drawing>
          <wp:inline distT="0" distB="0" distL="0" distR="0">
            <wp:extent cx="1133475" cy="657225"/>
            <wp:effectExtent l="0" t="0" r="9525" b="9525"/>
            <wp:docPr id="6" name="Picture 6" descr="Var hat, open parenthesis, R hat, close parenthesis, equals begin fraction, begin summation, from i equals 1 to 51, of begin square, t subscript p subscript i, end square, times begin square, sigma hat subscript R hat subscript i, end square, end summation, over begin square t subscript p, end square, end fr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3475" cy="657225"/>
                    </a:xfrm>
                    <a:prstGeom prst="rect">
                      <a:avLst/>
                    </a:prstGeom>
                    <a:noFill/>
                    <a:ln>
                      <a:noFill/>
                    </a:ln>
                  </pic:spPr>
                </pic:pic>
              </a:graphicData>
            </a:graphic>
          </wp:inline>
        </w:drawing>
      </w:r>
    </w:p>
    <w:p w:rsidR="0058251D" w:rsidRPr="001B3062" w:rsidP="00493F06" w14:paraId="71A25E76" w14:textId="4110F17F">
      <w:pPr>
        <w:jc w:val="both"/>
        <w:rPr>
          <w:rFonts w:cs="Times New Roman"/>
          <w:szCs w:val="24"/>
        </w:rPr>
      </w:pPr>
      <w:r>
        <w:rPr>
          <w:rFonts w:cs="Times New Roman"/>
          <w:szCs w:val="24"/>
        </w:rPr>
        <w:t>w</w:t>
      </w:r>
      <w:r w:rsidRPr="00B15BE2">
        <w:rPr>
          <w:rFonts w:cs="Times New Roman"/>
          <w:szCs w:val="24"/>
        </w:rPr>
        <w:t>here</w:t>
      </w:r>
      <w:r>
        <w:rPr>
          <w:rFonts w:cs="Times New Roman"/>
          <w:szCs w:val="24"/>
        </w:rPr>
        <w:t xml:space="preserve"> </w:t>
      </w:r>
      <w:r>
        <w:rPr>
          <w:rFonts w:cs="Times New Roman"/>
          <w:position w:val="-18"/>
          <w:szCs w:val="24"/>
        </w:rPr>
        <w:object>
          <v:shape id="_x0000_i1034" type="#_x0000_t75" alt="begin square, sigma hat subscript R hat subscript i, end square" style="width:18pt;height:21.75pt" o:oleicon="f" o:ole="">
            <v:imagedata r:id="rId29" o:title=""/>
          </v:shape>
          <o:OLEObject Type="Embed" ProgID="Equation.3" ShapeID="_x0000_i1034" DrawAspect="Content" ObjectID="_1768022302" r:id="rId30"/>
        </w:object>
      </w:r>
      <w:r w:rsidRPr="00CD1AE8">
        <w:rPr>
          <w:rFonts w:cs="Times New Roman"/>
          <w:szCs w:val="24"/>
        </w:rPr>
        <w:t xml:space="preserve"> is the estimated variance of the estimated </w:t>
      </w:r>
      <w:r>
        <w:rPr>
          <w:rFonts w:cs="Times New Roman"/>
          <w:szCs w:val="24"/>
        </w:rPr>
        <w:t>improper payment</w:t>
      </w:r>
      <w:r w:rsidRPr="00CD1AE8">
        <w:rPr>
          <w:rFonts w:cs="Times New Roman"/>
          <w:szCs w:val="24"/>
        </w:rPr>
        <w:t xml:space="preserve"> rate for state </w:t>
      </w:r>
      <w:r w:rsidRPr="00CD1AE8">
        <w:rPr>
          <w:rFonts w:cs="Times New Roman"/>
          <w:szCs w:val="24"/>
        </w:rPr>
        <w:t>i</w:t>
      </w:r>
      <w:r w:rsidRPr="00CD1AE8">
        <w:rPr>
          <w:rFonts w:cs="Times New Roman"/>
          <w:szCs w:val="24"/>
        </w:rPr>
        <w:t>.</w:t>
      </w:r>
    </w:p>
    <w:p w:rsidR="0058251D" w:rsidRPr="00A4666F" w:rsidP="00493F06" w14:paraId="7D0EC5B5" w14:textId="2ECB396D">
      <w:pPr>
        <w:jc w:val="both"/>
        <w:rPr>
          <w:rFonts w:cs="Times New Roman"/>
          <w:szCs w:val="24"/>
        </w:rPr>
      </w:pPr>
      <w:r w:rsidRPr="00305D45">
        <w:rPr>
          <w:rFonts w:cs="Times New Roman"/>
        </w:rPr>
        <w:t xml:space="preserve">The needed accuracy is provided by the </w:t>
      </w:r>
      <w:r w:rsidR="00A7472A">
        <w:rPr>
          <w:rFonts w:cs="Times New Roman"/>
        </w:rPr>
        <w:t>PIIA</w:t>
      </w:r>
      <w:r w:rsidRPr="00305D45">
        <w:rPr>
          <w:rFonts w:cs="Times New Roman"/>
        </w:rPr>
        <w:t xml:space="preserve"> and should be no more than an anticipated +/-</w:t>
      </w:r>
      <w:r w:rsidRPr="00305D45">
        <w:rPr>
          <w:rFonts w:cs="Times New Roman"/>
          <w:spacing w:val="30"/>
        </w:rPr>
        <w:t xml:space="preserve"> </w:t>
      </w:r>
      <w:r w:rsidRPr="00331EC5">
        <w:rPr>
          <w:rFonts w:cs="Times New Roman"/>
        </w:rPr>
        <w:t>3 percentage point</w:t>
      </w:r>
      <w:r w:rsidRPr="00331EC5">
        <w:rPr>
          <w:rFonts w:cs="Times New Roman"/>
          <w:spacing w:val="30"/>
        </w:rPr>
        <w:t xml:space="preserve"> </w:t>
      </w:r>
      <w:r w:rsidRPr="00331EC5">
        <w:rPr>
          <w:rFonts w:cs="Times New Roman"/>
        </w:rPr>
        <w:t>margin</w:t>
      </w:r>
      <w:r w:rsidRPr="00331EC5">
        <w:rPr>
          <w:rFonts w:cs="Times New Roman"/>
          <w:spacing w:val="31"/>
        </w:rPr>
        <w:t xml:space="preserve"> </w:t>
      </w:r>
      <w:r w:rsidRPr="00331EC5">
        <w:rPr>
          <w:rFonts w:cs="Times New Roman"/>
        </w:rPr>
        <w:t>of</w:t>
      </w:r>
      <w:r w:rsidRPr="00331EC5">
        <w:rPr>
          <w:rFonts w:cs="Times New Roman"/>
          <w:spacing w:val="30"/>
        </w:rPr>
        <w:t xml:space="preserve"> </w:t>
      </w:r>
      <w:r w:rsidRPr="00331EC5">
        <w:rPr>
          <w:rFonts w:cs="Times New Roman"/>
        </w:rPr>
        <w:t>error</w:t>
      </w:r>
      <w:r w:rsidRPr="00331EC5">
        <w:rPr>
          <w:rFonts w:cs="Times New Roman"/>
          <w:spacing w:val="32"/>
        </w:rPr>
        <w:t xml:space="preserve"> </w:t>
      </w:r>
      <w:r w:rsidRPr="00331EC5">
        <w:rPr>
          <w:rFonts w:cs="Times New Roman"/>
        </w:rPr>
        <w:t>at</w:t>
      </w:r>
      <w:r w:rsidRPr="00331EC5">
        <w:rPr>
          <w:rFonts w:cs="Times New Roman"/>
          <w:spacing w:val="31"/>
        </w:rPr>
        <w:t xml:space="preserve"> </w:t>
      </w:r>
      <w:r w:rsidRPr="00331EC5">
        <w:rPr>
          <w:rFonts w:cs="Times New Roman"/>
        </w:rPr>
        <w:t>a</w:t>
      </w:r>
      <w:r w:rsidRPr="00331EC5">
        <w:rPr>
          <w:rFonts w:cs="Times New Roman"/>
          <w:spacing w:val="30"/>
        </w:rPr>
        <w:t xml:space="preserve"> </w:t>
      </w:r>
      <w:r w:rsidRPr="00331EC5">
        <w:rPr>
          <w:rFonts w:cs="Times New Roman"/>
        </w:rPr>
        <w:t>95%</w:t>
      </w:r>
      <w:r w:rsidRPr="00331EC5">
        <w:rPr>
          <w:rFonts w:cs="Times New Roman"/>
          <w:spacing w:val="30"/>
        </w:rPr>
        <w:t xml:space="preserve"> </w:t>
      </w:r>
      <w:r w:rsidRPr="00331EC5">
        <w:rPr>
          <w:rFonts w:cs="Times New Roman"/>
        </w:rPr>
        <w:t>confidence</w:t>
      </w:r>
      <w:r w:rsidRPr="00331EC5">
        <w:rPr>
          <w:rFonts w:cs="Times New Roman"/>
          <w:spacing w:val="30"/>
        </w:rPr>
        <w:t xml:space="preserve"> </w:t>
      </w:r>
      <w:r w:rsidRPr="00331EC5">
        <w:rPr>
          <w:rFonts w:cs="Times New Roman"/>
        </w:rPr>
        <w:t>level</w:t>
      </w:r>
      <w:r w:rsidRPr="00DF2454">
        <w:t xml:space="preserve"> </w:t>
      </w:r>
      <w:r>
        <w:rPr>
          <w:rFonts w:cs="Times New Roman"/>
        </w:rPr>
        <w:t>for improper</w:t>
      </w:r>
      <w:r w:rsidRPr="00DF2454">
        <w:t xml:space="preserve"> </w:t>
      </w:r>
      <w:r>
        <w:rPr>
          <w:rFonts w:cs="Times New Roman"/>
        </w:rPr>
        <w:t>payment</w:t>
      </w:r>
      <w:r w:rsidRPr="00DF2454">
        <w:t xml:space="preserve"> </w:t>
      </w:r>
      <w:r>
        <w:rPr>
          <w:rFonts w:cs="Times New Roman"/>
        </w:rPr>
        <w:t>rates</w:t>
      </w:r>
      <w:r w:rsidRPr="00DF2454">
        <w:t xml:space="preserve"> </w:t>
      </w:r>
      <w:r>
        <w:rPr>
          <w:rFonts w:cs="Times New Roman"/>
        </w:rPr>
        <w:t>at</w:t>
      </w:r>
      <w:r w:rsidRPr="00DF2454">
        <w:t xml:space="preserve"> </w:t>
      </w:r>
      <w:r>
        <w:rPr>
          <w:rFonts w:cs="Times New Roman"/>
        </w:rPr>
        <w:t>the</w:t>
      </w:r>
      <w:r w:rsidRPr="00DF2454">
        <w:t xml:space="preserve"> </w:t>
      </w:r>
      <w:r>
        <w:rPr>
          <w:rFonts w:cs="Times New Roman"/>
        </w:rPr>
        <w:t>national program</w:t>
      </w:r>
      <w:r w:rsidRPr="00DF2454">
        <w:t xml:space="preserve"> </w:t>
      </w:r>
      <w:r>
        <w:rPr>
          <w:rFonts w:cs="Times New Roman"/>
        </w:rPr>
        <w:t>level.</w:t>
      </w:r>
      <w:r w:rsidR="002A2829">
        <w:rPr>
          <w:rFonts w:cs="Times New Roman"/>
        </w:rPr>
        <w:t xml:space="preserve"> Although s</w:t>
      </w:r>
      <w:r>
        <w:rPr>
          <w:rFonts w:cs="Times New Roman"/>
        </w:rPr>
        <w:t xml:space="preserve">tate level improper payments are not subject to the same precision requirements, CMS aims to reach </w:t>
      </w:r>
      <w:r w:rsidR="00A7472A">
        <w:rPr>
          <w:rFonts w:cs="Times New Roman"/>
        </w:rPr>
        <w:t>PIIA</w:t>
      </w:r>
      <w:r>
        <w:rPr>
          <w:rFonts w:cs="Times New Roman"/>
        </w:rPr>
        <w:t xml:space="preserve"> requirements at the state level as well </w:t>
      </w:r>
      <w:r>
        <w:rPr>
          <w:rFonts w:cs="Times New Roman"/>
        </w:rPr>
        <w:t>in order to</w:t>
      </w:r>
      <w:r>
        <w:rPr>
          <w:rFonts w:cs="Times New Roman"/>
        </w:rPr>
        <w:t xml:space="preserve"> guarantee national level precision. </w:t>
      </w:r>
    </w:p>
    <w:p w:rsidR="0058251D" w:rsidP="00D02E96" w14:paraId="3AC39FE0" w14:textId="60DB6F3B">
      <w:pPr>
        <w:jc w:val="both"/>
        <w:rPr>
          <w:rFonts w:ascii="Courier New" w:eastAsia="Courier New" w:hAnsi="Courier New" w:cs="Courier New"/>
          <w:sz w:val="27"/>
          <w:szCs w:val="27"/>
        </w:rPr>
      </w:pPr>
      <w:r>
        <w:t>In order to</w:t>
      </w:r>
      <w:r>
        <w:t xml:space="preserve"> meet the requirements of </w:t>
      </w:r>
      <w:r w:rsidR="00A7472A">
        <w:t>PIIA</w:t>
      </w:r>
      <w:r>
        <w:t>, all selected States must fully</w:t>
      </w:r>
      <w:r>
        <w:rPr>
          <w:spacing w:val="-15"/>
        </w:rPr>
        <w:t xml:space="preserve"> </w:t>
      </w:r>
      <w:r>
        <w:t>participate.</w:t>
      </w:r>
    </w:p>
    <w:p w:rsidR="00422D5A" w:rsidRPr="00B34F88" w:rsidP="00D02E96" w14:paraId="73FA7C1A" w14:textId="77777777">
      <w:pPr>
        <w:pStyle w:val="ListParagraph"/>
        <w:numPr>
          <w:ilvl w:val="0"/>
          <w:numId w:val="1"/>
        </w:numPr>
        <w:tabs>
          <w:tab w:val="left" w:pos="677"/>
        </w:tabs>
        <w:ind w:left="676" w:right="109"/>
        <w:jc w:val="both"/>
        <w:rPr>
          <w:rFonts w:eastAsia="Courier New" w:cs="Times New Roman"/>
          <w:szCs w:val="24"/>
        </w:rPr>
      </w:pPr>
      <w:r w:rsidRPr="00B34F88">
        <w:rPr>
          <w:rFonts w:cs="Times New Roman"/>
          <w:u w:val="single" w:color="000000"/>
        </w:rPr>
        <w:t>Describe methods to maximize response</w:t>
      </w:r>
      <w:r w:rsidRPr="00B34F88">
        <w:rPr>
          <w:rFonts w:cs="Times New Roman"/>
          <w:spacing w:val="-10"/>
          <w:u w:val="single" w:color="000000"/>
        </w:rPr>
        <w:t xml:space="preserve"> </w:t>
      </w:r>
      <w:r w:rsidRPr="00B34F88">
        <w:rPr>
          <w:rFonts w:cs="Times New Roman"/>
          <w:u w:val="single" w:color="000000"/>
        </w:rPr>
        <w:t>rates.</w:t>
      </w:r>
    </w:p>
    <w:p w:rsidR="00E52B0F" w:rsidP="00D02E96" w14:paraId="6B77F744" w14:textId="16EC0CB7">
      <w:pPr>
        <w:jc w:val="both"/>
      </w:pPr>
      <w:r>
        <w:t xml:space="preserve">CMS and its Federal contractors work closely with states to maximize response rates. </w:t>
      </w:r>
      <w:r w:rsidR="006C39FB">
        <w:t>States are required to provide universe data per Federal regulation and the universe data must be accurate and complete based on PERM requirements</w:t>
      </w:r>
      <w:r w:rsidR="002A31EB">
        <w:t xml:space="preserve"> given that the quarterly universe submissions support reviews in </w:t>
      </w:r>
      <w:r w:rsidR="00AC2C42">
        <w:t>FFS</w:t>
      </w:r>
      <w:r w:rsidR="002A31EB">
        <w:t>, managed care, and eligibility</w:t>
      </w:r>
      <w:r w:rsidR="006C39FB">
        <w:t xml:space="preserve">. </w:t>
      </w:r>
      <w:r w:rsidR="006C39FB">
        <w:t>In order to</w:t>
      </w:r>
      <w:r w:rsidR="006C39FB">
        <w:t xml:space="preserve"> minimize burden and ensure accuracy of data submitted, CMS and its Federal contractors provide guidance, technical assistance, and ongoing support to states throughout each PERM cycle. State universes are also subject to thorough quality control review </w:t>
      </w:r>
      <w:r w:rsidR="006C39FB">
        <w:t>in order to</w:t>
      </w:r>
      <w:r w:rsidR="006C39FB">
        <w:t xml:space="preserve"> support an accurate improper payment rate measurement. </w:t>
      </w:r>
      <w:r w:rsidR="005E4948">
        <w:t xml:space="preserve">CMS and its Federal contractors </w:t>
      </w:r>
      <w:r w:rsidR="009A6F2F">
        <w:t xml:space="preserve">will depend on </w:t>
      </w:r>
      <w:r w:rsidR="00AC2C42">
        <w:t>s</w:t>
      </w:r>
      <w:r w:rsidR="009A6F2F">
        <w:t>tates to provide reliable</w:t>
      </w:r>
      <w:r w:rsidR="009A6F2F">
        <w:rPr>
          <w:spacing w:val="-32"/>
        </w:rPr>
        <w:t xml:space="preserve"> </w:t>
      </w:r>
      <w:r w:rsidR="009A6F2F">
        <w:t>data.</w:t>
      </w:r>
      <w:r>
        <w:t xml:space="preserve"> </w:t>
      </w:r>
    </w:p>
    <w:p w:rsidR="00422D5A" w:rsidP="00D02E96" w14:paraId="7455D56D" w14:textId="41CBAD77">
      <w:pPr>
        <w:jc w:val="both"/>
      </w:pPr>
      <w:r w:rsidRPr="00E52B0F">
        <w:t xml:space="preserve">Most </w:t>
      </w:r>
      <w:r w:rsidR="00AC2C42">
        <w:t>s</w:t>
      </w:r>
      <w:r w:rsidRPr="00E52B0F">
        <w:t xml:space="preserve">tates have been quite responsive, so non-response is a minimal issue for PERM. The accuracy and the reliability for PERM are specified by federal regulations and supported by appropriate sample sizes. For these reasons, the information collected should be appropriate for its intended purposes. Reliable data </w:t>
      </w:r>
      <w:r w:rsidR="000E7237">
        <w:t xml:space="preserve">sets </w:t>
      </w:r>
      <w:r w:rsidRPr="00E52B0F">
        <w:t>are expected because the PERM S</w:t>
      </w:r>
      <w:r w:rsidR="000E7237">
        <w:t xml:space="preserve">tatistical </w:t>
      </w:r>
      <w:r w:rsidRPr="00E52B0F">
        <w:t>C</w:t>
      </w:r>
      <w:r w:rsidR="000E7237">
        <w:t>ontractor</w:t>
      </w:r>
      <w:r w:rsidRPr="00E52B0F">
        <w:t xml:space="preserve"> compares the </w:t>
      </w:r>
      <w:r w:rsidR="00AC2C42">
        <w:t>s</w:t>
      </w:r>
      <w:r w:rsidRPr="00E52B0F">
        <w:t xml:space="preserve">tates’ data with their CMS 64 and CMS 21 submissions for Medicaid and CHIP, respectively. Further, </w:t>
      </w:r>
      <w:r w:rsidR="00AC2C42">
        <w:t>s</w:t>
      </w:r>
      <w:r w:rsidRPr="00E52B0F">
        <w:t>tates are subject to an OIG audit on their PERM submissions.</w:t>
      </w:r>
    </w:p>
    <w:p w:rsidR="00422D5A" w:rsidRPr="00E52B0F" w:rsidP="00D02E96" w14:paraId="1BE99BD4" w14:textId="77777777">
      <w:pPr>
        <w:pStyle w:val="ListParagraph"/>
        <w:numPr>
          <w:ilvl w:val="0"/>
          <w:numId w:val="1"/>
        </w:numPr>
        <w:tabs>
          <w:tab w:val="left" w:pos="677"/>
        </w:tabs>
        <w:ind w:left="676" w:right="109"/>
        <w:jc w:val="both"/>
      </w:pPr>
      <w:r w:rsidRPr="00E52B0F">
        <w:rPr>
          <w:rFonts w:cs="Times New Roman"/>
          <w:u w:val="single" w:color="000000"/>
        </w:rPr>
        <w:t>Describe any tests of procedures or</w:t>
      </w:r>
      <w:r w:rsidRPr="00E52B0F">
        <w:rPr>
          <w:rFonts w:cs="Times New Roman"/>
          <w:spacing w:val="-11"/>
          <w:u w:val="single" w:color="000000"/>
        </w:rPr>
        <w:t xml:space="preserve"> </w:t>
      </w:r>
      <w:r w:rsidRPr="00E52B0F">
        <w:rPr>
          <w:rFonts w:cs="Times New Roman"/>
          <w:u w:val="single" w:color="000000"/>
        </w:rPr>
        <w:t>methods.</w:t>
      </w:r>
    </w:p>
    <w:p w:rsidR="00422D5A" w:rsidP="00D02E96" w14:paraId="6C0BD6C6" w14:textId="77777777">
      <w:pPr>
        <w:jc w:val="both"/>
        <w:rPr>
          <w:rFonts w:ascii="Courier New" w:eastAsia="Courier New" w:hAnsi="Courier New" w:cs="Courier New"/>
          <w:szCs w:val="24"/>
        </w:rPr>
      </w:pPr>
      <w:r>
        <w:t>Not</w:t>
      </w:r>
      <w:r>
        <w:rPr>
          <w:spacing w:val="-13"/>
        </w:rPr>
        <w:t xml:space="preserve"> </w:t>
      </w:r>
      <w:r>
        <w:t>applicable.</w:t>
      </w:r>
    </w:p>
    <w:p w:rsidR="00422D5A" w:rsidRPr="00E52B0F" w:rsidP="00D02E96" w14:paraId="1D3B6411" w14:textId="77777777">
      <w:pPr>
        <w:pStyle w:val="ListParagraph"/>
        <w:numPr>
          <w:ilvl w:val="0"/>
          <w:numId w:val="1"/>
        </w:numPr>
        <w:tabs>
          <w:tab w:val="left" w:pos="677"/>
        </w:tabs>
        <w:spacing w:line="276" w:lineRule="auto"/>
        <w:ind w:right="685" w:firstLine="0"/>
        <w:jc w:val="both"/>
        <w:rPr>
          <w:rFonts w:eastAsia="Courier New" w:cs="Times New Roman"/>
          <w:szCs w:val="24"/>
        </w:rPr>
      </w:pPr>
      <w:r w:rsidRPr="00E52B0F">
        <w:rPr>
          <w:rFonts w:cs="Times New Roman"/>
          <w:u w:val="single" w:color="000000"/>
        </w:rPr>
        <w:t>Provide the names and telephone numbers of</w:t>
      </w:r>
      <w:r w:rsidRPr="00E52B0F">
        <w:rPr>
          <w:rFonts w:cs="Times New Roman"/>
          <w:spacing w:val="-44"/>
          <w:u w:val="single" w:color="000000"/>
        </w:rPr>
        <w:t xml:space="preserve"> </w:t>
      </w:r>
      <w:r w:rsidRPr="00E52B0F">
        <w:rPr>
          <w:rFonts w:cs="Times New Roman"/>
          <w:u w:val="single" w:color="000000"/>
        </w:rPr>
        <w:t>individuals</w:t>
      </w:r>
      <w:r w:rsidRPr="00E52B0F">
        <w:rPr>
          <w:rFonts w:cs="Times New Roman"/>
          <w:spacing w:val="-1"/>
        </w:rPr>
        <w:t xml:space="preserve"> </w:t>
      </w:r>
      <w:r w:rsidRPr="00E52B0F">
        <w:rPr>
          <w:rFonts w:cs="Times New Roman"/>
          <w:u w:val="single" w:color="000000"/>
        </w:rPr>
        <w:t>consulted on the statistical</w:t>
      </w:r>
      <w:r w:rsidRPr="00E52B0F">
        <w:rPr>
          <w:rFonts w:cs="Times New Roman"/>
          <w:spacing w:val="-5"/>
          <w:u w:val="single" w:color="000000"/>
        </w:rPr>
        <w:t xml:space="preserve"> </w:t>
      </w:r>
      <w:r w:rsidRPr="00E52B0F">
        <w:rPr>
          <w:rFonts w:cs="Times New Roman"/>
          <w:u w:val="single" w:color="000000"/>
        </w:rPr>
        <w:t>aspects.</w:t>
      </w:r>
    </w:p>
    <w:p w:rsidR="00422D5A" w:rsidP="00D02E96" w14:paraId="0A7A96A7" w14:textId="77777777">
      <w:pPr>
        <w:spacing w:before="9"/>
        <w:jc w:val="both"/>
        <w:rPr>
          <w:rFonts w:ascii="Courier New" w:eastAsia="Courier New" w:hAnsi="Courier New" w:cs="Courier New"/>
          <w:sz w:val="10"/>
          <w:szCs w:val="10"/>
        </w:rPr>
      </w:pPr>
    </w:p>
    <w:p w:rsidR="005022D6" w:rsidP="00D02E96" w14:paraId="1BF23A2B" w14:textId="77777777">
      <w:pPr>
        <w:spacing w:line="240" w:lineRule="auto"/>
        <w:jc w:val="both"/>
      </w:pPr>
      <w:r>
        <w:t>The Lewin</w:t>
      </w:r>
      <w:r>
        <w:rPr>
          <w:spacing w:val="-4"/>
        </w:rPr>
        <w:t xml:space="preserve"> </w:t>
      </w:r>
      <w:r>
        <w:t>Group</w:t>
      </w:r>
    </w:p>
    <w:p w:rsidR="005022D6" w:rsidP="00D02E96" w14:paraId="36AE519F" w14:textId="169E28C7">
      <w:pPr>
        <w:spacing w:line="240" w:lineRule="auto"/>
        <w:jc w:val="both"/>
      </w:pPr>
      <w:r>
        <w:t>3130 Fairview Park</w:t>
      </w:r>
      <w:r>
        <w:rPr>
          <w:spacing w:val="-4"/>
        </w:rPr>
        <w:t xml:space="preserve"> </w:t>
      </w:r>
      <w:r>
        <w:t>Drive</w:t>
      </w:r>
      <w:r w:rsidR="00A7472A">
        <w:t xml:space="preserve"> #600</w:t>
      </w:r>
    </w:p>
    <w:p w:rsidR="005022D6" w:rsidP="00D02E96" w14:paraId="587E1DF9" w14:textId="77777777">
      <w:pPr>
        <w:spacing w:line="240" w:lineRule="auto"/>
        <w:jc w:val="both"/>
      </w:pPr>
      <w:r>
        <w:t>Falls Church,</w:t>
      </w:r>
      <w:r>
        <w:rPr>
          <w:spacing w:val="-5"/>
        </w:rPr>
        <w:t xml:space="preserve"> </w:t>
      </w:r>
      <w:r>
        <w:t>VA</w:t>
      </w:r>
    </w:p>
    <w:p w:rsidR="005022D6" w:rsidP="00D02E96" w14:paraId="7950B1CB" w14:textId="77777777">
      <w:pPr>
        <w:spacing w:line="240" w:lineRule="auto"/>
        <w:jc w:val="both"/>
      </w:pPr>
      <w:r>
        <w:t>(703) 269-5500</w:t>
      </w:r>
    </w:p>
    <w:p w:rsidR="00D75ADF" w:rsidP="00D02E96" w14:paraId="27C1BEDF" w14:textId="77777777">
      <w:pPr>
        <w:pStyle w:val="BodyText"/>
        <w:spacing w:before="76" w:line="276" w:lineRule="auto"/>
        <w:ind w:left="0" w:right="160"/>
        <w:jc w:val="both"/>
      </w:pPr>
    </w:p>
    <w:sectPr w:rsidSect="00C2656D">
      <w:footerReference w:type="default" r:id="rId31"/>
      <w:pgSz w:w="12240" w:h="15840"/>
      <w:pgMar w:top="1400" w:right="14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392835"/>
      <w:docPartObj>
        <w:docPartGallery w:val="Page Numbers (Bottom of Page)"/>
        <w:docPartUnique/>
      </w:docPartObj>
    </w:sdtPr>
    <w:sdtEndPr>
      <w:rPr>
        <w:noProof/>
      </w:rPr>
    </w:sdtEndPr>
    <w:sdtContent>
      <w:p w:rsidR="00F00BDE" w14:paraId="09B8DDE3" w14:textId="7252CA50">
        <w:pPr>
          <w:pStyle w:val="Footer"/>
          <w:jc w:val="right"/>
        </w:pPr>
        <w:r>
          <w:fldChar w:fldCharType="begin"/>
        </w:r>
        <w:r>
          <w:instrText xml:space="preserve"> PAGE   \* MERGEFORMAT </w:instrText>
        </w:r>
        <w:r>
          <w:fldChar w:fldCharType="separate"/>
        </w:r>
        <w:r w:rsidR="0084027B">
          <w:rPr>
            <w:noProof/>
          </w:rPr>
          <w:t>7</w:t>
        </w:r>
        <w:r>
          <w:rPr>
            <w:noProof/>
          </w:rPr>
          <w:fldChar w:fldCharType="end"/>
        </w:r>
      </w:p>
    </w:sdtContent>
  </w:sdt>
  <w:p w:rsidR="00F00BDE" w14:paraId="142501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2A58" w:rsidP="00E52B0F" w14:paraId="2CCAC5D2" w14:textId="77777777">
      <w:pPr>
        <w:spacing w:after="0" w:line="240" w:lineRule="auto"/>
      </w:pPr>
      <w:r>
        <w:separator/>
      </w:r>
    </w:p>
  </w:footnote>
  <w:footnote w:type="continuationSeparator" w:id="1">
    <w:p w:rsidR="009F2A58" w:rsidP="00E52B0F" w14:paraId="6315132C" w14:textId="77777777">
      <w:pPr>
        <w:spacing w:after="0" w:line="240" w:lineRule="auto"/>
      </w:pPr>
      <w:r>
        <w:continuationSeparator/>
      </w:r>
    </w:p>
  </w:footnote>
  <w:footnote w:type="continuationNotice" w:id="2">
    <w:p w:rsidR="009F2A58" w14:paraId="60F36A81" w14:textId="77777777">
      <w:pPr>
        <w:spacing w:after="0" w:line="240" w:lineRule="auto"/>
      </w:pPr>
    </w:p>
  </w:footnote>
  <w:footnote w:id="3">
    <w:p w:rsidR="00493F06" w14:paraId="2282DEEA" w14:textId="3CEC3762">
      <w:pPr>
        <w:pStyle w:val="FootnoteText"/>
      </w:pPr>
      <w:r>
        <w:rPr>
          <w:rStyle w:val="FootnoteReference"/>
        </w:rPr>
        <w:footnoteRef/>
      </w:r>
      <w:r>
        <w:t xml:space="preserve"> Instances of “state” utilized within this document will represent “state, district, or territory”, in related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AC1394"/>
    <w:multiLevelType w:val="hybridMultilevel"/>
    <w:tmpl w:val="853A7B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8C730B"/>
    <w:multiLevelType w:val="hybridMultilevel"/>
    <w:tmpl w:val="AFB070AE"/>
    <w:lvl w:ilvl="0">
      <w:start w:val="1"/>
      <w:numFmt w:val="decimal"/>
      <w:lvlText w:val="%1."/>
      <w:lvlJc w:val="left"/>
      <w:pPr>
        <w:ind w:left="100" w:hanging="576"/>
      </w:pPr>
      <w:rPr>
        <w:rFonts w:hint="default"/>
        <w:spacing w:val="-1"/>
        <w:sz w:val="24"/>
        <w:szCs w:val="24"/>
        <w:u w:val="single" w:color="000000"/>
      </w:rPr>
    </w:lvl>
    <w:lvl w:ilvl="1">
      <w:start w:val="1"/>
      <w:numFmt w:val="bullet"/>
      <w:lvlText w:val="•"/>
      <w:lvlJc w:val="left"/>
      <w:pPr>
        <w:ind w:left="1004" w:hanging="576"/>
      </w:pPr>
      <w:rPr>
        <w:rFonts w:hint="default"/>
      </w:rPr>
    </w:lvl>
    <w:lvl w:ilvl="2">
      <w:start w:val="1"/>
      <w:numFmt w:val="bullet"/>
      <w:lvlText w:val="•"/>
      <w:lvlJc w:val="left"/>
      <w:pPr>
        <w:ind w:left="1908" w:hanging="576"/>
      </w:pPr>
      <w:rPr>
        <w:rFonts w:hint="default"/>
      </w:rPr>
    </w:lvl>
    <w:lvl w:ilvl="3">
      <w:start w:val="1"/>
      <w:numFmt w:val="bullet"/>
      <w:lvlText w:val="•"/>
      <w:lvlJc w:val="left"/>
      <w:pPr>
        <w:ind w:left="2812" w:hanging="576"/>
      </w:pPr>
      <w:rPr>
        <w:rFonts w:hint="default"/>
      </w:rPr>
    </w:lvl>
    <w:lvl w:ilvl="4">
      <w:start w:val="1"/>
      <w:numFmt w:val="bullet"/>
      <w:lvlText w:val="•"/>
      <w:lvlJc w:val="left"/>
      <w:pPr>
        <w:ind w:left="3716" w:hanging="576"/>
      </w:pPr>
      <w:rPr>
        <w:rFonts w:hint="default"/>
      </w:rPr>
    </w:lvl>
    <w:lvl w:ilvl="5">
      <w:start w:val="1"/>
      <w:numFmt w:val="bullet"/>
      <w:lvlText w:val="•"/>
      <w:lvlJc w:val="left"/>
      <w:pPr>
        <w:ind w:left="4620" w:hanging="576"/>
      </w:pPr>
      <w:rPr>
        <w:rFonts w:hint="default"/>
      </w:rPr>
    </w:lvl>
    <w:lvl w:ilvl="6">
      <w:start w:val="1"/>
      <w:numFmt w:val="bullet"/>
      <w:lvlText w:val="•"/>
      <w:lvlJc w:val="left"/>
      <w:pPr>
        <w:ind w:left="5524" w:hanging="576"/>
      </w:pPr>
      <w:rPr>
        <w:rFonts w:hint="default"/>
      </w:rPr>
    </w:lvl>
    <w:lvl w:ilvl="7">
      <w:start w:val="1"/>
      <w:numFmt w:val="bullet"/>
      <w:lvlText w:val="•"/>
      <w:lvlJc w:val="left"/>
      <w:pPr>
        <w:ind w:left="6428" w:hanging="576"/>
      </w:pPr>
      <w:rPr>
        <w:rFonts w:hint="default"/>
      </w:rPr>
    </w:lvl>
    <w:lvl w:ilvl="8">
      <w:start w:val="1"/>
      <w:numFmt w:val="bullet"/>
      <w:lvlText w:val="•"/>
      <w:lvlJc w:val="left"/>
      <w:pPr>
        <w:ind w:left="7332" w:hanging="576"/>
      </w:pPr>
      <w:rPr>
        <w:rFonts w:hint="default"/>
      </w:rPr>
    </w:lvl>
  </w:abstractNum>
  <w:abstractNum w:abstractNumId="2">
    <w:nsid w:val="42BE3893"/>
    <w:multiLevelType w:val="hybridMultilevel"/>
    <w:tmpl w:val="4EAEE388"/>
    <w:lvl w:ilvl="0">
      <w:start w:val="1"/>
      <w:numFmt w:val="decimal"/>
      <w:lvlText w:val="%1."/>
      <w:lvlJc w:val="left"/>
      <w:pPr>
        <w:ind w:left="100" w:hanging="310"/>
      </w:pPr>
      <w:rPr>
        <w:rFonts w:ascii="Times New Roman" w:eastAsia="Times New Roman" w:hAnsi="Times New Roman" w:hint="default"/>
        <w:w w:val="100"/>
        <w:sz w:val="24"/>
        <w:szCs w:val="24"/>
      </w:rPr>
    </w:lvl>
    <w:lvl w:ilvl="1">
      <w:start w:val="1"/>
      <w:numFmt w:val="bullet"/>
      <w:lvlText w:val="•"/>
      <w:lvlJc w:val="left"/>
      <w:pPr>
        <w:ind w:left="976" w:hanging="310"/>
      </w:pPr>
      <w:rPr>
        <w:rFonts w:hint="default"/>
      </w:rPr>
    </w:lvl>
    <w:lvl w:ilvl="2">
      <w:start w:val="1"/>
      <w:numFmt w:val="bullet"/>
      <w:lvlText w:val="•"/>
      <w:lvlJc w:val="left"/>
      <w:pPr>
        <w:ind w:left="1852" w:hanging="310"/>
      </w:pPr>
      <w:rPr>
        <w:rFonts w:hint="default"/>
      </w:rPr>
    </w:lvl>
    <w:lvl w:ilvl="3">
      <w:start w:val="1"/>
      <w:numFmt w:val="bullet"/>
      <w:lvlText w:val="•"/>
      <w:lvlJc w:val="left"/>
      <w:pPr>
        <w:ind w:left="2728" w:hanging="310"/>
      </w:pPr>
      <w:rPr>
        <w:rFonts w:hint="default"/>
      </w:rPr>
    </w:lvl>
    <w:lvl w:ilvl="4">
      <w:start w:val="1"/>
      <w:numFmt w:val="bullet"/>
      <w:lvlText w:val="•"/>
      <w:lvlJc w:val="left"/>
      <w:pPr>
        <w:ind w:left="3604" w:hanging="310"/>
      </w:pPr>
      <w:rPr>
        <w:rFonts w:hint="default"/>
      </w:rPr>
    </w:lvl>
    <w:lvl w:ilvl="5">
      <w:start w:val="1"/>
      <w:numFmt w:val="bullet"/>
      <w:lvlText w:val="•"/>
      <w:lvlJc w:val="left"/>
      <w:pPr>
        <w:ind w:left="4480" w:hanging="310"/>
      </w:pPr>
      <w:rPr>
        <w:rFonts w:hint="default"/>
      </w:rPr>
    </w:lvl>
    <w:lvl w:ilvl="6">
      <w:start w:val="1"/>
      <w:numFmt w:val="bullet"/>
      <w:lvlText w:val="•"/>
      <w:lvlJc w:val="left"/>
      <w:pPr>
        <w:ind w:left="5356" w:hanging="310"/>
      </w:pPr>
      <w:rPr>
        <w:rFonts w:hint="default"/>
      </w:rPr>
    </w:lvl>
    <w:lvl w:ilvl="7">
      <w:start w:val="1"/>
      <w:numFmt w:val="bullet"/>
      <w:lvlText w:val="•"/>
      <w:lvlJc w:val="left"/>
      <w:pPr>
        <w:ind w:left="6232" w:hanging="310"/>
      </w:pPr>
      <w:rPr>
        <w:rFonts w:hint="default"/>
      </w:rPr>
    </w:lvl>
    <w:lvl w:ilvl="8">
      <w:start w:val="1"/>
      <w:numFmt w:val="bullet"/>
      <w:lvlText w:val="•"/>
      <w:lvlJc w:val="left"/>
      <w:pPr>
        <w:ind w:left="7108" w:hanging="310"/>
      </w:pPr>
      <w:rPr>
        <w:rFonts w:hint="default"/>
      </w:rPr>
    </w:lvl>
  </w:abstractNum>
  <w:abstractNum w:abstractNumId="3">
    <w:nsid w:val="431C5A1D"/>
    <w:multiLevelType w:val="hybridMultilevel"/>
    <w:tmpl w:val="8B8869A2"/>
    <w:lvl w:ilvl="0">
      <w:start w:val="1"/>
      <w:numFmt w:val="decimal"/>
      <w:lvlText w:val="%1."/>
      <w:lvlJc w:val="left"/>
      <w:pPr>
        <w:ind w:left="840" w:hanging="360"/>
      </w:pPr>
      <w:rPr>
        <w:rFonts w:ascii="Times New Roman" w:eastAsia="Times New Roman" w:hAnsi="Times New Roman" w:hint="default"/>
        <w:w w:val="100"/>
        <w:sz w:val="24"/>
        <w:szCs w:val="24"/>
      </w:rPr>
    </w:lvl>
    <w:lvl w:ilvl="1">
      <w:start w:val="1"/>
      <w:numFmt w:val="bullet"/>
      <w:lvlText w:val="•"/>
      <w:lvlJc w:val="left"/>
      <w:pPr>
        <w:ind w:left="1040" w:hanging="360"/>
      </w:pPr>
      <w:rPr>
        <w:rFonts w:hint="default"/>
      </w:rPr>
    </w:lvl>
    <w:lvl w:ilvl="2">
      <w:start w:val="1"/>
      <w:numFmt w:val="bullet"/>
      <w:lvlText w:val="•"/>
      <w:lvlJc w:val="left"/>
      <w:pPr>
        <w:ind w:left="1131" w:hanging="360"/>
      </w:pPr>
      <w:rPr>
        <w:rFonts w:hint="default"/>
      </w:rPr>
    </w:lvl>
    <w:lvl w:ilvl="3">
      <w:start w:val="1"/>
      <w:numFmt w:val="bullet"/>
      <w:lvlText w:val="•"/>
      <w:lvlJc w:val="left"/>
      <w:pPr>
        <w:ind w:left="1222" w:hanging="360"/>
      </w:pPr>
      <w:rPr>
        <w:rFonts w:hint="default"/>
      </w:rPr>
    </w:lvl>
    <w:lvl w:ilvl="4">
      <w:start w:val="1"/>
      <w:numFmt w:val="bullet"/>
      <w:lvlText w:val="•"/>
      <w:lvlJc w:val="left"/>
      <w:pPr>
        <w:ind w:left="1313" w:hanging="360"/>
      </w:pPr>
      <w:rPr>
        <w:rFonts w:hint="default"/>
      </w:rPr>
    </w:lvl>
    <w:lvl w:ilvl="5">
      <w:start w:val="1"/>
      <w:numFmt w:val="bullet"/>
      <w:lvlText w:val="•"/>
      <w:lvlJc w:val="left"/>
      <w:pPr>
        <w:ind w:left="1405" w:hanging="360"/>
      </w:pPr>
      <w:rPr>
        <w:rFonts w:hint="default"/>
      </w:rPr>
    </w:lvl>
    <w:lvl w:ilvl="6">
      <w:start w:val="1"/>
      <w:numFmt w:val="bullet"/>
      <w:lvlText w:val="•"/>
      <w:lvlJc w:val="left"/>
      <w:pPr>
        <w:ind w:left="1496" w:hanging="360"/>
      </w:pPr>
      <w:rPr>
        <w:rFonts w:hint="default"/>
      </w:rPr>
    </w:lvl>
    <w:lvl w:ilvl="7">
      <w:start w:val="1"/>
      <w:numFmt w:val="bullet"/>
      <w:lvlText w:val="•"/>
      <w:lvlJc w:val="left"/>
      <w:pPr>
        <w:ind w:left="1587" w:hanging="360"/>
      </w:pPr>
      <w:rPr>
        <w:rFonts w:hint="default"/>
      </w:rPr>
    </w:lvl>
    <w:lvl w:ilvl="8">
      <w:start w:val="1"/>
      <w:numFmt w:val="bullet"/>
      <w:lvlText w:val="•"/>
      <w:lvlJc w:val="left"/>
      <w:pPr>
        <w:ind w:left="1679" w:hanging="360"/>
      </w:pPr>
      <w:rPr>
        <w:rFonts w:hint="default"/>
      </w:rPr>
    </w:lvl>
  </w:abstractNum>
  <w:abstractNum w:abstractNumId="4">
    <w:nsid w:val="64D0538B"/>
    <w:multiLevelType w:val="hybridMultilevel"/>
    <w:tmpl w:val="61649D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1FD4342"/>
    <w:multiLevelType w:val="hybridMultilevel"/>
    <w:tmpl w:val="FABA63A2"/>
    <w:lvl w:ilvl="0">
      <w:start w:val="1"/>
      <w:numFmt w:val="decimal"/>
      <w:lvlText w:val="%1."/>
      <w:lvlJc w:val="left"/>
      <w:pPr>
        <w:ind w:left="100" w:hanging="576"/>
      </w:pPr>
      <w:rPr>
        <w:rFonts w:ascii="Times New Roman" w:hAnsi="Times New Roman" w:cs="Times New Roman" w:hint="default"/>
        <w:spacing w:val="-1"/>
        <w:u w:val="single" w:color="000000"/>
      </w:rPr>
    </w:lvl>
    <w:lvl w:ilvl="1">
      <w:start w:val="1"/>
      <w:numFmt w:val="bullet"/>
      <w:lvlText w:val="•"/>
      <w:lvlJc w:val="left"/>
      <w:pPr>
        <w:ind w:left="1004" w:hanging="576"/>
      </w:pPr>
      <w:rPr>
        <w:rFonts w:hint="default"/>
      </w:rPr>
    </w:lvl>
    <w:lvl w:ilvl="2">
      <w:start w:val="1"/>
      <w:numFmt w:val="bullet"/>
      <w:lvlText w:val="•"/>
      <w:lvlJc w:val="left"/>
      <w:pPr>
        <w:ind w:left="1908" w:hanging="576"/>
      </w:pPr>
      <w:rPr>
        <w:rFonts w:hint="default"/>
      </w:rPr>
    </w:lvl>
    <w:lvl w:ilvl="3">
      <w:start w:val="1"/>
      <w:numFmt w:val="bullet"/>
      <w:lvlText w:val="•"/>
      <w:lvlJc w:val="left"/>
      <w:pPr>
        <w:ind w:left="2812" w:hanging="576"/>
      </w:pPr>
      <w:rPr>
        <w:rFonts w:hint="default"/>
      </w:rPr>
    </w:lvl>
    <w:lvl w:ilvl="4">
      <w:start w:val="1"/>
      <w:numFmt w:val="bullet"/>
      <w:lvlText w:val="•"/>
      <w:lvlJc w:val="left"/>
      <w:pPr>
        <w:ind w:left="3716" w:hanging="576"/>
      </w:pPr>
      <w:rPr>
        <w:rFonts w:hint="default"/>
      </w:rPr>
    </w:lvl>
    <w:lvl w:ilvl="5">
      <w:start w:val="1"/>
      <w:numFmt w:val="bullet"/>
      <w:lvlText w:val="•"/>
      <w:lvlJc w:val="left"/>
      <w:pPr>
        <w:ind w:left="4620" w:hanging="576"/>
      </w:pPr>
      <w:rPr>
        <w:rFonts w:hint="default"/>
      </w:rPr>
    </w:lvl>
    <w:lvl w:ilvl="6">
      <w:start w:val="1"/>
      <w:numFmt w:val="bullet"/>
      <w:lvlText w:val="•"/>
      <w:lvlJc w:val="left"/>
      <w:pPr>
        <w:ind w:left="5524" w:hanging="576"/>
      </w:pPr>
      <w:rPr>
        <w:rFonts w:hint="default"/>
      </w:rPr>
    </w:lvl>
    <w:lvl w:ilvl="7">
      <w:start w:val="1"/>
      <w:numFmt w:val="bullet"/>
      <w:lvlText w:val="•"/>
      <w:lvlJc w:val="left"/>
      <w:pPr>
        <w:ind w:left="6428" w:hanging="576"/>
      </w:pPr>
      <w:rPr>
        <w:rFonts w:hint="default"/>
      </w:rPr>
    </w:lvl>
    <w:lvl w:ilvl="8">
      <w:start w:val="1"/>
      <w:numFmt w:val="bullet"/>
      <w:lvlText w:val="•"/>
      <w:lvlJc w:val="left"/>
      <w:pPr>
        <w:ind w:left="7332" w:hanging="576"/>
      </w:pPr>
      <w:rPr>
        <w:rFonts w:hint="default"/>
      </w:rPr>
    </w:lvl>
  </w:abstractNum>
  <w:num w:numId="1" w16cid:durableId="1186989764">
    <w:abstractNumId w:val="5"/>
  </w:num>
  <w:num w:numId="2" w16cid:durableId="1687243150">
    <w:abstractNumId w:val="1"/>
  </w:num>
  <w:num w:numId="3" w16cid:durableId="1541942560">
    <w:abstractNumId w:val="3"/>
  </w:num>
  <w:num w:numId="4" w16cid:durableId="700710915">
    <w:abstractNumId w:val="2"/>
  </w:num>
  <w:num w:numId="5" w16cid:durableId="843670920">
    <w:abstractNumId w:val="4"/>
  </w:num>
  <w:num w:numId="6" w16cid:durableId="173057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5A"/>
    <w:rsid w:val="0000183F"/>
    <w:rsid w:val="00023A6F"/>
    <w:rsid w:val="00077A04"/>
    <w:rsid w:val="000E7237"/>
    <w:rsid w:val="000F4618"/>
    <w:rsid w:val="00117981"/>
    <w:rsid w:val="001418AC"/>
    <w:rsid w:val="00167412"/>
    <w:rsid w:val="00190644"/>
    <w:rsid w:val="001A435F"/>
    <w:rsid w:val="001B3062"/>
    <w:rsid w:val="001B776E"/>
    <w:rsid w:val="001C4868"/>
    <w:rsid w:val="002239AF"/>
    <w:rsid w:val="00247C69"/>
    <w:rsid w:val="002A2829"/>
    <w:rsid w:val="002A31EB"/>
    <w:rsid w:val="002A6AB4"/>
    <w:rsid w:val="002E17B7"/>
    <w:rsid w:val="002F12A1"/>
    <w:rsid w:val="00305D45"/>
    <w:rsid w:val="00305F2E"/>
    <w:rsid w:val="00331EC5"/>
    <w:rsid w:val="0035270C"/>
    <w:rsid w:val="0038310C"/>
    <w:rsid w:val="0039067C"/>
    <w:rsid w:val="00395086"/>
    <w:rsid w:val="0039582F"/>
    <w:rsid w:val="00397D39"/>
    <w:rsid w:val="003A1679"/>
    <w:rsid w:val="003A6E59"/>
    <w:rsid w:val="00401D35"/>
    <w:rsid w:val="004111D0"/>
    <w:rsid w:val="00422D5A"/>
    <w:rsid w:val="0044341A"/>
    <w:rsid w:val="00493F06"/>
    <w:rsid w:val="004E2B5E"/>
    <w:rsid w:val="005022D6"/>
    <w:rsid w:val="00516C1F"/>
    <w:rsid w:val="00535AC4"/>
    <w:rsid w:val="005704C2"/>
    <w:rsid w:val="0058251D"/>
    <w:rsid w:val="00586B13"/>
    <w:rsid w:val="00597126"/>
    <w:rsid w:val="005C4AE1"/>
    <w:rsid w:val="005D2CFF"/>
    <w:rsid w:val="005D5B4A"/>
    <w:rsid w:val="005E4948"/>
    <w:rsid w:val="00610BF3"/>
    <w:rsid w:val="0063099B"/>
    <w:rsid w:val="00632109"/>
    <w:rsid w:val="00666DF8"/>
    <w:rsid w:val="006973AB"/>
    <w:rsid w:val="006C39FB"/>
    <w:rsid w:val="006D6321"/>
    <w:rsid w:val="00713AC0"/>
    <w:rsid w:val="007B3130"/>
    <w:rsid w:val="007F78A9"/>
    <w:rsid w:val="00833019"/>
    <w:rsid w:val="0084027B"/>
    <w:rsid w:val="00840761"/>
    <w:rsid w:val="00853906"/>
    <w:rsid w:val="00873030"/>
    <w:rsid w:val="0089369B"/>
    <w:rsid w:val="008A6303"/>
    <w:rsid w:val="008C2032"/>
    <w:rsid w:val="008E162D"/>
    <w:rsid w:val="00902C3A"/>
    <w:rsid w:val="009310E1"/>
    <w:rsid w:val="00974BA2"/>
    <w:rsid w:val="00980B7D"/>
    <w:rsid w:val="009921D1"/>
    <w:rsid w:val="00995F75"/>
    <w:rsid w:val="009A6F2F"/>
    <w:rsid w:val="009B38D8"/>
    <w:rsid w:val="009F2A58"/>
    <w:rsid w:val="009F72FC"/>
    <w:rsid w:val="00A4666F"/>
    <w:rsid w:val="00A7472A"/>
    <w:rsid w:val="00AB73AD"/>
    <w:rsid w:val="00AC2C42"/>
    <w:rsid w:val="00B15BE2"/>
    <w:rsid w:val="00B32A05"/>
    <w:rsid w:val="00B34F88"/>
    <w:rsid w:val="00B440C0"/>
    <w:rsid w:val="00B4456C"/>
    <w:rsid w:val="00B459E2"/>
    <w:rsid w:val="00B639F4"/>
    <w:rsid w:val="00B96CA2"/>
    <w:rsid w:val="00BD38EF"/>
    <w:rsid w:val="00BE4AE9"/>
    <w:rsid w:val="00BF2F6E"/>
    <w:rsid w:val="00C2656D"/>
    <w:rsid w:val="00CD1AE8"/>
    <w:rsid w:val="00CD3F1E"/>
    <w:rsid w:val="00D02E96"/>
    <w:rsid w:val="00D505A2"/>
    <w:rsid w:val="00D75ADF"/>
    <w:rsid w:val="00DC14F6"/>
    <w:rsid w:val="00DE2DB4"/>
    <w:rsid w:val="00DE3DAD"/>
    <w:rsid w:val="00DF2454"/>
    <w:rsid w:val="00E07393"/>
    <w:rsid w:val="00E20B6E"/>
    <w:rsid w:val="00E40ADA"/>
    <w:rsid w:val="00E42612"/>
    <w:rsid w:val="00E52B0F"/>
    <w:rsid w:val="00E574D7"/>
    <w:rsid w:val="00E93002"/>
    <w:rsid w:val="00E969C4"/>
    <w:rsid w:val="00EA054D"/>
    <w:rsid w:val="00EB5AF1"/>
    <w:rsid w:val="00EB6F7F"/>
    <w:rsid w:val="00EB7271"/>
    <w:rsid w:val="00F00BDE"/>
    <w:rsid w:val="00F41356"/>
    <w:rsid w:val="00F5440E"/>
    <w:rsid w:val="00F60CE1"/>
    <w:rsid w:val="00F61293"/>
    <w:rsid w:val="00FB2DE1"/>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6D744B82"/>
  <w15:docId w15:val="{846E0644-BF3E-46D8-B2FD-2BF5824C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3DAD"/>
    <w:pPr>
      <w:spacing w:after="120" w:line="360" w:lineRule="auto"/>
    </w:pPr>
    <w:rPr>
      <w:rFonts w:ascii="Times New Roman" w:hAnsi="Times New Roman"/>
      <w:sz w:val="24"/>
    </w:rPr>
  </w:style>
  <w:style w:type="paragraph" w:styleId="Heading3">
    <w:name w:val="heading 3"/>
    <w:basedOn w:val="Normal"/>
    <w:next w:val="Normal"/>
    <w:link w:val="Heading3Char"/>
    <w:qFormat/>
    <w:rsid w:val="00E52B0F"/>
    <w:pPr>
      <w:keepNext/>
      <w:widowControl/>
      <w:spacing w:line="240" w:lineRule="auto"/>
      <w:ind w:left="720"/>
      <w:outlineLvl w:val="2"/>
    </w:pPr>
    <w:rPr>
      <w:rFonts w:ascii="Trebuchet MS" w:eastAsia="Times New Roman" w:hAnsi="Trebuchet MS"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ourier New" w:eastAsia="Courier New" w:hAnsi="Courier New"/>
      <w:szCs w:val="24"/>
    </w:rPr>
  </w:style>
  <w:style w:type="paragraph" w:styleId="ListParagraph">
    <w:name w:val="List Paragraph"/>
    <w:basedOn w:val="Normal"/>
    <w:uiPriority w:val="1"/>
    <w:qFormat/>
    <w:rsid w:val="00DE3DAD"/>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0CE1"/>
    <w:rPr>
      <w:sz w:val="16"/>
      <w:szCs w:val="16"/>
    </w:rPr>
  </w:style>
  <w:style w:type="paragraph" w:styleId="BalloonText">
    <w:name w:val="Balloon Text"/>
    <w:basedOn w:val="Normal"/>
    <w:link w:val="BalloonTextChar"/>
    <w:uiPriority w:val="99"/>
    <w:semiHidden/>
    <w:unhideWhenUsed/>
    <w:rsid w:val="00DE3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DAD"/>
    <w:rPr>
      <w:rFonts w:ascii="Tahoma" w:hAnsi="Tahoma" w:cs="Tahoma"/>
      <w:sz w:val="16"/>
      <w:szCs w:val="16"/>
    </w:rPr>
  </w:style>
  <w:style w:type="paragraph" w:styleId="CommentText">
    <w:name w:val="annotation text"/>
    <w:basedOn w:val="Normal"/>
    <w:link w:val="CommentTextChar"/>
    <w:uiPriority w:val="99"/>
    <w:semiHidden/>
    <w:unhideWhenUsed/>
    <w:rsid w:val="00F60CE1"/>
    <w:pPr>
      <w:spacing w:line="240" w:lineRule="auto"/>
    </w:pPr>
    <w:rPr>
      <w:sz w:val="20"/>
      <w:szCs w:val="20"/>
    </w:rPr>
  </w:style>
  <w:style w:type="character" w:customStyle="1" w:styleId="CommentTextChar">
    <w:name w:val="Comment Text Char"/>
    <w:basedOn w:val="DefaultParagraphFont"/>
    <w:link w:val="CommentText"/>
    <w:uiPriority w:val="99"/>
    <w:semiHidden/>
    <w:rsid w:val="00F60C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0CE1"/>
    <w:rPr>
      <w:b/>
      <w:bCs/>
    </w:rPr>
  </w:style>
  <w:style w:type="character" w:customStyle="1" w:styleId="CommentSubjectChar">
    <w:name w:val="Comment Subject Char"/>
    <w:basedOn w:val="CommentTextChar"/>
    <w:link w:val="CommentSubject"/>
    <w:uiPriority w:val="99"/>
    <w:semiHidden/>
    <w:rsid w:val="00F60CE1"/>
    <w:rPr>
      <w:rFonts w:ascii="Times New Roman" w:hAnsi="Times New Roman"/>
      <w:b/>
      <w:bCs/>
      <w:sz w:val="20"/>
      <w:szCs w:val="20"/>
    </w:rPr>
  </w:style>
  <w:style w:type="character" w:customStyle="1" w:styleId="Heading3Char">
    <w:name w:val="Heading 3 Char"/>
    <w:basedOn w:val="DefaultParagraphFont"/>
    <w:link w:val="Heading3"/>
    <w:rsid w:val="00E52B0F"/>
    <w:rPr>
      <w:rFonts w:ascii="Trebuchet MS" w:eastAsia="Times New Roman" w:hAnsi="Trebuchet MS" w:cs="Arial"/>
      <w:b/>
      <w:bCs/>
      <w:i/>
      <w:szCs w:val="26"/>
    </w:rPr>
  </w:style>
  <w:style w:type="paragraph" w:styleId="FootnoteText">
    <w:name w:val="footnote text"/>
    <w:basedOn w:val="Normal"/>
    <w:link w:val="FootnoteTextChar"/>
    <w:rsid w:val="00E52B0F"/>
    <w:pPr>
      <w:widowControl/>
      <w:spacing w:after="240" w:line="240" w:lineRule="auto"/>
    </w:pPr>
    <w:rPr>
      <w:rFonts w:ascii="Book Antiqua" w:eastAsia="Times New Roman" w:hAnsi="Book Antiqua" w:cs="Times New Roman"/>
      <w:sz w:val="18"/>
      <w:szCs w:val="20"/>
    </w:rPr>
  </w:style>
  <w:style w:type="character" w:customStyle="1" w:styleId="FootnoteTextChar">
    <w:name w:val="Footnote Text Char"/>
    <w:basedOn w:val="DefaultParagraphFont"/>
    <w:link w:val="FootnoteText"/>
    <w:rsid w:val="00E52B0F"/>
    <w:rPr>
      <w:rFonts w:ascii="Book Antiqua" w:eastAsia="Times New Roman" w:hAnsi="Book Antiqua" w:cs="Times New Roman"/>
      <w:sz w:val="18"/>
      <w:szCs w:val="20"/>
    </w:rPr>
  </w:style>
  <w:style w:type="character" w:styleId="FootnoteReference">
    <w:name w:val="footnote reference"/>
    <w:rsid w:val="00E52B0F"/>
    <w:rPr>
      <w:vertAlign w:val="superscript"/>
    </w:rPr>
  </w:style>
  <w:style w:type="paragraph" w:styleId="Header">
    <w:name w:val="header"/>
    <w:basedOn w:val="Normal"/>
    <w:link w:val="HeaderChar"/>
    <w:uiPriority w:val="99"/>
    <w:unhideWhenUsed/>
    <w:rsid w:val="00597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26"/>
    <w:rPr>
      <w:rFonts w:ascii="Times New Roman" w:hAnsi="Times New Roman"/>
      <w:sz w:val="24"/>
    </w:rPr>
  </w:style>
  <w:style w:type="paragraph" w:styleId="Footer">
    <w:name w:val="footer"/>
    <w:basedOn w:val="Normal"/>
    <w:link w:val="FooterChar"/>
    <w:uiPriority w:val="99"/>
    <w:unhideWhenUsed/>
    <w:rsid w:val="00597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26"/>
    <w:rPr>
      <w:rFonts w:ascii="Times New Roman" w:hAnsi="Times New Roman"/>
      <w:sz w:val="24"/>
    </w:rPr>
  </w:style>
  <w:style w:type="paragraph" w:styleId="Revision">
    <w:name w:val="Revision"/>
    <w:hidden/>
    <w:uiPriority w:val="99"/>
    <w:semiHidden/>
    <w:rsid w:val="007B3130"/>
    <w:pPr>
      <w:widowControl/>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4.wmf" /><Relationship Id="rId11" Type="http://schemas.openxmlformats.org/officeDocument/2006/relationships/oleObject" Target="embeddings/oleObject2.bin" /><Relationship Id="rId12" Type="http://schemas.openxmlformats.org/officeDocument/2006/relationships/image" Target="media/image5.wmf" /><Relationship Id="rId13" Type="http://schemas.openxmlformats.org/officeDocument/2006/relationships/oleObject" Target="embeddings/oleObject3.bin" /><Relationship Id="rId14" Type="http://schemas.openxmlformats.org/officeDocument/2006/relationships/image" Target="media/image6.wmf" /><Relationship Id="rId15" Type="http://schemas.openxmlformats.org/officeDocument/2006/relationships/image" Target="media/image7.wmf" /><Relationship Id="rId16" Type="http://schemas.openxmlformats.org/officeDocument/2006/relationships/oleObject" Target="embeddings/oleObject4.bin" /><Relationship Id="rId17" Type="http://schemas.openxmlformats.org/officeDocument/2006/relationships/image" Target="media/image8.wmf" /><Relationship Id="rId18" Type="http://schemas.openxmlformats.org/officeDocument/2006/relationships/oleObject" Target="embeddings/oleObject5.bin" /><Relationship Id="rId19" Type="http://schemas.openxmlformats.org/officeDocument/2006/relationships/image" Target="media/image9.wmf" /><Relationship Id="rId2" Type="http://schemas.openxmlformats.org/officeDocument/2006/relationships/settings" Target="settings.xml" /><Relationship Id="rId20" Type="http://schemas.openxmlformats.org/officeDocument/2006/relationships/oleObject" Target="embeddings/oleObject6.bin" /><Relationship Id="rId21" Type="http://schemas.openxmlformats.org/officeDocument/2006/relationships/image" Target="media/image10.wmf" /><Relationship Id="rId22" Type="http://schemas.openxmlformats.org/officeDocument/2006/relationships/image" Target="media/image11.wmf" /><Relationship Id="rId23" Type="http://schemas.openxmlformats.org/officeDocument/2006/relationships/oleObject" Target="embeddings/oleObject7.bin" /><Relationship Id="rId24" Type="http://schemas.openxmlformats.org/officeDocument/2006/relationships/image" Target="media/image12.wmf" /><Relationship Id="rId25" Type="http://schemas.openxmlformats.org/officeDocument/2006/relationships/oleObject" Target="embeddings/oleObject8.bin" /><Relationship Id="rId26" Type="http://schemas.openxmlformats.org/officeDocument/2006/relationships/image" Target="media/image13.wmf" /><Relationship Id="rId27" Type="http://schemas.openxmlformats.org/officeDocument/2006/relationships/oleObject" Target="embeddings/oleObject9.bin" /><Relationship Id="rId28" Type="http://schemas.openxmlformats.org/officeDocument/2006/relationships/image" Target="media/image14.wmf" /><Relationship Id="rId29" Type="http://schemas.openxmlformats.org/officeDocument/2006/relationships/image" Target="media/image15.wmf" /><Relationship Id="rId3" Type="http://schemas.openxmlformats.org/officeDocument/2006/relationships/webSettings" Target="webSettings.xml" /><Relationship Id="rId30" Type="http://schemas.openxmlformats.org/officeDocument/2006/relationships/oleObject" Target="embeddings/oleObject10.bin"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image" Target="media/image2.emf" /><Relationship Id="rId8" Type="http://schemas.openxmlformats.org/officeDocument/2006/relationships/image" Target="media/image3.w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D65F-1EF0-4074-9AD1-318DF153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Nicholas Bonomo</cp:lastModifiedBy>
  <cp:revision>14</cp:revision>
  <cp:lastPrinted>2016-02-09T20:49:00Z</cp:lastPrinted>
  <dcterms:created xsi:type="dcterms:W3CDTF">2019-08-15T14:38:00Z</dcterms:created>
  <dcterms:modified xsi:type="dcterms:W3CDTF">2024-01-29T13:30:00Z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2013-05-08T00:00:00Z</vt:filetime>
  </property>
  <property fmtid="{D5CDD505-2E9C-101B-9397-08002B2CF9AE}" pid="3" name="Creator">
    <vt:lpwstr>Microsoft® Word 2010</vt:lpwstr>
  </property>
  <property fmtid="{D5CDD505-2E9C-101B-9397-08002B2CF9AE}" pid="4" name="LastSaved">
    <vt:filetime>2015-11-18T00:00:00Z</vt:filetime>
  </property>
  <property fmtid="{D5CDD505-2E9C-101B-9397-08002B2CF9AE}" pid="5" name="_NewReviewCycle">
    <vt:lpwstr/>
  </property>
</Properties>
</file>