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5AE4" w:rsidP="00B41240" w14:paraId="1DE5191B" w14:textId="49F0F0F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Addendum to the Supporting Statement for the New Applicant Survey (NAS)</w:t>
      </w:r>
    </w:p>
    <w:p w:rsidR="00B41240" w:rsidRPr="00BC7F42" w:rsidP="00B41240" w14:paraId="4162343B" w14:textId="59188CF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F01A27">
        <w:rPr>
          <w:rFonts w:ascii="Times New Roman" w:hAnsi="Times New Roman" w:cs="Times New Roman"/>
        </w:rPr>
        <w:t xml:space="preserve">OMB No. </w:t>
      </w:r>
      <w:r w:rsidR="00903F11">
        <w:rPr>
          <w:rFonts w:ascii="Times New Roman" w:hAnsi="Times New Roman" w:cs="Times New Roman"/>
        </w:rPr>
        <w:t>0960-NEW</w:t>
      </w:r>
    </w:p>
    <w:p w:rsidR="0041131C" w:rsidP="00A057F6" w14:paraId="14323130" w14:textId="77777777">
      <w:pPr>
        <w:rPr>
          <w:rFonts w:ascii="Times New Roman" w:hAnsi="Times New Roman"/>
        </w:rPr>
      </w:pPr>
    </w:p>
    <w:p w:rsidR="00FF4A84" w:rsidRPr="0036245F" w:rsidP="00FF4A84" w14:paraId="6495B1D6" w14:textId="6F0EAEED">
      <w:pPr>
        <w:rPr>
          <w:rFonts w:ascii="Times New Roman" w:hAnsi="Times New Roman"/>
          <w:b/>
          <w:u w:val="single"/>
        </w:rPr>
      </w:pPr>
      <w:r w:rsidRPr="0036245F">
        <w:rPr>
          <w:rFonts w:ascii="Times New Roman" w:hAnsi="Times New Roman"/>
          <w:b/>
        </w:rPr>
        <w:t>B.</w:t>
      </w:r>
      <w:r w:rsidR="00F01A27">
        <w:rPr>
          <w:rFonts w:ascii="Times New Roman" w:hAnsi="Times New Roman"/>
          <w:b/>
        </w:rPr>
        <w:t xml:space="preserve">  </w:t>
      </w:r>
      <w:r w:rsidRPr="0036245F">
        <w:rPr>
          <w:rFonts w:ascii="Times New Roman" w:hAnsi="Times New Roman"/>
          <w:b/>
          <w:u w:val="single"/>
        </w:rPr>
        <w:t>Collections of Information Employing Statistical Methods</w:t>
      </w:r>
    </w:p>
    <w:p w:rsidR="00584520" w:rsidP="00DE3DB6" w14:paraId="226CC65E" w14:textId="77777777">
      <w:pPr>
        <w:rPr>
          <w:rFonts w:ascii="Times New Roman" w:hAnsi="Times New Roman"/>
        </w:rPr>
      </w:pPr>
    </w:p>
    <w:p w:rsidR="00584520" w:rsidP="00F01A27" w14:paraId="663ADB1B" w14:textId="1C3D7B2A">
      <w:pPr>
        <w:ind w:left="360"/>
        <w:rPr>
          <w:rFonts w:ascii="Times New Roman" w:hAnsi="Times New Roman"/>
        </w:rPr>
      </w:pPr>
      <w:r w:rsidRPr="00584520">
        <w:rPr>
          <w:rFonts w:ascii="Times New Roman" w:hAnsi="Times New Roman"/>
        </w:rPr>
        <w:t xml:space="preserve">The New Applicant Survey (NAS) will produce a nationally representative sample of </w:t>
      </w:r>
      <w:r w:rsidR="00A84982">
        <w:rPr>
          <w:rFonts w:ascii="Times New Roman" w:hAnsi="Times New Roman"/>
        </w:rPr>
        <w:t xml:space="preserve">working-age adults </w:t>
      </w:r>
      <w:r w:rsidRPr="00584520">
        <w:rPr>
          <w:rFonts w:ascii="Times New Roman" w:hAnsi="Times New Roman"/>
        </w:rPr>
        <w:t xml:space="preserve">who have recently applied for disability benefits from the Social Security Administration (SSA). </w:t>
      </w:r>
      <w:r w:rsidR="00624117">
        <w:rPr>
          <w:rFonts w:ascii="Times New Roman" w:hAnsi="Times New Roman"/>
        </w:rPr>
        <w:t xml:space="preserve"> We are designing the </w:t>
      </w:r>
      <w:r w:rsidR="00F255F3">
        <w:rPr>
          <w:rFonts w:ascii="Times New Roman" w:hAnsi="Times New Roman"/>
        </w:rPr>
        <w:t xml:space="preserve">sample to yield a total of 10,000 completed surveys. </w:t>
      </w:r>
      <w:r w:rsidR="00624117">
        <w:rPr>
          <w:rFonts w:ascii="Times New Roman" w:hAnsi="Times New Roman"/>
        </w:rPr>
        <w:t xml:space="preserve"> The i</w:t>
      </w:r>
      <w:r w:rsidRPr="00584520">
        <w:rPr>
          <w:rFonts w:ascii="Times New Roman" w:hAnsi="Times New Roman"/>
        </w:rPr>
        <w:t xml:space="preserve">nformation </w:t>
      </w:r>
      <w:r w:rsidR="00624117">
        <w:rPr>
          <w:rFonts w:ascii="Times New Roman" w:hAnsi="Times New Roman"/>
        </w:rPr>
        <w:t xml:space="preserve">we </w:t>
      </w:r>
      <w:r w:rsidRPr="00584520">
        <w:rPr>
          <w:rFonts w:ascii="Times New Roman" w:hAnsi="Times New Roman"/>
        </w:rPr>
        <w:t xml:space="preserve">collected </w:t>
      </w:r>
      <w:r w:rsidR="00624117">
        <w:rPr>
          <w:rFonts w:ascii="Times New Roman" w:hAnsi="Times New Roman"/>
        </w:rPr>
        <w:t>using</w:t>
      </w:r>
      <w:r w:rsidRPr="00584520" w:rsidR="00624117">
        <w:rPr>
          <w:rFonts w:ascii="Times New Roman" w:hAnsi="Times New Roman"/>
        </w:rPr>
        <w:t xml:space="preserve"> </w:t>
      </w:r>
      <w:r w:rsidRPr="00584520">
        <w:rPr>
          <w:rFonts w:ascii="Times New Roman" w:hAnsi="Times New Roman"/>
        </w:rPr>
        <w:t>this survey will help SSA understand more about the experiences of the</w:t>
      </w:r>
      <w:r w:rsidR="00624117">
        <w:rPr>
          <w:rFonts w:ascii="Times New Roman" w:hAnsi="Times New Roman"/>
        </w:rPr>
        <w:t xml:space="preserve"> sampled</w:t>
      </w:r>
      <w:r w:rsidRPr="00584520">
        <w:rPr>
          <w:rFonts w:ascii="Times New Roman" w:hAnsi="Times New Roman"/>
        </w:rPr>
        <w:t xml:space="preserve"> individuals before and during the application process</w:t>
      </w:r>
      <w:r w:rsidR="00624117">
        <w:rPr>
          <w:rFonts w:ascii="Times New Roman" w:hAnsi="Times New Roman"/>
        </w:rPr>
        <w:t>,</w:t>
      </w:r>
      <w:r w:rsidRPr="00584520">
        <w:rPr>
          <w:rFonts w:ascii="Times New Roman" w:hAnsi="Times New Roman"/>
        </w:rPr>
        <w:t xml:space="preserve"> and pathways taken after their application to identify potential policies or interventions that could improve their experience or support later work efforts.</w:t>
      </w:r>
      <w:r>
        <w:rPr>
          <w:rFonts w:ascii="Times New Roman" w:hAnsi="Times New Roman"/>
        </w:rPr>
        <w:t xml:space="preserve"> </w:t>
      </w:r>
    </w:p>
    <w:p w:rsidR="00584520" w:rsidP="00DE3DB6" w14:paraId="11175FDD" w14:textId="77777777">
      <w:pPr>
        <w:rPr>
          <w:rFonts w:ascii="Times New Roman" w:hAnsi="Times New Roman"/>
        </w:rPr>
      </w:pPr>
    </w:p>
    <w:p w:rsidR="00584520" w:rsidP="00F01A27" w14:paraId="677ED893" w14:textId="3C67F057">
      <w:pPr>
        <w:ind w:left="360"/>
        <w:rPr>
          <w:rFonts w:ascii="Times New Roman" w:hAnsi="Times New Roman"/>
        </w:rPr>
      </w:pPr>
      <w:r w:rsidRPr="00584520">
        <w:rPr>
          <w:rFonts w:ascii="Times New Roman" w:hAnsi="Times New Roman"/>
        </w:rPr>
        <w:t xml:space="preserve">The </w:t>
      </w:r>
      <w:r>
        <w:rPr>
          <w:rFonts w:ascii="Times New Roman" w:hAnsi="Times New Roman"/>
        </w:rPr>
        <w:t xml:space="preserve">NAS </w:t>
      </w:r>
      <w:r w:rsidRPr="00584520">
        <w:rPr>
          <w:rFonts w:ascii="Times New Roman" w:hAnsi="Times New Roman"/>
        </w:rPr>
        <w:t>will document the characteristics of new applicants and explore a variety of pr</w:t>
      </w:r>
      <w:r w:rsidR="00624117">
        <w:rPr>
          <w:rFonts w:ascii="Times New Roman" w:hAnsi="Times New Roman"/>
        </w:rPr>
        <w:t>e</w:t>
      </w:r>
      <w:r w:rsidR="00624117">
        <w:rPr>
          <w:rFonts w:ascii="Times New Roman" w:hAnsi="Times New Roman"/>
        </w:rPr>
        <w:noBreakHyphen/>
        <w:t xml:space="preserve"> </w:t>
      </w:r>
      <w:r w:rsidRPr="00584520">
        <w:rPr>
          <w:rFonts w:ascii="Times New Roman" w:hAnsi="Times New Roman"/>
        </w:rPr>
        <w:t xml:space="preserve">and post-application experiences, especially as these pertain to work and health, as well as access to relevant support services including knowledge of, interest in, and access to application support and representation. </w:t>
      </w:r>
    </w:p>
    <w:p w:rsidR="00584520" w:rsidP="00DE3DB6" w14:paraId="39AC7258" w14:textId="77777777">
      <w:pPr>
        <w:rPr>
          <w:rFonts w:ascii="Times New Roman" w:hAnsi="Times New Roman"/>
        </w:rPr>
      </w:pPr>
    </w:p>
    <w:p w:rsidR="00E91993" w:rsidRPr="00AF0370" w:rsidP="00624117" w14:paraId="63C9DD11" w14:textId="77777777">
      <w:pPr>
        <w:ind w:firstLine="360"/>
        <w:rPr>
          <w:rFonts w:ascii="Times New Roman" w:hAnsi="Times New Roman"/>
        </w:rPr>
      </w:pPr>
      <w:r w:rsidRPr="00AF0370">
        <w:rPr>
          <w:rFonts w:ascii="Times New Roman" w:hAnsi="Times New Roman"/>
        </w:rPr>
        <w:t xml:space="preserve">The </w:t>
      </w:r>
      <w:r w:rsidRPr="00AF0370" w:rsidR="001F0F76">
        <w:rPr>
          <w:rFonts w:ascii="Times New Roman" w:hAnsi="Times New Roman"/>
        </w:rPr>
        <w:t>survey</w:t>
      </w:r>
      <w:r w:rsidRPr="00AF0370">
        <w:rPr>
          <w:rFonts w:ascii="Times New Roman" w:hAnsi="Times New Roman"/>
        </w:rPr>
        <w:t xml:space="preserve"> aims to answer </w:t>
      </w:r>
      <w:r w:rsidRPr="00AF0370" w:rsidR="00C46C33">
        <w:rPr>
          <w:rFonts w:ascii="Times New Roman" w:hAnsi="Times New Roman"/>
        </w:rPr>
        <w:t xml:space="preserve">the following initial </w:t>
      </w:r>
      <w:r w:rsidRPr="00AF0370">
        <w:rPr>
          <w:rFonts w:ascii="Times New Roman" w:hAnsi="Times New Roman"/>
        </w:rPr>
        <w:t>research questions</w:t>
      </w:r>
      <w:r w:rsidRPr="00AF0370" w:rsidR="00C46C33">
        <w:rPr>
          <w:rFonts w:ascii="Times New Roman" w:hAnsi="Times New Roman"/>
        </w:rPr>
        <w:t xml:space="preserve">: </w:t>
      </w:r>
    </w:p>
    <w:p w:rsidR="00E91993" w:rsidRPr="00612DDF" w:rsidP="00E91993" w14:paraId="25E8CE1D" w14:textId="0F29B285">
      <w:pPr>
        <w:pStyle w:val="ListParagraph"/>
        <w:numPr>
          <w:ilvl w:val="0"/>
          <w:numId w:val="12"/>
        </w:numPr>
        <w:rPr>
          <w:rFonts w:ascii="Times New Roman" w:hAnsi="Times New Roman"/>
        </w:rPr>
      </w:pPr>
      <w:r w:rsidRPr="00612DDF">
        <w:rPr>
          <w:rFonts w:ascii="Times New Roman" w:hAnsi="Times New Roman"/>
        </w:rPr>
        <w:t xml:space="preserve">What are the pre- and post-application employment experiences of awarded and denied </w:t>
      </w:r>
      <w:r w:rsidR="00D610E7">
        <w:rPr>
          <w:rFonts w:ascii="Times New Roman" w:hAnsi="Times New Roman"/>
        </w:rPr>
        <w:t>Social Security Disability Insurance (</w:t>
      </w:r>
      <w:r w:rsidRPr="00612DDF" w:rsidR="00D610E7">
        <w:rPr>
          <w:rFonts w:ascii="Times New Roman" w:hAnsi="Times New Roman"/>
        </w:rPr>
        <w:t>SSDI</w:t>
      </w:r>
      <w:r w:rsidR="00D610E7">
        <w:rPr>
          <w:rFonts w:ascii="Times New Roman" w:hAnsi="Times New Roman"/>
        </w:rPr>
        <w:t>)</w:t>
      </w:r>
      <w:r w:rsidRPr="00612DDF" w:rsidR="00D610E7">
        <w:rPr>
          <w:rFonts w:ascii="Times New Roman" w:hAnsi="Times New Roman"/>
        </w:rPr>
        <w:t xml:space="preserve"> </w:t>
      </w:r>
      <w:r w:rsidR="00D610E7">
        <w:rPr>
          <w:rFonts w:ascii="Times New Roman" w:hAnsi="Times New Roman"/>
        </w:rPr>
        <w:t>and</w:t>
      </w:r>
      <w:r w:rsidRPr="00612DDF" w:rsidR="00D610E7">
        <w:rPr>
          <w:rFonts w:ascii="Times New Roman" w:hAnsi="Times New Roman"/>
        </w:rPr>
        <w:t xml:space="preserve"> </w:t>
      </w:r>
      <w:r w:rsidR="00D610E7">
        <w:rPr>
          <w:rFonts w:ascii="Times New Roman" w:hAnsi="Times New Roman"/>
        </w:rPr>
        <w:t>Supplemental Security Income (</w:t>
      </w:r>
      <w:r w:rsidRPr="00612DDF" w:rsidR="00D610E7">
        <w:rPr>
          <w:rFonts w:ascii="Times New Roman" w:hAnsi="Times New Roman"/>
        </w:rPr>
        <w:t>SSI</w:t>
      </w:r>
      <w:r w:rsidR="00D610E7">
        <w:rPr>
          <w:rFonts w:ascii="Times New Roman" w:hAnsi="Times New Roman"/>
        </w:rPr>
        <w:t>)</w:t>
      </w:r>
      <w:r w:rsidRPr="00612DDF" w:rsidR="00D610E7">
        <w:rPr>
          <w:rFonts w:ascii="Times New Roman" w:hAnsi="Times New Roman"/>
        </w:rPr>
        <w:t xml:space="preserve"> </w:t>
      </w:r>
      <w:r w:rsidRPr="00612DDF">
        <w:rPr>
          <w:rFonts w:ascii="Times New Roman" w:hAnsi="Times New Roman"/>
        </w:rPr>
        <w:t>applicants?</w:t>
      </w:r>
    </w:p>
    <w:p w:rsidR="00E91993" w:rsidRPr="00612DDF" w:rsidP="00E91993" w14:paraId="6F37E41B" w14:textId="77777777">
      <w:pPr>
        <w:pStyle w:val="ListParagraph"/>
        <w:numPr>
          <w:ilvl w:val="0"/>
          <w:numId w:val="12"/>
        </w:numPr>
        <w:rPr>
          <w:rFonts w:ascii="Times New Roman" w:hAnsi="Times New Roman"/>
        </w:rPr>
      </w:pPr>
      <w:r w:rsidRPr="00612DDF">
        <w:rPr>
          <w:rFonts w:ascii="Times New Roman" w:hAnsi="Times New Roman"/>
        </w:rPr>
        <w:t>What employment-, vocational-, medical-, or income-related services and supports did applicants use leading up to and since application?</w:t>
      </w:r>
    </w:p>
    <w:p w:rsidR="00E91993" w:rsidP="00E91993" w14:paraId="4E36DB24" w14:textId="49E92C7D">
      <w:pPr>
        <w:pStyle w:val="ListParagraph"/>
        <w:numPr>
          <w:ilvl w:val="0"/>
          <w:numId w:val="12"/>
        </w:numPr>
        <w:rPr>
          <w:rFonts w:ascii="Times New Roman" w:hAnsi="Times New Roman"/>
        </w:rPr>
      </w:pPr>
      <w:r w:rsidRPr="00612DDF">
        <w:rPr>
          <w:rFonts w:ascii="Times New Roman" w:hAnsi="Times New Roman"/>
        </w:rPr>
        <w:t>What sources of information about SSDI or SSI did applicant</w:t>
      </w:r>
      <w:r w:rsidR="00D610E7">
        <w:rPr>
          <w:rFonts w:ascii="Times New Roman" w:hAnsi="Times New Roman"/>
        </w:rPr>
        <w:t>s</w:t>
      </w:r>
      <w:r w:rsidRPr="00612DDF">
        <w:rPr>
          <w:rFonts w:ascii="Times New Roman" w:hAnsi="Times New Roman"/>
        </w:rPr>
        <w:t xml:space="preserve"> use or have access to?</w:t>
      </w:r>
    </w:p>
    <w:p w:rsidR="00E91993" w:rsidP="00E91993" w14:paraId="2981CD52" w14:textId="77777777">
      <w:pPr>
        <w:pStyle w:val="ListParagraph"/>
        <w:numPr>
          <w:ilvl w:val="0"/>
          <w:numId w:val="12"/>
        </w:numPr>
        <w:rPr>
          <w:rFonts w:ascii="Times New Roman" w:hAnsi="Times New Roman"/>
        </w:rPr>
      </w:pPr>
      <w:r w:rsidRPr="00612DDF">
        <w:rPr>
          <w:rFonts w:ascii="Times New Roman" w:hAnsi="Times New Roman"/>
        </w:rPr>
        <w:t>What were the applicants’ experiences with representation during the application or post-application periods?</w:t>
      </w:r>
    </w:p>
    <w:p w:rsidR="000D72DF" w:rsidP="00DE3DB6" w14:paraId="16629752" w14:textId="77777777">
      <w:pPr>
        <w:rPr>
          <w:rFonts w:ascii="Times New Roman" w:hAnsi="Times New Roman"/>
        </w:rPr>
      </w:pPr>
    </w:p>
    <w:p w:rsidR="00624117" w:rsidP="00624117" w14:paraId="3B6CDDDE" w14:textId="77777777">
      <w:pPr>
        <w:ind w:left="360"/>
        <w:rPr>
          <w:rFonts w:ascii="Times New Roman" w:hAnsi="Times New Roman"/>
        </w:rPr>
      </w:pPr>
      <w:r>
        <w:rPr>
          <w:rFonts w:ascii="Times New Roman" w:hAnsi="Times New Roman"/>
        </w:rPr>
        <w:t xml:space="preserve">In addition to addressing the initial research questions, the survey data will allow researchers to conduct analyses of responses among policy-relevant subgroups. </w:t>
      </w:r>
      <w:r>
        <w:rPr>
          <w:rFonts w:ascii="Times New Roman" w:hAnsi="Times New Roman"/>
        </w:rPr>
        <w:t xml:space="preserve"> </w:t>
      </w:r>
      <w:r>
        <w:rPr>
          <w:rFonts w:ascii="Times New Roman" w:hAnsi="Times New Roman"/>
        </w:rPr>
        <w:t xml:space="preserve">These subgroups will include: </w:t>
      </w:r>
      <w:r>
        <w:rPr>
          <w:rFonts w:ascii="Times New Roman" w:hAnsi="Times New Roman"/>
        </w:rPr>
        <w:t xml:space="preserve"> (</w:t>
      </w:r>
      <w:r>
        <w:rPr>
          <w:rFonts w:ascii="Times New Roman" w:hAnsi="Times New Roman"/>
        </w:rPr>
        <w:t>1) individuals at different stages of the application and appeals process (e.g., applicants who completed an initial application, applicants who have filed an appeal, etc.)</w:t>
      </w:r>
      <w:r>
        <w:rPr>
          <w:rFonts w:ascii="Times New Roman" w:hAnsi="Times New Roman"/>
        </w:rPr>
        <w:t>; (</w:t>
      </w:r>
      <w:r>
        <w:rPr>
          <w:rFonts w:ascii="Times New Roman" w:hAnsi="Times New Roman"/>
        </w:rPr>
        <w:t>2) individuals with different outcomes (e.g., applicants who were allowed, applicants who were denied, and applicants with no decision)</w:t>
      </w:r>
      <w:r>
        <w:rPr>
          <w:rFonts w:ascii="Times New Roman" w:hAnsi="Times New Roman"/>
        </w:rPr>
        <w:t>;</w:t>
      </w:r>
      <w:r>
        <w:rPr>
          <w:rFonts w:ascii="Times New Roman" w:hAnsi="Times New Roman"/>
        </w:rPr>
        <w:t xml:space="preserve"> </w:t>
      </w:r>
      <w:r>
        <w:rPr>
          <w:rFonts w:ascii="Times New Roman" w:hAnsi="Times New Roman"/>
        </w:rPr>
        <w:t>(</w:t>
      </w:r>
      <w:r>
        <w:rPr>
          <w:rFonts w:ascii="Times New Roman" w:hAnsi="Times New Roman"/>
        </w:rPr>
        <w:t>3)</w:t>
      </w:r>
      <w:r w:rsidR="00801CC8">
        <w:rPr>
          <w:rFonts w:ascii="Times New Roman" w:hAnsi="Times New Roman"/>
        </w:rPr>
        <w:t xml:space="preserve"> applicants with and without legal representation</w:t>
      </w:r>
      <w:r>
        <w:rPr>
          <w:rFonts w:ascii="Times New Roman" w:hAnsi="Times New Roman"/>
        </w:rPr>
        <w:t>;</w:t>
      </w:r>
      <w:r w:rsidR="00801CC8">
        <w:rPr>
          <w:rFonts w:ascii="Times New Roman" w:hAnsi="Times New Roman"/>
        </w:rPr>
        <w:t xml:space="preserve"> and </w:t>
      </w:r>
      <w:r>
        <w:rPr>
          <w:rFonts w:ascii="Times New Roman" w:hAnsi="Times New Roman"/>
        </w:rPr>
        <w:t>(</w:t>
      </w:r>
      <w:r w:rsidR="00801CC8">
        <w:rPr>
          <w:rFonts w:ascii="Times New Roman" w:hAnsi="Times New Roman"/>
        </w:rPr>
        <w:t xml:space="preserve">4) applicants with different policy-relevant characteristics (e.g., geographic region, age, impairment, demographic characteristics). </w:t>
      </w:r>
    </w:p>
    <w:p w:rsidR="00624117" w:rsidP="00624117" w14:paraId="3B61D5D4" w14:textId="77777777">
      <w:pPr>
        <w:ind w:left="360"/>
        <w:rPr>
          <w:rFonts w:ascii="Times New Roman" w:hAnsi="Times New Roman"/>
        </w:rPr>
      </w:pPr>
    </w:p>
    <w:p w:rsidR="00624117" w:rsidRPr="00624117" w:rsidP="00624117" w14:paraId="3FC88580" w14:textId="77777777">
      <w:pPr>
        <w:pStyle w:val="ListParagraph"/>
        <w:numPr>
          <w:ilvl w:val="0"/>
          <w:numId w:val="16"/>
        </w:numPr>
        <w:rPr>
          <w:rFonts w:ascii="Times New Roman" w:hAnsi="Times New Roman"/>
        </w:rPr>
      </w:pPr>
      <w:r w:rsidRPr="00624117">
        <w:rPr>
          <w:rFonts w:ascii="Times New Roman" w:hAnsi="Times New Roman"/>
          <w:b/>
        </w:rPr>
        <w:t>Respondent Universe and Sampling Methods</w:t>
      </w:r>
    </w:p>
    <w:p w:rsidR="00624117" w:rsidP="00624117" w14:paraId="73818F68" w14:textId="1845120F">
      <w:pPr>
        <w:pStyle w:val="ListParagraph"/>
        <w:rPr>
          <w:rFonts w:ascii="Times New Roman" w:hAnsi="Times New Roman"/>
          <w:bCs/>
        </w:rPr>
      </w:pPr>
      <w:r w:rsidRPr="00624117">
        <w:rPr>
          <w:rFonts w:ascii="Times New Roman" w:hAnsi="Times New Roman"/>
          <w:bCs/>
        </w:rPr>
        <w:t>We</w:t>
      </w:r>
      <w:r w:rsidRPr="00624117" w:rsidR="00DF580F">
        <w:rPr>
          <w:rFonts w:ascii="Times New Roman" w:hAnsi="Times New Roman"/>
          <w:bCs/>
        </w:rPr>
        <w:t xml:space="preserve"> will randomly select disability applicants </w:t>
      </w:r>
      <w:r w:rsidRPr="00624117" w:rsidR="003858CE">
        <w:rPr>
          <w:rFonts w:ascii="Times New Roman" w:hAnsi="Times New Roman"/>
          <w:bCs/>
        </w:rPr>
        <w:t xml:space="preserve">from an administrative data file containing those who applied within a one-year period (where </w:t>
      </w:r>
      <w:r>
        <w:rPr>
          <w:rFonts w:ascii="Times New Roman" w:hAnsi="Times New Roman"/>
          <w:bCs/>
        </w:rPr>
        <w:t xml:space="preserve">we will determine </w:t>
      </w:r>
      <w:r w:rsidRPr="00624117" w:rsidR="003858CE">
        <w:rPr>
          <w:rFonts w:ascii="Times New Roman" w:hAnsi="Times New Roman"/>
          <w:bCs/>
        </w:rPr>
        <w:t>the specific one</w:t>
      </w:r>
      <w:r>
        <w:rPr>
          <w:rFonts w:ascii="Times New Roman" w:hAnsi="Times New Roman"/>
          <w:bCs/>
        </w:rPr>
        <w:noBreakHyphen/>
      </w:r>
      <w:r w:rsidRPr="00624117" w:rsidR="003858CE">
        <w:rPr>
          <w:rFonts w:ascii="Times New Roman" w:hAnsi="Times New Roman"/>
          <w:bCs/>
        </w:rPr>
        <w:t xml:space="preserve">year period based on the </w:t>
      </w:r>
      <w:r w:rsidRPr="00624117">
        <w:rPr>
          <w:rFonts w:ascii="Times New Roman" w:hAnsi="Times New Roman"/>
          <w:bCs/>
        </w:rPr>
        <w:t>survey</w:t>
      </w:r>
      <w:r w:rsidRPr="00624117" w:rsidR="003858CE">
        <w:rPr>
          <w:rFonts w:ascii="Times New Roman" w:hAnsi="Times New Roman"/>
          <w:bCs/>
        </w:rPr>
        <w:t xml:space="preserve"> timeline).</w:t>
      </w:r>
      <w:r w:rsidRPr="00624117" w:rsidR="00DF580F">
        <w:rPr>
          <w:rFonts w:ascii="Times New Roman" w:hAnsi="Times New Roman"/>
          <w:bCs/>
        </w:rPr>
        <w:t xml:space="preserve"> </w:t>
      </w:r>
      <w:r>
        <w:rPr>
          <w:rFonts w:ascii="Times New Roman" w:hAnsi="Times New Roman"/>
          <w:bCs/>
        </w:rPr>
        <w:t xml:space="preserve"> </w:t>
      </w:r>
      <w:r w:rsidRPr="00624117" w:rsidR="0096167B">
        <w:rPr>
          <w:rFonts w:ascii="Times New Roman" w:hAnsi="Times New Roman"/>
          <w:bCs/>
        </w:rPr>
        <w:t xml:space="preserve">First, we will create a single sampling frame </w:t>
      </w:r>
      <w:r w:rsidRPr="00624117" w:rsidR="00A9165F">
        <w:rPr>
          <w:rFonts w:ascii="Times New Roman" w:hAnsi="Times New Roman"/>
          <w:bCs/>
        </w:rPr>
        <w:t xml:space="preserve">using applicant characteristics available in the administrative data to identify disability applicants eligible to complete the survey. </w:t>
      </w:r>
      <w:r>
        <w:rPr>
          <w:rFonts w:ascii="Times New Roman" w:hAnsi="Times New Roman"/>
          <w:bCs/>
        </w:rPr>
        <w:t xml:space="preserve"> </w:t>
      </w:r>
      <w:r w:rsidRPr="00624117" w:rsidR="000D72DF">
        <w:rPr>
          <w:rFonts w:ascii="Times New Roman" w:hAnsi="Times New Roman"/>
          <w:bCs/>
        </w:rPr>
        <w:t>We will clean the data file to remove duplicates based on</w:t>
      </w:r>
      <w:r w:rsidRPr="00624117" w:rsidR="003373EA">
        <w:rPr>
          <w:rFonts w:ascii="Times New Roman" w:hAnsi="Times New Roman"/>
          <w:bCs/>
        </w:rPr>
        <w:t xml:space="preserve"> Social Security Number (</w:t>
      </w:r>
      <w:r w:rsidRPr="00624117" w:rsidR="000D72DF">
        <w:rPr>
          <w:rFonts w:ascii="Times New Roman" w:hAnsi="Times New Roman"/>
          <w:bCs/>
        </w:rPr>
        <w:t>SSN</w:t>
      </w:r>
      <w:r w:rsidRPr="00624117" w:rsidR="003373EA">
        <w:rPr>
          <w:rFonts w:ascii="Times New Roman" w:hAnsi="Times New Roman"/>
          <w:bCs/>
        </w:rPr>
        <w:t>)</w:t>
      </w:r>
      <w:r w:rsidRPr="00624117" w:rsidR="000D72DF">
        <w:rPr>
          <w:rFonts w:ascii="Times New Roman" w:hAnsi="Times New Roman"/>
          <w:bCs/>
        </w:rPr>
        <w:t xml:space="preserve"> </w:t>
      </w:r>
      <w:r w:rsidRPr="00624117" w:rsidR="006E74ED">
        <w:rPr>
          <w:rFonts w:ascii="Times New Roman" w:hAnsi="Times New Roman"/>
          <w:bCs/>
        </w:rPr>
        <w:t xml:space="preserve">(or a deidentified proxy based on SSN) </w:t>
      </w:r>
      <w:r w:rsidRPr="00624117" w:rsidR="000D72DF">
        <w:rPr>
          <w:rFonts w:ascii="Times New Roman" w:hAnsi="Times New Roman"/>
          <w:bCs/>
        </w:rPr>
        <w:t xml:space="preserve">prior to drawing the sample. </w:t>
      </w:r>
    </w:p>
    <w:p w:rsidR="00624117" w:rsidP="00624117" w14:paraId="3869DB0A" w14:textId="77777777">
      <w:pPr>
        <w:pStyle w:val="ListParagraph"/>
        <w:rPr>
          <w:rFonts w:ascii="Times New Roman" w:hAnsi="Times New Roman"/>
          <w:bCs/>
        </w:rPr>
      </w:pPr>
    </w:p>
    <w:p w:rsidR="00624117" w:rsidP="00624117" w14:paraId="38FA74D2" w14:textId="1CEACA80">
      <w:pPr>
        <w:pStyle w:val="ListParagraph"/>
        <w:rPr>
          <w:rFonts w:ascii="Times New Roman" w:hAnsi="Times New Roman"/>
        </w:rPr>
      </w:pPr>
      <w:r>
        <w:rPr>
          <w:rFonts w:ascii="Times New Roman" w:hAnsi="Times New Roman"/>
          <w:bCs/>
        </w:rPr>
        <w:t xml:space="preserve">We will utilize stratification in the </w:t>
      </w:r>
      <w:r w:rsidR="004E4210">
        <w:rPr>
          <w:rFonts w:ascii="Times New Roman" w:hAnsi="Times New Roman"/>
          <w:bCs/>
        </w:rPr>
        <w:t xml:space="preserve">sampling to ensure </w:t>
      </w:r>
      <w:r>
        <w:rPr>
          <w:rFonts w:ascii="Times New Roman" w:hAnsi="Times New Roman"/>
          <w:bCs/>
        </w:rPr>
        <w:t>representation of</w:t>
      </w:r>
      <w:r w:rsidR="004E4210">
        <w:rPr>
          <w:rFonts w:ascii="Times New Roman" w:hAnsi="Times New Roman"/>
          <w:bCs/>
        </w:rPr>
        <w:t xml:space="preserve"> policy-relevant subgroups. </w:t>
      </w:r>
      <w:r>
        <w:rPr>
          <w:rFonts w:ascii="Times New Roman" w:hAnsi="Times New Roman"/>
          <w:bCs/>
        </w:rPr>
        <w:t xml:space="preserve"> </w:t>
      </w:r>
      <w:r w:rsidR="001F0F76">
        <w:rPr>
          <w:rFonts w:ascii="Times New Roman" w:hAnsi="Times New Roman"/>
          <w:bCs/>
        </w:rPr>
        <w:t>We are</w:t>
      </w:r>
      <w:r w:rsidR="00C93BF3">
        <w:rPr>
          <w:rFonts w:ascii="Times New Roman" w:hAnsi="Times New Roman"/>
        </w:rPr>
        <w:t xml:space="preserve"> particularly interested in the experiences of disability applicants at different stages in the application and appeals process, as well as applicants with different demographic characteristics and experiences with legal representation. </w:t>
      </w:r>
      <w:r>
        <w:rPr>
          <w:rFonts w:ascii="Times New Roman" w:hAnsi="Times New Roman"/>
        </w:rPr>
        <w:t xml:space="preserve"> </w:t>
      </w:r>
      <w:r w:rsidRPr="00A843AE" w:rsidR="00A843AE">
        <w:rPr>
          <w:rFonts w:ascii="Times New Roman" w:hAnsi="Times New Roman"/>
        </w:rPr>
        <w:t xml:space="preserve">We will select a single sample that captures </w:t>
      </w:r>
      <w:r w:rsidR="001F0F76">
        <w:rPr>
          <w:rFonts w:ascii="Times New Roman" w:hAnsi="Times New Roman"/>
        </w:rPr>
        <w:t>applicants</w:t>
      </w:r>
      <w:r w:rsidRPr="00A843AE" w:rsidR="00A843AE">
        <w:rPr>
          <w:rFonts w:ascii="Times New Roman" w:hAnsi="Times New Roman"/>
        </w:rPr>
        <w:t xml:space="preserve"> at every stage</w:t>
      </w:r>
      <w:r w:rsidR="001F0F76">
        <w:rPr>
          <w:rFonts w:ascii="Times New Roman" w:hAnsi="Times New Roman"/>
        </w:rPr>
        <w:t xml:space="preserve"> of the application process</w:t>
      </w:r>
      <w:r w:rsidRPr="00A843AE" w:rsidR="00A843AE">
        <w:rPr>
          <w:rFonts w:ascii="Times New Roman" w:hAnsi="Times New Roman"/>
        </w:rPr>
        <w:t xml:space="preserve">. </w:t>
      </w:r>
      <w:r>
        <w:rPr>
          <w:rFonts w:ascii="Times New Roman" w:hAnsi="Times New Roman"/>
        </w:rPr>
        <w:t xml:space="preserve"> </w:t>
      </w:r>
      <w:r w:rsidRPr="00A843AE" w:rsidR="00A843AE">
        <w:rPr>
          <w:rFonts w:ascii="Times New Roman" w:hAnsi="Times New Roman"/>
        </w:rPr>
        <w:t>If the</w:t>
      </w:r>
      <w:r w:rsidR="001F0F76">
        <w:rPr>
          <w:rFonts w:ascii="Times New Roman" w:hAnsi="Times New Roman"/>
        </w:rPr>
        <w:t xml:space="preserve"> applicants</w:t>
      </w:r>
      <w:r w:rsidRPr="00A843AE" w:rsidR="00A843AE">
        <w:rPr>
          <w:rFonts w:ascii="Times New Roman" w:hAnsi="Times New Roman"/>
        </w:rPr>
        <w:t xml:space="preserve"> have moved to another stage by the time they </w:t>
      </w:r>
      <w:r w:rsidR="001F0F76">
        <w:rPr>
          <w:rFonts w:ascii="Times New Roman" w:hAnsi="Times New Roman"/>
        </w:rPr>
        <w:t>complete the survey</w:t>
      </w:r>
      <w:r w:rsidRPr="00A843AE" w:rsidR="00A843AE">
        <w:rPr>
          <w:rFonts w:ascii="Times New Roman" w:hAnsi="Times New Roman"/>
        </w:rPr>
        <w:t>, the instrument will retrospectively capture th</w:t>
      </w:r>
      <w:r w:rsidR="001F0F76">
        <w:rPr>
          <w:rFonts w:ascii="Times New Roman" w:hAnsi="Times New Roman"/>
        </w:rPr>
        <w:t>at</w:t>
      </w:r>
      <w:r w:rsidRPr="00A843AE" w:rsidR="00A843AE">
        <w:rPr>
          <w:rFonts w:ascii="Times New Roman" w:hAnsi="Times New Roman"/>
        </w:rPr>
        <w:t xml:space="preserve"> information.</w:t>
      </w:r>
    </w:p>
    <w:p w:rsidR="00624117" w:rsidP="00624117" w14:paraId="3F6138FF" w14:textId="77777777">
      <w:pPr>
        <w:pStyle w:val="ListParagraph"/>
        <w:rPr>
          <w:rFonts w:ascii="Times New Roman" w:hAnsi="Times New Roman"/>
        </w:rPr>
      </w:pPr>
    </w:p>
    <w:p w:rsidR="00CC3245" w:rsidP="00CC3245" w14:paraId="4DF680C4" w14:textId="77777777">
      <w:pPr>
        <w:pStyle w:val="ListParagraph"/>
        <w:rPr>
          <w:rFonts w:ascii="Times New Roman" w:hAnsi="Times New Roman"/>
        </w:rPr>
      </w:pPr>
      <w:r>
        <w:rPr>
          <w:rFonts w:ascii="Times New Roman" w:hAnsi="Times New Roman"/>
        </w:rPr>
        <w:t xml:space="preserve">Exhibit 1 provides a summary of the expected distribution of subgroups of interest using population distributions drawn from past disability applicants available from SSA administrative records. </w:t>
      </w:r>
      <w:r w:rsidR="00624117">
        <w:rPr>
          <w:rFonts w:ascii="Times New Roman" w:hAnsi="Times New Roman"/>
        </w:rPr>
        <w:t xml:space="preserve"> </w:t>
      </w:r>
      <w:r w:rsidR="001D5578">
        <w:rPr>
          <w:rFonts w:ascii="Times New Roman" w:hAnsi="Times New Roman"/>
        </w:rPr>
        <w:t xml:space="preserve">The sample size assumes a </w:t>
      </w:r>
      <w:r w:rsidR="008C0D10">
        <w:rPr>
          <w:rFonts w:ascii="Times New Roman" w:hAnsi="Times New Roman"/>
        </w:rPr>
        <w:t>25</w:t>
      </w:r>
      <w:r w:rsidR="006A62A3">
        <w:rPr>
          <w:rFonts w:ascii="Times New Roman" w:hAnsi="Times New Roman"/>
        </w:rPr>
        <w:t xml:space="preserve"> percent</w:t>
      </w:r>
      <w:r w:rsidR="001D5578">
        <w:rPr>
          <w:rFonts w:ascii="Times New Roman" w:hAnsi="Times New Roman"/>
        </w:rPr>
        <w:t xml:space="preserve"> response rate, resulting in a total sample of </w:t>
      </w:r>
      <w:r w:rsidR="008C0D10">
        <w:rPr>
          <w:rFonts w:ascii="Times New Roman" w:hAnsi="Times New Roman"/>
        </w:rPr>
        <w:t>40,000</w:t>
      </w:r>
      <w:r w:rsidR="001D5578">
        <w:rPr>
          <w:rFonts w:ascii="Times New Roman" w:hAnsi="Times New Roman"/>
        </w:rPr>
        <w:t xml:space="preserve"> applicants to achieve an expected 10,000 completed surveys. </w:t>
      </w:r>
      <w:r w:rsidR="00624117">
        <w:rPr>
          <w:rFonts w:ascii="Times New Roman" w:hAnsi="Times New Roman"/>
        </w:rPr>
        <w:t xml:space="preserve"> </w:t>
      </w:r>
      <w:r w:rsidR="006A62A3">
        <w:rPr>
          <w:rFonts w:ascii="Times New Roman" w:hAnsi="Times New Roman"/>
        </w:rPr>
        <w:t>The 201</w:t>
      </w:r>
      <w:r w:rsidR="00952E45">
        <w:rPr>
          <w:rFonts w:ascii="Times New Roman" w:hAnsi="Times New Roman"/>
        </w:rPr>
        <w:t>9</w:t>
      </w:r>
      <w:r w:rsidR="006A62A3">
        <w:rPr>
          <w:rFonts w:ascii="Times New Roman" w:hAnsi="Times New Roman"/>
        </w:rPr>
        <w:t xml:space="preserve"> National Beneficiary Survey</w:t>
      </w:r>
      <w:r w:rsidR="00927B1C">
        <w:rPr>
          <w:rFonts w:ascii="Times New Roman" w:hAnsi="Times New Roman"/>
        </w:rPr>
        <w:t xml:space="preserve"> (NBS)</w:t>
      </w:r>
      <w:r w:rsidR="006A62A3">
        <w:rPr>
          <w:rFonts w:ascii="Times New Roman" w:hAnsi="Times New Roman"/>
        </w:rPr>
        <w:t xml:space="preserve"> of disability beneficiaries</w:t>
      </w:r>
      <w:r w:rsidR="00624117">
        <w:rPr>
          <w:rFonts w:ascii="Times New Roman" w:hAnsi="Times New Roman"/>
        </w:rPr>
        <w:t>, OMB No. 0960</w:t>
      </w:r>
      <w:r w:rsidRPr="00624117" w:rsidR="00624117">
        <w:rPr>
          <w:rFonts w:ascii="Times New Roman" w:hAnsi="Times New Roman"/>
          <w:color w:val="FF0000"/>
        </w:rPr>
        <w:noBreakHyphen/>
      </w:r>
      <w:r w:rsidR="00624117">
        <w:rPr>
          <w:rFonts w:ascii="Times New Roman" w:hAnsi="Times New Roman"/>
        </w:rPr>
        <w:t xml:space="preserve">0827, </w:t>
      </w:r>
      <w:r w:rsidR="006A62A3">
        <w:rPr>
          <w:rFonts w:ascii="Times New Roman" w:hAnsi="Times New Roman"/>
        </w:rPr>
        <w:t xml:space="preserve"> yielded a </w:t>
      </w:r>
      <w:r w:rsidR="00952E45">
        <w:rPr>
          <w:rFonts w:ascii="Times New Roman" w:hAnsi="Times New Roman"/>
        </w:rPr>
        <w:t>36</w:t>
      </w:r>
      <w:r w:rsidR="006A62A3">
        <w:rPr>
          <w:rFonts w:ascii="Times New Roman" w:hAnsi="Times New Roman"/>
        </w:rPr>
        <w:t xml:space="preserve"> percent </w:t>
      </w:r>
      <w:r w:rsidR="00366A7A">
        <w:rPr>
          <w:rFonts w:ascii="Times New Roman" w:hAnsi="Times New Roman"/>
        </w:rPr>
        <w:t xml:space="preserve">unweighted </w:t>
      </w:r>
      <w:r w:rsidR="006A62A3">
        <w:rPr>
          <w:rFonts w:ascii="Times New Roman" w:hAnsi="Times New Roman"/>
        </w:rPr>
        <w:t xml:space="preserve">response rate. </w:t>
      </w:r>
      <w:r w:rsidR="00624117">
        <w:rPr>
          <w:rFonts w:ascii="Times New Roman" w:hAnsi="Times New Roman"/>
        </w:rPr>
        <w:t xml:space="preserve"> </w:t>
      </w:r>
      <w:r w:rsidR="00F23380">
        <w:rPr>
          <w:rFonts w:ascii="Times New Roman" w:hAnsi="Times New Roman"/>
        </w:rPr>
        <w:t>There are several reasons why the NAS will likely yield a lower response rate than the</w:t>
      </w:r>
      <w:r w:rsidR="008B471A">
        <w:rPr>
          <w:rFonts w:ascii="Times New Roman" w:hAnsi="Times New Roman"/>
        </w:rPr>
        <w:t xml:space="preserve"> </w:t>
      </w:r>
      <w:r w:rsidR="00927B1C">
        <w:rPr>
          <w:rFonts w:ascii="Times New Roman" w:hAnsi="Times New Roman"/>
        </w:rPr>
        <w:t>NBS.</w:t>
      </w:r>
      <w:r w:rsidR="00624117">
        <w:rPr>
          <w:rFonts w:ascii="Times New Roman" w:hAnsi="Times New Roman"/>
        </w:rPr>
        <w:t xml:space="preserve"> </w:t>
      </w:r>
      <w:r w:rsidR="00F23380">
        <w:rPr>
          <w:rFonts w:ascii="Times New Roman" w:hAnsi="Times New Roman"/>
        </w:rPr>
        <w:t xml:space="preserve"> First, the NAS is a survey of disability applicants, instead of beneficiaries. </w:t>
      </w:r>
      <w:r w:rsidR="00624117">
        <w:rPr>
          <w:rFonts w:ascii="Times New Roman" w:hAnsi="Times New Roman"/>
        </w:rPr>
        <w:t xml:space="preserve"> </w:t>
      </w:r>
      <w:r w:rsidR="00F23380">
        <w:rPr>
          <w:rFonts w:ascii="Times New Roman" w:hAnsi="Times New Roman"/>
        </w:rPr>
        <w:t>Disability applicants tend to be more difficult to contact than beneficiaries because they are less likely to have stable addresses or contact information (Taylor, et al.</w:t>
      </w:r>
      <w:r w:rsidR="002A0BFB">
        <w:rPr>
          <w:rFonts w:ascii="Times New Roman" w:hAnsi="Times New Roman"/>
        </w:rPr>
        <w:t>,</w:t>
      </w:r>
      <w:r w:rsidR="00F23380">
        <w:rPr>
          <w:rFonts w:ascii="Times New Roman" w:hAnsi="Times New Roman"/>
        </w:rPr>
        <w:t xml:space="preserve"> </w:t>
      </w:r>
      <w:r w:rsidR="002A0BFB">
        <w:rPr>
          <w:rFonts w:ascii="Times New Roman" w:hAnsi="Times New Roman"/>
        </w:rPr>
        <w:t>2021</w:t>
      </w:r>
      <w:r w:rsidR="00F23380">
        <w:rPr>
          <w:rFonts w:ascii="Times New Roman" w:hAnsi="Times New Roman"/>
        </w:rPr>
        <w:t xml:space="preserve">). </w:t>
      </w:r>
      <w:r>
        <w:rPr>
          <w:rFonts w:ascii="Times New Roman" w:hAnsi="Times New Roman"/>
        </w:rPr>
        <w:t xml:space="preserve"> </w:t>
      </w:r>
      <w:r w:rsidR="00F23380">
        <w:rPr>
          <w:rFonts w:ascii="Times New Roman" w:hAnsi="Times New Roman"/>
        </w:rPr>
        <w:t>Furthermore, overall trends in response rates indicate that response rates will likely be substantially lower for new survey efforts compared to those completed in 2010 (</w:t>
      </w:r>
      <w:r w:rsidR="002B2981">
        <w:rPr>
          <w:rFonts w:ascii="Times New Roman" w:hAnsi="Times New Roman"/>
        </w:rPr>
        <w:t>Stedman, et al., 2019</w:t>
      </w:r>
      <w:r w:rsidR="00F23380">
        <w:rPr>
          <w:rFonts w:ascii="Times New Roman" w:hAnsi="Times New Roman"/>
        </w:rPr>
        <w:t xml:space="preserve">). </w:t>
      </w:r>
    </w:p>
    <w:p w:rsidR="00CC3245" w:rsidP="00CC3245" w14:paraId="71B4A35B" w14:textId="77777777">
      <w:pPr>
        <w:pStyle w:val="ListParagraph"/>
        <w:rPr>
          <w:rFonts w:ascii="Times New Roman" w:hAnsi="Times New Roman"/>
        </w:rPr>
      </w:pPr>
    </w:p>
    <w:p w:rsidR="00CC3245" w:rsidP="00CC3245" w14:paraId="0B67A2DE" w14:textId="72E11CE7">
      <w:pPr>
        <w:pStyle w:val="ListParagraph"/>
        <w:rPr>
          <w:rFonts w:ascii="Times New Roman" w:hAnsi="Times New Roman"/>
        </w:rPr>
      </w:pPr>
      <w:r w:rsidRPr="00996183">
        <w:rPr>
          <w:rFonts w:ascii="Times New Roman" w:hAnsi="Times New Roman"/>
        </w:rPr>
        <w:t xml:space="preserve">Exhibit </w:t>
      </w:r>
      <w:r>
        <w:rPr>
          <w:rFonts w:ascii="Times New Roman" w:hAnsi="Times New Roman"/>
        </w:rPr>
        <w:t>1</w:t>
      </w:r>
      <w:r w:rsidRPr="00996183">
        <w:rPr>
          <w:rFonts w:ascii="Times New Roman" w:hAnsi="Times New Roman"/>
        </w:rPr>
        <w:t xml:space="preserve"> </w:t>
      </w:r>
      <w:r>
        <w:rPr>
          <w:rFonts w:ascii="Times New Roman" w:hAnsi="Times New Roman"/>
        </w:rPr>
        <w:t xml:space="preserve">also </w:t>
      </w:r>
      <w:r w:rsidRPr="00996183">
        <w:rPr>
          <w:rFonts w:ascii="Times New Roman" w:hAnsi="Times New Roman"/>
        </w:rPr>
        <w:t xml:space="preserve">shows the </w:t>
      </w:r>
      <w:r>
        <w:rPr>
          <w:rFonts w:ascii="Times New Roman" w:hAnsi="Times New Roman"/>
        </w:rPr>
        <w:t>expected precision of s</w:t>
      </w:r>
      <w:r w:rsidRPr="00996183">
        <w:rPr>
          <w:rFonts w:ascii="Times New Roman" w:hAnsi="Times New Roman"/>
        </w:rPr>
        <w:t>tatistics calculated for different sample sizes</w:t>
      </w:r>
      <w:r>
        <w:rPr>
          <w:rFonts w:ascii="Times New Roman" w:hAnsi="Times New Roman"/>
        </w:rPr>
        <w:t xml:space="preserve"> in the fourth column</w:t>
      </w:r>
      <w:r w:rsidRPr="00996183">
        <w:rPr>
          <w:rFonts w:ascii="Times New Roman" w:hAnsi="Times New Roman"/>
        </w:rPr>
        <w:t xml:space="preserve">. </w:t>
      </w:r>
      <w:r>
        <w:rPr>
          <w:rFonts w:ascii="Times New Roman" w:hAnsi="Times New Roman"/>
        </w:rPr>
        <w:t xml:space="preserve"> We set t</w:t>
      </w:r>
      <w:r w:rsidRPr="00996183">
        <w:rPr>
          <w:rFonts w:ascii="Times New Roman" w:hAnsi="Times New Roman"/>
        </w:rPr>
        <w:t>he values for the percent and design effect to be “safe” or “conservative</w:t>
      </w:r>
      <w:r w:rsidR="001F0F76">
        <w:rPr>
          <w:rFonts w:ascii="Times New Roman" w:hAnsi="Times New Roman"/>
        </w:rPr>
        <w:t>.</w:t>
      </w:r>
      <w:r w:rsidRPr="00996183">
        <w:rPr>
          <w:rFonts w:ascii="Times New Roman" w:hAnsi="Times New Roman"/>
        </w:rPr>
        <w:t xml:space="preserve">” </w:t>
      </w:r>
      <w:r>
        <w:rPr>
          <w:rFonts w:ascii="Times New Roman" w:hAnsi="Times New Roman"/>
        </w:rPr>
        <w:t xml:space="preserve"> </w:t>
      </w:r>
      <w:r w:rsidRPr="00996183">
        <w:rPr>
          <w:rFonts w:ascii="Times New Roman" w:hAnsi="Times New Roman"/>
        </w:rPr>
        <w:t>We assume that the population estimates we are interested in calculating is a proportion of 0.5 (50%) because it gives the maximum standard error, and therefore the maximum (most conservative) margin of error, which is the half-width of the 95% confidence interval</w:t>
      </w:r>
      <w:r w:rsidR="00D610E7">
        <w:rPr>
          <w:rFonts w:ascii="Times New Roman" w:hAnsi="Times New Roman"/>
        </w:rPr>
        <w:t xml:space="preserve"> (CI)</w:t>
      </w:r>
      <w:r w:rsidRPr="00996183">
        <w:rPr>
          <w:rFonts w:ascii="Times New Roman" w:hAnsi="Times New Roman"/>
        </w:rPr>
        <w:t xml:space="preserve">. </w:t>
      </w:r>
      <w:r>
        <w:rPr>
          <w:rFonts w:ascii="Times New Roman" w:hAnsi="Times New Roman"/>
        </w:rPr>
        <w:t xml:space="preserve"> </w:t>
      </w:r>
      <w:r w:rsidR="005A3D4C">
        <w:rPr>
          <w:rFonts w:ascii="Times New Roman" w:hAnsi="Times New Roman"/>
        </w:rPr>
        <w:t>Th</w:t>
      </w:r>
      <w:r w:rsidR="00E52F8A">
        <w:rPr>
          <w:rFonts w:ascii="Times New Roman" w:hAnsi="Times New Roman"/>
        </w:rPr>
        <w:t xml:space="preserve">is level of precision is enough to detect </w:t>
      </w:r>
      <w:r w:rsidR="002D426A">
        <w:rPr>
          <w:rFonts w:ascii="Times New Roman" w:hAnsi="Times New Roman"/>
        </w:rPr>
        <w:t xml:space="preserve">95% </w:t>
      </w:r>
      <w:r w:rsidR="00D610E7">
        <w:rPr>
          <w:rFonts w:ascii="Times New Roman" w:hAnsi="Times New Roman"/>
        </w:rPr>
        <w:t>CI</w:t>
      </w:r>
      <w:r w:rsidR="002D426A">
        <w:rPr>
          <w:rFonts w:ascii="Times New Roman" w:hAnsi="Times New Roman"/>
        </w:rPr>
        <w:t xml:space="preserve"> half-widths </w:t>
      </w:r>
      <w:r w:rsidR="00516E1A">
        <w:rPr>
          <w:rFonts w:ascii="Times New Roman" w:hAnsi="Times New Roman"/>
        </w:rPr>
        <w:t>that are mostly within the one to two percentage point range, which we expect to be more than enough to detect meaningful differences between these subgroups.</w:t>
      </w:r>
      <w:r w:rsidR="00151E53">
        <w:rPr>
          <w:rFonts w:ascii="Times New Roman" w:hAnsi="Times New Roman"/>
        </w:rPr>
        <w:t xml:space="preserve"> </w:t>
      </w:r>
    </w:p>
    <w:p w:rsidR="00CC3245" w:rsidP="00CC3245" w14:paraId="23226093" w14:textId="77777777">
      <w:pPr>
        <w:pStyle w:val="ListParagraph"/>
        <w:rPr>
          <w:rFonts w:ascii="Times New Roman" w:hAnsi="Times New Roman"/>
        </w:rPr>
      </w:pPr>
    </w:p>
    <w:p w:rsidR="0068578D" w:rsidP="00CC3245" w14:paraId="2C679A85" w14:textId="328C861C">
      <w:pPr>
        <w:pStyle w:val="ListParagraph"/>
        <w:rPr>
          <w:rFonts w:ascii="Times New Roman" w:hAnsi="Times New Roman"/>
        </w:rPr>
      </w:pPr>
      <w:r>
        <w:rPr>
          <w:rFonts w:ascii="Times New Roman" w:hAnsi="Times New Roman"/>
        </w:rPr>
        <w:t xml:space="preserve">In addition, </w:t>
      </w:r>
      <w:r w:rsidR="00BB45E9">
        <w:rPr>
          <w:rFonts w:ascii="Times New Roman" w:hAnsi="Times New Roman"/>
        </w:rPr>
        <w:t>Exhibit</w:t>
      </w:r>
      <w:r w:rsidR="00BB45E9">
        <w:rPr>
          <w:rFonts w:ascii="Times New Roman" w:hAnsi="Times New Roman"/>
        </w:rPr>
        <w:t xml:space="preserve"> 1</w:t>
      </w:r>
      <w:r w:rsidR="00B91657">
        <w:rPr>
          <w:rFonts w:ascii="Times New Roman" w:hAnsi="Times New Roman"/>
        </w:rPr>
        <w:t xml:space="preserve"> show</w:t>
      </w:r>
      <w:r w:rsidR="00BB45E9">
        <w:rPr>
          <w:rFonts w:ascii="Times New Roman" w:hAnsi="Times New Roman"/>
        </w:rPr>
        <w:t>s</w:t>
      </w:r>
      <w:r w:rsidR="00B91657">
        <w:rPr>
          <w:rFonts w:ascii="Times New Roman" w:hAnsi="Times New Roman"/>
        </w:rPr>
        <w:t xml:space="preserve"> </w:t>
      </w:r>
      <w:r w:rsidR="00A26ACC">
        <w:rPr>
          <w:rFonts w:ascii="Times New Roman" w:hAnsi="Times New Roman"/>
        </w:rPr>
        <w:t>the expected half-width of 95% CI for</w:t>
      </w:r>
      <w:r w:rsidR="0043738F">
        <w:rPr>
          <w:rFonts w:ascii="Times New Roman" w:hAnsi="Times New Roman"/>
        </w:rPr>
        <w:t xml:space="preserve"> questions in </w:t>
      </w:r>
      <w:r w:rsidR="00A26ACC">
        <w:rPr>
          <w:rFonts w:ascii="Times New Roman" w:hAnsi="Times New Roman"/>
        </w:rPr>
        <w:t xml:space="preserve">modules </w:t>
      </w:r>
      <w:r>
        <w:rPr>
          <w:rFonts w:ascii="Times New Roman" w:hAnsi="Times New Roman"/>
        </w:rPr>
        <w:t xml:space="preserve">we </w:t>
      </w:r>
      <w:r w:rsidR="004D4F66">
        <w:rPr>
          <w:rFonts w:ascii="Times New Roman" w:hAnsi="Times New Roman"/>
        </w:rPr>
        <w:t xml:space="preserve">expected </w:t>
      </w:r>
      <w:r>
        <w:rPr>
          <w:rFonts w:ascii="Times New Roman" w:hAnsi="Times New Roman"/>
        </w:rPr>
        <w:t>only 50% of sample members will</w:t>
      </w:r>
      <w:r w:rsidR="004D4F66">
        <w:rPr>
          <w:rFonts w:ascii="Times New Roman" w:hAnsi="Times New Roman"/>
        </w:rPr>
        <w:t xml:space="preserve"> complete </w:t>
      </w:r>
      <w:r w:rsidR="00E64043">
        <w:rPr>
          <w:rFonts w:ascii="Times New Roman" w:hAnsi="Times New Roman"/>
        </w:rPr>
        <w:t>(yielding an expected 5,000 responses for analysis)</w:t>
      </w:r>
      <w:r w:rsidR="004D4F66">
        <w:rPr>
          <w:rFonts w:ascii="Times New Roman" w:hAnsi="Times New Roman"/>
        </w:rPr>
        <w:t xml:space="preserve"> due to skip patterns</w:t>
      </w:r>
      <w:r w:rsidR="00E64043">
        <w:rPr>
          <w:rFonts w:ascii="Times New Roman" w:hAnsi="Times New Roman"/>
        </w:rPr>
        <w:t xml:space="preserve">. </w:t>
      </w:r>
      <w:r w:rsidR="00575673">
        <w:rPr>
          <w:rFonts w:ascii="Times New Roman" w:hAnsi="Times New Roman"/>
        </w:rPr>
        <w:t xml:space="preserve"> </w:t>
      </w:r>
      <w:r>
        <w:rPr>
          <w:rFonts w:ascii="Times New Roman" w:hAnsi="Times New Roman"/>
        </w:rPr>
        <w:t>While h</w:t>
      </w:r>
      <w:r w:rsidR="00E64043">
        <w:rPr>
          <w:rFonts w:ascii="Times New Roman" w:hAnsi="Times New Roman"/>
        </w:rPr>
        <w:t xml:space="preserve">alf-widths for the sample of 5,000 respondents are larger than those for the full sample of </w:t>
      </w:r>
      <w:r w:rsidR="00456FF7">
        <w:rPr>
          <w:rFonts w:ascii="Times New Roman" w:hAnsi="Times New Roman"/>
        </w:rPr>
        <w:t xml:space="preserve">10,000 </w:t>
      </w:r>
      <w:r w:rsidR="00E87878">
        <w:rPr>
          <w:rFonts w:ascii="Times New Roman" w:hAnsi="Times New Roman"/>
        </w:rPr>
        <w:t>respondents</w:t>
      </w:r>
      <w:r>
        <w:rPr>
          <w:rFonts w:ascii="Times New Roman" w:hAnsi="Times New Roman"/>
        </w:rPr>
        <w:t>,</w:t>
      </w:r>
      <w:r w:rsidR="00E87878">
        <w:rPr>
          <w:rFonts w:ascii="Times New Roman" w:hAnsi="Times New Roman"/>
        </w:rPr>
        <w:t xml:space="preserve"> </w:t>
      </w:r>
      <w:r>
        <w:rPr>
          <w:rFonts w:ascii="Times New Roman" w:hAnsi="Times New Roman"/>
        </w:rPr>
        <w:t>we</w:t>
      </w:r>
      <w:r w:rsidR="00E64043">
        <w:rPr>
          <w:rFonts w:ascii="Times New Roman" w:hAnsi="Times New Roman"/>
        </w:rPr>
        <w:t xml:space="preserve"> still expect</w:t>
      </w:r>
      <w:r>
        <w:rPr>
          <w:rFonts w:ascii="Times New Roman" w:hAnsi="Times New Roman"/>
        </w:rPr>
        <w:t xml:space="preserve"> them</w:t>
      </w:r>
      <w:r w:rsidR="00E64043">
        <w:rPr>
          <w:rFonts w:ascii="Times New Roman" w:hAnsi="Times New Roman"/>
        </w:rPr>
        <w:t xml:space="preserve"> to yield half-width CIs of 5 percentage points or less for subgroup comparisons</w:t>
      </w:r>
      <w:r w:rsidR="0043738F">
        <w:rPr>
          <w:rFonts w:ascii="Times New Roman" w:hAnsi="Times New Roman"/>
        </w:rPr>
        <w:t xml:space="preserve"> despite drawing on responses from half of the sample</w:t>
      </w:r>
      <w:r w:rsidR="00E64043">
        <w:rPr>
          <w:rFonts w:ascii="Times New Roman" w:hAnsi="Times New Roman"/>
        </w:rPr>
        <w:t xml:space="preserve">. </w:t>
      </w:r>
    </w:p>
    <w:p w:rsidR="00567D1B" w:rsidP="00567D1B" w14:paraId="00B55E4A" w14:textId="77777777">
      <w:pPr>
        <w:pStyle w:val="TH-TableHeading"/>
        <w:jc w:val="left"/>
        <w:rPr>
          <w:lang w:eastAsia="ja-JP"/>
        </w:rPr>
      </w:pPr>
    </w:p>
    <w:p w:rsidR="00567D1B" w:rsidRPr="00567D1B" w:rsidP="00567D1B" w14:paraId="7F3474D2" w14:textId="77777777">
      <w:pPr>
        <w:pStyle w:val="TH-TableHeading"/>
        <w:jc w:val="left"/>
        <w:rPr>
          <w:lang w:eastAsia="ja-JP"/>
        </w:rPr>
      </w:pPr>
    </w:p>
    <w:tbl>
      <w:tblPr>
        <w:tblStyle w:val="D3Table-Blue"/>
        <w:tblW w:w="4765" w:type="pct"/>
        <w:tblInd w:w="990" w:type="dxa"/>
        <w:tblLayout w:type="fixed"/>
        <w:tblLook w:val="04A0"/>
      </w:tblPr>
      <w:tblGrid>
        <w:gridCol w:w="2529"/>
        <w:gridCol w:w="886"/>
        <w:gridCol w:w="971"/>
        <w:gridCol w:w="1189"/>
        <w:gridCol w:w="1160"/>
        <w:gridCol w:w="1076"/>
        <w:gridCol w:w="1100"/>
      </w:tblGrid>
      <w:tr w14:paraId="1DAC9B52" w14:textId="77777777" w:rsidTr="00567D1B">
        <w:tblPrEx>
          <w:tblW w:w="4765" w:type="pct"/>
          <w:tblInd w:w="990" w:type="dxa"/>
          <w:tblLayout w:type="fixed"/>
          <w:tblLook w:val="04A0"/>
        </w:tblPrEx>
        <w:trPr>
          <w:trHeight w:val="20"/>
        </w:trPr>
        <w:tc>
          <w:tcPr>
            <w:tcW w:w="5000" w:type="pct"/>
            <w:gridSpan w:val="7"/>
            <w:shd w:val="clear" w:color="auto" w:fill="1F4E79" w:themeFill="accent1" w:themeFillShade="80"/>
          </w:tcPr>
          <w:p w:rsidR="00567D1B" w:rsidP="00567D1B" w14:paraId="7D32B73D" w14:textId="0EC84DB5">
            <w:pPr>
              <w:pStyle w:val="TH-TableHeading"/>
              <w:ind w:left="1314" w:hanging="1260"/>
              <w:jc w:val="left"/>
            </w:pPr>
            <w:r w:rsidRPr="00567D1B">
              <w:rPr>
                <w:color w:val="FFFFFF" w:themeColor="background1"/>
              </w:rPr>
              <w:t>Exhibit 1.</w:t>
            </w:r>
            <w:r w:rsidRPr="00567D1B">
              <w:rPr>
                <w:color w:val="FFFFFF" w:themeColor="background1"/>
              </w:rPr>
              <w:tab/>
            </w:r>
            <w:r w:rsidRPr="00567D1B">
              <w:rPr>
                <w:rStyle w:val="cf01"/>
                <w:color w:val="FFFFFF" w:themeColor="background1"/>
              </w:rPr>
              <w:t>Expected distribution of subgroups of interest for NAS, assuming an equal probability sample</w:t>
            </w:r>
          </w:p>
        </w:tc>
      </w:tr>
      <w:tr w14:paraId="439FEB0B" w14:textId="1133E367" w:rsidTr="00C5559E">
        <w:tblPrEx>
          <w:tblW w:w="4765" w:type="pct"/>
          <w:tblInd w:w="990" w:type="dxa"/>
          <w:tblLayout w:type="fixed"/>
          <w:tblLook w:val="04A0"/>
        </w:tblPrEx>
        <w:trPr>
          <w:trHeight w:val="20"/>
        </w:trPr>
        <w:tc>
          <w:tcPr>
            <w:tcW w:w="1419" w:type="pct"/>
            <w:vMerge w:val="restart"/>
          </w:tcPr>
          <w:p w:rsidR="008E6F60" w:rsidRPr="007A3F8C" w:rsidP="00E02C95" w14:paraId="456B6A7F" w14:textId="77777777">
            <w:pPr>
              <w:pStyle w:val="TH-TableHeading"/>
            </w:pPr>
          </w:p>
        </w:tc>
        <w:tc>
          <w:tcPr>
            <w:tcW w:w="1042" w:type="pct"/>
            <w:gridSpan w:val="2"/>
          </w:tcPr>
          <w:p w:rsidR="008E6F60" w:rsidRPr="007A3F8C" w:rsidP="00E02C95" w14:paraId="20DA011B" w14:textId="77777777">
            <w:pPr>
              <w:pStyle w:val="TH-TableHeading"/>
            </w:pPr>
          </w:p>
        </w:tc>
        <w:tc>
          <w:tcPr>
            <w:tcW w:w="1318" w:type="pct"/>
            <w:gridSpan w:val="2"/>
          </w:tcPr>
          <w:p w:rsidR="008E6F60" w:rsidRPr="007A3F8C" w:rsidP="00E02C95" w14:paraId="4315004E" w14:textId="5E1E4118">
            <w:pPr>
              <w:pStyle w:val="TH-TableHeading"/>
            </w:pPr>
            <w:r>
              <w:t>Full Sample</w:t>
            </w:r>
          </w:p>
        </w:tc>
        <w:tc>
          <w:tcPr>
            <w:tcW w:w="1221" w:type="pct"/>
            <w:gridSpan w:val="2"/>
          </w:tcPr>
          <w:p w:rsidR="008E6F60" w:rsidP="00E02C95" w14:paraId="0EA7AC7B" w14:textId="15D42427">
            <w:pPr>
              <w:pStyle w:val="TH-TableHeading"/>
            </w:pPr>
            <w:r>
              <w:t>Module</w:t>
            </w:r>
            <w:r w:rsidR="00A26ACC">
              <w:t>s</w:t>
            </w:r>
            <w:r w:rsidR="004C0F7F">
              <w:t xml:space="preserve"> </w:t>
            </w:r>
          </w:p>
        </w:tc>
      </w:tr>
      <w:tr w14:paraId="44991935" w14:textId="555AD75C" w:rsidTr="00C5559E">
        <w:tblPrEx>
          <w:tblW w:w="4765" w:type="pct"/>
          <w:tblInd w:w="990" w:type="dxa"/>
          <w:tblLayout w:type="fixed"/>
          <w:tblLook w:val="04A0"/>
        </w:tblPrEx>
        <w:trPr>
          <w:trHeight w:val="20"/>
        </w:trPr>
        <w:tc>
          <w:tcPr>
            <w:tcW w:w="1419" w:type="pct"/>
            <w:vMerge/>
          </w:tcPr>
          <w:p w:rsidR="004C0F7F" w:rsidRPr="007A3F8C" w:rsidP="004C0F7F" w14:paraId="6908D34B" w14:textId="77777777">
            <w:pPr>
              <w:spacing w:before="120" w:after="120"/>
              <w:jc w:val="center"/>
              <w:rPr>
                <w:rStyle w:val="SubtleReference"/>
                <w:rFonts w:ascii="Constantia" w:hAnsi="Constantia" w:eastAsiaTheme="minorHAnsi" w:cstheme="minorHAnsi"/>
                <w:sz w:val="20"/>
              </w:rPr>
            </w:pPr>
          </w:p>
        </w:tc>
        <w:tc>
          <w:tcPr>
            <w:tcW w:w="497" w:type="pct"/>
            <w:shd w:val="clear" w:color="auto" w:fill="BBE3F3"/>
          </w:tcPr>
          <w:p w:rsidR="004C0F7F" w:rsidP="004C0F7F" w14:paraId="5D7081ED" w14:textId="1678A40A">
            <w:pPr>
              <w:pStyle w:val="TH-TableHeading"/>
            </w:pPr>
            <w:r>
              <w:t>% of population</w:t>
            </w:r>
          </w:p>
        </w:tc>
        <w:tc>
          <w:tcPr>
            <w:tcW w:w="545" w:type="pct"/>
            <w:shd w:val="clear" w:color="auto" w:fill="BBE3F3"/>
          </w:tcPr>
          <w:p w:rsidR="004C0F7F" w:rsidRPr="002857BC" w:rsidP="004C0F7F" w14:paraId="4B38C6BC" w14:textId="108D45EA">
            <w:pPr>
              <w:pStyle w:val="TH-TableHeading"/>
              <w:rPr>
                <w:vertAlign w:val="superscript"/>
              </w:rPr>
            </w:pPr>
            <w:r>
              <w:t xml:space="preserve">Sample </w:t>
            </w:r>
            <w:r>
              <w:t>size</w:t>
            </w:r>
            <w:r>
              <w:rPr>
                <w:vertAlign w:val="superscript"/>
              </w:rPr>
              <w:t>a</w:t>
            </w:r>
          </w:p>
        </w:tc>
        <w:tc>
          <w:tcPr>
            <w:tcW w:w="667" w:type="pct"/>
            <w:shd w:val="clear" w:color="auto" w:fill="BBE3F3"/>
          </w:tcPr>
          <w:p w:rsidR="004C0F7F" w:rsidRPr="007A3F8C" w:rsidP="004C0F7F" w14:paraId="41FDE724" w14:textId="44A6140E">
            <w:pPr>
              <w:pStyle w:val="TH-TableHeading"/>
            </w:pPr>
            <w:r>
              <w:t>Target completed surveys</w:t>
            </w:r>
          </w:p>
        </w:tc>
        <w:tc>
          <w:tcPr>
            <w:tcW w:w="651" w:type="pct"/>
            <w:shd w:val="clear" w:color="auto" w:fill="BBE3F3"/>
          </w:tcPr>
          <w:p w:rsidR="004C0F7F" w:rsidP="004C0F7F" w14:paraId="461E9930" w14:textId="36052FE4">
            <w:pPr>
              <w:pStyle w:val="TH-TableHeading"/>
            </w:pPr>
            <w:r>
              <w:t>Expected half-width of 95% CI (for P=0.5)</w:t>
            </w:r>
          </w:p>
        </w:tc>
        <w:tc>
          <w:tcPr>
            <w:tcW w:w="604" w:type="pct"/>
            <w:shd w:val="clear" w:color="auto" w:fill="BBE3F3"/>
          </w:tcPr>
          <w:p w:rsidR="004C0F7F" w:rsidP="004C0F7F" w14:paraId="2D60FDF3" w14:textId="640EF293">
            <w:pPr>
              <w:pStyle w:val="TH-TableHeading"/>
            </w:pPr>
            <w:r>
              <w:t>Target completed surveys</w:t>
            </w:r>
          </w:p>
        </w:tc>
        <w:tc>
          <w:tcPr>
            <w:tcW w:w="617" w:type="pct"/>
            <w:shd w:val="clear" w:color="auto" w:fill="BBE3F3"/>
          </w:tcPr>
          <w:p w:rsidR="004C0F7F" w:rsidP="004C0F7F" w14:paraId="1904B92B" w14:textId="2C7CD189">
            <w:pPr>
              <w:pStyle w:val="TH-TableHeading"/>
            </w:pPr>
            <w:r>
              <w:t>Expected half-width of 95% CI (for P=0.5)</w:t>
            </w:r>
          </w:p>
        </w:tc>
      </w:tr>
      <w:tr w14:paraId="7241F361" w14:textId="1CDCFD20" w:rsidTr="00C5559E">
        <w:tblPrEx>
          <w:tblW w:w="4765" w:type="pct"/>
          <w:tblInd w:w="990" w:type="dxa"/>
          <w:tblLayout w:type="fixed"/>
          <w:tblLook w:val="04A0"/>
        </w:tblPrEx>
        <w:trPr>
          <w:trHeight w:val="20"/>
        </w:trPr>
        <w:tc>
          <w:tcPr>
            <w:tcW w:w="1419" w:type="pct"/>
          </w:tcPr>
          <w:p w:rsidR="00D3701F" w:rsidP="00D3701F" w14:paraId="5743C9AB" w14:textId="01A1F067">
            <w:pPr>
              <w:pStyle w:val="TX-TableText"/>
              <w:rPr>
                <w:b/>
              </w:rPr>
            </w:pPr>
            <w:r>
              <w:rPr>
                <w:b/>
              </w:rPr>
              <w:t>Total</w:t>
            </w:r>
          </w:p>
        </w:tc>
        <w:tc>
          <w:tcPr>
            <w:tcW w:w="497" w:type="pct"/>
          </w:tcPr>
          <w:p w:rsidR="00D3701F" w:rsidRPr="007A3F8C" w:rsidP="00D3701F" w14:paraId="5E9C83C1" w14:textId="7F1B2ED3">
            <w:pPr>
              <w:pStyle w:val="TX-TableText"/>
              <w:jc w:val="center"/>
            </w:pPr>
            <w:r>
              <w:t>100</w:t>
            </w:r>
          </w:p>
        </w:tc>
        <w:tc>
          <w:tcPr>
            <w:tcW w:w="545" w:type="pct"/>
          </w:tcPr>
          <w:p w:rsidR="00D3701F" w:rsidRPr="007A3F8C" w:rsidP="00D3701F" w14:paraId="35776CC3" w14:textId="05B18B8E">
            <w:pPr>
              <w:pStyle w:val="TX-TableText"/>
              <w:jc w:val="center"/>
            </w:pPr>
            <w:r>
              <w:t>40,000</w:t>
            </w:r>
          </w:p>
        </w:tc>
        <w:tc>
          <w:tcPr>
            <w:tcW w:w="667" w:type="pct"/>
          </w:tcPr>
          <w:p w:rsidR="00D3701F" w:rsidRPr="007A3F8C" w:rsidP="00D3701F" w14:paraId="41945306" w14:textId="0BCC4CA7">
            <w:pPr>
              <w:pStyle w:val="TX-TableText"/>
              <w:jc w:val="center"/>
            </w:pPr>
            <w:r>
              <w:t>10,000</w:t>
            </w:r>
          </w:p>
        </w:tc>
        <w:tc>
          <w:tcPr>
            <w:tcW w:w="651" w:type="pct"/>
            <w:vAlign w:val="top"/>
          </w:tcPr>
          <w:p w:rsidR="00D3701F" w:rsidP="00D3701F" w14:paraId="39133D69" w14:textId="19B6C656">
            <w:pPr>
              <w:pStyle w:val="TX-TableText"/>
              <w:jc w:val="center"/>
            </w:pPr>
            <w:r w:rsidRPr="0039355E">
              <w:t>1.1</w:t>
            </w:r>
          </w:p>
        </w:tc>
        <w:tc>
          <w:tcPr>
            <w:tcW w:w="604" w:type="pct"/>
            <w:vAlign w:val="top"/>
          </w:tcPr>
          <w:p w:rsidR="00D3701F" w:rsidRPr="0039355E" w:rsidP="00D3701F" w14:paraId="1C1D4D72" w14:textId="7D3DF4D2">
            <w:pPr>
              <w:pStyle w:val="TX-TableText"/>
              <w:jc w:val="center"/>
            </w:pPr>
            <w:r>
              <w:t>5,000</w:t>
            </w:r>
          </w:p>
        </w:tc>
        <w:tc>
          <w:tcPr>
            <w:tcW w:w="617" w:type="pct"/>
            <w:vAlign w:val="top"/>
          </w:tcPr>
          <w:p w:rsidR="00D3701F" w:rsidRPr="0039355E" w:rsidP="00D3701F" w14:paraId="64E7634E" w14:textId="06B5BC6F">
            <w:pPr>
              <w:pStyle w:val="TX-TableText"/>
              <w:jc w:val="center"/>
            </w:pPr>
            <w:r w:rsidRPr="00C5559E">
              <w:t>1.6</w:t>
            </w:r>
          </w:p>
        </w:tc>
      </w:tr>
      <w:tr w14:paraId="141D42B8" w14:textId="4A608721" w:rsidTr="00C5559E">
        <w:tblPrEx>
          <w:tblW w:w="4765" w:type="pct"/>
          <w:tblInd w:w="990" w:type="dxa"/>
          <w:tblLayout w:type="fixed"/>
          <w:tblLook w:val="04A0"/>
        </w:tblPrEx>
        <w:trPr>
          <w:trHeight w:val="20"/>
        </w:trPr>
        <w:tc>
          <w:tcPr>
            <w:tcW w:w="1419" w:type="pct"/>
          </w:tcPr>
          <w:p w:rsidR="00D3701F" w:rsidP="00D3701F" w14:paraId="31334946" w14:textId="6A7E0240">
            <w:pPr>
              <w:pStyle w:val="TX-TableText"/>
              <w:rPr>
                <w:b/>
              </w:rPr>
            </w:pPr>
            <w:r>
              <w:rPr>
                <w:b/>
              </w:rPr>
              <w:t>Application stage (most recent application)</w:t>
            </w:r>
          </w:p>
        </w:tc>
        <w:tc>
          <w:tcPr>
            <w:tcW w:w="497" w:type="pct"/>
          </w:tcPr>
          <w:p w:rsidR="00D3701F" w:rsidRPr="007A3F8C" w:rsidP="00D3701F" w14:paraId="57A0FE26" w14:textId="77777777">
            <w:pPr>
              <w:pStyle w:val="TX-TableText"/>
            </w:pPr>
          </w:p>
        </w:tc>
        <w:tc>
          <w:tcPr>
            <w:tcW w:w="545" w:type="pct"/>
          </w:tcPr>
          <w:p w:rsidR="00D3701F" w:rsidRPr="007A3F8C" w:rsidP="00D3701F" w14:paraId="178ECE1C" w14:textId="40354B92">
            <w:pPr>
              <w:pStyle w:val="TX-TableText"/>
            </w:pPr>
          </w:p>
        </w:tc>
        <w:tc>
          <w:tcPr>
            <w:tcW w:w="667" w:type="pct"/>
          </w:tcPr>
          <w:p w:rsidR="00D3701F" w:rsidRPr="007A3F8C" w:rsidP="00D3701F" w14:paraId="5C85CD2E" w14:textId="77777777">
            <w:pPr>
              <w:pStyle w:val="TX-TableText"/>
            </w:pPr>
          </w:p>
        </w:tc>
        <w:tc>
          <w:tcPr>
            <w:tcW w:w="651" w:type="pct"/>
            <w:vAlign w:val="top"/>
          </w:tcPr>
          <w:p w:rsidR="00D3701F" w:rsidRPr="007A3F8C" w:rsidP="00D3701F" w14:paraId="39E21AB4" w14:textId="77777777">
            <w:pPr>
              <w:pStyle w:val="TX-TableText"/>
            </w:pPr>
          </w:p>
        </w:tc>
        <w:tc>
          <w:tcPr>
            <w:tcW w:w="604" w:type="pct"/>
            <w:vAlign w:val="top"/>
          </w:tcPr>
          <w:p w:rsidR="00D3701F" w:rsidRPr="007A3F8C" w:rsidP="00C5559E" w14:paraId="2F2662B2" w14:textId="50955DE1">
            <w:pPr>
              <w:pStyle w:val="TX-TableText"/>
              <w:jc w:val="center"/>
            </w:pPr>
          </w:p>
        </w:tc>
        <w:tc>
          <w:tcPr>
            <w:tcW w:w="617" w:type="pct"/>
            <w:vAlign w:val="top"/>
          </w:tcPr>
          <w:p w:rsidR="00D3701F" w:rsidRPr="007A3F8C" w:rsidP="00C5559E" w14:paraId="742CEA4F" w14:textId="0D3F6E36">
            <w:pPr>
              <w:pStyle w:val="TX-TableText"/>
              <w:jc w:val="center"/>
            </w:pPr>
          </w:p>
        </w:tc>
      </w:tr>
      <w:tr w14:paraId="1CD130BC" w14:textId="3B945ED7" w:rsidTr="00C5559E">
        <w:tblPrEx>
          <w:tblW w:w="4765" w:type="pct"/>
          <w:tblInd w:w="990" w:type="dxa"/>
          <w:tblLayout w:type="fixed"/>
          <w:tblLook w:val="04A0"/>
        </w:tblPrEx>
        <w:trPr>
          <w:trHeight w:val="20"/>
        </w:trPr>
        <w:tc>
          <w:tcPr>
            <w:tcW w:w="1419" w:type="pct"/>
          </w:tcPr>
          <w:p w:rsidR="00D3701F" w:rsidRPr="00C93BF3" w:rsidP="00D3701F" w14:paraId="2DA766F6" w14:textId="6E97E4BF">
            <w:pPr>
              <w:pStyle w:val="TX-TableText"/>
              <w:ind w:firstLine="150"/>
              <w:rPr>
                <w:bCs/>
              </w:rPr>
            </w:pPr>
            <w:r>
              <w:rPr>
                <w:bCs/>
              </w:rPr>
              <w:t>Initial application</w:t>
            </w:r>
          </w:p>
        </w:tc>
        <w:tc>
          <w:tcPr>
            <w:tcW w:w="497" w:type="pct"/>
            <w:vAlign w:val="top"/>
          </w:tcPr>
          <w:p w:rsidR="00D3701F" w:rsidRPr="007A3F8C" w:rsidP="00D3701F" w14:paraId="5D406F4D" w14:textId="4B80A4CE">
            <w:pPr>
              <w:pStyle w:val="TX-TableText"/>
              <w:jc w:val="center"/>
            </w:pPr>
            <w:r w:rsidRPr="0088035F">
              <w:t>64.9</w:t>
            </w:r>
          </w:p>
        </w:tc>
        <w:tc>
          <w:tcPr>
            <w:tcW w:w="545" w:type="pct"/>
            <w:vAlign w:val="top"/>
          </w:tcPr>
          <w:p w:rsidR="00D3701F" w:rsidRPr="007A3F8C" w:rsidP="00D3701F" w14:paraId="0A25BCD1" w14:textId="4E682FB0">
            <w:pPr>
              <w:pStyle w:val="TX-TableText"/>
              <w:jc w:val="center"/>
            </w:pPr>
            <w:r w:rsidRPr="00327C1F">
              <w:t xml:space="preserve"> 25,960 </w:t>
            </w:r>
          </w:p>
        </w:tc>
        <w:tc>
          <w:tcPr>
            <w:tcW w:w="667" w:type="pct"/>
            <w:vAlign w:val="top"/>
          </w:tcPr>
          <w:p w:rsidR="00D3701F" w:rsidRPr="007A3F8C" w:rsidP="00D3701F" w14:paraId="64C96269" w14:textId="265F5CF5">
            <w:pPr>
              <w:pStyle w:val="TX-TableText"/>
              <w:jc w:val="center"/>
            </w:pPr>
            <w:r w:rsidRPr="0088035F">
              <w:t>6</w:t>
            </w:r>
            <w:r>
              <w:t>,</w:t>
            </w:r>
            <w:r w:rsidRPr="0088035F">
              <w:t>490</w:t>
            </w:r>
          </w:p>
        </w:tc>
        <w:tc>
          <w:tcPr>
            <w:tcW w:w="651" w:type="pct"/>
            <w:vAlign w:val="top"/>
          </w:tcPr>
          <w:p w:rsidR="00D3701F" w:rsidRPr="0088035F" w:rsidP="00D3701F" w14:paraId="250E1756" w14:textId="13E3A23E">
            <w:pPr>
              <w:pStyle w:val="TX-TableText"/>
              <w:jc w:val="center"/>
            </w:pPr>
            <w:r w:rsidRPr="0039355E">
              <w:t>1.4</w:t>
            </w:r>
          </w:p>
        </w:tc>
        <w:tc>
          <w:tcPr>
            <w:tcW w:w="604" w:type="pct"/>
            <w:vAlign w:val="top"/>
          </w:tcPr>
          <w:p w:rsidR="00D3701F" w:rsidRPr="0039355E" w:rsidP="00D3701F" w14:paraId="0968897A" w14:textId="27EB67F9">
            <w:pPr>
              <w:pStyle w:val="TX-TableText"/>
              <w:jc w:val="center"/>
            </w:pPr>
            <w:r>
              <w:t>3,245</w:t>
            </w:r>
          </w:p>
        </w:tc>
        <w:tc>
          <w:tcPr>
            <w:tcW w:w="617" w:type="pct"/>
            <w:vAlign w:val="top"/>
          </w:tcPr>
          <w:p w:rsidR="00D3701F" w:rsidRPr="0039355E" w:rsidP="00D3701F" w14:paraId="460731BA" w14:textId="050A9D02">
            <w:pPr>
              <w:pStyle w:val="TX-TableText"/>
              <w:jc w:val="center"/>
            </w:pPr>
            <w:r w:rsidRPr="00C5559E">
              <w:t>2.0</w:t>
            </w:r>
          </w:p>
        </w:tc>
      </w:tr>
      <w:tr w14:paraId="5402D0E6" w14:textId="3ABE627F" w:rsidTr="00C5559E">
        <w:tblPrEx>
          <w:tblW w:w="4765" w:type="pct"/>
          <w:tblInd w:w="990" w:type="dxa"/>
          <w:tblLayout w:type="fixed"/>
          <w:tblLook w:val="04A0"/>
        </w:tblPrEx>
        <w:trPr>
          <w:trHeight w:val="20"/>
        </w:trPr>
        <w:tc>
          <w:tcPr>
            <w:tcW w:w="1419" w:type="pct"/>
          </w:tcPr>
          <w:p w:rsidR="00D3701F" w:rsidRPr="00C93BF3" w:rsidP="00D3701F" w14:paraId="5DCEBF0C" w14:textId="3D82EA7E">
            <w:pPr>
              <w:pStyle w:val="TX-TableText"/>
              <w:ind w:firstLine="150"/>
              <w:rPr>
                <w:bCs/>
              </w:rPr>
            </w:pPr>
            <w:r>
              <w:rPr>
                <w:bCs/>
              </w:rPr>
              <w:t>Reconsideration appeal</w:t>
            </w:r>
          </w:p>
        </w:tc>
        <w:tc>
          <w:tcPr>
            <w:tcW w:w="497" w:type="pct"/>
            <w:vAlign w:val="top"/>
          </w:tcPr>
          <w:p w:rsidR="00D3701F" w:rsidRPr="007A3F8C" w:rsidP="00D3701F" w14:paraId="2DB9CA6C" w14:textId="7B310429">
            <w:pPr>
              <w:pStyle w:val="TX-TableText"/>
              <w:jc w:val="center"/>
            </w:pPr>
            <w:r w:rsidRPr="0088035F">
              <w:t>16.7</w:t>
            </w:r>
          </w:p>
        </w:tc>
        <w:tc>
          <w:tcPr>
            <w:tcW w:w="545" w:type="pct"/>
            <w:vAlign w:val="top"/>
          </w:tcPr>
          <w:p w:rsidR="00D3701F" w:rsidRPr="007A3F8C" w:rsidP="00D3701F" w14:paraId="5F84249F" w14:textId="587CA7A6">
            <w:pPr>
              <w:pStyle w:val="TX-TableText"/>
              <w:jc w:val="center"/>
            </w:pPr>
            <w:r w:rsidRPr="00327C1F">
              <w:t xml:space="preserve"> 6,680 </w:t>
            </w:r>
          </w:p>
        </w:tc>
        <w:tc>
          <w:tcPr>
            <w:tcW w:w="667" w:type="pct"/>
            <w:vAlign w:val="top"/>
          </w:tcPr>
          <w:p w:rsidR="00D3701F" w:rsidRPr="007A3F8C" w:rsidP="00D3701F" w14:paraId="6B7DCBDD" w14:textId="337DDB47">
            <w:pPr>
              <w:pStyle w:val="TX-TableText"/>
              <w:jc w:val="center"/>
            </w:pPr>
            <w:r w:rsidRPr="0088035F">
              <w:t>1</w:t>
            </w:r>
            <w:r>
              <w:t>,</w:t>
            </w:r>
            <w:r w:rsidRPr="0088035F">
              <w:t>670</w:t>
            </w:r>
          </w:p>
        </w:tc>
        <w:tc>
          <w:tcPr>
            <w:tcW w:w="651" w:type="pct"/>
            <w:vAlign w:val="top"/>
          </w:tcPr>
          <w:p w:rsidR="00D3701F" w:rsidRPr="0088035F" w:rsidP="00D3701F" w14:paraId="6949DFED" w14:textId="1ED3E590">
            <w:pPr>
              <w:pStyle w:val="TX-TableText"/>
              <w:jc w:val="center"/>
            </w:pPr>
            <w:r w:rsidRPr="0039355E">
              <w:t>2.7</w:t>
            </w:r>
          </w:p>
        </w:tc>
        <w:tc>
          <w:tcPr>
            <w:tcW w:w="604" w:type="pct"/>
            <w:vAlign w:val="top"/>
          </w:tcPr>
          <w:p w:rsidR="00D3701F" w:rsidRPr="0039355E" w:rsidP="00D3701F" w14:paraId="503D9B91" w14:textId="6675A3EE">
            <w:pPr>
              <w:pStyle w:val="TX-TableText"/>
              <w:jc w:val="center"/>
            </w:pPr>
            <w:r>
              <w:t>835</w:t>
            </w:r>
          </w:p>
        </w:tc>
        <w:tc>
          <w:tcPr>
            <w:tcW w:w="617" w:type="pct"/>
            <w:vAlign w:val="top"/>
          </w:tcPr>
          <w:p w:rsidR="00D3701F" w:rsidRPr="0039355E" w:rsidP="00D3701F" w14:paraId="34D585A4" w14:textId="03360F6D">
            <w:pPr>
              <w:pStyle w:val="TX-TableText"/>
              <w:jc w:val="center"/>
            </w:pPr>
            <w:r w:rsidRPr="00C5559E">
              <w:t>3.9</w:t>
            </w:r>
          </w:p>
        </w:tc>
      </w:tr>
      <w:tr w14:paraId="349DBBE9" w14:textId="37B661CA" w:rsidTr="00C5559E">
        <w:tblPrEx>
          <w:tblW w:w="4765" w:type="pct"/>
          <w:tblInd w:w="990" w:type="dxa"/>
          <w:tblLayout w:type="fixed"/>
          <w:tblLook w:val="04A0"/>
        </w:tblPrEx>
        <w:trPr>
          <w:trHeight w:val="20"/>
        </w:trPr>
        <w:tc>
          <w:tcPr>
            <w:tcW w:w="1419" w:type="pct"/>
          </w:tcPr>
          <w:p w:rsidR="00D3701F" w:rsidRPr="00D3450D" w:rsidP="00D3701F" w14:paraId="1BFE3ADE" w14:textId="01EC4CCF">
            <w:pPr>
              <w:pStyle w:val="TX-TableText"/>
              <w:ind w:firstLine="150"/>
              <w:rPr>
                <w:bCs/>
              </w:rPr>
            </w:pPr>
            <w:r w:rsidRPr="00D3450D">
              <w:rPr>
                <w:bCs/>
              </w:rPr>
              <w:t>Appeal to Administrative Law Judge (ALJ)</w:t>
            </w:r>
          </w:p>
        </w:tc>
        <w:tc>
          <w:tcPr>
            <w:tcW w:w="497" w:type="pct"/>
            <w:vAlign w:val="top"/>
          </w:tcPr>
          <w:p w:rsidR="00D3701F" w:rsidRPr="007A3F8C" w:rsidP="00D3701F" w14:paraId="0B160807" w14:textId="2F6DE595">
            <w:pPr>
              <w:pStyle w:val="TX-TableText"/>
              <w:jc w:val="center"/>
            </w:pPr>
            <w:r w:rsidRPr="0088035F">
              <w:t>18.4</w:t>
            </w:r>
          </w:p>
        </w:tc>
        <w:tc>
          <w:tcPr>
            <w:tcW w:w="545" w:type="pct"/>
            <w:vAlign w:val="top"/>
          </w:tcPr>
          <w:p w:rsidR="00D3701F" w:rsidRPr="007A3F8C" w:rsidP="00D3701F" w14:paraId="03250FAC" w14:textId="301C199C">
            <w:pPr>
              <w:pStyle w:val="TX-TableText"/>
              <w:jc w:val="center"/>
            </w:pPr>
            <w:r w:rsidRPr="00327C1F">
              <w:t xml:space="preserve"> 7,360 </w:t>
            </w:r>
          </w:p>
        </w:tc>
        <w:tc>
          <w:tcPr>
            <w:tcW w:w="667" w:type="pct"/>
            <w:vAlign w:val="top"/>
          </w:tcPr>
          <w:p w:rsidR="00D3701F" w:rsidRPr="007A3F8C" w:rsidP="00D3701F" w14:paraId="3FD6F5BA" w14:textId="7E51F613">
            <w:pPr>
              <w:pStyle w:val="TX-TableText"/>
              <w:jc w:val="center"/>
            </w:pPr>
            <w:r w:rsidRPr="0088035F">
              <w:t>1</w:t>
            </w:r>
            <w:r>
              <w:t>,</w:t>
            </w:r>
            <w:r w:rsidRPr="0088035F">
              <w:t>840</w:t>
            </w:r>
          </w:p>
        </w:tc>
        <w:tc>
          <w:tcPr>
            <w:tcW w:w="651" w:type="pct"/>
            <w:vAlign w:val="top"/>
          </w:tcPr>
          <w:p w:rsidR="00D3701F" w:rsidRPr="0088035F" w:rsidP="00D3701F" w14:paraId="41614FC5" w14:textId="421A9244">
            <w:pPr>
              <w:pStyle w:val="TX-TableText"/>
              <w:jc w:val="center"/>
            </w:pPr>
            <w:r w:rsidRPr="0039355E">
              <w:t>2.6</w:t>
            </w:r>
          </w:p>
        </w:tc>
        <w:tc>
          <w:tcPr>
            <w:tcW w:w="604" w:type="pct"/>
            <w:vAlign w:val="top"/>
          </w:tcPr>
          <w:p w:rsidR="00D3701F" w:rsidRPr="0039355E" w:rsidP="00D3701F" w14:paraId="6AF82987" w14:textId="1D3CEE83">
            <w:pPr>
              <w:pStyle w:val="TX-TableText"/>
              <w:jc w:val="center"/>
            </w:pPr>
            <w:r>
              <w:t>920</w:t>
            </w:r>
          </w:p>
        </w:tc>
        <w:tc>
          <w:tcPr>
            <w:tcW w:w="617" w:type="pct"/>
            <w:vAlign w:val="top"/>
          </w:tcPr>
          <w:p w:rsidR="00D3701F" w:rsidRPr="0039355E" w:rsidP="00D3701F" w14:paraId="6AD26224" w14:textId="4BFA76D4">
            <w:pPr>
              <w:pStyle w:val="TX-TableText"/>
              <w:jc w:val="center"/>
            </w:pPr>
            <w:r w:rsidRPr="00C5559E">
              <w:t>3.7</w:t>
            </w:r>
          </w:p>
        </w:tc>
      </w:tr>
      <w:tr w14:paraId="316E0E25" w14:textId="77E03099" w:rsidTr="00C5559E">
        <w:tblPrEx>
          <w:tblW w:w="4765" w:type="pct"/>
          <w:tblInd w:w="990" w:type="dxa"/>
          <w:tblLayout w:type="fixed"/>
          <w:tblLook w:val="04A0"/>
        </w:tblPrEx>
        <w:trPr>
          <w:trHeight w:val="20"/>
        </w:trPr>
        <w:tc>
          <w:tcPr>
            <w:tcW w:w="1419" w:type="pct"/>
          </w:tcPr>
          <w:p w:rsidR="00D3701F" w:rsidRPr="0068269B" w:rsidP="00D3701F" w14:paraId="245D5D19" w14:textId="6BA04A0F">
            <w:pPr>
              <w:pStyle w:val="TX-TableText"/>
              <w:rPr>
                <w:b/>
              </w:rPr>
            </w:pPr>
            <w:r w:rsidRPr="0068269B">
              <w:rPr>
                <w:b/>
              </w:rPr>
              <w:t>Most recent decision</w:t>
            </w:r>
          </w:p>
        </w:tc>
        <w:tc>
          <w:tcPr>
            <w:tcW w:w="497" w:type="pct"/>
            <w:vAlign w:val="top"/>
          </w:tcPr>
          <w:p w:rsidR="00D3701F" w:rsidRPr="007A3F8C" w:rsidP="00D3701F" w14:paraId="6805ED67" w14:textId="77777777">
            <w:pPr>
              <w:pStyle w:val="TX-TableText"/>
              <w:jc w:val="center"/>
            </w:pPr>
          </w:p>
        </w:tc>
        <w:tc>
          <w:tcPr>
            <w:tcW w:w="545" w:type="pct"/>
            <w:vAlign w:val="top"/>
          </w:tcPr>
          <w:p w:rsidR="00D3701F" w:rsidRPr="007A3F8C" w:rsidP="00D3701F" w14:paraId="2CC94E11" w14:textId="673E9C7A">
            <w:pPr>
              <w:pStyle w:val="TX-TableText"/>
              <w:jc w:val="center"/>
            </w:pPr>
          </w:p>
        </w:tc>
        <w:tc>
          <w:tcPr>
            <w:tcW w:w="667" w:type="pct"/>
            <w:vAlign w:val="top"/>
          </w:tcPr>
          <w:p w:rsidR="00D3701F" w:rsidRPr="007A3F8C" w:rsidP="00D3701F" w14:paraId="41C4AEAE" w14:textId="77777777">
            <w:pPr>
              <w:pStyle w:val="TX-TableText"/>
              <w:jc w:val="center"/>
            </w:pPr>
          </w:p>
        </w:tc>
        <w:tc>
          <w:tcPr>
            <w:tcW w:w="651" w:type="pct"/>
            <w:vAlign w:val="top"/>
          </w:tcPr>
          <w:p w:rsidR="00D3701F" w:rsidRPr="007A3F8C" w:rsidP="00D3701F" w14:paraId="622F679F" w14:textId="77777777">
            <w:pPr>
              <w:pStyle w:val="TX-TableText"/>
              <w:jc w:val="center"/>
            </w:pPr>
          </w:p>
        </w:tc>
        <w:tc>
          <w:tcPr>
            <w:tcW w:w="604" w:type="pct"/>
            <w:vAlign w:val="top"/>
          </w:tcPr>
          <w:p w:rsidR="00D3701F" w:rsidRPr="007A3F8C" w:rsidP="00D3701F" w14:paraId="214DD483" w14:textId="5573CF8E">
            <w:pPr>
              <w:pStyle w:val="TX-TableText"/>
              <w:jc w:val="center"/>
            </w:pPr>
          </w:p>
        </w:tc>
        <w:tc>
          <w:tcPr>
            <w:tcW w:w="617" w:type="pct"/>
            <w:vAlign w:val="top"/>
          </w:tcPr>
          <w:p w:rsidR="00D3701F" w:rsidRPr="007A3F8C" w:rsidP="00D3701F" w14:paraId="6EB56846" w14:textId="56EE4E6E">
            <w:pPr>
              <w:pStyle w:val="TX-TableText"/>
              <w:jc w:val="center"/>
            </w:pPr>
          </w:p>
        </w:tc>
      </w:tr>
      <w:tr w14:paraId="32349AED" w14:textId="25AD3EAD" w:rsidTr="00C5559E">
        <w:tblPrEx>
          <w:tblW w:w="4765" w:type="pct"/>
          <w:tblInd w:w="990" w:type="dxa"/>
          <w:tblLayout w:type="fixed"/>
          <w:tblLook w:val="04A0"/>
        </w:tblPrEx>
        <w:trPr>
          <w:trHeight w:val="20"/>
        </w:trPr>
        <w:tc>
          <w:tcPr>
            <w:tcW w:w="1419" w:type="pct"/>
          </w:tcPr>
          <w:p w:rsidR="00D3701F" w:rsidP="00D3701F" w14:paraId="322E6F5D" w14:textId="2A9B9B67">
            <w:pPr>
              <w:pStyle w:val="TX-TableText"/>
              <w:ind w:firstLine="150"/>
              <w:rPr>
                <w:bCs/>
              </w:rPr>
            </w:pPr>
            <w:r>
              <w:rPr>
                <w:bCs/>
              </w:rPr>
              <w:t>No decision (pending)</w:t>
            </w:r>
          </w:p>
        </w:tc>
        <w:tc>
          <w:tcPr>
            <w:tcW w:w="497" w:type="pct"/>
            <w:vAlign w:val="top"/>
          </w:tcPr>
          <w:p w:rsidR="00D3701F" w:rsidRPr="007A3F8C" w:rsidP="00D3701F" w14:paraId="09E12C7A" w14:textId="48B760C6">
            <w:pPr>
              <w:pStyle w:val="TX-TableText"/>
              <w:jc w:val="center"/>
            </w:pPr>
            <w:r w:rsidRPr="00EC67EF">
              <w:t>34</w:t>
            </w:r>
            <w:r>
              <w:t>.0</w:t>
            </w:r>
          </w:p>
        </w:tc>
        <w:tc>
          <w:tcPr>
            <w:tcW w:w="545" w:type="pct"/>
            <w:vAlign w:val="top"/>
          </w:tcPr>
          <w:p w:rsidR="00D3701F" w:rsidRPr="007A3F8C" w:rsidP="00D3701F" w14:paraId="3A730925" w14:textId="136399FB">
            <w:pPr>
              <w:pStyle w:val="TX-TableText"/>
              <w:jc w:val="center"/>
            </w:pPr>
            <w:r w:rsidRPr="007E36EF">
              <w:t xml:space="preserve"> 13,600 </w:t>
            </w:r>
          </w:p>
        </w:tc>
        <w:tc>
          <w:tcPr>
            <w:tcW w:w="667" w:type="pct"/>
            <w:vAlign w:val="top"/>
          </w:tcPr>
          <w:p w:rsidR="00D3701F" w:rsidRPr="007A3F8C" w:rsidP="00D3701F" w14:paraId="6A32996B" w14:textId="295A3B74">
            <w:pPr>
              <w:pStyle w:val="TX-TableText"/>
              <w:jc w:val="center"/>
            </w:pPr>
            <w:r w:rsidRPr="00EC67EF">
              <w:t>3</w:t>
            </w:r>
            <w:r>
              <w:t>,</w:t>
            </w:r>
            <w:r w:rsidRPr="00EC67EF">
              <w:t>400</w:t>
            </w:r>
          </w:p>
        </w:tc>
        <w:tc>
          <w:tcPr>
            <w:tcW w:w="651" w:type="pct"/>
            <w:vAlign w:val="top"/>
          </w:tcPr>
          <w:p w:rsidR="00D3701F" w:rsidRPr="00EC67EF" w:rsidP="00D3701F" w14:paraId="5D24A70A" w14:textId="106A0316">
            <w:pPr>
              <w:pStyle w:val="TX-TableText"/>
              <w:jc w:val="center"/>
            </w:pPr>
            <w:r w:rsidRPr="0039355E">
              <w:t>1.9</w:t>
            </w:r>
          </w:p>
        </w:tc>
        <w:tc>
          <w:tcPr>
            <w:tcW w:w="604" w:type="pct"/>
            <w:vAlign w:val="top"/>
          </w:tcPr>
          <w:p w:rsidR="00D3701F" w:rsidRPr="0039355E" w:rsidP="00D3701F" w14:paraId="1FC7C9E0" w14:textId="6A716EC8">
            <w:pPr>
              <w:pStyle w:val="TX-TableText"/>
              <w:jc w:val="center"/>
            </w:pPr>
            <w:r>
              <w:t>1,700</w:t>
            </w:r>
          </w:p>
        </w:tc>
        <w:tc>
          <w:tcPr>
            <w:tcW w:w="617" w:type="pct"/>
            <w:vAlign w:val="top"/>
          </w:tcPr>
          <w:p w:rsidR="00D3701F" w:rsidRPr="0039355E" w:rsidP="00D3701F" w14:paraId="024A408D" w14:textId="62AD7FA1">
            <w:pPr>
              <w:pStyle w:val="TX-TableText"/>
              <w:jc w:val="center"/>
            </w:pPr>
            <w:r w:rsidRPr="00C5559E">
              <w:t>2.7</w:t>
            </w:r>
          </w:p>
        </w:tc>
      </w:tr>
      <w:tr w14:paraId="78F6A331" w14:textId="4C4F9131" w:rsidTr="00C5559E">
        <w:tblPrEx>
          <w:tblW w:w="4765" w:type="pct"/>
          <w:tblInd w:w="990" w:type="dxa"/>
          <w:tblLayout w:type="fixed"/>
          <w:tblLook w:val="04A0"/>
        </w:tblPrEx>
        <w:trPr>
          <w:trHeight w:val="20"/>
        </w:trPr>
        <w:tc>
          <w:tcPr>
            <w:tcW w:w="1419" w:type="pct"/>
          </w:tcPr>
          <w:p w:rsidR="00D3701F" w:rsidP="00D3701F" w14:paraId="465FABB6" w14:textId="3DA6AD21">
            <w:pPr>
              <w:pStyle w:val="TX-TableText"/>
              <w:ind w:firstLine="150"/>
              <w:rPr>
                <w:bCs/>
              </w:rPr>
            </w:pPr>
            <w:r>
              <w:rPr>
                <w:bCs/>
              </w:rPr>
              <w:t xml:space="preserve">Allowed </w:t>
            </w:r>
          </w:p>
        </w:tc>
        <w:tc>
          <w:tcPr>
            <w:tcW w:w="497" w:type="pct"/>
            <w:vAlign w:val="top"/>
          </w:tcPr>
          <w:p w:rsidR="00D3701F" w:rsidRPr="007A3F8C" w:rsidP="00D3701F" w14:paraId="60A2EE0A" w14:textId="02A819B6">
            <w:pPr>
              <w:pStyle w:val="TX-TableText"/>
              <w:jc w:val="center"/>
            </w:pPr>
            <w:r w:rsidRPr="00EC67EF">
              <w:t>18.3</w:t>
            </w:r>
          </w:p>
        </w:tc>
        <w:tc>
          <w:tcPr>
            <w:tcW w:w="545" w:type="pct"/>
            <w:vAlign w:val="top"/>
          </w:tcPr>
          <w:p w:rsidR="00D3701F" w:rsidRPr="007A3F8C" w:rsidP="00D3701F" w14:paraId="5F4B4686" w14:textId="5F387640">
            <w:pPr>
              <w:pStyle w:val="TX-TableText"/>
              <w:jc w:val="center"/>
            </w:pPr>
            <w:r w:rsidRPr="007E36EF">
              <w:t xml:space="preserve"> 7,320 </w:t>
            </w:r>
          </w:p>
        </w:tc>
        <w:tc>
          <w:tcPr>
            <w:tcW w:w="667" w:type="pct"/>
            <w:vAlign w:val="top"/>
          </w:tcPr>
          <w:p w:rsidR="00D3701F" w:rsidRPr="007A3F8C" w:rsidP="00D3701F" w14:paraId="65DD619D" w14:textId="05A7910F">
            <w:pPr>
              <w:pStyle w:val="TX-TableText"/>
              <w:jc w:val="center"/>
            </w:pPr>
            <w:r w:rsidRPr="00EC67EF">
              <w:t>1</w:t>
            </w:r>
            <w:r>
              <w:t>,</w:t>
            </w:r>
            <w:r w:rsidRPr="00EC67EF">
              <w:t>830</w:t>
            </w:r>
          </w:p>
        </w:tc>
        <w:tc>
          <w:tcPr>
            <w:tcW w:w="651" w:type="pct"/>
            <w:vAlign w:val="top"/>
          </w:tcPr>
          <w:p w:rsidR="00D3701F" w:rsidRPr="00EC67EF" w:rsidP="00D3701F" w14:paraId="5E633C2D" w14:textId="4E05284D">
            <w:pPr>
              <w:pStyle w:val="TX-TableText"/>
              <w:jc w:val="center"/>
            </w:pPr>
            <w:r w:rsidRPr="0039355E">
              <w:t>2.6</w:t>
            </w:r>
          </w:p>
        </w:tc>
        <w:tc>
          <w:tcPr>
            <w:tcW w:w="604" w:type="pct"/>
            <w:vAlign w:val="top"/>
          </w:tcPr>
          <w:p w:rsidR="00D3701F" w:rsidRPr="0039355E" w:rsidP="00D3701F" w14:paraId="33FE208C" w14:textId="3D3B66F7">
            <w:pPr>
              <w:pStyle w:val="TX-TableText"/>
              <w:jc w:val="center"/>
            </w:pPr>
            <w:r>
              <w:t>915</w:t>
            </w:r>
          </w:p>
        </w:tc>
        <w:tc>
          <w:tcPr>
            <w:tcW w:w="617" w:type="pct"/>
            <w:vAlign w:val="top"/>
          </w:tcPr>
          <w:p w:rsidR="00D3701F" w:rsidRPr="0039355E" w:rsidP="00D3701F" w14:paraId="2381E8E8" w14:textId="35062173">
            <w:pPr>
              <w:pStyle w:val="TX-TableText"/>
              <w:jc w:val="center"/>
            </w:pPr>
            <w:r w:rsidRPr="00C5559E">
              <w:t>3.7</w:t>
            </w:r>
          </w:p>
        </w:tc>
      </w:tr>
      <w:tr w14:paraId="4AA2793A" w14:textId="72A9A094" w:rsidTr="00C5559E">
        <w:tblPrEx>
          <w:tblW w:w="4765" w:type="pct"/>
          <w:tblInd w:w="990" w:type="dxa"/>
          <w:tblLayout w:type="fixed"/>
          <w:tblLook w:val="04A0"/>
        </w:tblPrEx>
        <w:trPr>
          <w:trHeight w:val="20"/>
        </w:trPr>
        <w:tc>
          <w:tcPr>
            <w:tcW w:w="1419" w:type="pct"/>
          </w:tcPr>
          <w:p w:rsidR="00D3701F" w:rsidP="00D3701F" w14:paraId="0C1277AA" w14:textId="3248633B">
            <w:pPr>
              <w:pStyle w:val="TX-TableText"/>
              <w:ind w:firstLine="150"/>
              <w:rPr>
                <w:bCs/>
              </w:rPr>
            </w:pPr>
            <w:r>
              <w:rPr>
                <w:bCs/>
              </w:rPr>
              <w:t>Denied</w:t>
            </w:r>
          </w:p>
        </w:tc>
        <w:tc>
          <w:tcPr>
            <w:tcW w:w="497" w:type="pct"/>
            <w:vAlign w:val="top"/>
          </w:tcPr>
          <w:p w:rsidR="00D3701F" w:rsidRPr="007A3F8C" w:rsidP="00D3701F" w14:paraId="4FFF7AA8" w14:textId="1CB4C596">
            <w:pPr>
              <w:pStyle w:val="TX-TableText"/>
              <w:jc w:val="center"/>
            </w:pPr>
            <w:r w:rsidRPr="00EC67EF">
              <w:t>47.7</w:t>
            </w:r>
          </w:p>
        </w:tc>
        <w:tc>
          <w:tcPr>
            <w:tcW w:w="545" w:type="pct"/>
            <w:vAlign w:val="top"/>
          </w:tcPr>
          <w:p w:rsidR="00D3701F" w:rsidRPr="007A3F8C" w:rsidP="00D3701F" w14:paraId="3B857BF1" w14:textId="46ABD1C8">
            <w:pPr>
              <w:pStyle w:val="TX-TableText"/>
              <w:jc w:val="center"/>
            </w:pPr>
            <w:r w:rsidRPr="007E36EF">
              <w:t xml:space="preserve"> 19,080 </w:t>
            </w:r>
          </w:p>
        </w:tc>
        <w:tc>
          <w:tcPr>
            <w:tcW w:w="667" w:type="pct"/>
            <w:vAlign w:val="top"/>
          </w:tcPr>
          <w:p w:rsidR="00D3701F" w:rsidRPr="007A3F8C" w:rsidP="00D3701F" w14:paraId="0AF09576" w14:textId="08749D9B">
            <w:pPr>
              <w:pStyle w:val="TX-TableText"/>
              <w:jc w:val="center"/>
            </w:pPr>
            <w:r w:rsidRPr="00EC67EF">
              <w:t>4</w:t>
            </w:r>
            <w:r>
              <w:t>,</w:t>
            </w:r>
            <w:r w:rsidRPr="00EC67EF">
              <w:t>770</w:t>
            </w:r>
          </w:p>
        </w:tc>
        <w:tc>
          <w:tcPr>
            <w:tcW w:w="651" w:type="pct"/>
            <w:vAlign w:val="top"/>
          </w:tcPr>
          <w:p w:rsidR="00D3701F" w:rsidRPr="00EC67EF" w:rsidP="00D3701F" w14:paraId="7C5D1E17" w14:textId="36E7EC7D">
            <w:pPr>
              <w:pStyle w:val="TX-TableText"/>
              <w:jc w:val="center"/>
            </w:pPr>
            <w:r w:rsidRPr="0039355E">
              <w:t>1.6</w:t>
            </w:r>
          </w:p>
        </w:tc>
        <w:tc>
          <w:tcPr>
            <w:tcW w:w="604" w:type="pct"/>
            <w:vAlign w:val="top"/>
          </w:tcPr>
          <w:p w:rsidR="00D3701F" w:rsidRPr="0039355E" w:rsidP="00D3701F" w14:paraId="3CFF64C1" w14:textId="6BA2EA56">
            <w:pPr>
              <w:pStyle w:val="TX-TableText"/>
              <w:jc w:val="center"/>
            </w:pPr>
            <w:r>
              <w:t>2,385</w:t>
            </w:r>
          </w:p>
        </w:tc>
        <w:tc>
          <w:tcPr>
            <w:tcW w:w="617" w:type="pct"/>
            <w:vAlign w:val="top"/>
          </w:tcPr>
          <w:p w:rsidR="00D3701F" w:rsidRPr="0039355E" w:rsidP="00D3701F" w14:paraId="70825037" w14:textId="473E0A13">
            <w:pPr>
              <w:pStyle w:val="TX-TableText"/>
              <w:jc w:val="center"/>
            </w:pPr>
            <w:r w:rsidRPr="00C5559E">
              <w:t>2.3</w:t>
            </w:r>
          </w:p>
        </w:tc>
      </w:tr>
      <w:tr w14:paraId="42587B75" w14:textId="0A45314B" w:rsidTr="00C5559E">
        <w:tblPrEx>
          <w:tblW w:w="4765" w:type="pct"/>
          <w:tblInd w:w="990" w:type="dxa"/>
          <w:tblLayout w:type="fixed"/>
          <w:tblLook w:val="04A0"/>
        </w:tblPrEx>
        <w:trPr>
          <w:trHeight w:val="20"/>
        </w:trPr>
        <w:tc>
          <w:tcPr>
            <w:tcW w:w="1419" w:type="pct"/>
          </w:tcPr>
          <w:p w:rsidR="00D3701F" w:rsidP="00D3701F" w14:paraId="598B8F17" w14:textId="635FC3E3">
            <w:pPr>
              <w:pStyle w:val="TX-TableText"/>
              <w:rPr>
                <w:b/>
              </w:rPr>
            </w:pPr>
            <w:r>
              <w:rPr>
                <w:b/>
              </w:rPr>
              <w:t>Appointed representative (AR)</w:t>
            </w:r>
          </w:p>
        </w:tc>
        <w:tc>
          <w:tcPr>
            <w:tcW w:w="497" w:type="pct"/>
            <w:vAlign w:val="top"/>
          </w:tcPr>
          <w:p w:rsidR="00D3701F" w:rsidRPr="007A3F8C" w:rsidP="00D3701F" w14:paraId="4B58F2ED" w14:textId="77777777">
            <w:pPr>
              <w:pStyle w:val="TX-TableText"/>
              <w:jc w:val="center"/>
            </w:pPr>
          </w:p>
        </w:tc>
        <w:tc>
          <w:tcPr>
            <w:tcW w:w="545" w:type="pct"/>
            <w:vAlign w:val="top"/>
          </w:tcPr>
          <w:p w:rsidR="00D3701F" w:rsidRPr="007A3F8C" w:rsidP="00D3701F" w14:paraId="59FD5645" w14:textId="0D27CFBB">
            <w:pPr>
              <w:pStyle w:val="TX-TableText"/>
              <w:jc w:val="center"/>
            </w:pPr>
          </w:p>
        </w:tc>
        <w:tc>
          <w:tcPr>
            <w:tcW w:w="667" w:type="pct"/>
            <w:vAlign w:val="top"/>
          </w:tcPr>
          <w:p w:rsidR="00D3701F" w:rsidRPr="007A3F8C" w:rsidP="00D3701F" w14:paraId="66E38B00" w14:textId="77777777">
            <w:pPr>
              <w:pStyle w:val="TX-TableText"/>
              <w:jc w:val="center"/>
            </w:pPr>
          </w:p>
        </w:tc>
        <w:tc>
          <w:tcPr>
            <w:tcW w:w="651" w:type="pct"/>
            <w:vAlign w:val="top"/>
          </w:tcPr>
          <w:p w:rsidR="00D3701F" w:rsidRPr="007A3F8C" w:rsidP="00D3701F" w14:paraId="2613C5AA" w14:textId="77777777">
            <w:pPr>
              <w:pStyle w:val="TX-TableText"/>
              <w:jc w:val="center"/>
            </w:pPr>
          </w:p>
        </w:tc>
        <w:tc>
          <w:tcPr>
            <w:tcW w:w="604" w:type="pct"/>
            <w:vAlign w:val="top"/>
          </w:tcPr>
          <w:p w:rsidR="00D3701F" w:rsidRPr="007A3F8C" w:rsidP="00D3701F" w14:paraId="3242F5B3" w14:textId="0F43B59E">
            <w:pPr>
              <w:pStyle w:val="TX-TableText"/>
              <w:jc w:val="center"/>
            </w:pPr>
          </w:p>
        </w:tc>
        <w:tc>
          <w:tcPr>
            <w:tcW w:w="617" w:type="pct"/>
            <w:vAlign w:val="top"/>
          </w:tcPr>
          <w:p w:rsidR="00D3701F" w:rsidRPr="007A3F8C" w:rsidP="00D3701F" w14:paraId="1B80B555" w14:textId="339B3834">
            <w:pPr>
              <w:pStyle w:val="TX-TableText"/>
              <w:jc w:val="center"/>
            </w:pPr>
          </w:p>
        </w:tc>
      </w:tr>
      <w:tr w14:paraId="0798A8D2" w14:textId="0E016182" w:rsidTr="00567D1B">
        <w:tblPrEx>
          <w:tblW w:w="4765" w:type="pct"/>
          <w:tblInd w:w="990" w:type="dxa"/>
          <w:tblLayout w:type="fixed"/>
          <w:tblLook w:val="04A0"/>
        </w:tblPrEx>
        <w:trPr>
          <w:trHeight w:val="179"/>
        </w:trPr>
        <w:tc>
          <w:tcPr>
            <w:tcW w:w="1419" w:type="pct"/>
          </w:tcPr>
          <w:p w:rsidR="00D3701F" w:rsidRPr="00BA72E3" w:rsidP="00D3701F" w14:paraId="5BBA8B8E" w14:textId="53251EE6">
            <w:pPr>
              <w:pStyle w:val="TX-TableText"/>
              <w:ind w:firstLine="150"/>
            </w:pPr>
            <w:r w:rsidRPr="00BA72E3">
              <w:t xml:space="preserve">Assigned an </w:t>
            </w:r>
            <w:r>
              <w:t>AR</w:t>
            </w:r>
          </w:p>
        </w:tc>
        <w:tc>
          <w:tcPr>
            <w:tcW w:w="497" w:type="pct"/>
            <w:vAlign w:val="top"/>
          </w:tcPr>
          <w:p w:rsidR="00D3701F" w:rsidRPr="007A3F8C" w:rsidP="00D3701F" w14:paraId="0E74ACCE" w14:textId="33712AEF">
            <w:pPr>
              <w:pStyle w:val="TX-TableText"/>
              <w:jc w:val="center"/>
            </w:pPr>
            <w:r w:rsidRPr="0083393E">
              <w:t>59.</w:t>
            </w:r>
            <w:r>
              <w:t>7</w:t>
            </w:r>
          </w:p>
        </w:tc>
        <w:tc>
          <w:tcPr>
            <w:tcW w:w="545" w:type="pct"/>
            <w:vAlign w:val="top"/>
          </w:tcPr>
          <w:p w:rsidR="00D3701F" w:rsidRPr="007A3F8C" w:rsidP="00D3701F" w14:paraId="1E88A659" w14:textId="26BF3908">
            <w:pPr>
              <w:pStyle w:val="TX-TableText"/>
              <w:jc w:val="center"/>
            </w:pPr>
            <w:r w:rsidRPr="009E58A7">
              <w:t xml:space="preserve"> 23,860 </w:t>
            </w:r>
          </w:p>
        </w:tc>
        <w:tc>
          <w:tcPr>
            <w:tcW w:w="667" w:type="pct"/>
            <w:vAlign w:val="top"/>
          </w:tcPr>
          <w:p w:rsidR="00D3701F" w:rsidRPr="007A3F8C" w:rsidP="00D3701F" w14:paraId="7B625D0D" w14:textId="7CCEFCC6">
            <w:pPr>
              <w:pStyle w:val="TX-TableText"/>
              <w:jc w:val="center"/>
            </w:pPr>
            <w:r w:rsidRPr="0083393E">
              <w:t>5</w:t>
            </w:r>
            <w:r>
              <w:t>,</w:t>
            </w:r>
            <w:r w:rsidRPr="0083393E">
              <w:t>965</w:t>
            </w:r>
          </w:p>
        </w:tc>
        <w:tc>
          <w:tcPr>
            <w:tcW w:w="651" w:type="pct"/>
            <w:vAlign w:val="top"/>
          </w:tcPr>
          <w:p w:rsidR="00D3701F" w:rsidRPr="0083393E" w:rsidP="00D3701F" w14:paraId="20084263" w14:textId="7A683B11">
            <w:pPr>
              <w:pStyle w:val="TX-TableText"/>
              <w:jc w:val="center"/>
            </w:pPr>
            <w:r w:rsidRPr="0039355E">
              <w:t>1.4</w:t>
            </w:r>
          </w:p>
        </w:tc>
        <w:tc>
          <w:tcPr>
            <w:tcW w:w="604" w:type="pct"/>
            <w:vAlign w:val="top"/>
          </w:tcPr>
          <w:p w:rsidR="00D3701F" w:rsidRPr="0039355E" w:rsidP="00D3701F" w14:paraId="52CAA931" w14:textId="0B77FC9F">
            <w:pPr>
              <w:pStyle w:val="TX-TableText"/>
              <w:jc w:val="center"/>
            </w:pPr>
            <w:r>
              <w:t>2,983</w:t>
            </w:r>
          </w:p>
        </w:tc>
        <w:tc>
          <w:tcPr>
            <w:tcW w:w="617" w:type="pct"/>
            <w:vAlign w:val="top"/>
          </w:tcPr>
          <w:p w:rsidR="00D3701F" w:rsidRPr="0039355E" w:rsidP="00D3701F" w14:paraId="66066867" w14:textId="321557D1">
            <w:pPr>
              <w:pStyle w:val="TX-TableText"/>
              <w:jc w:val="center"/>
            </w:pPr>
            <w:r w:rsidRPr="00C5559E">
              <w:t>2.0</w:t>
            </w:r>
          </w:p>
        </w:tc>
      </w:tr>
      <w:tr w14:paraId="320D6504" w14:textId="7CB02D31" w:rsidTr="00C5559E">
        <w:tblPrEx>
          <w:tblW w:w="4765" w:type="pct"/>
          <w:tblInd w:w="990" w:type="dxa"/>
          <w:tblLayout w:type="fixed"/>
          <w:tblLook w:val="04A0"/>
        </w:tblPrEx>
        <w:trPr>
          <w:trHeight w:val="20"/>
        </w:trPr>
        <w:tc>
          <w:tcPr>
            <w:tcW w:w="1419" w:type="pct"/>
          </w:tcPr>
          <w:p w:rsidR="00D3701F" w:rsidRPr="00BA72E3" w:rsidP="00D3701F" w14:paraId="61BD456D" w14:textId="52A0577A">
            <w:pPr>
              <w:pStyle w:val="TX-TableText"/>
              <w:ind w:firstLine="150"/>
            </w:pPr>
            <w:r w:rsidRPr="00BA72E3">
              <w:t xml:space="preserve">Has not assigned an </w:t>
            </w:r>
            <w:r>
              <w:t>AR</w:t>
            </w:r>
          </w:p>
        </w:tc>
        <w:tc>
          <w:tcPr>
            <w:tcW w:w="497" w:type="pct"/>
            <w:vAlign w:val="top"/>
          </w:tcPr>
          <w:p w:rsidR="00D3701F" w:rsidRPr="007A3F8C" w:rsidP="00D3701F" w14:paraId="4554C086" w14:textId="1E80DD22">
            <w:pPr>
              <w:pStyle w:val="TX-TableText"/>
              <w:jc w:val="center"/>
            </w:pPr>
            <w:r w:rsidRPr="0083393E">
              <w:t>40.</w:t>
            </w:r>
            <w:r>
              <w:t>3</w:t>
            </w:r>
          </w:p>
        </w:tc>
        <w:tc>
          <w:tcPr>
            <w:tcW w:w="545" w:type="pct"/>
            <w:vAlign w:val="top"/>
          </w:tcPr>
          <w:p w:rsidR="00D3701F" w:rsidRPr="007A3F8C" w:rsidP="00D3701F" w14:paraId="351D5BB6" w14:textId="2247F076">
            <w:pPr>
              <w:pStyle w:val="TX-TableText"/>
              <w:jc w:val="center"/>
            </w:pPr>
            <w:r w:rsidRPr="009E58A7">
              <w:t xml:space="preserve"> 16,140 </w:t>
            </w:r>
          </w:p>
        </w:tc>
        <w:tc>
          <w:tcPr>
            <w:tcW w:w="667" w:type="pct"/>
            <w:vAlign w:val="top"/>
          </w:tcPr>
          <w:p w:rsidR="00D3701F" w:rsidRPr="007A3F8C" w:rsidP="00D3701F" w14:paraId="42542B49" w14:textId="2BC44459">
            <w:pPr>
              <w:pStyle w:val="TX-TableText"/>
              <w:jc w:val="center"/>
            </w:pPr>
            <w:r w:rsidRPr="0083393E">
              <w:t>4</w:t>
            </w:r>
            <w:r>
              <w:t>,</w:t>
            </w:r>
            <w:r w:rsidRPr="0083393E">
              <w:t>035</w:t>
            </w:r>
          </w:p>
        </w:tc>
        <w:tc>
          <w:tcPr>
            <w:tcW w:w="651" w:type="pct"/>
            <w:vAlign w:val="top"/>
          </w:tcPr>
          <w:p w:rsidR="00D3701F" w:rsidRPr="0083393E" w:rsidP="00D3701F" w14:paraId="0ADD92DE" w14:textId="0BAEFC35">
            <w:pPr>
              <w:pStyle w:val="TX-TableText"/>
              <w:jc w:val="center"/>
            </w:pPr>
            <w:r w:rsidRPr="0039355E">
              <w:t>1.8</w:t>
            </w:r>
          </w:p>
        </w:tc>
        <w:tc>
          <w:tcPr>
            <w:tcW w:w="604" w:type="pct"/>
            <w:vAlign w:val="top"/>
          </w:tcPr>
          <w:p w:rsidR="00D3701F" w:rsidRPr="0039355E" w:rsidP="00D3701F" w14:paraId="1F5D8DB1" w14:textId="7D91BDBC">
            <w:pPr>
              <w:pStyle w:val="TX-TableText"/>
              <w:jc w:val="center"/>
            </w:pPr>
            <w:r>
              <w:t>2,018</w:t>
            </w:r>
          </w:p>
        </w:tc>
        <w:tc>
          <w:tcPr>
            <w:tcW w:w="617" w:type="pct"/>
            <w:vAlign w:val="top"/>
          </w:tcPr>
          <w:p w:rsidR="00D3701F" w:rsidRPr="0039355E" w:rsidP="00D3701F" w14:paraId="0DC2A46B" w14:textId="77D6A964">
            <w:pPr>
              <w:pStyle w:val="TX-TableText"/>
              <w:jc w:val="center"/>
            </w:pPr>
            <w:r w:rsidRPr="00C5559E">
              <w:t>2.5</w:t>
            </w:r>
          </w:p>
        </w:tc>
      </w:tr>
      <w:tr w14:paraId="1C6BA081" w14:textId="69484098" w:rsidTr="00C5559E">
        <w:tblPrEx>
          <w:tblW w:w="4765" w:type="pct"/>
          <w:tblInd w:w="990" w:type="dxa"/>
          <w:tblLayout w:type="fixed"/>
          <w:tblLook w:val="04A0"/>
        </w:tblPrEx>
        <w:trPr>
          <w:trHeight w:val="20"/>
        </w:trPr>
        <w:tc>
          <w:tcPr>
            <w:tcW w:w="1419" w:type="pct"/>
          </w:tcPr>
          <w:p w:rsidR="00D3701F" w:rsidP="00D3701F" w14:paraId="37CAC639" w14:textId="0FCB832F">
            <w:pPr>
              <w:pStyle w:val="TX-TableText"/>
              <w:rPr>
                <w:b/>
              </w:rPr>
            </w:pPr>
            <w:r>
              <w:rPr>
                <w:b/>
              </w:rPr>
              <w:t>Completed consultative exam</w:t>
            </w:r>
          </w:p>
        </w:tc>
        <w:tc>
          <w:tcPr>
            <w:tcW w:w="497" w:type="pct"/>
            <w:vAlign w:val="top"/>
          </w:tcPr>
          <w:p w:rsidR="00D3701F" w:rsidRPr="007A3F8C" w:rsidP="00D3701F" w14:paraId="1A31BBF1" w14:textId="77777777">
            <w:pPr>
              <w:pStyle w:val="TX-TableText"/>
              <w:jc w:val="center"/>
            </w:pPr>
          </w:p>
        </w:tc>
        <w:tc>
          <w:tcPr>
            <w:tcW w:w="545" w:type="pct"/>
            <w:vAlign w:val="top"/>
          </w:tcPr>
          <w:p w:rsidR="00D3701F" w:rsidRPr="007A3F8C" w:rsidP="00D3701F" w14:paraId="79233E3D" w14:textId="5F6AAB12">
            <w:pPr>
              <w:pStyle w:val="TX-TableText"/>
              <w:jc w:val="center"/>
            </w:pPr>
          </w:p>
        </w:tc>
        <w:tc>
          <w:tcPr>
            <w:tcW w:w="667" w:type="pct"/>
            <w:vAlign w:val="top"/>
          </w:tcPr>
          <w:p w:rsidR="00D3701F" w:rsidRPr="007A3F8C" w:rsidP="00D3701F" w14:paraId="58179994" w14:textId="77777777">
            <w:pPr>
              <w:pStyle w:val="TX-TableText"/>
              <w:jc w:val="center"/>
            </w:pPr>
          </w:p>
        </w:tc>
        <w:tc>
          <w:tcPr>
            <w:tcW w:w="651" w:type="pct"/>
            <w:vAlign w:val="top"/>
          </w:tcPr>
          <w:p w:rsidR="00D3701F" w:rsidRPr="007A3F8C" w:rsidP="00D3701F" w14:paraId="5A7E3E77" w14:textId="77777777">
            <w:pPr>
              <w:pStyle w:val="TX-TableText"/>
              <w:jc w:val="center"/>
            </w:pPr>
          </w:p>
        </w:tc>
        <w:tc>
          <w:tcPr>
            <w:tcW w:w="604" w:type="pct"/>
            <w:vAlign w:val="top"/>
          </w:tcPr>
          <w:p w:rsidR="00D3701F" w:rsidRPr="007A3F8C" w:rsidP="00D3701F" w14:paraId="088E4C41" w14:textId="64C7F981">
            <w:pPr>
              <w:pStyle w:val="TX-TableText"/>
              <w:jc w:val="center"/>
            </w:pPr>
          </w:p>
        </w:tc>
        <w:tc>
          <w:tcPr>
            <w:tcW w:w="617" w:type="pct"/>
            <w:vAlign w:val="top"/>
          </w:tcPr>
          <w:p w:rsidR="00D3701F" w:rsidRPr="007A3F8C" w:rsidP="00D3701F" w14:paraId="13E2F178" w14:textId="66BBC92A">
            <w:pPr>
              <w:pStyle w:val="TX-TableText"/>
              <w:jc w:val="center"/>
            </w:pPr>
          </w:p>
        </w:tc>
      </w:tr>
      <w:tr w14:paraId="595F3F0C" w14:textId="7F14F54C" w:rsidTr="00C5559E">
        <w:tblPrEx>
          <w:tblW w:w="4765" w:type="pct"/>
          <w:tblInd w:w="990" w:type="dxa"/>
          <w:tblLayout w:type="fixed"/>
          <w:tblLook w:val="04A0"/>
        </w:tblPrEx>
        <w:trPr>
          <w:trHeight w:val="20"/>
        </w:trPr>
        <w:tc>
          <w:tcPr>
            <w:tcW w:w="1419" w:type="pct"/>
          </w:tcPr>
          <w:p w:rsidR="00D3701F" w:rsidRPr="00CB61F6" w:rsidP="00D3701F" w14:paraId="064464F8" w14:textId="4F0A6E6F">
            <w:pPr>
              <w:pStyle w:val="TX-TableText"/>
              <w:ind w:firstLine="150"/>
              <w:rPr>
                <w:bCs/>
              </w:rPr>
            </w:pPr>
            <w:r w:rsidRPr="00CB61F6">
              <w:rPr>
                <w:bCs/>
              </w:rPr>
              <w:t>Yes</w:t>
            </w:r>
          </w:p>
        </w:tc>
        <w:tc>
          <w:tcPr>
            <w:tcW w:w="497" w:type="pct"/>
            <w:vAlign w:val="top"/>
          </w:tcPr>
          <w:p w:rsidR="00D3701F" w:rsidRPr="007A3F8C" w:rsidP="00D3701F" w14:paraId="078322E0" w14:textId="50B03280">
            <w:pPr>
              <w:pStyle w:val="TX-TableText"/>
              <w:jc w:val="center"/>
            </w:pPr>
            <w:r w:rsidRPr="00BC11AB">
              <w:t>83.1</w:t>
            </w:r>
          </w:p>
        </w:tc>
        <w:tc>
          <w:tcPr>
            <w:tcW w:w="545" w:type="pct"/>
            <w:vAlign w:val="top"/>
          </w:tcPr>
          <w:p w:rsidR="00D3701F" w:rsidRPr="007A3F8C" w:rsidP="00D3701F" w14:paraId="08E2279C" w14:textId="5C4F789D">
            <w:pPr>
              <w:pStyle w:val="TX-TableText"/>
              <w:jc w:val="center"/>
            </w:pPr>
            <w:r w:rsidRPr="0061339D">
              <w:t xml:space="preserve"> 33,248 </w:t>
            </w:r>
          </w:p>
        </w:tc>
        <w:tc>
          <w:tcPr>
            <w:tcW w:w="667" w:type="pct"/>
            <w:vAlign w:val="top"/>
          </w:tcPr>
          <w:p w:rsidR="00D3701F" w:rsidRPr="007A3F8C" w:rsidP="00D3701F" w14:paraId="671630E9" w14:textId="237ECD18">
            <w:pPr>
              <w:pStyle w:val="TX-TableText"/>
              <w:jc w:val="center"/>
            </w:pPr>
            <w:r w:rsidRPr="00BC11AB">
              <w:t>8</w:t>
            </w:r>
            <w:r>
              <w:t>,</w:t>
            </w:r>
            <w:r w:rsidRPr="00BC11AB">
              <w:t>312</w:t>
            </w:r>
          </w:p>
        </w:tc>
        <w:tc>
          <w:tcPr>
            <w:tcW w:w="651" w:type="pct"/>
            <w:vAlign w:val="top"/>
          </w:tcPr>
          <w:p w:rsidR="00D3701F" w:rsidRPr="00BC11AB" w:rsidP="00D3701F" w14:paraId="08302CE7" w14:textId="530E28A3">
            <w:pPr>
              <w:pStyle w:val="TX-TableText"/>
              <w:jc w:val="center"/>
            </w:pPr>
            <w:r w:rsidRPr="0039355E">
              <w:t>1.2</w:t>
            </w:r>
          </w:p>
        </w:tc>
        <w:tc>
          <w:tcPr>
            <w:tcW w:w="604" w:type="pct"/>
            <w:vAlign w:val="top"/>
          </w:tcPr>
          <w:p w:rsidR="00D3701F" w:rsidRPr="0039355E" w:rsidP="00D3701F" w14:paraId="535F2A94" w14:textId="232C8FEA">
            <w:pPr>
              <w:pStyle w:val="TX-TableText"/>
              <w:jc w:val="center"/>
            </w:pPr>
            <w:r>
              <w:t>4,156</w:t>
            </w:r>
          </w:p>
        </w:tc>
        <w:tc>
          <w:tcPr>
            <w:tcW w:w="617" w:type="pct"/>
            <w:vAlign w:val="top"/>
          </w:tcPr>
          <w:p w:rsidR="00D3701F" w:rsidRPr="0039355E" w:rsidP="00D3701F" w14:paraId="621352D4" w14:textId="012D5193">
            <w:pPr>
              <w:pStyle w:val="TX-TableText"/>
              <w:jc w:val="center"/>
            </w:pPr>
            <w:r w:rsidRPr="00C5559E">
              <w:t>1.7</w:t>
            </w:r>
          </w:p>
        </w:tc>
      </w:tr>
      <w:tr w14:paraId="0196DD9C" w14:textId="157BECE4" w:rsidTr="00C5559E">
        <w:tblPrEx>
          <w:tblW w:w="4765" w:type="pct"/>
          <w:tblInd w:w="990" w:type="dxa"/>
          <w:tblLayout w:type="fixed"/>
          <w:tblLook w:val="04A0"/>
        </w:tblPrEx>
        <w:trPr>
          <w:trHeight w:val="20"/>
        </w:trPr>
        <w:tc>
          <w:tcPr>
            <w:tcW w:w="1419" w:type="pct"/>
          </w:tcPr>
          <w:p w:rsidR="00D3701F" w:rsidRPr="00CB61F6" w:rsidP="00D3701F" w14:paraId="7942AAF5" w14:textId="27C8BBC1">
            <w:pPr>
              <w:pStyle w:val="TX-TableText"/>
              <w:ind w:firstLine="150"/>
              <w:rPr>
                <w:bCs/>
              </w:rPr>
            </w:pPr>
            <w:r w:rsidRPr="00CB61F6">
              <w:rPr>
                <w:bCs/>
              </w:rPr>
              <w:t>No</w:t>
            </w:r>
          </w:p>
        </w:tc>
        <w:tc>
          <w:tcPr>
            <w:tcW w:w="497" w:type="pct"/>
            <w:vAlign w:val="top"/>
          </w:tcPr>
          <w:p w:rsidR="00D3701F" w:rsidRPr="007A3F8C" w:rsidP="00D3701F" w14:paraId="6C4F37F0" w14:textId="49148C16">
            <w:pPr>
              <w:pStyle w:val="TX-TableText"/>
              <w:jc w:val="center"/>
            </w:pPr>
            <w:r w:rsidRPr="00BC11AB">
              <w:t>16.</w:t>
            </w:r>
            <w:r>
              <w:t>9</w:t>
            </w:r>
          </w:p>
        </w:tc>
        <w:tc>
          <w:tcPr>
            <w:tcW w:w="545" w:type="pct"/>
            <w:vAlign w:val="top"/>
          </w:tcPr>
          <w:p w:rsidR="00D3701F" w:rsidRPr="007A3F8C" w:rsidP="00D3701F" w14:paraId="0DA5759D" w14:textId="0CC1EE1E">
            <w:pPr>
              <w:pStyle w:val="TX-TableText"/>
              <w:jc w:val="center"/>
            </w:pPr>
            <w:r w:rsidRPr="0061339D">
              <w:t xml:space="preserve"> 6,752 </w:t>
            </w:r>
          </w:p>
        </w:tc>
        <w:tc>
          <w:tcPr>
            <w:tcW w:w="667" w:type="pct"/>
            <w:vAlign w:val="top"/>
          </w:tcPr>
          <w:p w:rsidR="00D3701F" w:rsidRPr="007A3F8C" w:rsidP="00D3701F" w14:paraId="1F9DBE36" w14:textId="528EE57D">
            <w:pPr>
              <w:pStyle w:val="TX-TableText"/>
              <w:jc w:val="center"/>
            </w:pPr>
            <w:r w:rsidRPr="00BC11AB">
              <w:t>1</w:t>
            </w:r>
            <w:r>
              <w:t>,</w:t>
            </w:r>
            <w:r w:rsidRPr="00BC11AB">
              <w:t>688</w:t>
            </w:r>
          </w:p>
        </w:tc>
        <w:tc>
          <w:tcPr>
            <w:tcW w:w="651" w:type="pct"/>
            <w:vAlign w:val="top"/>
          </w:tcPr>
          <w:p w:rsidR="00D3701F" w:rsidRPr="00BC11AB" w:rsidP="00D3701F" w14:paraId="52703B12" w14:textId="6139D592">
            <w:pPr>
              <w:pStyle w:val="TX-TableText"/>
              <w:jc w:val="center"/>
            </w:pPr>
            <w:r w:rsidRPr="0039355E">
              <w:t>2.7</w:t>
            </w:r>
          </w:p>
        </w:tc>
        <w:tc>
          <w:tcPr>
            <w:tcW w:w="604" w:type="pct"/>
            <w:vAlign w:val="top"/>
          </w:tcPr>
          <w:p w:rsidR="00D3701F" w:rsidRPr="0039355E" w:rsidP="00D3701F" w14:paraId="7FF5ACFD" w14:textId="4C1488B0">
            <w:pPr>
              <w:pStyle w:val="TX-TableText"/>
              <w:jc w:val="center"/>
            </w:pPr>
            <w:r>
              <w:t>844</w:t>
            </w:r>
          </w:p>
        </w:tc>
        <w:tc>
          <w:tcPr>
            <w:tcW w:w="617" w:type="pct"/>
            <w:vAlign w:val="top"/>
          </w:tcPr>
          <w:p w:rsidR="00D3701F" w:rsidRPr="0039355E" w:rsidP="00D3701F" w14:paraId="4E3BB427" w14:textId="429F2BC6">
            <w:pPr>
              <w:pStyle w:val="TX-TableText"/>
              <w:jc w:val="center"/>
            </w:pPr>
            <w:r w:rsidRPr="00C5559E">
              <w:t>3.8</w:t>
            </w:r>
          </w:p>
        </w:tc>
      </w:tr>
      <w:tr w14:paraId="1C88FC0C" w14:textId="36064514" w:rsidTr="00C5559E">
        <w:tblPrEx>
          <w:tblW w:w="4765" w:type="pct"/>
          <w:tblInd w:w="990" w:type="dxa"/>
          <w:tblLayout w:type="fixed"/>
          <w:tblLook w:val="04A0"/>
        </w:tblPrEx>
        <w:trPr>
          <w:trHeight w:val="20"/>
        </w:trPr>
        <w:tc>
          <w:tcPr>
            <w:tcW w:w="1419" w:type="pct"/>
          </w:tcPr>
          <w:p w:rsidR="00D3701F" w:rsidRPr="00260668" w:rsidP="00D3701F" w14:paraId="4068EAE2" w14:textId="77777777">
            <w:pPr>
              <w:pStyle w:val="TX-TableText"/>
              <w:rPr>
                <w:b/>
              </w:rPr>
            </w:pPr>
            <w:r>
              <w:rPr>
                <w:b/>
              </w:rPr>
              <w:t>Age categories</w:t>
            </w:r>
          </w:p>
        </w:tc>
        <w:tc>
          <w:tcPr>
            <w:tcW w:w="497" w:type="pct"/>
            <w:vAlign w:val="top"/>
          </w:tcPr>
          <w:p w:rsidR="00D3701F" w:rsidRPr="007A3F8C" w:rsidP="00D3701F" w14:paraId="4B718549" w14:textId="77777777">
            <w:pPr>
              <w:pStyle w:val="TX-TableText"/>
              <w:jc w:val="center"/>
            </w:pPr>
          </w:p>
        </w:tc>
        <w:tc>
          <w:tcPr>
            <w:tcW w:w="545" w:type="pct"/>
            <w:vAlign w:val="top"/>
          </w:tcPr>
          <w:p w:rsidR="00D3701F" w:rsidRPr="007A3F8C" w:rsidP="00D3701F" w14:paraId="71960F6D" w14:textId="3621D83E">
            <w:pPr>
              <w:pStyle w:val="TX-TableText"/>
              <w:jc w:val="center"/>
            </w:pPr>
          </w:p>
        </w:tc>
        <w:tc>
          <w:tcPr>
            <w:tcW w:w="667" w:type="pct"/>
            <w:vAlign w:val="top"/>
          </w:tcPr>
          <w:p w:rsidR="00D3701F" w:rsidRPr="007A3F8C" w:rsidP="00D3701F" w14:paraId="744880FA" w14:textId="77777777">
            <w:pPr>
              <w:pStyle w:val="TX-TableText"/>
              <w:jc w:val="center"/>
            </w:pPr>
          </w:p>
        </w:tc>
        <w:tc>
          <w:tcPr>
            <w:tcW w:w="651" w:type="pct"/>
            <w:vAlign w:val="top"/>
          </w:tcPr>
          <w:p w:rsidR="00D3701F" w:rsidRPr="007A3F8C" w:rsidP="00D3701F" w14:paraId="5B5E7114" w14:textId="77777777">
            <w:pPr>
              <w:pStyle w:val="TX-TableText"/>
              <w:jc w:val="center"/>
            </w:pPr>
          </w:p>
        </w:tc>
        <w:tc>
          <w:tcPr>
            <w:tcW w:w="604" w:type="pct"/>
            <w:vAlign w:val="top"/>
          </w:tcPr>
          <w:p w:rsidR="00D3701F" w:rsidRPr="007A3F8C" w:rsidP="00D3701F" w14:paraId="16B64254" w14:textId="4D214166">
            <w:pPr>
              <w:pStyle w:val="TX-TableText"/>
              <w:jc w:val="center"/>
            </w:pPr>
          </w:p>
        </w:tc>
        <w:tc>
          <w:tcPr>
            <w:tcW w:w="617" w:type="pct"/>
            <w:vAlign w:val="top"/>
          </w:tcPr>
          <w:p w:rsidR="00D3701F" w:rsidRPr="007A3F8C" w:rsidP="00D3701F" w14:paraId="2994E8AF" w14:textId="0FD6CA89">
            <w:pPr>
              <w:pStyle w:val="TX-TableText"/>
              <w:jc w:val="center"/>
            </w:pPr>
          </w:p>
        </w:tc>
      </w:tr>
      <w:tr w14:paraId="6A35F6C5" w14:textId="7691F246" w:rsidTr="00C5559E">
        <w:tblPrEx>
          <w:tblW w:w="4765" w:type="pct"/>
          <w:tblInd w:w="990" w:type="dxa"/>
          <w:tblLayout w:type="fixed"/>
          <w:tblLook w:val="04A0"/>
        </w:tblPrEx>
        <w:trPr>
          <w:trHeight w:val="20"/>
        </w:trPr>
        <w:tc>
          <w:tcPr>
            <w:tcW w:w="1419" w:type="pct"/>
          </w:tcPr>
          <w:p w:rsidR="00D3701F" w:rsidRPr="00260668" w:rsidP="00D3701F" w14:paraId="4E3A0A56" w14:textId="77777777">
            <w:pPr>
              <w:pStyle w:val="TX-TableText"/>
              <w:ind w:left="150"/>
            </w:pPr>
            <w:r w:rsidRPr="00260668">
              <w:t>18-29</w:t>
            </w:r>
          </w:p>
        </w:tc>
        <w:tc>
          <w:tcPr>
            <w:tcW w:w="497" w:type="pct"/>
            <w:vAlign w:val="top"/>
          </w:tcPr>
          <w:p w:rsidR="00D3701F" w:rsidRPr="007A3F8C" w:rsidP="00D3701F" w14:paraId="40249492" w14:textId="32F4D5CD">
            <w:pPr>
              <w:pStyle w:val="TX-TableText"/>
              <w:jc w:val="center"/>
            </w:pPr>
            <w:r w:rsidRPr="0073392F">
              <w:t>14.</w:t>
            </w:r>
            <w:r>
              <w:t>1</w:t>
            </w:r>
          </w:p>
        </w:tc>
        <w:tc>
          <w:tcPr>
            <w:tcW w:w="545" w:type="pct"/>
            <w:vAlign w:val="top"/>
          </w:tcPr>
          <w:p w:rsidR="00D3701F" w:rsidRPr="007A3F8C" w:rsidP="00D3701F" w14:paraId="49AA3F08" w14:textId="6A2C0A12">
            <w:pPr>
              <w:pStyle w:val="TX-TableText"/>
              <w:jc w:val="center"/>
            </w:pPr>
            <w:r w:rsidRPr="00FD60C9">
              <w:t xml:space="preserve"> 5,620 </w:t>
            </w:r>
          </w:p>
        </w:tc>
        <w:tc>
          <w:tcPr>
            <w:tcW w:w="667" w:type="pct"/>
            <w:vAlign w:val="top"/>
          </w:tcPr>
          <w:p w:rsidR="00D3701F" w:rsidRPr="007A3F8C" w:rsidP="00D3701F" w14:paraId="0B62D946" w14:textId="4F06C919">
            <w:pPr>
              <w:pStyle w:val="TX-TableText"/>
              <w:jc w:val="center"/>
            </w:pPr>
            <w:r w:rsidRPr="0073392F">
              <w:t>1</w:t>
            </w:r>
            <w:r>
              <w:t>,</w:t>
            </w:r>
            <w:r w:rsidRPr="0073392F">
              <w:t>405</w:t>
            </w:r>
          </w:p>
        </w:tc>
        <w:tc>
          <w:tcPr>
            <w:tcW w:w="651" w:type="pct"/>
            <w:vAlign w:val="top"/>
          </w:tcPr>
          <w:p w:rsidR="00D3701F" w:rsidRPr="0073392F" w:rsidP="00D3701F" w14:paraId="11B3136E" w14:textId="02C33283">
            <w:pPr>
              <w:pStyle w:val="TX-TableText"/>
              <w:jc w:val="center"/>
            </w:pPr>
            <w:r w:rsidRPr="0039355E">
              <w:t>3.0</w:t>
            </w:r>
          </w:p>
        </w:tc>
        <w:tc>
          <w:tcPr>
            <w:tcW w:w="604" w:type="pct"/>
            <w:vAlign w:val="top"/>
          </w:tcPr>
          <w:p w:rsidR="00D3701F" w:rsidRPr="0039355E" w:rsidP="00D3701F" w14:paraId="75A1D4A1" w14:textId="4F2774BE">
            <w:pPr>
              <w:pStyle w:val="TX-TableText"/>
              <w:jc w:val="center"/>
            </w:pPr>
            <w:r>
              <w:t>703</w:t>
            </w:r>
          </w:p>
        </w:tc>
        <w:tc>
          <w:tcPr>
            <w:tcW w:w="617" w:type="pct"/>
            <w:vAlign w:val="top"/>
          </w:tcPr>
          <w:p w:rsidR="00D3701F" w:rsidRPr="0039355E" w:rsidP="00D3701F" w14:paraId="58084FCE" w14:textId="6F5F2DAF">
            <w:pPr>
              <w:pStyle w:val="TX-TableText"/>
              <w:jc w:val="center"/>
            </w:pPr>
            <w:r w:rsidRPr="00C5559E">
              <w:t>4.2</w:t>
            </w:r>
          </w:p>
        </w:tc>
      </w:tr>
      <w:tr w14:paraId="3B5AE82B" w14:textId="774E9B2C" w:rsidTr="00C5559E">
        <w:tblPrEx>
          <w:tblW w:w="4765" w:type="pct"/>
          <w:tblInd w:w="990" w:type="dxa"/>
          <w:tblLayout w:type="fixed"/>
          <w:tblLook w:val="04A0"/>
        </w:tblPrEx>
        <w:trPr>
          <w:trHeight w:val="20"/>
        </w:trPr>
        <w:tc>
          <w:tcPr>
            <w:tcW w:w="1419" w:type="pct"/>
          </w:tcPr>
          <w:p w:rsidR="00D3701F" w:rsidRPr="007A3F8C" w:rsidP="00D3701F" w14:paraId="3348C114" w14:textId="77777777">
            <w:pPr>
              <w:pStyle w:val="TX-TableText"/>
              <w:ind w:left="150"/>
            </w:pPr>
            <w:r>
              <w:t>30-39</w:t>
            </w:r>
          </w:p>
        </w:tc>
        <w:tc>
          <w:tcPr>
            <w:tcW w:w="497" w:type="pct"/>
            <w:vAlign w:val="top"/>
          </w:tcPr>
          <w:p w:rsidR="00D3701F" w:rsidRPr="007A3F8C" w:rsidP="00D3701F" w14:paraId="669B43F9" w14:textId="75BAF51B">
            <w:pPr>
              <w:pStyle w:val="TX-TableText"/>
              <w:jc w:val="center"/>
            </w:pPr>
            <w:r w:rsidRPr="0073392F">
              <w:t>15.7</w:t>
            </w:r>
          </w:p>
        </w:tc>
        <w:tc>
          <w:tcPr>
            <w:tcW w:w="545" w:type="pct"/>
            <w:vAlign w:val="top"/>
          </w:tcPr>
          <w:p w:rsidR="00D3701F" w:rsidRPr="007A3F8C" w:rsidP="00D3701F" w14:paraId="28B501B0" w14:textId="18C91F83">
            <w:pPr>
              <w:pStyle w:val="TX-TableText"/>
              <w:jc w:val="center"/>
            </w:pPr>
            <w:r w:rsidRPr="00FD60C9">
              <w:t xml:space="preserve"> 6,292 </w:t>
            </w:r>
          </w:p>
        </w:tc>
        <w:tc>
          <w:tcPr>
            <w:tcW w:w="667" w:type="pct"/>
            <w:vAlign w:val="top"/>
          </w:tcPr>
          <w:p w:rsidR="00D3701F" w:rsidRPr="007A3F8C" w:rsidP="00D3701F" w14:paraId="1DD2CEF9" w14:textId="525D9202">
            <w:pPr>
              <w:pStyle w:val="TX-TableText"/>
              <w:jc w:val="center"/>
            </w:pPr>
            <w:r w:rsidRPr="0073392F">
              <w:t>1</w:t>
            </w:r>
            <w:r>
              <w:t>,</w:t>
            </w:r>
            <w:r w:rsidRPr="0073392F">
              <w:t>573</w:t>
            </w:r>
          </w:p>
        </w:tc>
        <w:tc>
          <w:tcPr>
            <w:tcW w:w="651" w:type="pct"/>
            <w:vAlign w:val="top"/>
          </w:tcPr>
          <w:p w:rsidR="00D3701F" w:rsidRPr="0073392F" w:rsidP="00D3701F" w14:paraId="115E17D8" w14:textId="1575715B">
            <w:pPr>
              <w:pStyle w:val="TX-TableText"/>
              <w:jc w:val="center"/>
            </w:pPr>
            <w:r w:rsidRPr="0039355E">
              <w:t>2.8</w:t>
            </w:r>
          </w:p>
        </w:tc>
        <w:tc>
          <w:tcPr>
            <w:tcW w:w="604" w:type="pct"/>
            <w:vAlign w:val="top"/>
          </w:tcPr>
          <w:p w:rsidR="00D3701F" w:rsidRPr="0039355E" w:rsidP="00D3701F" w14:paraId="5642C069" w14:textId="7192A492">
            <w:pPr>
              <w:pStyle w:val="TX-TableText"/>
              <w:jc w:val="center"/>
            </w:pPr>
            <w:r>
              <w:t>787</w:t>
            </w:r>
          </w:p>
        </w:tc>
        <w:tc>
          <w:tcPr>
            <w:tcW w:w="617" w:type="pct"/>
            <w:vAlign w:val="top"/>
          </w:tcPr>
          <w:p w:rsidR="00D3701F" w:rsidRPr="0039355E" w:rsidP="00D3701F" w14:paraId="1DA3E0D2" w14:textId="31688750">
            <w:pPr>
              <w:pStyle w:val="TX-TableText"/>
              <w:jc w:val="center"/>
            </w:pPr>
            <w:r w:rsidRPr="00C5559E">
              <w:t>4.0</w:t>
            </w:r>
          </w:p>
        </w:tc>
      </w:tr>
      <w:tr w14:paraId="34190952" w14:textId="07C47216" w:rsidTr="00C5559E">
        <w:tblPrEx>
          <w:tblW w:w="4765" w:type="pct"/>
          <w:tblInd w:w="990" w:type="dxa"/>
          <w:tblLayout w:type="fixed"/>
          <w:tblLook w:val="04A0"/>
        </w:tblPrEx>
        <w:trPr>
          <w:trHeight w:val="20"/>
        </w:trPr>
        <w:tc>
          <w:tcPr>
            <w:tcW w:w="1419" w:type="pct"/>
          </w:tcPr>
          <w:p w:rsidR="00D3701F" w:rsidRPr="007A3F8C" w:rsidP="00D3701F" w14:paraId="29899EED" w14:textId="77777777">
            <w:pPr>
              <w:pStyle w:val="TX-TableText"/>
              <w:ind w:left="150"/>
            </w:pPr>
            <w:r>
              <w:t>40-49</w:t>
            </w:r>
          </w:p>
        </w:tc>
        <w:tc>
          <w:tcPr>
            <w:tcW w:w="497" w:type="pct"/>
            <w:vAlign w:val="top"/>
          </w:tcPr>
          <w:p w:rsidR="00D3701F" w:rsidRPr="007A3F8C" w:rsidP="00D3701F" w14:paraId="1C50ADC2" w14:textId="205A12A2">
            <w:pPr>
              <w:pStyle w:val="TX-TableText"/>
              <w:jc w:val="center"/>
            </w:pPr>
            <w:r w:rsidRPr="0073392F">
              <w:t>21.1</w:t>
            </w:r>
          </w:p>
        </w:tc>
        <w:tc>
          <w:tcPr>
            <w:tcW w:w="545" w:type="pct"/>
            <w:vAlign w:val="top"/>
          </w:tcPr>
          <w:p w:rsidR="00D3701F" w:rsidRPr="007A3F8C" w:rsidP="00D3701F" w14:paraId="13DAE37E" w14:textId="54F398F3">
            <w:pPr>
              <w:pStyle w:val="TX-TableText"/>
              <w:jc w:val="center"/>
            </w:pPr>
            <w:r w:rsidRPr="00FD60C9">
              <w:t xml:space="preserve"> 8,452 </w:t>
            </w:r>
          </w:p>
        </w:tc>
        <w:tc>
          <w:tcPr>
            <w:tcW w:w="667" w:type="pct"/>
            <w:vAlign w:val="top"/>
          </w:tcPr>
          <w:p w:rsidR="00D3701F" w:rsidRPr="007A3F8C" w:rsidP="00D3701F" w14:paraId="35C72667" w14:textId="6AB72CF7">
            <w:pPr>
              <w:pStyle w:val="TX-TableText"/>
              <w:jc w:val="center"/>
            </w:pPr>
            <w:r w:rsidRPr="0073392F">
              <w:t>2</w:t>
            </w:r>
            <w:r>
              <w:t>,</w:t>
            </w:r>
            <w:r w:rsidRPr="0073392F">
              <w:t>113</w:t>
            </w:r>
          </w:p>
        </w:tc>
        <w:tc>
          <w:tcPr>
            <w:tcW w:w="651" w:type="pct"/>
            <w:vAlign w:val="top"/>
          </w:tcPr>
          <w:p w:rsidR="00D3701F" w:rsidRPr="0073392F" w:rsidP="00D3701F" w14:paraId="71276C99" w14:textId="558A7884">
            <w:pPr>
              <w:pStyle w:val="TX-TableText"/>
              <w:jc w:val="center"/>
            </w:pPr>
            <w:r w:rsidRPr="0039355E">
              <w:t>2.4</w:t>
            </w:r>
          </w:p>
        </w:tc>
        <w:tc>
          <w:tcPr>
            <w:tcW w:w="604" w:type="pct"/>
            <w:vAlign w:val="top"/>
          </w:tcPr>
          <w:p w:rsidR="00D3701F" w:rsidRPr="0039355E" w:rsidP="00D3701F" w14:paraId="549B3F12" w14:textId="6D2576E0">
            <w:pPr>
              <w:pStyle w:val="TX-TableText"/>
              <w:jc w:val="center"/>
            </w:pPr>
            <w:r>
              <w:t>1,057</w:t>
            </w:r>
          </w:p>
        </w:tc>
        <w:tc>
          <w:tcPr>
            <w:tcW w:w="617" w:type="pct"/>
            <w:vAlign w:val="top"/>
          </w:tcPr>
          <w:p w:rsidR="00D3701F" w:rsidRPr="0039355E" w:rsidP="00D3701F" w14:paraId="16597B01" w14:textId="121BE1E8">
            <w:pPr>
              <w:pStyle w:val="TX-TableText"/>
              <w:jc w:val="center"/>
            </w:pPr>
            <w:r w:rsidRPr="00C5559E">
              <w:t>3.4</w:t>
            </w:r>
          </w:p>
        </w:tc>
      </w:tr>
      <w:tr w14:paraId="3DE7FE68" w14:textId="31FB5A65" w:rsidTr="00C5559E">
        <w:tblPrEx>
          <w:tblW w:w="4765" w:type="pct"/>
          <w:tblInd w:w="990" w:type="dxa"/>
          <w:tblLayout w:type="fixed"/>
          <w:tblLook w:val="04A0"/>
        </w:tblPrEx>
        <w:trPr>
          <w:trHeight w:val="20"/>
        </w:trPr>
        <w:tc>
          <w:tcPr>
            <w:tcW w:w="1419" w:type="pct"/>
          </w:tcPr>
          <w:p w:rsidR="00D3701F" w:rsidP="00D3701F" w14:paraId="3F8768B4" w14:textId="6170C403">
            <w:pPr>
              <w:pStyle w:val="TX-TableText"/>
              <w:ind w:left="150"/>
            </w:pPr>
            <w:r>
              <w:t>50-59</w:t>
            </w:r>
          </w:p>
        </w:tc>
        <w:tc>
          <w:tcPr>
            <w:tcW w:w="497" w:type="pct"/>
            <w:vAlign w:val="top"/>
          </w:tcPr>
          <w:p w:rsidR="00D3701F" w:rsidRPr="007A3F8C" w:rsidP="00D3701F" w14:paraId="0BFFF90E" w14:textId="3B985532">
            <w:pPr>
              <w:pStyle w:val="TX-TableText"/>
              <w:jc w:val="center"/>
            </w:pPr>
            <w:r w:rsidRPr="0073392F">
              <w:t>33.</w:t>
            </w:r>
            <w:r>
              <w:t>4</w:t>
            </w:r>
          </w:p>
        </w:tc>
        <w:tc>
          <w:tcPr>
            <w:tcW w:w="545" w:type="pct"/>
            <w:vAlign w:val="top"/>
          </w:tcPr>
          <w:p w:rsidR="00D3701F" w:rsidRPr="007A3F8C" w:rsidP="00D3701F" w14:paraId="7C3A5881" w14:textId="41D0B6CF">
            <w:pPr>
              <w:pStyle w:val="TX-TableText"/>
              <w:jc w:val="center"/>
            </w:pPr>
            <w:r w:rsidRPr="00FD60C9">
              <w:t xml:space="preserve"> 13,348 </w:t>
            </w:r>
          </w:p>
        </w:tc>
        <w:tc>
          <w:tcPr>
            <w:tcW w:w="667" w:type="pct"/>
            <w:vAlign w:val="top"/>
          </w:tcPr>
          <w:p w:rsidR="00D3701F" w:rsidRPr="007A3F8C" w:rsidP="00D3701F" w14:paraId="07C8D034" w14:textId="1045028F">
            <w:pPr>
              <w:pStyle w:val="TX-TableText"/>
              <w:jc w:val="center"/>
            </w:pPr>
            <w:r w:rsidRPr="0073392F">
              <w:t>3</w:t>
            </w:r>
            <w:r>
              <w:t>,</w:t>
            </w:r>
            <w:r w:rsidRPr="0073392F">
              <w:t>337</w:t>
            </w:r>
          </w:p>
        </w:tc>
        <w:tc>
          <w:tcPr>
            <w:tcW w:w="651" w:type="pct"/>
            <w:vAlign w:val="top"/>
          </w:tcPr>
          <w:p w:rsidR="00D3701F" w:rsidRPr="0073392F" w:rsidP="00D3701F" w14:paraId="4EDD0664" w14:textId="3C3E433C">
            <w:pPr>
              <w:pStyle w:val="TX-TableText"/>
              <w:jc w:val="center"/>
            </w:pPr>
            <w:r w:rsidRPr="0039355E">
              <w:t>1.9</w:t>
            </w:r>
          </w:p>
        </w:tc>
        <w:tc>
          <w:tcPr>
            <w:tcW w:w="604" w:type="pct"/>
            <w:vAlign w:val="top"/>
          </w:tcPr>
          <w:p w:rsidR="00D3701F" w:rsidRPr="0039355E" w:rsidP="00D3701F" w14:paraId="238CAFB4" w14:textId="45E2578E">
            <w:pPr>
              <w:pStyle w:val="TX-TableText"/>
              <w:jc w:val="center"/>
            </w:pPr>
            <w:r>
              <w:t>1,669</w:t>
            </w:r>
          </w:p>
        </w:tc>
        <w:tc>
          <w:tcPr>
            <w:tcW w:w="617" w:type="pct"/>
            <w:vAlign w:val="top"/>
          </w:tcPr>
          <w:p w:rsidR="00D3701F" w:rsidRPr="0039355E" w:rsidP="00D3701F" w14:paraId="12C7A505" w14:textId="52B62C97">
            <w:pPr>
              <w:pStyle w:val="TX-TableText"/>
              <w:jc w:val="center"/>
            </w:pPr>
            <w:r w:rsidRPr="00C5559E">
              <w:t>2.7</w:t>
            </w:r>
          </w:p>
        </w:tc>
      </w:tr>
      <w:tr w14:paraId="4B4F13BD" w14:textId="4BAA1A81" w:rsidTr="00C5559E">
        <w:tblPrEx>
          <w:tblW w:w="4765" w:type="pct"/>
          <w:tblInd w:w="990" w:type="dxa"/>
          <w:tblLayout w:type="fixed"/>
          <w:tblLook w:val="04A0"/>
        </w:tblPrEx>
        <w:trPr>
          <w:trHeight w:val="20"/>
        </w:trPr>
        <w:tc>
          <w:tcPr>
            <w:tcW w:w="1419" w:type="pct"/>
          </w:tcPr>
          <w:p w:rsidR="00D3701F" w:rsidP="00D3701F" w14:paraId="11670994" w14:textId="7822B9F7">
            <w:pPr>
              <w:pStyle w:val="TX-TableText"/>
              <w:ind w:left="150"/>
            </w:pPr>
            <w:r>
              <w:t>60-64</w:t>
            </w:r>
          </w:p>
        </w:tc>
        <w:tc>
          <w:tcPr>
            <w:tcW w:w="497" w:type="pct"/>
            <w:vAlign w:val="top"/>
          </w:tcPr>
          <w:p w:rsidR="00D3701F" w:rsidP="00D3701F" w14:paraId="5165EE4B" w14:textId="5E0927FE">
            <w:pPr>
              <w:pStyle w:val="TX-TableText"/>
              <w:jc w:val="center"/>
            </w:pPr>
            <w:r w:rsidRPr="0073392F">
              <w:t>15.7</w:t>
            </w:r>
          </w:p>
        </w:tc>
        <w:tc>
          <w:tcPr>
            <w:tcW w:w="545" w:type="pct"/>
            <w:vAlign w:val="top"/>
          </w:tcPr>
          <w:p w:rsidR="00D3701F" w:rsidP="00D3701F" w14:paraId="38E724BE" w14:textId="08279366">
            <w:pPr>
              <w:pStyle w:val="TX-TableText"/>
              <w:jc w:val="center"/>
            </w:pPr>
            <w:r w:rsidRPr="00FD60C9">
              <w:t xml:space="preserve"> 6,288 </w:t>
            </w:r>
          </w:p>
        </w:tc>
        <w:tc>
          <w:tcPr>
            <w:tcW w:w="667" w:type="pct"/>
            <w:vAlign w:val="top"/>
          </w:tcPr>
          <w:p w:rsidR="00D3701F" w:rsidRPr="007A3F8C" w:rsidP="00D3701F" w14:paraId="16796CC9" w14:textId="427FE0F8">
            <w:pPr>
              <w:pStyle w:val="TX-TableText"/>
              <w:jc w:val="center"/>
            </w:pPr>
            <w:r w:rsidRPr="0073392F">
              <w:t>1</w:t>
            </w:r>
            <w:r>
              <w:t>,</w:t>
            </w:r>
            <w:r w:rsidRPr="0073392F">
              <w:t>572</w:t>
            </w:r>
          </w:p>
        </w:tc>
        <w:tc>
          <w:tcPr>
            <w:tcW w:w="651" w:type="pct"/>
            <w:vAlign w:val="top"/>
          </w:tcPr>
          <w:p w:rsidR="00D3701F" w:rsidRPr="0073392F" w:rsidP="00D3701F" w14:paraId="2C24B22E" w14:textId="3BA62220">
            <w:pPr>
              <w:pStyle w:val="TX-TableText"/>
              <w:jc w:val="center"/>
            </w:pPr>
            <w:r w:rsidRPr="0039355E">
              <w:t>2.8</w:t>
            </w:r>
          </w:p>
        </w:tc>
        <w:tc>
          <w:tcPr>
            <w:tcW w:w="604" w:type="pct"/>
            <w:vAlign w:val="top"/>
          </w:tcPr>
          <w:p w:rsidR="00D3701F" w:rsidRPr="0039355E" w:rsidP="00D3701F" w14:paraId="2F6AE899" w14:textId="684F1F4B">
            <w:pPr>
              <w:pStyle w:val="TX-TableText"/>
              <w:jc w:val="center"/>
            </w:pPr>
            <w:r>
              <w:t>786</w:t>
            </w:r>
          </w:p>
        </w:tc>
        <w:tc>
          <w:tcPr>
            <w:tcW w:w="617" w:type="pct"/>
            <w:vAlign w:val="top"/>
          </w:tcPr>
          <w:p w:rsidR="00D3701F" w:rsidRPr="0039355E" w:rsidP="00D3701F" w14:paraId="57C7ABDE" w14:textId="31D9763F">
            <w:pPr>
              <w:pStyle w:val="TX-TableText"/>
              <w:jc w:val="center"/>
            </w:pPr>
            <w:r w:rsidRPr="00C5559E">
              <w:t>4.0</w:t>
            </w:r>
          </w:p>
        </w:tc>
      </w:tr>
      <w:tr w14:paraId="49363D09" w14:textId="5266AD54" w:rsidTr="00C5559E">
        <w:tblPrEx>
          <w:tblW w:w="4765" w:type="pct"/>
          <w:tblInd w:w="990" w:type="dxa"/>
          <w:tblLayout w:type="fixed"/>
          <w:tblLook w:val="04A0"/>
        </w:tblPrEx>
        <w:trPr>
          <w:trHeight w:val="20"/>
        </w:trPr>
        <w:tc>
          <w:tcPr>
            <w:tcW w:w="1419" w:type="pct"/>
          </w:tcPr>
          <w:p w:rsidR="00D3701F" w:rsidRPr="00E52037" w:rsidP="00D3701F" w14:paraId="7E5706D0" w14:textId="24CAC30F">
            <w:pPr>
              <w:pStyle w:val="TX-TableText"/>
              <w:ind w:left="150" w:hanging="150"/>
              <w:rPr>
                <w:b/>
                <w:bCs/>
              </w:rPr>
            </w:pPr>
            <w:r w:rsidRPr="00E52037">
              <w:rPr>
                <w:b/>
                <w:bCs/>
              </w:rPr>
              <w:t>Urban</w:t>
            </w:r>
            <w:r>
              <w:rPr>
                <w:b/>
                <w:bCs/>
              </w:rPr>
              <w:t>/Rural</w:t>
            </w:r>
          </w:p>
        </w:tc>
        <w:tc>
          <w:tcPr>
            <w:tcW w:w="497" w:type="pct"/>
            <w:vAlign w:val="top"/>
          </w:tcPr>
          <w:p w:rsidR="00D3701F" w:rsidP="00D3701F" w14:paraId="40D8E399" w14:textId="77777777">
            <w:pPr>
              <w:pStyle w:val="TX-TableText"/>
              <w:jc w:val="center"/>
            </w:pPr>
          </w:p>
        </w:tc>
        <w:tc>
          <w:tcPr>
            <w:tcW w:w="545" w:type="pct"/>
            <w:vAlign w:val="top"/>
          </w:tcPr>
          <w:p w:rsidR="00D3701F" w:rsidP="00D3701F" w14:paraId="6BAD4F59" w14:textId="4E738597">
            <w:pPr>
              <w:pStyle w:val="TX-TableText"/>
              <w:jc w:val="center"/>
            </w:pPr>
          </w:p>
        </w:tc>
        <w:tc>
          <w:tcPr>
            <w:tcW w:w="667" w:type="pct"/>
            <w:vAlign w:val="top"/>
          </w:tcPr>
          <w:p w:rsidR="00D3701F" w:rsidRPr="007A3F8C" w:rsidP="00D3701F" w14:paraId="72C9F7D9" w14:textId="77777777">
            <w:pPr>
              <w:pStyle w:val="TX-TableText"/>
              <w:jc w:val="center"/>
            </w:pPr>
          </w:p>
        </w:tc>
        <w:tc>
          <w:tcPr>
            <w:tcW w:w="651" w:type="pct"/>
            <w:vAlign w:val="top"/>
          </w:tcPr>
          <w:p w:rsidR="00D3701F" w:rsidRPr="007A3F8C" w:rsidP="00D3701F" w14:paraId="68E4D2A2" w14:textId="77777777">
            <w:pPr>
              <w:pStyle w:val="TX-TableText"/>
              <w:jc w:val="center"/>
            </w:pPr>
          </w:p>
        </w:tc>
        <w:tc>
          <w:tcPr>
            <w:tcW w:w="604" w:type="pct"/>
            <w:vAlign w:val="top"/>
          </w:tcPr>
          <w:p w:rsidR="00D3701F" w:rsidRPr="007A3F8C" w:rsidP="00D3701F" w14:paraId="021FA22B" w14:textId="3E24B380">
            <w:pPr>
              <w:pStyle w:val="TX-TableText"/>
              <w:jc w:val="center"/>
            </w:pPr>
          </w:p>
        </w:tc>
        <w:tc>
          <w:tcPr>
            <w:tcW w:w="617" w:type="pct"/>
            <w:vAlign w:val="top"/>
          </w:tcPr>
          <w:p w:rsidR="00D3701F" w:rsidRPr="007A3F8C" w:rsidP="00D3701F" w14:paraId="481447A2" w14:textId="21070527">
            <w:pPr>
              <w:pStyle w:val="TX-TableText"/>
              <w:jc w:val="center"/>
            </w:pPr>
          </w:p>
        </w:tc>
      </w:tr>
      <w:tr w14:paraId="4F47F060" w14:textId="06078DB8" w:rsidTr="00C5559E">
        <w:tblPrEx>
          <w:tblW w:w="4765" w:type="pct"/>
          <w:tblInd w:w="990" w:type="dxa"/>
          <w:tblLayout w:type="fixed"/>
          <w:tblLook w:val="04A0"/>
        </w:tblPrEx>
        <w:trPr>
          <w:trHeight w:val="20"/>
        </w:trPr>
        <w:tc>
          <w:tcPr>
            <w:tcW w:w="1419" w:type="pct"/>
          </w:tcPr>
          <w:p w:rsidR="00D3701F" w:rsidP="00D3701F" w14:paraId="112CDE7E" w14:textId="7269002F">
            <w:pPr>
              <w:pStyle w:val="TX-TableText"/>
              <w:ind w:left="150"/>
            </w:pPr>
            <w:r>
              <w:t>Urban</w:t>
            </w:r>
          </w:p>
        </w:tc>
        <w:tc>
          <w:tcPr>
            <w:tcW w:w="497" w:type="pct"/>
            <w:vAlign w:val="top"/>
          </w:tcPr>
          <w:p w:rsidR="00D3701F" w:rsidP="00D3701F" w14:paraId="2BFAD8C1" w14:textId="4FF8CABF">
            <w:pPr>
              <w:pStyle w:val="TX-TableText"/>
              <w:jc w:val="center"/>
            </w:pPr>
            <w:r w:rsidRPr="0008177A">
              <w:t>75</w:t>
            </w:r>
            <w:r>
              <w:t>.0</w:t>
            </w:r>
          </w:p>
        </w:tc>
        <w:tc>
          <w:tcPr>
            <w:tcW w:w="545" w:type="pct"/>
            <w:vAlign w:val="top"/>
          </w:tcPr>
          <w:p w:rsidR="00D3701F" w:rsidP="00D3701F" w14:paraId="01603C74" w14:textId="6C7E5B94">
            <w:pPr>
              <w:pStyle w:val="TX-TableText"/>
              <w:jc w:val="center"/>
            </w:pPr>
            <w:r w:rsidRPr="007D21A1">
              <w:t xml:space="preserve"> 30,000 </w:t>
            </w:r>
          </w:p>
        </w:tc>
        <w:tc>
          <w:tcPr>
            <w:tcW w:w="667" w:type="pct"/>
            <w:vAlign w:val="top"/>
          </w:tcPr>
          <w:p w:rsidR="00D3701F" w:rsidRPr="007A3F8C" w:rsidP="00D3701F" w14:paraId="63FBD5DA" w14:textId="3EE66CB3">
            <w:pPr>
              <w:pStyle w:val="TX-TableText"/>
              <w:jc w:val="center"/>
            </w:pPr>
            <w:r w:rsidRPr="0008177A">
              <w:t>7</w:t>
            </w:r>
            <w:r>
              <w:t>,</w:t>
            </w:r>
            <w:r w:rsidRPr="0008177A">
              <w:t>500</w:t>
            </w:r>
          </w:p>
        </w:tc>
        <w:tc>
          <w:tcPr>
            <w:tcW w:w="651" w:type="pct"/>
            <w:vAlign w:val="top"/>
          </w:tcPr>
          <w:p w:rsidR="00D3701F" w:rsidRPr="0008177A" w:rsidP="00D3701F" w14:paraId="74BD66F5" w14:textId="6F77EA7B">
            <w:pPr>
              <w:pStyle w:val="TX-TableText"/>
              <w:jc w:val="center"/>
            </w:pPr>
            <w:r w:rsidRPr="0039355E">
              <w:t>1.3</w:t>
            </w:r>
          </w:p>
        </w:tc>
        <w:tc>
          <w:tcPr>
            <w:tcW w:w="604" w:type="pct"/>
            <w:vAlign w:val="top"/>
          </w:tcPr>
          <w:p w:rsidR="00D3701F" w:rsidRPr="0039355E" w:rsidP="00D3701F" w14:paraId="725F893F" w14:textId="113B23C5">
            <w:pPr>
              <w:pStyle w:val="TX-TableText"/>
              <w:jc w:val="center"/>
            </w:pPr>
            <w:r>
              <w:t>3,750</w:t>
            </w:r>
          </w:p>
        </w:tc>
        <w:tc>
          <w:tcPr>
            <w:tcW w:w="617" w:type="pct"/>
            <w:vAlign w:val="top"/>
          </w:tcPr>
          <w:p w:rsidR="00D3701F" w:rsidRPr="0039355E" w:rsidP="00D3701F" w14:paraId="6AD47581" w14:textId="7E9A1D1C">
            <w:pPr>
              <w:pStyle w:val="TX-TableText"/>
              <w:jc w:val="center"/>
            </w:pPr>
            <w:r w:rsidRPr="00C5559E">
              <w:t>1.8</w:t>
            </w:r>
          </w:p>
        </w:tc>
      </w:tr>
      <w:tr w14:paraId="097EF21D" w14:textId="20AC9B25" w:rsidTr="00C5559E">
        <w:tblPrEx>
          <w:tblW w:w="4765" w:type="pct"/>
          <w:tblInd w:w="990" w:type="dxa"/>
          <w:tblLayout w:type="fixed"/>
          <w:tblLook w:val="04A0"/>
        </w:tblPrEx>
        <w:trPr>
          <w:trHeight w:val="20"/>
        </w:trPr>
        <w:tc>
          <w:tcPr>
            <w:tcW w:w="1419" w:type="pct"/>
          </w:tcPr>
          <w:p w:rsidR="00D3701F" w:rsidP="00D3701F" w14:paraId="7084C310" w14:textId="40231FD1">
            <w:pPr>
              <w:pStyle w:val="TX-TableText"/>
              <w:ind w:left="150"/>
            </w:pPr>
            <w:r>
              <w:t>Rural</w:t>
            </w:r>
          </w:p>
        </w:tc>
        <w:tc>
          <w:tcPr>
            <w:tcW w:w="497" w:type="pct"/>
            <w:vAlign w:val="top"/>
          </w:tcPr>
          <w:p w:rsidR="00D3701F" w:rsidP="00D3701F" w14:paraId="0CF397BB" w14:textId="1EB83A54">
            <w:pPr>
              <w:pStyle w:val="TX-TableText"/>
              <w:jc w:val="center"/>
            </w:pPr>
            <w:r w:rsidRPr="0008177A">
              <w:t>25</w:t>
            </w:r>
            <w:r>
              <w:t>.0</w:t>
            </w:r>
          </w:p>
        </w:tc>
        <w:tc>
          <w:tcPr>
            <w:tcW w:w="545" w:type="pct"/>
            <w:vAlign w:val="top"/>
          </w:tcPr>
          <w:p w:rsidR="00D3701F" w:rsidP="00D3701F" w14:paraId="303C2FC1" w14:textId="0A8DA48E">
            <w:pPr>
              <w:pStyle w:val="TX-TableText"/>
              <w:jc w:val="center"/>
            </w:pPr>
            <w:r w:rsidRPr="007D21A1">
              <w:t xml:space="preserve"> 10,000 </w:t>
            </w:r>
          </w:p>
        </w:tc>
        <w:tc>
          <w:tcPr>
            <w:tcW w:w="667" w:type="pct"/>
            <w:vAlign w:val="top"/>
          </w:tcPr>
          <w:p w:rsidR="00D3701F" w:rsidRPr="007A3F8C" w:rsidP="00D3701F" w14:paraId="1000CB2B" w14:textId="28E4EA5E">
            <w:pPr>
              <w:pStyle w:val="TX-TableText"/>
              <w:jc w:val="center"/>
            </w:pPr>
            <w:r w:rsidRPr="0008177A">
              <w:t>2</w:t>
            </w:r>
            <w:r>
              <w:t>,</w:t>
            </w:r>
            <w:r w:rsidRPr="0008177A">
              <w:t>500</w:t>
            </w:r>
          </w:p>
        </w:tc>
        <w:tc>
          <w:tcPr>
            <w:tcW w:w="651" w:type="pct"/>
            <w:vAlign w:val="top"/>
          </w:tcPr>
          <w:p w:rsidR="00D3701F" w:rsidRPr="0008177A" w:rsidP="00D3701F" w14:paraId="7573A6DC" w14:textId="666B6E1D">
            <w:pPr>
              <w:pStyle w:val="TX-TableText"/>
              <w:jc w:val="center"/>
            </w:pPr>
            <w:r w:rsidRPr="0039355E">
              <w:t>2.2</w:t>
            </w:r>
          </w:p>
        </w:tc>
        <w:tc>
          <w:tcPr>
            <w:tcW w:w="604" w:type="pct"/>
            <w:vAlign w:val="top"/>
          </w:tcPr>
          <w:p w:rsidR="00D3701F" w:rsidRPr="0039355E" w:rsidP="00D3701F" w14:paraId="192C45C9" w14:textId="0B294749">
            <w:pPr>
              <w:pStyle w:val="TX-TableText"/>
              <w:jc w:val="center"/>
            </w:pPr>
            <w:r>
              <w:t>1,250</w:t>
            </w:r>
          </w:p>
        </w:tc>
        <w:tc>
          <w:tcPr>
            <w:tcW w:w="617" w:type="pct"/>
            <w:vAlign w:val="top"/>
          </w:tcPr>
          <w:p w:rsidR="00D3701F" w:rsidRPr="0039355E" w:rsidP="00D3701F" w14:paraId="18C8A646" w14:textId="795BAD49">
            <w:pPr>
              <w:pStyle w:val="TX-TableText"/>
              <w:jc w:val="center"/>
            </w:pPr>
            <w:r w:rsidRPr="00C5559E">
              <w:t>3.2</w:t>
            </w:r>
          </w:p>
        </w:tc>
      </w:tr>
    </w:tbl>
    <w:p w:rsidR="003D6560" w:rsidP="00CC3245" w14:paraId="667686EE" w14:textId="2CF81634">
      <w:pPr>
        <w:pStyle w:val="Header"/>
        <w:tabs>
          <w:tab w:val="clear" w:pos="4320"/>
          <w:tab w:val="clear" w:pos="8640"/>
        </w:tabs>
        <w:ind w:left="960"/>
        <w:rPr>
          <w:rFonts w:ascii="Times New Roman" w:hAnsi="Times New Roman"/>
        </w:rPr>
      </w:pPr>
      <w:r>
        <w:rPr>
          <w:rFonts w:ascii="Times New Roman" w:hAnsi="Times New Roman"/>
        </w:rPr>
        <w:t xml:space="preserve">SOURCE:  </w:t>
      </w:r>
      <w:r w:rsidR="00CC3245">
        <w:rPr>
          <w:rFonts w:ascii="Times New Roman" w:hAnsi="Times New Roman"/>
        </w:rPr>
        <w:t>We obtained p</w:t>
      </w:r>
      <w:r>
        <w:rPr>
          <w:rFonts w:ascii="Times New Roman" w:hAnsi="Times New Roman"/>
        </w:rPr>
        <w:t xml:space="preserve">opulation distribution via an independent tabulation of </w:t>
      </w:r>
      <w:r w:rsidR="00DC6FC6">
        <w:rPr>
          <w:rFonts w:ascii="Times New Roman" w:hAnsi="Times New Roman"/>
        </w:rPr>
        <w:t xml:space="preserve">disability applications drawn from SSA’s Structured Data Repository filed from December 1, 2022, through June 30, 2023. </w:t>
      </w:r>
    </w:p>
    <w:p w:rsidR="002857BC" w:rsidRPr="002857BC" w:rsidP="00E835FD" w14:paraId="590340FE" w14:textId="5401BD75">
      <w:pPr>
        <w:pStyle w:val="Header"/>
        <w:tabs>
          <w:tab w:val="clear" w:pos="4320"/>
          <w:tab w:val="clear" w:pos="8640"/>
        </w:tabs>
        <w:rPr>
          <w:rFonts w:ascii="Times New Roman" w:hAnsi="Times New Roman"/>
        </w:rPr>
      </w:pPr>
      <w:r>
        <w:rPr>
          <w:rFonts w:ascii="Times New Roman" w:hAnsi="Times New Roman"/>
        </w:rPr>
        <w:tab/>
        <w:t xml:space="preserve">    NOTES:</w:t>
      </w:r>
      <w:r w:rsidR="00575673">
        <w:rPr>
          <w:rFonts w:ascii="Times New Roman" w:hAnsi="Times New Roman"/>
        </w:rPr>
        <w:t xml:space="preserve"> </w:t>
      </w:r>
      <w:r>
        <w:rPr>
          <w:rFonts w:ascii="Times New Roman" w:hAnsi="Times New Roman"/>
        </w:rPr>
        <w:t xml:space="preserve"> </w:t>
      </w:r>
      <w:r>
        <w:rPr>
          <w:rFonts w:ascii="Times New Roman" w:hAnsi="Times New Roman"/>
          <w:vertAlign w:val="superscript"/>
        </w:rPr>
        <w:t xml:space="preserve">a </w:t>
      </w:r>
      <w:r>
        <w:rPr>
          <w:rFonts w:ascii="Times New Roman" w:hAnsi="Times New Roman"/>
        </w:rPr>
        <w:t xml:space="preserve">Assumes a </w:t>
      </w:r>
      <w:r w:rsidR="008C0D10">
        <w:rPr>
          <w:rFonts w:ascii="Times New Roman" w:hAnsi="Times New Roman"/>
        </w:rPr>
        <w:t>25</w:t>
      </w:r>
      <w:r>
        <w:rPr>
          <w:rFonts w:ascii="Times New Roman" w:hAnsi="Times New Roman"/>
        </w:rPr>
        <w:t>% expected response rate.</w:t>
      </w:r>
    </w:p>
    <w:p w:rsidR="003D6560" w:rsidP="00E835FD" w14:paraId="1FB4A9F9" w14:textId="77777777">
      <w:pPr>
        <w:pStyle w:val="Header"/>
        <w:tabs>
          <w:tab w:val="clear" w:pos="4320"/>
          <w:tab w:val="clear" w:pos="8640"/>
        </w:tabs>
        <w:rPr>
          <w:rFonts w:ascii="Times New Roman" w:hAnsi="Times New Roman"/>
        </w:rPr>
      </w:pPr>
    </w:p>
    <w:p w:rsidR="00CC3245" w:rsidP="00CC3245" w14:paraId="767C638D" w14:textId="77777777">
      <w:pPr>
        <w:ind w:left="720"/>
        <w:rPr>
          <w:rFonts w:ascii="Times New Roman" w:hAnsi="Times New Roman" w:eastAsiaTheme="minorEastAsia"/>
          <w:snapToGrid/>
          <w:lang w:eastAsia="ja-JP"/>
        </w:rPr>
      </w:pPr>
      <w:r w:rsidRPr="004E2B75">
        <w:rPr>
          <w:rFonts w:ascii="Times New Roman" w:hAnsi="Times New Roman" w:eastAsiaTheme="minorEastAsia"/>
          <w:snapToGrid/>
          <w:lang w:eastAsia="ja-JP"/>
        </w:rPr>
        <w:t>We also examined the power to detect differences between the “Reconsideration appeal” subgroup and the ALJ subgroup.</w:t>
      </w:r>
      <w:r>
        <w:rPr>
          <w:rFonts w:ascii="Times New Roman" w:hAnsi="Times New Roman" w:eastAsiaTheme="minorEastAsia"/>
          <w:snapToGrid/>
          <w:lang w:eastAsia="ja-JP"/>
        </w:rPr>
        <w:t xml:space="preserve"> </w:t>
      </w:r>
      <w:r w:rsidRPr="004E2B75">
        <w:rPr>
          <w:rFonts w:ascii="Times New Roman" w:hAnsi="Times New Roman" w:eastAsiaTheme="minorEastAsia"/>
          <w:snapToGrid/>
          <w:lang w:eastAsia="ja-JP"/>
        </w:rPr>
        <w:t xml:space="preserve"> With the sample sizes given in Exhibit 1, we expect to detect, with 80% power, a difference of 5.4 percentage points between the two subgroups (e.g., proportions of 50 percent for the “Reconsideration appeal” group and 55.4 percent for the ALJ group).</w:t>
      </w:r>
    </w:p>
    <w:p w:rsidR="00CC3245" w:rsidP="00CC3245" w14:paraId="3E3BA12D" w14:textId="77777777">
      <w:pPr>
        <w:ind w:left="720"/>
        <w:rPr>
          <w:rFonts w:ascii="Times New Roman" w:hAnsi="Times New Roman" w:eastAsiaTheme="minorEastAsia"/>
          <w:snapToGrid/>
          <w:lang w:eastAsia="ja-JP"/>
        </w:rPr>
      </w:pPr>
    </w:p>
    <w:p w:rsidR="00CC3245" w:rsidP="00CC3245" w14:paraId="4AF37C83" w14:textId="77777777">
      <w:pPr>
        <w:ind w:left="720"/>
        <w:rPr>
          <w:rFonts w:ascii="Times New Roman" w:hAnsi="Times New Roman" w:eastAsiaTheme="minorEastAsia"/>
          <w:snapToGrid/>
          <w:lang w:eastAsia="ja-JP"/>
        </w:rPr>
      </w:pPr>
      <w:r w:rsidRPr="000E2990">
        <w:rPr>
          <w:rFonts w:ascii="Times New Roman" w:hAnsi="Times New Roman"/>
        </w:rPr>
        <w:t xml:space="preserve">Based on our previous experiences, we also suggest allowing a reserve sample of </w:t>
      </w:r>
      <w:r w:rsidR="008C0D10">
        <w:rPr>
          <w:rFonts w:ascii="Times New Roman" w:hAnsi="Times New Roman"/>
        </w:rPr>
        <w:t>20</w:t>
      </w:r>
      <w:r w:rsidRPr="000E2990">
        <w:rPr>
          <w:rFonts w:ascii="Times New Roman" w:hAnsi="Times New Roman"/>
        </w:rPr>
        <w:t xml:space="preserve">,000 </w:t>
      </w:r>
      <w:r w:rsidR="001F0F76">
        <w:rPr>
          <w:rFonts w:ascii="Times New Roman" w:hAnsi="Times New Roman"/>
        </w:rPr>
        <w:t>applicants</w:t>
      </w:r>
      <w:r w:rsidRPr="000E2990">
        <w:rPr>
          <w:rFonts w:ascii="Times New Roman" w:hAnsi="Times New Roman"/>
        </w:rPr>
        <w:t xml:space="preserve"> to allow for </w:t>
      </w:r>
      <w:r>
        <w:rPr>
          <w:rFonts w:ascii="Times New Roman" w:hAnsi="Times New Roman"/>
        </w:rPr>
        <w:t>lower-than-expected response rates</w:t>
      </w:r>
      <w:r w:rsidRPr="000E2990">
        <w:rPr>
          <w:rFonts w:ascii="Times New Roman" w:hAnsi="Times New Roman"/>
        </w:rPr>
        <w:t>.</w:t>
      </w:r>
      <w:r>
        <w:rPr>
          <w:rFonts w:ascii="Times New Roman" w:hAnsi="Times New Roman"/>
        </w:rPr>
        <w:t xml:space="preserve"> </w:t>
      </w:r>
      <w:r w:rsidRPr="000E2990">
        <w:rPr>
          <w:rFonts w:ascii="Times New Roman" w:hAnsi="Times New Roman"/>
        </w:rPr>
        <w:t xml:space="preserve"> If needed, we will release the reserve sample in blocks of 1,000 individuals at a time to reach the total number of </w:t>
      </w:r>
      <w:r>
        <w:rPr>
          <w:rFonts w:ascii="Times New Roman" w:hAnsi="Times New Roman"/>
        </w:rPr>
        <w:t>10</w:t>
      </w:r>
      <w:r w:rsidRPr="000E2990">
        <w:rPr>
          <w:rFonts w:ascii="Times New Roman" w:hAnsi="Times New Roman"/>
        </w:rPr>
        <w:t xml:space="preserve">,000 completes. </w:t>
      </w:r>
      <w:r>
        <w:rPr>
          <w:rFonts w:ascii="Times New Roman" w:hAnsi="Times New Roman"/>
        </w:rPr>
        <w:t xml:space="preserve"> </w:t>
      </w:r>
      <w:r w:rsidRPr="000E2990">
        <w:rPr>
          <w:rFonts w:ascii="Times New Roman" w:hAnsi="Times New Roman"/>
        </w:rPr>
        <w:t xml:space="preserve">Drawing a reserve sample and increasing the pool of potential respondents will help mitigate challenges related to locating </w:t>
      </w:r>
      <w:r w:rsidR="001F0F76">
        <w:rPr>
          <w:rFonts w:ascii="Times New Roman" w:hAnsi="Times New Roman"/>
        </w:rPr>
        <w:t>applicants</w:t>
      </w:r>
      <w:r w:rsidRPr="000E2990">
        <w:rPr>
          <w:rFonts w:ascii="Times New Roman" w:hAnsi="Times New Roman"/>
        </w:rPr>
        <w:t xml:space="preserve"> due to incorrect contact information and failure of </w:t>
      </w:r>
      <w:r w:rsidR="001F0F76">
        <w:rPr>
          <w:rFonts w:ascii="Times New Roman" w:hAnsi="Times New Roman"/>
        </w:rPr>
        <w:t>applicants</w:t>
      </w:r>
      <w:r w:rsidRPr="000E2990">
        <w:rPr>
          <w:rFonts w:ascii="Times New Roman" w:hAnsi="Times New Roman"/>
        </w:rPr>
        <w:t xml:space="preserve"> to </w:t>
      </w:r>
      <w:r w:rsidR="00E4652E">
        <w:rPr>
          <w:rFonts w:ascii="Times New Roman" w:hAnsi="Times New Roman"/>
        </w:rPr>
        <w:t>respond to survey requests</w:t>
      </w:r>
      <w:r w:rsidRPr="000E2990">
        <w:rPr>
          <w:rFonts w:ascii="Times New Roman" w:hAnsi="Times New Roman"/>
        </w:rPr>
        <w:t>.</w:t>
      </w:r>
    </w:p>
    <w:p w:rsidR="00CC3245" w:rsidP="00CC3245" w14:paraId="692C09E3" w14:textId="77777777">
      <w:pPr>
        <w:ind w:left="720"/>
        <w:rPr>
          <w:rFonts w:ascii="Times New Roman" w:hAnsi="Times New Roman" w:eastAsiaTheme="minorEastAsia"/>
          <w:snapToGrid/>
          <w:lang w:eastAsia="ja-JP"/>
        </w:rPr>
      </w:pPr>
    </w:p>
    <w:p w:rsidR="00CC3245" w:rsidRPr="00CC3245" w:rsidP="00CC3245" w14:paraId="22014E29" w14:textId="77777777">
      <w:pPr>
        <w:pStyle w:val="ListParagraph"/>
        <w:numPr>
          <w:ilvl w:val="0"/>
          <w:numId w:val="16"/>
        </w:numPr>
        <w:rPr>
          <w:rFonts w:ascii="Times New Roman" w:hAnsi="Times New Roman" w:eastAsiaTheme="minorEastAsia"/>
          <w:snapToGrid/>
          <w:lang w:eastAsia="ja-JP"/>
        </w:rPr>
      </w:pPr>
      <w:r w:rsidRPr="00CC3245">
        <w:rPr>
          <w:rFonts w:ascii="Times New Roman" w:hAnsi="Times New Roman"/>
          <w:b/>
        </w:rPr>
        <w:t>Procedures for Collecting the Information</w:t>
      </w:r>
    </w:p>
    <w:p w:rsidR="00D623C5" w:rsidP="00CC3245" w14:paraId="6ACBAC74" w14:textId="433A7859">
      <w:pPr>
        <w:pStyle w:val="ListParagraph"/>
        <w:rPr>
          <w:rFonts w:ascii="Times New Roman" w:hAnsi="Times New Roman"/>
        </w:rPr>
      </w:pPr>
      <w:r w:rsidRPr="00BB2B03">
        <w:rPr>
          <w:rFonts w:ascii="Times New Roman" w:hAnsi="Times New Roman"/>
          <w:noProof/>
        </w:rPr>
        <w:t>As described</w:t>
      </w:r>
      <w:r w:rsidRPr="00CC3245">
        <w:rPr>
          <w:rFonts w:ascii="Times New Roman" w:hAnsi="Times New Roman"/>
          <w:noProof/>
        </w:rPr>
        <w:t xml:space="preserve"> in Part A, our approach </w:t>
      </w:r>
      <w:r w:rsidRPr="00CC3245" w:rsidR="00642C05">
        <w:rPr>
          <w:rFonts w:ascii="Times New Roman" w:hAnsi="Times New Roman"/>
          <w:noProof/>
        </w:rPr>
        <w:t xml:space="preserve">is a mixed mode design offering </w:t>
      </w:r>
      <w:r w:rsidRPr="00CC3245" w:rsidR="001F0F76">
        <w:rPr>
          <w:rFonts w:ascii="Times New Roman" w:hAnsi="Times New Roman"/>
          <w:noProof/>
        </w:rPr>
        <w:t>applicants</w:t>
      </w:r>
      <w:r w:rsidRPr="00CC3245" w:rsidR="00642C05">
        <w:rPr>
          <w:rFonts w:ascii="Times New Roman" w:hAnsi="Times New Roman"/>
          <w:noProof/>
        </w:rPr>
        <w:t xml:space="preserve"> the ability to </w:t>
      </w:r>
      <w:r w:rsidRPr="00CC3245" w:rsidR="001F0F76">
        <w:rPr>
          <w:rFonts w:ascii="Times New Roman" w:hAnsi="Times New Roman"/>
          <w:noProof/>
        </w:rPr>
        <w:t>complete the survey</w:t>
      </w:r>
      <w:r w:rsidRPr="00CC3245" w:rsidR="00642C05">
        <w:rPr>
          <w:rFonts w:ascii="Times New Roman" w:hAnsi="Times New Roman"/>
          <w:noProof/>
        </w:rPr>
        <w:t xml:space="preserve"> by web, paper</w:t>
      </w:r>
      <w:r w:rsidRPr="00CC3245" w:rsidR="004226FE">
        <w:rPr>
          <w:rFonts w:ascii="Times New Roman" w:hAnsi="Times New Roman"/>
          <w:noProof/>
        </w:rPr>
        <w:t>,</w:t>
      </w:r>
      <w:r w:rsidRPr="00CC3245" w:rsidR="004605B6">
        <w:rPr>
          <w:rFonts w:ascii="Times New Roman" w:hAnsi="Times New Roman"/>
          <w:noProof/>
        </w:rPr>
        <w:t xml:space="preserve"> or telephone</w:t>
      </w:r>
      <w:r w:rsidRPr="00CC3245" w:rsidR="00642C05">
        <w:rPr>
          <w:rFonts w:ascii="Times New Roman" w:hAnsi="Times New Roman"/>
          <w:noProof/>
        </w:rPr>
        <w:t xml:space="preserve">. </w:t>
      </w:r>
      <w:r w:rsidR="00BB2B03">
        <w:rPr>
          <w:rFonts w:ascii="Times New Roman" w:hAnsi="Times New Roman"/>
          <w:noProof/>
        </w:rPr>
        <w:t xml:space="preserve"> </w:t>
      </w:r>
      <w:r w:rsidRPr="00CC3245" w:rsidR="00EC7B3D">
        <w:rPr>
          <w:rFonts w:ascii="Times New Roman" w:hAnsi="Times New Roman"/>
        </w:rPr>
        <w:t xml:space="preserve">Our core data collection design strategy is a sequential push-to-web design with the </w:t>
      </w:r>
      <w:r w:rsidRPr="00CC3245" w:rsidR="002B1A41">
        <w:rPr>
          <w:rFonts w:ascii="Times New Roman" w:hAnsi="Times New Roman"/>
        </w:rPr>
        <w:t xml:space="preserve">mail </w:t>
      </w:r>
      <w:r w:rsidRPr="00CC3245" w:rsidR="00EC7B3D">
        <w:rPr>
          <w:rFonts w:ascii="Times New Roman" w:hAnsi="Times New Roman"/>
        </w:rPr>
        <w:t xml:space="preserve">mode introduced during </w:t>
      </w:r>
      <w:r w:rsidRPr="00CC3245" w:rsidR="00EC7B3D">
        <w:rPr>
          <w:rFonts w:ascii="Times New Roman" w:hAnsi="Times New Roman"/>
        </w:rPr>
        <w:t xml:space="preserve">the </w:t>
      </w:r>
      <w:r w:rsidRPr="00CC3245" w:rsidR="002B1A41">
        <w:rPr>
          <w:rFonts w:ascii="Times New Roman" w:hAnsi="Times New Roman"/>
        </w:rPr>
        <w:t xml:space="preserve">fourth </w:t>
      </w:r>
      <w:r w:rsidRPr="00CC3245" w:rsidR="00EC7B3D">
        <w:rPr>
          <w:rFonts w:ascii="Times New Roman" w:hAnsi="Times New Roman"/>
        </w:rPr>
        <w:t>mail communication</w:t>
      </w:r>
      <w:r w:rsidRPr="00CC3245" w:rsidR="002B1A41">
        <w:rPr>
          <w:rFonts w:ascii="Times New Roman" w:hAnsi="Times New Roman"/>
        </w:rPr>
        <w:t xml:space="preserve"> and </w:t>
      </w:r>
      <w:r w:rsidRPr="00CC3245" w:rsidR="00EC7B3D">
        <w:rPr>
          <w:rFonts w:ascii="Times New Roman" w:hAnsi="Times New Roman"/>
        </w:rPr>
        <w:t xml:space="preserve">the </w:t>
      </w:r>
      <w:r w:rsidRPr="00CC3245" w:rsidR="004A25AB">
        <w:rPr>
          <w:rFonts w:ascii="Times New Roman" w:hAnsi="Times New Roman"/>
        </w:rPr>
        <w:t xml:space="preserve">telephone </w:t>
      </w:r>
      <w:r w:rsidRPr="00CC3245" w:rsidR="00EC7B3D">
        <w:rPr>
          <w:rFonts w:ascii="Times New Roman" w:hAnsi="Times New Roman"/>
        </w:rPr>
        <w:t xml:space="preserve">mode introduced during the </w:t>
      </w:r>
      <w:r w:rsidRPr="00CC3245" w:rsidR="002B1A41">
        <w:rPr>
          <w:rFonts w:ascii="Times New Roman" w:hAnsi="Times New Roman"/>
        </w:rPr>
        <w:t xml:space="preserve">fifth </w:t>
      </w:r>
      <w:r w:rsidRPr="00CC3245" w:rsidR="00EC7B3D">
        <w:rPr>
          <w:rFonts w:ascii="Times New Roman" w:hAnsi="Times New Roman"/>
        </w:rPr>
        <w:t>mail communication.</w:t>
      </w:r>
      <w:r w:rsidR="00BB2B03">
        <w:rPr>
          <w:rFonts w:ascii="Times New Roman" w:hAnsi="Times New Roman"/>
        </w:rPr>
        <w:t xml:space="preserve"> </w:t>
      </w:r>
      <w:r w:rsidRPr="00CC3245" w:rsidR="00EC7B3D">
        <w:rPr>
          <w:rFonts w:ascii="Times New Roman" w:hAnsi="Times New Roman"/>
        </w:rPr>
        <w:t xml:space="preserve"> </w:t>
      </w:r>
      <w:r w:rsidR="00BB2B03">
        <w:rPr>
          <w:rFonts w:ascii="Times New Roman" w:hAnsi="Times New Roman"/>
        </w:rPr>
        <w:t>In addition, we e</w:t>
      </w:r>
      <w:r w:rsidRPr="00CC3245" w:rsidR="00EC7B3D">
        <w:rPr>
          <w:rFonts w:ascii="Times New Roman" w:hAnsi="Times New Roman"/>
        </w:rPr>
        <w:t>mbedded</w:t>
      </w:r>
      <w:r w:rsidR="00BB2B03">
        <w:rPr>
          <w:rFonts w:ascii="Times New Roman" w:hAnsi="Times New Roman"/>
        </w:rPr>
        <w:t xml:space="preserve"> experiments</w:t>
      </w:r>
      <w:r w:rsidRPr="00CC3245" w:rsidR="00EC7B3D">
        <w:rPr>
          <w:rFonts w:ascii="Times New Roman" w:hAnsi="Times New Roman"/>
        </w:rPr>
        <w:t xml:space="preserve"> in this core design. </w:t>
      </w:r>
      <w:r w:rsidR="00BB2B03">
        <w:rPr>
          <w:rFonts w:ascii="Times New Roman" w:hAnsi="Times New Roman"/>
        </w:rPr>
        <w:t xml:space="preserve"> We discuss t</w:t>
      </w:r>
      <w:r w:rsidRPr="00CC3245" w:rsidR="00EC7B3D">
        <w:rPr>
          <w:rFonts w:ascii="Times New Roman" w:hAnsi="Times New Roman"/>
        </w:rPr>
        <w:t xml:space="preserve">hese experiments </w:t>
      </w:r>
      <w:r w:rsidRPr="00CC3245" w:rsidR="005D47CE">
        <w:rPr>
          <w:rFonts w:ascii="Times New Roman" w:hAnsi="Times New Roman"/>
        </w:rPr>
        <w:t>in Part A.</w:t>
      </w:r>
      <w:r w:rsidRPr="00CC3245" w:rsidR="00EC7B3D">
        <w:rPr>
          <w:rFonts w:ascii="Times New Roman" w:hAnsi="Times New Roman"/>
        </w:rPr>
        <w:t xml:space="preserve"> </w:t>
      </w:r>
    </w:p>
    <w:p w:rsidR="00BB2B03" w:rsidRPr="00CC3245" w:rsidP="00CC3245" w14:paraId="0DBB1AF4" w14:textId="77777777">
      <w:pPr>
        <w:pStyle w:val="ListParagraph"/>
        <w:rPr>
          <w:rFonts w:ascii="Times New Roman" w:hAnsi="Times New Roman" w:eastAsiaTheme="minorEastAsia"/>
          <w:snapToGrid/>
          <w:lang w:eastAsia="ja-JP"/>
        </w:rPr>
      </w:pPr>
    </w:p>
    <w:p w:rsidR="00EA51CD" w:rsidRPr="00DE3DB6" w:rsidP="00EA51CD" w14:paraId="686D7BF5" w14:textId="3527D848">
      <w:pPr>
        <w:pStyle w:val="L1-FlLSp12"/>
        <w:ind w:left="990"/>
        <w:rPr>
          <w:rFonts w:ascii="Times New Roman" w:hAnsi="Times New Roman" w:cs="Times New Roman"/>
          <w:noProof/>
          <w:sz w:val="24"/>
          <w:szCs w:val="24"/>
        </w:rPr>
      </w:pPr>
      <w:r w:rsidRPr="00DE3DB6">
        <w:rPr>
          <w:rFonts w:ascii="Times New Roman" w:hAnsi="Times New Roman" w:cs="Times New Roman"/>
          <w:noProof/>
          <w:sz w:val="24"/>
          <w:szCs w:val="24"/>
        </w:rPr>
        <w:t xml:space="preserve">The contact protocol for the </w:t>
      </w:r>
      <w:r w:rsidR="00494622">
        <w:rPr>
          <w:rFonts w:ascii="Times New Roman" w:hAnsi="Times New Roman" w:cs="Times New Roman"/>
          <w:noProof/>
          <w:sz w:val="24"/>
          <w:szCs w:val="24"/>
        </w:rPr>
        <w:t xml:space="preserve">core </w:t>
      </w:r>
      <w:r w:rsidRPr="00DE3DB6">
        <w:rPr>
          <w:rFonts w:ascii="Times New Roman" w:hAnsi="Times New Roman" w:cs="Times New Roman"/>
          <w:noProof/>
          <w:sz w:val="24"/>
          <w:szCs w:val="24"/>
        </w:rPr>
        <w:t xml:space="preserve">survey includes </w:t>
      </w:r>
      <w:r>
        <w:rPr>
          <w:rFonts w:ascii="Times New Roman" w:hAnsi="Times New Roman" w:cs="Times New Roman"/>
          <w:noProof/>
          <w:sz w:val="24"/>
          <w:szCs w:val="24"/>
        </w:rPr>
        <w:t xml:space="preserve">the following </w:t>
      </w:r>
      <w:r w:rsidRPr="00DE3DB6">
        <w:rPr>
          <w:rFonts w:ascii="Times New Roman" w:hAnsi="Times New Roman" w:cs="Times New Roman"/>
          <w:noProof/>
          <w:sz w:val="24"/>
          <w:szCs w:val="24"/>
        </w:rPr>
        <w:t>steps</w:t>
      </w:r>
      <w:r w:rsidR="00BB2B03">
        <w:rPr>
          <w:rFonts w:ascii="Times New Roman" w:hAnsi="Times New Roman" w:cs="Times New Roman"/>
          <w:noProof/>
          <w:sz w:val="24"/>
          <w:szCs w:val="24"/>
        </w:rPr>
        <w:t>:</w:t>
      </w:r>
    </w:p>
    <w:p w:rsidR="00AE031D" w:rsidRPr="006F14CC" w:rsidP="006F14CC" w14:paraId="5A7033DC" w14:textId="45B1E00E">
      <w:pPr>
        <w:pStyle w:val="NL-1stNumberedBullet"/>
        <w:rPr>
          <w:rFonts w:ascii="Times New Roman" w:hAnsi="Times New Roman" w:cs="Times New Roman"/>
          <w:sz w:val="24"/>
          <w:szCs w:val="22"/>
        </w:rPr>
      </w:pPr>
      <w:r>
        <w:rPr>
          <w:rFonts w:ascii="Times New Roman" w:hAnsi="Times New Roman" w:cs="Times New Roman"/>
          <w:sz w:val="24"/>
          <w:szCs w:val="22"/>
        </w:rPr>
        <w:t>A few</w:t>
      </w:r>
      <w:r w:rsidR="006F14CC">
        <w:rPr>
          <w:rFonts w:ascii="Times New Roman" w:hAnsi="Times New Roman" w:cs="Times New Roman"/>
          <w:sz w:val="24"/>
          <w:szCs w:val="22"/>
        </w:rPr>
        <w:t xml:space="preserve"> week</w:t>
      </w:r>
      <w:r>
        <w:rPr>
          <w:rFonts w:ascii="Times New Roman" w:hAnsi="Times New Roman" w:cs="Times New Roman"/>
          <w:sz w:val="24"/>
          <w:szCs w:val="22"/>
        </w:rPr>
        <w:t>s</w:t>
      </w:r>
      <w:r w:rsidR="006F14CC">
        <w:rPr>
          <w:rFonts w:ascii="Times New Roman" w:hAnsi="Times New Roman" w:cs="Times New Roman"/>
          <w:sz w:val="24"/>
          <w:szCs w:val="22"/>
        </w:rPr>
        <w:t xml:space="preserve"> prior to </w:t>
      </w:r>
      <w:r>
        <w:rPr>
          <w:rFonts w:ascii="Times New Roman" w:hAnsi="Times New Roman" w:cs="Times New Roman"/>
          <w:sz w:val="24"/>
          <w:szCs w:val="22"/>
        </w:rPr>
        <w:t>start</w:t>
      </w:r>
      <w:r w:rsidR="00BB2B03">
        <w:rPr>
          <w:rFonts w:ascii="Times New Roman" w:hAnsi="Times New Roman" w:cs="Times New Roman"/>
          <w:sz w:val="24"/>
          <w:szCs w:val="22"/>
        </w:rPr>
        <w:t>ing</w:t>
      </w:r>
      <w:r>
        <w:rPr>
          <w:rFonts w:ascii="Times New Roman" w:hAnsi="Times New Roman" w:cs="Times New Roman"/>
          <w:sz w:val="24"/>
          <w:szCs w:val="22"/>
        </w:rPr>
        <w:t xml:space="preserve"> data collection</w:t>
      </w:r>
      <w:r w:rsidR="006F14CC">
        <w:rPr>
          <w:rFonts w:ascii="Times New Roman" w:hAnsi="Times New Roman" w:cs="Times New Roman"/>
          <w:sz w:val="24"/>
          <w:szCs w:val="22"/>
        </w:rPr>
        <w:t xml:space="preserve">, </w:t>
      </w:r>
      <w:r w:rsidRPr="00C22C8C" w:rsidR="00684F25">
        <w:rPr>
          <w:rFonts w:ascii="Times New Roman" w:hAnsi="Times New Roman" w:cs="Times New Roman"/>
          <w:b/>
          <w:bCs/>
          <w:sz w:val="24"/>
          <w:szCs w:val="22"/>
        </w:rPr>
        <w:t xml:space="preserve">SSA will announce the </w:t>
      </w:r>
      <w:r w:rsidR="001F0F76">
        <w:rPr>
          <w:rFonts w:ascii="Times New Roman" w:hAnsi="Times New Roman" w:cs="Times New Roman"/>
          <w:b/>
          <w:bCs/>
          <w:sz w:val="24"/>
          <w:szCs w:val="22"/>
        </w:rPr>
        <w:t>survey</w:t>
      </w:r>
      <w:r w:rsidRPr="00C22C8C" w:rsidR="00684F25">
        <w:rPr>
          <w:rFonts w:ascii="Times New Roman" w:hAnsi="Times New Roman" w:cs="Times New Roman"/>
          <w:b/>
          <w:bCs/>
          <w:sz w:val="24"/>
          <w:szCs w:val="22"/>
        </w:rPr>
        <w:t xml:space="preserve"> on </w:t>
      </w:r>
      <w:r w:rsidR="00FD32F5">
        <w:rPr>
          <w:rFonts w:ascii="Times New Roman" w:hAnsi="Times New Roman" w:cs="Times New Roman"/>
          <w:b/>
          <w:bCs/>
          <w:sz w:val="24"/>
          <w:szCs w:val="22"/>
        </w:rPr>
        <w:t>its</w:t>
      </w:r>
      <w:r w:rsidRPr="00C22C8C" w:rsidR="00684F25">
        <w:rPr>
          <w:rFonts w:ascii="Times New Roman" w:hAnsi="Times New Roman" w:cs="Times New Roman"/>
          <w:b/>
          <w:bCs/>
          <w:sz w:val="24"/>
          <w:szCs w:val="22"/>
        </w:rPr>
        <w:t xml:space="preserve"> website</w:t>
      </w:r>
      <w:r w:rsidRPr="006F14CC" w:rsidR="00684F25">
        <w:rPr>
          <w:rFonts w:ascii="Times New Roman" w:hAnsi="Times New Roman" w:cs="Times New Roman"/>
          <w:sz w:val="24"/>
          <w:szCs w:val="22"/>
        </w:rPr>
        <w:t xml:space="preserve">. </w:t>
      </w:r>
      <w:r w:rsidR="00BB2B03">
        <w:rPr>
          <w:rFonts w:ascii="Times New Roman" w:hAnsi="Times New Roman" w:cs="Times New Roman"/>
          <w:sz w:val="24"/>
          <w:szCs w:val="22"/>
        </w:rPr>
        <w:t xml:space="preserve"> </w:t>
      </w:r>
      <w:r w:rsidRPr="006F14CC" w:rsidR="00684F25">
        <w:rPr>
          <w:rFonts w:ascii="Times New Roman" w:hAnsi="Times New Roman" w:cs="Times New Roman"/>
          <w:sz w:val="24"/>
          <w:szCs w:val="22"/>
        </w:rPr>
        <w:t xml:space="preserve">SSA </w:t>
      </w:r>
      <w:r w:rsidR="00FD32F5">
        <w:rPr>
          <w:rFonts w:ascii="Times New Roman" w:hAnsi="Times New Roman" w:cs="Times New Roman"/>
          <w:sz w:val="24"/>
          <w:szCs w:val="22"/>
        </w:rPr>
        <w:t>will</w:t>
      </w:r>
      <w:r w:rsidRPr="006F14CC" w:rsidR="00684F25">
        <w:rPr>
          <w:rFonts w:ascii="Times New Roman" w:hAnsi="Times New Roman" w:cs="Times New Roman"/>
          <w:sz w:val="24"/>
          <w:szCs w:val="22"/>
        </w:rPr>
        <w:t xml:space="preserve"> disseminate </w:t>
      </w:r>
      <w:r w:rsidR="001F0F76">
        <w:rPr>
          <w:rFonts w:ascii="Times New Roman" w:hAnsi="Times New Roman" w:cs="Times New Roman"/>
          <w:sz w:val="24"/>
          <w:szCs w:val="22"/>
        </w:rPr>
        <w:t>survey</w:t>
      </w:r>
      <w:r w:rsidRPr="006F14CC" w:rsidR="00684F25">
        <w:rPr>
          <w:rFonts w:ascii="Times New Roman" w:hAnsi="Times New Roman" w:cs="Times New Roman"/>
          <w:sz w:val="24"/>
          <w:szCs w:val="22"/>
        </w:rPr>
        <w:t xml:space="preserve"> information to SSA field offices, teleservice center, and line staff. </w:t>
      </w:r>
    </w:p>
    <w:p w:rsidR="00684F25" w:rsidRPr="006F14CC" w:rsidP="006F14CC" w14:paraId="08158A04" w14:textId="4E45C6A1">
      <w:pPr>
        <w:pStyle w:val="NL-1stNumberedBullet"/>
        <w:rPr>
          <w:rFonts w:ascii="Times New Roman" w:hAnsi="Times New Roman" w:cs="Times New Roman"/>
          <w:sz w:val="24"/>
          <w:szCs w:val="22"/>
        </w:rPr>
      </w:pPr>
      <w:r>
        <w:rPr>
          <w:rFonts w:ascii="Times New Roman" w:hAnsi="Times New Roman" w:cs="Times New Roman"/>
          <w:sz w:val="24"/>
          <w:szCs w:val="22"/>
        </w:rPr>
        <w:t>A few</w:t>
      </w:r>
      <w:r w:rsidR="006F14CC">
        <w:rPr>
          <w:rFonts w:ascii="Times New Roman" w:hAnsi="Times New Roman" w:cs="Times New Roman"/>
          <w:sz w:val="24"/>
          <w:szCs w:val="22"/>
        </w:rPr>
        <w:t xml:space="preserve"> week</w:t>
      </w:r>
      <w:r>
        <w:rPr>
          <w:rFonts w:ascii="Times New Roman" w:hAnsi="Times New Roman" w:cs="Times New Roman"/>
          <w:sz w:val="24"/>
          <w:szCs w:val="22"/>
        </w:rPr>
        <w:t>s</w:t>
      </w:r>
      <w:r w:rsidR="006F14CC">
        <w:rPr>
          <w:rFonts w:ascii="Times New Roman" w:hAnsi="Times New Roman" w:cs="Times New Roman"/>
          <w:sz w:val="24"/>
          <w:szCs w:val="22"/>
        </w:rPr>
        <w:t xml:space="preserve"> prior to the first mailing</w:t>
      </w:r>
      <w:r>
        <w:rPr>
          <w:rFonts w:ascii="Times New Roman" w:hAnsi="Times New Roman" w:cs="Times New Roman"/>
          <w:sz w:val="24"/>
          <w:szCs w:val="22"/>
        </w:rPr>
        <w:t xml:space="preserve"> to applicants</w:t>
      </w:r>
      <w:r w:rsidR="006F14CC">
        <w:rPr>
          <w:rFonts w:ascii="Times New Roman" w:hAnsi="Times New Roman" w:cs="Times New Roman"/>
          <w:sz w:val="24"/>
          <w:szCs w:val="22"/>
        </w:rPr>
        <w:t xml:space="preserve">, </w:t>
      </w:r>
      <w:r w:rsidR="00FD32F5">
        <w:rPr>
          <w:rFonts w:ascii="Times New Roman" w:hAnsi="Times New Roman" w:cs="Times New Roman"/>
          <w:sz w:val="24"/>
          <w:szCs w:val="22"/>
        </w:rPr>
        <w:t>we</w:t>
      </w:r>
      <w:r w:rsidR="006F14CC">
        <w:rPr>
          <w:rFonts w:ascii="Times New Roman" w:hAnsi="Times New Roman" w:cs="Times New Roman"/>
          <w:sz w:val="24"/>
          <w:szCs w:val="22"/>
        </w:rPr>
        <w:t xml:space="preserve"> will send an </w:t>
      </w:r>
      <w:r w:rsidRPr="00C22C8C" w:rsidR="006F14CC">
        <w:rPr>
          <w:rFonts w:ascii="Times New Roman" w:hAnsi="Times New Roman" w:cs="Times New Roman"/>
          <w:b/>
          <w:bCs/>
          <w:sz w:val="24"/>
          <w:szCs w:val="22"/>
        </w:rPr>
        <w:t>e</w:t>
      </w:r>
      <w:r w:rsidRPr="00C22C8C">
        <w:rPr>
          <w:rFonts w:ascii="Times New Roman" w:hAnsi="Times New Roman" w:cs="Times New Roman"/>
          <w:b/>
          <w:bCs/>
          <w:sz w:val="24"/>
          <w:szCs w:val="22"/>
        </w:rPr>
        <w:t xml:space="preserve">mail to </w:t>
      </w:r>
      <w:r w:rsidR="00BB2B03">
        <w:rPr>
          <w:rFonts w:ascii="Times New Roman" w:hAnsi="Times New Roman" w:cs="Times New Roman"/>
          <w:b/>
          <w:bCs/>
          <w:sz w:val="24"/>
          <w:szCs w:val="22"/>
        </w:rPr>
        <w:t>appointed</w:t>
      </w:r>
      <w:r w:rsidRPr="00C22C8C" w:rsidR="00BB2B03">
        <w:rPr>
          <w:rFonts w:ascii="Times New Roman" w:hAnsi="Times New Roman" w:cs="Times New Roman"/>
          <w:b/>
          <w:bCs/>
          <w:sz w:val="24"/>
          <w:szCs w:val="22"/>
        </w:rPr>
        <w:t xml:space="preserve"> </w:t>
      </w:r>
      <w:r w:rsidR="00F87C4A">
        <w:rPr>
          <w:rFonts w:ascii="Times New Roman" w:hAnsi="Times New Roman" w:cs="Times New Roman"/>
          <w:b/>
          <w:bCs/>
          <w:sz w:val="24"/>
          <w:szCs w:val="22"/>
        </w:rPr>
        <w:t>r</w:t>
      </w:r>
      <w:r w:rsidRPr="00C22C8C">
        <w:rPr>
          <w:rFonts w:ascii="Times New Roman" w:hAnsi="Times New Roman" w:cs="Times New Roman"/>
          <w:b/>
          <w:bCs/>
          <w:sz w:val="24"/>
          <w:szCs w:val="22"/>
        </w:rPr>
        <w:t>epresentative</w:t>
      </w:r>
      <w:r w:rsidR="00171FF5">
        <w:rPr>
          <w:rFonts w:ascii="Times New Roman" w:hAnsi="Times New Roman" w:cs="Times New Roman"/>
          <w:b/>
          <w:bCs/>
          <w:sz w:val="24"/>
          <w:szCs w:val="22"/>
        </w:rPr>
        <w:t xml:space="preserve">s </w:t>
      </w:r>
      <w:r w:rsidR="00F87C4A">
        <w:rPr>
          <w:rFonts w:ascii="Times New Roman" w:hAnsi="Times New Roman" w:cs="Times New Roman"/>
          <w:b/>
          <w:bCs/>
          <w:sz w:val="24"/>
          <w:szCs w:val="22"/>
        </w:rPr>
        <w:t xml:space="preserve">(ARs) </w:t>
      </w:r>
      <w:r w:rsidR="00171FF5">
        <w:rPr>
          <w:rFonts w:ascii="Times New Roman" w:hAnsi="Times New Roman" w:cs="Times New Roman"/>
          <w:b/>
          <w:bCs/>
          <w:sz w:val="24"/>
          <w:szCs w:val="22"/>
        </w:rPr>
        <w:t>through their</w:t>
      </w:r>
      <w:r w:rsidRPr="00C22C8C">
        <w:rPr>
          <w:rFonts w:ascii="Times New Roman" w:hAnsi="Times New Roman" w:cs="Times New Roman"/>
          <w:b/>
          <w:bCs/>
          <w:sz w:val="24"/>
          <w:szCs w:val="22"/>
        </w:rPr>
        <w:t xml:space="preserve"> </w:t>
      </w:r>
      <w:r w:rsidR="00FD32F5">
        <w:rPr>
          <w:rFonts w:ascii="Times New Roman" w:hAnsi="Times New Roman" w:cs="Times New Roman"/>
          <w:b/>
          <w:bCs/>
          <w:sz w:val="24"/>
          <w:szCs w:val="22"/>
        </w:rPr>
        <w:t>professional a</w:t>
      </w:r>
      <w:r w:rsidRPr="00C22C8C">
        <w:rPr>
          <w:rFonts w:ascii="Times New Roman" w:hAnsi="Times New Roman" w:cs="Times New Roman"/>
          <w:b/>
          <w:bCs/>
          <w:sz w:val="24"/>
          <w:szCs w:val="22"/>
        </w:rPr>
        <w:t>ssociations</w:t>
      </w:r>
      <w:r w:rsidRPr="006F14CC">
        <w:rPr>
          <w:rFonts w:ascii="Times New Roman" w:hAnsi="Times New Roman" w:cs="Times New Roman"/>
          <w:sz w:val="24"/>
          <w:szCs w:val="22"/>
        </w:rPr>
        <w:t xml:space="preserve">. </w:t>
      </w:r>
      <w:r w:rsidR="00BB2B03">
        <w:rPr>
          <w:rFonts w:ascii="Times New Roman" w:hAnsi="Times New Roman" w:cs="Times New Roman"/>
          <w:sz w:val="24"/>
          <w:szCs w:val="22"/>
        </w:rPr>
        <w:t xml:space="preserve"> </w:t>
      </w:r>
      <w:r w:rsidRPr="00F87C4A" w:rsidR="00F87C4A">
        <w:rPr>
          <w:rFonts w:ascii="Times New Roman" w:hAnsi="Times New Roman" w:cs="Times New Roman"/>
          <w:sz w:val="24"/>
          <w:szCs w:val="22"/>
        </w:rPr>
        <w:t xml:space="preserve">The email will alert ARs that SSA is conducting the </w:t>
      </w:r>
      <w:r w:rsidR="00F87C4A">
        <w:rPr>
          <w:rFonts w:ascii="Times New Roman" w:hAnsi="Times New Roman" w:cs="Times New Roman"/>
          <w:sz w:val="24"/>
          <w:szCs w:val="22"/>
        </w:rPr>
        <w:t>s</w:t>
      </w:r>
      <w:r w:rsidRPr="00F87C4A" w:rsidR="00F87C4A">
        <w:rPr>
          <w:rFonts w:ascii="Times New Roman" w:hAnsi="Times New Roman" w:cs="Times New Roman"/>
          <w:sz w:val="24"/>
          <w:szCs w:val="22"/>
        </w:rPr>
        <w:t xml:space="preserve">urvey and that </w:t>
      </w:r>
      <w:r w:rsidR="00BB2B03">
        <w:rPr>
          <w:rFonts w:ascii="Times New Roman" w:hAnsi="Times New Roman" w:cs="Times New Roman"/>
          <w:sz w:val="24"/>
          <w:szCs w:val="22"/>
        </w:rPr>
        <w:t xml:space="preserve">we may select </w:t>
      </w:r>
      <w:r w:rsidRPr="00F87C4A" w:rsidR="00F87C4A">
        <w:rPr>
          <w:rFonts w:ascii="Times New Roman" w:hAnsi="Times New Roman" w:cs="Times New Roman"/>
          <w:sz w:val="24"/>
          <w:szCs w:val="22"/>
        </w:rPr>
        <w:t xml:space="preserve">some of their clients for the survey sample. </w:t>
      </w:r>
      <w:r w:rsidR="00BB2B03">
        <w:rPr>
          <w:rFonts w:ascii="Times New Roman" w:hAnsi="Times New Roman" w:cs="Times New Roman"/>
          <w:sz w:val="24"/>
          <w:szCs w:val="22"/>
        </w:rPr>
        <w:t xml:space="preserve"> </w:t>
      </w:r>
      <w:r w:rsidRPr="00F87C4A" w:rsidR="00F87C4A">
        <w:rPr>
          <w:rFonts w:ascii="Times New Roman" w:hAnsi="Times New Roman" w:cs="Times New Roman"/>
          <w:sz w:val="24"/>
          <w:szCs w:val="22"/>
        </w:rPr>
        <w:t xml:space="preserve">It will ask ARs to encourage their clients to participate in the survey if </w:t>
      </w:r>
      <w:r w:rsidR="00BB2B03">
        <w:rPr>
          <w:rFonts w:ascii="Times New Roman" w:hAnsi="Times New Roman" w:cs="Times New Roman"/>
          <w:sz w:val="24"/>
          <w:szCs w:val="22"/>
        </w:rPr>
        <w:t xml:space="preserve">we </w:t>
      </w:r>
      <w:r w:rsidRPr="00F87C4A" w:rsidR="00F87C4A">
        <w:rPr>
          <w:rFonts w:ascii="Times New Roman" w:hAnsi="Times New Roman" w:cs="Times New Roman"/>
          <w:sz w:val="24"/>
          <w:szCs w:val="22"/>
        </w:rPr>
        <w:t xml:space="preserve"> select </w:t>
      </w:r>
      <w:r w:rsidR="00BB2B03">
        <w:rPr>
          <w:rFonts w:ascii="Times New Roman" w:hAnsi="Times New Roman" w:cs="Times New Roman"/>
          <w:sz w:val="24"/>
          <w:szCs w:val="22"/>
        </w:rPr>
        <w:t xml:space="preserve">them </w:t>
      </w:r>
      <w:r w:rsidRPr="00F87C4A" w:rsidR="00F87C4A">
        <w:rPr>
          <w:rFonts w:ascii="Times New Roman" w:hAnsi="Times New Roman" w:cs="Times New Roman"/>
          <w:sz w:val="24"/>
          <w:szCs w:val="22"/>
        </w:rPr>
        <w:t>and will include a link to the survey website</w:t>
      </w:r>
      <w:r w:rsidRPr="006F14CC">
        <w:rPr>
          <w:rFonts w:ascii="Times New Roman" w:hAnsi="Times New Roman" w:cs="Times New Roman"/>
          <w:sz w:val="24"/>
          <w:szCs w:val="22"/>
        </w:rPr>
        <w:t>.</w:t>
      </w:r>
    </w:p>
    <w:p w:rsidR="00AE031D" w:rsidRPr="006F14CC" w:rsidP="006F14CC" w14:paraId="06CBB7AA" w14:textId="65E1EC5F">
      <w:pPr>
        <w:pStyle w:val="NL-1stNumberedBullet"/>
        <w:rPr>
          <w:rFonts w:ascii="Times New Roman" w:hAnsi="Times New Roman" w:cs="Times New Roman"/>
          <w:sz w:val="24"/>
          <w:szCs w:val="22"/>
        </w:rPr>
      </w:pPr>
      <w:r>
        <w:rPr>
          <w:rFonts w:ascii="Times New Roman" w:hAnsi="Times New Roman" w:cs="Times New Roman"/>
          <w:sz w:val="24"/>
          <w:szCs w:val="22"/>
        </w:rPr>
        <w:t>W</w:t>
      </w:r>
      <w:r w:rsidR="00F87C4A">
        <w:rPr>
          <w:rFonts w:ascii="Times New Roman" w:hAnsi="Times New Roman" w:cs="Times New Roman"/>
          <w:sz w:val="24"/>
          <w:szCs w:val="22"/>
        </w:rPr>
        <w:t>e</w:t>
      </w:r>
      <w:r w:rsidR="00AF026A">
        <w:rPr>
          <w:rFonts w:ascii="Times New Roman" w:hAnsi="Times New Roman" w:cs="Times New Roman"/>
          <w:sz w:val="24"/>
          <w:szCs w:val="22"/>
        </w:rPr>
        <w:t xml:space="preserve"> will send a</w:t>
      </w:r>
      <w:r w:rsidR="004E1AD6">
        <w:rPr>
          <w:rFonts w:ascii="Times New Roman" w:hAnsi="Times New Roman" w:cs="Times New Roman"/>
          <w:sz w:val="24"/>
          <w:szCs w:val="22"/>
        </w:rPr>
        <w:t>n email</w:t>
      </w:r>
      <w:r w:rsidR="00AF026A">
        <w:rPr>
          <w:rFonts w:ascii="Times New Roman" w:hAnsi="Times New Roman" w:cs="Times New Roman"/>
          <w:sz w:val="24"/>
          <w:szCs w:val="22"/>
        </w:rPr>
        <w:t xml:space="preserve"> </w:t>
      </w:r>
      <w:r w:rsidRPr="00C22C8C" w:rsidR="0033179E">
        <w:rPr>
          <w:rFonts w:ascii="Times New Roman" w:hAnsi="Times New Roman" w:cs="Times New Roman"/>
          <w:b/>
          <w:bCs/>
          <w:sz w:val="24"/>
          <w:szCs w:val="22"/>
        </w:rPr>
        <w:t xml:space="preserve">to </w:t>
      </w:r>
      <w:r w:rsidR="00116937">
        <w:rPr>
          <w:rFonts w:ascii="Times New Roman" w:hAnsi="Times New Roman" w:cs="Times New Roman"/>
          <w:b/>
          <w:bCs/>
          <w:sz w:val="24"/>
          <w:szCs w:val="22"/>
        </w:rPr>
        <w:t>ARs</w:t>
      </w:r>
      <w:r w:rsidRPr="006F14CC" w:rsidR="0033179E">
        <w:rPr>
          <w:rFonts w:ascii="Times New Roman" w:hAnsi="Times New Roman" w:cs="Times New Roman"/>
          <w:sz w:val="24"/>
          <w:szCs w:val="22"/>
        </w:rPr>
        <w:t xml:space="preserve"> </w:t>
      </w:r>
      <w:r w:rsidRPr="00116937" w:rsidR="00116937">
        <w:rPr>
          <w:rFonts w:ascii="Times New Roman" w:hAnsi="Times New Roman" w:cs="Times New Roman"/>
          <w:sz w:val="24"/>
          <w:szCs w:val="22"/>
        </w:rPr>
        <w:t>who represent applicants selected for the survey sample</w:t>
      </w:r>
      <w:r w:rsidR="00AF026A">
        <w:rPr>
          <w:rFonts w:ascii="Times New Roman" w:hAnsi="Times New Roman" w:cs="Times New Roman"/>
          <w:sz w:val="24"/>
          <w:szCs w:val="22"/>
        </w:rPr>
        <w:t xml:space="preserve"> </w:t>
      </w:r>
      <w:r w:rsidRPr="006F14CC" w:rsidR="0033179E">
        <w:rPr>
          <w:rFonts w:ascii="Times New Roman" w:hAnsi="Times New Roman" w:cs="Times New Roman"/>
          <w:sz w:val="24"/>
          <w:szCs w:val="22"/>
        </w:rPr>
        <w:t xml:space="preserve">a </w:t>
      </w:r>
      <w:r w:rsidR="00171FF5">
        <w:rPr>
          <w:rFonts w:ascii="Times New Roman" w:hAnsi="Times New Roman" w:cs="Times New Roman"/>
          <w:sz w:val="24"/>
          <w:szCs w:val="22"/>
        </w:rPr>
        <w:t>few</w:t>
      </w:r>
      <w:r w:rsidRPr="006F14CC" w:rsidR="0033179E">
        <w:rPr>
          <w:rFonts w:ascii="Times New Roman" w:hAnsi="Times New Roman" w:cs="Times New Roman"/>
          <w:sz w:val="24"/>
          <w:szCs w:val="22"/>
        </w:rPr>
        <w:t xml:space="preserve"> days prior to first mailing to applicants.</w:t>
      </w:r>
      <w:r w:rsidR="00E309A2">
        <w:rPr>
          <w:rFonts w:ascii="Times New Roman" w:hAnsi="Times New Roman" w:cs="Times New Roman"/>
          <w:sz w:val="24"/>
          <w:szCs w:val="22"/>
        </w:rPr>
        <w:t xml:space="preserve"> </w:t>
      </w:r>
      <w:r w:rsidR="00BB2B03">
        <w:rPr>
          <w:rFonts w:ascii="Times New Roman" w:hAnsi="Times New Roman" w:cs="Times New Roman"/>
          <w:sz w:val="24"/>
          <w:szCs w:val="22"/>
        </w:rPr>
        <w:t xml:space="preserve"> </w:t>
      </w:r>
      <w:r w:rsidRPr="00ED0B4E" w:rsidR="00ED0B4E">
        <w:rPr>
          <w:rFonts w:ascii="Times New Roman" w:hAnsi="Times New Roman" w:cs="Times New Roman"/>
          <w:sz w:val="24"/>
          <w:szCs w:val="22"/>
        </w:rPr>
        <w:t>The letter will alert the AR that</w:t>
      </w:r>
      <w:r w:rsidR="00BB2B03">
        <w:rPr>
          <w:rFonts w:ascii="Times New Roman" w:hAnsi="Times New Roman" w:cs="Times New Roman"/>
          <w:sz w:val="24"/>
          <w:szCs w:val="22"/>
        </w:rPr>
        <w:t xml:space="preserve"> we selected</w:t>
      </w:r>
      <w:r w:rsidRPr="00ED0B4E" w:rsidR="00ED0B4E">
        <w:rPr>
          <w:rFonts w:ascii="Times New Roman" w:hAnsi="Times New Roman" w:cs="Times New Roman"/>
          <w:sz w:val="24"/>
          <w:szCs w:val="22"/>
        </w:rPr>
        <w:t xml:space="preserve"> their client for the survey sample and will ask the AR</w:t>
      </w:r>
      <w:r w:rsidR="00ED0B4E">
        <w:rPr>
          <w:rFonts w:ascii="Times New Roman" w:hAnsi="Times New Roman" w:cs="Times New Roman"/>
          <w:sz w:val="24"/>
          <w:szCs w:val="22"/>
        </w:rPr>
        <w:t xml:space="preserve"> </w:t>
      </w:r>
      <w:r w:rsidRPr="00ED0B4E" w:rsidR="00ED0B4E">
        <w:rPr>
          <w:rFonts w:ascii="Times New Roman" w:hAnsi="Times New Roman" w:cs="Times New Roman"/>
          <w:sz w:val="24"/>
          <w:szCs w:val="22"/>
        </w:rPr>
        <w:t>to encourage the client’s participation in the survey</w:t>
      </w:r>
      <w:r w:rsidR="00ED0B4E">
        <w:rPr>
          <w:rFonts w:ascii="Times New Roman" w:hAnsi="Times New Roman" w:cs="Times New Roman"/>
          <w:sz w:val="24"/>
          <w:szCs w:val="22"/>
        </w:rPr>
        <w:t>.</w:t>
      </w:r>
    </w:p>
    <w:p w:rsidR="00BE6DDE" w:rsidRPr="00ED0B4E" w:rsidP="00ED0B4E" w14:paraId="2771397B" w14:textId="4DBF0C09">
      <w:pPr>
        <w:pStyle w:val="NL-1stNumberedBullet"/>
        <w:rPr>
          <w:rFonts w:ascii="Times New Roman" w:hAnsi="Times New Roman" w:cs="Times New Roman"/>
          <w:sz w:val="24"/>
          <w:szCs w:val="24"/>
        </w:rPr>
      </w:pPr>
      <w:r w:rsidRPr="00EE3E72">
        <w:rPr>
          <w:rFonts w:ascii="Times New Roman" w:hAnsi="Times New Roman" w:cs="Times New Roman"/>
          <w:sz w:val="24"/>
          <w:szCs w:val="24"/>
        </w:rPr>
        <w:t>We</w:t>
      </w:r>
      <w:r w:rsidRPr="00EE3E72" w:rsidR="00A54094">
        <w:rPr>
          <w:rFonts w:ascii="Times New Roman" w:hAnsi="Times New Roman" w:cs="Times New Roman"/>
          <w:sz w:val="24"/>
          <w:szCs w:val="24"/>
        </w:rPr>
        <w:t xml:space="preserve"> will send the </w:t>
      </w:r>
      <w:r>
        <w:rPr>
          <w:rFonts w:ascii="Times New Roman" w:hAnsi="Times New Roman" w:cs="Times New Roman"/>
          <w:b/>
          <w:bCs/>
          <w:sz w:val="24"/>
          <w:szCs w:val="24"/>
        </w:rPr>
        <w:t>f</w:t>
      </w:r>
      <w:r w:rsidRPr="00EE3E72" w:rsidR="00A54094">
        <w:rPr>
          <w:rFonts w:ascii="Times New Roman" w:hAnsi="Times New Roman" w:cs="Times New Roman"/>
          <w:b/>
          <w:bCs/>
          <w:sz w:val="24"/>
          <w:szCs w:val="24"/>
        </w:rPr>
        <w:t xml:space="preserve">irst </w:t>
      </w:r>
      <w:r w:rsidRPr="00EE3E72" w:rsidR="00516858">
        <w:rPr>
          <w:rFonts w:ascii="Times New Roman" w:hAnsi="Times New Roman" w:cs="Times New Roman"/>
          <w:b/>
          <w:bCs/>
          <w:sz w:val="24"/>
          <w:szCs w:val="24"/>
        </w:rPr>
        <w:t>USPS mailing</w:t>
      </w:r>
      <w:r w:rsidRPr="00EE3E72" w:rsidR="00A54094">
        <w:rPr>
          <w:rFonts w:ascii="Times New Roman" w:hAnsi="Times New Roman" w:cs="Times New Roman"/>
          <w:sz w:val="24"/>
          <w:szCs w:val="24"/>
        </w:rPr>
        <w:t xml:space="preserve"> to sampled applicants. </w:t>
      </w:r>
      <w:r w:rsidR="00BB2B03">
        <w:rPr>
          <w:rFonts w:ascii="Times New Roman" w:hAnsi="Times New Roman" w:cs="Times New Roman"/>
          <w:sz w:val="24"/>
          <w:szCs w:val="24"/>
        </w:rPr>
        <w:t xml:space="preserve"> </w:t>
      </w:r>
      <w:r w:rsidRPr="00EE3E72" w:rsidR="00A54094">
        <w:rPr>
          <w:rFonts w:ascii="Times New Roman" w:hAnsi="Times New Roman" w:cs="Times New Roman"/>
          <w:sz w:val="24"/>
          <w:szCs w:val="24"/>
        </w:rPr>
        <w:t xml:space="preserve">The mailing will include an introductory letter, </w:t>
      </w:r>
      <w:r w:rsidRPr="00EE3E72" w:rsidR="001F0F76">
        <w:rPr>
          <w:rFonts w:ascii="Times New Roman" w:hAnsi="Times New Roman" w:cs="Times New Roman"/>
          <w:sz w:val="24"/>
          <w:szCs w:val="24"/>
        </w:rPr>
        <w:t>survey</w:t>
      </w:r>
      <w:r w:rsidRPr="00EE3E72" w:rsidR="00A54094">
        <w:rPr>
          <w:rFonts w:ascii="Times New Roman" w:hAnsi="Times New Roman" w:cs="Times New Roman"/>
          <w:sz w:val="24"/>
          <w:szCs w:val="24"/>
        </w:rPr>
        <w:t xml:space="preserve"> </w:t>
      </w:r>
      <w:r w:rsidR="007B51A0">
        <w:rPr>
          <w:rFonts w:ascii="Times New Roman" w:hAnsi="Times New Roman" w:cs="Times New Roman"/>
          <w:sz w:val="24"/>
          <w:szCs w:val="24"/>
        </w:rPr>
        <w:t>information</w:t>
      </w:r>
      <w:r w:rsidRPr="00472F56" w:rsidR="007B51A0">
        <w:rPr>
          <w:rFonts w:ascii="Times New Roman" w:hAnsi="Times New Roman" w:cs="Times New Roman"/>
          <w:sz w:val="24"/>
          <w:szCs w:val="24"/>
        </w:rPr>
        <w:t xml:space="preserve"> </w:t>
      </w:r>
      <w:r w:rsidRPr="00EE3E72" w:rsidR="00293D4A">
        <w:rPr>
          <w:rFonts w:ascii="Times New Roman" w:hAnsi="Times New Roman" w:cs="Times New Roman"/>
          <w:sz w:val="24"/>
          <w:szCs w:val="24"/>
        </w:rPr>
        <w:t>sheet</w:t>
      </w:r>
      <w:r w:rsidRPr="00EE3E72">
        <w:rPr>
          <w:rFonts w:ascii="Times New Roman" w:hAnsi="Times New Roman" w:cs="Times New Roman"/>
          <w:sz w:val="24"/>
          <w:szCs w:val="24"/>
        </w:rPr>
        <w:t>,</w:t>
      </w:r>
      <w:r w:rsidRPr="00EE3E72" w:rsidR="00293D4A">
        <w:rPr>
          <w:rFonts w:ascii="Times New Roman" w:hAnsi="Times New Roman" w:cs="Times New Roman"/>
          <w:sz w:val="24"/>
          <w:szCs w:val="24"/>
        </w:rPr>
        <w:t xml:space="preserve"> </w:t>
      </w:r>
      <w:r w:rsidRPr="00EE3E72" w:rsidR="00A54094">
        <w:rPr>
          <w:rFonts w:ascii="Times New Roman" w:hAnsi="Times New Roman" w:cs="Times New Roman"/>
          <w:sz w:val="24"/>
          <w:szCs w:val="24"/>
        </w:rPr>
        <w:t xml:space="preserve">and </w:t>
      </w:r>
      <w:r w:rsidRPr="00EE3E72" w:rsidR="00516858">
        <w:rPr>
          <w:rFonts w:ascii="Times New Roman" w:hAnsi="Times New Roman" w:cs="Times New Roman"/>
          <w:sz w:val="24"/>
          <w:szCs w:val="24"/>
        </w:rPr>
        <w:t xml:space="preserve">visible </w:t>
      </w:r>
      <w:r w:rsidRPr="00EE3E72" w:rsidR="00A54094">
        <w:rPr>
          <w:rFonts w:ascii="Times New Roman" w:hAnsi="Times New Roman" w:cs="Times New Roman"/>
          <w:sz w:val="24"/>
          <w:szCs w:val="24"/>
        </w:rPr>
        <w:t xml:space="preserve">$2 </w:t>
      </w:r>
      <w:r w:rsidRPr="00EE3E72" w:rsidR="00516858">
        <w:rPr>
          <w:rFonts w:ascii="Times New Roman" w:hAnsi="Times New Roman" w:cs="Times New Roman"/>
          <w:sz w:val="24"/>
          <w:szCs w:val="24"/>
        </w:rPr>
        <w:t xml:space="preserve">cash </w:t>
      </w:r>
      <w:r w:rsidRPr="00EE3E72">
        <w:rPr>
          <w:rFonts w:ascii="Times New Roman" w:hAnsi="Times New Roman" w:cs="Times New Roman"/>
          <w:sz w:val="24"/>
          <w:szCs w:val="24"/>
        </w:rPr>
        <w:t>pre</w:t>
      </w:r>
      <w:r w:rsidR="00BB2B03">
        <w:rPr>
          <w:rFonts w:ascii="Times New Roman" w:hAnsi="Times New Roman" w:cs="Times New Roman"/>
          <w:sz w:val="24"/>
          <w:szCs w:val="24"/>
        </w:rPr>
        <w:noBreakHyphen/>
      </w:r>
      <w:r w:rsidRPr="00EE3E72">
        <w:rPr>
          <w:rFonts w:ascii="Times New Roman" w:hAnsi="Times New Roman" w:cs="Times New Roman"/>
          <w:sz w:val="24"/>
          <w:szCs w:val="24"/>
        </w:rPr>
        <w:t xml:space="preserve">pay </w:t>
      </w:r>
      <w:r w:rsidRPr="00EE3E72" w:rsidR="00516858">
        <w:rPr>
          <w:rFonts w:ascii="Times New Roman" w:hAnsi="Times New Roman" w:cs="Times New Roman"/>
          <w:sz w:val="24"/>
          <w:szCs w:val="24"/>
        </w:rPr>
        <w:t>incentive.</w:t>
      </w:r>
      <w:r w:rsidR="00BB2B03">
        <w:rPr>
          <w:rFonts w:ascii="Times New Roman" w:hAnsi="Times New Roman" w:cs="Times New Roman"/>
          <w:sz w:val="24"/>
          <w:szCs w:val="24"/>
        </w:rPr>
        <w:t xml:space="preserve"> </w:t>
      </w:r>
      <w:r w:rsidRPr="00EE3E72" w:rsidR="00516858">
        <w:rPr>
          <w:rFonts w:ascii="Times New Roman" w:hAnsi="Times New Roman" w:cs="Times New Roman"/>
          <w:sz w:val="24"/>
          <w:szCs w:val="24"/>
        </w:rPr>
        <w:t xml:space="preserve"> </w:t>
      </w:r>
      <w:r w:rsidRPr="00ED0B4E">
        <w:rPr>
          <w:rFonts w:ascii="Times New Roman" w:hAnsi="Times New Roman" w:cs="Times New Roman"/>
          <w:sz w:val="24"/>
          <w:szCs w:val="24"/>
        </w:rPr>
        <w:t xml:space="preserve">The letter will highlight that participation in the survey is voluntary, explain that </w:t>
      </w:r>
      <w:r w:rsidR="00BB2B03">
        <w:rPr>
          <w:rFonts w:ascii="Times New Roman" w:hAnsi="Times New Roman" w:cs="Times New Roman"/>
          <w:sz w:val="24"/>
          <w:szCs w:val="24"/>
        </w:rPr>
        <w:t xml:space="preserve">we will keep the </w:t>
      </w:r>
      <w:r w:rsidRPr="00ED0B4E">
        <w:rPr>
          <w:rFonts w:ascii="Times New Roman" w:hAnsi="Times New Roman" w:cs="Times New Roman"/>
          <w:sz w:val="24"/>
          <w:szCs w:val="24"/>
        </w:rPr>
        <w:t xml:space="preserve">applicants' information confidential, and describe the incentive applicants will receive for completing the survey. </w:t>
      </w:r>
      <w:r w:rsidR="00BB2B03">
        <w:rPr>
          <w:rFonts w:ascii="Times New Roman" w:hAnsi="Times New Roman" w:cs="Times New Roman"/>
          <w:sz w:val="24"/>
          <w:szCs w:val="24"/>
        </w:rPr>
        <w:t xml:space="preserve"> </w:t>
      </w:r>
      <w:r w:rsidRPr="00ED0B4E">
        <w:rPr>
          <w:rFonts w:ascii="Times New Roman" w:hAnsi="Times New Roman" w:cs="Times New Roman"/>
          <w:sz w:val="24"/>
          <w:szCs w:val="24"/>
        </w:rPr>
        <w:t xml:space="preserve">The letter will also include a QR code to the survey website, a link to the survey website, a personal password to access the web version of the survey instrument, and a toll-free telephone number and email address where applicants can direct questions about the survey. </w:t>
      </w:r>
      <w:r w:rsidR="00BB2B03">
        <w:rPr>
          <w:rFonts w:ascii="Times New Roman" w:hAnsi="Times New Roman" w:cs="Times New Roman"/>
          <w:sz w:val="24"/>
          <w:szCs w:val="24"/>
        </w:rPr>
        <w:t xml:space="preserve"> An SSA official will sign t</w:t>
      </w:r>
      <w:r w:rsidRPr="00ED0B4E">
        <w:rPr>
          <w:rFonts w:ascii="Times New Roman" w:hAnsi="Times New Roman" w:cs="Times New Roman"/>
          <w:sz w:val="24"/>
          <w:szCs w:val="24"/>
        </w:rPr>
        <w:t xml:space="preserve">he letter and </w:t>
      </w:r>
      <w:r w:rsidR="00BB2B03">
        <w:rPr>
          <w:rFonts w:ascii="Times New Roman" w:hAnsi="Times New Roman" w:cs="Times New Roman"/>
          <w:sz w:val="24"/>
          <w:szCs w:val="24"/>
        </w:rPr>
        <w:t xml:space="preserve">it will </w:t>
      </w:r>
      <w:r w:rsidRPr="00ED0B4E">
        <w:rPr>
          <w:rFonts w:ascii="Times New Roman" w:hAnsi="Times New Roman" w:cs="Times New Roman"/>
          <w:sz w:val="24"/>
          <w:szCs w:val="24"/>
        </w:rPr>
        <w:t>include the SSA logo.</w:t>
      </w:r>
    </w:p>
    <w:p w:rsidR="00E87878" w:rsidRPr="00A718E4" w:rsidP="00A718E4" w14:paraId="6A083115" w14:textId="17D309DB">
      <w:pPr>
        <w:pStyle w:val="NL-1stNumberedBullet"/>
        <w:rPr>
          <w:rStyle w:val="eop"/>
          <w:rFonts w:ascii="Times New Roman" w:hAnsi="Times New Roman" w:cs="Times New Roman"/>
          <w:sz w:val="24"/>
          <w:szCs w:val="24"/>
        </w:rPr>
      </w:pPr>
      <w:r w:rsidRPr="00A718E4">
        <w:rPr>
          <w:rFonts w:ascii="Times New Roman" w:hAnsi="Times New Roman" w:cs="Times New Roman"/>
          <w:sz w:val="24"/>
          <w:szCs w:val="24"/>
        </w:rPr>
        <w:t>One</w:t>
      </w:r>
      <w:r w:rsidRPr="00A718E4" w:rsidR="00946E1E">
        <w:rPr>
          <w:rFonts w:ascii="Times New Roman" w:hAnsi="Times New Roman" w:cs="Times New Roman"/>
          <w:sz w:val="24"/>
          <w:szCs w:val="24"/>
        </w:rPr>
        <w:t xml:space="preserve"> week after </w:t>
      </w:r>
      <w:r w:rsidRPr="00A718E4" w:rsidR="000273F4">
        <w:rPr>
          <w:rFonts w:ascii="Times New Roman" w:hAnsi="Times New Roman" w:cs="Times New Roman"/>
          <w:sz w:val="24"/>
          <w:szCs w:val="24"/>
        </w:rPr>
        <w:t>f</w:t>
      </w:r>
      <w:r w:rsidRPr="00A718E4">
        <w:rPr>
          <w:rFonts w:ascii="Times New Roman" w:hAnsi="Times New Roman" w:cs="Times New Roman"/>
          <w:sz w:val="24"/>
          <w:szCs w:val="24"/>
        </w:rPr>
        <w:t>irst</w:t>
      </w:r>
      <w:r w:rsidRPr="00A718E4" w:rsidR="00946E1E">
        <w:rPr>
          <w:rFonts w:ascii="Times New Roman" w:hAnsi="Times New Roman" w:cs="Times New Roman"/>
          <w:sz w:val="24"/>
          <w:szCs w:val="24"/>
        </w:rPr>
        <w:t xml:space="preserve"> mailing</w:t>
      </w:r>
      <w:r w:rsidRPr="00A718E4">
        <w:rPr>
          <w:rFonts w:ascii="Times New Roman" w:hAnsi="Times New Roman" w:cs="Times New Roman"/>
          <w:sz w:val="24"/>
          <w:szCs w:val="24"/>
        </w:rPr>
        <w:t xml:space="preserve">, </w:t>
      </w:r>
      <w:r w:rsidRPr="00A718E4" w:rsidR="000273F4">
        <w:rPr>
          <w:rFonts w:ascii="Times New Roman" w:hAnsi="Times New Roman" w:cs="Times New Roman"/>
          <w:sz w:val="24"/>
          <w:szCs w:val="24"/>
        </w:rPr>
        <w:t>we</w:t>
      </w:r>
      <w:r w:rsidRPr="00A718E4">
        <w:rPr>
          <w:rFonts w:ascii="Times New Roman" w:hAnsi="Times New Roman" w:cs="Times New Roman"/>
          <w:sz w:val="24"/>
          <w:szCs w:val="24"/>
        </w:rPr>
        <w:t xml:space="preserve"> will send the </w:t>
      </w:r>
      <w:r w:rsidRPr="00A718E4" w:rsidR="000273F4">
        <w:rPr>
          <w:rFonts w:ascii="Times New Roman" w:hAnsi="Times New Roman" w:cs="Times New Roman"/>
          <w:b/>
          <w:bCs/>
          <w:sz w:val="24"/>
          <w:szCs w:val="24"/>
        </w:rPr>
        <w:t>s</w:t>
      </w:r>
      <w:r w:rsidRPr="00A718E4">
        <w:rPr>
          <w:rFonts w:ascii="Times New Roman" w:hAnsi="Times New Roman" w:cs="Times New Roman"/>
          <w:b/>
          <w:bCs/>
          <w:sz w:val="24"/>
          <w:szCs w:val="24"/>
        </w:rPr>
        <w:t>econd USPS mailing</w:t>
      </w:r>
      <w:r w:rsidRPr="00A718E4" w:rsidR="000273F4">
        <w:rPr>
          <w:rFonts w:ascii="Times New Roman" w:hAnsi="Times New Roman" w:cs="Times New Roman"/>
          <w:sz w:val="24"/>
          <w:szCs w:val="24"/>
        </w:rPr>
        <w:t xml:space="preserve"> </w:t>
      </w:r>
      <w:r w:rsidRPr="00A718E4" w:rsidR="00946E1E">
        <w:rPr>
          <w:rFonts w:ascii="Times New Roman" w:hAnsi="Times New Roman" w:cs="Times New Roman"/>
          <w:sz w:val="24"/>
          <w:szCs w:val="24"/>
        </w:rPr>
        <w:t>to all</w:t>
      </w:r>
      <w:r w:rsidRPr="00A718E4">
        <w:rPr>
          <w:rFonts w:ascii="Times New Roman" w:hAnsi="Times New Roman" w:cs="Times New Roman"/>
          <w:sz w:val="24"/>
          <w:szCs w:val="24"/>
        </w:rPr>
        <w:t xml:space="preserve"> sampled applicants</w:t>
      </w:r>
      <w:r w:rsidRPr="00A718E4" w:rsidR="00946E1E">
        <w:rPr>
          <w:rFonts w:ascii="Times New Roman" w:hAnsi="Times New Roman" w:cs="Times New Roman"/>
          <w:sz w:val="24"/>
          <w:szCs w:val="24"/>
        </w:rPr>
        <w:t xml:space="preserve">. </w:t>
      </w:r>
      <w:r w:rsidR="00BB2B03">
        <w:rPr>
          <w:rFonts w:ascii="Times New Roman" w:hAnsi="Times New Roman" w:cs="Times New Roman"/>
          <w:sz w:val="24"/>
          <w:szCs w:val="24"/>
        </w:rPr>
        <w:t xml:space="preserve"> </w:t>
      </w:r>
      <w:r w:rsidRPr="00A718E4" w:rsidR="000273F4">
        <w:rPr>
          <w:rFonts w:ascii="Times New Roman" w:hAnsi="Times New Roman" w:cs="Times New Roman"/>
          <w:sz w:val="24"/>
          <w:szCs w:val="24"/>
        </w:rPr>
        <w:t>The mailing will consist of a fold-over postcard that</w:t>
      </w:r>
      <w:r w:rsidRPr="00A718E4">
        <w:rPr>
          <w:rFonts w:ascii="Times New Roman" w:hAnsi="Times New Roman" w:cs="Times New Roman"/>
          <w:sz w:val="24"/>
          <w:szCs w:val="24"/>
        </w:rPr>
        <w:t xml:space="preserve"> will i</w:t>
      </w:r>
      <w:r w:rsidRPr="00A718E4" w:rsidR="00946E1E">
        <w:rPr>
          <w:rFonts w:ascii="Times New Roman" w:hAnsi="Times New Roman" w:cs="Times New Roman"/>
          <w:sz w:val="24"/>
          <w:szCs w:val="24"/>
        </w:rPr>
        <w:t>nclude</w:t>
      </w:r>
      <w:r w:rsidRPr="00A718E4">
        <w:rPr>
          <w:rFonts w:ascii="Times New Roman" w:hAnsi="Times New Roman" w:cs="Times New Roman"/>
          <w:sz w:val="24"/>
          <w:szCs w:val="24"/>
        </w:rPr>
        <w:t xml:space="preserve"> a</w:t>
      </w:r>
      <w:r w:rsidRPr="00A718E4" w:rsidR="00946E1E">
        <w:rPr>
          <w:rFonts w:ascii="Times New Roman" w:hAnsi="Times New Roman" w:cs="Times New Roman"/>
          <w:sz w:val="24"/>
          <w:szCs w:val="24"/>
        </w:rPr>
        <w:t xml:space="preserve"> link to </w:t>
      </w:r>
      <w:r w:rsidRPr="00A718E4">
        <w:rPr>
          <w:rFonts w:ascii="Times New Roman" w:hAnsi="Times New Roman" w:cs="Times New Roman"/>
          <w:sz w:val="24"/>
          <w:szCs w:val="24"/>
        </w:rPr>
        <w:t xml:space="preserve">the </w:t>
      </w:r>
      <w:r w:rsidRPr="00A718E4" w:rsidR="00946E1E">
        <w:rPr>
          <w:rFonts w:ascii="Times New Roman" w:hAnsi="Times New Roman" w:cs="Times New Roman"/>
          <w:sz w:val="24"/>
          <w:szCs w:val="24"/>
        </w:rPr>
        <w:t>website, QR code, toll-free number, promised incentives.</w:t>
      </w:r>
      <w:r w:rsidRPr="00A718E4" w:rsidR="000273F4">
        <w:rPr>
          <w:rFonts w:ascii="Times New Roman" w:hAnsi="Times New Roman" w:cs="Times New Roman"/>
          <w:sz w:val="24"/>
          <w:szCs w:val="24"/>
        </w:rPr>
        <w:t xml:space="preserve"> </w:t>
      </w:r>
      <w:r w:rsidR="00BB2B03">
        <w:rPr>
          <w:rFonts w:ascii="Times New Roman" w:hAnsi="Times New Roman" w:cs="Times New Roman"/>
          <w:sz w:val="24"/>
          <w:szCs w:val="24"/>
        </w:rPr>
        <w:t xml:space="preserve"> </w:t>
      </w:r>
      <w:r w:rsidRPr="00A718E4" w:rsidR="000273F4">
        <w:rPr>
          <w:rFonts w:ascii="Times New Roman" w:hAnsi="Times New Roman" w:cs="Times New Roman"/>
          <w:sz w:val="24"/>
          <w:szCs w:val="24"/>
        </w:rPr>
        <w:t>The postcard will include all the key pieces of information in the initial letter, such as the link and QR code to the survey website and the personal password to access the web version of the survey instrument.</w:t>
      </w:r>
      <w:r w:rsidR="00BB2B03">
        <w:rPr>
          <w:rFonts w:ascii="Times New Roman" w:hAnsi="Times New Roman" w:cs="Times New Roman"/>
          <w:sz w:val="24"/>
          <w:szCs w:val="24"/>
        </w:rPr>
        <w:t xml:space="preserve"> </w:t>
      </w:r>
      <w:r w:rsidRPr="00A718E4" w:rsidR="00BC2FC2">
        <w:rPr>
          <w:rFonts w:ascii="Times New Roman" w:hAnsi="Times New Roman" w:cs="Times New Roman"/>
          <w:sz w:val="24"/>
          <w:szCs w:val="24"/>
        </w:rPr>
        <w:t xml:space="preserve"> </w:t>
      </w:r>
      <w:r w:rsidRPr="00A718E4">
        <w:rPr>
          <w:rStyle w:val="eop"/>
          <w:rFonts w:ascii="Times New Roman" w:hAnsi="Times New Roman" w:cs="Times New Roman"/>
          <w:sz w:val="24"/>
          <w:szCs w:val="24"/>
        </w:rPr>
        <w:t>In addition, we will send a text message reminder to applicants for whom SSA does not have an email address</w:t>
      </w:r>
      <w:r w:rsidR="00BB2B03">
        <w:rPr>
          <w:rStyle w:val="eop"/>
          <w:rFonts w:ascii="Times New Roman" w:hAnsi="Times New Roman" w:cs="Times New Roman"/>
          <w:sz w:val="24"/>
          <w:szCs w:val="24"/>
        </w:rPr>
        <w:t>,</w:t>
      </w:r>
      <w:r w:rsidRPr="00A718E4">
        <w:rPr>
          <w:rStyle w:val="eop"/>
          <w:rFonts w:ascii="Times New Roman" w:hAnsi="Times New Roman" w:cs="Times New Roman"/>
          <w:sz w:val="24"/>
          <w:szCs w:val="24"/>
        </w:rPr>
        <w:t xml:space="preserve"> or an email reminder to applicants for whom SSA has an email address. </w:t>
      </w:r>
    </w:p>
    <w:p w:rsidR="00946E1E" w:rsidRPr="008B471A" w:rsidP="006F14CC" w14:paraId="02C0F309" w14:textId="20EB47D6">
      <w:pPr>
        <w:pStyle w:val="NL-1stNumberedBullet"/>
        <w:rPr>
          <w:rFonts w:ascii="Times New Roman" w:hAnsi="Times New Roman" w:cs="Times New Roman"/>
          <w:sz w:val="24"/>
          <w:szCs w:val="24"/>
        </w:rPr>
      </w:pPr>
      <w:r w:rsidRPr="008B471A">
        <w:rPr>
          <w:rFonts w:ascii="Times New Roman" w:hAnsi="Times New Roman" w:cs="Times New Roman"/>
          <w:sz w:val="24"/>
          <w:szCs w:val="24"/>
        </w:rPr>
        <w:t>One</w:t>
      </w:r>
      <w:r w:rsidRPr="008B471A">
        <w:rPr>
          <w:rFonts w:ascii="Times New Roman" w:hAnsi="Times New Roman" w:cs="Times New Roman"/>
          <w:sz w:val="24"/>
          <w:szCs w:val="24"/>
        </w:rPr>
        <w:t xml:space="preserve"> week after the </w:t>
      </w:r>
      <w:r w:rsidRPr="008B471A" w:rsidR="000273F4">
        <w:rPr>
          <w:rFonts w:ascii="Times New Roman" w:hAnsi="Times New Roman" w:cs="Times New Roman"/>
          <w:sz w:val="24"/>
          <w:szCs w:val="24"/>
        </w:rPr>
        <w:t>s</w:t>
      </w:r>
      <w:r w:rsidRPr="008B471A">
        <w:rPr>
          <w:rFonts w:ascii="Times New Roman" w:hAnsi="Times New Roman" w:cs="Times New Roman"/>
          <w:sz w:val="24"/>
          <w:szCs w:val="24"/>
        </w:rPr>
        <w:t xml:space="preserve">econd </w:t>
      </w:r>
      <w:r w:rsidRPr="008B471A">
        <w:rPr>
          <w:rFonts w:ascii="Times New Roman" w:hAnsi="Times New Roman" w:cs="Times New Roman"/>
          <w:sz w:val="24"/>
          <w:szCs w:val="24"/>
        </w:rPr>
        <w:t xml:space="preserve">mailing </w:t>
      </w:r>
      <w:r w:rsidRPr="008B471A">
        <w:rPr>
          <w:rFonts w:ascii="Times New Roman" w:hAnsi="Times New Roman" w:cs="Times New Roman"/>
          <w:sz w:val="24"/>
          <w:szCs w:val="24"/>
        </w:rPr>
        <w:t xml:space="preserve">(postcard), </w:t>
      </w:r>
      <w:r w:rsidRPr="008B471A" w:rsidR="000273F4">
        <w:rPr>
          <w:rFonts w:ascii="Times New Roman" w:hAnsi="Times New Roman" w:cs="Times New Roman"/>
          <w:sz w:val="24"/>
          <w:szCs w:val="24"/>
        </w:rPr>
        <w:t>we</w:t>
      </w:r>
      <w:r w:rsidRPr="008B471A">
        <w:rPr>
          <w:rFonts w:ascii="Times New Roman" w:hAnsi="Times New Roman" w:cs="Times New Roman"/>
          <w:sz w:val="24"/>
          <w:szCs w:val="24"/>
        </w:rPr>
        <w:t xml:space="preserve"> will send the </w:t>
      </w:r>
      <w:r w:rsidRPr="008B471A" w:rsidR="000273F4">
        <w:rPr>
          <w:rFonts w:ascii="Times New Roman" w:hAnsi="Times New Roman" w:cs="Times New Roman"/>
          <w:b/>
          <w:bCs/>
          <w:sz w:val="24"/>
          <w:szCs w:val="24"/>
        </w:rPr>
        <w:t>t</w:t>
      </w:r>
      <w:r w:rsidRPr="008B471A">
        <w:rPr>
          <w:rFonts w:ascii="Times New Roman" w:hAnsi="Times New Roman" w:cs="Times New Roman"/>
          <w:b/>
          <w:bCs/>
          <w:sz w:val="24"/>
          <w:szCs w:val="24"/>
        </w:rPr>
        <w:t>hird USPS mailing</w:t>
      </w:r>
      <w:r w:rsidRPr="008B471A" w:rsidR="000273F4">
        <w:rPr>
          <w:rFonts w:ascii="Times New Roman" w:hAnsi="Times New Roman" w:cs="Times New Roman"/>
          <w:b/>
          <w:bCs/>
          <w:sz w:val="24"/>
          <w:szCs w:val="24"/>
        </w:rPr>
        <w:t xml:space="preserve"> </w:t>
      </w:r>
      <w:r w:rsidRPr="008B471A" w:rsidR="000273F4">
        <w:rPr>
          <w:rFonts w:ascii="Times New Roman" w:hAnsi="Times New Roman" w:cs="Times New Roman"/>
          <w:sz w:val="24"/>
          <w:szCs w:val="24"/>
        </w:rPr>
        <w:t>to non-respondents</w:t>
      </w:r>
      <w:r w:rsidRPr="008B471A">
        <w:rPr>
          <w:rFonts w:ascii="Times New Roman" w:hAnsi="Times New Roman" w:cs="Times New Roman"/>
          <w:sz w:val="24"/>
          <w:szCs w:val="24"/>
        </w:rPr>
        <w:t xml:space="preserve">. </w:t>
      </w:r>
      <w:r w:rsidR="00BB2B03">
        <w:rPr>
          <w:rFonts w:ascii="Times New Roman" w:hAnsi="Times New Roman" w:cs="Times New Roman"/>
          <w:sz w:val="24"/>
          <w:szCs w:val="24"/>
        </w:rPr>
        <w:t xml:space="preserve"> </w:t>
      </w:r>
      <w:r w:rsidRPr="008B471A" w:rsidR="00D17860">
        <w:rPr>
          <w:rFonts w:ascii="Times New Roman" w:hAnsi="Times New Roman" w:cs="Times New Roman"/>
          <w:sz w:val="24"/>
          <w:szCs w:val="24"/>
        </w:rPr>
        <w:t>This mailing will include a l</w:t>
      </w:r>
      <w:r w:rsidRPr="008B471A">
        <w:rPr>
          <w:rFonts w:ascii="Times New Roman" w:hAnsi="Times New Roman" w:cs="Times New Roman"/>
          <w:sz w:val="24"/>
          <w:szCs w:val="24"/>
        </w:rPr>
        <w:t xml:space="preserve">etter </w:t>
      </w:r>
      <w:r w:rsidRPr="008B471A" w:rsidR="00D17860">
        <w:rPr>
          <w:rFonts w:ascii="Times New Roman" w:hAnsi="Times New Roman" w:cs="Times New Roman"/>
          <w:sz w:val="24"/>
          <w:szCs w:val="24"/>
        </w:rPr>
        <w:t xml:space="preserve">with similar content to the first </w:t>
      </w:r>
      <w:r w:rsidRPr="008B471A" w:rsidR="000273F4">
        <w:rPr>
          <w:rFonts w:ascii="Times New Roman" w:hAnsi="Times New Roman" w:cs="Times New Roman"/>
          <w:sz w:val="24"/>
          <w:szCs w:val="24"/>
        </w:rPr>
        <w:t xml:space="preserve">letter, </w:t>
      </w:r>
      <w:r w:rsidRPr="008B471A" w:rsidR="00D17860">
        <w:rPr>
          <w:rFonts w:ascii="Times New Roman" w:hAnsi="Times New Roman" w:cs="Times New Roman"/>
          <w:sz w:val="24"/>
          <w:szCs w:val="24"/>
        </w:rPr>
        <w:t xml:space="preserve">plus a non-visible </w:t>
      </w:r>
      <w:r w:rsidRPr="008B471A">
        <w:rPr>
          <w:rFonts w:ascii="Times New Roman" w:hAnsi="Times New Roman" w:cs="Times New Roman"/>
          <w:sz w:val="24"/>
          <w:szCs w:val="24"/>
        </w:rPr>
        <w:t xml:space="preserve">$2 cash </w:t>
      </w:r>
      <w:r w:rsidRPr="008B471A" w:rsidR="000273F4">
        <w:rPr>
          <w:rFonts w:ascii="Times New Roman" w:hAnsi="Times New Roman" w:cs="Times New Roman"/>
          <w:sz w:val="24"/>
          <w:szCs w:val="24"/>
        </w:rPr>
        <w:t xml:space="preserve">pre-pay </w:t>
      </w:r>
      <w:r w:rsidRPr="008B471A">
        <w:rPr>
          <w:rFonts w:ascii="Times New Roman" w:hAnsi="Times New Roman" w:cs="Times New Roman"/>
          <w:sz w:val="24"/>
          <w:szCs w:val="24"/>
        </w:rPr>
        <w:t>incentive</w:t>
      </w:r>
      <w:r w:rsidRPr="008B471A" w:rsidR="00171FF5">
        <w:rPr>
          <w:rFonts w:ascii="Times New Roman" w:hAnsi="Times New Roman" w:cs="Times New Roman"/>
          <w:sz w:val="24"/>
          <w:szCs w:val="24"/>
        </w:rPr>
        <w:t xml:space="preserve"> for a subset of sampled participants.</w:t>
      </w:r>
      <w:r w:rsidRPr="00A718E4" w:rsidR="001B4CC7">
        <w:rPr>
          <w:rFonts w:ascii="Times New Roman" w:hAnsi="Times New Roman" w:cs="Times New Roman"/>
          <w:sz w:val="24"/>
          <w:szCs w:val="24"/>
        </w:rPr>
        <w:t xml:space="preserve"> </w:t>
      </w:r>
      <w:r w:rsidR="00BB2B03">
        <w:rPr>
          <w:rFonts w:ascii="Times New Roman" w:hAnsi="Times New Roman" w:cs="Times New Roman"/>
          <w:sz w:val="24"/>
          <w:szCs w:val="24"/>
        </w:rPr>
        <w:t xml:space="preserve"> </w:t>
      </w:r>
      <w:r w:rsidRPr="00A718E4" w:rsidR="004226FE">
        <w:rPr>
          <w:rStyle w:val="eop"/>
          <w:rFonts w:ascii="Times New Roman" w:hAnsi="Times New Roman" w:cs="Times New Roman"/>
          <w:sz w:val="24"/>
          <w:szCs w:val="24"/>
        </w:rPr>
        <w:t xml:space="preserve">We will also send an email reminder to non-respondents for </w:t>
      </w:r>
      <w:r w:rsidRPr="00A718E4" w:rsidR="004226FE">
        <w:rPr>
          <w:rStyle w:val="eop"/>
          <w:rFonts w:ascii="Times New Roman" w:hAnsi="Times New Roman" w:cs="Times New Roman"/>
          <w:sz w:val="24"/>
          <w:szCs w:val="24"/>
        </w:rPr>
        <w:t>whom SSA has an email address</w:t>
      </w:r>
      <w:r w:rsidR="00BB2B03">
        <w:rPr>
          <w:rStyle w:val="eop"/>
          <w:rFonts w:ascii="Times New Roman" w:hAnsi="Times New Roman" w:cs="Times New Roman"/>
          <w:sz w:val="24"/>
          <w:szCs w:val="24"/>
        </w:rPr>
        <w:t>,</w:t>
      </w:r>
      <w:r w:rsidRPr="00A718E4" w:rsidR="004226FE">
        <w:rPr>
          <w:rStyle w:val="eop"/>
          <w:rFonts w:ascii="Times New Roman" w:hAnsi="Times New Roman" w:cs="Times New Roman"/>
          <w:sz w:val="24"/>
          <w:szCs w:val="24"/>
        </w:rPr>
        <w:t xml:space="preserve"> and a text message reminder</w:t>
      </w:r>
      <w:r w:rsidRPr="00A718E4" w:rsidR="008B471A">
        <w:rPr>
          <w:rStyle w:val="eop"/>
          <w:rFonts w:ascii="Times New Roman" w:hAnsi="Times New Roman" w:cs="Times New Roman"/>
          <w:sz w:val="24"/>
          <w:szCs w:val="24"/>
        </w:rPr>
        <w:t xml:space="preserve"> for those for whom we have a phone number</w:t>
      </w:r>
      <w:r w:rsidRPr="00A718E4" w:rsidR="004226FE">
        <w:rPr>
          <w:rStyle w:val="eop"/>
          <w:rFonts w:ascii="Times New Roman" w:hAnsi="Times New Roman" w:cs="Times New Roman"/>
          <w:sz w:val="24"/>
          <w:szCs w:val="24"/>
        </w:rPr>
        <w:t>.</w:t>
      </w:r>
    </w:p>
    <w:p w:rsidR="00080970" w:rsidRPr="00A718E4" w:rsidP="00A718E4" w14:paraId="5C5A012C" w14:textId="3967D733">
      <w:pPr>
        <w:pStyle w:val="NL-1stNumberedBullet"/>
        <w:numPr>
          <w:ilvl w:val="0"/>
          <w:numId w:val="13"/>
        </w:numPr>
      </w:pPr>
      <w:r w:rsidRPr="00A718E4">
        <w:rPr>
          <w:rFonts w:ascii="Times New Roman" w:hAnsi="Times New Roman" w:cs="Times New Roman"/>
          <w:sz w:val="24"/>
          <w:szCs w:val="24"/>
        </w:rPr>
        <w:t>Two</w:t>
      </w:r>
      <w:r w:rsidRPr="00A718E4" w:rsidR="002D1024">
        <w:rPr>
          <w:rFonts w:ascii="Times New Roman" w:hAnsi="Times New Roman" w:cs="Times New Roman"/>
          <w:sz w:val="24"/>
          <w:szCs w:val="24"/>
        </w:rPr>
        <w:t xml:space="preserve"> week</w:t>
      </w:r>
      <w:r w:rsidRPr="00A718E4" w:rsidR="00E03AFE">
        <w:rPr>
          <w:rFonts w:ascii="Times New Roman" w:hAnsi="Times New Roman" w:cs="Times New Roman"/>
          <w:sz w:val="24"/>
          <w:szCs w:val="24"/>
        </w:rPr>
        <w:t xml:space="preserve">s </w:t>
      </w:r>
      <w:r w:rsidRPr="00A718E4" w:rsidR="002D1024">
        <w:rPr>
          <w:rFonts w:ascii="Times New Roman" w:hAnsi="Times New Roman" w:cs="Times New Roman"/>
          <w:sz w:val="24"/>
          <w:szCs w:val="24"/>
        </w:rPr>
        <w:t xml:space="preserve">after the </w:t>
      </w:r>
      <w:r w:rsidRPr="00A718E4" w:rsidR="00145459">
        <w:rPr>
          <w:rFonts w:ascii="Times New Roman" w:hAnsi="Times New Roman" w:cs="Times New Roman"/>
          <w:sz w:val="24"/>
          <w:szCs w:val="24"/>
        </w:rPr>
        <w:t>third mailing</w:t>
      </w:r>
      <w:r w:rsidRPr="00A718E4" w:rsidR="00FF6CD7">
        <w:rPr>
          <w:rFonts w:ascii="Times New Roman" w:hAnsi="Times New Roman" w:cs="Times New Roman"/>
          <w:sz w:val="24"/>
          <w:szCs w:val="24"/>
        </w:rPr>
        <w:t xml:space="preserve">, </w:t>
      </w:r>
      <w:r w:rsidRPr="00A718E4" w:rsidR="000273F4">
        <w:rPr>
          <w:rFonts w:ascii="Times New Roman" w:hAnsi="Times New Roman" w:cs="Times New Roman"/>
          <w:sz w:val="24"/>
          <w:szCs w:val="24"/>
        </w:rPr>
        <w:t>we</w:t>
      </w:r>
      <w:r w:rsidRPr="00A718E4" w:rsidR="002D1024">
        <w:rPr>
          <w:rFonts w:ascii="Times New Roman" w:hAnsi="Times New Roman" w:cs="Times New Roman"/>
          <w:sz w:val="24"/>
          <w:szCs w:val="24"/>
        </w:rPr>
        <w:t xml:space="preserve"> will send </w:t>
      </w:r>
      <w:r w:rsidRPr="00A718E4" w:rsidR="007D3DD3">
        <w:rPr>
          <w:rFonts w:ascii="Times New Roman" w:hAnsi="Times New Roman" w:cs="Times New Roman"/>
          <w:sz w:val="24"/>
          <w:szCs w:val="24"/>
        </w:rPr>
        <w:t>fourth USPS mailing</w:t>
      </w:r>
      <w:r w:rsidRPr="00A718E4" w:rsidR="00946E1E">
        <w:rPr>
          <w:rFonts w:ascii="Times New Roman" w:hAnsi="Times New Roman" w:cs="Times New Roman"/>
          <w:sz w:val="24"/>
          <w:szCs w:val="24"/>
        </w:rPr>
        <w:t xml:space="preserve"> </w:t>
      </w:r>
      <w:r w:rsidRPr="00A718E4" w:rsidR="002D1024">
        <w:rPr>
          <w:rFonts w:ascii="Times New Roman" w:hAnsi="Times New Roman" w:cs="Times New Roman"/>
          <w:sz w:val="24"/>
          <w:szCs w:val="24"/>
        </w:rPr>
        <w:t>to non</w:t>
      </w:r>
      <w:r w:rsidR="00BB2B03">
        <w:rPr>
          <w:rFonts w:ascii="Times New Roman" w:hAnsi="Times New Roman" w:cs="Times New Roman"/>
          <w:sz w:val="24"/>
          <w:szCs w:val="24"/>
        </w:rPr>
        <w:noBreakHyphen/>
      </w:r>
      <w:r w:rsidRPr="00A718E4" w:rsidR="002D1024">
        <w:rPr>
          <w:rFonts w:ascii="Times New Roman" w:hAnsi="Times New Roman" w:cs="Times New Roman"/>
          <w:sz w:val="24"/>
          <w:szCs w:val="24"/>
        </w:rPr>
        <w:t>respondents.</w:t>
      </w:r>
      <w:r w:rsidRPr="00A718E4">
        <w:rPr>
          <w:rFonts w:cs="Times New Roman"/>
          <w:sz w:val="24"/>
          <w:szCs w:val="24"/>
        </w:rPr>
        <w:t xml:space="preserve"> </w:t>
      </w:r>
      <w:r w:rsidR="00BB2B03">
        <w:rPr>
          <w:rFonts w:cs="Times New Roman"/>
          <w:sz w:val="24"/>
          <w:szCs w:val="24"/>
        </w:rPr>
        <w:t xml:space="preserve"> </w:t>
      </w:r>
      <w:r w:rsidRPr="00A718E4" w:rsidR="004D0607">
        <w:rPr>
          <w:rFonts w:ascii="Times New Roman" w:hAnsi="Times New Roman" w:cs="Times New Roman"/>
          <w:sz w:val="24"/>
          <w:szCs w:val="24"/>
        </w:rPr>
        <w:t>This mailing introduces the paper mode and will include a letter, a paper version of the survey instrument, and a postage-paid return</w:t>
      </w:r>
      <w:r w:rsidR="00575673">
        <w:rPr>
          <w:rFonts w:ascii="Times New Roman" w:hAnsi="Times New Roman" w:cs="Times New Roman"/>
          <w:sz w:val="24"/>
          <w:szCs w:val="24"/>
        </w:rPr>
        <w:t xml:space="preserve"> </w:t>
      </w:r>
      <w:r w:rsidRPr="00A718E4" w:rsidR="004D0607">
        <w:rPr>
          <w:rFonts w:ascii="Times New Roman" w:hAnsi="Times New Roman" w:cs="Times New Roman"/>
          <w:sz w:val="24"/>
          <w:szCs w:val="24"/>
        </w:rPr>
        <w:t>envelope. </w:t>
      </w:r>
      <w:r w:rsidR="00BB2B03">
        <w:rPr>
          <w:rFonts w:ascii="Times New Roman" w:hAnsi="Times New Roman" w:cs="Times New Roman"/>
          <w:sz w:val="24"/>
          <w:szCs w:val="24"/>
        </w:rPr>
        <w:t xml:space="preserve"> </w:t>
      </w:r>
      <w:r w:rsidRPr="00A718E4" w:rsidR="004D0607">
        <w:rPr>
          <w:rFonts w:ascii="Times New Roman" w:hAnsi="Times New Roman" w:cs="Times New Roman"/>
          <w:sz w:val="24"/>
          <w:szCs w:val="24"/>
        </w:rPr>
        <w:t>Applicants will still have the option of responding via the web.</w:t>
      </w:r>
      <w:r w:rsidRPr="00A718E4" w:rsidR="004D0607">
        <w:rPr>
          <w:rFonts w:cs="Times New Roman"/>
          <w:sz w:val="24"/>
          <w:szCs w:val="24"/>
        </w:rPr>
        <w:t xml:space="preserve"> </w:t>
      </w:r>
      <w:r w:rsidR="00BB2B03">
        <w:rPr>
          <w:rFonts w:cs="Times New Roman"/>
          <w:sz w:val="24"/>
          <w:szCs w:val="24"/>
        </w:rPr>
        <w:t xml:space="preserve"> </w:t>
      </w:r>
      <w:r w:rsidRPr="00A718E4">
        <w:rPr>
          <w:rFonts w:ascii="Times New Roman" w:hAnsi="Times New Roman" w:cs="Times New Roman"/>
          <w:sz w:val="24"/>
          <w:szCs w:val="24"/>
        </w:rPr>
        <w:t xml:space="preserve">About a week prior to this mailing, we will send email </w:t>
      </w:r>
      <w:r w:rsidRPr="00A718E4" w:rsidR="004226FE">
        <w:rPr>
          <w:rFonts w:ascii="Times New Roman" w:hAnsi="Times New Roman" w:cs="Times New Roman"/>
          <w:sz w:val="24"/>
          <w:szCs w:val="24"/>
        </w:rPr>
        <w:t xml:space="preserve">or </w:t>
      </w:r>
      <w:r w:rsidRPr="00A718E4">
        <w:rPr>
          <w:rFonts w:ascii="Times New Roman" w:hAnsi="Times New Roman" w:cs="Times New Roman"/>
          <w:sz w:val="24"/>
          <w:szCs w:val="24"/>
        </w:rPr>
        <w:t>text messages</w:t>
      </w:r>
      <w:r w:rsidRPr="00A718E4" w:rsidR="008B471A">
        <w:rPr>
          <w:rFonts w:ascii="Times New Roman" w:hAnsi="Times New Roman" w:cs="Times New Roman"/>
          <w:sz w:val="24"/>
          <w:szCs w:val="24"/>
        </w:rPr>
        <w:t xml:space="preserve"> to those for whom we have email and/or phone numbers</w:t>
      </w:r>
      <w:r w:rsidRPr="00A718E4" w:rsidR="004226FE">
        <w:rPr>
          <w:rFonts w:ascii="Times New Roman" w:hAnsi="Times New Roman" w:cs="Times New Roman"/>
          <w:sz w:val="24"/>
          <w:szCs w:val="24"/>
        </w:rPr>
        <w:t xml:space="preserve">, </w:t>
      </w:r>
      <w:r w:rsidRPr="00A718E4" w:rsidR="00273356">
        <w:rPr>
          <w:rFonts w:ascii="Times New Roman" w:hAnsi="Times New Roman" w:cs="Times New Roman"/>
          <w:sz w:val="24"/>
          <w:szCs w:val="24"/>
        </w:rPr>
        <w:t>informing</w:t>
      </w:r>
      <w:r w:rsidRPr="00A718E4">
        <w:rPr>
          <w:rFonts w:ascii="Times New Roman" w:hAnsi="Times New Roman" w:cs="Times New Roman"/>
          <w:sz w:val="24"/>
          <w:szCs w:val="24"/>
        </w:rPr>
        <w:t xml:space="preserve"> the respondent to be on the lookout for the mailing with the hard copy questionnaire.</w:t>
      </w:r>
    </w:p>
    <w:p w:rsidR="00FF6CD7" w:rsidRPr="00AF0370" w:rsidP="00AF0370" w14:paraId="67ACCD23" w14:textId="1E0AE5E0">
      <w:pPr>
        <w:pStyle w:val="NL-1stNumberedBullet"/>
        <w:numPr>
          <w:ilvl w:val="0"/>
          <w:numId w:val="13"/>
        </w:numPr>
        <w:rPr>
          <w:rStyle w:val="eop"/>
          <w:rFonts w:eastAsia="Times New Roman"/>
          <w:lang w:eastAsia="en-US"/>
        </w:rPr>
      </w:pPr>
      <w:r w:rsidRPr="00A718E4">
        <w:rPr>
          <w:rFonts w:ascii="Times New Roman" w:hAnsi="Times New Roman" w:cs="Times New Roman"/>
          <w:sz w:val="24"/>
          <w:szCs w:val="24"/>
        </w:rPr>
        <w:t xml:space="preserve">Finally, </w:t>
      </w:r>
      <w:bookmarkStart w:id="0" w:name="_Hlk152317280"/>
      <w:r w:rsidRPr="008B471A" w:rsidR="00D476D7">
        <w:rPr>
          <w:rStyle w:val="normaltextrun"/>
          <w:rFonts w:ascii="Times New Roman" w:hAnsi="Times New Roman" w:cs="Times New Roman"/>
          <w:sz w:val="24"/>
          <w:szCs w:val="24"/>
        </w:rPr>
        <w:t xml:space="preserve">two weeks after the fourth mailing, we will </w:t>
      </w:r>
      <w:bookmarkEnd w:id="0"/>
      <w:r w:rsidRPr="008B471A" w:rsidR="00D476D7">
        <w:rPr>
          <w:rStyle w:val="normaltextrun"/>
          <w:rFonts w:ascii="Times New Roman" w:hAnsi="Times New Roman" w:cs="Times New Roman"/>
          <w:b/>
          <w:bCs/>
          <w:sz w:val="24"/>
          <w:szCs w:val="24"/>
        </w:rPr>
        <w:t>introduce the telephone mode</w:t>
      </w:r>
      <w:r w:rsidRPr="008B471A" w:rsidR="00D476D7">
        <w:rPr>
          <w:rStyle w:val="normaltextrun"/>
          <w:rFonts w:ascii="Times New Roman" w:hAnsi="Times New Roman" w:cs="Times New Roman"/>
          <w:sz w:val="24"/>
          <w:szCs w:val="24"/>
        </w:rPr>
        <w:t>.</w:t>
      </w:r>
      <w:r w:rsidRPr="008B471A" w:rsidR="00D476D7">
        <w:rPr>
          <w:rStyle w:val="normaltextrun"/>
          <w:rFonts w:ascii="Times New Roman" w:hAnsi="Times New Roman" w:cs="Times New Roman"/>
          <w:b/>
          <w:bCs/>
          <w:sz w:val="24"/>
          <w:szCs w:val="24"/>
        </w:rPr>
        <w:t xml:space="preserve"> </w:t>
      </w:r>
      <w:r w:rsidR="00BB2B03">
        <w:rPr>
          <w:rStyle w:val="normaltextrun"/>
          <w:rFonts w:ascii="Times New Roman" w:hAnsi="Times New Roman" w:cs="Times New Roman"/>
          <w:b/>
          <w:bCs/>
          <w:sz w:val="24"/>
          <w:szCs w:val="24"/>
        </w:rPr>
        <w:t xml:space="preserve"> </w:t>
      </w:r>
      <w:r w:rsidRPr="008B471A" w:rsidR="004226FE">
        <w:rPr>
          <w:rStyle w:val="normaltextrun"/>
          <w:rFonts w:ascii="Times New Roman" w:hAnsi="Times New Roman" w:cs="Times New Roman"/>
          <w:sz w:val="24"/>
          <w:szCs w:val="24"/>
        </w:rPr>
        <w:t xml:space="preserve">We </w:t>
      </w:r>
      <w:r w:rsidRPr="00A718E4" w:rsidR="004226FE">
        <w:rPr>
          <w:rStyle w:val="eop"/>
          <w:rFonts w:ascii="Times New Roman" w:eastAsia="Times New Roman" w:hAnsi="Times New Roman" w:cs="Times New Roman"/>
          <w:sz w:val="24"/>
          <w:szCs w:val="24"/>
          <w:lang w:eastAsia="en-US"/>
        </w:rPr>
        <w:t xml:space="preserve">will </w:t>
      </w:r>
      <w:r w:rsidRPr="00A718E4" w:rsidR="004226FE">
        <w:rPr>
          <w:rFonts w:ascii="Times New Roman" w:hAnsi="Times New Roman" w:cs="Times New Roman"/>
          <w:sz w:val="24"/>
          <w:szCs w:val="24"/>
        </w:rPr>
        <w:t xml:space="preserve">call non-respondents </w:t>
      </w:r>
      <w:r w:rsidR="00575673">
        <w:rPr>
          <w:rFonts w:ascii="Times New Roman" w:hAnsi="Times New Roman" w:cs="Times New Roman"/>
          <w:sz w:val="24"/>
          <w:szCs w:val="24"/>
        </w:rPr>
        <w:t>up to</w:t>
      </w:r>
      <w:r w:rsidRPr="00A718E4" w:rsidR="004226FE">
        <w:rPr>
          <w:rFonts w:ascii="Times New Roman" w:hAnsi="Times New Roman" w:cs="Times New Roman"/>
          <w:sz w:val="24"/>
          <w:szCs w:val="24"/>
        </w:rPr>
        <w:t xml:space="preserve"> three times. </w:t>
      </w:r>
      <w:r w:rsidR="00BB2B03">
        <w:rPr>
          <w:rFonts w:ascii="Times New Roman" w:hAnsi="Times New Roman" w:cs="Times New Roman"/>
          <w:sz w:val="24"/>
          <w:szCs w:val="24"/>
        </w:rPr>
        <w:t xml:space="preserve"> </w:t>
      </w:r>
      <w:r w:rsidRPr="00A718E4" w:rsidR="004226FE">
        <w:rPr>
          <w:rFonts w:ascii="Times New Roman" w:hAnsi="Times New Roman" w:cs="Times New Roman"/>
          <w:sz w:val="24"/>
          <w:szCs w:val="24"/>
        </w:rPr>
        <w:t>We will also send</w:t>
      </w:r>
      <w:r w:rsidR="00BB2B03">
        <w:rPr>
          <w:rFonts w:ascii="Times New Roman" w:hAnsi="Times New Roman" w:cs="Times New Roman"/>
          <w:sz w:val="24"/>
          <w:szCs w:val="24"/>
        </w:rPr>
        <w:t xml:space="preserve"> an email message to</w:t>
      </w:r>
      <w:r w:rsidRPr="00A718E4" w:rsidR="004226FE">
        <w:rPr>
          <w:rFonts w:ascii="Times New Roman" w:hAnsi="Times New Roman" w:cs="Times New Roman"/>
          <w:sz w:val="24"/>
          <w:szCs w:val="24"/>
        </w:rPr>
        <w:t xml:space="preserve"> non-respondents for whom SSA has an email address to alert them that they can contact the Survey Help Desk to complete the survey via a telephone interview</w:t>
      </w:r>
      <w:r w:rsidRPr="00A718E4" w:rsidR="004226FE">
        <w:rPr>
          <w:rStyle w:val="eop"/>
          <w:rFonts w:ascii="Times New Roman" w:eastAsia="Times New Roman" w:hAnsi="Times New Roman" w:cs="Times New Roman"/>
          <w:sz w:val="24"/>
          <w:szCs w:val="24"/>
          <w:lang w:eastAsia="en-US"/>
        </w:rPr>
        <w:t xml:space="preserve">. </w:t>
      </w:r>
      <w:r w:rsidR="00492802">
        <w:rPr>
          <w:rStyle w:val="eop"/>
          <w:rFonts w:ascii="Times New Roman" w:eastAsia="Times New Roman" w:hAnsi="Times New Roman" w:cs="Times New Roman"/>
          <w:sz w:val="24"/>
          <w:szCs w:val="24"/>
          <w:lang w:eastAsia="en-US"/>
        </w:rPr>
        <w:t xml:space="preserve"> </w:t>
      </w:r>
      <w:r w:rsidRPr="008B471A" w:rsidR="004226FE">
        <w:rPr>
          <w:rStyle w:val="eop"/>
          <w:rFonts w:ascii="Times New Roman" w:eastAsia="Times New Roman" w:hAnsi="Times New Roman" w:cs="Times New Roman"/>
          <w:sz w:val="24"/>
          <w:szCs w:val="24"/>
          <w:lang w:eastAsia="en-US"/>
        </w:rPr>
        <w:t xml:space="preserve">We will send </w:t>
      </w:r>
      <w:r w:rsidR="00492802">
        <w:rPr>
          <w:rStyle w:val="eop"/>
          <w:rFonts w:ascii="Times New Roman" w:eastAsia="Times New Roman" w:hAnsi="Times New Roman" w:cs="Times New Roman"/>
          <w:sz w:val="24"/>
          <w:szCs w:val="24"/>
          <w:lang w:eastAsia="en-US"/>
        </w:rPr>
        <w:t xml:space="preserve">a text message alert to </w:t>
      </w:r>
      <w:r w:rsidRPr="008B471A" w:rsidR="004226FE">
        <w:rPr>
          <w:rStyle w:val="eop"/>
          <w:rFonts w:ascii="Times New Roman" w:eastAsia="Times New Roman" w:hAnsi="Times New Roman" w:cs="Times New Roman"/>
          <w:sz w:val="24"/>
          <w:szCs w:val="24"/>
          <w:lang w:eastAsia="en-US"/>
        </w:rPr>
        <w:t>non</w:t>
      </w:r>
      <w:r w:rsidR="00492802">
        <w:rPr>
          <w:rStyle w:val="eop"/>
          <w:rFonts w:ascii="Times New Roman" w:eastAsia="Times New Roman" w:hAnsi="Times New Roman" w:cs="Times New Roman"/>
          <w:sz w:val="24"/>
          <w:szCs w:val="24"/>
          <w:lang w:eastAsia="en-US"/>
        </w:rPr>
        <w:noBreakHyphen/>
      </w:r>
      <w:r w:rsidRPr="008B471A" w:rsidR="004226FE">
        <w:rPr>
          <w:rStyle w:val="eop"/>
          <w:rFonts w:ascii="Times New Roman" w:eastAsia="Times New Roman" w:hAnsi="Times New Roman" w:cs="Times New Roman"/>
          <w:sz w:val="24"/>
          <w:szCs w:val="24"/>
          <w:lang w:eastAsia="en-US"/>
        </w:rPr>
        <w:t>respondents</w:t>
      </w:r>
      <w:r w:rsidR="00A614CE">
        <w:rPr>
          <w:rStyle w:val="eop"/>
          <w:rFonts w:ascii="Times New Roman" w:eastAsia="Times New Roman" w:hAnsi="Times New Roman" w:cs="Times New Roman"/>
          <w:sz w:val="24"/>
          <w:szCs w:val="24"/>
          <w:lang w:eastAsia="en-US"/>
        </w:rPr>
        <w:t xml:space="preserve"> for whom we have a phone number</w:t>
      </w:r>
      <w:r w:rsidRPr="008B471A" w:rsidR="004226FE">
        <w:rPr>
          <w:rStyle w:val="eop"/>
          <w:rFonts w:ascii="Times New Roman" w:eastAsia="Times New Roman" w:hAnsi="Times New Roman" w:cs="Times New Roman"/>
          <w:sz w:val="24"/>
          <w:szCs w:val="24"/>
          <w:lang w:eastAsia="en-US"/>
        </w:rPr>
        <w:t xml:space="preserve"> </w:t>
      </w:r>
      <w:r w:rsidR="00492802">
        <w:rPr>
          <w:rStyle w:val="eop"/>
          <w:rFonts w:ascii="Times New Roman" w:eastAsia="Times New Roman" w:hAnsi="Times New Roman" w:cs="Times New Roman"/>
          <w:sz w:val="24"/>
          <w:szCs w:val="24"/>
          <w:lang w:eastAsia="en-US"/>
        </w:rPr>
        <w:t xml:space="preserve">explaining </w:t>
      </w:r>
      <w:r w:rsidRPr="008B471A" w:rsidR="004226FE">
        <w:rPr>
          <w:rStyle w:val="eop"/>
          <w:rFonts w:ascii="Times New Roman" w:eastAsia="Times New Roman" w:hAnsi="Times New Roman" w:cs="Times New Roman"/>
          <w:sz w:val="24"/>
          <w:szCs w:val="24"/>
          <w:lang w:eastAsia="en-US"/>
        </w:rPr>
        <w:t>that they can contact the Survey Help</w:t>
      </w:r>
      <w:r w:rsidRPr="00AF0370" w:rsidR="004226FE">
        <w:rPr>
          <w:rStyle w:val="eop"/>
          <w:rFonts w:ascii="Times New Roman" w:eastAsia="Times New Roman" w:hAnsi="Times New Roman" w:cs="Times New Roman"/>
          <w:sz w:val="24"/>
          <w:szCs w:val="24"/>
          <w:lang w:eastAsia="en-US"/>
        </w:rPr>
        <w:t xml:space="preserve"> Desk to complete the survey via telephone.</w:t>
      </w:r>
      <w:r w:rsidRPr="00AF0370" w:rsidR="004226FE">
        <w:rPr>
          <w:rStyle w:val="eop"/>
          <w:rFonts w:eastAsia="Times New Roman"/>
          <w:sz w:val="24"/>
          <w:szCs w:val="24"/>
          <w:lang w:eastAsia="en-US"/>
        </w:rPr>
        <w:t xml:space="preserve"> </w:t>
      </w:r>
    </w:p>
    <w:p w:rsidR="00FC06DC" w:rsidRPr="00DE3DB6" w:rsidP="00492802" w14:paraId="2C0D1C8D" w14:textId="170280B3">
      <w:pPr>
        <w:pStyle w:val="L1-FlLSp12"/>
        <w:ind w:left="720"/>
        <w:rPr>
          <w:rFonts w:ascii="Times New Roman" w:hAnsi="Times New Roman" w:cs="Times New Roman"/>
          <w:noProof/>
          <w:sz w:val="24"/>
          <w:szCs w:val="24"/>
        </w:rPr>
      </w:pPr>
      <w:r w:rsidRPr="00DE3DB6">
        <w:rPr>
          <w:rFonts w:ascii="Times New Roman" w:hAnsi="Times New Roman" w:cs="Times New Roman"/>
          <w:noProof/>
          <w:sz w:val="24"/>
          <w:szCs w:val="24"/>
        </w:rPr>
        <w:t xml:space="preserve">Both our </w:t>
      </w:r>
      <w:r w:rsidR="00E07715">
        <w:rPr>
          <w:rFonts w:ascii="Times New Roman" w:hAnsi="Times New Roman" w:cs="Times New Roman"/>
          <w:noProof/>
          <w:sz w:val="24"/>
          <w:szCs w:val="24"/>
        </w:rPr>
        <w:t>telephone</w:t>
      </w:r>
      <w:r w:rsidRPr="00DE3DB6" w:rsidR="00E07715">
        <w:rPr>
          <w:rFonts w:ascii="Times New Roman" w:hAnsi="Times New Roman" w:cs="Times New Roman"/>
          <w:noProof/>
          <w:sz w:val="24"/>
          <w:szCs w:val="24"/>
        </w:rPr>
        <w:t xml:space="preserve"> </w:t>
      </w:r>
      <w:r w:rsidRPr="00DE3DB6">
        <w:rPr>
          <w:rFonts w:ascii="Times New Roman" w:hAnsi="Times New Roman" w:cs="Times New Roman"/>
          <w:noProof/>
          <w:sz w:val="24"/>
          <w:szCs w:val="24"/>
        </w:rPr>
        <w:t>interviewers and respondents who complete</w:t>
      </w:r>
      <w:r w:rsidR="00E07715">
        <w:rPr>
          <w:rFonts w:ascii="Times New Roman" w:hAnsi="Times New Roman" w:cs="Times New Roman"/>
          <w:noProof/>
          <w:sz w:val="24"/>
          <w:szCs w:val="24"/>
        </w:rPr>
        <w:t xml:space="preserve"> the survey</w:t>
      </w:r>
      <w:r w:rsidRPr="00DE3DB6">
        <w:rPr>
          <w:rFonts w:ascii="Times New Roman" w:hAnsi="Times New Roman" w:cs="Times New Roman"/>
          <w:noProof/>
          <w:sz w:val="24"/>
          <w:szCs w:val="24"/>
        </w:rPr>
        <w:t xml:space="preserve"> via the website will access a web version of the survey instrument</w:t>
      </w:r>
      <w:r w:rsidR="00E07715">
        <w:rPr>
          <w:rFonts w:ascii="Times New Roman" w:hAnsi="Times New Roman" w:cs="Times New Roman"/>
          <w:noProof/>
          <w:sz w:val="24"/>
          <w:szCs w:val="24"/>
        </w:rPr>
        <w:t>,</w:t>
      </w:r>
      <w:r w:rsidRPr="00DE3DB6">
        <w:rPr>
          <w:rFonts w:ascii="Times New Roman" w:hAnsi="Times New Roman" w:cs="Times New Roman"/>
          <w:noProof/>
          <w:sz w:val="24"/>
          <w:szCs w:val="24"/>
        </w:rPr>
        <w:t xml:space="preserve"> allowing </w:t>
      </w:r>
      <w:r w:rsidR="00E07715">
        <w:rPr>
          <w:rFonts w:ascii="Times New Roman" w:hAnsi="Times New Roman" w:cs="Times New Roman"/>
          <w:noProof/>
          <w:sz w:val="24"/>
          <w:szCs w:val="24"/>
        </w:rPr>
        <w:t xml:space="preserve">a </w:t>
      </w:r>
      <w:r w:rsidRPr="00DE3DB6">
        <w:rPr>
          <w:rFonts w:ascii="Times New Roman" w:hAnsi="Times New Roman" w:cs="Times New Roman"/>
          <w:noProof/>
          <w:sz w:val="24"/>
          <w:szCs w:val="24"/>
        </w:rPr>
        <w:t xml:space="preserve">single database </w:t>
      </w:r>
      <w:r w:rsidR="00E07715">
        <w:rPr>
          <w:rFonts w:ascii="Times New Roman" w:hAnsi="Times New Roman" w:cs="Times New Roman"/>
          <w:noProof/>
          <w:sz w:val="24"/>
          <w:szCs w:val="24"/>
        </w:rPr>
        <w:t>to</w:t>
      </w:r>
      <w:r w:rsidRPr="00DE3DB6">
        <w:rPr>
          <w:rFonts w:ascii="Times New Roman" w:hAnsi="Times New Roman" w:cs="Times New Roman"/>
          <w:noProof/>
          <w:sz w:val="24"/>
          <w:szCs w:val="24"/>
        </w:rPr>
        <w:t xml:space="preserve"> house all completed surveys. </w:t>
      </w:r>
      <w:r w:rsidR="00492802">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This design will facilitate easy access to both the English and Spanish versions of the instrument for both telephone interviewers and web respondents. </w:t>
      </w:r>
      <w:r w:rsidR="00492802">
        <w:rPr>
          <w:rFonts w:ascii="Times New Roman" w:hAnsi="Times New Roman" w:cs="Times New Roman"/>
          <w:noProof/>
          <w:sz w:val="24"/>
          <w:szCs w:val="24"/>
        </w:rPr>
        <w:t xml:space="preserve"> </w:t>
      </w:r>
      <w:r w:rsidRPr="00DE3DB6">
        <w:rPr>
          <w:rFonts w:ascii="Times New Roman" w:hAnsi="Times New Roman" w:cs="Times New Roman"/>
          <w:noProof/>
          <w:sz w:val="24"/>
          <w:szCs w:val="24"/>
        </w:rPr>
        <w:t xml:space="preserve">The </w:t>
      </w:r>
      <w:r w:rsidR="00D267F2">
        <w:rPr>
          <w:rFonts w:ascii="Times New Roman" w:hAnsi="Times New Roman" w:cs="Times New Roman"/>
          <w:noProof/>
          <w:sz w:val="24"/>
          <w:szCs w:val="24"/>
        </w:rPr>
        <w:t xml:space="preserve">paper and </w:t>
      </w:r>
      <w:r w:rsidRPr="00DE3DB6">
        <w:rPr>
          <w:rFonts w:ascii="Times New Roman" w:hAnsi="Times New Roman" w:cs="Times New Roman"/>
          <w:noProof/>
          <w:sz w:val="24"/>
          <w:szCs w:val="24"/>
        </w:rPr>
        <w:t>telephone version</w:t>
      </w:r>
      <w:r w:rsidR="00D267F2">
        <w:rPr>
          <w:rFonts w:ascii="Times New Roman" w:hAnsi="Times New Roman" w:cs="Times New Roman"/>
          <w:noProof/>
          <w:sz w:val="24"/>
          <w:szCs w:val="24"/>
        </w:rPr>
        <w:t>s</w:t>
      </w:r>
      <w:r w:rsidRPr="00DE3DB6">
        <w:rPr>
          <w:rFonts w:ascii="Times New Roman" w:hAnsi="Times New Roman" w:cs="Times New Roman"/>
          <w:noProof/>
          <w:sz w:val="24"/>
          <w:szCs w:val="24"/>
        </w:rPr>
        <w:t xml:space="preserve"> of the survey </w:t>
      </w:r>
      <w:r w:rsidRPr="00DE3DB6" w:rsidR="00E07715">
        <w:rPr>
          <w:rFonts w:ascii="Times New Roman" w:hAnsi="Times New Roman" w:cs="Times New Roman"/>
          <w:noProof/>
          <w:sz w:val="24"/>
          <w:szCs w:val="24"/>
        </w:rPr>
        <w:t xml:space="preserve">instrument </w:t>
      </w:r>
      <w:r w:rsidRPr="00DE3DB6">
        <w:rPr>
          <w:rFonts w:ascii="Times New Roman" w:hAnsi="Times New Roman" w:cs="Times New Roman"/>
          <w:noProof/>
          <w:sz w:val="24"/>
          <w:szCs w:val="24"/>
        </w:rPr>
        <w:t>will mirror the web version, with some format adaptations appropriate</w:t>
      </w:r>
      <w:r w:rsidR="00D267F2">
        <w:rPr>
          <w:rFonts w:ascii="Times New Roman" w:hAnsi="Times New Roman" w:cs="Times New Roman"/>
          <w:noProof/>
          <w:sz w:val="24"/>
          <w:szCs w:val="24"/>
        </w:rPr>
        <w:t xml:space="preserve"> to the mode and to </w:t>
      </w:r>
      <w:r w:rsidR="00141AF3">
        <w:rPr>
          <w:rFonts w:ascii="Times New Roman" w:hAnsi="Times New Roman" w:cs="Times New Roman"/>
          <w:noProof/>
          <w:sz w:val="24"/>
          <w:szCs w:val="24"/>
        </w:rPr>
        <w:t>minimiz</w:t>
      </w:r>
      <w:r w:rsidR="007A4470">
        <w:rPr>
          <w:rFonts w:ascii="Times New Roman" w:hAnsi="Times New Roman" w:cs="Times New Roman"/>
          <w:noProof/>
          <w:sz w:val="24"/>
          <w:szCs w:val="24"/>
        </w:rPr>
        <w:t>e</w:t>
      </w:r>
      <w:r w:rsidR="00141AF3">
        <w:rPr>
          <w:rFonts w:ascii="Times New Roman" w:hAnsi="Times New Roman" w:cs="Times New Roman"/>
          <w:noProof/>
          <w:sz w:val="24"/>
          <w:szCs w:val="24"/>
        </w:rPr>
        <w:t xml:space="preserve"> respondent burden. </w:t>
      </w:r>
      <w:r w:rsidR="00492802">
        <w:rPr>
          <w:rFonts w:ascii="Times New Roman" w:hAnsi="Times New Roman" w:cs="Times New Roman"/>
          <w:noProof/>
          <w:sz w:val="24"/>
          <w:szCs w:val="24"/>
        </w:rPr>
        <w:t xml:space="preserve"> </w:t>
      </w:r>
      <w:r w:rsidRPr="00DE3DB6">
        <w:rPr>
          <w:rFonts w:ascii="Times New Roman" w:hAnsi="Times New Roman" w:cs="Times New Roman"/>
          <w:noProof/>
          <w:sz w:val="24"/>
          <w:szCs w:val="24"/>
        </w:rPr>
        <w:t>We will integrate the instrument with the survey management system.</w:t>
      </w:r>
    </w:p>
    <w:p w:rsidR="00492802" w:rsidP="00492802" w14:paraId="6BCC7CE0" w14:textId="20EE5A88">
      <w:pPr>
        <w:pStyle w:val="L1-FlLSp12"/>
        <w:ind w:left="720"/>
        <w:rPr>
          <w:rFonts w:ascii="Times New Roman" w:hAnsi="Times New Roman" w:cs="Times New Roman"/>
          <w:noProof/>
          <w:sz w:val="24"/>
          <w:szCs w:val="24"/>
        </w:rPr>
      </w:pPr>
      <w:r>
        <w:rPr>
          <w:rFonts w:ascii="Times New Roman" w:hAnsi="Times New Roman" w:cs="Times New Roman"/>
          <w:noProof/>
          <w:sz w:val="24"/>
          <w:szCs w:val="24"/>
        </w:rPr>
        <w:t>T</w:t>
      </w:r>
      <w:r w:rsidRPr="00E44060">
        <w:rPr>
          <w:rFonts w:ascii="Times New Roman" w:hAnsi="Times New Roman" w:cs="Times New Roman"/>
          <w:noProof/>
          <w:sz w:val="24"/>
          <w:szCs w:val="24"/>
        </w:rPr>
        <w:t xml:space="preserve">he start of the survey instrument will display informed consent language. </w:t>
      </w:r>
      <w:r>
        <w:rPr>
          <w:rFonts w:ascii="Times New Roman" w:hAnsi="Times New Roman" w:cs="Times New Roman"/>
          <w:noProof/>
          <w:sz w:val="24"/>
          <w:szCs w:val="24"/>
        </w:rPr>
        <w:t xml:space="preserve"> </w:t>
      </w:r>
      <w:r w:rsidRPr="00E44060">
        <w:rPr>
          <w:rFonts w:ascii="Times New Roman" w:hAnsi="Times New Roman" w:cs="Times New Roman"/>
          <w:noProof/>
          <w:sz w:val="24"/>
          <w:szCs w:val="24"/>
        </w:rPr>
        <w:t>In the web and paper versions of the instrument, we will require respondents to click on a radio button or check a box to provide consent before continuing to the survey.</w:t>
      </w:r>
      <w:r>
        <w:rPr>
          <w:rFonts w:ascii="Times New Roman" w:hAnsi="Times New Roman" w:cs="Times New Roman"/>
          <w:noProof/>
          <w:sz w:val="24"/>
          <w:szCs w:val="24"/>
        </w:rPr>
        <w:t xml:space="preserve"> </w:t>
      </w:r>
      <w:r w:rsidRPr="00E44060">
        <w:rPr>
          <w:rFonts w:ascii="Times New Roman" w:hAnsi="Times New Roman" w:cs="Times New Roman"/>
          <w:noProof/>
          <w:sz w:val="24"/>
          <w:szCs w:val="24"/>
        </w:rPr>
        <w:t xml:space="preserve"> </w:t>
      </w:r>
      <w:r>
        <w:rPr>
          <w:rFonts w:ascii="Times New Roman" w:hAnsi="Times New Roman" w:cs="Times New Roman"/>
          <w:noProof/>
          <w:sz w:val="24"/>
          <w:szCs w:val="24"/>
        </w:rPr>
        <w:t>For</w:t>
      </w:r>
      <w:r w:rsidRPr="00E44060">
        <w:rPr>
          <w:rFonts w:ascii="Times New Roman" w:hAnsi="Times New Roman" w:cs="Times New Roman"/>
          <w:noProof/>
          <w:sz w:val="24"/>
          <w:szCs w:val="24"/>
        </w:rPr>
        <w:t xml:space="preserve"> </w:t>
      </w:r>
      <w:r w:rsidRPr="00E44060">
        <w:rPr>
          <w:rFonts w:ascii="Times New Roman" w:hAnsi="Times New Roman" w:cs="Times New Roman"/>
          <w:noProof/>
          <w:sz w:val="24"/>
          <w:szCs w:val="24"/>
        </w:rPr>
        <w:t xml:space="preserve">the </w:t>
      </w:r>
      <w:r>
        <w:rPr>
          <w:rFonts w:ascii="Times New Roman" w:hAnsi="Times New Roman" w:cs="Times New Roman"/>
          <w:noProof/>
          <w:sz w:val="24"/>
          <w:szCs w:val="24"/>
        </w:rPr>
        <w:t>tele</w:t>
      </w:r>
      <w:r w:rsidRPr="00E44060">
        <w:rPr>
          <w:rFonts w:ascii="Times New Roman" w:hAnsi="Times New Roman" w:cs="Times New Roman"/>
          <w:noProof/>
          <w:sz w:val="24"/>
          <w:szCs w:val="24"/>
        </w:rPr>
        <w:t xml:space="preserve">phone version of the instrument, the interviewer will read the informed consent language to the respondent, ask the respondent to provide verbal consent, and then click on a radio button indicating that the respondent has done so. </w:t>
      </w:r>
    </w:p>
    <w:p w:rsidR="00492802" w:rsidP="00492802" w14:paraId="4FAB2E8E" w14:textId="77777777">
      <w:pPr>
        <w:pStyle w:val="L1-FlLSp12"/>
        <w:numPr>
          <w:ilvl w:val="0"/>
          <w:numId w:val="16"/>
        </w:numPr>
        <w:tabs>
          <w:tab w:val="clear" w:pos="1152"/>
          <w:tab w:val="left" w:pos="1170"/>
        </w:tabs>
        <w:spacing w:after="0"/>
        <w:rPr>
          <w:rFonts w:ascii="Times New Roman" w:hAnsi="Times New Roman" w:cs="Times New Roman"/>
          <w:noProof/>
          <w:sz w:val="24"/>
          <w:szCs w:val="24"/>
        </w:rPr>
      </w:pPr>
      <w:r w:rsidRPr="00492802">
        <w:rPr>
          <w:rFonts w:ascii="Times New Roman" w:hAnsi="Times New Roman"/>
          <w:b/>
        </w:rPr>
        <w:t>Methods to Maximize Response Rates</w:t>
      </w:r>
    </w:p>
    <w:p w:rsidR="00B2458B" w:rsidRPr="00492802" w:rsidP="00492802" w14:paraId="1B102E19" w14:textId="7313CAC7">
      <w:pPr>
        <w:pStyle w:val="L1-FlLSp12"/>
        <w:tabs>
          <w:tab w:val="clear" w:pos="1152"/>
          <w:tab w:val="left" w:pos="1170"/>
        </w:tabs>
        <w:spacing w:after="0"/>
        <w:ind w:left="720"/>
        <w:rPr>
          <w:rFonts w:ascii="Times New Roman" w:hAnsi="Times New Roman" w:cs="Times New Roman"/>
          <w:noProof/>
          <w:sz w:val="24"/>
          <w:szCs w:val="24"/>
        </w:rPr>
      </w:pPr>
      <w:r w:rsidRPr="00492802">
        <w:rPr>
          <w:rFonts w:ascii="Times New Roman" w:hAnsi="Times New Roman"/>
        </w:rPr>
        <w:t>The data collection procedures will involve multiple strategies to maximize response rates</w:t>
      </w:r>
      <w:r w:rsidR="00492802">
        <w:rPr>
          <w:rFonts w:ascii="Times New Roman" w:hAnsi="Times New Roman"/>
        </w:rPr>
        <w:t>:</w:t>
      </w:r>
      <w:r w:rsidRPr="00492802">
        <w:rPr>
          <w:rFonts w:ascii="Times New Roman" w:hAnsi="Times New Roman"/>
        </w:rPr>
        <w:t xml:space="preserve"> </w:t>
      </w:r>
    </w:p>
    <w:p w:rsidR="00A84BB9" w:rsidP="00920AB9" w14:paraId="4C6A4C9E" w14:textId="77777777">
      <w:pPr>
        <w:tabs>
          <w:tab w:val="left" w:pos="1170"/>
        </w:tabs>
        <w:ind w:left="990"/>
        <w:rPr>
          <w:rFonts w:ascii="Times New Roman" w:hAnsi="Times New Roman"/>
        </w:rPr>
      </w:pPr>
    </w:p>
    <w:p w:rsidR="00A84BB9" w:rsidRPr="00567D1B" w:rsidP="00920AB9" w14:paraId="105893F3" w14:textId="63B968BB">
      <w:pPr>
        <w:tabs>
          <w:tab w:val="left" w:pos="1170"/>
        </w:tabs>
        <w:ind w:left="990"/>
        <w:rPr>
          <w:rFonts w:ascii="Times New Roman" w:hAnsi="Times New Roman"/>
          <w:b/>
          <w:bCs/>
          <w:u w:val="single"/>
        </w:rPr>
      </w:pPr>
      <w:r w:rsidRPr="00567D1B">
        <w:rPr>
          <w:rFonts w:ascii="Times New Roman" w:hAnsi="Times New Roman"/>
          <w:b/>
          <w:bCs/>
          <w:u w:val="single"/>
        </w:rPr>
        <w:t>Incentives</w:t>
      </w:r>
    </w:p>
    <w:p w:rsidR="005B407D" w:rsidP="005B407D" w14:paraId="2DBBE472" w14:textId="38BCB84D">
      <w:pPr>
        <w:tabs>
          <w:tab w:val="left" w:pos="1170"/>
        </w:tabs>
        <w:ind w:left="990"/>
        <w:rPr>
          <w:rFonts w:ascii="Times New Roman" w:hAnsi="Times New Roman"/>
          <w:szCs w:val="22"/>
        </w:rPr>
      </w:pPr>
      <w:r>
        <w:rPr>
          <w:rFonts w:ascii="Times New Roman" w:hAnsi="Times New Roman"/>
          <w:szCs w:val="22"/>
        </w:rPr>
        <w:t>We will offer both pre-incentives and post-incentives to maximize response rates</w:t>
      </w:r>
      <w:r w:rsidR="00492802">
        <w:rPr>
          <w:rFonts w:ascii="Times New Roman" w:hAnsi="Times New Roman"/>
          <w:szCs w:val="22"/>
        </w:rPr>
        <w:t>:</w:t>
      </w:r>
      <w:r>
        <w:rPr>
          <w:rFonts w:ascii="Times New Roman" w:hAnsi="Times New Roman"/>
          <w:szCs w:val="22"/>
        </w:rPr>
        <w:t xml:space="preserve"> </w:t>
      </w:r>
    </w:p>
    <w:p w:rsidR="005B407D" w:rsidP="005B407D" w14:paraId="6244DA4B" w14:textId="77777777">
      <w:pPr>
        <w:tabs>
          <w:tab w:val="left" w:pos="1170"/>
        </w:tabs>
        <w:ind w:left="990"/>
        <w:rPr>
          <w:rFonts w:ascii="Times New Roman" w:hAnsi="Times New Roman"/>
          <w:szCs w:val="22"/>
        </w:rPr>
      </w:pPr>
    </w:p>
    <w:p w:rsidR="00C90A93" w:rsidP="00C90A93" w14:paraId="5E8D959A" w14:textId="5728AD0E">
      <w:pPr>
        <w:pStyle w:val="NL-1stNumberedBullet"/>
        <w:numPr>
          <w:ilvl w:val="0"/>
          <w:numId w:val="10"/>
        </w:numPr>
        <w:rPr>
          <w:rFonts w:ascii="Times New Roman" w:hAnsi="Times New Roman" w:cs="Times New Roman"/>
          <w:sz w:val="24"/>
          <w:szCs w:val="24"/>
        </w:rPr>
      </w:pPr>
      <w:r w:rsidRPr="00C90A93">
        <w:rPr>
          <w:rFonts w:ascii="Times New Roman" w:hAnsi="Times New Roman" w:cs="Times New Roman"/>
          <w:b/>
          <w:bCs/>
          <w:sz w:val="24"/>
          <w:szCs w:val="24"/>
        </w:rPr>
        <w:t xml:space="preserve">$2 </w:t>
      </w:r>
      <w:r w:rsidR="007821B0">
        <w:rPr>
          <w:rFonts w:ascii="Times New Roman" w:hAnsi="Times New Roman" w:cs="Times New Roman"/>
          <w:b/>
          <w:bCs/>
          <w:sz w:val="24"/>
          <w:szCs w:val="24"/>
        </w:rPr>
        <w:t>p</w:t>
      </w:r>
      <w:r w:rsidRPr="00C90A93">
        <w:rPr>
          <w:rFonts w:ascii="Times New Roman" w:hAnsi="Times New Roman" w:cs="Times New Roman"/>
          <w:b/>
          <w:bCs/>
          <w:sz w:val="24"/>
          <w:szCs w:val="24"/>
        </w:rPr>
        <w:t xml:space="preserve">re-incentive with </w:t>
      </w:r>
      <w:r w:rsidR="00E44060">
        <w:rPr>
          <w:rFonts w:ascii="Times New Roman" w:hAnsi="Times New Roman" w:cs="Times New Roman"/>
          <w:b/>
          <w:bCs/>
          <w:sz w:val="24"/>
          <w:szCs w:val="24"/>
        </w:rPr>
        <w:t>f</w:t>
      </w:r>
      <w:r w:rsidRPr="00C90A93">
        <w:rPr>
          <w:rFonts w:ascii="Times New Roman" w:hAnsi="Times New Roman" w:cs="Times New Roman"/>
          <w:b/>
          <w:bCs/>
          <w:sz w:val="24"/>
          <w:szCs w:val="24"/>
        </w:rPr>
        <w:t>irst USPS mailing</w:t>
      </w:r>
      <w:r w:rsidRPr="00C90A93">
        <w:rPr>
          <w:rFonts w:ascii="Times New Roman" w:hAnsi="Times New Roman" w:cs="Times New Roman"/>
          <w:b/>
          <w:bCs/>
          <w:sz w:val="24"/>
          <w:szCs w:val="24"/>
        </w:rPr>
        <w:t>.</w:t>
      </w:r>
      <w:r w:rsidRPr="005B407D">
        <w:rPr>
          <w:rFonts w:ascii="Times New Roman" w:hAnsi="Times New Roman" w:cs="Times New Roman"/>
          <w:sz w:val="24"/>
          <w:szCs w:val="24"/>
        </w:rPr>
        <w:t xml:space="preserve"> </w:t>
      </w:r>
      <w:r w:rsidR="00492802">
        <w:rPr>
          <w:rFonts w:ascii="Times New Roman" w:hAnsi="Times New Roman" w:cs="Times New Roman"/>
          <w:sz w:val="24"/>
          <w:szCs w:val="24"/>
        </w:rPr>
        <w:t xml:space="preserve"> Research shows that p</w:t>
      </w:r>
      <w:r w:rsidRPr="005B407D" w:rsidR="005B407D">
        <w:rPr>
          <w:rFonts w:ascii="Times New Roman" w:hAnsi="Times New Roman" w:cs="Times New Roman"/>
          <w:sz w:val="24"/>
          <w:szCs w:val="24"/>
        </w:rPr>
        <w:t>re</w:t>
      </w:r>
      <w:r w:rsidR="00BE52A8">
        <w:rPr>
          <w:rFonts w:ascii="Times New Roman" w:hAnsi="Times New Roman" w:cs="Times New Roman"/>
          <w:sz w:val="24"/>
          <w:szCs w:val="24"/>
        </w:rPr>
        <w:t>-</w:t>
      </w:r>
      <w:r w:rsidRPr="005B407D" w:rsidR="005B407D">
        <w:rPr>
          <w:rFonts w:ascii="Times New Roman" w:hAnsi="Times New Roman" w:cs="Times New Roman"/>
          <w:sz w:val="24"/>
          <w:szCs w:val="24"/>
        </w:rPr>
        <w:t xml:space="preserve">paid incentives of this size significantly </w:t>
      </w:r>
      <w:r w:rsidRPr="005B407D" w:rsidR="005B407D">
        <w:rPr>
          <w:rFonts w:ascii="Times New Roman" w:hAnsi="Times New Roman" w:cs="Times New Roman"/>
          <w:sz w:val="24"/>
          <w:szCs w:val="24"/>
        </w:rPr>
        <w:t>increase</w:t>
      </w:r>
      <w:r w:rsidR="00492802">
        <w:rPr>
          <w:rFonts w:ascii="Times New Roman" w:hAnsi="Times New Roman" w:cs="Times New Roman"/>
          <w:sz w:val="24"/>
          <w:szCs w:val="24"/>
        </w:rPr>
        <w:t>s</w:t>
      </w:r>
      <w:r w:rsidRPr="005B407D" w:rsidR="005B407D">
        <w:rPr>
          <w:rFonts w:ascii="Times New Roman" w:hAnsi="Times New Roman" w:cs="Times New Roman"/>
          <w:sz w:val="24"/>
          <w:szCs w:val="24"/>
        </w:rPr>
        <w:t xml:space="preserve"> response to both web surveys (e.g., Messer &amp; Dillman, 2011) and telephone surveys (Cantor et al., 2008). </w:t>
      </w:r>
      <w:r w:rsidR="00492802">
        <w:rPr>
          <w:rFonts w:ascii="Times New Roman" w:hAnsi="Times New Roman" w:cs="Times New Roman"/>
          <w:sz w:val="24"/>
          <w:szCs w:val="24"/>
        </w:rPr>
        <w:t xml:space="preserve"> </w:t>
      </w:r>
      <w:r w:rsidRPr="005B407D" w:rsidR="005B407D">
        <w:rPr>
          <w:rFonts w:ascii="Times New Roman" w:hAnsi="Times New Roman" w:cs="Times New Roman"/>
          <w:sz w:val="24"/>
          <w:szCs w:val="24"/>
        </w:rPr>
        <w:t>The meta</w:t>
      </w:r>
      <w:r w:rsidR="00575673">
        <w:rPr>
          <w:rFonts w:ascii="Times New Roman" w:hAnsi="Times New Roman" w:cs="Times New Roman"/>
          <w:sz w:val="24"/>
          <w:szCs w:val="24"/>
        </w:rPr>
        <w:noBreakHyphen/>
      </w:r>
      <w:r w:rsidRPr="005B407D" w:rsidR="005B407D">
        <w:rPr>
          <w:rFonts w:ascii="Times New Roman" w:hAnsi="Times New Roman" w:cs="Times New Roman"/>
          <w:sz w:val="24"/>
          <w:szCs w:val="24"/>
        </w:rPr>
        <w:t xml:space="preserve">analysis by Mercer et al. (2014) found that incentives of this size increased response rates by approximately 11 to 16 percentage points, depending on the </w:t>
      </w:r>
      <w:r w:rsidRPr="005B407D" w:rsidR="005B407D">
        <w:rPr>
          <w:rFonts w:ascii="Times New Roman" w:hAnsi="Times New Roman" w:cs="Times New Roman"/>
          <w:sz w:val="24"/>
          <w:szCs w:val="24"/>
        </w:rPr>
        <w:t>mode.</w:t>
      </w:r>
      <w:r w:rsidR="00482CD5">
        <w:rPr>
          <w:rFonts w:ascii="Times New Roman" w:hAnsi="Times New Roman" w:cs="Times New Roman"/>
          <w:sz w:val="24"/>
          <w:szCs w:val="24"/>
        </w:rPr>
        <w:t xml:space="preserve"> </w:t>
      </w:r>
      <w:r w:rsidR="00492802">
        <w:rPr>
          <w:rFonts w:ascii="Times New Roman" w:hAnsi="Times New Roman" w:cs="Times New Roman"/>
          <w:sz w:val="24"/>
          <w:szCs w:val="24"/>
        </w:rPr>
        <w:t xml:space="preserve"> </w:t>
      </w:r>
      <w:r w:rsidR="00482CD5">
        <w:rPr>
          <w:rFonts w:ascii="Times New Roman" w:hAnsi="Times New Roman" w:cs="Times New Roman"/>
          <w:sz w:val="24"/>
          <w:szCs w:val="24"/>
        </w:rPr>
        <w:t xml:space="preserve">A subset of sample members will receive a second $2 pre-incentive with the third USPS mailing as part of the experiments described </w:t>
      </w:r>
      <w:r w:rsidR="00800773">
        <w:rPr>
          <w:rFonts w:ascii="Times New Roman" w:hAnsi="Times New Roman" w:cs="Times New Roman"/>
          <w:sz w:val="24"/>
          <w:szCs w:val="24"/>
        </w:rPr>
        <w:t>below</w:t>
      </w:r>
      <w:r w:rsidR="00482CD5">
        <w:rPr>
          <w:rFonts w:ascii="Times New Roman" w:hAnsi="Times New Roman" w:cs="Times New Roman"/>
          <w:sz w:val="24"/>
          <w:szCs w:val="24"/>
        </w:rPr>
        <w:t>.</w:t>
      </w:r>
    </w:p>
    <w:p w:rsidR="00684F25" w:rsidRPr="00CC20C8" w:rsidP="00C90A93" w14:paraId="3B0DA6D6" w14:textId="312C48DE">
      <w:pPr>
        <w:pStyle w:val="NL-1stNumberedBullet"/>
        <w:numPr>
          <w:ilvl w:val="0"/>
          <w:numId w:val="10"/>
        </w:numPr>
        <w:rPr>
          <w:rFonts w:ascii="Times New Roman" w:hAnsi="Times New Roman" w:cs="Times New Roman"/>
          <w:sz w:val="28"/>
          <w:szCs w:val="28"/>
        </w:rPr>
      </w:pPr>
      <w:r w:rsidRPr="00C90A93">
        <w:rPr>
          <w:rFonts w:ascii="Times New Roman" w:hAnsi="Times New Roman"/>
          <w:b/>
          <w:bCs/>
          <w:sz w:val="24"/>
          <w:szCs w:val="22"/>
        </w:rPr>
        <w:t>Two levels of post-i</w:t>
      </w:r>
      <w:r w:rsidRPr="00C90A93">
        <w:rPr>
          <w:rFonts w:ascii="Times New Roman" w:hAnsi="Times New Roman"/>
          <w:b/>
          <w:bCs/>
          <w:sz w:val="24"/>
          <w:szCs w:val="22"/>
        </w:rPr>
        <w:t>ncentives</w:t>
      </w:r>
      <w:r w:rsidRPr="00C90A93">
        <w:rPr>
          <w:rFonts w:ascii="Times New Roman" w:hAnsi="Times New Roman"/>
          <w:b/>
          <w:bCs/>
          <w:sz w:val="24"/>
          <w:szCs w:val="22"/>
        </w:rPr>
        <w:t xml:space="preserve"> for survey completion</w:t>
      </w:r>
      <w:r>
        <w:rPr>
          <w:rFonts w:ascii="Times New Roman" w:hAnsi="Times New Roman"/>
          <w:sz w:val="24"/>
          <w:szCs w:val="22"/>
        </w:rPr>
        <w:t>.</w:t>
      </w:r>
      <w:r w:rsidRPr="00C90A93">
        <w:rPr>
          <w:rFonts w:ascii="Times New Roman" w:hAnsi="Times New Roman"/>
          <w:sz w:val="24"/>
          <w:szCs w:val="22"/>
        </w:rPr>
        <w:t xml:space="preserve"> </w:t>
      </w:r>
      <w:r w:rsidR="00492802">
        <w:rPr>
          <w:rFonts w:ascii="Times New Roman" w:hAnsi="Times New Roman"/>
          <w:sz w:val="24"/>
          <w:szCs w:val="22"/>
        </w:rPr>
        <w:t xml:space="preserve"> </w:t>
      </w:r>
      <w:r w:rsidR="008276B7">
        <w:rPr>
          <w:rFonts w:ascii="Times New Roman" w:hAnsi="Times New Roman"/>
          <w:sz w:val="24"/>
          <w:szCs w:val="22"/>
        </w:rPr>
        <w:t>Our push-to-web design offers</w:t>
      </w:r>
      <w:r w:rsidR="00BC0D8B">
        <w:rPr>
          <w:rFonts w:ascii="Times New Roman" w:hAnsi="Times New Roman"/>
          <w:sz w:val="24"/>
          <w:szCs w:val="22"/>
        </w:rPr>
        <w:t xml:space="preserve"> a larger incentive to complete the web survey. </w:t>
      </w:r>
      <w:r w:rsidR="00492802">
        <w:rPr>
          <w:rFonts w:ascii="Times New Roman" w:hAnsi="Times New Roman"/>
          <w:sz w:val="24"/>
          <w:szCs w:val="22"/>
        </w:rPr>
        <w:t xml:space="preserve"> </w:t>
      </w:r>
      <w:r w:rsidRPr="00C90A93">
        <w:rPr>
          <w:rFonts w:ascii="Times New Roman" w:hAnsi="Times New Roman"/>
          <w:sz w:val="24"/>
          <w:szCs w:val="22"/>
        </w:rPr>
        <w:t>Web</w:t>
      </w:r>
      <w:r w:rsidR="00BC0D8B">
        <w:rPr>
          <w:rFonts w:ascii="Times New Roman" w:hAnsi="Times New Roman"/>
          <w:sz w:val="24"/>
          <w:szCs w:val="22"/>
        </w:rPr>
        <w:t xml:space="preserve"> survey </w:t>
      </w:r>
      <w:r w:rsidR="00E44060">
        <w:rPr>
          <w:rFonts w:ascii="Times New Roman" w:hAnsi="Times New Roman"/>
          <w:sz w:val="24"/>
          <w:szCs w:val="22"/>
        </w:rPr>
        <w:t xml:space="preserve">respondents </w:t>
      </w:r>
      <w:r w:rsidR="00BC0D8B">
        <w:rPr>
          <w:rFonts w:ascii="Times New Roman" w:hAnsi="Times New Roman"/>
          <w:sz w:val="24"/>
          <w:szCs w:val="22"/>
        </w:rPr>
        <w:t>will receive</w:t>
      </w:r>
      <w:r w:rsidRPr="00C90A93">
        <w:rPr>
          <w:rFonts w:ascii="Times New Roman" w:hAnsi="Times New Roman"/>
          <w:sz w:val="24"/>
          <w:szCs w:val="22"/>
        </w:rPr>
        <w:t xml:space="preserve"> </w:t>
      </w:r>
      <w:r w:rsidR="0025233C">
        <w:rPr>
          <w:rFonts w:ascii="Times New Roman" w:hAnsi="Times New Roman"/>
          <w:sz w:val="24"/>
          <w:szCs w:val="22"/>
        </w:rPr>
        <w:t xml:space="preserve">$40 compared to $30 </w:t>
      </w:r>
      <w:r w:rsidR="00AE1F96">
        <w:rPr>
          <w:rFonts w:ascii="Times New Roman" w:hAnsi="Times New Roman"/>
          <w:sz w:val="24"/>
          <w:szCs w:val="22"/>
        </w:rPr>
        <w:t xml:space="preserve">for paper </w:t>
      </w:r>
      <w:r w:rsidR="007821B0">
        <w:rPr>
          <w:rFonts w:ascii="Times New Roman" w:hAnsi="Times New Roman"/>
          <w:sz w:val="24"/>
          <w:szCs w:val="22"/>
        </w:rPr>
        <w:t xml:space="preserve">and phone survey </w:t>
      </w:r>
      <w:r w:rsidR="00AE1F96">
        <w:rPr>
          <w:rFonts w:ascii="Times New Roman" w:hAnsi="Times New Roman"/>
          <w:sz w:val="24"/>
          <w:szCs w:val="22"/>
        </w:rPr>
        <w:t>respon</w:t>
      </w:r>
      <w:r w:rsidR="007821B0">
        <w:rPr>
          <w:rFonts w:ascii="Times New Roman" w:hAnsi="Times New Roman"/>
          <w:sz w:val="24"/>
          <w:szCs w:val="22"/>
        </w:rPr>
        <w:t>dents</w:t>
      </w:r>
      <w:r w:rsidR="00AE1F96">
        <w:rPr>
          <w:rFonts w:ascii="Times New Roman" w:hAnsi="Times New Roman"/>
          <w:sz w:val="24"/>
          <w:szCs w:val="22"/>
        </w:rPr>
        <w:t xml:space="preserve">. </w:t>
      </w:r>
      <w:r w:rsidR="00482CD5">
        <w:rPr>
          <w:rFonts w:ascii="Times New Roman" w:hAnsi="Times New Roman"/>
          <w:sz w:val="24"/>
          <w:szCs w:val="22"/>
        </w:rPr>
        <w:t xml:space="preserve"> </w:t>
      </w:r>
      <w:r w:rsidR="00492802">
        <w:rPr>
          <w:rFonts w:ascii="Times New Roman" w:hAnsi="Times New Roman"/>
          <w:sz w:val="24"/>
          <w:szCs w:val="22"/>
        </w:rPr>
        <w:t xml:space="preserve"> </w:t>
      </w:r>
      <w:r w:rsidR="00800773">
        <w:rPr>
          <w:rFonts w:ascii="Times New Roman" w:hAnsi="Times New Roman"/>
          <w:sz w:val="24"/>
          <w:szCs w:val="22"/>
        </w:rPr>
        <w:t>A</w:t>
      </w:r>
      <w:r w:rsidR="00800773">
        <w:rPr>
          <w:rFonts w:ascii="Times New Roman" w:hAnsi="Times New Roman" w:cs="Times New Roman"/>
          <w:sz w:val="24"/>
          <w:szCs w:val="24"/>
        </w:rPr>
        <w:t>s part of the experiments described below, s</w:t>
      </w:r>
      <w:r w:rsidR="00482CD5">
        <w:rPr>
          <w:rFonts w:ascii="Times New Roman" w:hAnsi="Times New Roman"/>
          <w:sz w:val="24"/>
          <w:szCs w:val="22"/>
        </w:rPr>
        <w:t>ubset</w:t>
      </w:r>
      <w:r w:rsidR="00800773">
        <w:rPr>
          <w:rFonts w:ascii="Times New Roman" w:hAnsi="Times New Roman"/>
          <w:sz w:val="24"/>
          <w:szCs w:val="22"/>
        </w:rPr>
        <w:t>s</w:t>
      </w:r>
      <w:r w:rsidR="00482CD5">
        <w:rPr>
          <w:rFonts w:ascii="Times New Roman" w:hAnsi="Times New Roman"/>
          <w:sz w:val="24"/>
          <w:szCs w:val="22"/>
        </w:rPr>
        <w:t xml:space="preserve"> of </w:t>
      </w:r>
      <w:r w:rsidR="00800773">
        <w:rPr>
          <w:rFonts w:ascii="Times New Roman" w:hAnsi="Times New Roman"/>
          <w:sz w:val="24"/>
          <w:szCs w:val="22"/>
        </w:rPr>
        <w:t xml:space="preserve">sample members will receive either (1) $40 for completing by web before </w:t>
      </w:r>
      <w:r w:rsidR="00887885">
        <w:rPr>
          <w:rFonts w:ascii="Times New Roman" w:hAnsi="Times New Roman"/>
          <w:sz w:val="24"/>
          <w:szCs w:val="22"/>
        </w:rPr>
        <w:t>the date of the fourth contact</w:t>
      </w:r>
      <w:r w:rsidR="00800773">
        <w:rPr>
          <w:rFonts w:ascii="Times New Roman" w:hAnsi="Times New Roman"/>
          <w:sz w:val="24"/>
          <w:szCs w:val="22"/>
        </w:rPr>
        <w:t xml:space="preserve"> and $30 after that date or (2) $40 for completing by web or paper before </w:t>
      </w:r>
      <w:r w:rsidR="00887885">
        <w:rPr>
          <w:rFonts w:ascii="Times New Roman" w:hAnsi="Times New Roman"/>
          <w:sz w:val="24"/>
          <w:szCs w:val="22"/>
        </w:rPr>
        <w:t>the date of the fourth contact</w:t>
      </w:r>
      <w:r w:rsidR="00800773">
        <w:rPr>
          <w:rFonts w:ascii="Times New Roman" w:hAnsi="Times New Roman"/>
          <w:sz w:val="24"/>
          <w:szCs w:val="22"/>
        </w:rPr>
        <w:t xml:space="preserve"> and $30 after that date.</w:t>
      </w:r>
      <w:r w:rsidR="00482CD5">
        <w:rPr>
          <w:rFonts w:ascii="Times New Roman" w:hAnsi="Times New Roman"/>
          <w:sz w:val="24"/>
          <w:szCs w:val="22"/>
        </w:rPr>
        <w:t xml:space="preserve"> </w:t>
      </w:r>
    </w:p>
    <w:p w:rsidR="00684F25" w:rsidP="001A6FE5" w14:paraId="7234086F" w14:textId="77777777">
      <w:pPr>
        <w:tabs>
          <w:tab w:val="left" w:pos="1170"/>
        </w:tabs>
        <w:rPr>
          <w:rFonts w:ascii="Times New Roman" w:hAnsi="Times New Roman"/>
        </w:rPr>
      </w:pPr>
    </w:p>
    <w:p w:rsidR="001A6FE5" w:rsidRPr="00567D1B" w:rsidP="001A6FE5" w14:paraId="28CF803A" w14:textId="21B59009">
      <w:pPr>
        <w:tabs>
          <w:tab w:val="left" w:pos="1170"/>
        </w:tabs>
        <w:ind w:left="990"/>
        <w:rPr>
          <w:rFonts w:ascii="Times New Roman" w:hAnsi="Times New Roman"/>
          <w:b/>
          <w:bCs/>
          <w:u w:val="single"/>
        </w:rPr>
      </w:pPr>
      <w:r w:rsidRPr="00567D1B">
        <w:rPr>
          <w:rFonts w:ascii="Times New Roman" w:hAnsi="Times New Roman"/>
          <w:b/>
          <w:bCs/>
          <w:u w:val="single"/>
        </w:rPr>
        <w:t xml:space="preserve">Experiments to </w:t>
      </w:r>
      <w:r w:rsidRPr="00567D1B" w:rsidR="00DF03BC">
        <w:rPr>
          <w:rFonts w:ascii="Times New Roman" w:hAnsi="Times New Roman"/>
          <w:b/>
          <w:bCs/>
          <w:u w:val="single"/>
        </w:rPr>
        <w:t xml:space="preserve">improve </w:t>
      </w:r>
      <w:r w:rsidRPr="00567D1B" w:rsidR="002F4BBB">
        <w:rPr>
          <w:rFonts w:ascii="Times New Roman" w:hAnsi="Times New Roman"/>
          <w:b/>
          <w:bCs/>
          <w:u w:val="single"/>
        </w:rPr>
        <w:t>participation through</w:t>
      </w:r>
      <w:r w:rsidRPr="00567D1B">
        <w:rPr>
          <w:rFonts w:ascii="Times New Roman" w:hAnsi="Times New Roman"/>
          <w:b/>
          <w:bCs/>
          <w:u w:val="single"/>
        </w:rPr>
        <w:t xml:space="preserve"> </w:t>
      </w:r>
      <w:r w:rsidRPr="00567D1B" w:rsidR="00800773">
        <w:rPr>
          <w:rFonts w:ascii="Times New Roman" w:hAnsi="Times New Roman"/>
          <w:b/>
          <w:bCs/>
          <w:u w:val="single"/>
        </w:rPr>
        <w:t xml:space="preserve">varying modes and </w:t>
      </w:r>
      <w:r w:rsidRPr="00567D1B">
        <w:rPr>
          <w:rFonts w:ascii="Times New Roman" w:hAnsi="Times New Roman"/>
          <w:b/>
          <w:bCs/>
          <w:u w:val="single"/>
        </w:rPr>
        <w:t>incentives</w:t>
      </w:r>
    </w:p>
    <w:p w:rsidR="001A6FE5" w:rsidP="001A6FE5" w14:paraId="3B76FA93" w14:textId="742C3B04">
      <w:pPr>
        <w:tabs>
          <w:tab w:val="left" w:pos="1170"/>
        </w:tabs>
        <w:ind w:left="990"/>
        <w:rPr>
          <w:rFonts w:ascii="Times New Roman" w:hAnsi="Times New Roman"/>
        </w:rPr>
      </w:pPr>
      <w:r>
        <w:rPr>
          <w:rFonts w:ascii="Times New Roman" w:hAnsi="Times New Roman"/>
        </w:rPr>
        <w:t xml:space="preserve">As described in Part A, we will randomly draw a subsample of applicants to test the impact of varying </w:t>
      </w:r>
      <w:r w:rsidR="00655851">
        <w:rPr>
          <w:rFonts w:ascii="Times New Roman" w:hAnsi="Times New Roman"/>
        </w:rPr>
        <w:t xml:space="preserve">modes and </w:t>
      </w:r>
      <w:r>
        <w:rPr>
          <w:rFonts w:ascii="Times New Roman" w:hAnsi="Times New Roman"/>
        </w:rPr>
        <w:t xml:space="preserve">incentive structures on response rates. </w:t>
      </w:r>
      <w:r w:rsidR="00492802">
        <w:rPr>
          <w:rFonts w:ascii="Times New Roman" w:hAnsi="Times New Roman"/>
        </w:rPr>
        <w:t xml:space="preserve"> </w:t>
      </w:r>
      <w:r>
        <w:rPr>
          <w:rFonts w:ascii="Times New Roman" w:hAnsi="Times New Roman"/>
        </w:rPr>
        <w:t>We will test the impact of</w:t>
      </w:r>
      <w:r w:rsidR="002F4BBB">
        <w:rPr>
          <w:rFonts w:ascii="Times New Roman" w:hAnsi="Times New Roman"/>
        </w:rPr>
        <w:t>:</w:t>
      </w:r>
    </w:p>
    <w:p w:rsidR="001A6FE5" w:rsidP="001A6FE5" w14:paraId="5E77BA82" w14:textId="77777777">
      <w:pPr>
        <w:tabs>
          <w:tab w:val="left" w:pos="1170"/>
        </w:tabs>
        <w:ind w:left="990"/>
        <w:rPr>
          <w:rFonts w:ascii="Times New Roman" w:hAnsi="Times New Roman"/>
        </w:rPr>
      </w:pPr>
    </w:p>
    <w:p w:rsidR="001A6FE5" w:rsidP="00567D1B" w14:paraId="323AF6A7" w14:textId="662EEB61">
      <w:pPr>
        <w:tabs>
          <w:tab w:val="left" w:pos="1170"/>
        </w:tabs>
        <w:ind w:left="1434" w:hanging="444"/>
        <w:rPr>
          <w:rFonts w:ascii="Times New Roman" w:hAnsi="Times New Roman"/>
        </w:rPr>
      </w:pPr>
      <w:r>
        <w:rPr>
          <w:rFonts w:ascii="Times New Roman" w:hAnsi="Times New Roman"/>
        </w:rPr>
        <w:t>1</w:t>
      </w:r>
      <w:r w:rsidR="00492802">
        <w:rPr>
          <w:rFonts w:ascii="Times New Roman" w:hAnsi="Times New Roman"/>
        </w:rPr>
        <w:t>.</w:t>
      </w:r>
      <w:r w:rsidR="00567D1B">
        <w:rPr>
          <w:rFonts w:ascii="Times New Roman" w:hAnsi="Times New Roman"/>
        </w:rPr>
        <w:tab/>
      </w:r>
      <w:r w:rsidR="00C93058">
        <w:rPr>
          <w:rFonts w:ascii="Times New Roman" w:hAnsi="Times New Roman"/>
        </w:rPr>
        <w:t>Offering the opportunity to complete the su</w:t>
      </w:r>
      <w:r w:rsidR="005A7AD9">
        <w:rPr>
          <w:rFonts w:ascii="Times New Roman" w:hAnsi="Times New Roman"/>
        </w:rPr>
        <w:t>rvey by web first and paper second (sequential) versus offering web and paper at the same time (concurrent)</w:t>
      </w:r>
      <w:r w:rsidR="00492802">
        <w:rPr>
          <w:rFonts w:ascii="Times New Roman" w:hAnsi="Times New Roman"/>
        </w:rPr>
        <w:t>.</w:t>
      </w:r>
      <w:r>
        <w:rPr>
          <w:rFonts w:ascii="Times New Roman" w:hAnsi="Times New Roman"/>
        </w:rPr>
        <w:t xml:space="preserve"> </w:t>
      </w:r>
    </w:p>
    <w:p w:rsidR="001A6FE5" w:rsidP="001A6FE5" w14:paraId="1B152DF3" w14:textId="77777777">
      <w:pPr>
        <w:tabs>
          <w:tab w:val="left" w:pos="1170"/>
        </w:tabs>
        <w:ind w:left="990"/>
        <w:rPr>
          <w:rFonts w:ascii="Times New Roman" w:hAnsi="Times New Roman"/>
        </w:rPr>
      </w:pPr>
    </w:p>
    <w:p w:rsidR="001A6FE5" w:rsidP="00567D1B" w14:paraId="16908F7B" w14:textId="4D8CA895">
      <w:pPr>
        <w:tabs>
          <w:tab w:val="left" w:pos="1170"/>
        </w:tabs>
        <w:ind w:left="1434" w:hanging="444"/>
        <w:rPr>
          <w:rFonts w:ascii="Times New Roman" w:hAnsi="Times New Roman"/>
        </w:rPr>
      </w:pPr>
      <w:r>
        <w:rPr>
          <w:rFonts w:ascii="Times New Roman" w:hAnsi="Times New Roman"/>
        </w:rPr>
        <w:t>2</w:t>
      </w:r>
      <w:r w:rsidR="00492802">
        <w:rPr>
          <w:rFonts w:ascii="Times New Roman" w:hAnsi="Times New Roman"/>
        </w:rPr>
        <w:t>.</w:t>
      </w:r>
      <w:r>
        <w:rPr>
          <w:rFonts w:ascii="Times New Roman" w:hAnsi="Times New Roman"/>
        </w:rPr>
        <w:t xml:space="preserve"> </w:t>
      </w:r>
      <w:r w:rsidR="00567D1B">
        <w:rPr>
          <w:rFonts w:ascii="Times New Roman" w:hAnsi="Times New Roman"/>
        </w:rPr>
        <w:tab/>
      </w:r>
      <w:r w:rsidR="005A7AD9">
        <w:rPr>
          <w:rFonts w:ascii="Times New Roman" w:hAnsi="Times New Roman"/>
        </w:rPr>
        <w:t>O</w:t>
      </w:r>
      <w:r>
        <w:rPr>
          <w:rFonts w:ascii="Times New Roman" w:hAnsi="Times New Roman"/>
        </w:rPr>
        <w:t xml:space="preserve">ffering </w:t>
      </w:r>
      <w:r w:rsidR="005A7AD9">
        <w:rPr>
          <w:rFonts w:ascii="Times New Roman" w:hAnsi="Times New Roman"/>
        </w:rPr>
        <w:t>a higher</w:t>
      </w:r>
      <w:r>
        <w:rPr>
          <w:rFonts w:ascii="Times New Roman" w:hAnsi="Times New Roman"/>
        </w:rPr>
        <w:t xml:space="preserve"> “early bird” incentive for </w:t>
      </w:r>
      <w:r w:rsidR="00887885">
        <w:rPr>
          <w:rFonts w:ascii="Times New Roman" w:hAnsi="Times New Roman"/>
        </w:rPr>
        <w:t>completing the survey by the date of the fourth contact</w:t>
      </w:r>
      <w:r w:rsidR="00492802">
        <w:rPr>
          <w:rFonts w:ascii="Times New Roman" w:hAnsi="Times New Roman"/>
        </w:rPr>
        <w:t>.</w:t>
      </w:r>
      <w:r>
        <w:rPr>
          <w:rFonts w:ascii="Times New Roman" w:hAnsi="Times New Roman"/>
        </w:rPr>
        <w:t xml:space="preserve"> </w:t>
      </w:r>
    </w:p>
    <w:p w:rsidR="001A6FE5" w:rsidP="001A6FE5" w14:paraId="42DD311C" w14:textId="77777777">
      <w:pPr>
        <w:tabs>
          <w:tab w:val="left" w:pos="1170"/>
        </w:tabs>
        <w:ind w:left="990"/>
        <w:rPr>
          <w:rFonts w:ascii="Times New Roman" w:hAnsi="Times New Roman"/>
        </w:rPr>
      </w:pPr>
    </w:p>
    <w:p w:rsidR="001A6FE5" w:rsidRPr="00F4301B" w:rsidP="001A6FE5" w14:paraId="3AB1C754" w14:textId="1AA0F5E2">
      <w:pPr>
        <w:tabs>
          <w:tab w:val="left" w:pos="1170"/>
        </w:tabs>
        <w:ind w:left="990"/>
        <w:rPr>
          <w:rFonts w:ascii="Times New Roman" w:hAnsi="Times New Roman"/>
        </w:rPr>
      </w:pPr>
      <w:r>
        <w:rPr>
          <w:rFonts w:ascii="Times New Roman" w:hAnsi="Times New Roman"/>
        </w:rPr>
        <w:t>3</w:t>
      </w:r>
      <w:r w:rsidR="00492802">
        <w:rPr>
          <w:rFonts w:ascii="Times New Roman" w:hAnsi="Times New Roman"/>
        </w:rPr>
        <w:t>.</w:t>
      </w:r>
      <w:r w:rsidR="00567D1B">
        <w:rPr>
          <w:rFonts w:ascii="Times New Roman" w:hAnsi="Times New Roman"/>
        </w:rPr>
        <w:tab/>
      </w:r>
      <w:r w:rsidR="00887885">
        <w:rPr>
          <w:rFonts w:ascii="Times New Roman" w:hAnsi="Times New Roman"/>
        </w:rPr>
        <w:t>Providing</w:t>
      </w:r>
      <w:r>
        <w:rPr>
          <w:rFonts w:ascii="Times New Roman" w:hAnsi="Times New Roman"/>
        </w:rPr>
        <w:t xml:space="preserve"> a second $2 incentive in the third mailing</w:t>
      </w:r>
      <w:r w:rsidR="00492802">
        <w:rPr>
          <w:rFonts w:ascii="Times New Roman" w:hAnsi="Times New Roman"/>
        </w:rPr>
        <w:t>.</w:t>
      </w:r>
    </w:p>
    <w:p w:rsidR="00F133F2" w:rsidP="00920AB9" w14:paraId="2B0AF544" w14:textId="77777777">
      <w:pPr>
        <w:tabs>
          <w:tab w:val="left" w:pos="1170"/>
        </w:tabs>
        <w:ind w:left="990"/>
        <w:rPr>
          <w:rFonts w:ascii="Times New Roman" w:hAnsi="Times New Roman"/>
        </w:rPr>
      </w:pPr>
    </w:p>
    <w:p w:rsidR="00684F25" w:rsidRPr="00567D1B" w:rsidP="00920AB9" w14:paraId="24672B72" w14:textId="50327A8D">
      <w:pPr>
        <w:tabs>
          <w:tab w:val="left" w:pos="1170"/>
        </w:tabs>
        <w:ind w:left="990"/>
        <w:rPr>
          <w:rFonts w:ascii="Times New Roman" w:hAnsi="Times New Roman"/>
          <w:b/>
          <w:bCs/>
          <w:u w:val="single"/>
        </w:rPr>
      </w:pPr>
      <w:r w:rsidRPr="00567D1B">
        <w:rPr>
          <w:rFonts w:ascii="Times New Roman" w:hAnsi="Times New Roman"/>
          <w:b/>
          <w:bCs/>
          <w:u w:val="single"/>
        </w:rPr>
        <w:t>Mixed-mode data collection</w:t>
      </w:r>
    </w:p>
    <w:p w:rsidR="009846AF" w:rsidP="009846AF" w14:paraId="34297CD9" w14:textId="548A2268">
      <w:pPr>
        <w:tabs>
          <w:tab w:val="left" w:pos="1170"/>
        </w:tabs>
        <w:ind w:left="990"/>
        <w:rPr>
          <w:rFonts w:ascii="Times New Roman" w:hAnsi="Times New Roman"/>
        </w:rPr>
      </w:pPr>
      <w:r>
        <w:rPr>
          <w:rFonts w:ascii="Times New Roman" w:hAnsi="Times New Roman"/>
          <w:snapToGrid/>
        </w:rPr>
        <w:t xml:space="preserve">We designed </w:t>
      </w:r>
      <w:r w:rsidR="0009278F">
        <w:rPr>
          <w:rFonts w:ascii="Times New Roman" w:hAnsi="Times New Roman"/>
          <w:snapToGrid/>
        </w:rPr>
        <w:t>o</w:t>
      </w:r>
      <w:r w:rsidRPr="00F70E8C">
        <w:rPr>
          <w:rFonts w:ascii="Times New Roman" w:hAnsi="Times New Roman"/>
          <w:snapToGrid/>
        </w:rPr>
        <w:t>ur mixed-mode data collection strategy</w:t>
      </w:r>
      <w:r w:rsidRPr="00F70E8C" w:rsidR="001A22FD">
        <w:rPr>
          <w:rFonts w:ascii="Times New Roman" w:hAnsi="Times New Roman"/>
          <w:snapToGrid/>
        </w:rPr>
        <w:t xml:space="preserve"> to maximize response rate</w:t>
      </w:r>
      <w:r w:rsidRPr="00887885" w:rsidR="00377E3E">
        <w:rPr>
          <w:rFonts w:ascii="Times New Roman" w:hAnsi="Times New Roman"/>
          <w:snapToGrid/>
        </w:rPr>
        <w:t>s</w:t>
      </w:r>
      <w:r w:rsidRPr="00887885" w:rsidR="001A22FD">
        <w:rPr>
          <w:rFonts w:ascii="Times New Roman" w:hAnsi="Times New Roman"/>
          <w:snapToGrid/>
        </w:rPr>
        <w:t>.</w:t>
      </w:r>
      <w:r w:rsidRPr="00A718E4" w:rsidR="00797B04">
        <w:rPr>
          <w:rFonts w:ascii="Times New Roman" w:hAnsi="Times New Roman"/>
        </w:rPr>
        <w:t xml:space="preserve"> </w:t>
      </w:r>
      <w:r w:rsidR="0009278F">
        <w:rPr>
          <w:rFonts w:ascii="Times New Roman" w:hAnsi="Times New Roman"/>
        </w:rPr>
        <w:t xml:space="preserve"> </w:t>
      </w:r>
      <w:r w:rsidRPr="00887885" w:rsidR="004D4737">
        <w:rPr>
          <w:rFonts w:ascii="Times New Roman" w:hAnsi="Times New Roman"/>
          <w:snapToGrid/>
        </w:rPr>
        <w:t>The</w:t>
      </w:r>
      <w:r w:rsidRPr="00F70E8C" w:rsidR="004D4737">
        <w:rPr>
          <w:rFonts w:ascii="Times New Roman" w:hAnsi="Times New Roman"/>
          <w:snapToGrid/>
        </w:rPr>
        <w:t xml:space="preserve"> design </w:t>
      </w:r>
      <w:r w:rsidRPr="00F70E8C" w:rsidR="007424AC">
        <w:rPr>
          <w:rFonts w:ascii="Times New Roman" w:hAnsi="Times New Roman"/>
          <w:snapToGrid/>
        </w:rPr>
        <w:t>use</w:t>
      </w:r>
      <w:r w:rsidR="0009278F">
        <w:rPr>
          <w:rFonts w:ascii="Times New Roman" w:hAnsi="Times New Roman"/>
          <w:snapToGrid/>
        </w:rPr>
        <w:t>s</w:t>
      </w:r>
      <w:r w:rsidRPr="00F70E8C" w:rsidR="007424AC">
        <w:rPr>
          <w:rFonts w:ascii="Times New Roman" w:hAnsi="Times New Roman"/>
          <w:snapToGrid/>
        </w:rPr>
        <w:t xml:space="preserve"> </w:t>
      </w:r>
      <w:r w:rsidRPr="00F70E8C" w:rsidR="00AF1919">
        <w:rPr>
          <w:rFonts w:ascii="Times New Roman" w:hAnsi="Times New Roman"/>
          <w:snapToGrid/>
        </w:rPr>
        <w:t xml:space="preserve">three modes: </w:t>
      </w:r>
      <w:r w:rsidR="0009278F">
        <w:rPr>
          <w:rFonts w:ascii="Times New Roman" w:hAnsi="Times New Roman"/>
          <w:snapToGrid/>
        </w:rPr>
        <w:t xml:space="preserve"> </w:t>
      </w:r>
      <w:r w:rsidRPr="00F70E8C" w:rsidR="00AF1919">
        <w:rPr>
          <w:rFonts w:ascii="Times New Roman" w:hAnsi="Times New Roman"/>
          <w:snapToGrid/>
        </w:rPr>
        <w:t xml:space="preserve">web, </w:t>
      </w:r>
      <w:r w:rsidR="00C839F7">
        <w:rPr>
          <w:rFonts w:ascii="Times New Roman" w:hAnsi="Times New Roman"/>
          <w:snapToGrid/>
        </w:rPr>
        <w:t>paper</w:t>
      </w:r>
      <w:r w:rsidRPr="00F70E8C" w:rsidR="009661F0">
        <w:rPr>
          <w:rFonts w:ascii="Times New Roman" w:hAnsi="Times New Roman"/>
          <w:snapToGrid/>
        </w:rPr>
        <w:t>,</w:t>
      </w:r>
      <w:r w:rsidRPr="00F70E8C" w:rsidR="00AF1919">
        <w:rPr>
          <w:rFonts w:ascii="Times New Roman" w:hAnsi="Times New Roman"/>
          <w:snapToGrid/>
        </w:rPr>
        <w:t xml:space="preserve"> and </w:t>
      </w:r>
      <w:r w:rsidR="00C839F7">
        <w:rPr>
          <w:rFonts w:ascii="Times New Roman" w:hAnsi="Times New Roman"/>
          <w:snapToGrid/>
        </w:rPr>
        <w:t>telephone</w:t>
      </w:r>
      <w:r w:rsidRPr="00F70E8C" w:rsidR="00AF1919">
        <w:rPr>
          <w:rFonts w:ascii="Times New Roman" w:hAnsi="Times New Roman"/>
          <w:snapToGrid/>
        </w:rPr>
        <w:t>.</w:t>
      </w:r>
      <w:r w:rsidRPr="00F70E8C">
        <w:rPr>
          <w:rFonts w:ascii="Times New Roman" w:hAnsi="Times New Roman"/>
          <w:snapToGrid/>
        </w:rPr>
        <w:t xml:space="preserve"> </w:t>
      </w:r>
      <w:r w:rsidR="0009278F">
        <w:rPr>
          <w:rFonts w:ascii="Times New Roman" w:hAnsi="Times New Roman"/>
          <w:snapToGrid/>
        </w:rPr>
        <w:t xml:space="preserve"> </w:t>
      </w:r>
      <w:r w:rsidRPr="00A2152F" w:rsidR="00A2152F">
        <w:rPr>
          <w:rFonts w:ascii="Times New Roman" w:hAnsi="Times New Roman"/>
          <w:snapToGrid/>
        </w:rPr>
        <w:t>Our core data collection design strategy is a sequential push-to-web design with the mail mode introduced during the fourth mail communication and the telephone mode introduced during the fifth mail communication.</w:t>
      </w:r>
      <w:r w:rsidR="00A2152F">
        <w:rPr>
          <w:rFonts w:ascii="Times New Roman" w:hAnsi="Times New Roman"/>
          <w:snapToGrid/>
        </w:rPr>
        <w:t xml:space="preserve"> </w:t>
      </w:r>
      <w:r w:rsidR="0009278F">
        <w:rPr>
          <w:rFonts w:ascii="Times New Roman" w:hAnsi="Times New Roman"/>
          <w:snapToGrid/>
        </w:rPr>
        <w:t xml:space="preserve"> </w:t>
      </w:r>
      <w:r w:rsidRPr="00F70E8C" w:rsidR="00081CEF">
        <w:rPr>
          <w:rFonts w:ascii="Times New Roman" w:hAnsi="Times New Roman"/>
          <w:snapToGrid/>
        </w:rPr>
        <w:t>As descr</w:t>
      </w:r>
      <w:r w:rsidRPr="00F70E8C" w:rsidR="00890CE3">
        <w:rPr>
          <w:rFonts w:ascii="Times New Roman" w:hAnsi="Times New Roman"/>
          <w:snapToGrid/>
        </w:rPr>
        <w:t>ibed in Part A</w:t>
      </w:r>
      <w:r w:rsidRPr="00F70E8C" w:rsidR="00C41648">
        <w:rPr>
          <w:rFonts w:ascii="Times New Roman" w:hAnsi="Times New Roman"/>
          <w:snapToGrid/>
        </w:rPr>
        <w:t xml:space="preserve">, we </w:t>
      </w:r>
      <w:r w:rsidRPr="00F70E8C" w:rsidR="00AE45DB">
        <w:rPr>
          <w:rFonts w:ascii="Times New Roman" w:hAnsi="Times New Roman"/>
          <w:snapToGrid/>
        </w:rPr>
        <w:t>embedded experiments</w:t>
      </w:r>
      <w:r w:rsidR="007F0763">
        <w:rPr>
          <w:rFonts w:ascii="Times New Roman" w:hAnsi="Times New Roman"/>
          <w:snapToGrid/>
        </w:rPr>
        <w:t xml:space="preserve"> in the design</w:t>
      </w:r>
      <w:r w:rsidR="00A2152F">
        <w:rPr>
          <w:rFonts w:ascii="Times New Roman" w:hAnsi="Times New Roman"/>
          <w:snapToGrid/>
        </w:rPr>
        <w:t xml:space="preserve"> </w:t>
      </w:r>
      <w:r w:rsidR="00A2152F">
        <w:rPr>
          <w:rFonts w:ascii="Times New Roman" w:hAnsi="Times New Roman"/>
        </w:rPr>
        <w:t>to test the impact of varying modes and incentive structures on response rates.</w:t>
      </w:r>
      <w:r w:rsidR="00A2152F">
        <w:rPr>
          <w:rFonts w:ascii="Times New Roman" w:hAnsi="Times New Roman"/>
          <w:snapToGrid/>
        </w:rPr>
        <w:t xml:space="preserve"> </w:t>
      </w:r>
      <w:r w:rsidR="0009278F">
        <w:rPr>
          <w:rFonts w:ascii="Times New Roman" w:hAnsi="Times New Roman"/>
          <w:snapToGrid/>
        </w:rPr>
        <w:t xml:space="preserve"> </w:t>
      </w:r>
      <w:r w:rsidRPr="0033681E" w:rsidR="001A22FD">
        <w:rPr>
          <w:rFonts w:ascii="Times New Roman" w:hAnsi="Times New Roman"/>
        </w:rPr>
        <w:t>Our contractor’s</w:t>
      </w:r>
      <w:r w:rsidRPr="0033681E">
        <w:rPr>
          <w:rFonts w:ascii="Times New Roman" w:hAnsi="Times New Roman"/>
        </w:rPr>
        <w:t xml:space="preserve"> proprietary survey delivery system integrates a customized survey software application and management system to accommodate the large v</w:t>
      </w:r>
      <w:r w:rsidRPr="009846AF">
        <w:rPr>
          <w:rFonts w:ascii="Times New Roman" w:hAnsi="Times New Roman"/>
        </w:rPr>
        <w:t xml:space="preserve">olume of respondents and the simultaneous administration of multiple surveys. </w:t>
      </w:r>
    </w:p>
    <w:p w:rsidR="004F2D4D" w:rsidP="009846AF" w14:paraId="411439C8" w14:textId="77777777">
      <w:pPr>
        <w:tabs>
          <w:tab w:val="left" w:pos="1170"/>
        </w:tabs>
        <w:ind w:left="990"/>
        <w:rPr>
          <w:rFonts w:ascii="Times New Roman" w:hAnsi="Times New Roman"/>
        </w:rPr>
      </w:pPr>
    </w:p>
    <w:p w:rsidR="004F2D4D" w:rsidRPr="00567D1B" w:rsidP="009846AF" w14:paraId="61DE6FAC" w14:textId="410DCF71">
      <w:pPr>
        <w:tabs>
          <w:tab w:val="left" w:pos="1170"/>
        </w:tabs>
        <w:ind w:left="990"/>
        <w:rPr>
          <w:rFonts w:ascii="Times New Roman" w:hAnsi="Times New Roman"/>
          <w:b/>
          <w:bCs/>
          <w:u w:val="single"/>
        </w:rPr>
      </w:pPr>
      <w:r w:rsidRPr="00567D1B">
        <w:rPr>
          <w:rFonts w:ascii="Times New Roman" w:hAnsi="Times New Roman"/>
          <w:b/>
          <w:bCs/>
          <w:u w:val="single"/>
        </w:rPr>
        <w:t>Testing and a</w:t>
      </w:r>
      <w:r w:rsidRPr="00567D1B">
        <w:rPr>
          <w:rFonts w:ascii="Times New Roman" w:hAnsi="Times New Roman"/>
          <w:b/>
          <w:bCs/>
          <w:u w:val="single"/>
        </w:rPr>
        <w:t>ccounting for non-response bias</w:t>
      </w:r>
    </w:p>
    <w:p w:rsidR="0043496B" w:rsidRPr="004F2D4D" w:rsidP="0043496B" w14:paraId="2626EC9F" w14:textId="6C7F536E">
      <w:pPr>
        <w:tabs>
          <w:tab w:val="left" w:pos="1170"/>
        </w:tabs>
        <w:ind w:left="990"/>
        <w:rPr>
          <w:rFonts w:ascii="Times New Roman" w:hAnsi="Times New Roman"/>
        </w:rPr>
      </w:pPr>
      <w:r w:rsidRPr="004F2D4D">
        <w:rPr>
          <w:rFonts w:ascii="Times New Roman" w:hAnsi="Times New Roman"/>
        </w:rPr>
        <w:t xml:space="preserve">Although we will make efforts to achieve as high a response rate as practicable with the available resources, nontrivial nonresponse losses can occur. </w:t>
      </w:r>
      <w:r w:rsidR="0009278F">
        <w:rPr>
          <w:rFonts w:ascii="Times New Roman" w:hAnsi="Times New Roman"/>
        </w:rPr>
        <w:t xml:space="preserve"> </w:t>
      </w:r>
      <w:r w:rsidRPr="004F2D4D">
        <w:rPr>
          <w:rFonts w:ascii="Times New Roman" w:hAnsi="Times New Roman"/>
        </w:rPr>
        <w:t>As specified in the Standards and Guidelines for Statistical Surveys published by the Office of Management and Budget, a nonresponse bias analysis (NRBA) is required if the overall unit response rate for a survey is less than 80 percent (Guideline 3.2.9).</w:t>
      </w:r>
      <w:r w:rsidR="0009278F">
        <w:rPr>
          <w:rFonts w:ascii="Times New Roman" w:hAnsi="Times New Roman"/>
        </w:rPr>
        <w:t xml:space="preserve"> </w:t>
      </w:r>
      <w:r w:rsidRPr="004F2D4D">
        <w:rPr>
          <w:rFonts w:ascii="Times New Roman" w:hAnsi="Times New Roman"/>
        </w:rPr>
        <w:t xml:space="preserve"> </w:t>
      </w:r>
    </w:p>
    <w:p w:rsidR="004F2D4D" w:rsidRPr="004F2D4D" w:rsidP="004F2D4D" w14:paraId="3E505F1C" w14:textId="5256E425">
      <w:pPr>
        <w:tabs>
          <w:tab w:val="left" w:pos="1170"/>
        </w:tabs>
        <w:ind w:left="990"/>
        <w:rPr>
          <w:rFonts w:ascii="Times New Roman" w:hAnsi="Times New Roman"/>
        </w:rPr>
      </w:pPr>
      <w:r w:rsidRPr="004F2D4D">
        <w:rPr>
          <w:rFonts w:ascii="Times New Roman" w:hAnsi="Times New Roman"/>
        </w:rPr>
        <w:t xml:space="preserve">In general, </w:t>
      </w:r>
      <w:r w:rsidR="0009278F">
        <w:rPr>
          <w:rFonts w:ascii="Times New Roman" w:hAnsi="Times New Roman"/>
        </w:rPr>
        <w:t xml:space="preserve">we will use weight adjustments to handle </w:t>
      </w:r>
      <w:r w:rsidRPr="004F2D4D">
        <w:rPr>
          <w:rFonts w:ascii="Times New Roman" w:hAnsi="Times New Roman"/>
        </w:rPr>
        <w:t xml:space="preserve">compensation for nonresponse in sample surveys. </w:t>
      </w:r>
      <w:r w:rsidR="0009278F">
        <w:rPr>
          <w:rFonts w:ascii="Times New Roman" w:hAnsi="Times New Roman"/>
        </w:rPr>
        <w:t xml:space="preserve"> </w:t>
      </w:r>
      <w:r w:rsidRPr="004F2D4D">
        <w:rPr>
          <w:rFonts w:ascii="Times New Roman" w:hAnsi="Times New Roman"/>
        </w:rPr>
        <w:t>The purpose of the NRBA is to assess the impact of nonresponse on the survey estimates and the effectiveness of the weight adjustments to lessen potential nonresponse biases.</w:t>
      </w:r>
    </w:p>
    <w:p w:rsidR="004F2D4D" w:rsidP="004F2D4D" w14:paraId="37CB985D" w14:textId="77777777">
      <w:pPr>
        <w:tabs>
          <w:tab w:val="left" w:pos="1170"/>
        </w:tabs>
        <w:ind w:left="990"/>
        <w:rPr>
          <w:rFonts w:ascii="Times New Roman" w:hAnsi="Times New Roman"/>
        </w:rPr>
      </w:pPr>
    </w:p>
    <w:p w:rsidR="004F2D4D" w:rsidP="004F2D4D" w14:paraId="2C5D9CB9" w14:textId="70F74B7B">
      <w:pPr>
        <w:tabs>
          <w:tab w:val="left" w:pos="1170"/>
        </w:tabs>
        <w:ind w:left="990"/>
        <w:rPr>
          <w:rFonts w:ascii="Times New Roman" w:hAnsi="Times New Roman"/>
        </w:rPr>
      </w:pPr>
      <w:r>
        <w:rPr>
          <w:rFonts w:ascii="Times New Roman" w:hAnsi="Times New Roman"/>
        </w:rPr>
        <w:t>We will conduct the following</w:t>
      </w:r>
      <w:r w:rsidRPr="004F2D4D">
        <w:rPr>
          <w:rFonts w:ascii="Times New Roman" w:hAnsi="Times New Roman"/>
        </w:rPr>
        <w:t xml:space="preserve"> types of analyses to evaluate possible nonresponse biases:</w:t>
      </w:r>
    </w:p>
    <w:p w:rsidR="004F2D4D" w:rsidRPr="004F2D4D" w:rsidP="004F2D4D" w14:paraId="740765F3" w14:textId="77777777">
      <w:pPr>
        <w:tabs>
          <w:tab w:val="left" w:pos="1170"/>
        </w:tabs>
        <w:ind w:left="990"/>
        <w:rPr>
          <w:rFonts w:ascii="Times New Roman" w:hAnsi="Times New Roman"/>
        </w:rPr>
      </w:pPr>
    </w:p>
    <w:p w:rsidR="004F2D4D" w:rsidP="00AF0370" w14:paraId="1E524019" w14:textId="6C7B264D">
      <w:pPr>
        <w:tabs>
          <w:tab w:val="left" w:pos="1440"/>
        </w:tabs>
        <w:ind w:left="1440" w:hanging="360"/>
        <w:rPr>
          <w:rFonts w:ascii="Times New Roman" w:hAnsi="Times New Roman"/>
        </w:rPr>
      </w:pPr>
      <w:r w:rsidRPr="004F2D4D">
        <w:rPr>
          <w:rFonts w:ascii="Times New Roman" w:hAnsi="Times New Roman"/>
        </w:rPr>
        <w:t>•</w:t>
      </w:r>
      <w:r w:rsidRPr="004F2D4D">
        <w:rPr>
          <w:rFonts w:ascii="Times New Roman" w:hAnsi="Times New Roman"/>
        </w:rPr>
        <w:tab/>
        <w:t xml:space="preserve">Comparing characteristics of non-respondents (or the total sample) to those of respondents using information available for both non-respondents and respondents. </w:t>
      </w:r>
      <w:r w:rsidR="0009278F">
        <w:rPr>
          <w:rFonts w:ascii="Times New Roman" w:hAnsi="Times New Roman"/>
        </w:rPr>
        <w:t xml:space="preserve"> </w:t>
      </w:r>
      <w:r w:rsidR="00C74972">
        <w:rPr>
          <w:rFonts w:ascii="Times New Roman" w:hAnsi="Times New Roman"/>
        </w:rPr>
        <w:t xml:space="preserve">For example, we will use variables available from the SSA Structured Data Repository available for all applicants, such as impairment, age, work history, and education, to compare respondents and non-respondents. </w:t>
      </w:r>
    </w:p>
    <w:p w:rsidR="00065BC5" w:rsidRPr="004F2D4D" w:rsidP="00AF0370" w14:paraId="30EAC30F" w14:textId="77777777">
      <w:pPr>
        <w:tabs>
          <w:tab w:val="left" w:pos="1440"/>
        </w:tabs>
        <w:ind w:left="1440" w:hanging="360"/>
        <w:rPr>
          <w:rFonts w:ascii="Times New Roman" w:hAnsi="Times New Roman"/>
        </w:rPr>
      </w:pPr>
    </w:p>
    <w:p w:rsidR="004F2D4D" w:rsidP="00AF0370" w14:paraId="5471BF38" w14:textId="21E90F10">
      <w:pPr>
        <w:tabs>
          <w:tab w:val="left" w:pos="1440"/>
        </w:tabs>
        <w:ind w:left="1440" w:hanging="360"/>
        <w:rPr>
          <w:rFonts w:ascii="Times New Roman" w:hAnsi="Times New Roman"/>
        </w:rPr>
      </w:pPr>
      <w:r w:rsidRPr="004F2D4D">
        <w:rPr>
          <w:rFonts w:ascii="Times New Roman" w:hAnsi="Times New Roman"/>
        </w:rPr>
        <w:t>•</w:t>
      </w:r>
      <w:r w:rsidRPr="004F2D4D">
        <w:rPr>
          <w:rFonts w:ascii="Times New Roman" w:hAnsi="Times New Roman"/>
        </w:rPr>
        <w:tab/>
        <w:t xml:space="preserve">Modeling response propensity using multivariate analyses. </w:t>
      </w:r>
      <w:r w:rsidR="0009278F">
        <w:rPr>
          <w:rFonts w:ascii="Times New Roman" w:hAnsi="Times New Roman"/>
        </w:rPr>
        <w:t xml:space="preserve"> </w:t>
      </w:r>
      <w:r w:rsidR="00C74972">
        <w:rPr>
          <w:rFonts w:ascii="Times New Roman" w:hAnsi="Times New Roman"/>
        </w:rPr>
        <w:t>W</w:t>
      </w:r>
      <w:r w:rsidRPr="004F2D4D">
        <w:rPr>
          <w:rFonts w:ascii="Times New Roman" w:hAnsi="Times New Roman"/>
        </w:rPr>
        <w:t xml:space="preserve">e will apply logistic regression models and </w:t>
      </w:r>
      <w:r w:rsidR="0009278F">
        <w:rPr>
          <w:rFonts w:ascii="Times New Roman" w:hAnsi="Times New Roman"/>
        </w:rPr>
        <w:t>Chi-square automatic interaction detection (</w:t>
      </w:r>
      <w:r w:rsidRPr="004F2D4D">
        <w:rPr>
          <w:rFonts w:ascii="Times New Roman" w:hAnsi="Times New Roman"/>
        </w:rPr>
        <w:t>CHAID</w:t>
      </w:r>
      <w:r w:rsidR="0009278F">
        <w:rPr>
          <w:rFonts w:ascii="Times New Roman" w:hAnsi="Times New Roman"/>
        </w:rPr>
        <w:t>)</w:t>
      </w:r>
      <w:r w:rsidRPr="004F2D4D">
        <w:rPr>
          <w:rFonts w:ascii="Times New Roman" w:hAnsi="Times New Roman"/>
        </w:rPr>
        <w:t xml:space="preserve"> analysis to identify the significant predictors of nonresponse, using variables available from the respective sample frame as independent variables in the models. </w:t>
      </w:r>
      <w:r w:rsidR="0009278F">
        <w:rPr>
          <w:rFonts w:ascii="Times New Roman" w:hAnsi="Times New Roman"/>
        </w:rPr>
        <w:t xml:space="preserve"> </w:t>
      </w:r>
      <w:r w:rsidR="001E0C97">
        <w:rPr>
          <w:rFonts w:ascii="Times New Roman" w:hAnsi="Times New Roman"/>
        </w:rPr>
        <w:t xml:space="preserve">CHAID is a predictive model used to forecast scenarios and draw conclusions.  It involves the use </w:t>
      </w:r>
      <w:r w:rsidR="001E0C97">
        <w:rPr>
          <w:rFonts w:ascii="Times New Roman" w:hAnsi="Times New Roman"/>
        </w:rPr>
        <w:t>of:</w:t>
      </w:r>
      <w:r w:rsidR="001E0C97">
        <w:rPr>
          <w:rFonts w:ascii="Times New Roman" w:hAnsi="Times New Roman"/>
        </w:rPr>
        <w:t xml:space="preserve">  regression (statistical analysis to estimate the relationships between a dependent response variable and other independent ones); machine learning (the use of artificial intelligence to leverage data and absorb information to make logical predictions or decisions); and decision trees (branching models of decisions or attributes followed by their event outcomes). </w:t>
      </w:r>
      <w:r w:rsidRPr="004F2D4D">
        <w:rPr>
          <w:rFonts w:ascii="Times New Roman" w:hAnsi="Times New Roman"/>
        </w:rPr>
        <w:t xml:space="preserve">This analysis will inform the specification of nonresponse weighting classes that </w:t>
      </w:r>
      <w:r w:rsidR="0009278F">
        <w:rPr>
          <w:rFonts w:ascii="Times New Roman" w:hAnsi="Times New Roman"/>
        </w:rPr>
        <w:t xml:space="preserve">we </w:t>
      </w:r>
      <w:r w:rsidRPr="004F2D4D">
        <w:rPr>
          <w:rFonts w:ascii="Times New Roman" w:hAnsi="Times New Roman"/>
        </w:rPr>
        <w:t xml:space="preserve">will use to adjust the sampling weights. </w:t>
      </w:r>
      <w:r w:rsidR="0009278F">
        <w:rPr>
          <w:rFonts w:ascii="Times New Roman" w:hAnsi="Times New Roman"/>
        </w:rPr>
        <w:t xml:space="preserve"> </w:t>
      </w:r>
      <w:r w:rsidRPr="004F2D4D">
        <w:rPr>
          <w:rFonts w:ascii="Times New Roman" w:hAnsi="Times New Roman"/>
        </w:rPr>
        <w:t>We will use CHAID to develop the weighting cells, using information available in the sampling frame</w:t>
      </w:r>
      <w:r w:rsidR="00C74972">
        <w:rPr>
          <w:rFonts w:ascii="Times New Roman" w:hAnsi="Times New Roman"/>
        </w:rPr>
        <w:t>.</w:t>
      </w:r>
      <w:r w:rsidR="0009278F">
        <w:rPr>
          <w:rFonts w:ascii="Times New Roman" w:hAnsi="Times New Roman"/>
        </w:rPr>
        <w:t xml:space="preserve"> </w:t>
      </w:r>
      <w:r w:rsidRPr="004F2D4D">
        <w:rPr>
          <w:rFonts w:ascii="Times New Roman" w:hAnsi="Times New Roman"/>
        </w:rPr>
        <w:t xml:space="preserve"> The CHAID algorithm provides an effective and efficient way of identifying the significant predictors of </w:t>
      </w:r>
      <w:r w:rsidR="00C74972">
        <w:rPr>
          <w:rFonts w:ascii="Times New Roman" w:hAnsi="Times New Roman"/>
        </w:rPr>
        <w:t xml:space="preserve">applicant </w:t>
      </w:r>
      <w:r w:rsidRPr="004F2D4D">
        <w:rPr>
          <w:rFonts w:ascii="Times New Roman" w:hAnsi="Times New Roman"/>
        </w:rPr>
        <w:t>nonresponse.</w:t>
      </w:r>
    </w:p>
    <w:p w:rsidR="00C74972" w:rsidRPr="004F2D4D" w:rsidP="00AF0370" w14:paraId="64FE9D11" w14:textId="77777777">
      <w:pPr>
        <w:tabs>
          <w:tab w:val="left" w:pos="1440"/>
        </w:tabs>
        <w:ind w:left="1440" w:hanging="360"/>
        <w:rPr>
          <w:rFonts w:ascii="Times New Roman" w:hAnsi="Times New Roman"/>
        </w:rPr>
      </w:pPr>
    </w:p>
    <w:p w:rsidR="004F2D4D" w:rsidP="00AF0370" w14:paraId="2AC1B3C4" w14:textId="28B2B052">
      <w:pPr>
        <w:tabs>
          <w:tab w:val="left" w:pos="1440"/>
        </w:tabs>
        <w:ind w:left="1440" w:hanging="360"/>
        <w:rPr>
          <w:rFonts w:ascii="Times New Roman" w:hAnsi="Times New Roman"/>
        </w:rPr>
      </w:pPr>
      <w:r w:rsidRPr="004F2D4D">
        <w:rPr>
          <w:rFonts w:ascii="Times New Roman" w:hAnsi="Times New Roman"/>
        </w:rPr>
        <w:t>•</w:t>
      </w:r>
      <w:r w:rsidRPr="004F2D4D">
        <w:rPr>
          <w:rFonts w:ascii="Times New Roman" w:hAnsi="Times New Roman"/>
        </w:rPr>
        <w:tab/>
        <w:t xml:space="preserve">Evaluating differences found in comparisons between unadjusted (i.e., base-) weighted estimates of selected sampling frame characteristics based on the survey respondents and the corresponding population (frame) parameter. </w:t>
      </w:r>
      <w:r w:rsidR="001E0C97">
        <w:rPr>
          <w:rFonts w:ascii="Times New Roman" w:hAnsi="Times New Roman"/>
        </w:rPr>
        <w:t xml:space="preserve"> </w:t>
      </w:r>
      <w:r w:rsidRPr="004F2D4D">
        <w:rPr>
          <w:rFonts w:ascii="Times New Roman" w:hAnsi="Times New Roman"/>
        </w:rPr>
        <w:t xml:space="preserve">In the absence of nonresponse, the unadjusted weighted estimates are unbiased estimates of the corresponding population parameters. </w:t>
      </w:r>
      <w:r w:rsidR="001E0C97">
        <w:rPr>
          <w:rFonts w:ascii="Times New Roman" w:hAnsi="Times New Roman"/>
        </w:rPr>
        <w:t xml:space="preserve"> </w:t>
      </w:r>
      <w:r w:rsidRPr="004F2D4D">
        <w:rPr>
          <w:rFonts w:ascii="Times New Roman" w:hAnsi="Times New Roman"/>
        </w:rPr>
        <w:t>This analysis provides an alternative way of assessing how nonresponse may have impacted the distribution of the respondent sample and thus potentially affects the sample-based estimates.</w:t>
      </w:r>
    </w:p>
    <w:p w:rsidR="00C235EF" w:rsidRPr="004F2D4D" w:rsidP="00AF0370" w14:paraId="4FF8E55F" w14:textId="77777777">
      <w:pPr>
        <w:tabs>
          <w:tab w:val="left" w:pos="1440"/>
        </w:tabs>
        <w:ind w:left="1440" w:hanging="360"/>
        <w:rPr>
          <w:rFonts w:ascii="Times New Roman" w:hAnsi="Times New Roman"/>
        </w:rPr>
      </w:pPr>
    </w:p>
    <w:p w:rsidR="004F2D4D" w:rsidP="00AF0370" w14:paraId="641A39AC" w14:textId="4EDBC6FA">
      <w:pPr>
        <w:tabs>
          <w:tab w:val="left" w:pos="1440"/>
        </w:tabs>
        <w:ind w:left="1440" w:hanging="360"/>
        <w:rPr>
          <w:rFonts w:ascii="Times New Roman" w:hAnsi="Times New Roman"/>
        </w:rPr>
      </w:pPr>
      <w:r w:rsidRPr="004F2D4D">
        <w:rPr>
          <w:rFonts w:ascii="Times New Roman" w:hAnsi="Times New Roman"/>
        </w:rPr>
        <w:t>•</w:t>
      </w:r>
      <w:r w:rsidRPr="004F2D4D">
        <w:rPr>
          <w:rFonts w:ascii="Times New Roman" w:hAnsi="Times New Roman"/>
        </w:rPr>
        <w:tab/>
        <w:t xml:space="preserve">Comparing weighted survey estimates (e.g., selected error rates by type) using unadjusted (base) weights versus nonresponse-adjusted weights. </w:t>
      </w:r>
      <w:r w:rsidR="001E0C97">
        <w:rPr>
          <w:rFonts w:ascii="Times New Roman" w:hAnsi="Times New Roman"/>
        </w:rPr>
        <w:t xml:space="preserve"> We will conduct t</w:t>
      </w:r>
      <w:r w:rsidRPr="004F2D4D">
        <w:rPr>
          <w:rFonts w:ascii="Times New Roman" w:hAnsi="Times New Roman"/>
        </w:rPr>
        <w:t xml:space="preserve">his analysis after the </w:t>
      </w:r>
      <w:r w:rsidR="001E0C97">
        <w:rPr>
          <w:rFonts w:ascii="Times New Roman" w:hAnsi="Times New Roman"/>
        </w:rPr>
        <w:t xml:space="preserve">development of the </w:t>
      </w:r>
      <w:r w:rsidRPr="004F2D4D">
        <w:rPr>
          <w:rFonts w:ascii="Times New Roman" w:hAnsi="Times New Roman"/>
        </w:rPr>
        <w:t>final nonresponse</w:t>
      </w:r>
      <w:r w:rsidR="001E0C97">
        <w:rPr>
          <w:rFonts w:ascii="Times New Roman" w:hAnsi="Times New Roman"/>
        </w:rPr>
        <w:noBreakHyphen/>
      </w:r>
      <w:r w:rsidRPr="004F2D4D">
        <w:rPr>
          <w:rFonts w:ascii="Times New Roman" w:hAnsi="Times New Roman"/>
        </w:rPr>
        <w:t>adjusted weights and will provide a measure of how well the weight adjustments compensated for differential nonresponse.</w:t>
      </w:r>
    </w:p>
    <w:p w:rsidR="00C235EF" w:rsidRPr="004F2D4D" w:rsidP="004F2D4D" w14:paraId="5E47E9A9" w14:textId="77777777">
      <w:pPr>
        <w:tabs>
          <w:tab w:val="left" w:pos="1170"/>
        </w:tabs>
        <w:ind w:left="990"/>
        <w:rPr>
          <w:rFonts w:ascii="Times New Roman" w:hAnsi="Times New Roman"/>
        </w:rPr>
      </w:pPr>
    </w:p>
    <w:p w:rsidR="002F5906" w:rsidP="002F5906" w14:paraId="51452FEF" w14:textId="77777777">
      <w:pPr>
        <w:tabs>
          <w:tab w:val="left" w:pos="1170"/>
        </w:tabs>
        <w:ind w:left="990"/>
        <w:rPr>
          <w:rFonts w:ascii="Times New Roman" w:hAnsi="Times New Roman"/>
        </w:rPr>
      </w:pPr>
      <w:r w:rsidRPr="004F2D4D">
        <w:rPr>
          <w:rFonts w:ascii="Times New Roman" w:hAnsi="Times New Roman"/>
        </w:rPr>
        <w:t xml:space="preserve">If the </w:t>
      </w:r>
      <w:r w:rsidR="00E83E28">
        <w:rPr>
          <w:rFonts w:ascii="Times New Roman" w:hAnsi="Times New Roman"/>
        </w:rPr>
        <w:t>respondents</w:t>
      </w:r>
      <w:r w:rsidRPr="004F2D4D">
        <w:rPr>
          <w:rFonts w:ascii="Times New Roman" w:hAnsi="Times New Roman"/>
        </w:rPr>
        <w:t xml:space="preserve"> differ in characteristics from the </w:t>
      </w:r>
      <w:r w:rsidR="00751920">
        <w:rPr>
          <w:rFonts w:ascii="Times New Roman" w:hAnsi="Times New Roman"/>
        </w:rPr>
        <w:t>total sample</w:t>
      </w:r>
      <w:r w:rsidRPr="004F2D4D">
        <w:rPr>
          <w:rFonts w:ascii="Times New Roman" w:hAnsi="Times New Roman"/>
        </w:rPr>
        <w:t>, we account for this in developing the survey weights.</w:t>
      </w:r>
    </w:p>
    <w:p w:rsidR="002F5906" w:rsidP="002F5906" w14:paraId="7C579129" w14:textId="77777777">
      <w:pPr>
        <w:tabs>
          <w:tab w:val="left" w:pos="1170"/>
        </w:tabs>
        <w:ind w:left="990"/>
        <w:rPr>
          <w:rFonts w:ascii="Times New Roman" w:hAnsi="Times New Roman"/>
        </w:rPr>
      </w:pPr>
    </w:p>
    <w:p w:rsidR="002F5906" w:rsidRPr="002F5906" w:rsidP="002F5906" w14:paraId="5AA21948" w14:textId="77777777">
      <w:pPr>
        <w:pStyle w:val="ListParagraph"/>
        <w:numPr>
          <w:ilvl w:val="0"/>
          <w:numId w:val="16"/>
        </w:numPr>
        <w:tabs>
          <w:tab w:val="left" w:pos="1170"/>
        </w:tabs>
        <w:rPr>
          <w:rFonts w:ascii="Times New Roman" w:hAnsi="Times New Roman"/>
        </w:rPr>
      </w:pPr>
      <w:r w:rsidRPr="002F5906">
        <w:rPr>
          <w:rFonts w:ascii="Times New Roman" w:hAnsi="Times New Roman"/>
          <w:b/>
        </w:rPr>
        <w:t>Tests of Procedures</w:t>
      </w:r>
    </w:p>
    <w:p w:rsidR="002F5906" w:rsidP="002F5906" w14:paraId="2B2EB9CE" w14:textId="46F14FBB">
      <w:pPr>
        <w:pStyle w:val="ListParagraph"/>
        <w:tabs>
          <w:tab w:val="left" w:pos="1170"/>
        </w:tabs>
        <w:rPr>
          <w:rFonts w:ascii="Times New Roman" w:hAnsi="Times New Roman"/>
        </w:rPr>
      </w:pPr>
      <w:r>
        <w:rPr>
          <w:rFonts w:ascii="Times New Roman" w:hAnsi="Times New Roman"/>
        </w:rPr>
        <w:t>We received generic clearance from OMB on December 5, 2023, to conduct cognitive testing as well as pre-testing of the questions.  Under the generic clearance, t</w:t>
      </w:r>
      <w:r w:rsidRPr="002F5906" w:rsidR="00751920">
        <w:rPr>
          <w:rFonts w:ascii="Times New Roman" w:hAnsi="Times New Roman"/>
        </w:rPr>
        <w:t>he contractor</w:t>
      </w:r>
      <w:r w:rsidRPr="002F5906" w:rsidR="00C13AA6">
        <w:rPr>
          <w:rFonts w:ascii="Times New Roman" w:hAnsi="Times New Roman"/>
        </w:rPr>
        <w:t xml:space="preserve"> </w:t>
      </w:r>
      <w:r w:rsidRPr="002F5906" w:rsidR="00CC20C8">
        <w:rPr>
          <w:rFonts w:ascii="Times New Roman" w:hAnsi="Times New Roman"/>
        </w:rPr>
        <w:t xml:space="preserve">conducted </w:t>
      </w:r>
      <w:r w:rsidRPr="002F5906" w:rsidR="00C13AA6">
        <w:rPr>
          <w:rFonts w:ascii="Times New Roman" w:hAnsi="Times New Roman"/>
        </w:rPr>
        <w:t xml:space="preserve">a cognitive test of new and revised survey items to assess respondent </w:t>
      </w:r>
      <w:r w:rsidRPr="002F5906" w:rsidR="00C13AA6">
        <w:rPr>
          <w:rFonts w:ascii="Times New Roman" w:hAnsi="Times New Roman"/>
        </w:rPr>
        <w:t xml:space="preserve">understanding of the questions, </w:t>
      </w:r>
      <w:r>
        <w:rPr>
          <w:rFonts w:ascii="Times New Roman" w:hAnsi="Times New Roman"/>
        </w:rPr>
        <w:t>followed by</w:t>
      </w:r>
      <w:r w:rsidRPr="002F5906" w:rsidR="00C13AA6">
        <w:rPr>
          <w:rFonts w:ascii="Times New Roman" w:hAnsi="Times New Roman"/>
        </w:rPr>
        <w:t xml:space="preserve"> </w:t>
      </w:r>
      <w:r w:rsidRPr="002F5906" w:rsidR="00A2152F">
        <w:rPr>
          <w:rFonts w:ascii="Times New Roman" w:hAnsi="Times New Roman"/>
        </w:rPr>
        <w:t xml:space="preserve">a </w:t>
      </w:r>
      <w:r w:rsidRPr="002F5906" w:rsidR="00C13AA6">
        <w:rPr>
          <w:rFonts w:ascii="Times New Roman" w:hAnsi="Times New Roman"/>
        </w:rPr>
        <w:t xml:space="preserve">pretest of the survey to confirm respondent burden and assess question flow. </w:t>
      </w:r>
      <w:r>
        <w:rPr>
          <w:rFonts w:ascii="Times New Roman" w:hAnsi="Times New Roman"/>
        </w:rPr>
        <w:t xml:space="preserve"> </w:t>
      </w:r>
      <w:r w:rsidRPr="002F5906" w:rsidR="00C13AA6">
        <w:rPr>
          <w:rFonts w:ascii="Times New Roman" w:hAnsi="Times New Roman"/>
        </w:rPr>
        <w:t xml:space="preserve">We </w:t>
      </w:r>
      <w:r w:rsidRPr="002F5906" w:rsidR="00CC20C8">
        <w:rPr>
          <w:rFonts w:ascii="Times New Roman" w:hAnsi="Times New Roman"/>
        </w:rPr>
        <w:t>used</w:t>
      </w:r>
      <w:r w:rsidRPr="002F5906" w:rsidR="00C13AA6">
        <w:rPr>
          <w:rFonts w:ascii="Times New Roman" w:hAnsi="Times New Roman"/>
        </w:rPr>
        <w:t xml:space="preserve"> the results of the tests to refine the survey items and minimize burden.</w:t>
      </w:r>
    </w:p>
    <w:p w:rsidR="002F5906" w:rsidP="002F5906" w14:paraId="06797302" w14:textId="77777777">
      <w:pPr>
        <w:pStyle w:val="ListParagraph"/>
        <w:tabs>
          <w:tab w:val="left" w:pos="1170"/>
        </w:tabs>
        <w:rPr>
          <w:rFonts w:ascii="Times New Roman" w:hAnsi="Times New Roman"/>
        </w:rPr>
      </w:pPr>
    </w:p>
    <w:p w:rsidR="002F5906" w:rsidRPr="002F5906" w:rsidP="002F5906" w14:paraId="183E6BAA" w14:textId="77777777">
      <w:pPr>
        <w:pStyle w:val="ListParagraph"/>
        <w:numPr>
          <w:ilvl w:val="0"/>
          <w:numId w:val="16"/>
        </w:numPr>
        <w:tabs>
          <w:tab w:val="left" w:pos="1170"/>
        </w:tabs>
        <w:rPr>
          <w:rFonts w:ascii="Times New Roman" w:hAnsi="Times New Roman"/>
        </w:rPr>
      </w:pPr>
      <w:r w:rsidRPr="00BC7F42">
        <w:rPr>
          <w:rFonts w:ascii="Times New Roman" w:hAnsi="Times New Roman"/>
          <w:b/>
        </w:rPr>
        <w:t>Statistical Agency Contact for Statistical Information</w:t>
      </w:r>
    </w:p>
    <w:p w:rsidR="002F5906" w:rsidP="002F5906" w14:paraId="61EE793B" w14:textId="77777777">
      <w:pPr>
        <w:pStyle w:val="ListParagraph"/>
        <w:tabs>
          <w:tab w:val="left" w:pos="1170"/>
        </w:tabs>
        <w:rPr>
          <w:rFonts w:ascii="Times New Roman" w:hAnsi="Times New Roman"/>
          <w:lang w:val="en"/>
        </w:rPr>
      </w:pPr>
      <w:r w:rsidRPr="002F5906">
        <w:rPr>
          <w:rFonts w:ascii="Times New Roman" w:hAnsi="Times New Roman"/>
          <w:lang w:val="en"/>
        </w:rPr>
        <w:t>For further information</w:t>
      </w:r>
      <w:r w:rsidRPr="002F5906" w:rsidR="00751920">
        <w:rPr>
          <w:rFonts w:ascii="Times New Roman" w:hAnsi="Times New Roman"/>
          <w:lang w:val="en"/>
        </w:rPr>
        <w:t>,</w:t>
      </w:r>
      <w:r w:rsidRPr="002F5906">
        <w:rPr>
          <w:rFonts w:ascii="Times New Roman" w:hAnsi="Times New Roman"/>
          <w:lang w:val="en"/>
        </w:rPr>
        <w:t xml:space="preserve"> you can communicate w</w:t>
      </w:r>
      <w:r w:rsidRPr="002F5906" w:rsidR="0035034A">
        <w:rPr>
          <w:rFonts w:ascii="Times New Roman" w:hAnsi="Times New Roman"/>
          <w:lang w:val="en"/>
        </w:rPr>
        <w:t>ith the following staff members:</w:t>
      </w:r>
    </w:p>
    <w:p w:rsidR="002F5906" w:rsidP="002F5906" w14:paraId="15432CCB" w14:textId="77777777">
      <w:pPr>
        <w:pStyle w:val="ListParagraph"/>
        <w:tabs>
          <w:tab w:val="left" w:pos="1170"/>
        </w:tabs>
        <w:rPr>
          <w:rFonts w:ascii="Times New Roman" w:hAnsi="Times New Roman"/>
          <w:lang w:val="en"/>
        </w:rPr>
      </w:pPr>
    </w:p>
    <w:p w:rsidR="002F5906" w:rsidP="002F5906" w14:paraId="409CC475" w14:textId="77777777">
      <w:pPr>
        <w:pStyle w:val="ListParagraph"/>
        <w:tabs>
          <w:tab w:val="left" w:pos="1170"/>
        </w:tabs>
        <w:rPr>
          <w:rFonts w:ascii="Times New Roman" w:hAnsi="Times New Roman"/>
          <w:lang w:val="en"/>
        </w:rPr>
      </w:pPr>
      <w:r>
        <w:rPr>
          <w:rFonts w:ascii="Times New Roman" w:hAnsi="Times New Roman"/>
          <w:lang w:val="en"/>
        </w:rPr>
        <w:t>Jarnee</w:t>
      </w:r>
      <w:r>
        <w:rPr>
          <w:rFonts w:ascii="Times New Roman" w:hAnsi="Times New Roman"/>
          <w:lang w:val="en"/>
        </w:rPr>
        <w:t xml:space="preserve"> Riley, M.S., Project Director</w:t>
      </w:r>
    </w:p>
    <w:p w:rsidR="002F5906" w:rsidP="002F5906" w14:paraId="60AE52CE" w14:textId="77777777">
      <w:pPr>
        <w:pStyle w:val="ListParagraph"/>
        <w:tabs>
          <w:tab w:val="left" w:pos="1170"/>
        </w:tabs>
        <w:rPr>
          <w:rFonts w:ascii="Times New Roman" w:hAnsi="Times New Roman"/>
          <w:lang w:val="en"/>
        </w:rPr>
      </w:pPr>
      <w:r>
        <w:rPr>
          <w:rFonts w:ascii="Times New Roman" w:hAnsi="Times New Roman"/>
          <w:lang w:val="en"/>
        </w:rPr>
        <w:t>Telephone:</w:t>
      </w:r>
      <w:r w:rsidR="00707EB6">
        <w:rPr>
          <w:rFonts w:ascii="Times New Roman" w:hAnsi="Times New Roman"/>
          <w:lang w:val="en"/>
        </w:rPr>
        <w:t xml:space="preserve"> 240-453-2724</w:t>
      </w:r>
    </w:p>
    <w:p w:rsidR="002F5906" w:rsidP="002F5906" w14:paraId="27CABAA9" w14:textId="386DB620">
      <w:pPr>
        <w:pStyle w:val="ListParagraph"/>
        <w:tabs>
          <w:tab w:val="left" w:pos="1170"/>
        </w:tabs>
        <w:rPr>
          <w:rFonts w:ascii="Times New Roman" w:hAnsi="Times New Roman"/>
          <w:lang w:val="en"/>
        </w:rPr>
      </w:pPr>
      <w:r>
        <w:rPr>
          <w:rFonts w:ascii="Times New Roman" w:hAnsi="Times New Roman"/>
          <w:lang w:val="en"/>
        </w:rPr>
        <w:t xml:space="preserve">Email: </w:t>
      </w:r>
      <w:hyperlink r:id="rId8" w:history="1">
        <w:r w:rsidRPr="009F0791">
          <w:rPr>
            <w:rStyle w:val="Hyperlink"/>
            <w:rFonts w:ascii="Times New Roman" w:hAnsi="Times New Roman"/>
            <w:lang w:val="en"/>
          </w:rPr>
          <w:t>RileyJ@westat.com</w:t>
        </w:r>
      </w:hyperlink>
    </w:p>
    <w:p w:rsidR="002F5906" w:rsidP="002F5906" w14:paraId="407238BF" w14:textId="77777777">
      <w:pPr>
        <w:pStyle w:val="ListParagraph"/>
        <w:tabs>
          <w:tab w:val="left" w:pos="1170"/>
        </w:tabs>
        <w:rPr>
          <w:rFonts w:ascii="Times New Roman" w:hAnsi="Times New Roman"/>
          <w:lang w:val="en"/>
        </w:rPr>
      </w:pPr>
    </w:p>
    <w:p w:rsidR="002F5906" w:rsidP="002F5906" w14:paraId="08850B29" w14:textId="77777777">
      <w:pPr>
        <w:pStyle w:val="ListParagraph"/>
        <w:tabs>
          <w:tab w:val="left" w:pos="1170"/>
        </w:tabs>
        <w:rPr>
          <w:rFonts w:ascii="Times New Roman" w:hAnsi="Times New Roman"/>
          <w:lang w:val="en"/>
        </w:rPr>
      </w:pPr>
      <w:r>
        <w:rPr>
          <w:rFonts w:ascii="Times New Roman" w:hAnsi="Times New Roman"/>
          <w:lang w:val="en"/>
        </w:rPr>
        <w:t>Mustafa Karakus, Ph</w:t>
      </w:r>
      <w:r w:rsidR="00722851">
        <w:rPr>
          <w:rFonts w:ascii="Times New Roman" w:hAnsi="Times New Roman"/>
          <w:lang w:val="en"/>
        </w:rPr>
        <w:t>.</w:t>
      </w:r>
      <w:r>
        <w:rPr>
          <w:rFonts w:ascii="Times New Roman" w:hAnsi="Times New Roman"/>
          <w:lang w:val="en"/>
        </w:rPr>
        <w:t>D</w:t>
      </w:r>
      <w:r w:rsidR="00722851">
        <w:rPr>
          <w:rFonts w:ascii="Times New Roman" w:hAnsi="Times New Roman"/>
          <w:lang w:val="en"/>
        </w:rPr>
        <w:t>.</w:t>
      </w:r>
      <w:r>
        <w:rPr>
          <w:rFonts w:ascii="Times New Roman" w:hAnsi="Times New Roman"/>
          <w:lang w:val="en"/>
        </w:rPr>
        <w:t xml:space="preserve">, </w:t>
      </w:r>
      <w:r w:rsidR="00BC3DFE">
        <w:rPr>
          <w:rFonts w:ascii="Times New Roman" w:hAnsi="Times New Roman"/>
          <w:lang w:val="en"/>
        </w:rPr>
        <w:t>Senior Researcher</w:t>
      </w:r>
    </w:p>
    <w:p w:rsidR="002F5906" w:rsidP="002F5906" w14:paraId="54B68AC0" w14:textId="77777777">
      <w:pPr>
        <w:pStyle w:val="ListParagraph"/>
        <w:tabs>
          <w:tab w:val="left" w:pos="1170"/>
        </w:tabs>
        <w:rPr>
          <w:rFonts w:ascii="Times New Roman" w:hAnsi="Times New Roman"/>
          <w:lang w:val="en"/>
        </w:rPr>
      </w:pPr>
      <w:r>
        <w:rPr>
          <w:rFonts w:ascii="Times New Roman" w:hAnsi="Times New Roman"/>
          <w:lang w:val="en"/>
        </w:rPr>
        <w:t>Tel</w:t>
      </w:r>
      <w:r w:rsidR="00B02CF3">
        <w:rPr>
          <w:rFonts w:ascii="Times New Roman" w:hAnsi="Times New Roman"/>
          <w:lang w:val="en"/>
        </w:rPr>
        <w:t>ephone</w:t>
      </w:r>
      <w:r>
        <w:rPr>
          <w:rFonts w:ascii="Times New Roman" w:hAnsi="Times New Roman"/>
          <w:lang w:val="en"/>
        </w:rPr>
        <w:t>: 240-370-4907</w:t>
      </w:r>
    </w:p>
    <w:p w:rsidR="002F5906" w:rsidP="002F5906" w14:paraId="5E4BF511" w14:textId="77777777">
      <w:pPr>
        <w:pStyle w:val="ListParagraph"/>
        <w:tabs>
          <w:tab w:val="left" w:pos="1170"/>
        </w:tabs>
        <w:rPr>
          <w:rStyle w:val="Hyperlink"/>
          <w:rFonts w:ascii="Times New Roman" w:hAnsi="Times New Roman"/>
          <w:lang w:val="en"/>
        </w:rPr>
      </w:pPr>
      <w:r>
        <w:rPr>
          <w:rFonts w:ascii="Times New Roman" w:hAnsi="Times New Roman"/>
          <w:lang w:val="en"/>
        </w:rPr>
        <w:t xml:space="preserve">Email: </w:t>
      </w:r>
      <w:hyperlink r:id="rId9" w:history="1">
        <w:r w:rsidRPr="00510655">
          <w:rPr>
            <w:rStyle w:val="Hyperlink"/>
            <w:rFonts w:ascii="Times New Roman" w:hAnsi="Times New Roman"/>
            <w:lang w:val="en"/>
          </w:rPr>
          <w:t>mustafakarakus@westat.com</w:t>
        </w:r>
      </w:hyperlink>
    </w:p>
    <w:p w:rsidR="002F5906" w:rsidP="002F5906" w14:paraId="0E738695" w14:textId="77777777">
      <w:pPr>
        <w:pStyle w:val="ListParagraph"/>
        <w:tabs>
          <w:tab w:val="left" w:pos="1170"/>
        </w:tabs>
        <w:rPr>
          <w:rStyle w:val="Hyperlink"/>
          <w:rFonts w:ascii="Times New Roman" w:hAnsi="Times New Roman"/>
          <w:lang w:val="en"/>
        </w:rPr>
      </w:pPr>
    </w:p>
    <w:p w:rsidR="002F5906" w:rsidP="002F5906" w14:paraId="391E7D81" w14:textId="77777777">
      <w:pPr>
        <w:pStyle w:val="ListParagraph"/>
        <w:tabs>
          <w:tab w:val="left" w:pos="1170"/>
        </w:tabs>
        <w:rPr>
          <w:rFonts w:ascii="Times New Roman" w:hAnsi="Times New Roman"/>
          <w:lang w:val="en"/>
        </w:rPr>
      </w:pPr>
      <w:r>
        <w:rPr>
          <w:rFonts w:ascii="Times New Roman" w:hAnsi="Times New Roman"/>
          <w:lang w:val="en"/>
        </w:rPr>
        <w:t xml:space="preserve">Jill </w:t>
      </w:r>
      <w:r>
        <w:rPr>
          <w:rFonts w:ascii="Times New Roman" w:hAnsi="Times New Roman"/>
          <w:lang w:val="en"/>
        </w:rPr>
        <w:t>DeMatt</w:t>
      </w:r>
      <w:r w:rsidR="009769ED">
        <w:rPr>
          <w:rFonts w:ascii="Times New Roman" w:hAnsi="Times New Roman"/>
          <w:lang w:val="en"/>
        </w:rPr>
        <w:t>eis</w:t>
      </w:r>
      <w:r w:rsidR="009769ED">
        <w:rPr>
          <w:rFonts w:ascii="Times New Roman" w:hAnsi="Times New Roman"/>
          <w:lang w:val="en"/>
        </w:rPr>
        <w:t xml:space="preserve">, </w:t>
      </w:r>
      <w:r w:rsidR="00E62510">
        <w:rPr>
          <w:rFonts w:ascii="Times New Roman" w:hAnsi="Times New Roman"/>
          <w:lang w:val="en"/>
        </w:rPr>
        <w:t>Ph.D., Lead Statistician</w:t>
      </w:r>
    </w:p>
    <w:p w:rsidR="002F5906" w:rsidP="002F5906" w14:paraId="12EB3F4E" w14:textId="77777777">
      <w:pPr>
        <w:pStyle w:val="ListParagraph"/>
        <w:tabs>
          <w:tab w:val="left" w:pos="1170"/>
        </w:tabs>
        <w:rPr>
          <w:rFonts w:ascii="Times New Roman" w:hAnsi="Times New Roman"/>
          <w:lang w:val="en"/>
        </w:rPr>
      </w:pPr>
      <w:r>
        <w:rPr>
          <w:rFonts w:ascii="Times New Roman" w:hAnsi="Times New Roman"/>
          <w:lang w:val="en"/>
        </w:rPr>
        <w:t xml:space="preserve">Telephone: </w:t>
      </w:r>
      <w:r w:rsidR="00707EB6">
        <w:rPr>
          <w:rFonts w:ascii="Times New Roman" w:hAnsi="Times New Roman"/>
          <w:lang w:val="en"/>
        </w:rPr>
        <w:t>301-517-4046</w:t>
      </w:r>
    </w:p>
    <w:p w:rsidR="002F5906" w:rsidP="002F5906" w14:paraId="59CD36B5" w14:textId="064A3A7E">
      <w:pPr>
        <w:pStyle w:val="ListParagraph"/>
        <w:tabs>
          <w:tab w:val="left" w:pos="1170"/>
        </w:tabs>
        <w:rPr>
          <w:rFonts w:ascii="Times New Roman" w:hAnsi="Times New Roman"/>
          <w:lang w:val="en"/>
        </w:rPr>
      </w:pPr>
      <w:r>
        <w:rPr>
          <w:rFonts w:ascii="Times New Roman" w:hAnsi="Times New Roman"/>
          <w:lang w:val="en"/>
        </w:rPr>
        <w:t xml:space="preserve">Email: </w:t>
      </w:r>
      <w:hyperlink r:id="rId10" w:history="1">
        <w:r w:rsidRPr="009F0791">
          <w:rPr>
            <w:rStyle w:val="Hyperlink"/>
            <w:rFonts w:ascii="Times New Roman" w:hAnsi="Times New Roman"/>
            <w:lang w:val="en"/>
          </w:rPr>
          <w:t>JillDematteis@Westat.com</w:t>
        </w:r>
      </w:hyperlink>
    </w:p>
    <w:p w:rsidR="002F5906" w:rsidP="002F5906" w14:paraId="1266071A" w14:textId="77777777">
      <w:pPr>
        <w:pStyle w:val="ListParagraph"/>
        <w:tabs>
          <w:tab w:val="left" w:pos="1170"/>
        </w:tabs>
        <w:rPr>
          <w:rFonts w:ascii="Times New Roman" w:hAnsi="Times New Roman"/>
          <w:lang w:val="en"/>
        </w:rPr>
      </w:pPr>
    </w:p>
    <w:p w:rsidR="002F5906" w:rsidP="002F5906" w14:paraId="63061280" w14:textId="77777777">
      <w:pPr>
        <w:pStyle w:val="ListParagraph"/>
        <w:tabs>
          <w:tab w:val="left" w:pos="1170"/>
        </w:tabs>
        <w:rPr>
          <w:rFonts w:ascii="Times New Roman" w:hAnsi="Times New Roman"/>
          <w:lang w:val="en"/>
        </w:rPr>
      </w:pPr>
      <w:r>
        <w:rPr>
          <w:rFonts w:ascii="Times New Roman" w:hAnsi="Times New Roman"/>
          <w:lang w:val="en"/>
        </w:rPr>
        <w:t>Jeffrey Taylor, Ph</w:t>
      </w:r>
      <w:r w:rsidR="00722851">
        <w:rPr>
          <w:rFonts w:ascii="Times New Roman" w:hAnsi="Times New Roman"/>
          <w:lang w:val="en"/>
        </w:rPr>
        <w:t>.</w:t>
      </w:r>
      <w:r>
        <w:rPr>
          <w:rFonts w:ascii="Times New Roman" w:hAnsi="Times New Roman"/>
          <w:lang w:val="en"/>
        </w:rPr>
        <w:t>D</w:t>
      </w:r>
      <w:r w:rsidR="00722851">
        <w:rPr>
          <w:rFonts w:ascii="Times New Roman" w:hAnsi="Times New Roman"/>
          <w:lang w:val="en"/>
        </w:rPr>
        <w:t>.</w:t>
      </w:r>
      <w:r w:rsidR="00C00FAC">
        <w:rPr>
          <w:rFonts w:ascii="Times New Roman" w:hAnsi="Times New Roman"/>
          <w:lang w:val="en"/>
        </w:rPr>
        <w:t xml:space="preserve">, </w:t>
      </w:r>
      <w:r w:rsidR="00643F9C">
        <w:rPr>
          <w:rFonts w:ascii="Times New Roman" w:hAnsi="Times New Roman"/>
          <w:lang w:val="en"/>
        </w:rPr>
        <w:t xml:space="preserve">Lead </w:t>
      </w:r>
      <w:r w:rsidR="00024EA6">
        <w:rPr>
          <w:rFonts w:ascii="Times New Roman" w:hAnsi="Times New Roman"/>
          <w:lang w:val="en"/>
        </w:rPr>
        <w:t>Analyst</w:t>
      </w:r>
    </w:p>
    <w:p w:rsidR="002F5906" w:rsidP="002F5906" w14:paraId="7C7E04DE" w14:textId="77777777">
      <w:pPr>
        <w:pStyle w:val="ListParagraph"/>
        <w:tabs>
          <w:tab w:val="left" w:pos="1170"/>
        </w:tabs>
        <w:rPr>
          <w:rFonts w:ascii="Times New Roman" w:hAnsi="Times New Roman"/>
          <w:lang w:val="en"/>
        </w:rPr>
      </w:pPr>
      <w:r>
        <w:rPr>
          <w:rFonts w:ascii="Times New Roman" w:hAnsi="Times New Roman"/>
          <w:lang w:val="en"/>
        </w:rPr>
        <w:t>Tel</w:t>
      </w:r>
      <w:r w:rsidR="00B02CF3">
        <w:rPr>
          <w:rFonts w:ascii="Times New Roman" w:hAnsi="Times New Roman"/>
          <w:lang w:val="en"/>
        </w:rPr>
        <w:t>ephone</w:t>
      </w:r>
      <w:r>
        <w:rPr>
          <w:rFonts w:ascii="Times New Roman" w:hAnsi="Times New Roman"/>
          <w:lang w:val="en"/>
        </w:rPr>
        <w:t xml:space="preserve">: </w:t>
      </w:r>
      <w:r w:rsidRPr="00585E74">
        <w:rPr>
          <w:rFonts w:ascii="Times New Roman" w:hAnsi="Times New Roman"/>
          <w:lang w:val="en"/>
        </w:rPr>
        <w:t>301-212-2174</w:t>
      </w:r>
    </w:p>
    <w:p w:rsidR="002F5906" w:rsidP="002F5906" w14:paraId="36380821" w14:textId="77777777">
      <w:pPr>
        <w:pStyle w:val="ListParagraph"/>
        <w:tabs>
          <w:tab w:val="left" w:pos="1170"/>
        </w:tabs>
        <w:rPr>
          <w:rFonts w:ascii="Times New Roman" w:hAnsi="Times New Roman"/>
          <w:lang w:val="en"/>
        </w:rPr>
      </w:pPr>
      <w:r>
        <w:rPr>
          <w:rFonts w:ascii="Times New Roman" w:hAnsi="Times New Roman"/>
          <w:lang w:val="en"/>
        </w:rPr>
        <w:t xml:space="preserve">Email: </w:t>
      </w:r>
      <w:hyperlink r:id="rId11" w:history="1">
        <w:r w:rsidRPr="005F4F71" w:rsidR="00643F9C">
          <w:rPr>
            <w:rStyle w:val="Hyperlink"/>
            <w:rFonts w:ascii="Times New Roman" w:hAnsi="Times New Roman"/>
            <w:lang w:val="en"/>
          </w:rPr>
          <w:t>JeffreyTaylor@westat.com</w:t>
        </w:r>
      </w:hyperlink>
      <w:r w:rsidR="00643F9C">
        <w:rPr>
          <w:rFonts w:ascii="Times New Roman" w:hAnsi="Times New Roman"/>
          <w:lang w:val="en"/>
        </w:rPr>
        <w:t xml:space="preserve"> </w:t>
      </w:r>
    </w:p>
    <w:p w:rsidR="002F5906" w:rsidP="002F5906" w14:paraId="3236657C" w14:textId="77777777">
      <w:pPr>
        <w:pStyle w:val="ListParagraph"/>
        <w:tabs>
          <w:tab w:val="left" w:pos="1170"/>
        </w:tabs>
        <w:rPr>
          <w:rFonts w:ascii="Times New Roman" w:hAnsi="Times New Roman"/>
          <w:lang w:val="en"/>
        </w:rPr>
      </w:pPr>
    </w:p>
    <w:p w:rsidR="002F5906" w:rsidP="002F5906" w14:paraId="535CC180" w14:textId="77777777">
      <w:pPr>
        <w:pStyle w:val="ListParagraph"/>
        <w:tabs>
          <w:tab w:val="left" w:pos="1170"/>
        </w:tabs>
        <w:rPr>
          <w:rFonts w:ascii="Times New Roman" w:hAnsi="Times New Roman"/>
          <w:b/>
          <w:lang w:val="en"/>
        </w:rPr>
      </w:pPr>
    </w:p>
    <w:p w:rsidR="00B26F7D" w:rsidRPr="002F5906" w:rsidP="002F5906" w14:paraId="078ADF52" w14:textId="0105B77C">
      <w:pPr>
        <w:pStyle w:val="ListParagraph"/>
        <w:tabs>
          <w:tab w:val="left" w:pos="1170"/>
        </w:tabs>
        <w:rPr>
          <w:rFonts w:ascii="Times New Roman" w:hAnsi="Times New Roman"/>
        </w:rPr>
      </w:pPr>
      <w:r w:rsidRPr="002F2D07">
        <w:rPr>
          <w:rFonts w:ascii="Times New Roman" w:hAnsi="Times New Roman"/>
          <w:b/>
          <w:lang w:val="en"/>
        </w:rPr>
        <w:t>References</w:t>
      </w:r>
    </w:p>
    <w:p w:rsidR="002F2D07" w:rsidP="002F2D07" w14:paraId="37B3A012" w14:textId="7F6E9579">
      <w:pPr>
        <w:ind w:left="270" w:firstLine="720"/>
        <w:rPr>
          <w:rFonts w:ascii="Times New Roman" w:hAnsi="Times New Roman"/>
          <w:b/>
          <w:lang w:val="en"/>
        </w:rPr>
      </w:pPr>
    </w:p>
    <w:p w:rsidR="00EE6B92" w:rsidRPr="00EE6B92" w:rsidP="00EE6B92" w14:paraId="5D30E8A3" w14:textId="77777777">
      <w:pPr>
        <w:ind w:left="990"/>
        <w:rPr>
          <w:rFonts w:ascii="Times New Roman" w:hAnsi="Times New Roman"/>
        </w:rPr>
      </w:pPr>
      <w:r w:rsidRPr="00EE6B92">
        <w:rPr>
          <w:rFonts w:ascii="Times New Roman" w:hAnsi="Times New Roman"/>
        </w:rPr>
        <w:t xml:space="preserve">Cantor, D., O'Hare, B., and O'Connor, K. (2007). The use of monetary incentives to reduce non-response in random digit dial surveys. In J.M. Lepkowski, C. Tucker, J.M. Brick, E. DeLeeuw, L. </w:t>
      </w:r>
      <w:r w:rsidRPr="00EE6B92">
        <w:rPr>
          <w:rFonts w:ascii="Times New Roman" w:hAnsi="Times New Roman"/>
        </w:rPr>
        <w:t>Japec</w:t>
      </w:r>
      <w:r w:rsidRPr="00EE6B92">
        <w:rPr>
          <w:rFonts w:ascii="Times New Roman" w:hAnsi="Times New Roman"/>
        </w:rPr>
        <w:t xml:space="preserve">, P.J. </w:t>
      </w:r>
      <w:r w:rsidRPr="00EE6B92">
        <w:rPr>
          <w:rFonts w:ascii="Times New Roman" w:hAnsi="Times New Roman"/>
        </w:rPr>
        <w:t>Lavrakas</w:t>
      </w:r>
      <w:r w:rsidRPr="00EE6B92">
        <w:rPr>
          <w:rFonts w:ascii="Times New Roman" w:hAnsi="Times New Roman"/>
        </w:rPr>
        <w:t xml:space="preserve">, M.W. Link, and R.L. Sangster (Eds.), </w:t>
      </w:r>
      <w:r w:rsidRPr="00EE6B92">
        <w:rPr>
          <w:rFonts w:ascii="Times New Roman" w:hAnsi="Times New Roman"/>
          <w:i/>
          <w:iCs/>
        </w:rPr>
        <w:t>Telephone survey methodology</w:t>
      </w:r>
      <w:r w:rsidRPr="00EE6B92">
        <w:rPr>
          <w:rFonts w:ascii="Times New Roman" w:hAnsi="Times New Roman"/>
        </w:rPr>
        <w:t xml:space="preserve"> (pp. 471-498). New York, NY: Wiley.</w:t>
      </w:r>
    </w:p>
    <w:p w:rsidR="00EE6B92" w:rsidP="002F2D07" w14:paraId="50F4C7FE" w14:textId="77777777">
      <w:pPr>
        <w:ind w:left="990"/>
        <w:rPr>
          <w:rFonts w:ascii="Times New Roman" w:hAnsi="Times New Roman"/>
        </w:rPr>
      </w:pPr>
    </w:p>
    <w:p w:rsidR="005E3BB0" w:rsidP="005E3BB0" w14:paraId="39A43DDA" w14:textId="77777777">
      <w:pPr>
        <w:ind w:left="990"/>
        <w:rPr>
          <w:rFonts w:ascii="Times New Roman" w:hAnsi="Times New Roman"/>
          <w:lang w:val="en"/>
        </w:rPr>
      </w:pPr>
      <w:r w:rsidRPr="0041476E">
        <w:rPr>
          <w:rFonts w:ascii="Times New Roman" w:hAnsi="Times New Roman"/>
          <w:lang w:val="en"/>
        </w:rPr>
        <w:t>Dillman, D. A., Smyth, J. D., and Christian, L. M. (2009). Internet, mail, and mixed-mode surveys: The tailored design method (3rd ed.). Hoboken, NJ, US: John Wiley &amp; Sons Inc.</w:t>
      </w:r>
    </w:p>
    <w:p w:rsidR="005E3BB0" w:rsidP="002F2D07" w14:paraId="44101FE4" w14:textId="77777777">
      <w:pPr>
        <w:ind w:left="990"/>
        <w:rPr>
          <w:rFonts w:ascii="Times New Roman" w:hAnsi="Times New Roman"/>
        </w:rPr>
      </w:pPr>
    </w:p>
    <w:p w:rsidR="00EE6B92" w:rsidRPr="00EE6B92" w:rsidP="00EE6B92" w14:paraId="01E2B952" w14:textId="77777777">
      <w:pPr>
        <w:ind w:left="990"/>
        <w:rPr>
          <w:rFonts w:ascii="Times New Roman" w:hAnsi="Times New Roman"/>
        </w:rPr>
      </w:pPr>
      <w:r w:rsidRPr="00EE6B92">
        <w:rPr>
          <w:rFonts w:ascii="Times New Roman" w:hAnsi="Times New Roman"/>
        </w:rPr>
        <w:t xml:space="preserve">Mercer, A., Caporaso, A., Cantor, D., and Townsend, R. (2015). How much gets you how much? Monetary incentives and response rates in household surveys. </w:t>
      </w:r>
      <w:r w:rsidRPr="00EE6B92">
        <w:rPr>
          <w:rFonts w:ascii="Times New Roman" w:hAnsi="Times New Roman"/>
          <w:i/>
          <w:iCs/>
        </w:rPr>
        <w:t>Public Opinion Quarterly</w:t>
      </w:r>
      <w:r w:rsidRPr="00EE6B92">
        <w:rPr>
          <w:rFonts w:ascii="Times New Roman" w:hAnsi="Times New Roman"/>
        </w:rPr>
        <w:t xml:space="preserve">, 79(1), 105-129. </w:t>
      </w:r>
      <w:r w:rsidRPr="00EE6B92">
        <w:rPr>
          <w:rFonts w:ascii="Times New Roman" w:hAnsi="Times New Roman"/>
        </w:rPr>
        <w:t>doi</w:t>
      </w:r>
      <w:r w:rsidRPr="00EE6B92">
        <w:rPr>
          <w:rFonts w:ascii="Times New Roman" w:hAnsi="Times New Roman"/>
        </w:rPr>
        <w:t>: 10.1093/</w:t>
      </w:r>
      <w:r w:rsidRPr="00EE6B92">
        <w:rPr>
          <w:rFonts w:ascii="Times New Roman" w:hAnsi="Times New Roman"/>
        </w:rPr>
        <w:t>poq</w:t>
      </w:r>
      <w:r w:rsidRPr="00EE6B92">
        <w:rPr>
          <w:rFonts w:ascii="Times New Roman" w:hAnsi="Times New Roman"/>
        </w:rPr>
        <w:t>/nfu059</w:t>
      </w:r>
    </w:p>
    <w:p w:rsidR="00EE6B92" w:rsidRPr="001C7ECA" w14:paraId="0F25B74D" w14:textId="77777777">
      <w:pPr>
        <w:ind w:left="990"/>
        <w:rPr>
          <w:rFonts w:ascii="Times New Roman" w:hAnsi="Times New Roman"/>
        </w:rPr>
      </w:pPr>
    </w:p>
    <w:p w:rsidR="002F2D07" w:rsidRPr="00C64302" w:rsidP="002F2D07" w14:paraId="506946C1" w14:textId="5E9A8147">
      <w:pPr>
        <w:ind w:left="990"/>
        <w:rPr>
          <w:rFonts w:ascii="Times New Roman" w:hAnsi="Times New Roman"/>
        </w:rPr>
      </w:pPr>
      <w:r w:rsidRPr="001C7ECA">
        <w:rPr>
          <w:rFonts w:ascii="Times New Roman" w:hAnsi="Times New Roman"/>
        </w:rPr>
        <w:t>Messer</w:t>
      </w:r>
      <w:r w:rsidRPr="0041476E">
        <w:rPr>
          <w:rFonts w:ascii="Times New Roman" w:hAnsi="Times New Roman"/>
          <w:bdr w:val="none" w:sz="0" w:space="0" w:color="auto" w:frame="1"/>
        </w:rPr>
        <w:t>,</w:t>
      </w:r>
      <w:r w:rsidR="0041476E">
        <w:rPr>
          <w:rFonts w:ascii="Times New Roman" w:hAnsi="Times New Roman"/>
          <w:bdr w:val="none" w:sz="0" w:space="0" w:color="auto" w:frame="1"/>
        </w:rPr>
        <w:t xml:space="preserve"> B.L., </w:t>
      </w:r>
      <w:r w:rsidRPr="0041476E">
        <w:rPr>
          <w:rFonts w:ascii="Times New Roman" w:hAnsi="Times New Roman"/>
        </w:rPr>
        <w:t>Dillman</w:t>
      </w:r>
      <w:r w:rsidR="0041476E">
        <w:rPr>
          <w:rFonts w:ascii="Times New Roman" w:hAnsi="Times New Roman"/>
        </w:rPr>
        <w:t>, D.A</w:t>
      </w:r>
      <w:r w:rsidRPr="0041476E">
        <w:rPr>
          <w:rFonts w:ascii="Times New Roman" w:hAnsi="Times New Roman"/>
        </w:rPr>
        <w:t>. (Fall 2011).</w:t>
      </w:r>
      <w:r w:rsidRPr="001C7ECA">
        <w:rPr>
          <w:rFonts w:ascii="Times New Roman" w:hAnsi="Times New Roman"/>
        </w:rPr>
        <w:t xml:space="preserve"> Surveying the General Public over the Internet Using Address-Based Sampling and Mail Contact Procedures, </w:t>
      </w:r>
      <w:r w:rsidRPr="0041476E">
        <w:rPr>
          <w:rFonts w:ascii="Times New Roman" w:hAnsi="Times New Roman"/>
          <w:i/>
          <w:iCs/>
          <w:bdr w:val="none" w:sz="0" w:space="0" w:color="auto" w:frame="1"/>
        </w:rPr>
        <w:t>Public Opinion Quarterly</w:t>
      </w:r>
      <w:r w:rsidRPr="001C7ECA">
        <w:rPr>
          <w:rFonts w:ascii="Times New Roman" w:hAnsi="Times New Roman"/>
        </w:rPr>
        <w:t>, Volume 75, Issue 3, Pages 429–457</w:t>
      </w:r>
      <w:r w:rsidRPr="0041476E" w:rsidR="0041476E">
        <w:rPr>
          <w:rFonts w:ascii="Times New Roman" w:hAnsi="Times New Roman"/>
        </w:rPr>
        <w:t>.</w:t>
      </w:r>
      <w:r w:rsidRPr="0041476E">
        <w:rPr>
          <w:rFonts w:ascii="Times New Roman" w:hAnsi="Times New Roman"/>
        </w:rPr>
        <w:t xml:space="preserve"> </w:t>
      </w:r>
      <w:r w:rsidRPr="00C64302">
        <w:rPr>
          <w:rFonts w:ascii="Times New Roman" w:hAnsi="Times New Roman"/>
        </w:rPr>
        <w:t> </w:t>
      </w:r>
      <w:hyperlink r:id="rId12" w:history="1">
        <w:r w:rsidRPr="00C64302">
          <w:rPr>
            <w:rFonts w:ascii="Times New Roman" w:hAnsi="Times New Roman"/>
          </w:rPr>
          <w:t>https://doi.org/10.1093/poq/nfr021</w:t>
        </w:r>
      </w:hyperlink>
    </w:p>
    <w:p w:rsidR="0041476E" w:rsidP="002F2D07" w14:paraId="7E17A681" w14:textId="0E84185F">
      <w:pPr>
        <w:ind w:left="990"/>
        <w:rPr>
          <w:rFonts w:ascii="Times New Roman" w:hAnsi="Times New Roman"/>
          <w:lang w:val="en"/>
        </w:rPr>
      </w:pPr>
    </w:p>
    <w:p w:rsidR="005E3BB0" w:rsidP="005E3BB0" w14:paraId="6AD34C10" w14:textId="6144B9A8">
      <w:pPr>
        <w:ind w:left="990"/>
        <w:rPr>
          <w:rFonts w:ascii="Times New Roman" w:hAnsi="Times New Roman"/>
          <w:lang w:val="en"/>
        </w:rPr>
      </w:pPr>
      <w:r>
        <w:rPr>
          <w:rFonts w:ascii="Times New Roman" w:hAnsi="Times New Roman"/>
          <w:lang w:val="en"/>
        </w:rPr>
        <w:t xml:space="preserve">Stedman, R.C., Connelly, N.A., Heberlein, T.A., Decker, D.J., Allred, S.B. (2019). </w:t>
      </w:r>
      <w:r w:rsidRPr="005E3BB0">
        <w:rPr>
          <w:rFonts w:ascii="Times New Roman" w:hAnsi="Times New Roman"/>
          <w:lang w:val="en"/>
        </w:rPr>
        <w:t xml:space="preserve">The End of the (Research) World </w:t>
      </w:r>
      <w:r>
        <w:rPr>
          <w:rFonts w:ascii="Times New Roman" w:hAnsi="Times New Roman"/>
          <w:lang w:val="en"/>
        </w:rPr>
        <w:t>a</w:t>
      </w:r>
      <w:r w:rsidRPr="005E3BB0">
        <w:rPr>
          <w:rFonts w:ascii="Times New Roman" w:hAnsi="Times New Roman"/>
          <w:lang w:val="en"/>
        </w:rPr>
        <w:t>s We Know</w:t>
      </w:r>
      <w:r>
        <w:rPr>
          <w:rFonts w:ascii="Times New Roman" w:hAnsi="Times New Roman"/>
          <w:lang w:val="en"/>
        </w:rPr>
        <w:t xml:space="preserve"> </w:t>
      </w:r>
      <w:r w:rsidRPr="005E3BB0">
        <w:rPr>
          <w:rFonts w:ascii="Times New Roman" w:hAnsi="Times New Roman"/>
          <w:lang w:val="en"/>
        </w:rPr>
        <w:t>It</w:t>
      </w:r>
      <w:r w:rsidRPr="005E3BB0">
        <w:rPr>
          <w:rFonts w:ascii="Times New Roman" w:hAnsi="Times New Roman"/>
          <w:lang w:val="en"/>
        </w:rPr>
        <w:t xml:space="preserve">? Understanding and Coping </w:t>
      </w:r>
      <w:r>
        <w:rPr>
          <w:rFonts w:ascii="Times New Roman" w:hAnsi="Times New Roman"/>
          <w:lang w:val="en"/>
        </w:rPr>
        <w:t>w</w:t>
      </w:r>
      <w:r w:rsidRPr="005E3BB0">
        <w:rPr>
          <w:rFonts w:ascii="Times New Roman" w:hAnsi="Times New Roman"/>
          <w:lang w:val="en"/>
        </w:rPr>
        <w:t>ith Declining</w:t>
      </w:r>
      <w:r>
        <w:rPr>
          <w:rFonts w:ascii="Times New Roman" w:hAnsi="Times New Roman"/>
          <w:lang w:val="en"/>
        </w:rPr>
        <w:t xml:space="preserve"> </w:t>
      </w:r>
      <w:r w:rsidRPr="005E3BB0">
        <w:rPr>
          <w:rFonts w:ascii="Times New Roman" w:hAnsi="Times New Roman"/>
          <w:lang w:val="en"/>
        </w:rPr>
        <w:t>Response Rates to Mail Surveys</w:t>
      </w:r>
      <w:r>
        <w:rPr>
          <w:rFonts w:ascii="Times New Roman" w:hAnsi="Times New Roman"/>
          <w:lang w:val="en"/>
        </w:rPr>
        <w:t xml:space="preserve">, </w:t>
      </w:r>
      <w:r>
        <w:rPr>
          <w:rFonts w:ascii="Times New Roman" w:hAnsi="Times New Roman"/>
          <w:i/>
          <w:iCs/>
          <w:lang w:val="en"/>
        </w:rPr>
        <w:t>Society &amp; Natural Resources</w:t>
      </w:r>
      <w:r>
        <w:rPr>
          <w:rFonts w:ascii="Times New Roman" w:hAnsi="Times New Roman"/>
          <w:lang w:val="en"/>
        </w:rPr>
        <w:t>,</w:t>
      </w:r>
      <w:r w:rsidRPr="005E3BB0">
        <w:rPr>
          <w:rFonts w:ascii="Times New Roman" w:hAnsi="Times New Roman"/>
          <w:lang w:val="en"/>
        </w:rPr>
        <w:t xml:space="preserve"> 32:10, </w:t>
      </w:r>
      <w:r w:rsidRPr="005E3BB0">
        <w:rPr>
          <w:rFonts w:ascii="Times New Roman" w:hAnsi="Times New Roman"/>
          <w:lang w:val="en"/>
        </w:rPr>
        <w:t>1139-1154, DOI: 10.1080/08941920.2019.1587127</w:t>
      </w:r>
    </w:p>
    <w:p w:rsidR="005335DC" w:rsidP="005E3BB0" w14:paraId="1CE5B468" w14:textId="77777777">
      <w:pPr>
        <w:ind w:left="990"/>
        <w:rPr>
          <w:rFonts w:ascii="Times New Roman" w:hAnsi="Times New Roman"/>
          <w:lang w:val="en"/>
        </w:rPr>
      </w:pPr>
    </w:p>
    <w:p w:rsidR="005335DC" w:rsidP="005335DC" w14:paraId="3DC15CFD" w14:textId="7E95A880">
      <w:pPr>
        <w:ind w:left="990"/>
        <w:rPr>
          <w:rFonts w:ascii="Times New Roman" w:hAnsi="Times New Roman"/>
          <w:lang w:val="en"/>
        </w:rPr>
      </w:pPr>
      <w:r>
        <w:rPr>
          <w:rFonts w:ascii="Times New Roman" w:hAnsi="Times New Roman"/>
          <w:lang w:val="en"/>
        </w:rPr>
        <w:t xml:space="preserve">Taylor, J.A., </w:t>
      </w:r>
      <w:r>
        <w:rPr>
          <w:rFonts w:ascii="Times New Roman" w:hAnsi="Times New Roman"/>
          <w:lang w:val="en"/>
        </w:rPr>
        <w:t>Salkever</w:t>
      </w:r>
      <w:r>
        <w:rPr>
          <w:rFonts w:ascii="Times New Roman" w:hAnsi="Times New Roman"/>
          <w:lang w:val="en"/>
        </w:rPr>
        <w:t xml:space="preserve">, D.S., Frey, W.D., Riley, J., Marrow, J. (2021). </w:t>
      </w:r>
      <w:r w:rsidRPr="005335DC">
        <w:rPr>
          <w:rFonts w:ascii="Times New Roman" w:hAnsi="Times New Roman"/>
          <w:lang w:val="en"/>
        </w:rPr>
        <w:t>Enrollment in the Supported Employment Demonstration: An Employment Intervention for Denied Disability Benef</w:t>
      </w:r>
      <w:r>
        <w:rPr>
          <w:rFonts w:ascii="Times New Roman" w:hAnsi="Times New Roman"/>
          <w:lang w:val="en"/>
        </w:rPr>
        <w:t>i</w:t>
      </w:r>
      <w:r w:rsidRPr="005335DC">
        <w:rPr>
          <w:rFonts w:ascii="Times New Roman" w:hAnsi="Times New Roman"/>
          <w:lang w:val="en"/>
        </w:rPr>
        <w:t>ts Applicants with a Mental Impairmen</w:t>
      </w:r>
      <w:r>
        <w:rPr>
          <w:rFonts w:ascii="Times New Roman" w:hAnsi="Times New Roman"/>
          <w:lang w:val="en"/>
        </w:rPr>
        <w:t xml:space="preserve">t, </w:t>
      </w:r>
      <w:r>
        <w:rPr>
          <w:rFonts w:ascii="Times New Roman" w:hAnsi="Times New Roman"/>
          <w:i/>
          <w:iCs/>
          <w:lang w:val="en"/>
        </w:rPr>
        <w:t>Administration and Policy in Mental Health and Mental Health Services Research</w:t>
      </w:r>
      <w:r>
        <w:rPr>
          <w:rFonts w:ascii="Times New Roman" w:hAnsi="Times New Roman"/>
          <w:lang w:val="en"/>
        </w:rPr>
        <w:t xml:space="preserve">, </w:t>
      </w:r>
      <w:r w:rsidRPr="005335DC">
        <w:rPr>
          <w:rFonts w:ascii="Times New Roman" w:hAnsi="Times New Roman"/>
          <w:lang w:val="en"/>
        </w:rPr>
        <w:t>49, 909–926</w:t>
      </w:r>
      <w:r>
        <w:rPr>
          <w:rFonts w:ascii="Times New Roman" w:hAnsi="Times New Roman"/>
          <w:lang w:val="en"/>
        </w:rPr>
        <w:t xml:space="preserve">. </w:t>
      </w:r>
    </w:p>
    <w:p w:rsidR="005335DC" w:rsidP="005335DC" w14:paraId="73F3779E" w14:textId="77777777">
      <w:pPr>
        <w:ind w:left="990"/>
        <w:rPr>
          <w:rFonts w:ascii="Times New Roman" w:hAnsi="Times New Roman"/>
          <w:lang w:val="en"/>
        </w:rPr>
      </w:pPr>
    </w:p>
    <w:p w:rsidR="005335DC" w:rsidRPr="005335DC" w:rsidP="005335DC" w14:paraId="7C504071" w14:textId="53C324BB">
      <w:pPr>
        <w:ind w:left="990"/>
        <w:rPr>
          <w:rFonts w:ascii="Times New Roman" w:hAnsi="Times New Roman"/>
          <w:lang w:val="en"/>
        </w:rPr>
      </w:pPr>
      <w:r>
        <w:rPr>
          <w:rFonts w:ascii="Times New Roman" w:hAnsi="Times New Roman"/>
          <w:lang w:val="en"/>
        </w:rPr>
        <w:t xml:space="preserve">Wright, D., Livermore, G., Hoffman, D., Grau, E., Bardos, M. (2012). 2010 National Beneficiary Survey: Methodology and Descriptive Statistics. Available from: </w:t>
      </w:r>
      <w:r w:rsidRPr="005335DC">
        <w:rPr>
          <w:rFonts w:ascii="Times New Roman" w:hAnsi="Times New Roman"/>
          <w:lang w:val="en"/>
        </w:rPr>
        <w:t>https://www.ssa.gov/disabilityresearch/documents/NBS%20stats%20methods%20508.pdf</w:t>
      </w:r>
    </w:p>
    <w:p w:rsidR="005E3BB0" w:rsidRPr="0041476E" w:rsidP="0041476E" w14:paraId="4BD1E4F1" w14:textId="77777777">
      <w:pPr>
        <w:ind w:left="990"/>
        <w:rPr>
          <w:rFonts w:ascii="Times New Roman" w:hAnsi="Times New Roman"/>
          <w:color w:val="0000FF"/>
          <w:u w:val="single"/>
          <w:lang w:val="en"/>
        </w:rPr>
      </w:pPr>
    </w:p>
    <w:sectPr w:rsidSect="00084733">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2382959"/>
      <w:docPartObj>
        <w:docPartGallery w:val="Page Numbers (Bottom of Page)"/>
        <w:docPartUnique/>
      </w:docPartObj>
    </w:sdtPr>
    <w:sdtEndPr>
      <w:rPr>
        <w:noProof/>
      </w:rPr>
    </w:sdtEndPr>
    <w:sdtContent>
      <w:p w:rsidR="00806CC9" w14:paraId="33B844B2" w14:textId="5B749212">
        <w:pPr>
          <w:pStyle w:val="Footer"/>
          <w:jc w:val="center"/>
        </w:pPr>
        <w:r>
          <w:fldChar w:fldCharType="begin"/>
        </w:r>
        <w:r>
          <w:instrText xml:space="preserve"> PAGE   \* MERGEFORMAT </w:instrText>
        </w:r>
        <w:r>
          <w:fldChar w:fldCharType="separate"/>
        </w:r>
        <w:r w:rsidR="007C6EAD">
          <w:rPr>
            <w:noProof/>
          </w:rPr>
          <w:t>15</w:t>
        </w:r>
        <w:r>
          <w:rPr>
            <w:noProof/>
          </w:rPr>
          <w:fldChar w:fldCharType="end"/>
        </w:r>
      </w:p>
    </w:sdtContent>
  </w:sdt>
  <w:p w:rsidR="00806CC9" w14:paraId="3F303C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52B" w14:paraId="66ADA2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C69B3"/>
    <w:multiLevelType w:val="multilevel"/>
    <w:tmpl w:val="2834C52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0"/>
        </w:tabs>
        <w:ind w:left="0" w:hanging="360"/>
      </w:pPr>
      <w:rPr>
        <w:rFonts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880"/>
        </w:tabs>
        <w:ind w:left="2880" w:hanging="360"/>
      </w:pPr>
      <w:rPr>
        <w:rFonts w:hint="default"/>
      </w:rPr>
    </w:lvl>
    <w:lvl w:ilvl="6">
      <w:start w:val="1"/>
      <w:numFmt w:val="decimal"/>
      <w:lvlText w:val="%7."/>
      <w:lvlJc w:val="left"/>
      <w:pPr>
        <w:tabs>
          <w:tab w:val="num" w:pos="3600"/>
        </w:tabs>
        <w:ind w:left="3600" w:hanging="360"/>
      </w:pPr>
      <w:rPr>
        <w:rFonts w:hint="default"/>
      </w:rPr>
    </w:lvl>
    <w:lvl w:ilvl="7">
      <w:start w:val="1"/>
      <w:numFmt w:val="decimal"/>
      <w:lvlText w:val="%8."/>
      <w:lvlJc w:val="left"/>
      <w:pPr>
        <w:tabs>
          <w:tab w:val="num" w:pos="4320"/>
        </w:tabs>
        <w:ind w:left="4320" w:hanging="360"/>
      </w:pPr>
      <w:rPr>
        <w:rFonts w:hint="default"/>
      </w:rPr>
    </w:lvl>
    <w:lvl w:ilvl="8">
      <w:start w:val="1"/>
      <w:numFmt w:val="decimal"/>
      <w:lvlText w:val="%9."/>
      <w:lvlJc w:val="left"/>
      <w:pPr>
        <w:tabs>
          <w:tab w:val="num" w:pos="5040"/>
        </w:tabs>
        <w:ind w:left="5040" w:hanging="360"/>
      </w:pPr>
      <w:rPr>
        <w:rFonts w:hint="default"/>
      </w:rPr>
    </w:lvl>
  </w:abstractNum>
  <w:abstractNum w:abstractNumId="1">
    <w:nsid w:val="0DE374A6"/>
    <w:multiLevelType w:val="multilevel"/>
    <w:tmpl w:val="E2CEB9D0"/>
    <w:lvl w:ilvl="0">
      <w:start w:val="1"/>
      <w:numFmt w:val="decimal"/>
      <w:lvlText w:val="%1."/>
      <w:lvlJc w:val="left"/>
      <w:pPr>
        <w:ind w:left="576" w:hanging="360"/>
      </w:pPr>
      <w:rPr>
        <w:rFonts w:ascii="Times New Roman" w:hAnsi="Times New Roman" w:cs="Times New Roman" w:hint="default"/>
        <w:b/>
        <w:color w:val="00467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0663B25"/>
    <w:multiLevelType w:val="hybridMultilevel"/>
    <w:tmpl w:val="0FBA9EEA"/>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F57795"/>
    <w:multiLevelType w:val="hybridMultilevel"/>
    <w:tmpl w:val="700AA088"/>
    <w:lvl w:ilvl="0">
      <w:start w:val="1"/>
      <w:numFmt w:val="decimal"/>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4A55A7B"/>
    <w:multiLevelType w:val="hybridMultilevel"/>
    <w:tmpl w:val="C8B68FE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7C2CAA"/>
    <w:multiLevelType w:val="hybridMultilevel"/>
    <w:tmpl w:val="1166F2AE"/>
    <w:lvl w:ilvl="0">
      <w:start w:val="1"/>
      <w:numFmt w:val="bullet"/>
      <w:lvlText w:val=""/>
      <w:lvlJc w:val="left"/>
      <w:pPr>
        <w:ind w:left="360" w:hanging="360"/>
      </w:pPr>
      <w:rPr>
        <w:rFonts w:ascii="Wingdings" w:hAnsi="Wingdings" w:hint="default"/>
      </w:rPr>
    </w:lvl>
    <w:lvl w:ilvl="1">
      <w:start w:val="1"/>
      <w:numFmt w:val="decimal"/>
      <w:lvlText w:val="%2."/>
      <w:lvlJc w:val="left"/>
      <w:pPr>
        <w:ind w:left="180" w:hanging="360"/>
      </w:pPr>
      <w:rPr>
        <w:rFonts w:ascii="Calibri" w:hAnsi="Calibri" w:eastAsiaTheme="minorHAnsi" w:cs="Calibri"/>
      </w:rPr>
    </w:lvl>
    <w:lvl w:ilvl="2">
      <w:start w:val="1"/>
      <w:numFmt w:val="decimal"/>
      <w:lvlText w:val="%3."/>
      <w:lvlJc w:val="left"/>
      <w:pPr>
        <w:ind w:left="900" w:hanging="360"/>
      </w:pPr>
      <w:rPr>
        <w:rFonts w:asciiTheme="minorHAnsi" w:eastAsiaTheme="minorHAnsi" w:hAnsiTheme="minorHAnsi" w:cstheme="minorBidi"/>
      </w:rPr>
    </w:lvl>
    <w:lvl w:ilvl="3">
      <w:start w:val="1"/>
      <w:numFmt w:val="lowerLetter"/>
      <w:lvlText w:val="%4."/>
      <w:lvlJc w:val="left"/>
      <w:pPr>
        <w:ind w:left="1890" w:hanging="360"/>
      </w:pPr>
    </w:lvl>
    <w:lvl w:ilvl="4">
      <w:start w:val="1"/>
      <w:numFmt w:val="bullet"/>
      <w:lvlText w:val="o"/>
      <w:lvlJc w:val="left"/>
      <w:pPr>
        <w:ind w:left="2340" w:hanging="360"/>
      </w:pPr>
      <w:rPr>
        <w:rFonts w:ascii="Courier New" w:hAnsi="Courier New" w:cs="Courier New" w:hint="default"/>
      </w:rPr>
    </w:lvl>
    <w:lvl w:ilvl="5">
      <w:start w:val="1"/>
      <w:numFmt w:val="bullet"/>
      <w:lvlText w:val=""/>
      <w:lvlJc w:val="left"/>
      <w:pPr>
        <w:ind w:left="3060" w:hanging="360"/>
      </w:pPr>
      <w:rPr>
        <w:rFonts w:ascii="Wingdings" w:hAnsi="Wingdings" w:hint="default"/>
      </w:rPr>
    </w:lvl>
    <w:lvl w:ilvl="6">
      <w:start w:val="1"/>
      <w:numFmt w:val="bullet"/>
      <w:lvlText w:val=""/>
      <w:lvlJc w:val="left"/>
      <w:pPr>
        <w:ind w:left="3780" w:hanging="360"/>
      </w:pPr>
      <w:rPr>
        <w:rFonts w:ascii="Symbol" w:hAnsi="Symbol" w:hint="default"/>
      </w:rPr>
    </w:lvl>
    <w:lvl w:ilvl="7">
      <w:start w:val="1"/>
      <w:numFmt w:val="bullet"/>
      <w:lvlText w:val="o"/>
      <w:lvlJc w:val="left"/>
      <w:pPr>
        <w:ind w:left="4500" w:hanging="360"/>
      </w:pPr>
      <w:rPr>
        <w:rFonts w:ascii="Courier New" w:hAnsi="Courier New" w:cs="Courier New" w:hint="default"/>
      </w:rPr>
    </w:lvl>
    <w:lvl w:ilvl="8">
      <w:start w:val="1"/>
      <w:numFmt w:val="bullet"/>
      <w:lvlText w:val=""/>
      <w:lvlJc w:val="left"/>
      <w:pPr>
        <w:ind w:left="5220" w:hanging="360"/>
      </w:pPr>
      <w:rPr>
        <w:rFonts w:ascii="Wingdings" w:hAnsi="Wingdings" w:hint="default"/>
      </w:rPr>
    </w:lvl>
  </w:abstractNum>
  <w:abstractNum w:abstractNumId="7">
    <w:nsid w:val="68542601"/>
    <w:multiLevelType w:val="multilevel"/>
    <w:tmpl w:val="F3965E02"/>
    <w:lvl w:ilvl="0">
      <w:start w:val="1"/>
      <w:numFmt w:val="decimal"/>
      <w:pStyle w:val="NL-1stNumberedBullet"/>
      <w:lvlText w:val="%1."/>
      <w:lvlJc w:val="left"/>
      <w:pPr>
        <w:ind w:left="1350" w:hanging="360"/>
      </w:pPr>
      <w:rPr>
        <w:rFonts w:ascii="Times New Roman" w:hAnsi="Times New Roman" w:cs="Times New Roman" w:hint="default"/>
        <w:color w:val="000000" w:themeColor="text1"/>
        <w:sz w:val="22"/>
        <w:szCs w:val="22"/>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8">
    <w:nsid w:val="71BC1859"/>
    <w:multiLevelType w:val="multilevel"/>
    <w:tmpl w:val="9190AE60"/>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63B0116"/>
    <w:multiLevelType w:val="hybridMultilevel"/>
    <w:tmpl w:val="A2B0DCA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D69CF"/>
    <w:multiLevelType w:val="hybridMultilevel"/>
    <w:tmpl w:val="AF967E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3182867">
    <w:abstractNumId w:val="2"/>
  </w:num>
  <w:num w:numId="2" w16cid:durableId="1959335387">
    <w:abstractNumId w:val="4"/>
  </w:num>
  <w:num w:numId="3" w16cid:durableId="1667247146">
    <w:abstractNumId w:val="8"/>
  </w:num>
  <w:num w:numId="4" w16cid:durableId="32311046">
    <w:abstractNumId w:val="7"/>
  </w:num>
  <w:num w:numId="5" w16cid:durableId="734934079">
    <w:abstractNumId w:val="1"/>
  </w:num>
  <w:num w:numId="6" w16cid:durableId="2006978926">
    <w:abstractNumId w:val="5"/>
  </w:num>
  <w:num w:numId="7" w16cid:durableId="414860677">
    <w:abstractNumId w:val="3"/>
  </w:num>
  <w:num w:numId="8" w16cid:durableId="1615405349">
    <w:abstractNumId w:val="6"/>
  </w:num>
  <w:num w:numId="9" w16cid:durableId="2107386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308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272307">
    <w:abstractNumId w:val="0"/>
  </w:num>
  <w:num w:numId="12" w16cid:durableId="997224144">
    <w:abstractNumId w:val="10"/>
  </w:num>
  <w:num w:numId="13" w16cid:durableId="83907830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502511">
    <w:abstractNumId w:val="7"/>
  </w:num>
  <w:num w:numId="15" w16cid:durableId="1010106796">
    <w:abstractNumId w:val="7"/>
  </w:num>
  <w:num w:numId="16" w16cid:durableId="202080970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7583"/>
    <w:rsid w:val="0001714B"/>
    <w:rsid w:val="000201AD"/>
    <w:rsid w:val="00020467"/>
    <w:rsid w:val="000214A1"/>
    <w:rsid w:val="00021F83"/>
    <w:rsid w:val="000222A7"/>
    <w:rsid w:val="00024EA6"/>
    <w:rsid w:val="00025216"/>
    <w:rsid w:val="00025D75"/>
    <w:rsid w:val="0002677F"/>
    <w:rsid w:val="000273F4"/>
    <w:rsid w:val="0003285E"/>
    <w:rsid w:val="000344C9"/>
    <w:rsid w:val="00055551"/>
    <w:rsid w:val="000573D2"/>
    <w:rsid w:val="000578E1"/>
    <w:rsid w:val="000635DF"/>
    <w:rsid w:val="00063A05"/>
    <w:rsid w:val="00063E93"/>
    <w:rsid w:val="00065BC5"/>
    <w:rsid w:val="0006715D"/>
    <w:rsid w:val="0007189E"/>
    <w:rsid w:val="00077720"/>
    <w:rsid w:val="00077E0E"/>
    <w:rsid w:val="00080970"/>
    <w:rsid w:val="0008177A"/>
    <w:rsid w:val="00081CEF"/>
    <w:rsid w:val="00082E8D"/>
    <w:rsid w:val="00084157"/>
    <w:rsid w:val="00084733"/>
    <w:rsid w:val="00084DFE"/>
    <w:rsid w:val="00086E84"/>
    <w:rsid w:val="0009278F"/>
    <w:rsid w:val="000934FC"/>
    <w:rsid w:val="00093F54"/>
    <w:rsid w:val="00094476"/>
    <w:rsid w:val="000958AA"/>
    <w:rsid w:val="00097A83"/>
    <w:rsid w:val="000A352B"/>
    <w:rsid w:val="000A6AE3"/>
    <w:rsid w:val="000A6F7D"/>
    <w:rsid w:val="000A7F50"/>
    <w:rsid w:val="000B0CED"/>
    <w:rsid w:val="000B2B68"/>
    <w:rsid w:val="000B3B12"/>
    <w:rsid w:val="000B6F13"/>
    <w:rsid w:val="000C151C"/>
    <w:rsid w:val="000C1D18"/>
    <w:rsid w:val="000C4DE1"/>
    <w:rsid w:val="000C5506"/>
    <w:rsid w:val="000C611F"/>
    <w:rsid w:val="000D22D0"/>
    <w:rsid w:val="000D41A2"/>
    <w:rsid w:val="000D4AC5"/>
    <w:rsid w:val="000D5F5C"/>
    <w:rsid w:val="000D72DF"/>
    <w:rsid w:val="000E2990"/>
    <w:rsid w:val="000E6EE6"/>
    <w:rsid w:val="000E7241"/>
    <w:rsid w:val="000E7817"/>
    <w:rsid w:val="000F1099"/>
    <w:rsid w:val="00116937"/>
    <w:rsid w:val="00121032"/>
    <w:rsid w:val="001218DA"/>
    <w:rsid w:val="00121B57"/>
    <w:rsid w:val="00122EE2"/>
    <w:rsid w:val="00127980"/>
    <w:rsid w:val="0014133F"/>
    <w:rsid w:val="00141AF3"/>
    <w:rsid w:val="00143529"/>
    <w:rsid w:val="00145459"/>
    <w:rsid w:val="00146005"/>
    <w:rsid w:val="00146275"/>
    <w:rsid w:val="00151E53"/>
    <w:rsid w:val="001532BA"/>
    <w:rsid w:val="0015576E"/>
    <w:rsid w:val="00160907"/>
    <w:rsid w:val="001679DB"/>
    <w:rsid w:val="00171FF5"/>
    <w:rsid w:val="00175329"/>
    <w:rsid w:val="00182EFF"/>
    <w:rsid w:val="0018421A"/>
    <w:rsid w:val="00192897"/>
    <w:rsid w:val="00194AE2"/>
    <w:rsid w:val="00195658"/>
    <w:rsid w:val="0019671F"/>
    <w:rsid w:val="001A0986"/>
    <w:rsid w:val="001A2229"/>
    <w:rsid w:val="001A22FD"/>
    <w:rsid w:val="001A2E39"/>
    <w:rsid w:val="001A3317"/>
    <w:rsid w:val="001A65F9"/>
    <w:rsid w:val="001A6FE5"/>
    <w:rsid w:val="001A7094"/>
    <w:rsid w:val="001B14D0"/>
    <w:rsid w:val="001B1858"/>
    <w:rsid w:val="001B4CC7"/>
    <w:rsid w:val="001B7CF4"/>
    <w:rsid w:val="001C6D3A"/>
    <w:rsid w:val="001C7ECA"/>
    <w:rsid w:val="001D0B21"/>
    <w:rsid w:val="001D4362"/>
    <w:rsid w:val="001D5578"/>
    <w:rsid w:val="001D7126"/>
    <w:rsid w:val="001D7D78"/>
    <w:rsid w:val="001E07AC"/>
    <w:rsid w:val="001E0C97"/>
    <w:rsid w:val="001E1076"/>
    <w:rsid w:val="001E5DF3"/>
    <w:rsid w:val="001E6534"/>
    <w:rsid w:val="001E6AC2"/>
    <w:rsid w:val="001F0F76"/>
    <w:rsid w:val="001F43D2"/>
    <w:rsid w:val="001F56BB"/>
    <w:rsid w:val="00202C06"/>
    <w:rsid w:val="00210F00"/>
    <w:rsid w:val="002151B9"/>
    <w:rsid w:val="00217D1B"/>
    <w:rsid w:val="0023137F"/>
    <w:rsid w:val="002321B0"/>
    <w:rsid w:val="00234348"/>
    <w:rsid w:val="00234935"/>
    <w:rsid w:val="00241560"/>
    <w:rsid w:val="0024181D"/>
    <w:rsid w:val="002437BF"/>
    <w:rsid w:val="00245A38"/>
    <w:rsid w:val="00246836"/>
    <w:rsid w:val="0025233C"/>
    <w:rsid w:val="00252584"/>
    <w:rsid w:val="002563F1"/>
    <w:rsid w:val="0026052B"/>
    <w:rsid w:val="00260668"/>
    <w:rsid w:val="00264223"/>
    <w:rsid w:val="00266308"/>
    <w:rsid w:val="002703EF"/>
    <w:rsid w:val="00270A43"/>
    <w:rsid w:val="00273356"/>
    <w:rsid w:val="002740AD"/>
    <w:rsid w:val="002747E8"/>
    <w:rsid w:val="002762A1"/>
    <w:rsid w:val="00276AAF"/>
    <w:rsid w:val="002801F8"/>
    <w:rsid w:val="002857BC"/>
    <w:rsid w:val="00293D4A"/>
    <w:rsid w:val="002A0BFB"/>
    <w:rsid w:val="002A4C30"/>
    <w:rsid w:val="002A5D43"/>
    <w:rsid w:val="002B0820"/>
    <w:rsid w:val="002B1A41"/>
    <w:rsid w:val="002B2981"/>
    <w:rsid w:val="002B459E"/>
    <w:rsid w:val="002B5578"/>
    <w:rsid w:val="002B75B9"/>
    <w:rsid w:val="002C2947"/>
    <w:rsid w:val="002C2FB5"/>
    <w:rsid w:val="002C45DB"/>
    <w:rsid w:val="002C6679"/>
    <w:rsid w:val="002D1024"/>
    <w:rsid w:val="002D2C04"/>
    <w:rsid w:val="002D426A"/>
    <w:rsid w:val="002D6CEE"/>
    <w:rsid w:val="002E18CF"/>
    <w:rsid w:val="002E335E"/>
    <w:rsid w:val="002F1C11"/>
    <w:rsid w:val="002F2D07"/>
    <w:rsid w:val="002F3D7C"/>
    <w:rsid w:val="002F4BBB"/>
    <w:rsid w:val="002F5906"/>
    <w:rsid w:val="00300115"/>
    <w:rsid w:val="00301F43"/>
    <w:rsid w:val="00302545"/>
    <w:rsid w:val="0030318F"/>
    <w:rsid w:val="00303622"/>
    <w:rsid w:val="00303BC5"/>
    <w:rsid w:val="00306C0E"/>
    <w:rsid w:val="003161B5"/>
    <w:rsid w:val="003176E1"/>
    <w:rsid w:val="00322EDB"/>
    <w:rsid w:val="00325B54"/>
    <w:rsid w:val="00326E01"/>
    <w:rsid w:val="00327C1F"/>
    <w:rsid w:val="003308B7"/>
    <w:rsid w:val="0033179E"/>
    <w:rsid w:val="00331821"/>
    <w:rsid w:val="00333D3D"/>
    <w:rsid w:val="0033681E"/>
    <w:rsid w:val="003373EA"/>
    <w:rsid w:val="003376FE"/>
    <w:rsid w:val="0034188D"/>
    <w:rsid w:val="00345CE2"/>
    <w:rsid w:val="003465DC"/>
    <w:rsid w:val="003469CA"/>
    <w:rsid w:val="0035034A"/>
    <w:rsid w:val="003507C3"/>
    <w:rsid w:val="0035133A"/>
    <w:rsid w:val="00352361"/>
    <w:rsid w:val="003540FD"/>
    <w:rsid w:val="00354672"/>
    <w:rsid w:val="0036245F"/>
    <w:rsid w:val="0036696D"/>
    <w:rsid w:val="00366A7A"/>
    <w:rsid w:val="00366E1D"/>
    <w:rsid w:val="003743B4"/>
    <w:rsid w:val="003755F1"/>
    <w:rsid w:val="0037698F"/>
    <w:rsid w:val="00377E3E"/>
    <w:rsid w:val="0038050B"/>
    <w:rsid w:val="003858CE"/>
    <w:rsid w:val="00387B52"/>
    <w:rsid w:val="003905C8"/>
    <w:rsid w:val="0039355E"/>
    <w:rsid w:val="00395325"/>
    <w:rsid w:val="00395775"/>
    <w:rsid w:val="003A1E10"/>
    <w:rsid w:val="003A5B70"/>
    <w:rsid w:val="003A666A"/>
    <w:rsid w:val="003A7D38"/>
    <w:rsid w:val="003B15EC"/>
    <w:rsid w:val="003B30B4"/>
    <w:rsid w:val="003B3426"/>
    <w:rsid w:val="003B58DD"/>
    <w:rsid w:val="003B7425"/>
    <w:rsid w:val="003C10BD"/>
    <w:rsid w:val="003C280F"/>
    <w:rsid w:val="003C5F47"/>
    <w:rsid w:val="003C64A6"/>
    <w:rsid w:val="003D5E28"/>
    <w:rsid w:val="003D6560"/>
    <w:rsid w:val="003E145C"/>
    <w:rsid w:val="003E5826"/>
    <w:rsid w:val="00404D86"/>
    <w:rsid w:val="00405548"/>
    <w:rsid w:val="0040607A"/>
    <w:rsid w:val="004077CF"/>
    <w:rsid w:val="0041131C"/>
    <w:rsid w:val="00413463"/>
    <w:rsid w:val="00413AC2"/>
    <w:rsid w:val="0041476E"/>
    <w:rsid w:val="00417435"/>
    <w:rsid w:val="0041778C"/>
    <w:rsid w:val="00417A52"/>
    <w:rsid w:val="004226FE"/>
    <w:rsid w:val="00422F32"/>
    <w:rsid w:val="00425751"/>
    <w:rsid w:val="0043121F"/>
    <w:rsid w:val="004317CB"/>
    <w:rsid w:val="0043496B"/>
    <w:rsid w:val="0043738F"/>
    <w:rsid w:val="004455A0"/>
    <w:rsid w:val="00447EE9"/>
    <w:rsid w:val="00450133"/>
    <w:rsid w:val="0045065A"/>
    <w:rsid w:val="004509AD"/>
    <w:rsid w:val="004516B7"/>
    <w:rsid w:val="00454E1C"/>
    <w:rsid w:val="00455833"/>
    <w:rsid w:val="00456260"/>
    <w:rsid w:val="00456FF7"/>
    <w:rsid w:val="004605B6"/>
    <w:rsid w:val="00460D0F"/>
    <w:rsid w:val="00462D47"/>
    <w:rsid w:val="00465C29"/>
    <w:rsid w:val="00472F56"/>
    <w:rsid w:val="00473B36"/>
    <w:rsid w:val="004742A9"/>
    <w:rsid w:val="00475350"/>
    <w:rsid w:val="004772E8"/>
    <w:rsid w:val="0048190B"/>
    <w:rsid w:val="00481B44"/>
    <w:rsid w:val="00482CD5"/>
    <w:rsid w:val="00484662"/>
    <w:rsid w:val="0048701D"/>
    <w:rsid w:val="00490B5B"/>
    <w:rsid w:val="004915B5"/>
    <w:rsid w:val="00492802"/>
    <w:rsid w:val="00492819"/>
    <w:rsid w:val="00494622"/>
    <w:rsid w:val="0049776C"/>
    <w:rsid w:val="004A25AB"/>
    <w:rsid w:val="004B56F9"/>
    <w:rsid w:val="004B5AF0"/>
    <w:rsid w:val="004C0F7F"/>
    <w:rsid w:val="004C5AE4"/>
    <w:rsid w:val="004C5E86"/>
    <w:rsid w:val="004D0607"/>
    <w:rsid w:val="004D39E0"/>
    <w:rsid w:val="004D4737"/>
    <w:rsid w:val="004D4F66"/>
    <w:rsid w:val="004E146D"/>
    <w:rsid w:val="004E1AD6"/>
    <w:rsid w:val="004E2B75"/>
    <w:rsid w:val="004E4053"/>
    <w:rsid w:val="004E4210"/>
    <w:rsid w:val="004F2D4D"/>
    <w:rsid w:val="004F337F"/>
    <w:rsid w:val="004F765D"/>
    <w:rsid w:val="0050197F"/>
    <w:rsid w:val="005040EC"/>
    <w:rsid w:val="00506486"/>
    <w:rsid w:val="00510655"/>
    <w:rsid w:val="00511211"/>
    <w:rsid w:val="0051262C"/>
    <w:rsid w:val="00512A88"/>
    <w:rsid w:val="00515C60"/>
    <w:rsid w:val="00516858"/>
    <w:rsid w:val="00516E1A"/>
    <w:rsid w:val="00520197"/>
    <w:rsid w:val="00522C76"/>
    <w:rsid w:val="005252B7"/>
    <w:rsid w:val="0053036C"/>
    <w:rsid w:val="00532D91"/>
    <w:rsid w:val="005335DC"/>
    <w:rsid w:val="00537242"/>
    <w:rsid w:val="00540B8B"/>
    <w:rsid w:val="00550A43"/>
    <w:rsid w:val="00555BAD"/>
    <w:rsid w:val="0056163C"/>
    <w:rsid w:val="0056544D"/>
    <w:rsid w:val="00566324"/>
    <w:rsid w:val="00567D1B"/>
    <w:rsid w:val="0057017F"/>
    <w:rsid w:val="00570828"/>
    <w:rsid w:val="005721D4"/>
    <w:rsid w:val="00575673"/>
    <w:rsid w:val="005765BE"/>
    <w:rsid w:val="00580168"/>
    <w:rsid w:val="0058174D"/>
    <w:rsid w:val="00584520"/>
    <w:rsid w:val="00585E74"/>
    <w:rsid w:val="005867B7"/>
    <w:rsid w:val="00593673"/>
    <w:rsid w:val="00593A36"/>
    <w:rsid w:val="00594CB3"/>
    <w:rsid w:val="005A1198"/>
    <w:rsid w:val="005A3D4C"/>
    <w:rsid w:val="005A6137"/>
    <w:rsid w:val="005A7AD9"/>
    <w:rsid w:val="005B15E5"/>
    <w:rsid w:val="005B407D"/>
    <w:rsid w:val="005B6585"/>
    <w:rsid w:val="005C2C39"/>
    <w:rsid w:val="005C43F1"/>
    <w:rsid w:val="005C4DDC"/>
    <w:rsid w:val="005D36B5"/>
    <w:rsid w:val="005D4107"/>
    <w:rsid w:val="005D443B"/>
    <w:rsid w:val="005D47CE"/>
    <w:rsid w:val="005D6C52"/>
    <w:rsid w:val="005D7BE8"/>
    <w:rsid w:val="005D7D9F"/>
    <w:rsid w:val="005E03D4"/>
    <w:rsid w:val="005E3BB0"/>
    <w:rsid w:val="005E6BFB"/>
    <w:rsid w:val="005F208A"/>
    <w:rsid w:val="005F3CF6"/>
    <w:rsid w:val="005F4F71"/>
    <w:rsid w:val="006002DD"/>
    <w:rsid w:val="006013A3"/>
    <w:rsid w:val="00604E38"/>
    <w:rsid w:val="00610CDF"/>
    <w:rsid w:val="006111E4"/>
    <w:rsid w:val="0061155D"/>
    <w:rsid w:val="00612DDF"/>
    <w:rsid w:val="0061339D"/>
    <w:rsid w:val="00614349"/>
    <w:rsid w:val="006160ED"/>
    <w:rsid w:val="00620651"/>
    <w:rsid w:val="00624117"/>
    <w:rsid w:val="00626C22"/>
    <w:rsid w:val="00631F1B"/>
    <w:rsid w:val="0063304D"/>
    <w:rsid w:val="006364D4"/>
    <w:rsid w:val="00637AF5"/>
    <w:rsid w:val="00640A26"/>
    <w:rsid w:val="00640A96"/>
    <w:rsid w:val="006415BF"/>
    <w:rsid w:val="00641CBD"/>
    <w:rsid w:val="00642C05"/>
    <w:rsid w:val="00643F9C"/>
    <w:rsid w:val="006455B7"/>
    <w:rsid w:val="00646446"/>
    <w:rsid w:val="00651B74"/>
    <w:rsid w:val="00655851"/>
    <w:rsid w:val="00655BF4"/>
    <w:rsid w:val="00656084"/>
    <w:rsid w:val="006620BB"/>
    <w:rsid w:val="00663490"/>
    <w:rsid w:val="00663881"/>
    <w:rsid w:val="00664553"/>
    <w:rsid w:val="006647AC"/>
    <w:rsid w:val="00677249"/>
    <w:rsid w:val="006806E1"/>
    <w:rsid w:val="0068269B"/>
    <w:rsid w:val="00683344"/>
    <w:rsid w:val="00684F25"/>
    <w:rsid w:val="0068578D"/>
    <w:rsid w:val="006863D2"/>
    <w:rsid w:val="0069043B"/>
    <w:rsid w:val="00694BAF"/>
    <w:rsid w:val="0069667B"/>
    <w:rsid w:val="006A1204"/>
    <w:rsid w:val="006A179C"/>
    <w:rsid w:val="006A2FCF"/>
    <w:rsid w:val="006A3C81"/>
    <w:rsid w:val="006A5543"/>
    <w:rsid w:val="006A62A3"/>
    <w:rsid w:val="006A7011"/>
    <w:rsid w:val="006B0841"/>
    <w:rsid w:val="006B173F"/>
    <w:rsid w:val="006B17EF"/>
    <w:rsid w:val="006B297F"/>
    <w:rsid w:val="006B4558"/>
    <w:rsid w:val="006B6CE1"/>
    <w:rsid w:val="006C0F9D"/>
    <w:rsid w:val="006C4AAD"/>
    <w:rsid w:val="006C774B"/>
    <w:rsid w:val="006D2164"/>
    <w:rsid w:val="006D5181"/>
    <w:rsid w:val="006E0E8C"/>
    <w:rsid w:val="006E330A"/>
    <w:rsid w:val="006E3468"/>
    <w:rsid w:val="006E74ED"/>
    <w:rsid w:val="006F14CC"/>
    <w:rsid w:val="006F2B8B"/>
    <w:rsid w:val="006F3C62"/>
    <w:rsid w:val="006F4D0F"/>
    <w:rsid w:val="00700E89"/>
    <w:rsid w:val="00703B7D"/>
    <w:rsid w:val="0070479A"/>
    <w:rsid w:val="00707EB6"/>
    <w:rsid w:val="00710545"/>
    <w:rsid w:val="00712F1B"/>
    <w:rsid w:val="0071437B"/>
    <w:rsid w:val="0072017B"/>
    <w:rsid w:val="007209D2"/>
    <w:rsid w:val="00722851"/>
    <w:rsid w:val="00722E6C"/>
    <w:rsid w:val="00723EC6"/>
    <w:rsid w:val="00723F50"/>
    <w:rsid w:val="007245C9"/>
    <w:rsid w:val="00724C81"/>
    <w:rsid w:val="007256B3"/>
    <w:rsid w:val="00725A62"/>
    <w:rsid w:val="00726BF8"/>
    <w:rsid w:val="00731E51"/>
    <w:rsid w:val="0073392F"/>
    <w:rsid w:val="007424AC"/>
    <w:rsid w:val="00742B56"/>
    <w:rsid w:val="00745462"/>
    <w:rsid w:val="00746D53"/>
    <w:rsid w:val="00751717"/>
    <w:rsid w:val="00751920"/>
    <w:rsid w:val="00752CB2"/>
    <w:rsid w:val="00756AC9"/>
    <w:rsid w:val="0076696D"/>
    <w:rsid w:val="00767F08"/>
    <w:rsid w:val="00775DB3"/>
    <w:rsid w:val="00776A61"/>
    <w:rsid w:val="007821B0"/>
    <w:rsid w:val="00782832"/>
    <w:rsid w:val="00784CBE"/>
    <w:rsid w:val="0078678D"/>
    <w:rsid w:val="00787FDC"/>
    <w:rsid w:val="00795BAB"/>
    <w:rsid w:val="00797B04"/>
    <w:rsid w:val="007A08D1"/>
    <w:rsid w:val="007A2DEE"/>
    <w:rsid w:val="007A3F8C"/>
    <w:rsid w:val="007A4470"/>
    <w:rsid w:val="007A6EEC"/>
    <w:rsid w:val="007A6F2A"/>
    <w:rsid w:val="007A7DF6"/>
    <w:rsid w:val="007B007C"/>
    <w:rsid w:val="007B0AC2"/>
    <w:rsid w:val="007B167C"/>
    <w:rsid w:val="007B51A0"/>
    <w:rsid w:val="007C1D57"/>
    <w:rsid w:val="007C6EAD"/>
    <w:rsid w:val="007D061D"/>
    <w:rsid w:val="007D21A1"/>
    <w:rsid w:val="007D22EB"/>
    <w:rsid w:val="007D3DD3"/>
    <w:rsid w:val="007E17BD"/>
    <w:rsid w:val="007E36EF"/>
    <w:rsid w:val="007F0763"/>
    <w:rsid w:val="007F389D"/>
    <w:rsid w:val="007F620D"/>
    <w:rsid w:val="007F7011"/>
    <w:rsid w:val="0080020E"/>
    <w:rsid w:val="00800773"/>
    <w:rsid w:val="00801AC8"/>
    <w:rsid w:val="00801CC8"/>
    <w:rsid w:val="00801CE2"/>
    <w:rsid w:val="00803E4C"/>
    <w:rsid w:val="00804EA9"/>
    <w:rsid w:val="00806984"/>
    <w:rsid w:val="00806CC9"/>
    <w:rsid w:val="00810485"/>
    <w:rsid w:val="00813868"/>
    <w:rsid w:val="00814772"/>
    <w:rsid w:val="00816D5A"/>
    <w:rsid w:val="00822E58"/>
    <w:rsid w:val="00824D72"/>
    <w:rsid w:val="00825B97"/>
    <w:rsid w:val="008276B7"/>
    <w:rsid w:val="0083393E"/>
    <w:rsid w:val="00837C3A"/>
    <w:rsid w:val="008406D1"/>
    <w:rsid w:val="00840BDA"/>
    <w:rsid w:val="00844B38"/>
    <w:rsid w:val="00846B06"/>
    <w:rsid w:val="0084775D"/>
    <w:rsid w:val="0086463A"/>
    <w:rsid w:val="00864B5C"/>
    <w:rsid w:val="00867B04"/>
    <w:rsid w:val="00871A15"/>
    <w:rsid w:val="008754ED"/>
    <w:rsid w:val="0088035F"/>
    <w:rsid w:val="00881011"/>
    <w:rsid w:val="00882B48"/>
    <w:rsid w:val="00883BA8"/>
    <w:rsid w:val="008869E8"/>
    <w:rsid w:val="00886F96"/>
    <w:rsid w:val="00887885"/>
    <w:rsid w:val="00890CE3"/>
    <w:rsid w:val="008913FC"/>
    <w:rsid w:val="00891CA8"/>
    <w:rsid w:val="00892E12"/>
    <w:rsid w:val="008A0AAB"/>
    <w:rsid w:val="008A18A5"/>
    <w:rsid w:val="008B18AF"/>
    <w:rsid w:val="008B471A"/>
    <w:rsid w:val="008B6774"/>
    <w:rsid w:val="008C0D10"/>
    <w:rsid w:val="008C1AF5"/>
    <w:rsid w:val="008C718B"/>
    <w:rsid w:val="008D158E"/>
    <w:rsid w:val="008D6381"/>
    <w:rsid w:val="008E12D5"/>
    <w:rsid w:val="008E3A3A"/>
    <w:rsid w:val="008E6367"/>
    <w:rsid w:val="008E6F60"/>
    <w:rsid w:val="008F097F"/>
    <w:rsid w:val="008F4371"/>
    <w:rsid w:val="008F558B"/>
    <w:rsid w:val="00903F11"/>
    <w:rsid w:val="0090426F"/>
    <w:rsid w:val="00906892"/>
    <w:rsid w:val="009104C3"/>
    <w:rsid w:val="00911D3C"/>
    <w:rsid w:val="00915C68"/>
    <w:rsid w:val="00916826"/>
    <w:rsid w:val="00920AB9"/>
    <w:rsid w:val="00924F7E"/>
    <w:rsid w:val="009252AB"/>
    <w:rsid w:val="0092690F"/>
    <w:rsid w:val="00927551"/>
    <w:rsid w:val="00927B1C"/>
    <w:rsid w:val="00932BA6"/>
    <w:rsid w:val="00946E1E"/>
    <w:rsid w:val="00951258"/>
    <w:rsid w:val="0095129E"/>
    <w:rsid w:val="00952084"/>
    <w:rsid w:val="00952C5B"/>
    <w:rsid w:val="00952E45"/>
    <w:rsid w:val="00954803"/>
    <w:rsid w:val="009559FC"/>
    <w:rsid w:val="00955EC4"/>
    <w:rsid w:val="00957352"/>
    <w:rsid w:val="00960248"/>
    <w:rsid w:val="0096167B"/>
    <w:rsid w:val="00961C6C"/>
    <w:rsid w:val="00962960"/>
    <w:rsid w:val="00963A7B"/>
    <w:rsid w:val="009661F0"/>
    <w:rsid w:val="00967FBA"/>
    <w:rsid w:val="009704C3"/>
    <w:rsid w:val="00973123"/>
    <w:rsid w:val="009748B6"/>
    <w:rsid w:val="00975DD8"/>
    <w:rsid w:val="009769ED"/>
    <w:rsid w:val="009846AF"/>
    <w:rsid w:val="00985820"/>
    <w:rsid w:val="009909B3"/>
    <w:rsid w:val="00996183"/>
    <w:rsid w:val="009A0B16"/>
    <w:rsid w:val="009A2CE5"/>
    <w:rsid w:val="009B35E7"/>
    <w:rsid w:val="009B64BC"/>
    <w:rsid w:val="009C0FD6"/>
    <w:rsid w:val="009C1497"/>
    <w:rsid w:val="009C30BB"/>
    <w:rsid w:val="009C55BE"/>
    <w:rsid w:val="009C577C"/>
    <w:rsid w:val="009C7382"/>
    <w:rsid w:val="009E11DE"/>
    <w:rsid w:val="009E3C50"/>
    <w:rsid w:val="009E58A7"/>
    <w:rsid w:val="009F0791"/>
    <w:rsid w:val="009F23D6"/>
    <w:rsid w:val="009F2BAE"/>
    <w:rsid w:val="009F7BB3"/>
    <w:rsid w:val="00A057F6"/>
    <w:rsid w:val="00A10D79"/>
    <w:rsid w:val="00A10F6F"/>
    <w:rsid w:val="00A11FE5"/>
    <w:rsid w:val="00A141BF"/>
    <w:rsid w:val="00A17C85"/>
    <w:rsid w:val="00A2152F"/>
    <w:rsid w:val="00A23C49"/>
    <w:rsid w:val="00A26ACC"/>
    <w:rsid w:val="00A315C8"/>
    <w:rsid w:val="00A31D96"/>
    <w:rsid w:val="00A337E4"/>
    <w:rsid w:val="00A33C65"/>
    <w:rsid w:val="00A34222"/>
    <w:rsid w:val="00A346E3"/>
    <w:rsid w:val="00A347C7"/>
    <w:rsid w:val="00A34B6F"/>
    <w:rsid w:val="00A35913"/>
    <w:rsid w:val="00A37B9A"/>
    <w:rsid w:val="00A45819"/>
    <w:rsid w:val="00A45D82"/>
    <w:rsid w:val="00A54094"/>
    <w:rsid w:val="00A56F76"/>
    <w:rsid w:val="00A57864"/>
    <w:rsid w:val="00A614CE"/>
    <w:rsid w:val="00A62108"/>
    <w:rsid w:val="00A651A7"/>
    <w:rsid w:val="00A652F0"/>
    <w:rsid w:val="00A67D76"/>
    <w:rsid w:val="00A67EB7"/>
    <w:rsid w:val="00A706B8"/>
    <w:rsid w:val="00A70759"/>
    <w:rsid w:val="00A718E4"/>
    <w:rsid w:val="00A81DAC"/>
    <w:rsid w:val="00A843AE"/>
    <w:rsid w:val="00A84982"/>
    <w:rsid w:val="00A84BB9"/>
    <w:rsid w:val="00A85CC2"/>
    <w:rsid w:val="00A87923"/>
    <w:rsid w:val="00A90951"/>
    <w:rsid w:val="00A9153E"/>
    <w:rsid w:val="00A9165F"/>
    <w:rsid w:val="00A96AD1"/>
    <w:rsid w:val="00A97524"/>
    <w:rsid w:val="00AA0306"/>
    <w:rsid w:val="00AA06A4"/>
    <w:rsid w:val="00AA0858"/>
    <w:rsid w:val="00AA0C27"/>
    <w:rsid w:val="00AA7A90"/>
    <w:rsid w:val="00AB0C2F"/>
    <w:rsid w:val="00AB0CA7"/>
    <w:rsid w:val="00AB162A"/>
    <w:rsid w:val="00AB7BA7"/>
    <w:rsid w:val="00AC39FD"/>
    <w:rsid w:val="00AC5FA8"/>
    <w:rsid w:val="00AD0977"/>
    <w:rsid w:val="00AD5176"/>
    <w:rsid w:val="00AD6E10"/>
    <w:rsid w:val="00AD7459"/>
    <w:rsid w:val="00AD7B46"/>
    <w:rsid w:val="00AE031D"/>
    <w:rsid w:val="00AE0527"/>
    <w:rsid w:val="00AE1F96"/>
    <w:rsid w:val="00AE2ABB"/>
    <w:rsid w:val="00AE356B"/>
    <w:rsid w:val="00AE45DB"/>
    <w:rsid w:val="00AE7352"/>
    <w:rsid w:val="00AF026A"/>
    <w:rsid w:val="00AF0317"/>
    <w:rsid w:val="00AF0370"/>
    <w:rsid w:val="00AF1919"/>
    <w:rsid w:val="00AF3BEA"/>
    <w:rsid w:val="00AF4A37"/>
    <w:rsid w:val="00B007C5"/>
    <w:rsid w:val="00B01D57"/>
    <w:rsid w:val="00B02CF3"/>
    <w:rsid w:val="00B040E4"/>
    <w:rsid w:val="00B04572"/>
    <w:rsid w:val="00B051CA"/>
    <w:rsid w:val="00B05FBE"/>
    <w:rsid w:val="00B11343"/>
    <w:rsid w:val="00B11571"/>
    <w:rsid w:val="00B15F80"/>
    <w:rsid w:val="00B16C2D"/>
    <w:rsid w:val="00B20AFC"/>
    <w:rsid w:val="00B2458B"/>
    <w:rsid w:val="00B2495A"/>
    <w:rsid w:val="00B25607"/>
    <w:rsid w:val="00B26F7D"/>
    <w:rsid w:val="00B27F60"/>
    <w:rsid w:val="00B3771F"/>
    <w:rsid w:val="00B41240"/>
    <w:rsid w:val="00B47392"/>
    <w:rsid w:val="00B50D50"/>
    <w:rsid w:val="00B53039"/>
    <w:rsid w:val="00B53298"/>
    <w:rsid w:val="00B53CB2"/>
    <w:rsid w:val="00B54C05"/>
    <w:rsid w:val="00B55F32"/>
    <w:rsid w:val="00B56579"/>
    <w:rsid w:val="00B64BCC"/>
    <w:rsid w:val="00B71630"/>
    <w:rsid w:val="00B741F6"/>
    <w:rsid w:val="00B830FD"/>
    <w:rsid w:val="00B91657"/>
    <w:rsid w:val="00B92550"/>
    <w:rsid w:val="00B9513F"/>
    <w:rsid w:val="00BA1653"/>
    <w:rsid w:val="00BA401A"/>
    <w:rsid w:val="00BA5AC2"/>
    <w:rsid w:val="00BA6B58"/>
    <w:rsid w:val="00BA72E3"/>
    <w:rsid w:val="00BB2B03"/>
    <w:rsid w:val="00BB45E9"/>
    <w:rsid w:val="00BC0D8B"/>
    <w:rsid w:val="00BC11AB"/>
    <w:rsid w:val="00BC2FC2"/>
    <w:rsid w:val="00BC3DFE"/>
    <w:rsid w:val="00BC4CD1"/>
    <w:rsid w:val="00BC5531"/>
    <w:rsid w:val="00BC78EB"/>
    <w:rsid w:val="00BC7F42"/>
    <w:rsid w:val="00BD0DC1"/>
    <w:rsid w:val="00BD24D6"/>
    <w:rsid w:val="00BD6CBB"/>
    <w:rsid w:val="00BE2BB9"/>
    <w:rsid w:val="00BE52A8"/>
    <w:rsid w:val="00BE5AFE"/>
    <w:rsid w:val="00BE6DDE"/>
    <w:rsid w:val="00BF026F"/>
    <w:rsid w:val="00BF3C91"/>
    <w:rsid w:val="00BF769E"/>
    <w:rsid w:val="00BF79ED"/>
    <w:rsid w:val="00C00B49"/>
    <w:rsid w:val="00C00FAC"/>
    <w:rsid w:val="00C0290B"/>
    <w:rsid w:val="00C05A74"/>
    <w:rsid w:val="00C10747"/>
    <w:rsid w:val="00C13AA6"/>
    <w:rsid w:val="00C15917"/>
    <w:rsid w:val="00C22097"/>
    <w:rsid w:val="00C22C8C"/>
    <w:rsid w:val="00C235EF"/>
    <w:rsid w:val="00C239D4"/>
    <w:rsid w:val="00C25FDC"/>
    <w:rsid w:val="00C34A91"/>
    <w:rsid w:val="00C3570C"/>
    <w:rsid w:val="00C368AD"/>
    <w:rsid w:val="00C36BCE"/>
    <w:rsid w:val="00C377BC"/>
    <w:rsid w:val="00C41648"/>
    <w:rsid w:val="00C4502C"/>
    <w:rsid w:val="00C45A49"/>
    <w:rsid w:val="00C46C33"/>
    <w:rsid w:val="00C5104E"/>
    <w:rsid w:val="00C53CDA"/>
    <w:rsid w:val="00C54C5A"/>
    <w:rsid w:val="00C5559E"/>
    <w:rsid w:val="00C60E61"/>
    <w:rsid w:val="00C64302"/>
    <w:rsid w:val="00C678C6"/>
    <w:rsid w:val="00C67C8A"/>
    <w:rsid w:val="00C67F83"/>
    <w:rsid w:val="00C704D8"/>
    <w:rsid w:val="00C70D78"/>
    <w:rsid w:val="00C71A9C"/>
    <w:rsid w:val="00C74972"/>
    <w:rsid w:val="00C805A1"/>
    <w:rsid w:val="00C839F7"/>
    <w:rsid w:val="00C90287"/>
    <w:rsid w:val="00C90A93"/>
    <w:rsid w:val="00C91703"/>
    <w:rsid w:val="00C93058"/>
    <w:rsid w:val="00C93BF3"/>
    <w:rsid w:val="00C941E2"/>
    <w:rsid w:val="00C947A9"/>
    <w:rsid w:val="00C94CE2"/>
    <w:rsid w:val="00C96289"/>
    <w:rsid w:val="00CA0444"/>
    <w:rsid w:val="00CA0B15"/>
    <w:rsid w:val="00CA5F75"/>
    <w:rsid w:val="00CA6CAE"/>
    <w:rsid w:val="00CA6F26"/>
    <w:rsid w:val="00CB61F6"/>
    <w:rsid w:val="00CB7253"/>
    <w:rsid w:val="00CB7557"/>
    <w:rsid w:val="00CC1ECA"/>
    <w:rsid w:val="00CC20C8"/>
    <w:rsid w:val="00CC3245"/>
    <w:rsid w:val="00CC3E98"/>
    <w:rsid w:val="00CD07B4"/>
    <w:rsid w:val="00CD3FB0"/>
    <w:rsid w:val="00CD667A"/>
    <w:rsid w:val="00CE23C1"/>
    <w:rsid w:val="00CE5B91"/>
    <w:rsid w:val="00CF13EE"/>
    <w:rsid w:val="00D0011E"/>
    <w:rsid w:val="00D03E8A"/>
    <w:rsid w:val="00D046FA"/>
    <w:rsid w:val="00D10906"/>
    <w:rsid w:val="00D125EC"/>
    <w:rsid w:val="00D12F70"/>
    <w:rsid w:val="00D154DA"/>
    <w:rsid w:val="00D17860"/>
    <w:rsid w:val="00D22080"/>
    <w:rsid w:val="00D23CAE"/>
    <w:rsid w:val="00D26410"/>
    <w:rsid w:val="00D267F2"/>
    <w:rsid w:val="00D3084D"/>
    <w:rsid w:val="00D31B0D"/>
    <w:rsid w:val="00D32C4D"/>
    <w:rsid w:val="00D3450D"/>
    <w:rsid w:val="00D36981"/>
    <w:rsid w:val="00D3701F"/>
    <w:rsid w:val="00D42EFE"/>
    <w:rsid w:val="00D43CEB"/>
    <w:rsid w:val="00D44900"/>
    <w:rsid w:val="00D476D7"/>
    <w:rsid w:val="00D47C5B"/>
    <w:rsid w:val="00D51148"/>
    <w:rsid w:val="00D51361"/>
    <w:rsid w:val="00D54D43"/>
    <w:rsid w:val="00D5531A"/>
    <w:rsid w:val="00D5647F"/>
    <w:rsid w:val="00D610E7"/>
    <w:rsid w:val="00D623C5"/>
    <w:rsid w:val="00D655DE"/>
    <w:rsid w:val="00D678F8"/>
    <w:rsid w:val="00D71ADA"/>
    <w:rsid w:val="00D76BC0"/>
    <w:rsid w:val="00D91954"/>
    <w:rsid w:val="00D9476C"/>
    <w:rsid w:val="00DA09C5"/>
    <w:rsid w:val="00DA30CF"/>
    <w:rsid w:val="00DA6E80"/>
    <w:rsid w:val="00DB16CB"/>
    <w:rsid w:val="00DB1DB4"/>
    <w:rsid w:val="00DC10AB"/>
    <w:rsid w:val="00DC6FC6"/>
    <w:rsid w:val="00DD023D"/>
    <w:rsid w:val="00DD16E1"/>
    <w:rsid w:val="00DD2477"/>
    <w:rsid w:val="00DD24E0"/>
    <w:rsid w:val="00DD494D"/>
    <w:rsid w:val="00DE3DB6"/>
    <w:rsid w:val="00DE43D4"/>
    <w:rsid w:val="00DE4B0D"/>
    <w:rsid w:val="00DE6186"/>
    <w:rsid w:val="00DF03BC"/>
    <w:rsid w:val="00DF4E17"/>
    <w:rsid w:val="00DF53C0"/>
    <w:rsid w:val="00DF580F"/>
    <w:rsid w:val="00DF7F76"/>
    <w:rsid w:val="00E0137B"/>
    <w:rsid w:val="00E0155D"/>
    <w:rsid w:val="00E02C95"/>
    <w:rsid w:val="00E02D16"/>
    <w:rsid w:val="00E0332E"/>
    <w:rsid w:val="00E03AFE"/>
    <w:rsid w:val="00E04DD3"/>
    <w:rsid w:val="00E065DA"/>
    <w:rsid w:val="00E07715"/>
    <w:rsid w:val="00E11710"/>
    <w:rsid w:val="00E143EA"/>
    <w:rsid w:val="00E22354"/>
    <w:rsid w:val="00E26B1E"/>
    <w:rsid w:val="00E309A2"/>
    <w:rsid w:val="00E30C12"/>
    <w:rsid w:val="00E310A4"/>
    <w:rsid w:val="00E3164F"/>
    <w:rsid w:val="00E3545C"/>
    <w:rsid w:val="00E4083C"/>
    <w:rsid w:val="00E437C5"/>
    <w:rsid w:val="00E44060"/>
    <w:rsid w:val="00E4652E"/>
    <w:rsid w:val="00E52037"/>
    <w:rsid w:val="00E52F8A"/>
    <w:rsid w:val="00E62510"/>
    <w:rsid w:val="00E62D52"/>
    <w:rsid w:val="00E63800"/>
    <w:rsid w:val="00E63B57"/>
    <w:rsid w:val="00E64043"/>
    <w:rsid w:val="00E71D10"/>
    <w:rsid w:val="00E72912"/>
    <w:rsid w:val="00E73FE2"/>
    <w:rsid w:val="00E74605"/>
    <w:rsid w:val="00E759D5"/>
    <w:rsid w:val="00E75DB0"/>
    <w:rsid w:val="00E76BE0"/>
    <w:rsid w:val="00E80456"/>
    <w:rsid w:val="00E80D95"/>
    <w:rsid w:val="00E835FD"/>
    <w:rsid w:val="00E83E28"/>
    <w:rsid w:val="00E86F8D"/>
    <w:rsid w:val="00E87878"/>
    <w:rsid w:val="00E90F43"/>
    <w:rsid w:val="00E91993"/>
    <w:rsid w:val="00E956F3"/>
    <w:rsid w:val="00E9593E"/>
    <w:rsid w:val="00EA51CD"/>
    <w:rsid w:val="00EA7631"/>
    <w:rsid w:val="00EB1F89"/>
    <w:rsid w:val="00EB27E4"/>
    <w:rsid w:val="00EB5508"/>
    <w:rsid w:val="00EB6848"/>
    <w:rsid w:val="00EC4839"/>
    <w:rsid w:val="00EC67EF"/>
    <w:rsid w:val="00EC755A"/>
    <w:rsid w:val="00EC7B3D"/>
    <w:rsid w:val="00EC7EFD"/>
    <w:rsid w:val="00ED0B4E"/>
    <w:rsid w:val="00ED36D8"/>
    <w:rsid w:val="00EE3E72"/>
    <w:rsid w:val="00EE6086"/>
    <w:rsid w:val="00EE6B92"/>
    <w:rsid w:val="00EE7228"/>
    <w:rsid w:val="00EF4071"/>
    <w:rsid w:val="00EF4EF2"/>
    <w:rsid w:val="00EF5FB4"/>
    <w:rsid w:val="00EF765F"/>
    <w:rsid w:val="00F01A27"/>
    <w:rsid w:val="00F028DE"/>
    <w:rsid w:val="00F04819"/>
    <w:rsid w:val="00F0533E"/>
    <w:rsid w:val="00F0585C"/>
    <w:rsid w:val="00F064F6"/>
    <w:rsid w:val="00F107B7"/>
    <w:rsid w:val="00F11114"/>
    <w:rsid w:val="00F11F57"/>
    <w:rsid w:val="00F1226E"/>
    <w:rsid w:val="00F133F2"/>
    <w:rsid w:val="00F1392A"/>
    <w:rsid w:val="00F14BA8"/>
    <w:rsid w:val="00F15EF8"/>
    <w:rsid w:val="00F22671"/>
    <w:rsid w:val="00F23380"/>
    <w:rsid w:val="00F255F3"/>
    <w:rsid w:val="00F3544D"/>
    <w:rsid w:val="00F36B03"/>
    <w:rsid w:val="00F36E53"/>
    <w:rsid w:val="00F403DD"/>
    <w:rsid w:val="00F40E8F"/>
    <w:rsid w:val="00F4301B"/>
    <w:rsid w:val="00F4316C"/>
    <w:rsid w:val="00F43B9E"/>
    <w:rsid w:val="00F46176"/>
    <w:rsid w:val="00F5149E"/>
    <w:rsid w:val="00F5195E"/>
    <w:rsid w:val="00F56A74"/>
    <w:rsid w:val="00F57AD9"/>
    <w:rsid w:val="00F60933"/>
    <w:rsid w:val="00F675A8"/>
    <w:rsid w:val="00F675CA"/>
    <w:rsid w:val="00F67CAE"/>
    <w:rsid w:val="00F70E8C"/>
    <w:rsid w:val="00F75DAD"/>
    <w:rsid w:val="00F832E5"/>
    <w:rsid w:val="00F85DD6"/>
    <w:rsid w:val="00F870A3"/>
    <w:rsid w:val="00F87C4A"/>
    <w:rsid w:val="00F91762"/>
    <w:rsid w:val="00F9405B"/>
    <w:rsid w:val="00FA0FE2"/>
    <w:rsid w:val="00FA20A4"/>
    <w:rsid w:val="00FA34E8"/>
    <w:rsid w:val="00FA3D57"/>
    <w:rsid w:val="00FA48EE"/>
    <w:rsid w:val="00FA788A"/>
    <w:rsid w:val="00FA7D4E"/>
    <w:rsid w:val="00FB1644"/>
    <w:rsid w:val="00FB1B9A"/>
    <w:rsid w:val="00FB2D86"/>
    <w:rsid w:val="00FB6782"/>
    <w:rsid w:val="00FC06DC"/>
    <w:rsid w:val="00FC24F6"/>
    <w:rsid w:val="00FC7031"/>
    <w:rsid w:val="00FD32F5"/>
    <w:rsid w:val="00FD549D"/>
    <w:rsid w:val="00FD60C9"/>
    <w:rsid w:val="00FD6374"/>
    <w:rsid w:val="00FD703A"/>
    <w:rsid w:val="00FD7D4C"/>
    <w:rsid w:val="00FE420A"/>
    <w:rsid w:val="00FF04CC"/>
    <w:rsid w:val="00FF2E2D"/>
    <w:rsid w:val="00FF4A84"/>
    <w:rsid w:val="00FF4C23"/>
    <w:rsid w:val="00FF650B"/>
    <w:rsid w:val="00FF6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D10529"/>
  <w15:chartTrackingRefBased/>
  <w15:docId w15:val="{44098360-5269-4559-BD59-EF811C6B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DE3DB6"/>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0E29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5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qFormat/>
    <w:rsid w:val="002B0820"/>
    <w:rPr>
      <w:sz w:val="16"/>
      <w:szCs w:val="16"/>
    </w:rPr>
  </w:style>
  <w:style w:type="paragraph" w:styleId="CommentText">
    <w:name w:val="annotation text"/>
    <w:basedOn w:val="Normal"/>
    <w:link w:val="CommentTextChar"/>
    <w:uiPriority w:val="99"/>
    <w:qFormat/>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1F56BB"/>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352361"/>
    <w:rPr>
      <w:rFonts w:ascii="Courier" w:eastAsia="Times New Roman" w:hAnsi="Courier"/>
      <w:snapToGrid w:val="0"/>
    </w:rPr>
  </w:style>
  <w:style w:type="character" w:customStyle="1" w:styleId="Heading1Char">
    <w:name w:val="Heading 1 Char"/>
    <w:basedOn w:val="DefaultParagraphFont"/>
    <w:link w:val="Heading1"/>
    <w:rsid w:val="00B41240"/>
    <w:rPr>
      <w:rFonts w:ascii="Courier New" w:eastAsia="Times New Roman" w:hAnsi="Courier New" w:cs="Courier New"/>
      <w:b/>
      <w:bCs/>
      <w:snapToGrid w:val="0"/>
      <w:sz w:val="24"/>
      <w:szCs w:val="24"/>
    </w:rPr>
  </w:style>
  <w:style w:type="paragraph" w:styleId="FootnoteText">
    <w:name w:val="footnote text"/>
    <w:aliases w:val="F1"/>
    <w:basedOn w:val="Normal"/>
    <w:link w:val="FootnoteTextChar"/>
    <w:rsid w:val="00E835FD"/>
    <w:rPr>
      <w:sz w:val="20"/>
      <w:szCs w:val="20"/>
    </w:rPr>
  </w:style>
  <w:style w:type="character" w:customStyle="1" w:styleId="FootnoteTextChar">
    <w:name w:val="Footnote Text Char"/>
    <w:aliases w:val="F1 Char"/>
    <w:basedOn w:val="DefaultParagraphFont"/>
    <w:link w:val="FootnoteText"/>
    <w:rsid w:val="00E835FD"/>
    <w:rPr>
      <w:rFonts w:ascii="Courier" w:eastAsia="Times New Roman" w:hAnsi="Courier"/>
      <w:snapToGrid w:val="0"/>
    </w:rPr>
  </w:style>
  <w:style w:type="character" w:styleId="FootnoteReference">
    <w:name w:val="footnote reference"/>
    <w:basedOn w:val="DefaultParagraphFont"/>
    <w:uiPriority w:val="99"/>
    <w:rsid w:val="00E835FD"/>
    <w:rPr>
      <w:vertAlign w:val="superscript"/>
    </w:rPr>
  </w:style>
  <w:style w:type="paragraph" w:customStyle="1" w:styleId="font12em">
    <w:name w:val="font1_2em"/>
    <w:basedOn w:val="Normal"/>
    <w:rsid w:val="00E835FD"/>
    <w:pPr>
      <w:widowControl/>
      <w:spacing w:before="100" w:beforeAutospacing="1" w:after="100" w:afterAutospacing="1"/>
    </w:pPr>
    <w:rPr>
      <w:rFonts w:ascii="Times New Roman" w:hAnsi="Times New Roman"/>
      <w:snapToGrid/>
    </w:rPr>
  </w:style>
  <w:style w:type="character" w:styleId="Emphasis">
    <w:name w:val="Emphasis"/>
    <w:basedOn w:val="DefaultParagraphFont"/>
    <w:uiPriority w:val="20"/>
    <w:qFormat/>
    <w:rsid w:val="00E835FD"/>
    <w:rPr>
      <w:i/>
      <w:iCs/>
    </w:rPr>
  </w:style>
  <w:style w:type="paragraph" w:customStyle="1" w:styleId="R1-ResPara">
    <w:name w:val="R1-Res. Para"/>
    <w:basedOn w:val="Normal"/>
    <w:rsid w:val="00B26F7D"/>
    <w:pPr>
      <w:widowControl/>
      <w:spacing w:line="240" w:lineRule="atLeast"/>
      <w:ind w:left="288"/>
    </w:pPr>
    <w:rPr>
      <w:rFonts w:ascii="Garamond" w:hAnsi="Garamond"/>
      <w:snapToGrid/>
      <w:szCs w:val="20"/>
    </w:rPr>
  </w:style>
  <w:style w:type="character" w:customStyle="1" w:styleId="FooterChar">
    <w:name w:val="Footer Char"/>
    <w:basedOn w:val="DefaultParagraphFont"/>
    <w:link w:val="Footer"/>
    <w:uiPriority w:val="99"/>
    <w:rsid w:val="00655BF4"/>
    <w:rPr>
      <w:rFonts w:ascii="Courier" w:eastAsia="Times New Roman" w:hAnsi="Courier"/>
      <w:snapToGrid w:val="0"/>
      <w:sz w:val="24"/>
      <w:szCs w:val="24"/>
    </w:rPr>
  </w:style>
  <w:style w:type="paragraph" w:styleId="Caption">
    <w:name w:val="caption"/>
    <w:basedOn w:val="Normal"/>
    <w:next w:val="Normal"/>
    <w:unhideWhenUsed/>
    <w:qFormat/>
    <w:rsid w:val="00806CC9"/>
    <w:pPr>
      <w:spacing w:after="200"/>
    </w:pPr>
    <w:rPr>
      <w:i/>
      <w:iCs/>
      <w:color w:val="44546A" w:themeColor="text2"/>
      <w:sz w:val="18"/>
      <w:szCs w:val="18"/>
    </w:rPr>
  </w:style>
  <w:style w:type="paragraph" w:customStyle="1" w:styleId="B1-1stLevelCalloutBullet">
    <w:name w:val="B1-1st Level Callout Bullet"/>
    <w:rsid w:val="00A34B6F"/>
    <w:pPr>
      <w:numPr>
        <w:numId w:val="2"/>
      </w:numPr>
      <w:spacing w:line="240" w:lineRule="atLeast"/>
    </w:pPr>
    <w:rPr>
      <w:rFonts w:eastAsia="Times New Roman" w:asciiTheme="minorHAnsi" w:hAnsiTheme="minorHAnsi"/>
      <w:color w:val="00467F"/>
      <w:szCs w:val="24"/>
    </w:rPr>
  </w:style>
  <w:style w:type="paragraph" w:customStyle="1" w:styleId="B2-2ndLevelCalloutBullet">
    <w:name w:val="B2-2nd Level Callout Bullet"/>
    <w:basedOn w:val="B1-1stLevelCalloutBullet"/>
    <w:qFormat/>
    <w:rsid w:val="00A34B6F"/>
    <w:pPr>
      <w:numPr>
        <w:ilvl w:val="1"/>
      </w:numPr>
    </w:pPr>
  </w:style>
  <w:style w:type="paragraph" w:customStyle="1" w:styleId="L1-FlLSp12">
    <w:name w:val="L1-FlL Sp&amp;1/2"/>
    <w:basedOn w:val="Normal"/>
    <w:link w:val="L1-FlLSp12Char"/>
    <w:qFormat/>
    <w:rsid w:val="00A34B6F"/>
    <w:pPr>
      <w:widowControl/>
      <w:tabs>
        <w:tab w:val="left" w:pos="1152"/>
      </w:tabs>
      <w:spacing w:after="240"/>
    </w:pPr>
    <w:rPr>
      <w:rFonts w:asciiTheme="majorHAnsi" w:eastAsiaTheme="minorEastAsia" w:hAnsiTheme="majorHAnsi" w:cstheme="minorBidi"/>
      <w:snapToGrid/>
      <w:sz w:val="22"/>
      <w:szCs w:val="20"/>
      <w:lang w:eastAsia="ja-JP"/>
    </w:rPr>
  </w:style>
  <w:style w:type="character" w:customStyle="1" w:styleId="L1-FlLSp12Char">
    <w:name w:val="L1-FlL Sp&amp;1/2 Char"/>
    <w:basedOn w:val="DefaultParagraphFont"/>
    <w:link w:val="L1-FlLSp12"/>
    <w:rsid w:val="00A34B6F"/>
    <w:rPr>
      <w:rFonts w:asciiTheme="majorHAnsi" w:eastAsiaTheme="minorEastAsia" w:hAnsiTheme="majorHAnsi" w:cstheme="minorBidi"/>
      <w:sz w:val="22"/>
      <w:lang w:eastAsia="ja-JP"/>
    </w:rPr>
  </w:style>
  <w:style w:type="paragraph" w:customStyle="1" w:styleId="SL-FlLftSgl">
    <w:name w:val="SL-Fl Lft Sgl"/>
    <w:basedOn w:val="Normal"/>
    <w:link w:val="SL-FlLftSglChar"/>
    <w:rsid w:val="000E2990"/>
    <w:pPr>
      <w:widowControl/>
    </w:pPr>
    <w:rPr>
      <w:rFonts w:asciiTheme="majorHAnsi" w:eastAsiaTheme="minorEastAsia" w:hAnsiTheme="majorHAnsi" w:cstheme="minorBidi"/>
      <w:snapToGrid/>
      <w:sz w:val="22"/>
      <w:szCs w:val="22"/>
      <w:lang w:eastAsia="ja-JP"/>
    </w:rPr>
  </w:style>
  <w:style w:type="paragraph" w:customStyle="1" w:styleId="TH-TableHeading">
    <w:name w:val="TH-Table Heading"/>
    <w:rsid w:val="000E2990"/>
    <w:pPr>
      <w:jc w:val="center"/>
    </w:pPr>
    <w:rPr>
      <w:rFonts w:eastAsia="Times New Roman" w:asciiTheme="minorHAnsi" w:hAnsiTheme="minorHAnsi" w:cstheme="minorHAnsi"/>
      <w:b/>
      <w:color w:val="00467F"/>
    </w:rPr>
  </w:style>
  <w:style w:type="paragraph" w:customStyle="1" w:styleId="TX-TableText">
    <w:name w:val="TX-Table Text"/>
    <w:rsid w:val="000E2990"/>
    <w:rPr>
      <w:rFonts w:eastAsia="Times New Roman" w:asciiTheme="minorHAnsi" w:hAnsiTheme="minorHAnsi" w:cstheme="minorHAnsi"/>
      <w:color w:val="00467F"/>
    </w:rPr>
  </w:style>
  <w:style w:type="paragraph" w:customStyle="1" w:styleId="ET-ExhibitTitle">
    <w:name w:val="ET-Exhibit Title"/>
    <w:basedOn w:val="Heading5"/>
    <w:next w:val="TH-TableHeading"/>
    <w:link w:val="ET-ExhibitTitleChar"/>
    <w:rsid w:val="000E2990"/>
    <w:pPr>
      <w:widowControl/>
      <w:pBdr>
        <w:top w:val="single" w:sz="4" w:space="4" w:color="00467F"/>
        <w:left w:val="single" w:sz="4" w:space="6" w:color="00467F"/>
        <w:bottom w:val="single" w:sz="4" w:space="4" w:color="00467F"/>
        <w:right w:val="single" w:sz="4" w:space="6" w:color="00467F"/>
      </w:pBdr>
      <w:shd w:val="clear" w:color="auto" w:fill="00467F"/>
      <w:spacing w:before="120"/>
      <w:ind w:left="1440" w:right="158" w:hanging="1282"/>
    </w:pPr>
    <w:rPr>
      <w:rFonts w:asciiTheme="minorHAnsi" w:eastAsiaTheme="minorEastAsia" w:hAnsiTheme="minorHAnsi" w:cstheme="minorBidi"/>
      <w:b/>
      <w:snapToGrid/>
      <w:color w:val="FFFFFF" w:themeColor="background1"/>
      <w:kern w:val="2"/>
      <w:position w:val="6"/>
      <w:sz w:val="22"/>
      <w:szCs w:val="22"/>
      <w:lang w:eastAsia="ja-JP"/>
    </w:rPr>
  </w:style>
  <w:style w:type="character" w:customStyle="1" w:styleId="ET-ExhibitTitleChar">
    <w:name w:val="ET-Exhibit Title Char"/>
    <w:basedOn w:val="DefaultParagraphFont"/>
    <w:link w:val="ET-ExhibitTitle"/>
    <w:rsid w:val="000E2990"/>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customStyle="1" w:styleId="0-MatrixTable-Blue">
    <w:name w:val="0-Matrix Table-Blue"/>
    <w:basedOn w:val="TableNormal"/>
    <w:uiPriority w:val="99"/>
    <w:rsid w:val="000E2990"/>
    <w:rPr>
      <w:rFonts w:eastAsia="Times New Roman"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43" w:leftChars="0"/>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character" w:customStyle="1" w:styleId="SL-FlLftSglChar">
    <w:name w:val="SL-Fl Lft Sgl Char"/>
    <w:link w:val="SL-FlLftSgl"/>
    <w:rsid w:val="000E2990"/>
    <w:rPr>
      <w:rFonts w:asciiTheme="majorHAnsi" w:eastAsiaTheme="minorEastAsia" w:hAnsiTheme="majorHAnsi" w:cstheme="minorBidi"/>
      <w:sz w:val="22"/>
      <w:szCs w:val="22"/>
      <w:lang w:eastAsia="ja-JP"/>
    </w:rPr>
  </w:style>
  <w:style w:type="table" w:customStyle="1" w:styleId="D3Table-Blue">
    <w:name w:val="D3 Table-Blue"/>
    <w:basedOn w:val="TableNormal"/>
    <w:uiPriority w:val="99"/>
    <w:rsid w:val="000E2990"/>
    <w:rPr>
      <w:rFonts w:eastAsia="Times New Roman"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character" w:styleId="SubtleReference">
    <w:name w:val="Subtle Reference"/>
    <w:basedOn w:val="DefaultParagraphFont"/>
    <w:uiPriority w:val="31"/>
    <w:qFormat/>
    <w:rsid w:val="000E2990"/>
    <w:rPr>
      <w:smallCaps/>
      <w:color w:val="5A5A5A" w:themeColor="text1" w:themeTint="A5"/>
    </w:rPr>
  </w:style>
  <w:style w:type="character" w:customStyle="1" w:styleId="Heading5Char">
    <w:name w:val="Heading 5 Char"/>
    <w:basedOn w:val="DefaultParagraphFont"/>
    <w:link w:val="Heading5"/>
    <w:semiHidden/>
    <w:rsid w:val="000E2990"/>
    <w:rPr>
      <w:rFonts w:asciiTheme="majorHAnsi" w:eastAsiaTheme="majorEastAsia" w:hAnsiTheme="majorHAnsi" w:cstheme="majorBidi"/>
      <w:snapToGrid w:val="0"/>
      <w:color w:val="2E74B5" w:themeColor="accent1" w:themeShade="BF"/>
      <w:sz w:val="24"/>
      <w:szCs w:val="24"/>
    </w:rPr>
  </w:style>
  <w:style w:type="paragraph" w:customStyle="1" w:styleId="TB-TableBullet">
    <w:name w:val="TB-Table Bullet"/>
    <w:basedOn w:val="TX-TableText"/>
    <w:qFormat/>
    <w:rsid w:val="000E2990"/>
    <w:pPr>
      <w:numPr>
        <w:numId w:val="3"/>
      </w:numPr>
    </w:pPr>
  </w:style>
  <w:style w:type="paragraph" w:customStyle="1" w:styleId="NL-1stNumberedBullet">
    <w:name w:val="NL-1st Numbered Bullet"/>
    <w:basedOn w:val="Normal"/>
    <w:qFormat/>
    <w:rsid w:val="00DE3DB6"/>
    <w:pPr>
      <w:widowControl/>
      <w:numPr>
        <w:numId w:val="4"/>
      </w:numPr>
      <w:spacing w:after="240"/>
    </w:pPr>
    <w:rPr>
      <w:rFonts w:asciiTheme="majorHAnsi" w:eastAsiaTheme="minorEastAsia" w:hAnsiTheme="majorHAnsi" w:cstheme="minorBidi"/>
      <w:snapToGrid/>
      <w:sz w:val="22"/>
      <w:szCs w:val="20"/>
      <w:lang w:eastAsia="ja-JP"/>
    </w:rPr>
  </w:style>
  <w:style w:type="character" w:customStyle="1" w:styleId="Heading3Char">
    <w:name w:val="Heading 3 Char"/>
    <w:basedOn w:val="DefaultParagraphFont"/>
    <w:link w:val="Heading3"/>
    <w:semiHidden/>
    <w:rsid w:val="00DE3DB6"/>
    <w:rPr>
      <w:rFonts w:asciiTheme="majorHAnsi" w:eastAsiaTheme="majorEastAsia" w:hAnsiTheme="majorHAnsi" w:cstheme="majorBidi"/>
      <w:snapToGrid w:val="0"/>
      <w:color w:val="1F4D78" w:themeColor="accent1" w:themeShade="7F"/>
      <w:sz w:val="24"/>
      <w:szCs w:val="24"/>
    </w:rPr>
  </w:style>
  <w:style w:type="paragraph" w:customStyle="1" w:styleId="SP-SglSpBoxText">
    <w:name w:val="SP-Sgl Sp Box Text"/>
    <w:rsid w:val="00DE3DB6"/>
    <w:pPr>
      <w:spacing w:before="60" w:after="60" w:line="240" w:lineRule="atLeast"/>
      <w:ind w:left="144" w:right="72"/>
    </w:pPr>
    <w:rPr>
      <w:rFonts w:asciiTheme="minorHAnsi" w:eastAsiaTheme="minorEastAsia" w:hAnsiTheme="minorHAnsi" w:cstheme="minorBidi"/>
      <w:color w:val="00467F"/>
      <w:szCs w:val="22"/>
      <w:lang w:eastAsia="ko-KR"/>
    </w:rPr>
  </w:style>
  <w:style w:type="paragraph" w:customStyle="1" w:styleId="CT-CalloutBoxTitle">
    <w:name w:val="CT-CalloutBox Title"/>
    <w:qFormat/>
    <w:rsid w:val="00DE3DB6"/>
    <w:pPr>
      <w:jc w:val="center"/>
    </w:pPr>
    <w:rPr>
      <w:rFonts w:asciiTheme="minorHAnsi" w:eastAsiaTheme="minorEastAsia" w:hAnsiTheme="minorHAnsi"/>
      <w:b/>
      <w:color w:val="00467F"/>
      <w:sz w:val="22"/>
      <w:szCs w:val="22"/>
      <w:lang w:eastAsia="ko-KR"/>
    </w:rPr>
  </w:style>
  <w:style w:type="character" w:customStyle="1" w:styleId="cf01">
    <w:name w:val="cf01"/>
    <w:basedOn w:val="DefaultParagraphFont"/>
    <w:rsid w:val="00A96AD1"/>
    <w:rPr>
      <w:rFonts w:ascii="Segoe UI" w:hAnsi="Segoe UI" w:cs="Segoe UI" w:hint="default"/>
      <w:sz w:val="18"/>
      <w:szCs w:val="18"/>
    </w:rPr>
  </w:style>
  <w:style w:type="character" w:styleId="Mention">
    <w:name w:val="Mention"/>
    <w:basedOn w:val="DefaultParagraphFont"/>
    <w:uiPriority w:val="99"/>
    <w:unhideWhenUsed/>
    <w:rsid w:val="00CA0444"/>
    <w:rPr>
      <w:color w:val="2B579A"/>
      <w:shd w:val="clear" w:color="auto" w:fill="E1DFDD"/>
    </w:rPr>
  </w:style>
  <w:style w:type="character" w:customStyle="1" w:styleId="eop">
    <w:name w:val="eop"/>
    <w:basedOn w:val="DefaultParagraphFont"/>
    <w:rsid w:val="00BC2FC2"/>
  </w:style>
  <w:style w:type="paragraph" w:customStyle="1" w:styleId="paragraph">
    <w:name w:val="paragraph"/>
    <w:basedOn w:val="Normal"/>
    <w:rsid w:val="00080970"/>
    <w:pPr>
      <w:widowControl/>
      <w:spacing w:before="100" w:beforeAutospacing="1" w:after="100" w:afterAutospacing="1"/>
    </w:pPr>
    <w:rPr>
      <w:rFonts w:ascii="Times New Roman" w:hAnsi="Times New Roman"/>
      <w:snapToGrid/>
    </w:rPr>
  </w:style>
  <w:style w:type="character" w:styleId="UnresolvedMention">
    <w:name w:val="Unresolved Mention"/>
    <w:basedOn w:val="DefaultParagraphFont"/>
    <w:uiPriority w:val="99"/>
    <w:semiHidden/>
    <w:unhideWhenUsed/>
    <w:rsid w:val="00EB6848"/>
    <w:rPr>
      <w:color w:val="605E5C"/>
      <w:shd w:val="clear" w:color="auto" w:fill="E1DFDD"/>
    </w:rPr>
  </w:style>
  <w:style w:type="paragraph" w:customStyle="1" w:styleId="pf0">
    <w:name w:val="pf0"/>
    <w:basedOn w:val="Normal"/>
    <w:rsid w:val="008869E8"/>
    <w:pPr>
      <w:widowControl/>
      <w:spacing w:before="100" w:beforeAutospacing="1" w:after="100" w:afterAutospacing="1"/>
    </w:pPr>
    <w:rPr>
      <w:rFonts w:ascii="Times New Roman" w:hAnsi="Times New Roman"/>
      <w:snapToGrid/>
    </w:rPr>
  </w:style>
  <w:style w:type="character" w:customStyle="1" w:styleId="cf11">
    <w:name w:val="cf11"/>
    <w:basedOn w:val="DefaultParagraphFont"/>
    <w:rsid w:val="008869E8"/>
    <w:rPr>
      <w:rFonts w:ascii="Segoe UI" w:hAnsi="Segoe UI" w:cs="Segoe UI" w:hint="default"/>
      <w:color w:val="2A2A2A"/>
      <w:sz w:val="18"/>
      <w:szCs w:val="18"/>
    </w:rPr>
  </w:style>
  <w:style w:type="character" w:customStyle="1" w:styleId="cf21">
    <w:name w:val="cf21"/>
    <w:basedOn w:val="DefaultParagraphFont"/>
    <w:rsid w:val="008869E8"/>
    <w:rPr>
      <w:rFonts w:ascii="Segoe UI" w:hAnsi="Segoe UI" w:cs="Segoe UI" w:hint="default"/>
      <w:i/>
      <w:iCs/>
      <w:color w:val="2A2A2A"/>
      <w:sz w:val="18"/>
      <w:szCs w:val="18"/>
    </w:rPr>
  </w:style>
  <w:style w:type="character" w:customStyle="1" w:styleId="normaltextrun">
    <w:name w:val="normaltextrun"/>
    <w:basedOn w:val="DefaultParagraphFont"/>
    <w:rsid w:val="004D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illDematteis@Westat.com" TargetMode="External" /><Relationship Id="rId11" Type="http://schemas.openxmlformats.org/officeDocument/2006/relationships/hyperlink" Target="mailto:JeffreyTaylor@westat.com" TargetMode="External" /><Relationship Id="rId12" Type="http://schemas.openxmlformats.org/officeDocument/2006/relationships/hyperlink" Target="https://doi.org/10.1093/poq/nfr021"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ileyJ@westat.com" TargetMode="External" /><Relationship Id="rId9" Type="http://schemas.openxmlformats.org/officeDocument/2006/relationships/hyperlink" Target="mailto:mustafakarakus@westa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E532391927454FBFD36CB9D900437C" ma:contentTypeVersion="5" ma:contentTypeDescription="Create a new document." ma:contentTypeScope="" ma:versionID="1a466da1db2c626f7cf37fff564ac6a5">
  <xsd:schema xmlns:xsd="http://www.w3.org/2001/XMLSchema" xmlns:xs="http://www.w3.org/2001/XMLSchema" xmlns:p="http://schemas.microsoft.com/office/2006/metadata/properties" xmlns:ns2="f3f0c768-dce8-48ef-a15a-da5bf442331a" xmlns:ns3="26535b62-1a4f-4714-a4ad-bd63849e528a" targetNamespace="http://schemas.microsoft.com/office/2006/metadata/properties" ma:root="true" ma:fieldsID="bac76bb45637432dcdbba93a69e585d2" ns2:_="" ns3:_="">
    <xsd:import namespace="f3f0c768-dce8-48ef-a15a-da5bf442331a"/>
    <xsd:import namespace="26535b62-1a4f-4714-a4ad-bd63849e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0c768-dce8-48ef-a15a-da5bf4423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35b62-1a4f-4714-a4ad-bd63849e52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D5147-A63F-4EA3-91D7-FBFA7F0A904A}">
  <ds:schemaRefs>
    <ds:schemaRef ds:uri="http://schemas.microsoft.com/sharepoint/v3/contenttype/forms"/>
  </ds:schemaRefs>
</ds:datastoreItem>
</file>

<file path=customXml/itemProps2.xml><?xml version="1.0" encoding="utf-8"?>
<ds:datastoreItem xmlns:ds="http://schemas.openxmlformats.org/officeDocument/2006/customXml" ds:itemID="{976D78FD-3C38-4215-AC62-5EA9EBAF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0c768-dce8-48ef-a15a-da5bf442331a"/>
    <ds:schemaRef ds:uri="26535b62-1a4f-4714-a4ad-bd63849e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E6854-8C67-48D6-98E1-F54626219E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D9444F-87E3-4840-8A70-F0B2D1C7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Phil Masiakowski</dc:creator>
  <cp:lastModifiedBy>Naomi Sipple</cp:lastModifiedBy>
  <cp:revision>2</cp:revision>
  <dcterms:created xsi:type="dcterms:W3CDTF">2024-11-07T19:53:00Z</dcterms:created>
  <dcterms:modified xsi:type="dcterms:W3CDTF">2024-11-07T19:53:00Z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0x01010099E532391927454FBFD36CB9D900437C</vt:lpwstr>
  </property>
  <property fmtid="{D5CDD505-2E9C-101B-9397-08002B2CF9AE}" pid="3" name="_AdHocReviewCycleID">
    <vt:i4>-882316631</vt:i4>
  </property>
  <property fmtid="{D5CDD505-2E9C-101B-9397-08002B2CF9AE}" pid="4" name="_AuthorEmail">
    <vt:lpwstr>Monisha.Martinez.Pardo@ssa.gov</vt:lpwstr>
  </property>
  <property fmtid="{D5CDD505-2E9C-101B-9397-08002B2CF9AE}" pid="5" name="_AuthorEmailDisplayName">
    <vt:lpwstr>Martinez Pardo, Monisha</vt:lpwstr>
  </property>
  <property fmtid="{D5CDD505-2E9C-101B-9397-08002B2CF9AE}" pid="6" name="_EmailSubject">
    <vt:lpwstr>DRS/NAS Parts A and B and survey materials of OMB package for main survey</vt:lpwstr>
  </property>
  <property fmtid="{D5CDD505-2E9C-101B-9397-08002B2CF9AE}" pid="7" name="_NewReviewCycle">
    <vt:lpwstr/>
  </property>
  <property fmtid="{D5CDD505-2E9C-101B-9397-08002B2CF9AE}" pid="8" name="_ReviewingToolsShownOnce">
    <vt:lpwstr/>
  </property>
</Properties>
</file>