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657D9A" w:rsidP="005B0888" w14:paraId="2545456A" w14:textId="09F9E488">
      <w:pPr>
        <w:tabs>
          <w:tab w:val="left" w:pos="720"/>
        </w:tabs>
        <w:jc w:val="center"/>
        <w:rPr>
          <w:b/>
          <w:bCs/>
          <w:caps/>
          <w:sz w:val="26"/>
          <w:szCs w:val="26"/>
        </w:rPr>
      </w:pPr>
      <w:r w:rsidRPr="00657D9A">
        <w:rPr>
          <w:caps/>
          <w:sz w:val="26"/>
          <w:szCs w:val="26"/>
          <w:lang w:val="en-CA"/>
        </w:rPr>
        <w:fldChar w:fldCharType="begin"/>
      </w:r>
      <w:r w:rsidRPr="00657D9A">
        <w:rPr>
          <w:caps/>
          <w:sz w:val="26"/>
          <w:szCs w:val="26"/>
          <w:lang w:val="en-CA"/>
        </w:rPr>
        <w:instrText xml:space="preserve"> SEQ CHAPTER \h \r 1</w:instrText>
      </w:r>
      <w:r w:rsidR="00000000">
        <w:rPr>
          <w:caps/>
          <w:sz w:val="26"/>
          <w:szCs w:val="26"/>
          <w:lang w:val="en-CA"/>
        </w:rPr>
        <w:fldChar w:fldCharType="separate"/>
      </w:r>
      <w:r w:rsidRPr="00657D9A">
        <w:rPr>
          <w:caps/>
          <w:sz w:val="26"/>
          <w:szCs w:val="26"/>
          <w:lang w:val="en-CA"/>
        </w:rPr>
        <w:fldChar w:fldCharType="end"/>
      </w:r>
      <w:r w:rsidRPr="00657D9A">
        <w:rPr>
          <w:b/>
          <w:bCs/>
          <w:caps/>
          <w:sz w:val="26"/>
          <w:szCs w:val="26"/>
        </w:rPr>
        <w:t xml:space="preserve">Supporting Statement </w:t>
      </w:r>
      <w:r w:rsidRPr="00657D9A" w:rsidR="007851E9">
        <w:rPr>
          <w:b/>
          <w:bCs/>
          <w:caps/>
          <w:sz w:val="26"/>
          <w:szCs w:val="26"/>
        </w:rPr>
        <w:t>A</w:t>
      </w:r>
    </w:p>
    <w:p w:rsidR="002C325E" w:rsidRPr="00657D9A" w:rsidP="005B0888" w14:paraId="6D84AFBF" w14:textId="77777777">
      <w:pPr>
        <w:tabs>
          <w:tab w:val="left" w:pos="720"/>
        </w:tabs>
        <w:jc w:val="center"/>
        <w:rPr>
          <w:b/>
          <w:bCs/>
          <w:caps/>
          <w:sz w:val="26"/>
          <w:szCs w:val="26"/>
        </w:rPr>
      </w:pPr>
      <w:r w:rsidRPr="00657D9A">
        <w:rPr>
          <w:b/>
          <w:bCs/>
          <w:caps/>
          <w:sz w:val="26"/>
          <w:szCs w:val="26"/>
        </w:rPr>
        <w:t>for paperwork reduction act submission</w:t>
      </w:r>
    </w:p>
    <w:p w:rsidR="002C325E" w:rsidRPr="00657D9A" w:rsidP="005B0888" w14:paraId="16573417" w14:textId="77777777">
      <w:pPr>
        <w:tabs>
          <w:tab w:val="left" w:pos="720"/>
        </w:tabs>
        <w:jc w:val="center"/>
        <w:rPr>
          <w:b/>
          <w:bCs/>
          <w:sz w:val="26"/>
          <w:szCs w:val="26"/>
          <w:highlight w:val="lightGray"/>
        </w:rPr>
      </w:pPr>
    </w:p>
    <w:p w:rsidR="00716E35" w:rsidRPr="00657D9A" w:rsidP="00716E35" w14:paraId="07B32446" w14:textId="317399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57D9A">
        <w:rPr>
          <w:b/>
          <w:bCs/>
          <w:sz w:val="32"/>
          <w:szCs w:val="32"/>
        </w:rPr>
        <w:t xml:space="preserve">Indian </w:t>
      </w:r>
      <w:r w:rsidRPr="00657D9A" w:rsidR="0019175C">
        <w:rPr>
          <w:b/>
          <w:bCs/>
          <w:sz w:val="32"/>
          <w:szCs w:val="32"/>
        </w:rPr>
        <w:t xml:space="preserve">Business Incubator Program (IBIP), 25 CFR </w:t>
      </w:r>
      <w:r w:rsidRPr="00657D9A" w:rsidR="00D5010C">
        <w:rPr>
          <w:b/>
          <w:bCs/>
          <w:sz w:val="32"/>
          <w:szCs w:val="32"/>
        </w:rPr>
        <w:t>1187</w:t>
      </w:r>
    </w:p>
    <w:p w:rsidR="00716E35" w:rsidRPr="00657D9A" w:rsidP="005B0888" w14:paraId="7FB3D0FC" w14:textId="77777777">
      <w:pPr>
        <w:tabs>
          <w:tab w:val="left" w:pos="720"/>
        </w:tabs>
        <w:jc w:val="center"/>
        <w:rPr>
          <w:b/>
          <w:bCs/>
          <w:sz w:val="26"/>
          <w:szCs w:val="26"/>
        </w:rPr>
      </w:pPr>
    </w:p>
    <w:p w:rsidR="00295103" w:rsidRPr="00657D9A" w:rsidP="005B0888" w14:paraId="0FD0E61F" w14:textId="72EB70D9">
      <w:pPr>
        <w:tabs>
          <w:tab w:val="left" w:pos="720"/>
        </w:tabs>
        <w:jc w:val="center"/>
        <w:rPr>
          <w:sz w:val="22"/>
          <w:szCs w:val="22"/>
        </w:rPr>
      </w:pPr>
      <w:r w:rsidRPr="00657D9A">
        <w:rPr>
          <w:b/>
          <w:bCs/>
          <w:sz w:val="26"/>
          <w:szCs w:val="26"/>
        </w:rPr>
        <w:t>OMB Control Number 10</w:t>
      </w:r>
      <w:r w:rsidRPr="00657D9A" w:rsidR="00716E35">
        <w:rPr>
          <w:b/>
          <w:bCs/>
          <w:sz w:val="26"/>
          <w:szCs w:val="26"/>
        </w:rPr>
        <w:t>76-</w:t>
      </w:r>
      <w:r w:rsidRPr="00657D9A" w:rsidR="00594F25">
        <w:rPr>
          <w:b/>
          <w:bCs/>
          <w:sz w:val="26"/>
          <w:szCs w:val="26"/>
        </w:rPr>
        <w:t>0199</w:t>
      </w:r>
    </w:p>
    <w:p w:rsidR="009B359F" w:rsidRPr="00657D9A" w:rsidP="005B0888" w14:paraId="5C18DE7E" w14:textId="77777777">
      <w:pPr>
        <w:tabs>
          <w:tab w:val="left" w:pos="720"/>
        </w:tabs>
        <w:jc w:val="center"/>
        <w:rPr>
          <w:sz w:val="22"/>
          <w:szCs w:val="22"/>
        </w:rPr>
      </w:pPr>
    </w:p>
    <w:p w:rsidR="00FA14F6" w:rsidRPr="00657D9A" w:rsidP="00716E35" w14:paraId="4DAAA8DB" w14:textId="0A62F944">
      <w:pPr>
        <w:tabs>
          <w:tab w:val="left" w:pos="-1080"/>
          <w:tab w:val="left" w:pos="-720"/>
          <w:tab w:val="left" w:pos="720"/>
        </w:tabs>
        <w:rPr>
          <w:sz w:val="24"/>
          <w:szCs w:val="24"/>
        </w:rPr>
      </w:pPr>
      <w:r w:rsidRPr="00657D9A">
        <w:rPr>
          <w:b/>
          <w:sz w:val="24"/>
          <w:szCs w:val="24"/>
        </w:rPr>
        <w:t>Terms of Clearance:</w:t>
      </w:r>
      <w:r w:rsidRPr="00657D9A">
        <w:rPr>
          <w:sz w:val="24"/>
          <w:szCs w:val="24"/>
        </w:rPr>
        <w:t xml:space="preserve">  </w:t>
      </w:r>
      <w:r w:rsidRPr="00657D9A" w:rsidR="00FE7E9A">
        <w:rPr>
          <w:sz w:val="24"/>
          <w:szCs w:val="24"/>
        </w:rPr>
        <w:t>None.</w:t>
      </w:r>
    </w:p>
    <w:p w:rsidR="00FA14F6" w:rsidRPr="00657D9A" w:rsidP="006D3E4F" w14:paraId="5198EC9B" w14:textId="7AE10845">
      <w:pPr>
        <w:tabs>
          <w:tab w:val="left" w:pos="-1080"/>
          <w:tab w:val="left" w:pos="-720"/>
          <w:tab w:val="left" w:pos="720"/>
        </w:tabs>
        <w:rPr>
          <w:sz w:val="24"/>
          <w:szCs w:val="24"/>
        </w:rPr>
      </w:pPr>
    </w:p>
    <w:p w:rsidR="00FA14F6" w:rsidRPr="00657D9A" w:rsidP="00FA14F6" w14:paraId="72B9E07B" w14:textId="77777777">
      <w:pPr>
        <w:tabs>
          <w:tab w:val="left" w:pos="-1080"/>
          <w:tab w:val="left" w:pos="-720"/>
          <w:tab w:val="left" w:pos="720"/>
        </w:tabs>
        <w:ind w:left="360" w:hanging="360"/>
        <w:rPr>
          <w:sz w:val="24"/>
          <w:szCs w:val="24"/>
        </w:rPr>
      </w:pPr>
      <w:r w:rsidRPr="00657D9A">
        <w:rPr>
          <w:b/>
          <w:bCs/>
          <w:sz w:val="24"/>
          <w:szCs w:val="24"/>
        </w:rPr>
        <w:t>Justification</w:t>
      </w:r>
    </w:p>
    <w:p w:rsidR="00FA14F6" w:rsidRPr="00657D9A" w:rsidP="00FA14F6" w14:paraId="5FE5B748" w14:textId="77777777">
      <w:pPr>
        <w:tabs>
          <w:tab w:val="left" w:pos="-1080"/>
          <w:tab w:val="left" w:pos="-720"/>
          <w:tab w:val="left" w:pos="720"/>
        </w:tabs>
        <w:rPr>
          <w:sz w:val="24"/>
          <w:szCs w:val="24"/>
        </w:rPr>
      </w:pPr>
    </w:p>
    <w:p w:rsidR="00FA14F6" w:rsidRPr="00657D9A" w:rsidP="00FA14F6" w14:paraId="0AB534E1" w14:textId="77777777">
      <w:pPr>
        <w:tabs>
          <w:tab w:val="left" w:pos="-1080"/>
          <w:tab w:val="left" w:pos="-720"/>
          <w:tab w:val="left" w:pos="360"/>
          <w:tab w:val="left" w:pos="720"/>
        </w:tabs>
        <w:rPr>
          <w:b/>
          <w:sz w:val="24"/>
          <w:szCs w:val="24"/>
        </w:rPr>
      </w:pPr>
      <w:r w:rsidRPr="00657D9A">
        <w:rPr>
          <w:b/>
          <w:sz w:val="24"/>
          <w:szCs w:val="24"/>
        </w:rPr>
        <w:t>1.</w:t>
      </w:r>
      <w:r w:rsidRPr="00657D9A">
        <w:rPr>
          <w:b/>
          <w:sz w:val="24"/>
          <w:szCs w:val="24"/>
        </w:rPr>
        <w:tab/>
        <w:t>Explain the circumstances that make the collection of information necessary.  Identify any legal or administrative requirements that necessitate the collection.</w:t>
      </w:r>
    </w:p>
    <w:p w:rsidR="00FA14F6" w:rsidRPr="00657D9A" w:rsidP="00FA14F6" w14:paraId="64BA488B" w14:textId="77777777">
      <w:pPr>
        <w:tabs>
          <w:tab w:val="left" w:pos="-1080"/>
          <w:tab w:val="left" w:pos="-720"/>
          <w:tab w:val="left" w:pos="360"/>
          <w:tab w:val="left" w:pos="720"/>
        </w:tabs>
        <w:rPr>
          <w:sz w:val="24"/>
          <w:szCs w:val="24"/>
        </w:rPr>
      </w:pPr>
    </w:p>
    <w:p w:rsidR="004E79D5" w:rsidRPr="00657D9A" w:rsidP="004E79D5" w14:paraId="412BE88D" w14:textId="40A02C1A">
      <w:pPr>
        <w:tabs>
          <w:tab w:val="left" w:pos="-1080"/>
          <w:tab w:val="left" w:pos="-720"/>
          <w:tab w:val="left" w:pos="360"/>
          <w:tab w:val="left" w:pos="720"/>
        </w:tabs>
        <w:rPr>
          <w:sz w:val="24"/>
          <w:szCs w:val="24"/>
        </w:rPr>
      </w:pPr>
      <w:r w:rsidRPr="00657D9A">
        <w:rPr>
          <w:sz w:val="24"/>
          <w:szCs w:val="24"/>
        </w:rPr>
        <w:t>On October 20, 2020, Congress enacted the Native American Business Incubators Program Act, Pub. L. 116-174, which establishes a Native American Business Incubator Program within the Office of Indian Economic Development (</w:t>
      </w:r>
      <w:r w:rsidRPr="00657D9A" w:rsidR="00DA7013">
        <w:rPr>
          <w:sz w:val="24"/>
          <w:szCs w:val="24"/>
        </w:rPr>
        <w:t>OIED</w:t>
      </w:r>
      <w:r w:rsidRPr="00657D9A">
        <w:rPr>
          <w:sz w:val="24"/>
          <w:szCs w:val="24"/>
        </w:rPr>
        <w:t xml:space="preserve">), under the Office of the Assistant Secretary – Indian Affairs.  Under the Act, </w:t>
      </w:r>
      <w:r w:rsidRPr="00657D9A" w:rsidR="00DA7013">
        <w:rPr>
          <w:sz w:val="24"/>
          <w:szCs w:val="24"/>
        </w:rPr>
        <w:t>OIED</w:t>
      </w:r>
      <w:r w:rsidRPr="00657D9A">
        <w:rPr>
          <w:sz w:val="24"/>
          <w:szCs w:val="24"/>
        </w:rPr>
        <w:t xml:space="preserve"> </w:t>
      </w:r>
      <w:r w:rsidR="00426ABD">
        <w:rPr>
          <w:sz w:val="24"/>
          <w:szCs w:val="24"/>
        </w:rPr>
        <w:t xml:space="preserve">was </w:t>
      </w:r>
      <w:r w:rsidRPr="00657D9A">
        <w:rPr>
          <w:sz w:val="24"/>
          <w:szCs w:val="24"/>
        </w:rPr>
        <w:t xml:space="preserve">to solicit and award grants to eligible business incubators who will provide services to Native American entrepreneurs in Tribal reservation communities.  The Act defines a “business incubator” to be an organization that provides physical workspace and facilities resources to startups and established businesses; and is designed to accelerate the growth and success of businesses through a variety of business support resources and services. Those business support resources and services range from providing advice on how to access capital to networking </w:t>
      </w:r>
      <w:r w:rsidRPr="00657D9A" w:rsidR="00261E40">
        <w:rPr>
          <w:sz w:val="24"/>
          <w:szCs w:val="24"/>
        </w:rPr>
        <w:t>opportunities</w:t>
      </w:r>
      <w:r w:rsidRPr="00657D9A">
        <w:rPr>
          <w:sz w:val="24"/>
          <w:szCs w:val="24"/>
        </w:rPr>
        <w:t>.</w:t>
      </w:r>
    </w:p>
    <w:p w:rsidR="0019175C" w:rsidRPr="00657D9A" w:rsidP="00FE7E9A" w14:paraId="1CBD1A06" w14:textId="77777777">
      <w:pPr>
        <w:tabs>
          <w:tab w:val="left" w:pos="-1080"/>
          <w:tab w:val="left" w:pos="-720"/>
          <w:tab w:val="left" w:pos="360"/>
          <w:tab w:val="left" w:pos="720"/>
        </w:tabs>
        <w:rPr>
          <w:sz w:val="24"/>
          <w:szCs w:val="24"/>
        </w:rPr>
      </w:pPr>
    </w:p>
    <w:p w:rsidR="0019175C" w:rsidRPr="00657D9A" w:rsidP="00FE7E9A" w14:paraId="31B3DCC7" w14:textId="38C9B62F">
      <w:pPr>
        <w:tabs>
          <w:tab w:val="left" w:pos="-1080"/>
          <w:tab w:val="left" w:pos="-720"/>
          <w:tab w:val="left" w:pos="360"/>
          <w:tab w:val="left" w:pos="720"/>
        </w:tabs>
        <w:rPr>
          <w:sz w:val="24"/>
          <w:szCs w:val="24"/>
        </w:rPr>
      </w:pPr>
      <w:r w:rsidRPr="00657D9A">
        <w:rPr>
          <w:sz w:val="24"/>
          <w:szCs w:val="24"/>
        </w:rPr>
        <w:t>The Act</w:t>
      </w:r>
      <w:r w:rsidR="00804650">
        <w:rPr>
          <w:sz w:val="24"/>
          <w:szCs w:val="24"/>
        </w:rPr>
        <w:t xml:space="preserve"> (PL</w:t>
      </w:r>
      <w:r w:rsidR="00BB40E9">
        <w:rPr>
          <w:sz w:val="24"/>
          <w:szCs w:val="24"/>
        </w:rPr>
        <w:t>116-174, 25 USC 580</w:t>
      </w:r>
      <w:r w:rsidR="004F2683">
        <w:rPr>
          <w:sz w:val="24"/>
          <w:szCs w:val="24"/>
        </w:rPr>
        <w:t xml:space="preserve">1 </w:t>
      </w:r>
      <w:r w:rsidRPr="004F2683" w:rsidR="004F2683">
        <w:rPr>
          <w:i/>
          <w:iCs/>
          <w:sz w:val="24"/>
          <w:szCs w:val="24"/>
        </w:rPr>
        <w:t>et seq</w:t>
      </w:r>
      <w:r w:rsidR="004F2683">
        <w:rPr>
          <w:sz w:val="24"/>
          <w:szCs w:val="24"/>
        </w:rPr>
        <w:t>.</w:t>
      </w:r>
      <w:r w:rsidR="00BB40E9">
        <w:rPr>
          <w:sz w:val="24"/>
          <w:szCs w:val="24"/>
        </w:rPr>
        <w:t>)</w:t>
      </w:r>
      <w:r w:rsidRPr="00657D9A">
        <w:rPr>
          <w:sz w:val="24"/>
          <w:szCs w:val="24"/>
        </w:rPr>
        <w:t xml:space="preserve"> </w:t>
      </w:r>
      <w:r w:rsidRPr="00657D9A" w:rsidR="00BF5D41">
        <w:rPr>
          <w:sz w:val="24"/>
          <w:szCs w:val="24"/>
        </w:rPr>
        <w:t>require</w:t>
      </w:r>
      <w:r w:rsidR="00BF5D41">
        <w:rPr>
          <w:sz w:val="24"/>
          <w:szCs w:val="24"/>
        </w:rPr>
        <w:t>d</w:t>
      </w:r>
      <w:r w:rsidRPr="00657D9A" w:rsidR="00BF5D41">
        <w:rPr>
          <w:sz w:val="24"/>
          <w:szCs w:val="24"/>
        </w:rPr>
        <w:t xml:space="preserve"> </w:t>
      </w:r>
      <w:r w:rsidRPr="00657D9A">
        <w:rPr>
          <w:sz w:val="24"/>
          <w:szCs w:val="24"/>
        </w:rPr>
        <w:t>the Secretary of the Interior to promulgate regulations</w:t>
      </w:r>
      <w:r w:rsidR="00355D1B">
        <w:rPr>
          <w:sz w:val="24"/>
          <w:szCs w:val="24"/>
        </w:rPr>
        <w:t xml:space="preserve"> (2</w:t>
      </w:r>
      <w:r w:rsidR="004F2683">
        <w:rPr>
          <w:sz w:val="24"/>
          <w:szCs w:val="24"/>
        </w:rPr>
        <w:t>5</w:t>
      </w:r>
      <w:r w:rsidR="00355D1B">
        <w:rPr>
          <w:sz w:val="24"/>
          <w:szCs w:val="24"/>
        </w:rPr>
        <w:t xml:space="preserve"> CFR 1187)</w:t>
      </w:r>
      <w:r w:rsidRPr="00657D9A">
        <w:rPr>
          <w:sz w:val="24"/>
          <w:szCs w:val="24"/>
        </w:rPr>
        <w:t xml:space="preserve"> to implement the </w:t>
      </w:r>
      <w:r w:rsidR="00804650">
        <w:rPr>
          <w:sz w:val="24"/>
          <w:szCs w:val="24"/>
        </w:rPr>
        <w:t>program</w:t>
      </w:r>
      <w:r w:rsidRPr="00657D9A">
        <w:rPr>
          <w:sz w:val="24"/>
          <w:szCs w:val="24"/>
        </w:rPr>
        <w:t xml:space="preserve">. </w:t>
      </w:r>
      <w:r w:rsidRPr="00657D9A" w:rsidR="00261E40">
        <w:rPr>
          <w:sz w:val="24"/>
          <w:szCs w:val="24"/>
        </w:rPr>
        <w:t xml:space="preserve">Both the statute and regulations set out the requirements for what must be included in a grant application and the requirement for annual report. </w:t>
      </w:r>
      <w:r w:rsidRPr="00657D9A" w:rsidR="00DA7013">
        <w:rPr>
          <w:sz w:val="24"/>
          <w:szCs w:val="24"/>
        </w:rPr>
        <w:t>OIED</w:t>
      </w:r>
      <w:r w:rsidRPr="00657D9A" w:rsidR="001D7FB3">
        <w:rPr>
          <w:sz w:val="24"/>
          <w:szCs w:val="24"/>
        </w:rPr>
        <w:t xml:space="preserve"> is using “Indian Business Incubator Program (IBIP)” as an alternative to “Native American Business Incubator Program”</w:t>
      </w:r>
      <w:r w:rsidRPr="00657D9A" w:rsidR="00524031">
        <w:rPr>
          <w:sz w:val="24"/>
          <w:szCs w:val="24"/>
        </w:rPr>
        <w:t xml:space="preserve"> because the acronym “NABIP” would be too close to similar acronyms for other OIED programs.</w:t>
      </w:r>
    </w:p>
    <w:p w:rsidR="006D3E4F" w:rsidRPr="00657D9A" w:rsidP="00FA14F6" w14:paraId="77187D33" w14:textId="67F77615">
      <w:pPr>
        <w:tabs>
          <w:tab w:val="left" w:pos="-1080"/>
          <w:tab w:val="left" w:pos="-720"/>
          <w:tab w:val="left" w:pos="360"/>
          <w:tab w:val="left" w:pos="720"/>
        </w:tabs>
        <w:rPr>
          <w:sz w:val="24"/>
          <w:szCs w:val="24"/>
        </w:rPr>
      </w:pPr>
    </w:p>
    <w:p w:rsidR="00FA14F6" w:rsidRPr="00657D9A" w:rsidP="00FA14F6" w14:paraId="12D86C41" w14:textId="77777777">
      <w:pPr>
        <w:tabs>
          <w:tab w:val="left" w:pos="-1080"/>
          <w:tab w:val="left" w:pos="-720"/>
          <w:tab w:val="left" w:pos="360"/>
          <w:tab w:val="left" w:pos="720"/>
        </w:tabs>
        <w:rPr>
          <w:b/>
          <w:sz w:val="24"/>
          <w:szCs w:val="24"/>
        </w:rPr>
      </w:pPr>
      <w:r w:rsidRPr="00657D9A">
        <w:rPr>
          <w:b/>
          <w:sz w:val="24"/>
          <w:szCs w:val="24"/>
        </w:rPr>
        <w:t>2.</w:t>
      </w:r>
      <w:r w:rsidRPr="00657D9A">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657D9A" w:rsidP="00FA14F6" w14:paraId="13BDA6DF" w14:textId="77777777">
      <w:pPr>
        <w:tabs>
          <w:tab w:val="left" w:pos="-1080"/>
          <w:tab w:val="left" w:pos="-720"/>
          <w:tab w:val="left" w:pos="360"/>
          <w:tab w:val="left" w:pos="720"/>
        </w:tabs>
        <w:rPr>
          <w:sz w:val="24"/>
          <w:szCs w:val="24"/>
        </w:rPr>
      </w:pPr>
    </w:p>
    <w:p w:rsidR="00261E40" w:rsidRPr="00657D9A" w:rsidP="00261E40" w14:paraId="671BAB27" w14:textId="03639F54">
      <w:pPr>
        <w:tabs>
          <w:tab w:val="left" w:pos="-1080"/>
          <w:tab w:val="left" w:pos="-720"/>
          <w:tab w:val="left" w:pos="360"/>
          <w:tab w:val="left" w:pos="720"/>
        </w:tabs>
        <w:rPr>
          <w:sz w:val="24"/>
          <w:szCs w:val="24"/>
        </w:rPr>
      </w:pPr>
      <w:r w:rsidRPr="00657D9A">
        <w:rPr>
          <w:sz w:val="24"/>
          <w:szCs w:val="24"/>
        </w:rPr>
        <w:t>The Notice of Funding Opportunity (NOFO) provide</w:t>
      </w:r>
      <w:r w:rsidR="000F20DA">
        <w:rPr>
          <w:sz w:val="24"/>
          <w:szCs w:val="24"/>
        </w:rPr>
        <w:t>d</w:t>
      </w:r>
      <w:r w:rsidRPr="00657D9A">
        <w:rPr>
          <w:sz w:val="24"/>
          <w:szCs w:val="24"/>
        </w:rPr>
        <w:t xml:space="preserve"> information such as eligibility, evaluation criteria, funding preferences/priorities, and the submission deadline.  With regard to application contents, </w:t>
      </w:r>
      <w:r w:rsidRPr="00657D9A" w:rsidR="00DA7013">
        <w:rPr>
          <w:sz w:val="24"/>
          <w:szCs w:val="24"/>
        </w:rPr>
        <w:t>OIED</w:t>
      </w:r>
      <w:r w:rsidRPr="00657D9A">
        <w:rPr>
          <w:sz w:val="24"/>
          <w:szCs w:val="24"/>
        </w:rPr>
        <w:t xml:space="preserve"> will use each item to assist in its determination of whether to award a grant to the applicant. Specifically:</w:t>
      </w:r>
    </w:p>
    <w:p w:rsidR="00261E40" w:rsidRPr="00657D9A" w:rsidP="001F1475" w14:paraId="0334F6F4" w14:textId="3B21019C">
      <w:pPr>
        <w:pStyle w:val="ListParagraph"/>
        <w:rPr>
          <w:rFonts w:ascii="Times New Roman" w:hAnsi="Times New Roman" w:cs="Times New Roman"/>
          <w:sz w:val="24"/>
          <w:szCs w:val="24"/>
        </w:rPr>
      </w:pPr>
      <w:r w:rsidRPr="00657D9A">
        <w:rPr>
          <w:rFonts w:ascii="Times New Roman" w:hAnsi="Times New Roman" w:cs="Times New Roman"/>
          <w:sz w:val="24"/>
          <w:szCs w:val="24"/>
        </w:rPr>
        <w:t xml:space="preserve">The certification that the applicant is an eligible applicant, has an executive director or program manager to manage the incubator, and agrees to </w:t>
      </w:r>
      <w:r w:rsidRPr="00657D9A" w:rsidR="00957210">
        <w:rPr>
          <w:rFonts w:ascii="Times New Roman" w:hAnsi="Times New Roman" w:cs="Times New Roman"/>
          <w:sz w:val="24"/>
          <w:szCs w:val="24"/>
        </w:rPr>
        <w:t>a site evaluation and annual examinations –</w:t>
      </w:r>
      <w:r w:rsidRPr="00657D9A" w:rsidR="00FF2DF8">
        <w:rPr>
          <w:rFonts w:ascii="Times New Roman" w:hAnsi="Times New Roman" w:cs="Times New Roman"/>
          <w:sz w:val="24"/>
          <w:szCs w:val="24"/>
        </w:rPr>
        <w:t xml:space="preserve"> </w:t>
      </w:r>
      <w:r w:rsidRPr="00657D9A" w:rsidR="00DA7013">
        <w:rPr>
          <w:rFonts w:ascii="Times New Roman" w:hAnsi="Times New Roman" w:cs="Times New Roman"/>
          <w:i/>
          <w:sz w:val="24"/>
          <w:szCs w:val="24"/>
        </w:rPr>
        <w:t>OIED</w:t>
      </w:r>
      <w:r w:rsidRPr="00657D9A" w:rsidR="00FF2DF8">
        <w:rPr>
          <w:rFonts w:ascii="Times New Roman" w:hAnsi="Times New Roman" w:cs="Times New Roman"/>
          <w:i/>
          <w:sz w:val="24"/>
          <w:szCs w:val="24"/>
        </w:rPr>
        <w:t xml:space="preserve"> will rely upon this certification as a legal representation that the applicant is eligible, has the appropriate staff to lead the incubator, and has consented to </w:t>
      </w:r>
      <w:r w:rsidRPr="00657D9A" w:rsidR="00DA7013">
        <w:rPr>
          <w:rFonts w:ascii="Times New Roman" w:hAnsi="Times New Roman" w:cs="Times New Roman"/>
          <w:i/>
          <w:sz w:val="24"/>
          <w:szCs w:val="24"/>
        </w:rPr>
        <w:t>OIED</w:t>
      </w:r>
      <w:r w:rsidRPr="00657D9A" w:rsidR="00FF2DF8">
        <w:rPr>
          <w:rFonts w:ascii="Times New Roman" w:hAnsi="Times New Roman" w:cs="Times New Roman"/>
          <w:i/>
          <w:sz w:val="24"/>
          <w:szCs w:val="24"/>
        </w:rPr>
        <w:t>’s site evaluation and annual examinations</w:t>
      </w:r>
      <w:r w:rsidRPr="00657D9A" w:rsidR="00FF2DF8">
        <w:rPr>
          <w:rFonts w:ascii="Times New Roman" w:hAnsi="Times New Roman" w:cs="Times New Roman"/>
          <w:sz w:val="24"/>
          <w:szCs w:val="24"/>
        </w:rPr>
        <w:t>.</w:t>
      </w:r>
    </w:p>
    <w:p w:rsidR="00957210" w:rsidRPr="00657D9A" w:rsidP="001F1475" w14:paraId="614E8DE9" w14:textId="621927EC">
      <w:pPr>
        <w:pStyle w:val="ListParagraph"/>
        <w:rPr>
          <w:rFonts w:ascii="Times New Roman" w:hAnsi="Times New Roman" w:cs="Times New Roman"/>
          <w:sz w:val="24"/>
          <w:szCs w:val="24"/>
        </w:rPr>
      </w:pPr>
      <w:r w:rsidRPr="00657D9A">
        <w:rPr>
          <w:rFonts w:ascii="Times New Roman" w:hAnsi="Times New Roman" w:cs="Times New Roman"/>
          <w:sz w:val="24"/>
          <w:szCs w:val="24"/>
        </w:rPr>
        <w:t>The description of the one or more reservation communities the incubator will serve</w:t>
      </w:r>
      <w:r w:rsidRPr="00657D9A" w:rsidR="00FF2DF8">
        <w:rPr>
          <w:rFonts w:ascii="Times New Roman" w:hAnsi="Times New Roman" w:cs="Times New Roman"/>
          <w:sz w:val="24"/>
          <w:szCs w:val="24"/>
        </w:rPr>
        <w:t xml:space="preserve"> – </w:t>
      </w:r>
      <w:r w:rsidRPr="00657D9A" w:rsidR="00DA7013">
        <w:rPr>
          <w:rFonts w:ascii="Times New Roman" w:hAnsi="Times New Roman" w:cs="Times New Roman"/>
          <w:sz w:val="24"/>
          <w:szCs w:val="24"/>
        </w:rPr>
        <w:t>OIED</w:t>
      </w:r>
      <w:r w:rsidRPr="00657D9A" w:rsidR="00FF2DF8">
        <w:rPr>
          <w:rFonts w:ascii="Times New Roman" w:hAnsi="Times New Roman" w:cs="Times New Roman"/>
          <w:sz w:val="24"/>
          <w:szCs w:val="24"/>
        </w:rPr>
        <w:t xml:space="preserve"> will use this information in its evaluation of whether reservation communities will be served by the applicant’s incubator and to ensure that it meets the statutory requirement to achieve broad geographic distribution of awarded incubators.</w:t>
      </w:r>
    </w:p>
    <w:p w:rsidR="00957210" w:rsidRPr="00657D9A" w:rsidP="001F1475" w14:paraId="25B4EC7F" w14:textId="5888C2F7">
      <w:pPr>
        <w:pStyle w:val="ListParagraph"/>
        <w:rPr>
          <w:rFonts w:ascii="Times New Roman" w:hAnsi="Times New Roman" w:cs="Times New Roman"/>
          <w:sz w:val="24"/>
          <w:szCs w:val="24"/>
        </w:rPr>
      </w:pPr>
      <w:r w:rsidRPr="00657D9A">
        <w:rPr>
          <w:rFonts w:ascii="Times New Roman" w:hAnsi="Times New Roman" w:cs="Times New Roman"/>
          <w:sz w:val="24"/>
          <w:szCs w:val="24"/>
        </w:rPr>
        <w:t>The three-year plan describing the number of Native entrepreneurs to participate in the incubator, the industry focus (if any) of the incubator, the services to be offered to entrepreneurs participating in the incubator, and the services to be offered to any Native entrepreneu</w:t>
      </w:r>
      <w:r w:rsidRPr="00657D9A" w:rsidR="00FF2DF8">
        <w:rPr>
          <w:rFonts w:ascii="Times New Roman" w:hAnsi="Times New Roman" w:cs="Times New Roman"/>
          <w:sz w:val="24"/>
          <w:szCs w:val="24"/>
        </w:rPr>
        <w:t xml:space="preserve">rs not participating – </w:t>
      </w:r>
      <w:r w:rsidRPr="00657D9A" w:rsidR="00DA7013">
        <w:rPr>
          <w:rFonts w:ascii="Times New Roman" w:hAnsi="Times New Roman" w:cs="Times New Roman"/>
          <w:i/>
          <w:sz w:val="24"/>
          <w:szCs w:val="24"/>
        </w:rPr>
        <w:t>OIED</w:t>
      </w:r>
      <w:r w:rsidRPr="00657D9A" w:rsidR="00FF2DF8">
        <w:rPr>
          <w:rFonts w:ascii="Times New Roman" w:hAnsi="Times New Roman" w:cs="Times New Roman"/>
          <w:i/>
          <w:sz w:val="24"/>
          <w:szCs w:val="24"/>
        </w:rPr>
        <w:t xml:space="preserve"> will use this information to evaluate whether the services to be provided and plan for providing them are likely to meet the objectives of </w:t>
      </w:r>
      <w:r w:rsidRPr="00657D9A" w:rsidR="00271294">
        <w:rPr>
          <w:rFonts w:ascii="Times New Roman" w:hAnsi="Times New Roman" w:cs="Times New Roman"/>
          <w:i/>
          <w:sz w:val="24"/>
          <w:szCs w:val="24"/>
        </w:rPr>
        <w:t xml:space="preserve">supporting Native entrepreneurs’ ability to bring their services and products to market in Tribal reservation communities.  </w:t>
      </w:r>
    </w:p>
    <w:p w:rsidR="00957210" w:rsidRPr="00657D9A" w:rsidP="001F1475" w14:paraId="141872AC" w14:textId="1BD64BA5">
      <w:pPr>
        <w:pStyle w:val="ListParagraph"/>
        <w:rPr>
          <w:rFonts w:ascii="Times New Roman" w:hAnsi="Times New Roman" w:cs="Times New Roman"/>
          <w:sz w:val="24"/>
          <w:szCs w:val="24"/>
        </w:rPr>
      </w:pPr>
      <w:r w:rsidRPr="00657D9A">
        <w:rPr>
          <w:rFonts w:ascii="Times New Roman" w:hAnsi="Times New Roman" w:cs="Times New Roman"/>
          <w:sz w:val="24"/>
          <w:szCs w:val="24"/>
        </w:rPr>
        <w:t>Information demonstrating effectiveness and experience of the applicant in conducting assistance programs to improve business skills of participants, working in and providing services to Native American communities, providing assistance to entities conducting business in reservation communities, providing technical assistance under Federal development programs to Native entrepreneurs, and managin</w:t>
      </w:r>
      <w:r w:rsidRPr="00657D9A" w:rsidR="00271294">
        <w:rPr>
          <w:rFonts w:ascii="Times New Roman" w:hAnsi="Times New Roman" w:cs="Times New Roman"/>
          <w:sz w:val="24"/>
          <w:szCs w:val="24"/>
        </w:rPr>
        <w:t xml:space="preserve">g finance and staff effectively – </w:t>
      </w:r>
      <w:r w:rsidRPr="00657D9A" w:rsidR="00DA7013">
        <w:rPr>
          <w:rFonts w:ascii="Times New Roman" w:hAnsi="Times New Roman" w:cs="Times New Roman"/>
          <w:i/>
          <w:sz w:val="24"/>
          <w:szCs w:val="24"/>
        </w:rPr>
        <w:t>OIED</w:t>
      </w:r>
      <w:r w:rsidRPr="00657D9A" w:rsidR="00271294">
        <w:rPr>
          <w:rFonts w:ascii="Times New Roman" w:hAnsi="Times New Roman" w:cs="Times New Roman"/>
          <w:i/>
          <w:sz w:val="24"/>
          <w:szCs w:val="24"/>
        </w:rPr>
        <w:t xml:space="preserve"> will use this information to evaluate the capabilities of the applicant to serve as a successful incubator for Native entrepreneurs. </w:t>
      </w:r>
    </w:p>
    <w:p w:rsidR="00261E40" w:rsidRPr="00657D9A" w:rsidP="001F1475" w14:paraId="55157424" w14:textId="67D86DAB">
      <w:pPr>
        <w:pStyle w:val="ListParagraph"/>
        <w:rPr>
          <w:rFonts w:ascii="Times New Roman" w:hAnsi="Times New Roman" w:cs="Times New Roman"/>
          <w:sz w:val="24"/>
          <w:szCs w:val="24"/>
        </w:rPr>
      </w:pPr>
      <w:r w:rsidRPr="00657D9A">
        <w:rPr>
          <w:rFonts w:ascii="Times New Roman" w:hAnsi="Times New Roman" w:cs="Times New Roman"/>
          <w:sz w:val="24"/>
          <w:szCs w:val="24"/>
        </w:rPr>
        <w:t xml:space="preserve">Site description of the location at which the applicant will provide workspace to participants, including a description of the technologies, equipment, and other resources that will be made available or, if the applicant is not yet in possession of the site, a site proposal with sufficient detail for </w:t>
      </w:r>
      <w:r w:rsidRPr="00657D9A" w:rsidR="00DA7013">
        <w:rPr>
          <w:rFonts w:ascii="Times New Roman" w:hAnsi="Times New Roman" w:cs="Times New Roman"/>
          <w:sz w:val="24"/>
          <w:szCs w:val="24"/>
        </w:rPr>
        <w:t>OIED</w:t>
      </w:r>
      <w:r w:rsidRPr="00657D9A">
        <w:rPr>
          <w:rFonts w:ascii="Times New Roman" w:hAnsi="Times New Roman" w:cs="Times New Roman"/>
          <w:sz w:val="24"/>
          <w:szCs w:val="24"/>
        </w:rPr>
        <w:t xml:space="preserve"> to ensure the site will allow the applicant to meet program requirements and a timeline for possession</w:t>
      </w:r>
      <w:r w:rsidRPr="00657D9A" w:rsidR="00271294">
        <w:rPr>
          <w:rFonts w:ascii="Times New Roman" w:hAnsi="Times New Roman" w:cs="Times New Roman"/>
          <w:sz w:val="24"/>
          <w:szCs w:val="24"/>
        </w:rPr>
        <w:t xml:space="preserve"> – </w:t>
      </w:r>
      <w:r w:rsidRPr="00657D9A" w:rsidR="00DA7013">
        <w:rPr>
          <w:rFonts w:ascii="Times New Roman" w:hAnsi="Times New Roman" w:cs="Times New Roman"/>
          <w:i/>
          <w:sz w:val="24"/>
          <w:szCs w:val="24"/>
        </w:rPr>
        <w:t>OIED</w:t>
      </w:r>
      <w:r w:rsidRPr="00657D9A" w:rsidR="00271294">
        <w:rPr>
          <w:rFonts w:ascii="Times New Roman" w:hAnsi="Times New Roman" w:cs="Times New Roman"/>
          <w:i/>
          <w:sz w:val="24"/>
          <w:szCs w:val="24"/>
        </w:rPr>
        <w:t xml:space="preserve"> will use this information to ensure that there is a physical workplace for providing resources to Native entrepreneurs</w:t>
      </w:r>
      <w:r w:rsidRPr="00657D9A">
        <w:rPr>
          <w:rFonts w:ascii="Times New Roman" w:hAnsi="Times New Roman" w:cs="Times New Roman"/>
          <w:sz w:val="24"/>
          <w:szCs w:val="24"/>
        </w:rPr>
        <w:t xml:space="preserve">. </w:t>
      </w:r>
    </w:p>
    <w:p w:rsidR="00261E40" w:rsidRPr="00657D9A" w:rsidP="00FA14F6" w14:paraId="488D4321" w14:textId="7C686EF2">
      <w:pPr>
        <w:tabs>
          <w:tab w:val="left" w:pos="-1080"/>
          <w:tab w:val="left" w:pos="-720"/>
          <w:tab w:val="left" w:pos="360"/>
          <w:tab w:val="left" w:pos="720"/>
        </w:tabs>
        <w:rPr>
          <w:sz w:val="24"/>
          <w:szCs w:val="24"/>
        </w:rPr>
      </w:pPr>
    </w:p>
    <w:p w:rsidR="00261E40" w:rsidRPr="00657D9A" w:rsidP="00FA14F6" w14:paraId="4D75468E" w14:textId="58143927">
      <w:pPr>
        <w:tabs>
          <w:tab w:val="left" w:pos="-1080"/>
          <w:tab w:val="left" w:pos="-720"/>
          <w:tab w:val="left" w:pos="360"/>
          <w:tab w:val="left" w:pos="720"/>
        </w:tabs>
        <w:rPr>
          <w:sz w:val="24"/>
          <w:szCs w:val="24"/>
        </w:rPr>
      </w:pPr>
      <w:r w:rsidRPr="00657D9A">
        <w:rPr>
          <w:sz w:val="24"/>
          <w:szCs w:val="24"/>
        </w:rPr>
        <w:t xml:space="preserve">With regard to the annual report, </w:t>
      </w:r>
      <w:r w:rsidRPr="00657D9A" w:rsidR="00DA7013">
        <w:rPr>
          <w:sz w:val="24"/>
          <w:szCs w:val="24"/>
        </w:rPr>
        <w:t>OIED</w:t>
      </w:r>
      <w:r w:rsidRPr="00657D9A">
        <w:rPr>
          <w:sz w:val="24"/>
          <w:szCs w:val="24"/>
        </w:rPr>
        <w:t xml:space="preserve"> will use the information provided to measure t</w:t>
      </w:r>
      <w:r w:rsidRPr="00657D9A" w:rsidR="00957210">
        <w:rPr>
          <w:sz w:val="24"/>
          <w:szCs w:val="24"/>
        </w:rPr>
        <w:t>he success of the grant program:</w:t>
      </w:r>
    </w:p>
    <w:p w:rsidR="00957210" w:rsidRPr="00657D9A" w:rsidP="001F1475" w14:paraId="7F7691EC" w14:textId="3D09D424">
      <w:pPr>
        <w:pStyle w:val="ListParagraph"/>
        <w:rPr>
          <w:rFonts w:ascii="Times New Roman" w:hAnsi="Times New Roman" w:cs="Times New Roman"/>
          <w:sz w:val="24"/>
          <w:szCs w:val="24"/>
        </w:rPr>
      </w:pPr>
      <w:r w:rsidRPr="00657D9A">
        <w:rPr>
          <w:rFonts w:ascii="Times New Roman" w:hAnsi="Times New Roman" w:cs="Times New Roman"/>
          <w:sz w:val="24"/>
          <w:szCs w:val="24"/>
        </w:rPr>
        <w:t>A detailed breakdown of the Native businesses and Native entrepreneurs receiving services from the business incubator, including, for the year covered by the report</w:t>
      </w:r>
      <w:r w:rsidRPr="00657D9A" w:rsidR="003E0A6B">
        <w:rPr>
          <w:rFonts w:ascii="Times New Roman" w:hAnsi="Times New Roman" w:cs="Times New Roman"/>
          <w:sz w:val="24"/>
          <w:szCs w:val="24"/>
        </w:rPr>
        <w:t>.</w:t>
      </w:r>
      <w:r w:rsidRPr="00657D9A">
        <w:rPr>
          <w:rFonts w:ascii="Times New Roman" w:hAnsi="Times New Roman" w:cs="Times New Roman"/>
          <w:sz w:val="24"/>
          <w:szCs w:val="24"/>
        </w:rPr>
        <w:t xml:space="preserve"> </w:t>
      </w:r>
    </w:p>
    <w:p w:rsidR="00957210" w:rsidRPr="00657D9A" w:rsidP="001F1475" w14:paraId="76CC3E50" w14:textId="53C68E92">
      <w:pPr>
        <w:pStyle w:val="ListParagraph"/>
        <w:numPr>
          <w:ilvl w:val="0"/>
          <w:numId w:val="12"/>
        </w:numPr>
        <w:rPr>
          <w:rFonts w:ascii="Times New Roman" w:hAnsi="Times New Roman" w:cs="Times New Roman"/>
          <w:sz w:val="24"/>
          <w:szCs w:val="24"/>
        </w:rPr>
      </w:pPr>
      <w:r w:rsidRPr="00657D9A">
        <w:rPr>
          <w:rFonts w:ascii="Times New Roman" w:hAnsi="Times New Roman" w:cs="Times New Roman"/>
          <w:sz w:val="24"/>
          <w:szCs w:val="24"/>
        </w:rPr>
        <w:t xml:space="preserve">The number of Native businesses and Native entrepreneurs participating in or receiving services from the business incubator and the types of services provided to those Native businesses and Native entrepreneurs; </w:t>
      </w:r>
      <w:r w:rsidRPr="00657D9A" w:rsidR="00271294">
        <w:rPr>
          <w:rFonts w:ascii="Times New Roman" w:hAnsi="Times New Roman" w:cs="Times New Roman"/>
          <w:sz w:val="24"/>
          <w:szCs w:val="24"/>
        </w:rPr>
        <w:t xml:space="preserve">-- </w:t>
      </w:r>
      <w:r w:rsidRPr="00657D9A" w:rsidR="00DA7013">
        <w:rPr>
          <w:rFonts w:ascii="Times New Roman" w:hAnsi="Times New Roman" w:cs="Times New Roman"/>
          <w:i/>
          <w:sz w:val="24"/>
          <w:szCs w:val="24"/>
        </w:rPr>
        <w:t>OIED</w:t>
      </w:r>
      <w:r w:rsidRPr="00657D9A" w:rsidR="00271294">
        <w:rPr>
          <w:rFonts w:ascii="Times New Roman" w:hAnsi="Times New Roman" w:cs="Times New Roman"/>
          <w:i/>
          <w:sz w:val="24"/>
          <w:szCs w:val="24"/>
        </w:rPr>
        <w:t xml:space="preserve"> will use this information to evaluate the quantity of Native entrepreneurs the incubator has served and the types of services.</w:t>
      </w:r>
    </w:p>
    <w:p w:rsidR="00957210" w:rsidRPr="00657D9A" w:rsidP="001F1475" w14:paraId="78606D08" w14:textId="6FC74687">
      <w:pPr>
        <w:pStyle w:val="ListParagraph"/>
        <w:numPr>
          <w:ilvl w:val="0"/>
          <w:numId w:val="12"/>
        </w:numPr>
        <w:rPr>
          <w:rFonts w:ascii="Times New Roman" w:hAnsi="Times New Roman" w:cs="Times New Roman"/>
          <w:sz w:val="24"/>
          <w:szCs w:val="24"/>
        </w:rPr>
      </w:pPr>
      <w:r w:rsidRPr="00657D9A">
        <w:rPr>
          <w:rFonts w:ascii="Times New Roman" w:hAnsi="Times New Roman" w:cs="Times New Roman"/>
          <w:sz w:val="24"/>
          <w:szCs w:val="24"/>
        </w:rPr>
        <w:t>The number of Native businesses and Native entrepreneurs established</w:t>
      </w:r>
      <w:r w:rsidRPr="00657D9A" w:rsidR="00271294">
        <w:rPr>
          <w:rFonts w:ascii="Times New Roman" w:hAnsi="Times New Roman" w:cs="Times New Roman"/>
          <w:sz w:val="24"/>
          <w:szCs w:val="24"/>
        </w:rPr>
        <w:t xml:space="preserve"> and jobs created or maintained – </w:t>
      </w:r>
      <w:r w:rsidRPr="00657D9A" w:rsidR="00DA7013">
        <w:rPr>
          <w:rFonts w:ascii="Times New Roman" w:hAnsi="Times New Roman" w:cs="Times New Roman"/>
          <w:i/>
          <w:sz w:val="24"/>
          <w:szCs w:val="24"/>
        </w:rPr>
        <w:t>OIED</w:t>
      </w:r>
      <w:r w:rsidRPr="00657D9A" w:rsidR="00271294">
        <w:rPr>
          <w:rFonts w:ascii="Times New Roman" w:hAnsi="Times New Roman" w:cs="Times New Roman"/>
          <w:i/>
          <w:sz w:val="24"/>
          <w:szCs w:val="24"/>
        </w:rPr>
        <w:t xml:space="preserve"> will use this information as a measure of the short-term success of the incubator.</w:t>
      </w:r>
      <w:r w:rsidRPr="00657D9A">
        <w:rPr>
          <w:rFonts w:ascii="Times New Roman" w:hAnsi="Times New Roman" w:cs="Times New Roman"/>
          <w:sz w:val="24"/>
          <w:szCs w:val="24"/>
        </w:rPr>
        <w:t xml:space="preserve"> </w:t>
      </w:r>
    </w:p>
    <w:p w:rsidR="00271294" w:rsidRPr="00657D9A" w:rsidP="001F1475" w14:paraId="7A327F8B" w14:textId="7D0F55AC">
      <w:pPr>
        <w:pStyle w:val="ListParagraph"/>
        <w:numPr>
          <w:ilvl w:val="0"/>
          <w:numId w:val="12"/>
        </w:numPr>
        <w:rPr>
          <w:rFonts w:ascii="Times New Roman" w:hAnsi="Times New Roman" w:cs="Times New Roman"/>
          <w:sz w:val="24"/>
          <w:szCs w:val="24"/>
        </w:rPr>
      </w:pPr>
      <w:r w:rsidRPr="00657D9A">
        <w:rPr>
          <w:rFonts w:ascii="Times New Roman" w:hAnsi="Times New Roman" w:cs="Times New Roman"/>
          <w:sz w:val="24"/>
          <w:szCs w:val="24"/>
        </w:rPr>
        <w:t xml:space="preserve">The performance of Native businesses and Native entrepreneurs while participating in the business incubator and after graduation or departure from the business incubator – </w:t>
      </w:r>
      <w:r w:rsidRPr="00657D9A" w:rsidR="00DA7013">
        <w:rPr>
          <w:rFonts w:ascii="Times New Roman" w:hAnsi="Times New Roman" w:cs="Times New Roman"/>
          <w:i/>
          <w:sz w:val="24"/>
          <w:szCs w:val="24"/>
        </w:rPr>
        <w:t>OIED</w:t>
      </w:r>
      <w:r w:rsidRPr="00657D9A">
        <w:rPr>
          <w:rFonts w:ascii="Times New Roman" w:hAnsi="Times New Roman" w:cs="Times New Roman"/>
          <w:i/>
          <w:sz w:val="24"/>
          <w:szCs w:val="24"/>
        </w:rPr>
        <w:t xml:space="preserve"> will use this information as a measure of longer-term success of the incubator. </w:t>
      </w:r>
    </w:p>
    <w:p w:rsidR="00261E40" w:rsidRPr="00657D9A" w:rsidP="00FA14F6" w14:paraId="48484AE0" w14:textId="77777777">
      <w:pPr>
        <w:tabs>
          <w:tab w:val="left" w:pos="-1080"/>
          <w:tab w:val="left" w:pos="-720"/>
          <w:tab w:val="left" w:pos="360"/>
          <w:tab w:val="left" w:pos="720"/>
        </w:tabs>
        <w:rPr>
          <w:sz w:val="24"/>
          <w:szCs w:val="24"/>
        </w:rPr>
      </w:pPr>
    </w:p>
    <w:p w:rsidR="00FA14F6" w:rsidRPr="00657D9A" w:rsidP="00FA14F6" w14:paraId="3E7DE517" w14:textId="77777777">
      <w:pPr>
        <w:tabs>
          <w:tab w:val="left" w:pos="-1080"/>
          <w:tab w:val="left" w:pos="-720"/>
          <w:tab w:val="left" w:pos="360"/>
          <w:tab w:val="left" w:pos="720"/>
        </w:tabs>
        <w:rPr>
          <w:b/>
          <w:sz w:val="24"/>
          <w:szCs w:val="24"/>
        </w:rPr>
      </w:pPr>
      <w:r w:rsidRPr="00657D9A">
        <w:rPr>
          <w:b/>
          <w:sz w:val="24"/>
          <w:szCs w:val="24"/>
        </w:rPr>
        <w:t>3.</w:t>
      </w:r>
      <w:r w:rsidRPr="00657D9A">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657D9A" w:rsidP="00FA14F6" w14:paraId="7ECA77CC" w14:textId="77777777">
      <w:pPr>
        <w:tabs>
          <w:tab w:val="left" w:pos="-1080"/>
          <w:tab w:val="left" w:pos="-720"/>
          <w:tab w:val="left" w:pos="360"/>
          <w:tab w:val="left" w:pos="720"/>
        </w:tabs>
        <w:rPr>
          <w:sz w:val="24"/>
          <w:szCs w:val="24"/>
        </w:rPr>
      </w:pPr>
    </w:p>
    <w:p w:rsidR="00941CFB" w:rsidRPr="00657D9A" w:rsidP="00FA14F6" w14:paraId="258EE966" w14:textId="5B22E6BE">
      <w:pPr>
        <w:tabs>
          <w:tab w:val="left" w:pos="-1080"/>
          <w:tab w:val="left" w:pos="-720"/>
          <w:tab w:val="left" w:pos="360"/>
          <w:tab w:val="left" w:pos="720"/>
        </w:tabs>
        <w:rPr>
          <w:sz w:val="24"/>
          <w:szCs w:val="24"/>
        </w:rPr>
      </w:pPr>
      <w:r w:rsidRPr="00657D9A">
        <w:rPr>
          <w:sz w:val="24"/>
          <w:szCs w:val="24"/>
        </w:rPr>
        <w:t xml:space="preserve">Submission requirements </w:t>
      </w:r>
      <w:r w:rsidR="00B67F98">
        <w:rPr>
          <w:sz w:val="24"/>
          <w:szCs w:val="24"/>
        </w:rPr>
        <w:t>were</w:t>
      </w:r>
      <w:r w:rsidRPr="00657D9A" w:rsidR="00B67F98">
        <w:rPr>
          <w:sz w:val="24"/>
          <w:szCs w:val="24"/>
        </w:rPr>
        <w:t xml:space="preserve"> </w:t>
      </w:r>
      <w:r w:rsidRPr="00657D9A">
        <w:rPr>
          <w:sz w:val="24"/>
          <w:szCs w:val="24"/>
        </w:rPr>
        <w:t>listed in the NOFO.  The NOFO provide</w:t>
      </w:r>
      <w:r w:rsidR="00B67F98">
        <w:rPr>
          <w:sz w:val="24"/>
          <w:szCs w:val="24"/>
        </w:rPr>
        <w:t>d</w:t>
      </w:r>
      <w:r w:rsidRPr="00657D9A">
        <w:rPr>
          <w:sz w:val="24"/>
          <w:szCs w:val="24"/>
        </w:rPr>
        <w:t xml:space="preserve"> information such as eligibility, evaluation criteria, funding preferences/priorities, and the submission deadline.</w:t>
      </w:r>
    </w:p>
    <w:p w:rsidR="00941CFB" w:rsidRPr="00657D9A" w:rsidP="00FA14F6" w14:paraId="76DB974D" w14:textId="77777777">
      <w:pPr>
        <w:tabs>
          <w:tab w:val="left" w:pos="-1080"/>
          <w:tab w:val="left" w:pos="-720"/>
          <w:tab w:val="left" w:pos="360"/>
          <w:tab w:val="left" w:pos="720"/>
        </w:tabs>
        <w:rPr>
          <w:sz w:val="24"/>
          <w:szCs w:val="24"/>
        </w:rPr>
      </w:pPr>
    </w:p>
    <w:p w:rsidR="00941CFB" w:rsidRPr="00657D9A" w:rsidP="00FA14F6" w14:paraId="5EA08398" w14:textId="64FAF744">
      <w:pPr>
        <w:tabs>
          <w:tab w:val="left" w:pos="-1080"/>
          <w:tab w:val="left" w:pos="-720"/>
          <w:tab w:val="left" w:pos="360"/>
          <w:tab w:val="left" w:pos="720"/>
        </w:tabs>
        <w:rPr>
          <w:sz w:val="24"/>
          <w:szCs w:val="24"/>
        </w:rPr>
      </w:pPr>
      <w:r w:rsidRPr="00657D9A">
        <w:rPr>
          <w:sz w:val="24"/>
          <w:szCs w:val="24"/>
        </w:rPr>
        <w:t xml:space="preserve">In addition to current application methods (e.g., Grants.gov), organizations with GrantSolutions accounts also </w:t>
      </w:r>
      <w:r w:rsidR="00844FBF">
        <w:rPr>
          <w:sz w:val="24"/>
          <w:szCs w:val="24"/>
        </w:rPr>
        <w:t>had</w:t>
      </w:r>
      <w:r w:rsidRPr="00657D9A" w:rsidR="00844FBF">
        <w:rPr>
          <w:sz w:val="24"/>
          <w:szCs w:val="24"/>
        </w:rPr>
        <w:t xml:space="preserve"> </w:t>
      </w:r>
      <w:r w:rsidRPr="00657D9A">
        <w:rPr>
          <w:sz w:val="24"/>
          <w:szCs w:val="24"/>
        </w:rPr>
        <w:t>the option to apply for financial assistance awards through the GrantSolutions Grants Management Module. T</w:t>
      </w:r>
      <w:r w:rsidRPr="00657D9A" w:rsidR="00F0205E">
        <w:rPr>
          <w:sz w:val="24"/>
          <w:szCs w:val="24"/>
        </w:rPr>
        <w:t>he Department of the Interior’s electronic Grant Solutions tool (</w:t>
      </w:r>
      <w:hyperlink r:id="rId7" w:history="1">
        <w:r w:rsidRPr="00657D9A" w:rsidR="00F0205E">
          <w:rPr>
            <w:rStyle w:val="Hyperlink"/>
            <w:sz w:val="24"/>
            <w:szCs w:val="24"/>
          </w:rPr>
          <w:t>https://www.doi.gov/grants/grantsolutions</w:t>
        </w:r>
      </w:hyperlink>
      <w:r w:rsidRPr="00657D9A" w:rsidR="00F0205E">
        <w:rPr>
          <w:sz w:val="24"/>
          <w:szCs w:val="24"/>
        </w:rPr>
        <w:t xml:space="preserve">) </w:t>
      </w:r>
      <w:r w:rsidRPr="00657D9A">
        <w:rPr>
          <w:sz w:val="24"/>
          <w:szCs w:val="24"/>
        </w:rPr>
        <w:t>allows users to</w:t>
      </w:r>
      <w:r w:rsidRPr="00657D9A" w:rsidR="00F0205E">
        <w:rPr>
          <w:sz w:val="24"/>
          <w:szCs w:val="24"/>
        </w:rPr>
        <w:t xml:space="preserve"> manage their applications, and for awarded grants, reporting, extensions, notification of change of personnel, and other information impacting the status of the grant.</w:t>
      </w:r>
      <w:r w:rsidRPr="00657D9A" w:rsidR="003220F1">
        <w:rPr>
          <w:sz w:val="24"/>
          <w:szCs w:val="24"/>
        </w:rPr>
        <w:t xml:space="preserve">  </w:t>
      </w:r>
    </w:p>
    <w:p w:rsidR="00941CFB" w:rsidRPr="00657D9A" w:rsidP="00941CFB" w14:paraId="3B6003CC" w14:textId="77777777">
      <w:pPr>
        <w:tabs>
          <w:tab w:val="left" w:pos="-1080"/>
          <w:tab w:val="left" w:pos="-720"/>
          <w:tab w:val="left" w:pos="360"/>
          <w:tab w:val="left" w:pos="720"/>
        </w:tabs>
        <w:rPr>
          <w:sz w:val="24"/>
          <w:szCs w:val="24"/>
        </w:rPr>
      </w:pPr>
      <w:r w:rsidRPr="00657D9A">
        <w:rPr>
          <w:sz w:val="24"/>
          <w:szCs w:val="24"/>
        </w:rPr>
        <w:t xml:space="preserve">The data that recipients are able to view regarding their open DOI financial assistance awards includes, but is not limited to, the following: </w:t>
      </w:r>
    </w:p>
    <w:p w:rsidR="00941CFB" w:rsidRPr="00657D9A" w:rsidP="00941CFB" w14:paraId="6D7E880B" w14:textId="77777777">
      <w:pPr>
        <w:tabs>
          <w:tab w:val="left" w:pos="-1080"/>
          <w:tab w:val="left" w:pos="-720"/>
          <w:tab w:val="left" w:pos="360"/>
          <w:tab w:val="left" w:pos="720"/>
        </w:tabs>
        <w:rPr>
          <w:sz w:val="24"/>
          <w:szCs w:val="24"/>
        </w:rPr>
      </w:pPr>
    </w:p>
    <w:p w:rsidR="00941CFB" w:rsidRPr="00657D9A" w:rsidP="00941CFB" w14:paraId="2A35ED28"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Grant Number </w:t>
      </w:r>
    </w:p>
    <w:p w:rsidR="00941CFB" w:rsidRPr="00657D9A" w:rsidP="00941CFB" w14:paraId="71D7E561"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Grant Program </w:t>
      </w:r>
    </w:p>
    <w:p w:rsidR="00941CFB" w:rsidRPr="00657D9A" w:rsidP="00941CFB" w14:paraId="0287AFE1"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Program Office </w:t>
      </w:r>
    </w:p>
    <w:p w:rsidR="00941CFB" w:rsidRPr="00657D9A" w:rsidP="00941CFB" w14:paraId="2A73051C"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Project Title </w:t>
      </w:r>
    </w:p>
    <w:p w:rsidR="00941CFB" w:rsidRPr="00657D9A" w:rsidP="00941CFB" w14:paraId="1997C9C2"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Award Issue Date </w:t>
      </w:r>
    </w:p>
    <w:p w:rsidR="00941CFB" w:rsidRPr="00657D9A" w:rsidP="00941CFB" w14:paraId="6F23E600"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Project Period dates </w:t>
      </w:r>
    </w:p>
    <w:p w:rsidR="00941CFB" w:rsidRPr="00657D9A" w:rsidP="00941CFB" w14:paraId="4F3B75A0"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Budget Period dates </w:t>
      </w:r>
    </w:p>
    <w:p w:rsidR="00941CFB" w:rsidRPr="00657D9A" w:rsidP="00941CFB" w14:paraId="371C5D0F"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Total Approved Budget (Federal and Non-Federal) </w:t>
      </w:r>
    </w:p>
    <w:p w:rsidR="00941CFB" w:rsidRPr="00657D9A" w:rsidP="00941CFB" w14:paraId="562ACB6F"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Non-Federal Budget amount </w:t>
      </w:r>
    </w:p>
    <w:p w:rsidR="00941CFB" w:rsidRPr="00657D9A" w:rsidP="00941CFB" w14:paraId="42CB4A00"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Next Terms and Conditions Due Date (if applicable) </w:t>
      </w:r>
    </w:p>
    <w:p w:rsidR="00941CFB" w:rsidRPr="00657D9A" w:rsidP="00941CFB" w14:paraId="0BE2B254"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Amendment Status (if applicable) </w:t>
      </w:r>
    </w:p>
    <w:p w:rsidR="00941CFB" w:rsidRPr="00657D9A" w:rsidP="00941CFB" w14:paraId="12DFE934"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Non-Competing Status (if applicable) </w:t>
      </w:r>
    </w:p>
    <w:p w:rsidR="00941CFB" w:rsidRPr="00657D9A" w:rsidP="00941CFB" w14:paraId="33023B92" w14:textId="77777777">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 xml:space="preserve">Non-Competing Due Date (if applicable) </w:t>
      </w:r>
    </w:p>
    <w:p w:rsidR="003220F1" w:rsidRPr="00657D9A" w:rsidP="00941CFB" w14:paraId="3B749F7C" w14:textId="77B4150C">
      <w:pPr>
        <w:pStyle w:val="ListParagraph"/>
        <w:numPr>
          <w:ilvl w:val="0"/>
          <w:numId w:val="15"/>
        </w:numPr>
        <w:rPr>
          <w:rFonts w:ascii="Times New Roman" w:hAnsi="Times New Roman" w:cs="Times New Roman"/>
          <w:sz w:val="24"/>
          <w:szCs w:val="24"/>
        </w:rPr>
      </w:pPr>
      <w:r w:rsidRPr="00657D9A">
        <w:rPr>
          <w:rFonts w:ascii="Times New Roman" w:hAnsi="Times New Roman" w:cs="Times New Roman"/>
          <w:sz w:val="24"/>
          <w:szCs w:val="24"/>
        </w:rPr>
        <w:t>Most recent Notice of Award</w:t>
      </w:r>
    </w:p>
    <w:p w:rsidR="00FA14F6" w:rsidP="00FA14F6" w14:paraId="54B61AC8" w14:textId="77777777">
      <w:pPr>
        <w:tabs>
          <w:tab w:val="left" w:pos="-1080"/>
          <w:tab w:val="left" w:pos="-720"/>
          <w:tab w:val="left" w:pos="360"/>
          <w:tab w:val="left" w:pos="720"/>
        </w:tabs>
        <w:rPr>
          <w:sz w:val="24"/>
          <w:szCs w:val="24"/>
        </w:rPr>
      </w:pPr>
    </w:p>
    <w:p w:rsidR="00E41393" w:rsidP="00FA14F6" w14:paraId="3B210710" w14:textId="5D36964B">
      <w:pPr>
        <w:tabs>
          <w:tab w:val="left" w:pos="-1080"/>
          <w:tab w:val="left" w:pos="-720"/>
          <w:tab w:val="left" w:pos="360"/>
          <w:tab w:val="left" w:pos="720"/>
        </w:tabs>
        <w:rPr>
          <w:sz w:val="24"/>
          <w:szCs w:val="24"/>
        </w:rPr>
      </w:pPr>
      <w:r>
        <w:rPr>
          <w:sz w:val="24"/>
          <w:szCs w:val="24"/>
        </w:rPr>
        <w:t>Submission of information to satisfy the grant</w:t>
      </w:r>
      <w:r w:rsidR="000F4C13">
        <w:rPr>
          <w:sz w:val="24"/>
          <w:szCs w:val="24"/>
        </w:rPr>
        <w:t xml:space="preserve"> periodic</w:t>
      </w:r>
      <w:r>
        <w:rPr>
          <w:sz w:val="24"/>
          <w:szCs w:val="24"/>
        </w:rPr>
        <w:t xml:space="preserve"> Performance Progress Reports (PPR) and </w:t>
      </w:r>
      <w:r w:rsidR="00B07E1F">
        <w:rPr>
          <w:sz w:val="24"/>
          <w:szCs w:val="24"/>
        </w:rPr>
        <w:t xml:space="preserve">Federal </w:t>
      </w:r>
      <w:r>
        <w:rPr>
          <w:sz w:val="24"/>
          <w:szCs w:val="24"/>
        </w:rPr>
        <w:t xml:space="preserve">Financial </w:t>
      </w:r>
      <w:r w:rsidR="00B07E1F">
        <w:rPr>
          <w:sz w:val="24"/>
          <w:szCs w:val="24"/>
        </w:rPr>
        <w:t>Report</w:t>
      </w:r>
      <w:r w:rsidR="009923EC">
        <w:rPr>
          <w:sz w:val="24"/>
          <w:szCs w:val="24"/>
        </w:rPr>
        <w:t>s</w:t>
      </w:r>
      <w:r w:rsidR="00B07E1F">
        <w:rPr>
          <w:sz w:val="24"/>
          <w:szCs w:val="24"/>
        </w:rPr>
        <w:t xml:space="preserve"> (FFR)</w:t>
      </w:r>
      <w:r w:rsidR="009923EC">
        <w:rPr>
          <w:sz w:val="24"/>
          <w:szCs w:val="24"/>
        </w:rPr>
        <w:t xml:space="preserve"> can be completed in the GrantSolutions reporting modules.  </w:t>
      </w:r>
      <w:r w:rsidR="00882884">
        <w:rPr>
          <w:sz w:val="24"/>
          <w:szCs w:val="24"/>
        </w:rPr>
        <w:t>Statutory reporting requirements can be uploaded as Grant Notes in the GrantSolutions system, and can be emailed to the OIED staff for comp</w:t>
      </w:r>
      <w:r w:rsidR="000F4C13">
        <w:rPr>
          <w:sz w:val="24"/>
          <w:szCs w:val="24"/>
        </w:rPr>
        <w:t>ilation.</w:t>
      </w:r>
    </w:p>
    <w:p w:rsidR="000F1FCE" w:rsidRPr="00657D9A" w:rsidP="00FA14F6" w14:paraId="37793C6D" w14:textId="77777777">
      <w:pPr>
        <w:tabs>
          <w:tab w:val="left" w:pos="-1080"/>
          <w:tab w:val="left" w:pos="-720"/>
          <w:tab w:val="left" w:pos="360"/>
          <w:tab w:val="left" w:pos="720"/>
        </w:tabs>
        <w:rPr>
          <w:sz w:val="24"/>
          <w:szCs w:val="24"/>
        </w:rPr>
      </w:pPr>
    </w:p>
    <w:p w:rsidR="00FA14F6" w:rsidRPr="00657D9A" w:rsidP="00FA14F6" w14:paraId="692E3FB3" w14:textId="77777777">
      <w:pPr>
        <w:tabs>
          <w:tab w:val="left" w:pos="-1080"/>
          <w:tab w:val="left" w:pos="-720"/>
          <w:tab w:val="left" w:pos="360"/>
          <w:tab w:val="left" w:pos="720"/>
        </w:tabs>
        <w:rPr>
          <w:b/>
          <w:sz w:val="24"/>
          <w:szCs w:val="24"/>
        </w:rPr>
      </w:pPr>
      <w:r w:rsidRPr="00657D9A">
        <w:rPr>
          <w:b/>
          <w:sz w:val="24"/>
          <w:szCs w:val="24"/>
        </w:rPr>
        <w:t>4.</w:t>
      </w:r>
      <w:r w:rsidRPr="00657D9A">
        <w:rPr>
          <w:b/>
          <w:sz w:val="24"/>
          <w:szCs w:val="24"/>
        </w:rPr>
        <w:tab/>
        <w:t>Describe efforts to identify duplication.  Show specifically why any similar information already available cannot be used or modified for use for the purposes described in Item 2 above.</w:t>
      </w:r>
    </w:p>
    <w:p w:rsidR="00FA14F6" w:rsidRPr="00657D9A" w:rsidP="00FA14F6" w14:paraId="2E4E9616" w14:textId="77777777">
      <w:pPr>
        <w:tabs>
          <w:tab w:val="left" w:pos="-1080"/>
          <w:tab w:val="left" w:pos="-720"/>
          <w:tab w:val="left" w:pos="360"/>
          <w:tab w:val="left" w:pos="720"/>
        </w:tabs>
        <w:rPr>
          <w:sz w:val="24"/>
          <w:szCs w:val="24"/>
        </w:rPr>
      </w:pPr>
    </w:p>
    <w:p w:rsidR="00FA14F6" w:rsidRPr="00657D9A" w:rsidP="00FA14F6" w14:paraId="2BD37BC4" w14:textId="0AECC94B">
      <w:pPr>
        <w:tabs>
          <w:tab w:val="left" w:pos="-1080"/>
          <w:tab w:val="left" w:pos="-720"/>
          <w:tab w:val="left" w:pos="360"/>
          <w:tab w:val="left" w:pos="720"/>
        </w:tabs>
        <w:rPr>
          <w:sz w:val="24"/>
          <w:szCs w:val="24"/>
        </w:rPr>
      </w:pPr>
      <w:r w:rsidRPr="00657D9A">
        <w:rPr>
          <w:sz w:val="24"/>
          <w:szCs w:val="24"/>
        </w:rPr>
        <w:t>There is no duplication in the information provided because the information is specific to business incubators</w:t>
      </w:r>
      <w:r w:rsidR="002B29FC">
        <w:rPr>
          <w:sz w:val="24"/>
          <w:szCs w:val="24"/>
        </w:rPr>
        <w:t>.</w:t>
      </w:r>
      <w:r w:rsidRPr="00657D9A">
        <w:rPr>
          <w:sz w:val="24"/>
          <w:szCs w:val="24"/>
        </w:rPr>
        <w:t xml:space="preserve"> </w:t>
      </w:r>
    </w:p>
    <w:p w:rsidR="00FA14F6" w:rsidRPr="00657D9A" w:rsidP="00FA14F6" w14:paraId="6B3FE890" w14:textId="77777777">
      <w:pPr>
        <w:tabs>
          <w:tab w:val="left" w:pos="-1080"/>
          <w:tab w:val="left" w:pos="-720"/>
          <w:tab w:val="left" w:pos="360"/>
          <w:tab w:val="left" w:pos="720"/>
        </w:tabs>
        <w:rPr>
          <w:sz w:val="24"/>
          <w:szCs w:val="24"/>
        </w:rPr>
      </w:pPr>
    </w:p>
    <w:p w:rsidR="00FA14F6" w:rsidRPr="00657D9A" w:rsidP="00FA14F6" w14:paraId="0DC9DEC4" w14:textId="77777777">
      <w:pPr>
        <w:tabs>
          <w:tab w:val="left" w:pos="-1080"/>
          <w:tab w:val="left" w:pos="-720"/>
          <w:tab w:val="left" w:pos="360"/>
          <w:tab w:val="left" w:pos="720"/>
        </w:tabs>
        <w:rPr>
          <w:b/>
          <w:sz w:val="24"/>
          <w:szCs w:val="24"/>
        </w:rPr>
      </w:pPr>
      <w:r w:rsidRPr="00657D9A">
        <w:rPr>
          <w:b/>
          <w:sz w:val="24"/>
          <w:szCs w:val="24"/>
        </w:rPr>
        <w:t>5.</w:t>
      </w:r>
      <w:r w:rsidRPr="00657D9A">
        <w:rPr>
          <w:b/>
          <w:sz w:val="24"/>
          <w:szCs w:val="24"/>
        </w:rPr>
        <w:tab/>
        <w:t>If the collection of information impacts small businesses or other small entities, describe any methods used to minimize burden.</w:t>
      </w:r>
    </w:p>
    <w:p w:rsidR="00FA14F6" w:rsidRPr="00657D9A" w:rsidP="00FA14F6" w14:paraId="1473C1D3" w14:textId="77777777">
      <w:pPr>
        <w:tabs>
          <w:tab w:val="left" w:pos="-1080"/>
          <w:tab w:val="left" w:pos="-720"/>
          <w:tab w:val="left" w:pos="360"/>
          <w:tab w:val="left" w:pos="720"/>
        </w:tabs>
        <w:rPr>
          <w:sz w:val="24"/>
          <w:szCs w:val="24"/>
        </w:rPr>
      </w:pPr>
    </w:p>
    <w:p w:rsidR="00FA14F6" w:rsidRPr="00657D9A" w:rsidP="00FA14F6" w14:paraId="11697A28" w14:textId="38F2F0B4">
      <w:pPr>
        <w:tabs>
          <w:tab w:val="left" w:pos="-1080"/>
          <w:tab w:val="left" w:pos="-720"/>
          <w:tab w:val="left" w:pos="360"/>
          <w:tab w:val="left" w:pos="720"/>
        </w:tabs>
        <w:rPr>
          <w:sz w:val="24"/>
          <w:szCs w:val="24"/>
        </w:rPr>
      </w:pPr>
      <w:r w:rsidRPr="00657D9A">
        <w:rPr>
          <w:sz w:val="24"/>
          <w:szCs w:val="24"/>
        </w:rPr>
        <w:t xml:space="preserve">Some of the business incubators </w:t>
      </w:r>
      <w:r w:rsidR="00836426">
        <w:rPr>
          <w:sz w:val="24"/>
          <w:szCs w:val="24"/>
        </w:rPr>
        <w:t>are</w:t>
      </w:r>
      <w:r w:rsidRPr="00657D9A">
        <w:rPr>
          <w:sz w:val="24"/>
          <w:szCs w:val="24"/>
        </w:rPr>
        <w:t xml:space="preserve"> small entities (categories of eligible applicants are Indian Tribes, Tribal colleges and universities, institutions of higher education, Tribal organizations, and nonprofit organizations). </w:t>
      </w:r>
      <w:r w:rsidRPr="00657D9A" w:rsidR="00DA7013">
        <w:rPr>
          <w:sz w:val="24"/>
          <w:szCs w:val="24"/>
        </w:rPr>
        <w:t>OIED</w:t>
      </w:r>
      <w:r w:rsidRPr="00657D9A">
        <w:rPr>
          <w:sz w:val="24"/>
          <w:szCs w:val="24"/>
        </w:rPr>
        <w:t xml:space="preserve"> is collecting only the minimum that is specifically required </w:t>
      </w:r>
      <w:r w:rsidRPr="00657D9A">
        <w:rPr>
          <w:sz w:val="24"/>
          <w:szCs w:val="24"/>
        </w:rPr>
        <w:t xml:space="preserve">by statute from these entities. The entrepreneurs that the business incubators will serve using the IBIP grants are all expected to be small entities, but the IBIP does not require any information or reporting from those entrepreneur small entities served by the business incubators. </w:t>
      </w:r>
    </w:p>
    <w:p w:rsidR="006D3E4F" w:rsidRPr="00657D9A" w:rsidP="00FA14F6" w14:paraId="374C3935" w14:textId="77777777">
      <w:pPr>
        <w:tabs>
          <w:tab w:val="left" w:pos="-1080"/>
          <w:tab w:val="left" w:pos="-720"/>
          <w:tab w:val="left" w:pos="360"/>
          <w:tab w:val="left" w:pos="720"/>
        </w:tabs>
        <w:rPr>
          <w:sz w:val="24"/>
          <w:szCs w:val="24"/>
        </w:rPr>
      </w:pPr>
    </w:p>
    <w:p w:rsidR="00FA14F6" w:rsidRPr="00657D9A" w:rsidP="00FA14F6" w14:paraId="37E46E60" w14:textId="77777777">
      <w:pPr>
        <w:tabs>
          <w:tab w:val="left" w:pos="-1080"/>
          <w:tab w:val="left" w:pos="-720"/>
          <w:tab w:val="left" w:pos="360"/>
          <w:tab w:val="left" w:pos="720"/>
        </w:tabs>
        <w:rPr>
          <w:b/>
          <w:sz w:val="24"/>
          <w:szCs w:val="24"/>
        </w:rPr>
      </w:pPr>
      <w:r w:rsidRPr="00657D9A">
        <w:rPr>
          <w:b/>
          <w:sz w:val="24"/>
          <w:szCs w:val="24"/>
        </w:rPr>
        <w:t>6.</w:t>
      </w:r>
      <w:r w:rsidRPr="00657D9A">
        <w:rPr>
          <w:b/>
          <w:sz w:val="24"/>
          <w:szCs w:val="24"/>
        </w:rPr>
        <w:tab/>
        <w:t>Describe the consequence to Federal program or policy activities if the collection is not conducted or is conducted less frequently, as well as any technical or legal obstacles to reducing burden.</w:t>
      </w:r>
    </w:p>
    <w:p w:rsidR="00FA14F6" w:rsidRPr="00657D9A" w:rsidP="00FA14F6" w14:paraId="516B1D22" w14:textId="77777777">
      <w:pPr>
        <w:tabs>
          <w:tab w:val="left" w:pos="-1080"/>
          <w:tab w:val="left" w:pos="-720"/>
          <w:tab w:val="left" w:pos="360"/>
          <w:tab w:val="left" w:pos="720"/>
        </w:tabs>
        <w:rPr>
          <w:sz w:val="24"/>
          <w:szCs w:val="24"/>
        </w:rPr>
      </w:pPr>
    </w:p>
    <w:p w:rsidR="00FA14F6" w:rsidRPr="00657D9A" w:rsidP="00FA14F6" w14:paraId="41C2590C" w14:textId="10FC94D7">
      <w:pPr>
        <w:tabs>
          <w:tab w:val="left" w:pos="-1080"/>
          <w:tab w:val="left" w:pos="-720"/>
          <w:tab w:val="left" w:pos="360"/>
          <w:tab w:val="left" w:pos="720"/>
        </w:tabs>
        <w:rPr>
          <w:sz w:val="24"/>
          <w:szCs w:val="24"/>
        </w:rPr>
      </w:pPr>
      <w:r w:rsidRPr="00657D9A">
        <w:rPr>
          <w:sz w:val="24"/>
          <w:szCs w:val="24"/>
        </w:rPr>
        <w:t xml:space="preserve">The information collection burden cannot be reduced any further </w:t>
      </w:r>
      <w:r w:rsidRPr="00657D9A" w:rsidR="00E141EB">
        <w:rPr>
          <w:sz w:val="24"/>
          <w:szCs w:val="24"/>
        </w:rPr>
        <w:t xml:space="preserve">because the information is </w:t>
      </w:r>
      <w:r w:rsidRPr="00657D9A" w:rsidR="00EC4D07">
        <w:rPr>
          <w:sz w:val="24"/>
          <w:szCs w:val="24"/>
        </w:rPr>
        <w:t xml:space="preserve">required by the Native American Business Incubator Program Act and is </w:t>
      </w:r>
      <w:r w:rsidRPr="00657D9A" w:rsidR="00E141EB">
        <w:rPr>
          <w:sz w:val="24"/>
          <w:szCs w:val="24"/>
        </w:rPr>
        <w:t xml:space="preserve">collected only on an </w:t>
      </w:r>
      <w:r w:rsidRPr="00657D9A" w:rsidR="00EC4D07">
        <w:rPr>
          <w:sz w:val="24"/>
          <w:szCs w:val="24"/>
        </w:rPr>
        <w:t xml:space="preserve">annual basis while appropriations are available (the Act provides appropriations only through Fiscal Year 2024).  </w:t>
      </w:r>
      <w:r w:rsidRPr="00657D9A" w:rsidR="00E141EB">
        <w:rPr>
          <w:sz w:val="24"/>
          <w:szCs w:val="24"/>
        </w:rPr>
        <w:t xml:space="preserve"> </w:t>
      </w:r>
    </w:p>
    <w:p w:rsidR="00FA14F6" w:rsidRPr="00657D9A" w:rsidP="00FA14F6" w14:paraId="1FAE0CD5" w14:textId="3081B7AF">
      <w:pPr>
        <w:tabs>
          <w:tab w:val="left" w:pos="-1080"/>
          <w:tab w:val="left" w:pos="-720"/>
          <w:tab w:val="left" w:pos="360"/>
          <w:tab w:val="left" w:pos="720"/>
        </w:tabs>
        <w:rPr>
          <w:sz w:val="24"/>
          <w:szCs w:val="24"/>
        </w:rPr>
      </w:pPr>
    </w:p>
    <w:p w:rsidR="00FA14F6" w:rsidRPr="00657D9A" w:rsidP="00FA14F6" w14:paraId="732F075D" w14:textId="77777777">
      <w:pPr>
        <w:tabs>
          <w:tab w:val="left" w:pos="-1080"/>
          <w:tab w:val="left" w:pos="-720"/>
          <w:tab w:val="left" w:pos="360"/>
          <w:tab w:val="left" w:pos="720"/>
        </w:tabs>
        <w:rPr>
          <w:b/>
          <w:sz w:val="24"/>
          <w:szCs w:val="24"/>
        </w:rPr>
      </w:pPr>
      <w:r w:rsidRPr="00657D9A">
        <w:rPr>
          <w:b/>
          <w:sz w:val="24"/>
          <w:szCs w:val="24"/>
        </w:rPr>
        <w:t>7.</w:t>
      </w:r>
      <w:r w:rsidRPr="00657D9A">
        <w:rPr>
          <w:b/>
          <w:sz w:val="24"/>
          <w:szCs w:val="24"/>
        </w:rPr>
        <w:tab/>
        <w:t>Explain any special circumstances that would cause an information collection to be conducted in a manner:</w:t>
      </w:r>
    </w:p>
    <w:p w:rsidR="00FA14F6" w:rsidRPr="00657D9A" w:rsidP="00FA14F6" w14:paraId="6E3A7FA1"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requiring respondents to report information to the agency more often than quarterly;</w:t>
      </w:r>
    </w:p>
    <w:p w:rsidR="00FA14F6" w:rsidRPr="00657D9A" w:rsidP="00FA14F6" w14:paraId="553F45A3"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requiring respondents to prepare a written response to a collection of information in fewer than 30 days after receipt of it;</w:t>
      </w:r>
    </w:p>
    <w:p w:rsidR="00FA14F6" w:rsidRPr="00657D9A" w:rsidP="00FA14F6" w14:paraId="775F6BAF"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requiring respondents to submit more than an original and two copies of any document;</w:t>
      </w:r>
    </w:p>
    <w:p w:rsidR="00FA14F6" w:rsidRPr="00657D9A" w:rsidP="00FA14F6" w14:paraId="22B300E0"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requiring respondents to retain records, other than health, medical, government contract, grant-in-aid, or tax records, for more than three years;</w:t>
      </w:r>
    </w:p>
    <w:p w:rsidR="00FA14F6" w:rsidRPr="00657D9A" w:rsidP="00FA14F6" w14:paraId="48356538"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in connection with a statistical survey that is not designed to produce valid and reliable results that can be generalized to the universe of study;</w:t>
      </w:r>
    </w:p>
    <w:p w:rsidR="00FA14F6" w:rsidRPr="00657D9A" w:rsidP="00FA14F6" w14:paraId="4378F900"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requiring the use of a statistical data classification that has not been reviewed and approved by OMB;</w:t>
      </w:r>
    </w:p>
    <w:p w:rsidR="00FA14F6" w:rsidRPr="00657D9A" w:rsidP="00FA14F6" w14:paraId="12F53ECF"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657D9A" w:rsidP="00FA14F6" w14:paraId="65773B73" w14:textId="77777777">
      <w:pPr>
        <w:tabs>
          <w:tab w:val="left" w:pos="-1080"/>
          <w:tab w:val="left" w:pos="-720"/>
          <w:tab w:val="left" w:pos="360"/>
          <w:tab w:val="left" w:pos="720"/>
        </w:tabs>
        <w:ind w:left="720" w:hanging="720"/>
        <w:rPr>
          <w:sz w:val="24"/>
          <w:szCs w:val="24"/>
        </w:rPr>
      </w:pPr>
      <w:r w:rsidRPr="00657D9A">
        <w:rPr>
          <w:b/>
          <w:sz w:val="24"/>
          <w:szCs w:val="24"/>
        </w:rPr>
        <w:tab/>
        <w:t>*</w:t>
      </w:r>
      <w:r w:rsidRPr="00657D9A">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657D9A" w:rsidP="00FA14F6" w14:paraId="2A30AA15" w14:textId="77777777">
      <w:pPr>
        <w:tabs>
          <w:tab w:val="left" w:pos="-1080"/>
          <w:tab w:val="left" w:pos="-720"/>
          <w:tab w:val="left" w:pos="360"/>
          <w:tab w:val="left" w:pos="720"/>
        </w:tabs>
        <w:rPr>
          <w:sz w:val="24"/>
          <w:szCs w:val="24"/>
        </w:rPr>
      </w:pPr>
    </w:p>
    <w:p w:rsidR="00FA14F6" w:rsidRPr="00657D9A" w:rsidP="00FA14F6" w14:paraId="3C30CA30" w14:textId="288D7065">
      <w:pPr>
        <w:tabs>
          <w:tab w:val="left" w:pos="-1080"/>
          <w:tab w:val="left" w:pos="-720"/>
          <w:tab w:val="left" w:pos="360"/>
          <w:tab w:val="left" w:pos="720"/>
        </w:tabs>
        <w:rPr>
          <w:sz w:val="24"/>
          <w:szCs w:val="24"/>
        </w:rPr>
      </w:pPr>
      <w:r w:rsidRPr="00657D9A">
        <w:rPr>
          <w:sz w:val="24"/>
          <w:szCs w:val="24"/>
        </w:rPr>
        <w:t xml:space="preserve">This information collection does not involve any of these special circumstances. </w:t>
      </w:r>
    </w:p>
    <w:p w:rsidR="00A84F45" w:rsidRPr="00657D9A" w:rsidP="00FA14F6" w14:paraId="19944352" w14:textId="77777777">
      <w:pPr>
        <w:tabs>
          <w:tab w:val="left" w:pos="-1080"/>
          <w:tab w:val="left" w:pos="-720"/>
          <w:tab w:val="left" w:pos="360"/>
          <w:tab w:val="left" w:pos="720"/>
        </w:tabs>
        <w:rPr>
          <w:sz w:val="24"/>
          <w:szCs w:val="24"/>
        </w:rPr>
      </w:pPr>
    </w:p>
    <w:p w:rsidR="00FA14F6" w:rsidRPr="00657D9A" w:rsidP="00FA14F6" w14:paraId="36C97080" w14:textId="77777777">
      <w:pPr>
        <w:tabs>
          <w:tab w:val="left" w:pos="-1080"/>
          <w:tab w:val="left" w:pos="-720"/>
          <w:tab w:val="left" w:pos="360"/>
          <w:tab w:val="left" w:pos="720"/>
        </w:tabs>
        <w:rPr>
          <w:sz w:val="24"/>
          <w:szCs w:val="24"/>
        </w:rPr>
      </w:pPr>
      <w:r w:rsidRPr="00657D9A">
        <w:rPr>
          <w:b/>
          <w:sz w:val="24"/>
          <w:szCs w:val="24"/>
        </w:rPr>
        <w:t>8.</w:t>
      </w:r>
      <w:r w:rsidRPr="00657D9A">
        <w:rPr>
          <w:sz w:val="24"/>
          <w:szCs w:val="24"/>
        </w:rPr>
        <w:tab/>
      </w:r>
      <w:r w:rsidRPr="00657D9A">
        <w:rPr>
          <w:b/>
          <w:sz w:val="24"/>
          <w:szCs w:val="24"/>
        </w:rPr>
        <w:t xml:space="preserve">If applicable, provide a copy and identify the date and page number of publication in the </w:t>
      </w:r>
      <w:r w:rsidRPr="00657D9A">
        <w:rPr>
          <w:b/>
          <w:i/>
          <w:sz w:val="24"/>
          <w:szCs w:val="24"/>
        </w:rPr>
        <w:t>Federal Register</w:t>
      </w:r>
      <w:r w:rsidRPr="00657D9A">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94F25" w:rsidRPr="00657D9A" w:rsidP="00594F25" w14:paraId="07398288" w14:textId="77777777">
      <w:pPr>
        <w:tabs>
          <w:tab w:val="left" w:pos="-1080"/>
          <w:tab w:val="left" w:pos="-720"/>
          <w:tab w:val="left" w:pos="360"/>
          <w:tab w:val="left" w:pos="720"/>
        </w:tabs>
        <w:rPr>
          <w:sz w:val="24"/>
          <w:szCs w:val="24"/>
        </w:rPr>
      </w:pPr>
    </w:p>
    <w:p w:rsidR="00FA14F6" w:rsidRPr="00657D9A" w:rsidP="00FA14F6" w14:paraId="00758DEC" w14:textId="77777777">
      <w:pPr>
        <w:tabs>
          <w:tab w:val="left" w:pos="-1080"/>
          <w:tab w:val="left" w:pos="-720"/>
          <w:tab w:val="left" w:pos="360"/>
          <w:tab w:val="left" w:pos="720"/>
        </w:tabs>
        <w:rPr>
          <w:b/>
          <w:sz w:val="24"/>
          <w:szCs w:val="24"/>
        </w:rPr>
      </w:pPr>
      <w:r w:rsidRPr="00657D9A">
        <w:rPr>
          <w:b/>
          <w:sz w:val="24"/>
          <w:szCs w:val="24"/>
        </w:rPr>
        <w:t xml:space="preserve">Describe efforts to consult with persons outside the agency to obtain their views on the availability of data, frequency of collection, the clarity of instructions and recordkeeping, </w:t>
      </w:r>
      <w:r w:rsidRPr="00657D9A">
        <w:rPr>
          <w:b/>
          <w:sz w:val="24"/>
          <w:szCs w:val="24"/>
        </w:rPr>
        <w:t>disclosure, or reporting format (if any), and on the data elements to be recorded, disclosed, or reported.</w:t>
      </w:r>
    </w:p>
    <w:p w:rsidR="00FA14F6" w:rsidRPr="00657D9A" w:rsidP="00FA14F6" w14:paraId="38D24EB5" w14:textId="77777777">
      <w:pPr>
        <w:tabs>
          <w:tab w:val="left" w:pos="-1080"/>
          <w:tab w:val="left" w:pos="-720"/>
          <w:tab w:val="left" w:pos="360"/>
          <w:tab w:val="left" w:pos="720"/>
        </w:tabs>
        <w:rPr>
          <w:b/>
          <w:sz w:val="24"/>
          <w:szCs w:val="24"/>
        </w:rPr>
      </w:pPr>
    </w:p>
    <w:p w:rsidR="00FA14F6" w:rsidRPr="00657D9A" w:rsidP="00FA14F6" w14:paraId="77224387" w14:textId="77777777">
      <w:pPr>
        <w:tabs>
          <w:tab w:val="left" w:pos="-1080"/>
          <w:tab w:val="left" w:pos="-720"/>
          <w:tab w:val="left" w:pos="360"/>
          <w:tab w:val="left" w:pos="720"/>
        </w:tabs>
        <w:rPr>
          <w:sz w:val="24"/>
          <w:szCs w:val="24"/>
        </w:rPr>
      </w:pPr>
      <w:r w:rsidRPr="00657D9A">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E5FF4" w:rsidRPr="00657D9A" w:rsidP="00FA14F6" w14:paraId="71873822" w14:textId="6E649FD3">
      <w:pPr>
        <w:tabs>
          <w:tab w:val="left" w:pos="-1080"/>
          <w:tab w:val="left" w:pos="-720"/>
          <w:tab w:val="left" w:pos="360"/>
          <w:tab w:val="left" w:pos="720"/>
        </w:tabs>
        <w:rPr>
          <w:sz w:val="24"/>
          <w:szCs w:val="24"/>
        </w:rPr>
      </w:pPr>
    </w:p>
    <w:p w:rsidR="00FA14F6" w:rsidRPr="00657D9A" w:rsidP="00FA14F6" w14:paraId="5484B9BC" w14:textId="3AB3C3EB">
      <w:pPr>
        <w:tabs>
          <w:tab w:val="left" w:pos="-1080"/>
          <w:tab w:val="left" w:pos="-720"/>
          <w:tab w:val="left" w:pos="360"/>
          <w:tab w:val="left" w:pos="720"/>
        </w:tabs>
        <w:rPr>
          <w:sz w:val="24"/>
          <w:szCs w:val="24"/>
        </w:rPr>
      </w:pPr>
      <w:r w:rsidRPr="00657D9A">
        <w:rPr>
          <w:sz w:val="24"/>
          <w:szCs w:val="24"/>
        </w:rPr>
        <w:t>A 60-day notice for public comments was published in the Federal Register on June 21, 2024 (89 FR 52076).  There were no comments received in response to this notice.</w:t>
      </w:r>
      <w:r>
        <w:rPr>
          <w:sz w:val="24"/>
          <w:szCs w:val="24"/>
        </w:rPr>
        <w:t xml:space="preserve"> In addition, </w:t>
      </w:r>
      <w:r w:rsidR="00A063C6">
        <w:rPr>
          <w:sz w:val="24"/>
          <w:szCs w:val="24"/>
        </w:rPr>
        <w:t xml:space="preserve">during physical site visits </w:t>
      </w:r>
      <w:r>
        <w:rPr>
          <w:sz w:val="24"/>
          <w:szCs w:val="24"/>
        </w:rPr>
        <w:t>w</w:t>
      </w:r>
      <w:r w:rsidRPr="00657D9A" w:rsidR="006932FD">
        <w:rPr>
          <w:sz w:val="24"/>
          <w:szCs w:val="24"/>
        </w:rPr>
        <w:t>e requested feedback from 9 individuals</w:t>
      </w:r>
      <w:r>
        <w:rPr>
          <w:sz w:val="24"/>
          <w:szCs w:val="24"/>
        </w:rPr>
        <w:t xml:space="preserve">; and received no additional feedback. </w:t>
      </w:r>
      <w:r w:rsidRPr="00657D9A" w:rsidR="006932FD">
        <w:rPr>
          <w:sz w:val="24"/>
          <w:szCs w:val="24"/>
        </w:rPr>
        <w:t xml:space="preserve">  </w:t>
      </w:r>
    </w:p>
    <w:p w:rsidR="006932FD" w:rsidRPr="00657D9A" w:rsidP="00FA14F6" w14:paraId="571871E4" w14:textId="77777777">
      <w:pPr>
        <w:tabs>
          <w:tab w:val="left" w:pos="-1080"/>
          <w:tab w:val="left" w:pos="-720"/>
          <w:tab w:val="left" w:pos="360"/>
          <w:tab w:val="left" w:pos="720"/>
        </w:tabs>
        <w:rPr>
          <w:sz w:val="24"/>
          <w:szCs w:val="24"/>
        </w:rPr>
      </w:pPr>
    </w:p>
    <w:p w:rsidR="00FA14F6" w:rsidRPr="00657D9A" w:rsidP="00FA14F6" w14:paraId="02D64661" w14:textId="77777777">
      <w:pPr>
        <w:tabs>
          <w:tab w:val="left" w:pos="-1080"/>
          <w:tab w:val="left" w:pos="-720"/>
          <w:tab w:val="left" w:pos="360"/>
          <w:tab w:val="left" w:pos="720"/>
        </w:tabs>
        <w:rPr>
          <w:b/>
          <w:sz w:val="24"/>
          <w:szCs w:val="24"/>
        </w:rPr>
      </w:pPr>
      <w:r w:rsidRPr="00657D9A">
        <w:rPr>
          <w:b/>
          <w:sz w:val="24"/>
          <w:szCs w:val="24"/>
        </w:rPr>
        <w:t>9.</w:t>
      </w:r>
      <w:r w:rsidRPr="00657D9A">
        <w:rPr>
          <w:b/>
          <w:sz w:val="24"/>
          <w:szCs w:val="24"/>
        </w:rPr>
        <w:tab/>
        <w:t>Explain any decision to provide any payment or gift to respondents, other than remuneration of contractors or grantees.</w:t>
      </w:r>
    </w:p>
    <w:p w:rsidR="00FA14F6" w:rsidRPr="00657D9A" w:rsidP="00FA14F6" w14:paraId="7156ABFC" w14:textId="77777777">
      <w:pPr>
        <w:tabs>
          <w:tab w:val="left" w:pos="-1080"/>
          <w:tab w:val="left" w:pos="-720"/>
          <w:tab w:val="left" w:pos="360"/>
          <w:tab w:val="left" w:pos="720"/>
        </w:tabs>
        <w:rPr>
          <w:sz w:val="24"/>
          <w:szCs w:val="24"/>
        </w:rPr>
      </w:pPr>
    </w:p>
    <w:p w:rsidR="00FA14F6" w:rsidRPr="00657D9A" w:rsidP="00FA14F6" w14:paraId="469654EB" w14:textId="016401E8">
      <w:pPr>
        <w:tabs>
          <w:tab w:val="left" w:pos="-1080"/>
          <w:tab w:val="left" w:pos="-720"/>
          <w:tab w:val="left" w:pos="360"/>
          <w:tab w:val="left" w:pos="720"/>
        </w:tabs>
        <w:rPr>
          <w:sz w:val="24"/>
          <w:szCs w:val="24"/>
        </w:rPr>
      </w:pPr>
      <w:r w:rsidRPr="00657D9A">
        <w:rPr>
          <w:sz w:val="24"/>
          <w:szCs w:val="24"/>
        </w:rPr>
        <w:t>We will not provide payments or gifts to respondents.</w:t>
      </w:r>
    </w:p>
    <w:p w:rsidR="00FA14F6" w:rsidRPr="00657D9A" w:rsidP="00FA14F6" w14:paraId="104498CF" w14:textId="77777777">
      <w:pPr>
        <w:tabs>
          <w:tab w:val="left" w:pos="-1080"/>
          <w:tab w:val="left" w:pos="-720"/>
          <w:tab w:val="left" w:pos="360"/>
          <w:tab w:val="left" w:pos="720"/>
        </w:tabs>
        <w:rPr>
          <w:sz w:val="24"/>
          <w:szCs w:val="24"/>
        </w:rPr>
      </w:pPr>
    </w:p>
    <w:p w:rsidR="00FA14F6" w:rsidRPr="00657D9A" w:rsidP="00FA14F6" w14:paraId="32A70415" w14:textId="77777777">
      <w:pPr>
        <w:tabs>
          <w:tab w:val="left" w:pos="-1080"/>
          <w:tab w:val="left" w:pos="-720"/>
          <w:tab w:val="left" w:pos="450"/>
          <w:tab w:val="left" w:pos="720"/>
        </w:tabs>
        <w:rPr>
          <w:b/>
          <w:sz w:val="24"/>
          <w:szCs w:val="24"/>
        </w:rPr>
      </w:pPr>
      <w:r w:rsidRPr="00657D9A">
        <w:rPr>
          <w:b/>
          <w:sz w:val="24"/>
          <w:szCs w:val="24"/>
        </w:rPr>
        <w:t>10.</w:t>
      </w:r>
      <w:r w:rsidRPr="00657D9A">
        <w:rPr>
          <w:b/>
          <w:sz w:val="24"/>
          <w:szCs w:val="24"/>
        </w:rPr>
        <w:tab/>
        <w:t>Describe any assurance of confidentiality provided to respondents and the basis for the assurance in statute, regulation, or agency policy.</w:t>
      </w:r>
    </w:p>
    <w:p w:rsidR="00FA14F6" w:rsidRPr="00657D9A" w:rsidP="00FA14F6" w14:paraId="4C546D06" w14:textId="77777777">
      <w:pPr>
        <w:tabs>
          <w:tab w:val="left" w:pos="-1080"/>
          <w:tab w:val="left" w:pos="-720"/>
          <w:tab w:val="left" w:pos="450"/>
          <w:tab w:val="left" w:pos="720"/>
        </w:tabs>
        <w:rPr>
          <w:sz w:val="24"/>
          <w:szCs w:val="24"/>
        </w:rPr>
      </w:pPr>
    </w:p>
    <w:p w:rsidR="00FA14F6" w:rsidRPr="00657D9A" w:rsidP="00FA14F6" w14:paraId="719FD673" w14:textId="207B180D">
      <w:pPr>
        <w:tabs>
          <w:tab w:val="left" w:pos="-1080"/>
          <w:tab w:val="left" w:pos="-720"/>
          <w:tab w:val="left" w:pos="450"/>
          <w:tab w:val="left" w:pos="720"/>
        </w:tabs>
        <w:rPr>
          <w:sz w:val="24"/>
          <w:szCs w:val="24"/>
        </w:rPr>
      </w:pPr>
      <w:r w:rsidRPr="00657D9A">
        <w:rPr>
          <w:sz w:val="24"/>
          <w:szCs w:val="24"/>
        </w:rPr>
        <w:t xml:space="preserve">We do not provide any assurance of confidentiality.  Information is collected and protected in accordance with the Privacy Act (5 U.S.C. § 552a) and the Freedom of Information Act (5 U.S.C. 552).  </w:t>
      </w:r>
    </w:p>
    <w:p w:rsidR="00FA14F6" w:rsidRPr="00657D9A" w:rsidP="00FA14F6" w14:paraId="1B4ACC4A" w14:textId="77777777">
      <w:pPr>
        <w:tabs>
          <w:tab w:val="left" w:pos="-1080"/>
          <w:tab w:val="left" w:pos="-720"/>
          <w:tab w:val="left" w:pos="450"/>
          <w:tab w:val="left" w:pos="720"/>
        </w:tabs>
        <w:rPr>
          <w:sz w:val="24"/>
          <w:szCs w:val="24"/>
        </w:rPr>
      </w:pPr>
    </w:p>
    <w:p w:rsidR="00FA14F6" w:rsidRPr="00657D9A" w:rsidP="00FA14F6" w14:paraId="1F8C023C" w14:textId="77777777">
      <w:pPr>
        <w:tabs>
          <w:tab w:val="left" w:pos="-1080"/>
          <w:tab w:val="left" w:pos="-720"/>
          <w:tab w:val="left" w:pos="450"/>
          <w:tab w:val="left" w:pos="720"/>
        </w:tabs>
        <w:rPr>
          <w:b/>
          <w:sz w:val="24"/>
          <w:szCs w:val="24"/>
        </w:rPr>
      </w:pPr>
      <w:r w:rsidRPr="00657D9A">
        <w:rPr>
          <w:b/>
          <w:sz w:val="24"/>
          <w:szCs w:val="24"/>
        </w:rPr>
        <w:t>11.</w:t>
      </w:r>
      <w:r w:rsidRPr="00657D9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657D9A" w:rsidP="00FA14F6" w14:paraId="593E78FC" w14:textId="77777777">
      <w:pPr>
        <w:tabs>
          <w:tab w:val="left" w:pos="-1080"/>
          <w:tab w:val="left" w:pos="-720"/>
          <w:tab w:val="left" w:pos="450"/>
          <w:tab w:val="left" w:pos="720"/>
        </w:tabs>
        <w:rPr>
          <w:sz w:val="24"/>
          <w:szCs w:val="24"/>
        </w:rPr>
      </w:pPr>
    </w:p>
    <w:p w:rsidR="00FA14F6" w:rsidRPr="00657D9A" w:rsidP="00FA14F6" w14:paraId="66735912" w14:textId="492D5BD7">
      <w:pPr>
        <w:tabs>
          <w:tab w:val="left" w:pos="-1080"/>
          <w:tab w:val="left" w:pos="-720"/>
          <w:tab w:val="left" w:pos="450"/>
          <w:tab w:val="left" w:pos="720"/>
        </w:tabs>
        <w:rPr>
          <w:sz w:val="24"/>
          <w:szCs w:val="24"/>
        </w:rPr>
      </w:pPr>
      <w:r w:rsidRPr="00657D9A">
        <w:rPr>
          <w:sz w:val="24"/>
          <w:szCs w:val="24"/>
        </w:rPr>
        <w:t xml:space="preserve">We do not ask questions of a sensitive nature.  </w:t>
      </w:r>
    </w:p>
    <w:p w:rsidR="00FA14F6" w:rsidRPr="00657D9A" w:rsidP="00FA14F6" w14:paraId="722D015F" w14:textId="77777777">
      <w:pPr>
        <w:tabs>
          <w:tab w:val="left" w:pos="-1080"/>
          <w:tab w:val="left" w:pos="-720"/>
          <w:tab w:val="left" w:pos="450"/>
          <w:tab w:val="left" w:pos="720"/>
        </w:tabs>
        <w:rPr>
          <w:sz w:val="24"/>
          <w:szCs w:val="24"/>
        </w:rPr>
      </w:pPr>
    </w:p>
    <w:p w:rsidR="00FA14F6" w:rsidRPr="00657D9A" w:rsidP="00FA14F6" w14:paraId="439A80B0" w14:textId="77777777">
      <w:pPr>
        <w:tabs>
          <w:tab w:val="left" w:pos="-1080"/>
          <w:tab w:val="left" w:pos="-720"/>
          <w:tab w:val="left" w:pos="450"/>
          <w:tab w:val="left" w:pos="720"/>
        </w:tabs>
        <w:rPr>
          <w:b/>
          <w:sz w:val="24"/>
          <w:szCs w:val="24"/>
        </w:rPr>
      </w:pPr>
      <w:r w:rsidRPr="00657D9A">
        <w:rPr>
          <w:b/>
          <w:sz w:val="24"/>
          <w:szCs w:val="24"/>
        </w:rPr>
        <w:t>12.</w:t>
      </w:r>
      <w:r w:rsidRPr="00657D9A">
        <w:rPr>
          <w:b/>
          <w:sz w:val="24"/>
          <w:szCs w:val="24"/>
        </w:rPr>
        <w:tab/>
        <w:t>Provide estimates of the hour burden of the collection of information.  The statement should:</w:t>
      </w:r>
    </w:p>
    <w:p w:rsidR="00FA14F6" w:rsidRPr="00657D9A" w:rsidP="00FA14F6" w14:paraId="1947BE6D"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657D9A" w:rsidP="00FA14F6" w14:paraId="706110F2"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 xml:space="preserve">If this request for approval covers more than one form, provide separate hour </w:t>
      </w:r>
      <w:r w:rsidRPr="00657D9A">
        <w:rPr>
          <w:b/>
          <w:sz w:val="24"/>
          <w:szCs w:val="24"/>
        </w:rPr>
        <w:t>burden estimates for each form and aggregate the hour burdens.</w:t>
      </w:r>
    </w:p>
    <w:p w:rsidR="00FA14F6" w:rsidRPr="00657D9A" w:rsidP="00FA14F6" w14:paraId="56D3FA57" w14:textId="48AC077F">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521F4B" w:rsidRPr="00657D9A" w:rsidP="005E5DBF" w14:paraId="1B10C02B" w14:textId="77777777">
      <w:pPr>
        <w:rPr>
          <w:sz w:val="24"/>
          <w:szCs w:val="24"/>
        </w:rPr>
      </w:pPr>
    </w:p>
    <w:p w:rsidR="00B92921" w:rsidRPr="00657D9A" w:rsidP="00B92921" w14:paraId="507F5CC9" w14:textId="5C6694B0">
      <w:pPr>
        <w:rPr>
          <w:sz w:val="24"/>
          <w:szCs w:val="24"/>
        </w:rPr>
      </w:pPr>
      <w:r w:rsidRPr="00657D9A">
        <w:rPr>
          <w:sz w:val="24"/>
          <w:szCs w:val="24"/>
        </w:rPr>
        <w:t xml:space="preserve">We estimate a total annual salary burden of </w:t>
      </w:r>
      <w:r w:rsidRPr="00657D9A">
        <w:rPr>
          <w:b/>
          <w:bCs/>
          <w:sz w:val="24"/>
          <w:szCs w:val="24"/>
        </w:rPr>
        <w:t>$</w:t>
      </w:r>
      <w:r w:rsidR="00207EE8">
        <w:rPr>
          <w:b/>
          <w:bCs/>
          <w:sz w:val="24"/>
          <w:szCs w:val="24"/>
        </w:rPr>
        <w:t>34,065</w:t>
      </w:r>
      <w:r w:rsidRPr="00657D9A">
        <w:rPr>
          <w:sz w:val="24"/>
          <w:szCs w:val="24"/>
        </w:rPr>
        <w:t>.</w:t>
      </w:r>
      <w:r w:rsidRPr="00B92921">
        <w:rPr>
          <w:sz w:val="24"/>
          <w:szCs w:val="24"/>
        </w:rPr>
        <w:t xml:space="preserve"> </w:t>
      </w:r>
      <w:r w:rsidRPr="00657D9A">
        <w:rPr>
          <w:sz w:val="24"/>
          <w:szCs w:val="24"/>
        </w:rPr>
        <w:t xml:space="preserve">We arrived at the estimate for burden hours per response considering that the information collection will require the respondents to prepare and provide as part of their applications a three-year plan. We estimate it will take each respondent an average of 40 hours total, including 35 hours to prepare, compile, and submit the application, and an additional 5 hours to prepare and submit the annual report. </w:t>
      </w:r>
    </w:p>
    <w:p w:rsidR="006932FD" w:rsidP="00521F4B" w14:paraId="2937B4FE" w14:textId="77777777">
      <w:pPr>
        <w:rPr>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
      <w:tblGrid>
        <w:gridCol w:w="9340"/>
      </w:tblGrid>
      <w:tr w14:paraId="0B9E2097" w14:textId="77777777" w:rsidTr="0068538C">
        <w:tblPrEx>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Ex>
        <w:tc>
          <w:tcPr>
            <w:tcW w:w="9350" w:type="dxa"/>
          </w:tcPr>
          <w:p w:rsidR="00B92921" w:rsidRPr="00DC793B" w:rsidP="0068538C" w14:paraId="5F993A90" w14:textId="118C91D8">
            <w:pPr>
              <w:tabs>
                <w:tab w:val="left" w:pos="-1080"/>
                <w:tab w:val="left" w:pos="-720"/>
                <w:tab w:val="left" w:pos="450"/>
                <w:tab w:val="left" w:pos="720"/>
              </w:tabs>
              <w:rPr>
                <w:b/>
                <w:bCs/>
                <w:sz w:val="24"/>
                <w:szCs w:val="24"/>
              </w:rPr>
            </w:pPr>
            <w:r w:rsidRPr="00DC793B">
              <w:rPr>
                <w:b/>
                <w:bCs/>
                <w:sz w:val="24"/>
                <w:szCs w:val="24"/>
              </w:rPr>
              <w:t xml:space="preserve">2024 </w:t>
            </w:r>
            <w:r>
              <w:rPr>
                <w:b/>
                <w:bCs/>
                <w:sz w:val="24"/>
                <w:szCs w:val="24"/>
              </w:rPr>
              <w:t>Updated</w:t>
            </w:r>
            <w:r w:rsidRPr="00DC793B">
              <w:rPr>
                <w:b/>
                <w:bCs/>
                <w:sz w:val="24"/>
                <w:szCs w:val="24"/>
              </w:rPr>
              <w:t xml:space="preserve"> </w:t>
            </w:r>
            <w:r>
              <w:rPr>
                <w:b/>
                <w:bCs/>
                <w:sz w:val="24"/>
                <w:szCs w:val="24"/>
              </w:rPr>
              <w:t>Estimates</w:t>
            </w:r>
          </w:p>
          <w:p w:rsidR="00B92921" w:rsidP="00B92921" w14:paraId="1468980E" w14:textId="0A1879BC">
            <w:pPr>
              <w:rPr>
                <w:sz w:val="24"/>
                <w:szCs w:val="24"/>
              </w:rPr>
            </w:pPr>
            <w:r w:rsidRPr="00B92921">
              <w:rPr>
                <w:color w:val="FF0000"/>
                <w:sz w:val="24"/>
                <w:szCs w:val="24"/>
              </w:rPr>
              <w:t xml:space="preserve">We estimate that there will be approximately 30 respondents.  Once for each application received (20), and then each grantee to report on the required reporting (10) at an estimated 35 hours for each application; and once for the report at an estimated 5 hours; totaling 750 annual burden hours. </w:t>
            </w:r>
          </w:p>
        </w:tc>
      </w:tr>
    </w:tbl>
    <w:p w:rsidR="00521F4B" w:rsidP="005E5DBF" w14:paraId="4E1421E2" w14:textId="45A303A0">
      <w:pPr>
        <w:rPr>
          <w:sz w:val="22"/>
          <w:szCs w:val="22"/>
        </w:rPr>
      </w:pPr>
    </w:p>
    <w:p w:rsidR="00B92921" w:rsidRPr="00657D9A" w:rsidP="00B92921" w14:paraId="0E61047A" w14:textId="77777777">
      <w:pPr>
        <w:rPr>
          <w:sz w:val="24"/>
          <w:szCs w:val="24"/>
        </w:rPr>
      </w:pPr>
      <w:r w:rsidRPr="00657D9A">
        <w:rPr>
          <w:sz w:val="24"/>
          <w:szCs w:val="24"/>
        </w:rPr>
        <w:t xml:space="preserve">To obtain the hourly rate, </w:t>
      </w:r>
      <w:r>
        <w:rPr>
          <w:sz w:val="24"/>
          <w:szCs w:val="24"/>
        </w:rPr>
        <w:t>we</w:t>
      </w:r>
      <w:r w:rsidRPr="00657D9A">
        <w:rPr>
          <w:sz w:val="24"/>
          <w:szCs w:val="24"/>
        </w:rPr>
        <w:t xml:space="preserve"> used $45.42, the wages and salaries including benefits figure for civilian workers from BLS Release USDL-24-0485, Employer Costs for Employee Compensation—December 2023, Table 2. Civilian workers, at https://www.bls.gov/news.release/pdf/ecec.pdf.  This wage includes a multiplier for benefits.  </w:t>
      </w:r>
    </w:p>
    <w:p w:rsidR="00B92921" w:rsidRPr="00657D9A" w:rsidP="005E5DBF" w14:paraId="01AB2A91" w14:textId="77777777">
      <w:pPr>
        <w:rPr>
          <w:sz w:val="22"/>
          <w:szCs w:val="22"/>
        </w:rPr>
      </w:pPr>
    </w:p>
    <w:tbl>
      <w:tblPr>
        <w:tblW w:w="933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58"/>
        <w:gridCol w:w="1039"/>
        <w:gridCol w:w="1206"/>
        <w:gridCol w:w="1136"/>
        <w:gridCol w:w="1026"/>
        <w:gridCol w:w="926"/>
        <w:gridCol w:w="1155"/>
        <w:gridCol w:w="779"/>
        <w:gridCol w:w="912"/>
      </w:tblGrid>
      <w:tr w14:paraId="055B2E49" w14:textId="77777777" w:rsidTr="00F051DB">
        <w:tblPrEx>
          <w:tblW w:w="933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158"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21F4B" w:rsidRPr="00657D9A" w:rsidP="00521F4B" w14:paraId="20B63481" w14:textId="77777777">
            <w:pPr>
              <w:widowControl/>
              <w:autoSpaceDE/>
              <w:autoSpaceDN/>
              <w:adjustRightInd/>
              <w:jc w:val="center"/>
              <w:textAlignment w:val="baseline"/>
              <w:rPr>
                <w:sz w:val="18"/>
                <w:szCs w:val="18"/>
              </w:rPr>
            </w:pPr>
            <w:r w:rsidRPr="00657D9A">
              <w:rPr>
                <w:b/>
                <w:bCs/>
                <w:sz w:val="18"/>
                <w:szCs w:val="18"/>
              </w:rPr>
              <w:t>Respondent</w:t>
            </w:r>
            <w:r w:rsidRPr="00657D9A">
              <w:rPr>
                <w:sz w:val="18"/>
                <w:szCs w:val="18"/>
              </w:rPr>
              <w:t> </w:t>
            </w:r>
          </w:p>
        </w:tc>
        <w:tc>
          <w:tcPr>
            <w:tcW w:w="1039"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090908BE" w14:textId="77777777">
            <w:pPr>
              <w:widowControl/>
              <w:autoSpaceDE/>
              <w:autoSpaceDN/>
              <w:adjustRightInd/>
              <w:jc w:val="center"/>
              <w:textAlignment w:val="baseline"/>
              <w:rPr>
                <w:sz w:val="18"/>
                <w:szCs w:val="18"/>
              </w:rPr>
            </w:pPr>
            <w:r w:rsidRPr="00657D9A">
              <w:rPr>
                <w:b/>
                <w:bCs/>
                <w:sz w:val="18"/>
                <w:szCs w:val="18"/>
              </w:rPr>
              <w:t>Activity</w:t>
            </w:r>
            <w:r w:rsidRPr="00657D9A">
              <w:rPr>
                <w:sz w:val="18"/>
                <w:szCs w:val="18"/>
              </w:rPr>
              <w:t> </w:t>
            </w:r>
          </w:p>
        </w:tc>
        <w:tc>
          <w:tcPr>
            <w:tcW w:w="1206"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3AA10643" w14:textId="77777777">
            <w:pPr>
              <w:widowControl/>
              <w:autoSpaceDE/>
              <w:autoSpaceDN/>
              <w:adjustRightInd/>
              <w:jc w:val="center"/>
              <w:textAlignment w:val="baseline"/>
              <w:rPr>
                <w:sz w:val="18"/>
                <w:szCs w:val="18"/>
              </w:rPr>
            </w:pPr>
            <w:r w:rsidRPr="00657D9A">
              <w:rPr>
                <w:b/>
                <w:bCs/>
                <w:sz w:val="18"/>
                <w:szCs w:val="18"/>
              </w:rPr>
              <w:t>Annual No. of Respondents</w:t>
            </w:r>
            <w:r w:rsidRPr="00657D9A">
              <w:rPr>
                <w:sz w:val="18"/>
                <w:szCs w:val="18"/>
              </w:rPr>
              <w:t> </w:t>
            </w:r>
          </w:p>
        </w:tc>
        <w:tc>
          <w:tcPr>
            <w:tcW w:w="1136"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4E7A1CBE" w14:textId="77777777">
            <w:pPr>
              <w:widowControl/>
              <w:autoSpaceDE/>
              <w:autoSpaceDN/>
              <w:adjustRightInd/>
              <w:jc w:val="center"/>
              <w:textAlignment w:val="baseline"/>
              <w:rPr>
                <w:sz w:val="18"/>
                <w:szCs w:val="18"/>
              </w:rPr>
            </w:pPr>
            <w:r w:rsidRPr="00657D9A">
              <w:rPr>
                <w:b/>
                <w:bCs/>
                <w:sz w:val="18"/>
                <w:szCs w:val="18"/>
              </w:rPr>
              <w:t>Number of Submissions Each</w:t>
            </w:r>
            <w:r w:rsidRPr="00657D9A">
              <w:rPr>
                <w:sz w:val="18"/>
                <w:szCs w:val="18"/>
              </w:rPr>
              <w:t> </w:t>
            </w:r>
          </w:p>
        </w:tc>
        <w:tc>
          <w:tcPr>
            <w:tcW w:w="1026"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3DAD8E26" w14:textId="77777777">
            <w:pPr>
              <w:widowControl/>
              <w:autoSpaceDE/>
              <w:autoSpaceDN/>
              <w:adjustRightInd/>
              <w:jc w:val="center"/>
              <w:textAlignment w:val="baseline"/>
              <w:rPr>
                <w:sz w:val="18"/>
                <w:szCs w:val="18"/>
              </w:rPr>
            </w:pPr>
            <w:r w:rsidRPr="00657D9A">
              <w:rPr>
                <w:b/>
                <w:bCs/>
                <w:sz w:val="18"/>
                <w:szCs w:val="18"/>
              </w:rPr>
              <w:t>Total</w:t>
            </w:r>
            <w:r w:rsidRPr="00657D9A">
              <w:rPr>
                <w:sz w:val="18"/>
                <w:szCs w:val="18"/>
              </w:rPr>
              <w:t> </w:t>
            </w:r>
          </w:p>
          <w:p w:rsidR="00521F4B" w:rsidRPr="00657D9A" w:rsidP="00521F4B" w14:paraId="46331B93" w14:textId="77777777">
            <w:pPr>
              <w:widowControl/>
              <w:autoSpaceDE/>
              <w:autoSpaceDN/>
              <w:adjustRightInd/>
              <w:jc w:val="center"/>
              <w:textAlignment w:val="baseline"/>
              <w:rPr>
                <w:sz w:val="18"/>
                <w:szCs w:val="18"/>
              </w:rPr>
            </w:pPr>
            <w:r w:rsidRPr="00657D9A">
              <w:rPr>
                <w:b/>
                <w:bCs/>
                <w:sz w:val="18"/>
                <w:szCs w:val="18"/>
              </w:rPr>
              <w:t>Annual</w:t>
            </w:r>
            <w:r w:rsidRPr="00657D9A">
              <w:rPr>
                <w:sz w:val="18"/>
                <w:szCs w:val="18"/>
              </w:rPr>
              <w:t> </w:t>
            </w:r>
          </w:p>
          <w:p w:rsidR="00521F4B" w:rsidRPr="00657D9A" w:rsidP="00521F4B" w14:paraId="31B5B317" w14:textId="77777777">
            <w:pPr>
              <w:widowControl/>
              <w:autoSpaceDE/>
              <w:autoSpaceDN/>
              <w:adjustRightInd/>
              <w:jc w:val="center"/>
              <w:textAlignment w:val="baseline"/>
              <w:rPr>
                <w:sz w:val="18"/>
                <w:szCs w:val="18"/>
              </w:rPr>
            </w:pPr>
            <w:r w:rsidRPr="00657D9A">
              <w:rPr>
                <w:b/>
                <w:bCs/>
                <w:sz w:val="18"/>
                <w:szCs w:val="18"/>
              </w:rPr>
              <w:t>Responses</w:t>
            </w:r>
            <w:r w:rsidRPr="00657D9A">
              <w:rPr>
                <w:sz w:val="18"/>
                <w:szCs w:val="18"/>
              </w:rPr>
              <w:t> </w:t>
            </w:r>
          </w:p>
        </w:tc>
        <w:tc>
          <w:tcPr>
            <w:tcW w:w="926"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22A44748" w14:textId="77777777">
            <w:pPr>
              <w:widowControl/>
              <w:autoSpaceDE/>
              <w:autoSpaceDN/>
              <w:adjustRightInd/>
              <w:jc w:val="center"/>
              <w:textAlignment w:val="baseline"/>
              <w:rPr>
                <w:sz w:val="18"/>
                <w:szCs w:val="18"/>
              </w:rPr>
            </w:pPr>
            <w:r w:rsidRPr="00657D9A">
              <w:rPr>
                <w:b/>
                <w:bCs/>
                <w:sz w:val="18"/>
                <w:szCs w:val="18"/>
              </w:rPr>
              <w:t>Avg. Time per Response</w:t>
            </w:r>
            <w:r w:rsidRPr="00657D9A">
              <w:rPr>
                <w:sz w:val="18"/>
                <w:szCs w:val="18"/>
              </w:rPr>
              <w:t> </w:t>
            </w:r>
          </w:p>
          <w:p w:rsidR="00521F4B" w:rsidRPr="00657D9A" w:rsidP="00521F4B" w14:paraId="134F6B67" w14:textId="77777777">
            <w:pPr>
              <w:widowControl/>
              <w:autoSpaceDE/>
              <w:autoSpaceDN/>
              <w:adjustRightInd/>
              <w:jc w:val="center"/>
              <w:textAlignment w:val="baseline"/>
              <w:rPr>
                <w:sz w:val="18"/>
                <w:szCs w:val="18"/>
              </w:rPr>
            </w:pPr>
            <w:r w:rsidRPr="00657D9A">
              <w:rPr>
                <w:b/>
                <w:bCs/>
                <w:sz w:val="18"/>
                <w:szCs w:val="18"/>
              </w:rPr>
              <w:t>(hours)</w:t>
            </w:r>
            <w:r w:rsidRPr="00657D9A">
              <w:rPr>
                <w:sz w:val="18"/>
                <w:szCs w:val="18"/>
              </w:rPr>
              <w:t> </w:t>
            </w:r>
          </w:p>
        </w:tc>
        <w:tc>
          <w:tcPr>
            <w:tcW w:w="1155"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68D80484" w14:textId="77777777">
            <w:pPr>
              <w:widowControl/>
              <w:autoSpaceDE/>
              <w:autoSpaceDN/>
              <w:adjustRightInd/>
              <w:jc w:val="center"/>
              <w:textAlignment w:val="baseline"/>
              <w:rPr>
                <w:sz w:val="18"/>
                <w:szCs w:val="18"/>
              </w:rPr>
            </w:pPr>
            <w:r w:rsidRPr="00657D9A">
              <w:rPr>
                <w:b/>
                <w:bCs/>
                <w:sz w:val="18"/>
                <w:szCs w:val="18"/>
              </w:rPr>
              <w:t>Total Annual</w:t>
            </w:r>
            <w:r w:rsidRPr="00657D9A">
              <w:rPr>
                <w:sz w:val="18"/>
                <w:szCs w:val="18"/>
              </w:rPr>
              <w:t> </w:t>
            </w:r>
          </w:p>
          <w:p w:rsidR="00521F4B" w:rsidRPr="00657D9A" w:rsidP="00521F4B" w14:paraId="42321B56" w14:textId="77777777">
            <w:pPr>
              <w:widowControl/>
              <w:autoSpaceDE/>
              <w:autoSpaceDN/>
              <w:adjustRightInd/>
              <w:jc w:val="center"/>
              <w:textAlignment w:val="baseline"/>
              <w:rPr>
                <w:sz w:val="18"/>
                <w:szCs w:val="18"/>
              </w:rPr>
            </w:pPr>
            <w:r w:rsidRPr="00657D9A">
              <w:rPr>
                <w:b/>
                <w:bCs/>
                <w:sz w:val="18"/>
                <w:szCs w:val="18"/>
              </w:rPr>
              <w:t>Burden</w:t>
            </w:r>
            <w:r w:rsidRPr="00657D9A">
              <w:rPr>
                <w:sz w:val="18"/>
                <w:szCs w:val="18"/>
              </w:rPr>
              <w:t> </w:t>
            </w:r>
          </w:p>
          <w:p w:rsidR="00521F4B" w:rsidRPr="00657D9A" w:rsidP="00521F4B" w14:paraId="174F94DA" w14:textId="77777777">
            <w:pPr>
              <w:widowControl/>
              <w:autoSpaceDE/>
              <w:autoSpaceDN/>
              <w:adjustRightInd/>
              <w:jc w:val="center"/>
              <w:textAlignment w:val="baseline"/>
              <w:rPr>
                <w:sz w:val="18"/>
                <w:szCs w:val="18"/>
              </w:rPr>
            </w:pPr>
            <w:r w:rsidRPr="00657D9A">
              <w:rPr>
                <w:b/>
                <w:bCs/>
                <w:sz w:val="18"/>
                <w:szCs w:val="18"/>
              </w:rPr>
              <w:t>Hours*</w:t>
            </w:r>
            <w:r w:rsidRPr="00657D9A">
              <w:rPr>
                <w:sz w:val="18"/>
                <w:szCs w:val="18"/>
              </w:rPr>
              <w:t> </w:t>
            </w:r>
          </w:p>
        </w:tc>
        <w:tc>
          <w:tcPr>
            <w:tcW w:w="779"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630E242B" w14:textId="77777777">
            <w:pPr>
              <w:widowControl/>
              <w:autoSpaceDE/>
              <w:autoSpaceDN/>
              <w:adjustRightInd/>
              <w:jc w:val="center"/>
              <w:textAlignment w:val="baseline"/>
              <w:rPr>
                <w:sz w:val="18"/>
                <w:szCs w:val="18"/>
              </w:rPr>
            </w:pPr>
            <w:r w:rsidRPr="00657D9A">
              <w:rPr>
                <w:b/>
                <w:bCs/>
                <w:sz w:val="18"/>
                <w:szCs w:val="18"/>
              </w:rPr>
              <w:t>Hourly Labor</w:t>
            </w:r>
            <w:r w:rsidRPr="00657D9A">
              <w:rPr>
                <w:sz w:val="18"/>
                <w:szCs w:val="18"/>
              </w:rPr>
              <w:t> </w:t>
            </w:r>
          </w:p>
          <w:p w:rsidR="00521F4B" w:rsidRPr="00657D9A" w:rsidP="00521F4B" w14:paraId="308E6F92" w14:textId="77777777">
            <w:pPr>
              <w:widowControl/>
              <w:autoSpaceDE/>
              <w:autoSpaceDN/>
              <w:adjustRightInd/>
              <w:jc w:val="center"/>
              <w:textAlignment w:val="baseline"/>
              <w:rPr>
                <w:sz w:val="18"/>
                <w:szCs w:val="18"/>
              </w:rPr>
            </w:pPr>
            <w:r w:rsidRPr="00657D9A">
              <w:rPr>
                <w:b/>
                <w:bCs/>
                <w:sz w:val="18"/>
                <w:szCs w:val="18"/>
              </w:rPr>
              <w:t>Costs</w:t>
            </w:r>
            <w:r w:rsidRPr="00657D9A">
              <w:rPr>
                <w:sz w:val="18"/>
                <w:szCs w:val="18"/>
              </w:rPr>
              <w:t> </w:t>
            </w:r>
          </w:p>
          <w:p w:rsidR="00521F4B" w:rsidRPr="00657D9A" w:rsidP="00521F4B" w14:paraId="635B07BB" w14:textId="77777777">
            <w:pPr>
              <w:widowControl/>
              <w:autoSpaceDE/>
              <w:autoSpaceDN/>
              <w:adjustRightInd/>
              <w:jc w:val="center"/>
              <w:textAlignment w:val="baseline"/>
              <w:rPr>
                <w:sz w:val="18"/>
                <w:szCs w:val="18"/>
              </w:rPr>
            </w:pPr>
            <w:r w:rsidRPr="00657D9A">
              <w:rPr>
                <w:b/>
                <w:bCs/>
                <w:sz w:val="18"/>
                <w:szCs w:val="18"/>
              </w:rPr>
              <w:t>Incl. Benefits</w:t>
            </w:r>
            <w:r w:rsidRPr="00657D9A">
              <w:rPr>
                <w:sz w:val="18"/>
                <w:szCs w:val="18"/>
              </w:rPr>
              <w:t> </w:t>
            </w:r>
          </w:p>
        </w:tc>
        <w:tc>
          <w:tcPr>
            <w:tcW w:w="912" w:type="dxa"/>
            <w:tcBorders>
              <w:top w:val="single" w:sz="6" w:space="0" w:color="auto"/>
              <w:left w:val="nil"/>
              <w:bottom w:val="single" w:sz="6" w:space="0" w:color="auto"/>
              <w:right w:val="single" w:sz="6" w:space="0" w:color="auto"/>
            </w:tcBorders>
            <w:shd w:val="clear" w:color="auto" w:fill="auto"/>
            <w:vAlign w:val="bottom"/>
            <w:hideMark/>
          </w:tcPr>
          <w:p w:rsidR="00521F4B" w:rsidRPr="00657D9A" w:rsidP="00521F4B" w14:paraId="36448D04" w14:textId="77777777">
            <w:pPr>
              <w:widowControl/>
              <w:autoSpaceDE/>
              <w:autoSpaceDN/>
              <w:adjustRightInd/>
              <w:jc w:val="center"/>
              <w:textAlignment w:val="baseline"/>
              <w:rPr>
                <w:sz w:val="18"/>
                <w:szCs w:val="18"/>
              </w:rPr>
            </w:pPr>
            <w:r w:rsidRPr="00657D9A">
              <w:rPr>
                <w:b/>
                <w:bCs/>
                <w:sz w:val="18"/>
                <w:szCs w:val="18"/>
              </w:rPr>
              <w:t>Dollar Value</w:t>
            </w:r>
            <w:r w:rsidRPr="00657D9A">
              <w:rPr>
                <w:sz w:val="18"/>
                <w:szCs w:val="18"/>
              </w:rPr>
              <w:t> </w:t>
            </w:r>
          </w:p>
          <w:p w:rsidR="00521F4B" w:rsidRPr="00657D9A" w:rsidP="00521F4B" w14:paraId="7EE2A47F" w14:textId="77777777">
            <w:pPr>
              <w:widowControl/>
              <w:autoSpaceDE/>
              <w:autoSpaceDN/>
              <w:adjustRightInd/>
              <w:jc w:val="center"/>
              <w:textAlignment w:val="baseline"/>
              <w:rPr>
                <w:sz w:val="18"/>
                <w:szCs w:val="18"/>
              </w:rPr>
            </w:pPr>
            <w:r w:rsidRPr="00657D9A">
              <w:rPr>
                <w:b/>
                <w:bCs/>
                <w:sz w:val="18"/>
                <w:szCs w:val="18"/>
              </w:rPr>
              <w:t>of Annual</w:t>
            </w:r>
            <w:r w:rsidRPr="00657D9A">
              <w:rPr>
                <w:sz w:val="18"/>
                <w:szCs w:val="18"/>
              </w:rPr>
              <w:t> </w:t>
            </w:r>
          </w:p>
          <w:p w:rsidR="00521F4B" w:rsidRPr="00657D9A" w:rsidP="00521F4B" w14:paraId="57CD985E" w14:textId="77777777">
            <w:pPr>
              <w:widowControl/>
              <w:autoSpaceDE/>
              <w:autoSpaceDN/>
              <w:adjustRightInd/>
              <w:jc w:val="center"/>
              <w:textAlignment w:val="baseline"/>
              <w:rPr>
                <w:sz w:val="18"/>
                <w:szCs w:val="18"/>
              </w:rPr>
            </w:pPr>
            <w:r w:rsidRPr="00657D9A">
              <w:rPr>
                <w:b/>
                <w:bCs/>
                <w:sz w:val="18"/>
                <w:szCs w:val="18"/>
              </w:rPr>
              <w:t>Burden Hours</w:t>
            </w:r>
            <w:r w:rsidRPr="00657D9A">
              <w:rPr>
                <w:sz w:val="18"/>
                <w:szCs w:val="18"/>
              </w:rPr>
              <w:t> </w:t>
            </w:r>
          </w:p>
        </w:tc>
      </w:tr>
      <w:tr w14:paraId="4CCA7A55" w14:textId="77777777" w:rsidTr="00F051DB">
        <w:tblPrEx>
          <w:tblW w:w="9337" w:type="dxa"/>
          <w:tblInd w:w="105" w:type="dxa"/>
          <w:tblCellMar>
            <w:left w:w="0" w:type="dxa"/>
            <w:right w:w="0" w:type="dxa"/>
          </w:tblCellMar>
          <w:tblLook w:val="04A0"/>
        </w:tblPrEx>
        <w:tc>
          <w:tcPr>
            <w:tcW w:w="9337" w:type="dxa"/>
            <w:gridSpan w:val="9"/>
            <w:tcBorders>
              <w:top w:val="single" w:sz="6" w:space="0" w:color="auto"/>
              <w:left w:val="single" w:sz="6" w:space="0" w:color="auto"/>
              <w:bottom w:val="single" w:sz="6" w:space="0" w:color="auto"/>
              <w:right w:val="single" w:sz="6" w:space="0" w:color="auto"/>
            </w:tcBorders>
            <w:shd w:val="clear" w:color="auto" w:fill="D9D9D9"/>
            <w:hideMark/>
          </w:tcPr>
          <w:p w:rsidR="00521F4B" w:rsidRPr="00657D9A" w:rsidP="002D53D6" w14:paraId="160B5BB9" w14:textId="2FEC58A4">
            <w:pPr>
              <w:widowControl/>
              <w:autoSpaceDE/>
              <w:autoSpaceDN/>
              <w:adjustRightInd/>
              <w:textAlignment w:val="baseline"/>
              <w:rPr>
                <w:sz w:val="18"/>
                <w:szCs w:val="18"/>
              </w:rPr>
            </w:pPr>
            <w:r w:rsidRPr="00657D9A">
              <w:rPr>
                <w:b/>
                <w:bCs/>
                <w:i/>
                <w:iCs/>
                <w:color w:val="000000"/>
                <w:sz w:val="18"/>
                <w:szCs w:val="18"/>
              </w:rPr>
              <w:t xml:space="preserve">Application </w:t>
            </w:r>
          </w:p>
        </w:tc>
      </w:tr>
      <w:tr w14:paraId="1EC9236A" w14:textId="77777777" w:rsidTr="00421D37">
        <w:tblPrEx>
          <w:tblW w:w="9337" w:type="dxa"/>
          <w:tblInd w:w="105" w:type="dxa"/>
          <w:tblCellMar>
            <w:left w:w="0" w:type="dxa"/>
            <w:right w:w="0" w:type="dxa"/>
          </w:tblCellMar>
          <w:tblLook w:val="04A0"/>
        </w:tblPrEx>
        <w:tc>
          <w:tcPr>
            <w:tcW w:w="1158" w:type="dxa"/>
            <w:tcBorders>
              <w:top w:val="nil"/>
              <w:left w:val="single" w:sz="6" w:space="0" w:color="auto"/>
              <w:bottom w:val="single" w:sz="6" w:space="0" w:color="auto"/>
              <w:right w:val="single" w:sz="6" w:space="0" w:color="auto"/>
            </w:tcBorders>
            <w:shd w:val="clear" w:color="auto" w:fill="FFFFFF"/>
            <w:hideMark/>
          </w:tcPr>
          <w:p w:rsidR="002B640C" w:rsidRPr="00657D9A" w:rsidP="002B640C" w14:paraId="0EC3FC94" w14:textId="77777777">
            <w:pPr>
              <w:widowControl/>
              <w:autoSpaceDE/>
              <w:autoSpaceDN/>
              <w:adjustRightInd/>
              <w:textAlignment w:val="baseline"/>
              <w:rPr>
                <w:sz w:val="18"/>
                <w:szCs w:val="18"/>
              </w:rPr>
            </w:pPr>
            <w:r w:rsidRPr="00657D9A">
              <w:rPr>
                <w:sz w:val="18"/>
                <w:szCs w:val="18"/>
              </w:rPr>
              <w:t>Individuals </w:t>
            </w:r>
          </w:p>
        </w:tc>
        <w:tc>
          <w:tcPr>
            <w:tcW w:w="1039" w:type="dxa"/>
            <w:tcBorders>
              <w:top w:val="nil"/>
              <w:left w:val="nil"/>
              <w:bottom w:val="single" w:sz="6" w:space="0" w:color="auto"/>
              <w:right w:val="single" w:sz="6" w:space="0" w:color="auto"/>
            </w:tcBorders>
            <w:shd w:val="clear" w:color="auto" w:fill="FFFFFF"/>
            <w:vAlign w:val="center"/>
            <w:hideMark/>
          </w:tcPr>
          <w:p w:rsidR="002B640C" w:rsidRPr="00657D9A" w:rsidP="002B640C" w14:paraId="0FBD6A3F" w14:textId="77777777">
            <w:pPr>
              <w:widowControl/>
              <w:autoSpaceDE/>
              <w:autoSpaceDN/>
              <w:adjustRightInd/>
              <w:jc w:val="center"/>
              <w:textAlignment w:val="baseline"/>
              <w:rPr>
                <w:sz w:val="18"/>
                <w:szCs w:val="18"/>
              </w:rPr>
            </w:pPr>
            <w:r w:rsidRPr="00657D9A">
              <w:rPr>
                <w:sz w:val="18"/>
                <w:szCs w:val="18"/>
              </w:rPr>
              <w:t>Reporting </w:t>
            </w:r>
          </w:p>
        </w:tc>
        <w:tc>
          <w:tcPr>
            <w:tcW w:w="1206" w:type="dxa"/>
            <w:tcBorders>
              <w:top w:val="nil"/>
              <w:left w:val="nil"/>
              <w:bottom w:val="single" w:sz="6" w:space="0" w:color="auto"/>
              <w:right w:val="single" w:sz="6" w:space="0" w:color="auto"/>
            </w:tcBorders>
            <w:shd w:val="clear" w:color="auto" w:fill="auto"/>
            <w:vAlign w:val="center"/>
            <w:hideMark/>
          </w:tcPr>
          <w:p w:rsidR="002B640C" w:rsidRPr="00657D9A" w:rsidP="00421D37" w14:paraId="70A1BA5E" w14:textId="0280AAE0">
            <w:pPr>
              <w:widowControl/>
              <w:autoSpaceDE/>
              <w:autoSpaceDN/>
              <w:adjustRightInd/>
              <w:jc w:val="center"/>
              <w:textAlignment w:val="baseline"/>
              <w:rPr>
                <w:sz w:val="18"/>
                <w:szCs w:val="18"/>
              </w:rPr>
            </w:pPr>
            <w:r>
              <w:rPr>
                <w:sz w:val="18"/>
                <w:szCs w:val="18"/>
              </w:rPr>
              <w:t>20</w:t>
            </w:r>
          </w:p>
        </w:tc>
        <w:tc>
          <w:tcPr>
            <w:tcW w:w="1136" w:type="dxa"/>
            <w:tcBorders>
              <w:top w:val="nil"/>
              <w:left w:val="nil"/>
              <w:bottom w:val="single" w:sz="6" w:space="0" w:color="auto"/>
              <w:right w:val="single" w:sz="6" w:space="0" w:color="auto"/>
            </w:tcBorders>
            <w:shd w:val="clear" w:color="auto" w:fill="auto"/>
            <w:vAlign w:val="center"/>
            <w:hideMark/>
          </w:tcPr>
          <w:p w:rsidR="002B640C" w:rsidRPr="00657D9A" w:rsidP="00421D37" w14:paraId="07778CEE" w14:textId="7B825894">
            <w:pPr>
              <w:widowControl/>
              <w:autoSpaceDE/>
              <w:autoSpaceDN/>
              <w:adjustRightInd/>
              <w:jc w:val="center"/>
              <w:textAlignment w:val="baseline"/>
              <w:rPr>
                <w:sz w:val="18"/>
                <w:szCs w:val="18"/>
              </w:rPr>
            </w:pPr>
            <w:r w:rsidRPr="00657D9A">
              <w:rPr>
                <w:sz w:val="18"/>
                <w:szCs w:val="18"/>
              </w:rPr>
              <w:t>1</w:t>
            </w:r>
          </w:p>
        </w:tc>
        <w:tc>
          <w:tcPr>
            <w:tcW w:w="1026" w:type="dxa"/>
            <w:tcBorders>
              <w:top w:val="nil"/>
              <w:left w:val="nil"/>
              <w:bottom w:val="single" w:sz="6" w:space="0" w:color="auto"/>
              <w:right w:val="single" w:sz="6" w:space="0" w:color="auto"/>
            </w:tcBorders>
            <w:shd w:val="clear" w:color="auto" w:fill="auto"/>
            <w:vAlign w:val="center"/>
            <w:hideMark/>
          </w:tcPr>
          <w:p w:rsidR="002B640C" w:rsidRPr="00657D9A" w:rsidP="00421D37" w14:paraId="106645C7" w14:textId="1D27F206">
            <w:pPr>
              <w:widowControl/>
              <w:autoSpaceDE/>
              <w:autoSpaceDN/>
              <w:adjustRightInd/>
              <w:jc w:val="center"/>
              <w:textAlignment w:val="baseline"/>
              <w:rPr>
                <w:sz w:val="18"/>
                <w:szCs w:val="18"/>
              </w:rPr>
            </w:pPr>
            <w:r>
              <w:rPr>
                <w:sz w:val="18"/>
                <w:szCs w:val="18"/>
              </w:rPr>
              <w:t>20</w:t>
            </w:r>
          </w:p>
        </w:tc>
        <w:tc>
          <w:tcPr>
            <w:tcW w:w="926" w:type="dxa"/>
            <w:tcBorders>
              <w:top w:val="nil"/>
              <w:left w:val="nil"/>
              <w:bottom w:val="single" w:sz="6" w:space="0" w:color="auto"/>
              <w:right w:val="single" w:sz="6" w:space="0" w:color="auto"/>
            </w:tcBorders>
            <w:shd w:val="clear" w:color="auto" w:fill="auto"/>
            <w:vAlign w:val="center"/>
            <w:hideMark/>
          </w:tcPr>
          <w:p w:rsidR="002B640C" w:rsidRPr="00657D9A" w:rsidP="00421D37" w14:paraId="3E8FA96D" w14:textId="3F1249E6">
            <w:pPr>
              <w:widowControl/>
              <w:autoSpaceDE/>
              <w:autoSpaceDN/>
              <w:adjustRightInd/>
              <w:jc w:val="center"/>
              <w:textAlignment w:val="baseline"/>
              <w:rPr>
                <w:sz w:val="18"/>
                <w:szCs w:val="18"/>
              </w:rPr>
            </w:pPr>
            <w:r w:rsidRPr="00657D9A">
              <w:rPr>
                <w:sz w:val="18"/>
                <w:szCs w:val="18"/>
              </w:rPr>
              <w:t>35</w:t>
            </w:r>
          </w:p>
        </w:tc>
        <w:tc>
          <w:tcPr>
            <w:tcW w:w="1155" w:type="dxa"/>
            <w:tcBorders>
              <w:top w:val="nil"/>
              <w:left w:val="nil"/>
              <w:bottom w:val="single" w:sz="6" w:space="0" w:color="auto"/>
              <w:right w:val="single" w:sz="6" w:space="0" w:color="auto"/>
            </w:tcBorders>
            <w:shd w:val="clear" w:color="auto" w:fill="auto"/>
            <w:vAlign w:val="center"/>
            <w:hideMark/>
          </w:tcPr>
          <w:p w:rsidR="002B640C" w:rsidRPr="00657D9A" w:rsidP="00421D37" w14:paraId="2863950A" w14:textId="207C8ED3">
            <w:pPr>
              <w:widowControl/>
              <w:autoSpaceDE/>
              <w:autoSpaceDN/>
              <w:adjustRightInd/>
              <w:jc w:val="center"/>
              <w:textAlignment w:val="baseline"/>
              <w:rPr>
                <w:sz w:val="18"/>
                <w:szCs w:val="18"/>
              </w:rPr>
            </w:pPr>
            <w:r>
              <w:rPr>
                <w:sz w:val="18"/>
                <w:szCs w:val="18"/>
              </w:rPr>
              <w:t>700</w:t>
            </w:r>
          </w:p>
        </w:tc>
        <w:tc>
          <w:tcPr>
            <w:tcW w:w="779" w:type="dxa"/>
            <w:tcBorders>
              <w:top w:val="nil"/>
              <w:left w:val="nil"/>
              <w:bottom w:val="single" w:sz="6" w:space="0" w:color="auto"/>
              <w:right w:val="single" w:sz="6" w:space="0" w:color="auto"/>
            </w:tcBorders>
            <w:shd w:val="clear" w:color="auto" w:fill="FFFFFF"/>
            <w:vAlign w:val="center"/>
          </w:tcPr>
          <w:p w:rsidR="002B640C" w:rsidRPr="00657D9A" w:rsidP="00421D37" w14:paraId="0F595D54" w14:textId="18C95AD2">
            <w:pPr>
              <w:widowControl/>
              <w:autoSpaceDE/>
              <w:autoSpaceDN/>
              <w:adjustRightInd/>
              <w:jc w:val="center"/>
              <w:textAlignment w:val="baseline"/>
              <w:rPr>
                <w:sz w:val="18"/>
                <w:szCs w:val="18"/>
              </w:rPr>
            </w:pPr>
            <w:r w:rsidRPr="00657D9A">
              <w:rPr>
                <w:sz w:val="18"/>
                <w:szCs w:val="18"/>
              </w:rPr>
              <w:t>$45.42</w:t>
            </w:r>
          </w:p>
        </w:tc>
        <w:tc>
          <w:tcPr>
            <w:tcW w:w="912" w:type="dxa"/>
            <w:tcBorders>
              <w:top w:val="nil"/>
              <w:left w:val="nil"/>
              <w:bottom w:val="single" w:sz="6" w:space="0" w:color="auto"/>
              <w:right w:val="single" w:sz="6" w:space="0" w:color="auto"/>
            </w:tcBorders>
            <w:shd w:val="clear" w:color="auto" w:fill="FFFFFF"/>
            <w:vAlign w:val="center"/>
          </w:tcPr>
          <w:p w:rsidR="002B640C" w:rsidRPr="00657D9A" w:rsidP="00421D37" w14:paraId="725E17EF" w14:textId="657FF96F">
            <w:pPr>
              <w:widowControl/>
              <w:autoSpaceDE/>
              <w:autoSpaceDN/>
              <w:adjustRightInd/>
              <w:jc w:val="center"/>
              <w:textAlignment w:val="baseline"/>
              <w:rPr>
                <w:sz w:val="18"/>
                <w:szCs w:val="18"/>
              </w:rPr>
            </w:pPr>
            <w:r w:rsidRPr="00657D9A">
              <w:rPr>
                <w:sz w:val="18"/>
                <w:szCs w:val="18"/>
              </w:rPr>
              <w:t>$</w:t>
            </w:r>
            <w:r w:rsidR="007E2AEE">
              <w:rPr>
                <w:sz w:val="18"/>
                <w:szCs w:val="18"/>
              </w:rPr>
              <w:t>31,794</w:t>
            </w:r>
          </w:p>
        </w:tc>
      </w:tr>
      <w:tr w14:paraId="6B7CDB0C" w14:textId="77777777" w:rsidTr="00421D37">
        <w:tblPrEx>
          <w:tblW w:w="9337" w:type="dxa"/>
          <w:tblInd w:w="105" w:type="dxa"/>
          <w:tblCellMar>
            <w:left w:w="0" w:type="dxa"/>
            <w:right w:w="0" w:type="dxa"/>
          </w:tblCellMar>
          <w:tblLook w:val="04A0"/>
        </w:tblPrEx>
        <w:tc>
          <w:tcPr>
            <w:tcW w:w="9337" w:type="dxa"/>
            <w:gridSpan w:val="9"/>
            <w:tcBorders>
              <w:top w:val="nil"/>
              <w:left w:val="single" w:sz="6" w:space="0" w:color="auto"/>
              <w:bottom w:val="single" w:sz="6" w:space="0" w:color="auto"/>
              <w:right w:val="single" w:sz="6" w:space="0" w:color="auto"/>
            </w:tcBorders>
            <w:shd w:val="clear" w:color="auto" w:fill="D9D9D9" w:themeFill="background1" w:themeFillShade="D9"/>
            <w:vAlign w:val="center"/>
          </w:tcPr>
          <w:p w:rsidR="00AA3D8C" w:rsidRPr="00657D9A" w:rsidP="00421D37" w14:paraId="5C2AA806" w14:textId="528D3301">
            <w:pPr>
              <w:widowControl/>
              <w:autoSpaceDE/>
              <w:autoSpaceDN/>
              <w:adjustRightInd/>
              <w:textAlignment w:val="baseline"/>
              <w:rPr>
                <w:b/>
                <w:bCs/>
                <w:i/>
                <w:iCs/>
                <w:color w:val="000000"/>
                <w:sz w:val="18"/>
                <w:szCs w:val="18"/>
              </w:rPr>
            </w:pPr>
            <w:r w:rsidRPr="00657D9A">
              <w:rPr>
                <w:b/>
                <w:bCs/>
                <w:i/>
                <w:iCs/>
                <w:color w:val="000000"/>
                <w:sz w:val="18"/>
                <w:szCs w:val="18"/>
              </w:rPr>
              <w:t>Annual Reports</w:t>
            </w:r>
          </w:p>
        </w:tc>
      </w:tr>
      <w:tr w14:paraId="5956149F" w14:textId="77777777" w:rsidTr="00421D37">
        <w:tblPrEx>
          <w:tblW w:w="9337" w:type="dxa"/>
          <w:tblInd w:w="105" w:type="dxa"/>
          <w:tblCellMar>
            <w:left w:w="0" w:type="dxa"/>
            <w:right w:w="0" w:type="dxa"/>
          </w:tblCellMar>
          <w:tblLook w:val="04A0"/>
        </w:tblPrEx>
        <w:tc>
          <w:tcPr>
            <w:tcW w:w="1158" w:type="dxa"/>
            <w:tcBorders>
              <w:top w:val="nil"/>
              <w:left w:val="single" w:sz="6" w:space="0" w:color="auto"/>
              <w:bottom w:val="single" w:sz="6" w:space="0" w:color="auto"/>
              <w:right w:val="single" w:sz="6" w:space="0" w:color="auto"/>
            </w:tcBorders>
            <w:shd w:val="clear" w:color="auto" w:fill="FFFFFF"/>
          </w:tcPr>
          <w:p w:rsidR="00AA3D8C" w:rsidRPr="00657D9A" w:rsidP="00AA3D8C" w14:paraId="2272638D" w14:textId="1FE7B9F7">
            <w:pPr>
              <w:widowControl/>
              <w:autoSpaceDE/>
              <w:autoSpaceDN/>
              <w:adjustRightInd/>
              <w:textAlignment w:val="baseline"/>
              <w:rPr>
                <w:sz w:val="18"/>
                <w:szCs w:val="18"/>
              </w:rPr>
            </w:pPr>
            <w:r w:rsidRPr="00657D9A">
              <w:rPr>
                <w:sz w:val="18"/>
                <w:szCs w:val="18"/>
              </w:rPr>
              <w:t>Individuals </w:t>
            </w:r>
          </w:p>
        </w:tc>
        <w:tc>
          <w:tcPr>
            <w:tcW w:w="1039" w:type="dxa"/>
            <w:tcBorders>
              <w:top w:val="nil"/>
              <w:left w:val="nil"/>
              <w:bottom w:val="single" w:sz="6" w:space="0" w:color="auto"/>
              <w:right w:val="single" w:sz="6" w:space="0" w:color="auto"/>
            </w:tcBorders>
            <w:shd w:val="clear" w:color="auto" w:fill="FFFFFF"/>
            <w:vAlign w:val="center"/>
          </w:tcPr>
          <w:p w:rsidR="00AA3D8C" w:rsidRPr="00657D9A" w:rsidP="00AA3D8C" w14:paraId="1961EBFF" w14:textId="17D60695">
            <w:pPr>
              <w:widowControl/>
              <w:autoSpaceDE/>
              <w:autoSpaceDN/>
              <w:adjustRightInd/>
              <w:jc w:val="center"/>
              <w:textAlignment w:val="baseline"/>
              <w:rPr>
                <w:sz w:val="18"/>
                <w:szCs w:val="18"/>
              </w:rPr>
            </w:pPr>
            <w:r w:rsidRPr="00657D9A">
              <w:rPr>
                <w:sz w:val="18"/>
                <w:szCs w:val="18"/>
              </w:rPr>
              <w:t>Reporting </w:t>
            </w:r>
          </w:p>
        </w:tc>
        <w:tc>
          <w:tcPr>
            <w:tcW w:w="1206" w:type="dxa"/>
            <w:tcBorders>
              <w:top w:val="nil"/>
              <w:left w:val="nil"/>
              <w:bottom w:val="single" w:sz="6" w:space="0" w:color="auto"/>
              <w:right w:val="single" w:sz="6" w:space="0" w:color="auto"/>
            </w:tcBorders>
            <w:shd w:val="clear" w:color="auto" w:fill="auto"/>
            <w:vAlign w:val="center"/>
          </w:tcPr>
          <w:p w:rsidR="00AA3D8C" w:rsidRPr="00657D9A" w:rsidP="00421D37" w14:paraId="5CA74BF5" w14:textId="79910DC8">
            <w:pPr>
              <w:widowControl/>
              <w:autoSpaceDE/>
              <w:autoSpaceDN/>
              <w:adjustRightInd/>
              <w:jc w:val="center"/>
              <w:textAlignment w:val="baseline"/>
              <w:rPr>
                <w:sz w:val="18"/>
                <w:szCs w:val="18"/>
              </w:rPr>
            </w:pPr>
            <w:r>
              <w:rPr>
                <w:sz w:val="18"/>
                <w:szCs w:val="18"/>
              </w:rPr>
              <w:t>10</w:t>
            </w:r>
          </w:p>
        </w:tc>
        <w:tc>
          <w:tcPr>
            <w:tcW w:w="1136" w:type="dxa"/>
            <w:tcBorders>
              <w:top w:val="nil"/>
              <w:left w:val="nil"/>
              <w:bottom w:val="single" w:sz="6" w:space="0" w:color="auto"/>
              <w:right w:val="single" w:sz="6" w:space="0" w:color="auto"/>
            </w:tcBorders>
            <w:shd w:val="clear" w:color="auto" w:fill="auto"/>
            <w:vAlign w:val="center"/>
          </w:tcPr>
          <w:p w:rsidR="00AA3D8C" w:rsidRPr="00657D9A" w:rsidP="00421D37" w14:paraId="1919EA4C" w14:textId="0DEA9657">
            <w:pPr>
              <w:widowControl/>
              <w:autoSpaceDE/>
              <w:autoSpaceDN/>
              <w:adjustRightInd/>
              <w:jc w:val="center"/>
              <w:textAlignment w:val="baseline"/>
              <w:rPr>
                <w:sz w:val="18"/>
                <w:szCs w:val="18"/>
              </w:rPr>
            </w:pPr>
            <w:r w:rsidRPr="00657D9A">
              <w:rPr>
                <w:sz w:val="18"/>
                <w:szCs w:val="18"/>
              </w:rPr>
              <w:t>1</w:t>
            </w:r>
          </w:p>
        </w:tc>
        <w:tc>
          <w:tcPr>
            <w:tcW w:w="1026" w:type="dxa"/>
            <w:tcBorders>
              <w:top w:val="nil"/>
              <w:left w:val="nil"/>
              <w:bottom w:val="single" w:sz="6" w:space="0" w:color="auto"/>
              <w:right w:val="single" w:sz="6" w:space="0" w:color="auto"/>
            </w:tcBorders>
            <w:shd w:val="clear" w:color="auto" w:fill="auto"/>
            <w:vAlign w:val="center"/>
          </w:tcPr>
          <w:p w:rsidR="00AA3D8C" w:rsidRPr="00657D9A" w:rsidP="00421D37" w14:paraId="123E157E" w14:textId="4CCAB887">
            <w:pPr>
              <w:widowControl/>
              <w:autoSpaceDE/>
              <w:autoSpaceDN/>
              <w:adjustRightInd/>
              <w:jc w:val="center"/>
              <w:textAlignment w:val="baseline"/>
              <w:rPr>
                <w:sz w:val="18"/>
                <w:szCs w:val="18"/>
              </w:rPr>
            </w:pPr>
            <w:r>
              <w:rPr>
                <w:sz w:val="18"/>
                <w:szCs w:val="18"/>
              </w:rPr>
              <w:t>10</w:t>
            </w:r>
          </w:p>
        </w:tc>
        <w:tc>
          <w:tcPr>
            <w:tcW w:w="926" w:type="dxa"/>
            <w:tcBorders>
              <w:top w:val="nil"/>
              <w:left w:val="nil"/>
              <w:bottom w:val="single" w:sz="6" w:space="0" w:color="auto"/>
              <w:right w:val="single" w:sz="6" w:space="0" w:color="auto"/>
            </w:tcBorders>
            <w:shd w:val="clear" w:color="auto" w:fill="auto"/>
            <w:vAlign w:val="center"/>
          </w:tcPr>
          <w:p w:rsidR="00AA3D8C" w:rsidRPr="00657D9A" w:rsidP="00421D37" w14:paraId="72CB38DE" w14:textId="7EB2256D">
            <w:pPr>
              <w:widowControl/>
              <w:autoSpaceDE/>
              <w:autoSpaceDN/>
              <w:adjustRightInd/>
              <w:jc w:val="center"/>
              <w:textAlignment w:val="baseline"/>
              <w:rPr>
                <w:sz w:val="18"/>
                <w:szCs w:val="18"/>
              </w:rPr>
            </w:pPr>
            <w:r w:rsidRPr="00657D9A">
              <w:rPr>
                <w:sz w:val="18"/>
                <w:szCs w:val="18"/>
              </w:rPr>
              <w:t>5</w:t>
            </w:r>
          </w:p>
        </w:tc>
        <w:tc>
          <w:tcPr>
            <w:tcW w:w="1155" w:type="dxa"/>
            <w:tcBorders>
              <w:top w:val="nil"/>
              <w:left w:val="nil"/>
              <w:bottom w:val="single" w:sz="6" w:space="0" w:color="auto"/>
              <w:right w:val="single" w:sz="6" w:space="0" w:color="auto"/>
            </w:tcBorders>
            <w:shd w:val="clear" w:color="auto" w:fill="auto"/>
            <w:vAlign w:val="center"/>
          </w:tcPr>
          <w:p w:rsidR="00AA3D8C" w:rsidRPr="00657D9A" w:rsidP="00421D37" w14:paraId="7951A264" w14:textId="1815EB16">
            <w:pPr>
              <w:widowControl/>
              <w:autoSpaceDE/>
              <w:autoSpaceDN/>
              <w:adjustRightInd/>
              <w:jc w:val="center"/>
              <w:textAlignment w:val="baseline"/>
              <w:rPr>
                <w:sz w:val="18"/>
                <w:szCs w:val="18"/>
              </w:rPr>
            </w:pPr>
            <w:r w:rsidRPr="00657D9A">
              <w:rPr>
                <w:sz w:val="18"/>
                <w:szCs w:val="18"/>
              </w:rPr>
              <w:t>50</w:t>
            </w:r>
          </w:p>
        </w:tc>
        <w:tc>
          <w:tcPr>
            <w:tcW w:w="779" w:type="dxa"/>
            <w:tcBorders>
              <w:top w:val="nil"/>
              <w:left w:val="nil"/>
              <w:bottom w:val="single" w:sz="6" w:space="0" w:color="auto"/>
              <w:right w:val="single" w:sz="6" w:space="0" w:color="auto"/>
            </w:tcBorders>
            <w:shd w:val="clear" w:color="auto" w:fill="FFFFFF"/>
            <w:vAlign w:val="center"/>
          </w:tcPr>
          <w:p w:rsidR="00AA3D8C" w:rsidRPr="00657D9A" w:rsidP="00421D37" w14:paraId="4BCFDF5F" w14:textId="7FADE721">
            <w:pPr>
              <w:widowControl/>
              <w:autoSpaceDE/>
              <w:autoSpaceDN/>
              <w:adjustRightInd/>
              <w:jc w:val="center"/>
              <w:textAlignment w:val="baseline"/>
              <w:rPr>
                <w:sz w:val="18"/>
                <w:szCs w:val="18"/>
              </w:rPr>
            </w:pPr>
            <w:r w:rsidRPr="00657D9A">
              <w:rPr>
                <w:sz w:val="18"/>
                <w:szCs w:val="18"/>
              </w:rPr>
              <w:t>$45.42</w:t>
            </w:r>
          </w:p>
        </w:tc>
        <w:tc>
          <w:tcPr>
            <w:tcW w:w="912" w:type="dxa"/>
            <w:tcBorders>
              <w:top w:val="nil"/>
              <w:left w:val="nil"/>
              <w:bottom w:val="single" w:sz="6" w:space="0" w:color="auto"/>
              <w:right w:val="single" w:sz="6" w:space="0" w:color="auto"/>
            </w:tcBorders>
            <w:shd w:val="clear" w:color="auto" w:fill="FFFFFF"/>
            <w:vAlign w:val="center"/>
          </w:tcPr>
          <w:p w:rsidR="00AA3D8C" w:rsidRPr="00657D9A" w:rsidP="00421D37" w14:paraId="00B921E6" w14:textId="1BE86EE1">
            <w:pPr>
              <w:widowControl/>
              <w:autoSpaceDE/>
              <w:autoSpaceDN/>
              <w:adjustRightInd/>
              <w:jc w:val="center"/>
              <w:textAlignment w:val="baseline"/>
              <w:rPr>
                <w:color w:val="000000"/>
                <w:sz w:val="18"/>
                <w:szCs w:val="18"/>
              </w:rPr>
            </w:pPr>
            <w:r w:rsidRPr="00657D9A">
              <w:rPr>
                <w:color w:val="000000"/>
                <w:sz w:val="18"/>
                <w:szCs w:val="18"/>
              </w:rPr>
              <w:t>$</w:t>
            </w:r>
            <w:r w:rsidR="009F728C">
              <w:rPr>
                <w:color w:val="000000"/>
                <w:sz w:val="18"/>
                <w:szCs w:val="18"/>
              </w:rPr>
              <w:t>2,271</w:t>
            </w:r>
          </w:p>
        </w:tc>
      </w:tr>
      <w:tr w14:paraId="45413A6F" w14:textId="77777777" w:rsidTr="00421D37">
        <w:tblPrEx>
          <w:tblW w:w="9337" w:type="dxa"/>
          <w:tblInd w:w="105" w:type="dxa"/>
          <w:tblCellMar>
            <w:left w:w="0" w:type="dxa"/>
            <w:right w:w="0" w:type="dxa"/>
          </w:tblCellMar>
          <w:tblLook w:val="04A0"/>
        </w:tblPrEx>
        <w:tc>
          <w:tcPr>
            <w:tcW w:w="1158" w:type="dxa"/>
            <w:tcBorders>
              <w:top w:val="single" w:sz="6" w:space="0" w:color="auto"/>
              <w:left w:val="single" w:sz="6" w:space="0" w:color="auto"/>
              <w:bottom w:val="single" w:sz="6" w:space="0" w:color="auto"/>
              <w:right w:val="single" w:sz="6" w:space="0" w:color="auto"/>
            </w:tcBorders>
            <w:shd w:val="clear" w:color="auto" w:fill="99FF99"/>
            <w:hideMark/>
          </w:tcPr>
          <w:p w:rsidR="00AA3D8C" w:rsidRPr="00657D9A" w:rsidP="00AA3D8C" w14:paraId="4319C913" w14:textId="77777777">
            <w:pPr>
              <w:widowControl/>
              <w:autoSpaceDE/>
              <w:autoSpaceDN/>
              <w:adjustRightInd/>
              <w:textAlignment w:val="baseline"/>
              <w:rPr>
                <w:b/>
                <w:bCs/>
                <w:sz w:val="18"/>
                <w:szCs w:val="18"/>
              </w:rPr>
            </w:pPr>
            <w:r w:rsidRPr="00657D9A">
              <w:rPr>
                <w:b/>
                <w:bCs/>
                <w:sz w:val="18"/>
                <w:szCs w:val="18"/>
              </w:rPr>
              <w:t>Totals: </w:t>
            </w:r>
          </w:p>
        </w:tc>
        <w:tc>
          <w:tcPr>
            <w:tcW w:w="1039"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AA3D8C" w14:paraId="4F43C18E" w14:textId="77777777">
            <w:pPr>
              <w:widowControl/>
              <w:autoSpaceDE/>
              <w:autoSpaceDN/>
              <w:adjustRightInd/>
              <w:jc w:val="center"/>
              <w:textAlignment w:val="baseline"/>
              <w:rPr>
                <w:b/>
                <w:bCs/>
                <w:sz w:val="18"/>
                <w:szCs w:val="18"/>
              </w:rPr>
            </w:pPr>
            <w:r w:rsidRPr="00657D9A">
              <w:rPr>
                <w:b/>
                <w:bCs/>
                <w:sz w:val="18"/>
                <w:szCs w:val="18"/>
              </w:rPr>
              <w:t> </w:t>
            </w:r>
          </w:p>
        </w:tc>
        <w:tc>
          <w:tcPr>
            <w:tcW w:w="1206"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421D37" w14:paraId="756554C0" w14:textId="3EF276F2">
            <w:pPr>
              <w:widowControl/>
              <w:autoSpaceDE/>
              <w:autoSpaceDN/>
              <w:adjustRightInd/>
              <w:jc w:val="center"/>
              <w:textAlignment w:val="baseline"/>
              <w:rPr>
                <w:b/>
                <w:bCs/>
                <w:sz w:val="18"/>
                <w:szCs w:val="18"/>
              </w:rPr>
            </w:pPr>
            <w:r>
              <w:rPr>
                <w:b/>
                <w:bCs/>
                <w:sz w:val="18"/>
                <w:szCs w:val="18"/>
              </w:rPr>
              <w:t>30</w:t>
            </w:r>
          </w:p>
        </w:tc>
        <w:tc>
          <w:tcPr>
            <w:tcW w:w="1136"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421D37" w14:paraId="4B7146BB" w14:textId="7B964D6F">
            <w:pPr>
              <w:widowControl/>
              <w:autoSpaceDE/>
              <w:autoSpaceDN/>
              <w:adjustRightInd/>
              <w:jc w:val="center"/>
              <w:textAlignment w:val="baseline"/>
              <w:rPr>
                <w:b/>
                <w:bCs/>
                <w:sz w:val="18"/>
                <w:szCs w:val="18"/>
              </w:rPr>
            </w:pPr>
          </w:p>
        </w:tc>
        <w:tc>
          <w:tcPr>
            <w:tcW w:w="1026"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421D37" w14:paraId="53B34CDF" w14:textId="76C9E725">
            <w:pPr>
              <w:widowControl/>
              <w:autoSpaceDE/>
              <w:autoSpaceDN/>
              <w:adjustRightInd/>
              <w:jc w:val="center"/>
              <w:textAlignment w:val="baseline"/>
              <w:rPr>
                <w:b/>
                <w:bCs/>
                <w:sz w:val="18"/>
                <w:szCs w:val="18"/>
              </w:rPr>
            </w:pPr>
            <w:r>
              <w:rPr>
                <w:b/>
                <w:bCs/>
                <w:sz w:val="18"/>
                <w:szCs w:val="18"/>
              </w:rPr>
              <w:t>30</w:t>
            </w:r>
          </w:p>
        </w:tc>
        <w:tc>
          <w:tcPr>
            <w:tcW w:w="926"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421D37" w14:paraId="2098F828" w14:textId="5025A69E">
            <w:pPr>
              <w:widowControl/>
              <w:autoSpaceDE/>
              <w:autoSpaceDN/>
              <w:adjustRightInd/>
              <w:jc w:val="center"/>
              <w:textAlignment w:val="baseline"/>
              <w:rPr>
                <w:b/>
                <w:bCs/>
                <w:sz w:val="18"/>
                <w:szCs w:val="18"/>
              </w:rPr>
            </w:pPr>
          </w:p>
        </w:tc>
        <w:tc>
          <w:tcPr>
            <w:tcW w:w="1155"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421D37" w14:paraId="2774D4A6" w14:textId="3AB5705A">
            <w:pPr>
              <w:widowControl/>
              <w:autoSpaceDE/>
              <w:autoSpaceDN/>
              <w:adjustRightInd/>
              <w:jc w:val="center"/>
              <w:textAlignment w:val="baseline"/>
              <w:rPr>
                <w:b/>
                <w:bCs/>
                <w:sz w:val="18"/>
                <w:szCs w:val="18"/>
              </w:rPr>
            </w:pPr>
            <w:r>
              <w:rPr>
                <w:b/>
                <w:bCs/>
                <w:sz w:val="18"/>
                <w:szCs w:val="18"/>
              </w:rPr>
              <w:t>750</w:t>
            </w:r>
          </w:p>
        </w:tc>
        <w:tc>
          <w:tcPr>
            <w:tcW w:w="779" w:type="dxa"/>
            <w:tcBorders>
              <w:top w:val="single" w:sz="6" w:space="0" w:color="auto"/>
              <w:left w:val="nil"/>
              <w:bottom w:val="single" w:sz="6" w:space="0" w:color="auto"/>
              <w:right w:val="single" w:sz="6" w:space="0" w:color="auto"/>
            </w:tcBorders>
            <w:shd w:val="clear" w:color="auto" w:fill="99FF99"/>
            <w:vAlign w:val="center"/>
            <w:hideMark/>
          </w:tcPr>
          <w:p w:rsidR="00AA3D8C" w:rsidRPr="00657D9A" w:rsidP="00421D37" w14:paraId="480EAE09" w14:textId="4F75C8A6">
            <w:pPr>
              <w:widowControl/>
              <w:autoSpaceDE/>
              <w:autoSpaceDN/>
              <w:adjustRightInd/>
              <w:jc w:val="center"/>
              <w:textAlignment w:val="baseline"/>
              <w:rPr>
                <w:b/>
                <w:bCs/>
                <w:sz w:val="18"/>
                <w:szCs w:val="18"/>
              </w:rPr>
            </w:pPr>
          </w:p>
        </w:tc>
        <w:tc>
          <w:tcPr>
            <w:tcW w:w="912" w:type="dxa"/>
            <w:tcBorders>
              <w:top w:val="single" w:sz="6" w:space="0" w:color="auto"/>
              <w:left w:val="nil"/>
              <w:bottom w:val="single" w:sz="6" w:space="0" w:color="auto"/>
              <w:right w:val="single" w:sz="6" w:space="0" w:color="auto"/>
            </w:tcBorders>
            <w:shd w:val="clear" w:color="auto" w:fill="99FF99"/>
            <w:vAlign w:val="center"/>
          </w:tcPr>
          <w:p w:rsidR="00AA3D8C" w:rsidRPr="00657D9A" w:rsidP="00421D37" w14:paraId="76375EEA" w14:textId="5DA3F48D">
            <w:pPr>
              <w:widowControl/>
              <w:autoSpaceDE/>
              <w:autoSpaceDN/>
              <w:adjustRightInd/>
              <w:jc w:val="center"/>
              <w:textAlignment w:val="baseline"/>
              <w:rPr>
                <w:b/>
                <w:bCs/>
                <w:sz w:val="18"/>
                <w:szCs w:val="18"/>
              </w:rPr>
            </w:pPr>
            <w:r w:rsidRPr="00657D9A">
              <w:rPr>
                <w:b/>
                <w:bCs/>
                <w:sz w:val="18"/>
                <w:szCs w:val="18"/>
              </w:rPr>
              <w:t>$</w:t>
            </w:r>
            <w:r w:rsidR="009F728C">
              <w:rPr>
                <w:b/>
                <w:bCs/>
                <w:sz w:val="18"/>
                <w:szCs w:val="18"/>
              </w:rPr>
              <w:t>34,065</w:t>
            </w:r>
          </w:p>
        </w:tc>
      </w:tr>
    </w:tbl>
    <w:p w:rsidR="00FA14F6" w:rsidRPr="00657D9A" w:rsidP="00FA14F6" w14:paraId="1D37C123" w14:textId="792F41A7">
      <w:pPr>
        <w:tabs>
          <w:tab w:val="left" w:pos="-1080"/>
          <w:tab w:val="left" w:pos="-720"/>
          <w:tab w:val="left" w:pos="450"/>
          <w:tab w:val="left" w:pos="720"/>
        </w:tabs>
        <w:rPr>
          <w:sz w:val="22"/>
          <w:szCs w:val="22"/>
        </w:rPr>
      </w:pPr>
    </w:p>
    <w:p w:rsidR="00FA14F6" w:rsidRPr="00657D9A" w:rsidP="00FA14F6" w14:paraId="13752424" w14:textId="77777777">
      <w:pPr>
        <w:tabs>
          <w:tab w:val="left" w:pos="-1080"/>
          <w:tab w:val="left" w:pos="-720"/>
          <w:tab w:val="left" w:pos="450"/>
          <w:tab w:val="left" w:pos="720"/>
        </w:tabs>
        <w:rPr>
          <w:b/>
          <w:sz w:val="24"/>
          <w:szCs w:val="24"/>
        </w:rPr>
      </w:pPr>
      <w:r w:rsidRPr="00657D9A">
        <w:rPr>
          <w:b/>
          <w:sz w:val="24"/>
          <w:szCs w:val="24"/>
        </w:rPr>
        <w:t>13.</w:t>
      </w:r>
      <w:r w:rsidRPr="00657D9A">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657D9A" w:rsidP="00FA14F6" w14:paraId="0FF8272A"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657D9A" w:rsidP="00FA14F6" w14:paraId="3E031E92" w14:textId="77777777">
      <w:pPr>
        <w:tabs>
          <w:tab w:val="left" w:pos="-1080"/>
          <w:tab w:val="left" w:pos="-720"/>
          <w:tab w:val="left" w:pos="360"/>
          <w:tab w:val="left" w:pos="720"/>
        </w:tabs>
        <w:ind w:left="720" w:hanging="720"/>
        <w:rPr>
          <w:b/>
          <w:sz w:val="24"/>
          <w:szCs w:val="24"/>
        </w:rPr>
      </w:pPr>
      <w:r w:rsidRPr="00657D9A">
        <w:rPr>
          <w:b/>
          <w:sz w:val="24"/>
          <w:szCs w:val="24"/>
        </w:rPr>
        <w:tab/>
        <w:t>*</w:t>
      </w:r>
      <w:r w:rsidRPr="00657D9A">
        <w:rPr>
          <w:b/>
          <w:sz w:val="24"/>
          <w:szCs w:val="24"/>
        </w:rPr>
        <w:tab/>
        <w:t xml:space="preserve">If cost estimates are expected to vary widely, agencies should present ranges of cost </w:t>
      </w:r>
      <w:r w:rsidRPr="00657D9A">
        <w:rPr>
          <w:b/>
          <w:sz w:val="24"/>
          <w:szCs w:val="24"/>
        </w:rPr>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657D9A" w:rsidP="00FA14F6" w14:paraId="18B8963E" w14:textId="77777777">
      <w:pPr>
        <w:tabs>
          <w:tab w:val="left" w:pos="-1080"/>
          <w:tab w:val="left" w:pos="-720"/>
          <w:tab w:val="left" w:pos="360"/>
          <w:tab w:val="left" w:pos="720"/>
        </w:tabs>
        <w:ind w:left="720" w:hanging="720"/>
        <w:rPr>
          <w:sz w:val="24"/>
          <w:szCs w:val="24"/>
        </w:rPr>
      </w:pPr>
      <w:r w:rsidRPr="00657D9A">
        <w:rPr>
          <w:b/>
          <w:sz w:val="24"/>
          <w:szCs w:val="24"/>
        </w:rPr>
        <w:tab/>
        <w:t>*</w:t>
      </w:r>
      <w:r w:rsidRPr="00657D9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657D9A" w:rsidP="00FA14F6" w14:paraId="7C687BC5" w14:textId="77777777">
      <w:pPr>
        <w:tabs>
          <w:tab w:val="left" w:pos="-1080"/>
          <w:tab w:val="left" w:pos="-720"/>
          <w:tab w:val="left" w:pos="450"/>
          <w:tab w:val="left" w:pos="720"/>
        </w:tabs>
        <w:rPr>
          <w:sz w:val="24"/>
          <w:szCs w:val="24"/>
        </w:rPr>
      </w:pPr>
    </w:p>
    <w:p w:rsidR="00D85F5A" w:rsidRPr="00657D9A" w:rsidP="00FA14F6" w14:paraId="050E2754" w14:textId="77777777">
      <w:pPr>
        <w:tabs>
          <w:tab w:val="left" w:pos="-1080"/>
          <w:tab w:val="left" w:pos="-720"/>
          <w:tab w:val="left" w:pos="450"/>
          <w:tab w:val="left" w:pos="720"/>
        </w:tabs>
        <w:rPr>
          <w:sz w:val="24"/>
          <w:szCs w:val="24"/>
        </w:rPr>
      </w:pPr>
      <w:r w:rsidRPr="00657D9A">
        <w:rPr>
          <w:sz w:val="24"/>
          <w:szCs w:val="24"/>
        </w:rPr>
        <w:t>The information collection will not require the purchase of any capital equipment nor create any start-up costs because no equipment purchase is contemplated.  Any computers and software used to complete this information collection are part of the respondent’s customary and usual business practices.</w:t>
      </w:r>
      <w:r w:rsidRPr="00657D9A" w:rsidR="00177B2E">
        <w:rPr>
          <w:sz w:val="24"/>
          <w:szCs w:val="24"/>
        </w:rPr>
        <w:t xml:space="preserve"> </w:t>
      </w:r>
    </w:p>
    <w:p w:rsidR="00FA14F6" w:rsidRPr="00657D9A" w:rsidP="00FA14F6" w14:paraId="5BE9C4DC" w14:textId="0AB45283">
      <w:pPr>
        <w:tabs>
          <w:tab w:val="left" w:pos="-1080"/>
          <w:tab w:val="left" w:pos="-720"/>
          <w:tab w:val="left" w:pos="450"/>
          <w:tab w:val="left" w:pos="720"/>
        </w:tabs>
        <w:rPr>
          <w:sz w:val="24"/>
          <w:szCs w:val="24"/>
        </w:rPr>
      </w:pPr>
    </w:p>
    <w:p w:rsidR="00FA14F6" w:rsidRPr="00657D9A" w:rsidP="00FA14F6" w14:paraId="32320BAE" w14:textId="77777777">
      <w:pPr>
        <w:tabs>
          <w:tab w:val="left" w:pos="-1080"/>
          <w:tab w:val="left" w:pos="-720"/>
          <w:tab w:val="left" w:pos="450"/>
          <w:tab w:val="left" w:pos="720"/>
        </w:tabs>
        <w:rPr>
          <w:b/>
          <w:sz w:val="24"/>
          <w:szCs w:val="24"/>
        </w:rPr>
      </w:pPr>
      <w:r w:rsidRPr="00657D9A">
        <w:rPr>
          <w:b/>
          <w:sz w:val="24"/>
          <w:szCs w:val="24"/>
        </w:rPr>
        <w:t>14.</w:t>
      </w:r>
      <w:r w:rsidRPr="00657D9A">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D4CFC" w:rsidRPr="00657D9A" w:rsidP="00FA14F6" w14:paraId="32EAC8C3" w14:textId="77777777">
      <w:pPr>
        <w:tabs>
          <w:tab w:val="left" w:pos="-1080"/>
          <w:tab w:val="left" w:pos="-720"/>
          <w:tab w:val="left" w:pos="450"/>
          <w:tab w:val="left" w:pos="720"/>
        </w:tabs>
        <w:rPr>
          <w:sz w:val="24"/>
          <w:szCs w:val="24"/>
        </w:rPr>
      </w:pPr>
    </w:p>
    <w:p w:rsidR="00ED4CFC" w:rsidRPr="00657D9A" w:rsidP="00ED4CFC" w14:paraId="22631EA8" w14:textId="761805D7">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bCs/>
          <w:sz w:val="24"/>
          <w:szCs w:val="24"/>
        </w:rPr>
      </w:pPr>
      <w:r w:rsidRPr="00657D9A">
        <w:rPr>
          <w:bCs/>
          <w:sz w:val="24"/>
          <w:szCs w:val="24"/>
        </w:rPr>
        <w:t xml:space="preserve">We </w:t>
      </w:r>
      <w:r w:rsidRPr="00657D9A">
        <w:rPr>
          <w:sz w:val="24"/>
          <w:szCs w:val="24"/>
        </w:rPr>
        <w:t>estimate</w:t>
      </w:r>
      <w:r w:rsidRPr="00657D9A">
        <w:rPr>
          <w:bCs/>
          <w:sz w:val="24"/>
          <w:szCs w:val="24"/>
        </w:rPr>
        <w:t xml:space="preserve"> the </w:t>
      </w:r>
      <w:r w:rsidRPr="00657D9A">
        <w:rPr>
          <w:sz w:val="24"/>
          <w:szCs w:val="24"/>
        </w:rPr>
        <w:t>annual</w:t>
      </w:r>
      <w:r w:rsidRPr="00657D9A">
        <w:rPr>
          <w:bCs/>
          <w:sz w:val="24"/>
          <w:szCs w:val="24"/>
        </w:rPr>
        <w:t xml:space="preserve"> cost to the Federal Government to administer this information collection to be </w:t>
      </w:r>
      <w:r w:rsidRPr="00657D9A">
        <w:rPr>
          <w:b/>
          <w:bCs/>
          <w:sz w:val="24"/>
          <w:szCs w:val="24"/>
        </w:rPr>
        <w:t>$</w:t>
      </w:r>
      <w:r w:rsidRPr="00C66645" w:rsidR="00C66645">
        <w:rPr>
          <w:b/>
          <w:bCs/>
          <w:sz w:val="24"/>
          <w:szCs w:val="24"/>
        </w:rPr>
        <w:t>39,755</w:t>
      </w:r>
      <w:r w:rsidRPr="00657D9A">
        <w:rPr>
          <w:bCs/>
          <w:sz w:val="24"/>
          <w:szCs w:val="24"/>
        </w:rPr>
        <w:t xml:space="preserve">. </w:t>
      </w:r>
      <w:r w:rsidRPr="00657D9A">
        <w:rPr>
          <w:sz w:val="24"/>
          <w:szCs w:val="24"/>
        </w:rPr>
        <w:t xml:space="preserve">Salary </w:t>
      </w:r>
      <w:r w:rsidRPr="00657D9A">
        <w:rPr>
          <w:bCs/>
          <w:sz w:val="24"/>
          <w:szCs w:val="24"/>
        </w:rPr>
        <w:t>estimates</w:t>
      </w:r>
      <w:r w:rsidRPr="00657D9A">
        <w:rPr>
          <w:sz w:val="24"/>
          <w:szCs w:val="24"/>
        </w:rPr>
        <w:t xml:space="preserve"> were based on the General Schedule 2024, located at </w:t>
      </w:r>
      <w:hyperlink r:id="rId8" w:history="1">
        <w:r w:rsidRPr="00657D9A">
          <w:rPr>
            <w:rStyle w:val="Hyperlink"/>
            <w:sz w:val="24"/>
            <w:szCs w:val="24"/>
          </w:rPr>
          <w:t>https://www.opm.gov/policy-data-oversight/pay-leave/salaries-wages/salary-tables/24Tables/html/DCB_h.aspx</w:t>
        </w:r>
      </w:hyperlink>
      <w:r w:rsidRPr="00657D9A">
        <w:rPr>
          <w:sz w:val="24"/>
          <w:szCs w:val="24"/>
        </w:rPr>
        <w:t xml:space="preserve"> and multiplied by 1.6 to cover benefits.</w:t>
      </w:r>
    </w:p>
    <w:p w:rsidR="00ED4CFC" w:rsidRPr="00657D9A" w:rsidP="00ED4CFC" w14:paraId="4F9BE304" w14:textId="77777777">
      <w:pPr>
        <w:pStyle w:val="ListParagraph"/>
        <w:numPr>
          <w:ilvl w:val="0"/>
          <w:numId w:val="0"/>
        </w:numPr>
        <w:ind w:left="720"/>
        <w:rPr>
          <w:rFonts w:ascii="Times New Roman" w:hAnsi="Times New Roman" w:cs="Times New Roman"/>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23503A56" w14:textId="77777777" w:rsidTr="00C0666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ED4CFC" w:rsidRPr="00657D9A" w:rsidP="00C06666" w14:paraId="2A60F9B1" w14:textId="77777777">
            <w:pPr>
              <w:tabs>
                <w:tab w:val="left" w:pos="-1080"/>
                <w:tab w:val="left" w:pos="-720"/>
                <w:tab w:val="left" w:pos="360"/>
                <w:tab w:val="left" w:pos="720"/>
              </w:tabs>
              <w:jc w:val="center"/>
              <w:rPr>
                <w:b/>
              </w:rPr>
            </w:pPr>
            <w:r w:rsidRPr="00657D9A">
              <w:rPr>
                <w:b/>
              </w:rPr>
              <w:t>Program</w:t>
            </w:r>
          </w:p>
        </w:tc>
        <w:tc>
          <w:tcPr>
            <w:tcW w:w="900" w:type="dxa"/>
            <w:tcBorders>
              <w:top w:val="single" w:sz="4" w:space="0" w:color="auto"/>
              <w:left w:val="single" w:sz="4" w:space="0" w:color="auto"/>
              <w:bottom w:val="single" w:sz="4" w:space="0" w:color="auto"/>
              <w:right w:val="single" w:sz="4" w:space="0" w:color="auto"/>
            </w:tcBorders>
          </w:tcPr>
          <w:p w:rsidR="00ED4CFC" w:rsidRPr="00657D9A" w:rsidP="00C06666" w14:paraId="6557C661" w14:textId="77777777">
            <w:pPr>
              <w:tabs>
                <w:tab w:val="left" w:pos="-1080"/>
                <w:tab w:val="left" w:pos="-720"/>
                <w:tab w:val="left" w:pos="360"/>
                <w:tab w:val="left" w:pos="720"/>
              </w:tabs>
              <w:jc w:val="center"/>
              <w:rPr>
                <w:b/>
              </w:rPr>
            </w:pPr>
            <w:r w:rsidRPr="00657D9A">
              <w:rPr>
                <w:b/>
              </w:rPr>
              <w:t>Grade, Step</w:t>
            </w:r>
          </w:p>
        </w:tc>
        <w:tc>
          <w:tcPr>
            <w:tcW w:w="990" w:type="dxa"/>
            <w:tcBorders>
              <w:top w:val="single" w:sz="4" w:space="0" w:color="auto"/>
              <w:left w:val="single" w:sz="4" w:space="0" w:color="auto"/>
              <w:bottom w:val="single" w:sz="4" w:space="0" w:color="auto"/>
              <w:right w:val="single" w:sz="4" w:space="0" w:color="auto"/>
            </w:tcBorders>
          </w:tcPr>
          <w:p w:rsidR="00ED4CFC" w:rsidRPr="00657D9A" w:rsidP="00C06666" w14:paraId="73625139" w14:textId="77777777">
            <w:pPr>
              <w:tabs>
                <w:tab w:val="left" w:pos="-1080"/>
                <w:tab w:val="left" w:pos="-720"/>
                <w:tab w:val="left" w:pos="360"/>
                <w:tab w:val="left" w:pos="720"/>
              </w:tabs>
              <w:jc w:val="center"/>
              <w:rPr>
                <w:b/>
              </w:rPr>
            </w:pPr>
            <w:r w:rsidRPr="00657D9A">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ED4CFC" w:rsidRPr="00657D9A" w:rsidP="00C06666" w14:paraId="1DD2FDAE" w14:textId="77777777">
            <w:pPr>
              <w:tabs>
                <w:tab w:val="left" w:pos="-1080"/>
                <w:tab w:val="left" w:pos="-720"/>
                <w:tab w:val="left" w:pos="360"/>
                <w:tab w:val="left" w:pos="720"/>
              </w:tabs>
              <w:jc w:val="center"/>
              <w:rPr>
                <w:b/>
              </w:rPr>
            </w:pPr>
            <w:r w:rsidRPr="00657D9A">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ED4CFC" w:rsidRPr="00657D9A" w:rsidP="00C06666" w14:paraId="425ACD5C" w14:textId="77777777">
            <w:pPr>
              <w:tabs>
                <w:tab w:val="left" w:pos="-1080"/>
                <w:tab w:val="left" w:pos="-720"/>
                <w:tab w:val="left" w:pos="360"/>
                <w:tab w:val="left" w:pos="720"/>
              </w:tabs>
              <w:jc w:val="center"/>
              <w:rPr>
                <w:b/>
              </w:rPr>
            </w:pPr>
            <w:r w:rsidRPr="00657D9A">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ED4CFC" w:rsidRPr="00657D9A" w:rsidP="00C06666" w14:paraId="30851166" w14:textId="77777777">
            <w:pPr>
              <w:tabs>
                <w:tab w:val="left" w:pos="-1080"/>
                <w:tab w:val="left" w:pos="-720"/>
                <w:tab w:val="left" w:pos="360"/>
                <w:tab w:val="left" w:pos="720"/>
              </w:tabs>
              <w:jc w:val="center"/>
              <w:rPr>
                <w:b/>
              </w:rPr>
            </w:pPr>
            <w:r w:rsidRPr="00657D9A">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ED4CFC" w:rsidRPr="00657D9A" w:rsidP="00C06666" w14:paraId="7BF93AC3" w14:textId="77777777">
            <w:pPr>
              <w:tabs>
                <w:tab w:val="left" w:pos="-1080"/>
                <w:tab w:val="left" w:pos="-720"/>
                <w:tab w:val="left" w:pos="360"/>
                <w:tab w:val="left" w:pos="720"/>
              </w:tabs>
              <w:jc w:val="center"/>
              <w:rPr>
                <w:b/>
              </w:rPr>
            </w:pPr>
            <w:r w:rsidRPr="00657D9A">
              <w:rPr>
                <w:b/>
              </w:rPr>
              <w:t>Value of Annual Burden Hours</w:t>
            </w:r>
          </w:p>
        </w:tc>
      </w:tr>
      <w:tr w14:paraId="7C2559E4" w14:textId="77777777" w:rsidTr="00C06666">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ED4CFC" w:rsidRPr="00657D9A" w:rsidP="00C06666" w14:paraId="57DAB382" w14:textId="77777777">
            <w:pPr>
              <w:tabs>
                <w:tab w:val="left" w:pos="-1080"/>
                <w:tab w:val="left" w:pos="-720"/>
                <w:tab w:val="left" w:pos="360"/>
                <w:tab w:val="left" w:pos="720"/>
              </w:tabs>
              <w:rPr>
                <w:b/>
              </w:rPr>
            </w:pPr>
            <w:r w:rsidRPr="00657D9A">
              <w:rPr>
                <w:b/>
              </w:rPr>
              <w:t>Information Collection Clearance</w:t>
            </w:r>
          </w:p>
        </w:tc>
      </w:tr>
      <w:tr w14:paraId="50B29B01" w14:textId="77777777" w:rsidTr="00C0666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ED4CFC" w:rsidRPr="00657D9A" w:rsidP="00C06666" w14:paraId="3FF66D99" w14:textId="77777777">
            <w:pPr>
              <w:tabs>
                <w:tab w:val="left" w:pos="-1080"/>
                <w:tab w:val="left" w:pos="-720"/>
                <w:tab w:val="left" w:pos="360"/>
                <w:tab w:val="left" w:pos="720"/>
              </w:tabs>
              <w:ind w:left="192"/>
            </w:pPr>
            <w:r w:rsidRPr="00657D9A">
              <w:t>DOI staff</w:t>
            </w:r>
          </w:p>
        </w:tc>
        <w:tc>
          <w:tcPr>
            <w:tcW w:w="900" w:type="dxa"/>
            <w:tcBorders>
              <w:top w:val="single" w:sz="4" w:space="0" w:color="auto"/>
              <w:left w:val="single" w:sz="4" w:space="0" w:color="auto"/>
              <w:bottom w:val="single" w:sz="4" w:space="0" w:color="auto"/>
              <w:right w:val="single" w:sz="4" w:space="0" w:color="auto"/>
            </w:tcBorders>
          </w:tcPr>
          <w:p w:rsidR="00ED4CFC" w:rsidRPr="00657D9A" w:rsidP="00C06666" w14:paraId="6BD76477" w14:textId="77777777">
            <w:pPr>
              <w:tabs>
                <w:tab w:val="left" w:pos="360"/>
                <w:tab w:val="left" w:pos="720"/>
              </w:tabs>
              <w:jc w:val="center"/>
            </w:pPr>
            <w:r w:rsidRPr="00657D9A">
              <w:t>GS-14, Step 6</w:t>
            </w:r>
          </w:p>
        </w:tc>
        <w:tc>
          <w:tcPr>
            <w:tcW w:w="990" w:type="dxa"/>
            <w:tcBorders>
              <w:top w:val="single" w:sz="4" w:space="0" w:color="auto"/>
              <w:left w:val="single" w:sz="4" w:space="0" w:color="auto"/>
              <w:bottom w:val="single" w:sz="4" w:space="0" w:color="auto"/>
              <w:right w:val="single" w:sz="4" w:space="0" w:color="auto"/>
            </w:tcBorders>
          </w:tcPr>
          <w:p w:rsidR="00ED4CFC" w:rsidRPr="00657D9A" w:rsidP="00C06666" w14:paraId="413619EC" w14:textId="1111407B">
            <w:pPr>
              <w:tabs>
                <w:tab w:val="left" w:pos="360"/>
                <w:tab w:val="left" w:pos="720"/>
              </w:tabs>
              <w:jc w:val="center"/>
            </w:pPr>
            <w:r w:rsidRPr="00657D9A">
              <w:t>$124.67 (77.92 x 1.6)</w:t>
            </w:r>
          </w:p>
        </w:tc>
        <w:tc>
          <w:tcPr>
            <w:tcW w:w="1170" w:type="dxa"/>
            <w:tcBorders>
              <w:top w:val="single" w:sz="4" w:space="0" w:color="auto"/>
              <w:left w:val="single" w:sz="4" w:space="0" w:color="auto"/>
              <w:bottom w:val="single" w:sz="4" w:space="0" w:color="auto"/>
              <w:right w:val="single" w:sz="4" w:space="0" w:color="auto"/>
            </w:tcBorders>
          </w:tcPr>
          <w:p w:rsidR="00ED4CFC" w:rsidRPr="00657D9A" w:rsidP="00C06666" w14:paraId="538D53C4" w14:textId="77777777">
            <w:pPr>
              <w:tabs>
                <w:tab w:val="left" w:pos="360"/>
                <w:tab w:val="left" w:pos="720"/>
              </w:tabs>
              <w:jc w:val="center"/>
            </w:pPr>
            <w:r w:rsidRPr="00657D9A">
              <w:t>N/A</w:t>
            </w:r>
          </w:p>
        </w:tc>
        <w:tc>
          <w:tcPr>
            <w:tcW w:w="1260" w:type="dxa"/>
            <w:tcBorders>
              <w:top w:val="single" w:sz="4" w:space="0" w:color="auto"/>
              <w:left w:val="single" w:sz="4" w:space="0" w:color="auto"/>
              <w:right w:val="single" w:sz="4" w:space="0" w:color="auto"/>
            </w:tcBorders>
          </w:tcPr>
          <w:p w:rsidR="00ED4CFC" w:rsidRPr="00657D9A" w:rsidP="00C06666" w14:paraId="6FD368A8" w14:textId="77777777">
            <w:pPr>
              <w:tabs>
                <w:tab w:val="left" w:pos="360"/>
                <w:tab w:val="left" w:pos="720"/>
              </w:tabs>
              <w:jc w:val="center"/>
            </w:pPr>
            <w:r w:rsidRPr="00657D9A">
              <w:t>N/A</w:t>
            </w:r>
          </w:p>
        </w:tc>
        <w:tc>
          <w:tcPr>
            <w:tcW w:w="990" w:type="dxa"/>
            <w:tcBorders>
              <w:top w:val="single" w:sz="4" w:space="0" w:color="auto"/>
              <w:left w:val="single" w:sz="4" w:space="0" w:color="auto"/>
              <w:right w:val="single" w:sz="4" w:space="0" w:color="auto"/>
            </w:tcBorders>
          </w:tcPr>
          <w:p w:rsidR="00ED4CFC" w:rsidRPr="00657D9A" w:rsidP="00C06666" w14:paraId="1C62E8CC" w14:textId="77777777">
            <w:pPr>
              <w:tabs>
                <w:tab w:val="left" w:pos="360"/>
                <w:tab w:val="left" w:pos="720"/>
              </w:tabs>
              <w:jc w:val="center"/>
            </w:pPr>
            <w:r w:rsidRPr="00657D9A">
              <w:t>20</w:t>
            </w:r>
          </w:p>
        </w:tc>
        <w:tc>
          <w:tcPr>
            <w:tcW w:w="1463" w:type="dxa"/>
            <w:tcBorders>
              <w:top w:val="single" w:sz="4" w:space="0" w:color="auto"/>
              <w:left w:val="single" w:sz="4" w:space="0" w:color="auto"/>
              <w:right w:val="single" w:sz="4" w:space="0" w:color="auto"/>
            </w:tcBorders>
          </w:tcPr>
          <w:p w:rsidR="00ED4CFC" w:rsidRPr="00657D9A" w:rsidP="00C06666" w14:paraId="1989A604" w14:textId="77777777">
            <w:pPr>
              <w:tabs>
                <w:tab w:val="left" w:pos="360"/>
                <w:tab w:val="left" w:pos="720"/>
              </w:tabs>
              <w:jc w:val="center"/>
            </w:pPr>
            <w:r w:rsidRPr="00657D9A">
              <w:t>$2,493</w:t>
            </w:r>
          </w:p>
        </w:tc>
      </w:tr>
      <w:tr w14:paraId="3A4A51A2" w14:textId="77777777" w:rsidTr="00C06666">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4CFC" w:rsidRPr="00657D9A" w:rsidP="00C06666" w14:paraId="6EF14E00" w14:textId="4D8F4730">
            <w:pPr>
              <w:tabs>
                <w:tab w:val="left" w:pos="-1080"/>
                <w:tab w:val="left" w:pos="-720"/>
                <w:tab w:val="left" w:pos="360"/>
                <w:tab w:val="left" w:pos="720"/>
              </w:tabs>
              <w:rPr>
                <w:b/>
                <w:color w:val="000000" w:themeColor="text1"/>
              </w:rPr>
            </w:pPr>
            <w:r>
              <w:rPr>
                <w:b/>
                <w:color w:val="000000" w:themeColor="text1"/>
              </w:rPr>
              <w:t>A</w:t>
            </w:r>
            <w:r w:rsidRPr="00657D9A">
              <w:rPr>
                <w:b/>
                <w:color w:val="000000" w:themeColor="text1"/>
              </w:rPr>
              <w:t xml:space="preserve">dministration of Information Collection </w:t>
            </w:r>
          </w:p>
        </w:tc>
      </w:tr>
      <w:tr w14:paraId="5B97734E" w14:textId="77777777" w:rsidTr="00C0666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ED4CFC" w:rsidRPr="00657D9A" w:rsidP="00ED4CFC" w14:paraId="502A829A" w14:textId="319A3F86">
            <w:pPr>
              <w:tabs>
                <w:tab w:val="left" w:pos="-1080"/>
                <w:tab w:val="left" w:pos="-720"/>
                <w:tab w:val="left" w:pos="360"/>
                <w:tab w:val="left" w:pos="720"/>
              </w:tabs>
              <w:ind w:left="192"/>
            </w:pPr>
            <w:r w:rsidRPr="00657D9A">
              <w:t>Solicitation and Evaluation of Applications</w:t>
            </w:r>
          </w:p>
        </w:tc>
        <w:tc>
          <w:tcPr>
            <w:tcW w:w="900" w:type="dxa"/>
            <w:tcBorders>
              <w:top w:val="single" w:sz="4" w:space="0" w:color="auto"/>
              <w:left w:val="single" w:sz="4" w:space="0" w:color="auto"/>
              <w:bottom w:val="single" w:sz="4" w:space="0" w:color="auto"/>
              <w:right w:val="single" w:sz="4" w:space="0" w:color="auto"/>
            </w:tcBorders>
          </w:tcPr>
          <w:p w:rsidR="00ED4CFC" w:rsidRPr="00657D9A" w:rsidP="00ED4CFC" w14:paraId="09E1241E" w14:textId="77777777">
            <w:pPr>
              <w:tabs>
                <w:tab w:val="left" w:pos="360"/>
                <w:tab w:val="left" w:pos="720"/>
              </w:tabs>
              <w:jc w:val="center"/>
            </w:pPr>
            <w:r w:rsidRPr="00657D9A">
              <w:t>GS-12, Step 6</w:t>
            </w:r>
          </w:p>
        </w:tc>
        <w:tc>
          <w:tcPr>
            <w:tcW w:w="990" w:type="dxa"/>
            <w:tcBorders>
              <w:top w:val="single" w:sz="4" w:space="0" w:color="auto"/>
              <w:left w:val="single" w:sz="4" w:space="0" w:color="auto"/>
              <w:bottom w:val="single" w:sz="4" w:space="0" w:color="auto"/>
              <w:right w:val="single" w:sz="4" w:space="0" w:color="auto"/>
            </w:tcBorders>
          </w:tcPr>
          <w:p w:rsidR="00ED4CFC" w:rsidRPr="00657D9A" w:rsidP="00ED4CFC" w14:paraId="1D334208" w14:textId="77777777">
            <w:pPr>
              <w:tabs>
                <w:tab w:val="left" w:pos="360"/>
                <w:tab w:val="left" w:pos="720"/>
              </w:tabs>
              <w:jc w:val="center"/>
            </w:pPr>
            <w:r w:rsidRPr="00657D9A">
              <w:t>88.72 (55.45 x 1.6)</w:t>
            </w:r>
          </w:p>
        </w:tc>
        <w:tc>
          <w:tcPr>
            <w:tcW w:w="1170" w:type="dxa"/>
            <w:tcBorders>
              <w:top w:val="single" w:sz="4" w:space="0" w:color="auto"/>
              <w:left w:val="single" w:sz="4" w:space="0" w:color="auto"/>
              <w:bottom w:val="single" w:sz="4" w:space="0" w:color="auto"/>
              <w:right w:val="single" w:sz="4" w:space="0" w:color="auto"/>
            </w:tcBorders>
          </w:tcPr>
          <w:p w:rsidR="00ED4CFC" w:rsidRPr="00B92921" w:rsidP="00ED4CFC" w14:paraId="5278EA0C" w14:textId="1FA48DAF">
            <w:pPr>
              <w:tabs>
                <w:tab w:val="left" w:pos="360"/>
                <w:tab w:val="left" w:pos="720"/>
              </w:tabs>
              <w:jc w:val="center"/>
              <w:rPr>
                <w:color w:val="000000" w:themeColor="text1"/>
              </w:rPr>
            </w:pPr>
            <w:r w:rsidRPr="00B92921">
              <w:rPr>
                <w:color w:val="000000" w:themeColor="text1"/>
              </w:rPr>
              <w:t>20</w:t>
            </w:r>
          </w:p>
        </w:tc>
        <w:tc>
          <w:tcPr>
            <w:tcW w:w="1260" w:type="dxa"/>
            <w:tcBorders>
              <w:top w:val="single" w:sz="4" w:space="0" w:color="auto"/>
              <w:left w:val="single" w:sz="4" w:space="0" w:color="auto"/>
              <w:right w:val="single" w:sz="4" w:space="0" w:color="auto"/>
            </w:tcBorders>
          </w:tcPr>
          <w:p w:rsidR="00ED4CFC" w:rsidRPr="00657D9A" w:rsidP="00ED4CFC" w14:paraId="03B7B098" w14:textId="06DC33B1">
            <w:pPr>
              <w:tabs>
                <w:tab w:val="left" w:pos="360"/>
                <w:tab w:val="left" w:pos="720"/>
              </w:tabs>
              <w:jc w:val="center"/>
            </w:pPr>
            <w:r>
              <w:t>20</w:t>
            </w:r>
          </w:p>
        </w:tc>
        <w:tc>
          <w:tcPr>
            <w:tcW w:w="990" w:type="dxa"/>
            <w:tcBorders>
              <w:top w:val="single" w:sz="4" w:space="0" w:color="auto"/>
              <w:left w:val="single" w:sz="4" w:space="0" w:color="auto"/>
              <w:right w:val="single" w:sz="4" w:space="0" w:color="auto"/>
            </w:tcBorders>
          </w:tcPr>
          <w:p w:rsidR="00ED4CFC" w:rsidRPr="00657D9A" w:rsidP="00ED4CFC" w14:paraId="38FE6FB7" w14:textId="48B7BADB">
            <w:pPr>
              <w:tabs>
                <w:tab w:val="left" w:pos="360"/>
                <w:tab w:val="left" w:pos="720"/>
              </w:tabs>
              <w:jc w:val="center"/>
            </w:pPr>
            <w:r>
              <w:t>400</w:t>
            </w:r>
          </w:p>
        </w:tc>
        <w:tc>
          <w:tcPr>
            <w:tcW w:w="1463" w:type="dxa"/>
            <w:tcBorders>
              <w:top w:val="single" w:sz="4" w:space="0" w:color="auto"/>
              <w:left w:val="single" w:sz="4" w:space="0" w:color="auto"/>
              <w:right w:val="single" w:sz="4" w:space="0" w:color="auto"/>
            </w:tcBorders>
          </w:tcPr>
          <w:p w:rsidR="00ED4CFC" w:rsidRPr="00657D9A" w:rsidP="00ED4CFC" w14:paraId="141097AD" w14:textId="4B884E2E">
            <w:pPr>
              <w:tabs>
                <w:tab w:val="left" w:pos="360"/>
                <w:tab w:val="left" w:pos="720"/>
              </w:tabs>
              <w:jc w:val="center"/>
            </w:pPr>
            <w:r w:rsidRPr="00657D9A">
              <w:t xml:space="preserve"> $</w:t>
            </w:r>
            <w:r w:rsidR="00F15C8A">
              <w:t>35,488</w:t>
            </w:r>
            <w:r w:rsidRPr="00657D9A">
              <w:t xml:space="preserve"> </w:t>
            </w:r>
          </w:p>
        </w:tc>
      </w:tr>
      <w:tr w14:paraId="45C3CF42" w14:textId="77777777" w:rsidTr="00C06666">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tcPr>
          <w:p w:rsidR="00ED4CFC" w:rsidRPr="00657D9A" w:rsidP="00ED4CFC" w14:paraId="49E8A314" w14:textId="0583CDC7">
            <w:pPr>
              <w:tabs>
                <w:tab w:val="left" w:pos="-1080"/>
                <w:tab w:val="left" w:pos="-720"/>
                <w:tab w:val="left" w:pos="360"/>
                <w:tab w:val="left" w:pos="720"/>
              </w:tabs>
              <w:ind w:left="192"/>
            </w:pPr>
            <w:r w:rsidRPr="00657D9A">
              <w:t>Monitoring and Review of Reports</w:t>
            </w:r>
          </w:p>
        </w:tc>
        <w:tc>
          <w:tcPr>
            <w:tcW w:w="900" w:type="dxa"/>
            <w:tcBorders>
              <w:top w:val="single" w:sz="4" w:space="0" w:color="auto"/>
              <w:left w:val="single" w:sz="4" w:space="0" w:color="auto"/>
              <w:bottom w:val="single" w:sz="4" w:space="0" w:color="auto"/>
              <w:right w:val="single" w:sz="4" w:space="0" w:color="auto"/>
            </w:tcBorders>
          </w:tcPr>
          <w:p w:rsidR="00ED4CFC" w:rsidRPr="00657D9A" w:rsidP="00ED4CFC" w14:paraId="7CC502C4" w14:textId="202A5549">
            <w:pPr>
              <w:tabs>
                <w:tab w:val="left" w:pos="360"/>
                <w:tab w:val="left" w:pos="720"/>
              </w:tabs>
              <w:jc w:val="center"/>
            </w:pPr>
            <w:r w:rsidRPr="00657D9A">
              <w:t>GS-12, Step 6</w:t>
            </w:r>
          </w:p>
        </w:tc>
        <w:tc>
          <w:tcPr>
            <w:tcW w:w="990" w:type="dxa"/>
            <w:tcBorders>
              <w:top w:val="single" w:sz="4" w:space="0" w:color="auto"/>
              <w:left w:val="single" w:sz="4" w:space="0" w:color="auto"/>
              <w:bottom w:val="single" w:sz="4" w:space="0" w:color="auto"/>
              <w:right w:val="single" w:sz="4" w:space="0" w:color="auto"/>
            </w:tcBorders>
          </w:tcPr>
          <w:p w:rsidR="00ED4CFC" w:rsidRPr="00657D9A" w:rsidP="00ED4CFC" w14:paraId="2D080480" w14:textId="1316A12C">
            <w:pPr>
              <w:tabs>
                <w:tab w:val="left" w:pos="360"/>
                <w:tab w:val="left" w:pos="720"/>
              </w:tabs>
              <w:jc w:val="center"/>
            </w:pPr>
            <w:r w:rsidRPr="00657D9A">
              <w:t>88.72 (55.45 x 1.6)</w:t>
            </w:r>
          </w:p>
        </w:tc>
        <w:tc>
          <w:tcPr>
            <w:tcW w:w="1170" w:type="dxa"/>
            <w:tcBorders>
              <w:top w:val="single" w:sz="4" w:space="0" w:color="auto"/>
              <w:left w:val="single" w:sz="4" w:space="0" w:color="auto"/>
              <w:bottom w:val="single" w:sz="4" w:space="0" w:color="auto"/>
              <w:right w:val="single" w:sz="4" w:space="0" w:color="auto"/>
            </w:tcBorders>
          </w:tcPr>
          <w:p w:rsidR="00ED4CFC" w:rsidRPr="00B92921" w:rsidP="00ED4CFC" w14:paraId="27A18089" w14:textId="472C26C2">
            <w:pPr>
              <w:tabs>
                <w:tab w:val="left" w:pos="360"/>
                <w:tab w:val="left" w:pos="720"/>
              </w:tabs>
              <w:jc w:val="center"/>
              <w:rPr>
                <w:color w:val="000000" w:themeColor="text1"/>
              </w:rPr>
            </w:pPr>
            <w:r w:rsidRPr="00B92921">
              <w:rPr>
                <w:color w:val="000000" w:themeColor="text1"/>
              </w:rPr>
              <w:t>10</w:t>
            </w:r>
          </w:p>
        </w:tc>
        <w:tc>
          <w:tcPr>
            <w:tcW w:w="1260" w:type="dxa"/>
            <w:tcBorders>
              <w:top w:val="single" w:sz="4" w:space="0" w:color="auto"/>
              <w:left w:val="single" w:sz="4" w:space="0" w:color="auto"/>
              <w:right w:val="single" w:sz="4" w:space="0" w:color="auto"/>
            </w:tcBorders>
          </w:tcPr>
          <w:p w:rsidR="00ED4CFC" w:rsidRPr="00657D9A" w:rsidP="00ED4CFC" w14:paraId="79CCE008" w14:textId="03D7B779">
            <w:pPr>
              <w:tabs>
                <w:tab w:val="left" w:pos="360"/>
                <w:tab w:val="left" w:pos="720"/>
              </w:tabs>
              <w:jc w:val="center"/>
            </w:pPr>
            <w:r>
              <w:t>2</w:t>
            </w:r>
          </w:p>
        </w:tc>
        <w:tc>
          <w:tcPr>
            <w:tcW w:w="990" w:type="dxa"/>
            <w:tcBorders>
              <w:top w:val="single" w:sz="4" w:space="0" w:color="auto"/>
              <w:left w:val="single" w:sz="4" w:space="0" w:color="auto"/>
              <w:right w:val="single" w:sz="4" w:space="0" w:color="auto"/>
            </w:tcBorders>
          </w:tcPr>
          <w:p w:rsidR="00ED4CFC" w:rsidRPr="00657D9A" w:rsidP="00ED4CFC" w14:paraId="43BB920F" w14:textId="05A64C04">
            <w:pPr>
              <w:tabs>
                <w:tab w:val="left" w:pos="360"/>
                <w:tab w:val="left" w:pos="720"/>
              </w:tabs>
              <w:jc w:val="center"/>
            </w:pPr>
            <w:r>
              <w:t>20</w:t>
            </w:r>
          </w:p>
        </w:tc>
        <w:tc>
          <w:tcPr>
            <w:tcW w:w="1463" w:type="dxa"/>
            <w:tcBorders>
              <w:top w:val="single" w:sz="4" w:space="0" w:color="auto"/>
              <w:left w:val="single" w:sz="4" w:space="0" w:color="auto"/>
              <w:right w:val="single" w:sz="4" w:space="0" w:color="auto"/>
            </w:tcBorders>
          </w:tcPr>
          <w:p w:rsidR="00ED4CFC" w:rsidRPr="00657D9A" w:rsidP="00ED4CFC" w14:paraId="0DDF2CBC" w14:textId="79EDCB4D">
            <w:pPr>
              <w:tabs>
                <w:tab w:val="left" w:pos="360"/>
                <w:tab w:val="left" w:pos="720"/>
              </w:tabs>
              <w:jc w:val="center"/>
            </w:pPr>
            <w:r w:rsidRPr="00657D9A">
              <w:t xml:space="preserve"> $</w:t>
            </w:r>
            <w:r w:rsidR="00812622">
              <w:t>1,774</w:t>
            </w:r>
          </w:p>
        </w:tc>
      </w:tr>
      <w:tr w14:paraId="70445DF9" w14:textId="77777777" w:rsidTr="00C06666">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ED4CFC" w:rsidRPr="00657D9A" w:rsidP="00C06666" w14:paraId="5C2F5EA9" w14:textId="77777777">
            <w:pPr>
              <w:tabs>
                <w:tab w:val="left" w:pos="360"/>
                <w:tab w:val="left" w:pos="720"/>
              </w:tabs>
              <w:rPr>
                <w:b/>
                <w:color w:val="000000" w:themeColor="text1"/>
              </w:rPr>
            </w:pPr>
            <w:r w:rsidRPr="00657D9A">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ED4CFC" w:rsidRPr="00657D9A" w:rsidP="00C66645" w14:paraId="204F65BE" w14:textId="52623F7A">
            <w:pPr>
              <w:tabs>
                <w:tab w:val="left" w:pos="360"/>
                <w:tab w:val="left" w:pos="720"/>
              </w:tabs>
              <w:jc w:val="center"/>
              <w:rPr>
                <w:b/>
                <w:color w:val="000000" w:themeColor="text1"/>
              </w:rPr>
            </w:pPr>
            <w:r>
              <w:rPr>
                <w:b/>
                <w:color w:val="000000" w:themeColor="text1"/>
              </w:rPr>
              <w:t>440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ED4CFC" w:rsidRPr="00657D9A" w:rsidP="00C06666" w14:paraId="20FEF687" w14:textId="34D71CBF">
            <w:pPr>
              <w:tabs>
                <w:tab w:val="left" w:pos="360"/>
                <w:tab w:val="left" w:pos="720"/>
              </w:tabs>
              <w:jc w:val="center"/>
              <w:rPr>
                <w:b/>
                <w:bCs/>
                <w:color w:val="000000" w:themeColor="text1"/>
              </w:rPr>
            </w:pPr>
            <w:r w:rsidRPr="00C66645">
              <w:rPr>
                <w:b/>
                <w:bCs/>
                <w:color w:val="000000" w:themeColor="text1"/>
              </w:rPr>
              <w:t>$</w:t>
            </w:r>
            <w:bookmarkStart w:id="0" w:name="_Hlk173410817"/>
            <w:r w:rsidRPr="00C66645">
              <w:rPr>
                <w:b/>
                <w:bCs/>
                <w:color w:val="000000" w:themeColor="text1"/>
              </w:rPr>
              <w:t>39,755</w:t>
            </w:r>
            <w:bookmarkEnd w:id="0"/>
          </w:p>
        </w:tc>
      </w:tr>
    </w:tbl>
    <w:p w:rsidR="00942873" w:rsidRPr="00657D9A" w:rsidP="00942873" w14:paraId="28D54950" w14:textId="77777777">
      <w:pPr>
        <w:rPr>
          <w:color w:val="000000"/>
          <w:sz w:val="22"/>
          <w:szCs w:val="22"/>
        </w:rPr>
      </w:pPr>
    </w:p>
    <w:p w:rsidR="00FA14F6" w:rsidRPr="00657D9A" w:rsidP="00FA14F6" w14:paraId="7D8F71C8" w14:textId="77777777">
      <w:pPr>
        <w:tabs>
          <w:tab w:val="left" w:pos="-1080"/>
          <w:tab w:val="left" w:pos="-720"/>
          <w:tab w:val="left" w:pos="450"/>
          <w:tab w:val="left" w:pos="720"/>
        </w:tabs>
        <w:rPr>
          <w:b/>
          <w:sz w:val="24"/>
          <w:szCs w:val="24"/>
        </w:rPr>
      </w:pPr>
      <w:r w:rsidRPr="00657D9A">
        <w:rPr>
          <w:b/>
          <w:sz w:val="24"/>
          <w:szCs w:val="24"/>
        </w:rPr>
        <w:t>15.</w:t>
      </w:r>
      <w:r w:rsidRPr="00657D9A">
        <w:rPr>
          <w:b/>
          <w:sz w:val="24"/>
          <w:szCs w:val="24"/>
        </w:rPr>
        <w:tab/>
        <w:t>Explain the reasons for any program changes or adjustments in hour or cost burden.</w:t>
      </w:r>
    </w:p>
    <w:p w:rsidR="00FA14F6" w:rsidRPr="00657D9A" w:rsidP="00FA14F6" w14:paraId="030D0710" w14:textId="77777777">
      <w:pPr>
        <w:tabs>
          <w:tab w:val="left" w:pos="-1080"/>
          <w:tab w:val="left" w:pos="-720"/>
          <w:tab w:val="left" w:pos="450"/>
          <w:tab w:val="left" w:pos="720"/>
        </w:tabs>
        <w:rPr>
          <w:sz w:val="24"/>
          <w:szCs w:val="24"/>
        </w:rPr>
      </w:pPr>
    </w:p>
    <w:p w:rsidR="00FA14F6" w:rsidP="00FA14F6" w14:paraId="5961BD09" w14:textId="5320EEFE">
      <w:pPr>
        <w:tabs>
          <w:tab w:val="left" w:pos="-1080"/>
          <w:tab w:val="left" w:pos="-720"/>
          <w:tab w:val="left" w:pos="450"/>
          <w:tab w:val="left" w:pos="720"/>
        </w:tabs>
        <w:rPr>
          <w:sz w:val="24"/>
          <w:szCs w:val="24"/>
        </w:rPr>
      </w:pPr>
      <w:r w:rsidRPr="00657D9A">
        <w:rPr>
          <w:sz w:val="24"/>
          <w:szCs w:val="24"/>
        </w:rPr>
        <w:t>Updates were made to the Bureau of Labor Statistics (BLS) and Office of Personnel Management (OPM) compensation data contained in Sections 12 and 14</w:t>
      </w:r>
      <w:r w:rsidRPr="00657D9A" w:rsidR="00FF2DF8">
        <w:rPr>
          <w:sz w:val="24"/>
          <w:szCs w:val="24"/>
        </w:rPr>
        <w:t xml:space="preserve">. </w:t>
      </w:r>
    </w:p>
    <w:p w:rsidR="00DC793B" w:rsidP="00FA14F6" w14:paraId="62AC7BEB" w14:textId="77777777">
      <w:pPr>
        <w:tabs>
          <w:tab w:val="left" w:pos="-1080"/>
          <w:tab w:val="left" w:pos="-720"/>
          <w:tab w:val="left" w:pos="450"/>
          <w:tab w:val="left" w:pos="720"/>
        </w:tabs>
        <w:rPr>
          <w:sz w:val="24"/>
          <w:szCs w:val="24"/>
        </w:rPr>
      </w:pPr>
    </w:p>
    <w:tbl>
      <w:tblPr>
        <w:tblStyle w:val="TableGrid"/>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
      <w:tblGrid>
        <w:gridCol w:w="9340"/>
      </w:tblGrid>
      <w:tr w14:paraId="30666BE2" w14:textId="77777777" w:rsidTr="00DC793B">
        <w:tblPrEx>
          <w:tblW w:w="0" w:type="auto"/>
          <w:tblBorders>
            <w:top w:val="single" w:sz="8" w:space="0" w:color="FF0000"/>
            <w:left w:val="single" w:sz="8" w:space="0" w:color="FF0000"/>
            <w:bottom w:val="single" w:sz="8" w:space="0" w:color="FF0000"/>
            <w:right w:val="single" w:sz="8" w:space="0" w:color="FF0000"/>
            <w:insideH w:val="none" w:sz="0" w:space="0" w:color="auto"/>
            <w:insideV w:val="none" w:sz="0" w:space="0" w:color="auto"/>
          </w:tblBorders>
          <w:tblLook w:val="04A0"/>
        </w:tblPrEx>
        <w:tc>
          <w:tcPr>
            <w:tcW w:w="9350" w:type="dxa"/>
          </w:tcPr>
          <w:p w:rsidR="00DC793B" w:rsidRPr="00DC793B" w:rsidP="00DC793B" w14:paraId="2DC8F8BC" w14:textId="39C7E77F">
            <w:pPr>
              <w:tabs>
                <w:tab w:val="left" w:pos="-1080"/>
                <w:tab w:val="left" w:pos="-720"/>
                <w:tab w:val="left" w:pos="450"/>
                <w:tab w:val="left" w:pos="720"/>
              </w:tabs>
              <w:rPr>
                <w:b/>
                <w:bCs/>
                <w:sz w:val="24"/>
                <w:szCs w:val="24"/>
              </w:rPr>
            </w:pPr>
            <w:r w:rsidRPr="00DC793B">
              <w:rPr>
                <w:b/>
                <w:bCs/>
                <w:sz w:val="24"/>
                <w:szCs w:val="24"/>
              </w:rPr>
              <w:t xml:space="preserve">2024 </w:t>
            </w:r>
            <w:r>
              <w:rPr>
                <w:b/>
                <w:bCs/>
                <w:sz w:val="24"/>
                <w:szCs w:val="24"/>
              </w:rPr>
              <w:t>Updated Estimates</w:t>
            </w:r>
          </w:p>
          <w:p w:rsidR="00DC793B" w:rsidP="00FA14F6" w14:paraId="36C7F749" w14:textId="65FA21D7">
            <w:pPr>
              <w:tabs>
                <w:tab w:val="left" w:pos="-1080"/>
                <w:tab w:val="left" w:pos="-720"/>
                <w:tab w:val="left" w:pos="450"/>
                <w:tab w:val="left" w:pos="720"/>
              </w:tabs>
              <w:rPr>
                <w:sz w:val="24"/>
                <w:szCs w:val="24"/>
              </w:rPr>
            </w:pPr>
            <w:r w:rsidRPr="00DC793B">
              <w:rPr>
                <w:color w:val="FF0000"/>
                <w:sz w:val="24"/>
                <w:szCs w:val="24"/>
              </w:rPr>
              <w:t>We are proposing to revise the “Total Estimated Number of Annual Respondents” from 50 to 30 to reflect actual responses received in recent years.  We are also proposing to revise “Total Estimated Number of Annual Responses” 100 from 30 by streamlining the program’s business practices.  Finally, we are proposing to revise “Total Estimated Number of Annual Burden Hours” from 2,000 to 750 hours.</w:t>
            </w:r>
          </w:p>
        </w:tc>
      </w:tr>
    </w:tbl>
    <w:p w:rsidR="00FA14F6" w:rsidRPr="00657D9A" w:rsidP="00FA14F6" w14:paraId="4F060104" w14:textId="5360B0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657D9A" w:rsidP="00FA14F6" w14:paraId="3461E606" w14:textId="77777777">
      <w:pPr>
        <w:tabs>
          <w:tab w:val="left" w:pos="-1080"/>
          <w:tab w:val="left" w:pos="-720"/>
          <w:tab w:val="left" w:pos="450"/>
          <w:tab w:val="left" w:pos="720"/>
        </w:tabs>
        <w:rPr>
          <w:b/>
          <w:sz w:val="24"/>
          <w:szCs w:val="24"/>
        </w:rPr>
      </w:pPr>
      <w:r w:rsidRPr="00657D9A">
        <w:rPr>
          <w:b/>
          <w:sz w:val="24"/>
          <w:szCs w:val="24"/>
        </w:rPr>
        <w:t>16.</w:t>
      </w:r>
      <w:r w:rsidRPr="00657D9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57D9A" w:rsidP="00FA14F6" w14:paraId="2AC2396A" w14:textId="77777777">
      <w:pPr>
        <w:tabs>
          <w:tab w:val="left" w:pos="-1080"/>
          <w:tab w:val="left" w:pos="-720"/>
          <w:tab w:val="left" w:pos="450"/>
          <w:tab w:val="left" w:pos="720"/>
        </w:tabs>
        <w:rPr>
          <w:sz w:val="24"/>
          <w:szCs w:val="24"/>
        </w:rPr>
      </w:pPr>
    </w:p>
    <w:p w:rsidR="00FA14F6" w:rsidRPr="00657D9A" w:rsidP="00FA14F6" w14:paraId="78118215" w14:textId="442F09DB">
      <w:pPr>
        <w:tabs>
          <w:tab w:val="left" w:pos="-1080"/>
          <w:tab w:val="left" w:pos="-720"/>
          <w:tab w:val="left" w:pos="450"/>
          <w:tab w:val="left" w:pos="720"/>
        </w:tabs>
        <w:rPr>
          <w:sz w:val="24"/>
          <w:szCs w:val="24"/>
        </w:rPr>
      </w:pPr>
      <w:r w:rsidRPr="00657D9A">
        <w:rPr>
          <w:sz w:val="24"/>
          <w:szCs w:val="24"/>
        </w:rPr>
        <w:t xml:space="preserve">There are no plans for publication of the results of these information collections.  </w:t>
      </w:r>
    </w:p>
    <w:p w:rsidR="00FA14F6" w:rsidRPr="00657D9A" w:rsidP="00FA14F6" w14:paraId="52B8690C" w14:textId="77777777">
      <w:pPr>
        <w:tabs>
          <w:tab w:val="left" w:pos="-1080"/>
          <w:tab w:val="left" w:pos="-720"/>
          <w:tab w:val="left" w:pos="450"/>
          <w:tab w:val="left" w:pos="720"/>
        </w:tabs>
        <w:rPr>
          <w:sz w:val="24"/>
          <w:szCs w:val="24"/>
        </w:rPr>
      </w:pPr>
    </w:p>
    <w:p w:rsidR="00FA14F6" w:rsidRPr="00657D9A" w:rsidP="00FA14F6" w14:paraId="07A2D04C" w14:textId="77777777">
      <w:pPr>
        <w:tabs>
          <w:tab w:val="left" w:pos="-1080"/>
          <w:tab w:val="left" w:pos="-720"/>
          <w:tab w:val="left" w:pos="450"/>
          <w:tab w:val="left" w:pos="720"/>
        </w:tabs>
        <w:rPr>
          <w:b/>
          <w:sz w:val="24"/>
          <w:szCs w:val="24"/>
        </w:rPr>
      </w:pPr>
      <w:r w:rsidRPr="00657D9A">
        <w:rPr>
          <w:b/>
          <w:sz w:val="24"/>
          <w:szCs w:val="24"/>
        </w:rPr>
        <w:t>17.</w:t>
      </w:r>
      <w:r w:rsidRPr="00657D9A">
        <w:rPr>
          <w:b/>
          <w:sz w:val="24"/>
          <w:szCs w:val="24"/>
        </w:rPr>
        <w:tab/>
        <w:t>If seeking approval to not display the expiration date for OMB approval of the information collection, explain the reasons that display would be inappropriate.</w:t>
      </w:r>
    </w:p>
    <w:p w:rsidR="00FA14F6" w:rsidRPr="00657D9A" w:rsidP="00FA14F6" w14:paraId="0C1DAC69" w14:textId="77777777">
      <w:pPr>
        <w:tabs>
          <w:tab w:val="left" w:pos="-1080"/>
          <w:tab w:val="left" w:pos="-720"/>
          <w:tab w:val="left" w:pos="450"/>
          <w:tab w:val="left" w:pos="720"/>
        </w:tabs>
        <w:rPr>
          <w:sz w:val="24"/>
          <w:szCs w:val="24"/>
        </w:rPr>
      </w:pPr>
    </w:p>
    <w:p w:rsidR="00FA14F6" w:rsidRPr="00657D9A" w:rsidP="00FA14F6" w14:paraId="6696ED6D" w14:textId="25E4F8EA">
      <w:pPr>
        <w:tabs>
          <w:tab w:val="left" w:pos="-1080"/>
          <w:tab w:val="left" w:pos="-720"/>
          <w:tab w:val="left" w:pos="450"/>
          <w:tab w:val="left" w:pos="720"/>
        </w:tabs>
        <w:rPr>
          <w:sz w:val="24"/>
          <w:szCs w:val="24"/>
        </w:rPr>
      </w:pPr>
      <w:r w:rsidRPr="00657D9A">
        <w:rPr>
          <w:sz w:val="24"/>
          <w:szCs w:val="24"/>
        </w:rPr>
        <w:t>We will display the OMB Control Number and expiration date on appropriate materials.</w:t>
      </w:r>
    </w:p>
    <w:p w:rsidR="00FA14F6" w:rsidRPr="00657D9A" w:rsidP="00FA14F6" w14:paraId="6BA9845C" w14:textId="11A1C1CD">
      <w:pPr>
        <w:tabs>
          <w:tab w:val="left" w:pos="-1080"/>
          <w:tab w:val="left" w:pos="-720"/>
          <w:tab w:val="left" w:pos="450"/>
          <w:tab w:val="left" w:pos="720"/>
        </w:tabs>
        <w:rPr>
          <w:sz w:val="24"/>
          <w:szCs w:val="24"/>
        </w:rPr>
      </w:pPr>
    </w:p>
    <w:p w:rsidR="00FA14F6" w:rsidRPr="00657D9A" w:rsidP="00FA14F6" w14:paraId="6147A1C0" w14:textId="77777777">
      <w:pPr>
        <w:tabs>
          <w:tab w:val="left" w:pos="-1080"/>
          <w:tab w:val="left" w:pos="-720"/>
          <w:tab w:val="left" w:pos="450"/>
          <w:tab w:val="left" w:pos="720"/>
        </w:tabs>
        <w:rPr>
          <w:b/>
          <w:sz w:val="24"/>
          <w:szCs w:val="24"/>
        </w:rPr>
      </w:pPr>
      <w:r w:rsidRPr="00657D9A">
        <w:rPr>
          <w:b/>
          <w:sz w:val="24"/>
          <w:szCs w:val="24"/>
        </w:rPr>
        <w:t>18.</w:t>
      </w:r>
      <w:r w:rsidRPr="00657D9A">
        <w:rPr>
          <w:b/>
          <w:sz w:val="24"/>
          <w:szCs w:val="24"/>
        </w:rPr>
        <w:tab/>
        <w:t>Explain each exception to the topics of the certification statement identified in "Certification for Paperwork Reduction Act Submissions."</w:t>
      </w:r>
    </w:p>
    <w:p w:rsidR="00FA14F6" w:rsidRPr="00657D9A" w:rsidP="00FA14F6" w14:paraId="141524FC" w14:textId="77777777">
      <w:pPr>
        <w:tabs>
          <w:tab w:val="left" w:pos="-1080"/>
          <w:tab w:val="left" w:pos="-720"/>
          <w:tab w:val="left" w:pos="450"/>
          <w:tab w:val="left" w:pos="720"/>
        </w:tabs>
        <w:rPr>
          <w:sz w:val="24"/>
          <w:szCs w:val="24"/>
        </w:rPr>
      </w:pPr>
    </w:p>
    <w:p w:rsidR="00251281" w:rsidRPr="00657D9A" w:rsidP="00B100EF" w14:paraId="15A5F88A" w14:textId="014DC63B">
      <w:pPr>
        <w:tabs>
          <w:tab w:val="left" w:pos="-1080"/>
          <w:tab w:val="left" w:pos="-720"/>
          <w:tab w:val="left" w:pos="450"/>
          <w:tab w:val="left" w:pos="720"/>
        </w:tabs>
        <w:rPr>
          <w:sz w:val="24"/>
          <w:szCs w:val="24"/>
        </w:rPr>
      </w:pPr>
      <w:r w:rsidRPr="00657D9A">
        <w:rPr>
          <w:sz w:val="24"/>
          <w:szCs w:val="24"/>
        </w:rPr>
        <w:t>There are no exceptions to the certification statement.</w:t>
      </w:r>
    </w:p>
    <w:sectPr w:rsidSect="00B100EF">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E4F" w:rsidRPr="00B50214" w:rsidP="00B50214" w14:paraId="6ACE4718" w14:textId="52ED9711">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CC7507">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64714"/>
    <w:multiLevelType w:val="hybridMultilevel"/>
    <w:tmpl w:val="4DA88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9A14A2"/>
    <w:multiLevelType w:val="hybridMultilevel"/>
    <w:tmpl w:val="73FAD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112796"/>
    <w:multiLevelType w:val="hybridMultilevel"/>
    <w:tmpl w:val="BC84B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A46135"/>
    <w:multiLevelType w:val="hybridMultilevel"/>
    <w:tmpl w:val="467EE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C00B9A"/>
    <w:multiLevelType w:val="hybridMultilevel"/>
    <w:tmpl w:val="964206D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1E3D3B"/>
    <w:multiLevelType w:val="hybridMultilevel"/>
    <w:tmpl w:val="723A9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F41F6A"/>
    <w:multiLevelType w:val="hybridMultilevel"/>
    <w:tmpl w:val="B6F0C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462688"/>
    <w:multiLevelType w:val="hybridMultilevel"/>
    <w:tmpl w:val="E4D0A3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BB17D75"/>
    <w:multiLevelType w:val="hybridMultilevel"/>
    <w:tmpl w:val="294C8C5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2300213">
    <w:abstractNumId w:val="1"/>
  </w:num>
  <w:num w:numId="2" w16cid:durableId="1931815486">
    <w:abstractNumId w:val="11"/>
  </w:num>
  <w:num w:numId="3" w16cid:durableId="621377297">
    <w:abstractNumId w:val="8"/>
  </w:num>
  <w:num w:numId="4" w16cid:durableId="1199119940">
    <w:abstractNumId w:val="7"/>
  </w:num>
  <w:num w:numId="5" w16cid:durableId="1502432903">
    <w:abstractNumId w:val="10"/>
  </w:num>
  <w:num w:numId="6" w16cid:durableId="1148396373">
    <w:abstractNumId w:val="9"/>
  </w:num>
  <w:num w:numId="7" w16cid:durableId="1258830379">
    <w:abstractNumId w:val="6"/>
  </w:num>
  <w:num w:numId="8" w16cid:durableId="262690781">
    <w:abstractNumId w:val="2"/>
  </w:num>
  <w:num w:numId="9" w16cid:durableId="679938779">
    <w:abstractNumId w:val="13"/>
  </w:num>
  <w:num w:numId="10" w16cid:durableId="236017888">
    <w:abstractNumId w:val="4"/>
  </w:num>
  <w:num w:numId="11" w16cid:durableId="1244490950">
    <w:abstractNumId w:val="0"/>
  </w:num>
  <w:num w:numId="12" w16cid:durableId="814564817">
    <w:abstractNumId w:val="3"/>
  </w:num>
  <w:num w:numId="13" w16cid:durableId="1867283039">
    <w:abstractNumId w:val="14"/>
  </w:num>
  <w:num w:numId="14" w16cid:durableId="2053536885">
    <w:abstractNumId w:val="5"/>
  </w:num>
  <w:num w:numId="15" w16cid:durableId="175597535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1326"/>
    <w:rsid w:val="000245EB"/>
    <w:rsid w:val="000257C8"/>
    <w:rsid w:val="00026233"/>
    <w:rsid w:val="000316C7"/>
    <w:rsid w:val="0003170D"/>
    <w:rsid w:val="0004151E"/>
    <w:rsid w:val="000578F0"/>
    <w:rsid w:val="00063584"/>
    <w:rsid w:val="00073CAE"/>
    <w:rsid w:val="0008539A"/>
    <w:rsid w:val="00087F1B"/>
    <w:rsid w:val="000A180C"/>
    <w:rsid w:val="000D3B13"/>
    <w:rsid w:val="000E3B0D"/>
    <w:rsid w:val="000F1C17"/>
    <w:rsid w:val="000F1FCE"/>
    <w:rsid w:val="000F20DA"/>
    <w:rsid w:val="000F3AF1"/>
    <w:rsid w:val="000F4C13"/>
    <w:rsid w:val="00110D44"/>
    <w:rsid w:val="0011127B"/>
    <w:rsid w:val="00136E5E"/>
    <w:rsid w:val="0015130F"/>
    <w:rsid w:val="00162B02"/>
    <w:rsid w:val="001648C4"/>
    <w:rsid w:val="001667A2"/>
    <w:rsid w:val="00173875"/>
    <w:rsid w:val="001749DE"/>
    <w:rsid w:val="00174D04"/>
    <w:rsid w:val="00177B2E"/>
    <w:rsid w:val="001910D5"/>
    <w:rsid w:val="0019175C"/>
    <w:rsid w:val="00191DED"/>
    <w:rsid w:val="001A5D6D"/>
    <w:rsid w:val="001D40E1"/>
    <w:rsid w:val="001D7FB3"/>
    <w:rsid w:val="001F1475"/>
    <w:rsid w:val="001F2357"/>
    <w:rsid w:val="001F2F7D"/>
    <w:rsid w:val="001F7DC9"/>
    <w:rsid w:val="00204B3D"/>
    <w:rsid w:val="00207EE8"/>
    <w:rsid w:val="002266F0"/>
    <w:rsid w:val="00244498"/>
    <w:rsid w:val="00246A07"/>
    <w:rsid w:val="00251281"/>
    <w:rsid w:val="00254FD7"/>
    <w:rsid w:val="00261E40"/>
    <w:rsid w:val="00271294"/>
    <w:rsid w:val="002800A1"/>
    <w:rsid w:val="00282D34"/>
    <w:rsid w:val="00295103"/>
    <w:rsid w:val="002B29FC"/>
    <w:rsid w:val="002B34A3"/>
    <w:rsid w:val="002B640C"/>
    <w:rsid w:val="002C325E"/>
    <w:rsid w:val="002D53D6"/>
    <w:rsid w:val="002F4A8E"/>
    <w:rsid w:val="00302AB3"/>
    <w:rsid w:val="00320275"/>
    <w:rsid w:val="003220F1"/>
    <w:rsid w:val="003376EF"/>
    <w:rsid w:val="0034454D"/>
    <w:rsid w:val="0035088B"/>
    <w:rsid w:val="00352210"/>
    <w:rsid w:val="00352E19"/>
    <w:rsid w:val="00355D1B"/>
    <w:rsid w:val="00372A55"/>
    <w:rsid w:val="00381CBD"/>
    <w:rsid w:val="003B6CA7"/>
    <w:rsid w:val="003B6D63"/>
    <w:rsid w:val="003C3292"/>
    <w:rsid w:val="003E08E1"/>
    <w:rsid w:val="003E0A6B"/>
    <w:rsid w:val="003E1F5A"/>
    <w:rsid w:val="00421D37"/>
    <w:rsid w:val="004231ED"/>
    <w:rsid w:val="00426ABD"/>
    <w:rsid w:val="004436DE"/>
    <w:rsid w:val="00480B51"/>
    <w:rsid w:val="004834B0"/>
    <w:rsid w:val="004976CB"/>
    <w:rsid w:val="004A6DFA"/>
    <w:rsid w:val="004D438F"/>
    <w:rsid w:val="004E5FF4"/>
    <w:rsid w:val="004E79D5"/>
    <w:rsid w:val="004F2683"/>
    <w:rsid w:val="00521F4B"/>
    <w:rsid w:val="00524031"/>
    <w:rsid w:val="00525467"/>
    <w:rsid w:val="0054276D"/>
    <w:rsid w:val="0055606E"/>
    <w:rsid w:val="00571198"/>
    <w:rsid w:val="005912A2"/>
    <w:rsid w:val="0059278A"/>
    <w:rsid w:val="00594EE6"/>
    <w:rsid w:val="00594F25"/>
    <w:rsid w:val="005B0888"/>
    <w:rsid w:val="005D39A7"/>
    <w:rsid w:val="005E0031"/>
    <w:rsid w:val="005E1B02"/>
    <w:rsid w:val="005E5DBF"/>
    <w:rsid w:val="005E6C72"/>
    <w:rsid w:val="005F3A68"/>
    <w:rsid w:val="005F75AA"/>
    <w:rsid w:val="0060758B"/>
    <w:rsid w:val="00607F46"/>
    <w:rsid w:val="00646EE7"/>
    <w:rsid w:val="00657D9A"/>
    <w:rsid w:val="0068034C"/>
    <w:rsid w:val="0068089C"/>
    <w:rsid w:val="0068538C"/>
    <w:rsid w:val="0068562A"/>
    <w:rsid w:val="0069020B"/>
    <w:rsid w:val="006932FD"/>
    <w:rsid w:val="006D3E4F"/>
    <w:rsid w:val="006E339F"/>
    <w:rsid w:val="006F0204"/>
    <w:rsid w:val="00701C0C"/>
    <w:rsid w:val="00716E35"/>
    <w:rsid w:val="00721858"/>
    <w:rsid w:val="0072229D"/>
    <w:rsid w:val="00722ED0"/>
    <w:rsid w:val="00755B57"/>
    <w:rsid w:val="00764DEC"/>
    <w:rsid w:val="007851E9"/>
    <w:rsid w:val="007C5B37"/>
    <w:rsid w:val="007E1BCD"/>
    <w:rsid w:val="007E21B5"/>
    <w:rsid w:val="007E2AEE"/>
    <w:rsid w:val="007E5234"/>
    <w:rsid w:val="00804650"/>
    <w:rsid w:val="0081259F"/>
    <w:rsid w:val="00812622"/>
    <w:rsid w:val="00812C3F"/>
    <w:rsid w:val="0082399F"/>
    <w:rsid w:val="00836426"/>
    <w:rsid w:val="00844FBF"/>
    <w:rsid w:val="00856437"/>
    <w:rsid w:val="00876173"/>
    <w:rsid w:val="00882283"/>
    <w:rsid w:val="00882884"/>
    <w:rsid w:val="00886192"/>
    <w:rsid w:val="00887266"/>
    <w:rsid w:val="00894A15"/>
    <w:rsid w:val="008D64D0"/>
    <w:rsid w:val="00902721"/>
    <w:rsid w:val="00927954"/>
    <w:rsid w:val="009305AE"/>
    <w:rsid w:val="00941CFB"/>
    <w:rsid w:val="009422D3"/>
    <w:rsid w:val="00942873"/>
    <w:rsid w:val="00944C21"/>
    <w:rsid w:val="009546D6"/>
    <w:rsid w:val="00957210"/>
    <w:rsid w:val="00976531"/>
    <w:rsid w:val="00985F5D"/>
    <w:rsid w:val="009923EC"/>
    <w:rsid w:val="0099449E"/>
    <w:rsid w:val="009A370C"/>
    <w:rsid w:val="009B359F"/>
    <w:rsid w:val="009B4071"/>
    <w:rsid w:val="009F728C"/>
    <w:rsid w:val="00A001A1"/>
    <w:rsid w:val="00A063C6"/>
    <w:rsid w:val="00A65B2C"/>
    <w:rsid w:val="00A67C61"/>
    <w:rsid w:val="00A84E4C"/>
    <w:rsid w:val="00A84F45"/>
    <w:rsid w:val="00A9400B"/>
    <w:rsid w:val="00A940F6"/>
    <w:rsid w:val="00AA0E02"/>
    <w:rsid w:val="00AA3D8C"/>
    <w:rsid w:val="00AA737C"/>
    <w:rsid w:val="00AB508F"/>
    <w:rsid w:val="00AC4089"/>
    <w:rsid w:val="00AF33F8"/>
    <w:rsid w:val="00B07E1F"/>
    <w:rsid w:val="00B100EF"/>
    <w:rsid w:val="00B3707A"/>
    <w:rsid w:val="00B50214"/>
    <w:rsid w:val="00B646B4"/>
    <w:rsid w:val="00B66564"/>
    <w:rsid w:val="00B67F98"/>
    <w:rsid w:val="00B92921"/>
    <w:rsid w:val="00BA45B1"/>
    <w:rsid w:val="00BB40E9"/>
    <w:rsid w:val="00BC3C3B"/>
    <w:rsid w:val="00BF25BC"/>
    <w:rsid w:val="00BF5D41"/>
    <w:rsid w:val="00C06666"/>
    <w:rsid w:val="00C50ACA"/>
    <w:rsid w:val="00C66645"/>
    <w:rsid w:val="00C9287C"/>
    <w:rsid w:val="00CA3843"/>
    <w:rsid w:val="00CC50A5"/>
    <w:rsid w:val="00CC7507"/>
    <w:rsid w:val="00D26D49"/>
    <w:rsid w:val="00D5010C"/>
    <w:rsid w:val="00D521E4"/>
    <w:rsid w:val="00D53F23"/>
    <w:rsid w:val="00D75DAA"/>
    <w:rsid w:val="00D80143"/>
    <w:rsid w:val="00D814CD"/>
    <w:rsid w:val="00D85F5A"/>
    <w:rsid w:val="00D93CAC"/>
    <w:rsid w:val="00D94029"/>
    <w:rsid w:val="00DA7013"/>
    <w:rsid w:val="00DB712E"/>
    <w:rsid w:val="00DC793B"/>
    <w:rsid w:val="00DE1FFE"/>
    <w:rsid w:val="00DE7630"/>
    <w:rsid w:val="00E118CB"/>
    <w:rsid w:val="00E141EB"/>
    <w:rsid w:val="00E41393"/>
    <w:rsid w:val="00E43F18"/>
    <w:rsid w:val="00E47248"/>
    <w:rsid w:val="00E52DD2"/>
    <w:rsid w:val="00E5381A"/>
    <w:rsid w:val="00E6013B"/>
    <w:rsid w:val="00E71923"/>
    <w:rsid w:val="00E971A8"/>
    <w:rsid w:val="00EB6B2C"/>
    <w:rsid w:val="00EC03BB"/>
    <w:rsid w:val="00EC4D07"/>
    <w:rsid w:val="00EC5E45"/>
    <w:rsid w:val="00ED0356"/>
    <w:rsid w:val="00ED4CFC"/>
    <w:rsid w:val="00EF578E"/>
    <w:rsid w:val="00F0205E"/>
    <w:rsid w:val="00F051DB"/>
    <w:rsid w:val="00F15C8A"/>
    <w:rsid w:val="00F36883"/>
    <w:rsid w:val="00F373CA"/>
    <w:rsid w:val="00F45BE2"/>
    <w:rsid w:val="00F55522"/>
    <w:rsid w:val="00F558A0"/>
    <w:rsid w:val="00F5758D"/>
    <w:rsid w:val="00F6753E"/>
    <w:rsid w:val="00F73931"/>
    <w:rsid w:val="00F90924"/>
    <w:rsid w:val="00FA14F6"/>
    <w:rsid w:val="00FC64E6"/>
    <w:rsid w:val="00FE4693"/>
    <w:rsid w:val="00FE5AAD"/>
    <w:rsid w:val="00FE7E9A"/>
    <w:rsid w:val="00FF147C"/>
    <w:rsid w:val="00FF1D53"/>
    <w:rsid w:val="00FF2DF8"/>
    <w:rsid w:val="058693AF"/>
    <w:rsid w:val="15368F6D"/>
    <w:rsid w:val="1B0385FA"/>
    <w:rsid w:val="23EDED3A"/>
    <w:rsid w:val="4E4746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15:docId w15:val="{4BC89EB2-F375-444E-B35C-D90B54D0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1F1475"/>
    <w:pPr>
      <w:numPr>
        <w:numId w:val="14"/>
      </w:numPr>
      <w:tabs>
        <w:tab w:val="left" w:pos="-1080"/>
        <w:tab w:val="left" w:pos="-720"/>
        <w:tab w:val="left" w:pos="360"/>
        <w:tab w:val="left" w:pos="72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21F4B"/>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21F4B"/>
  </w:style>
  <w:style w:type="character" w:customStyle="1" w:styleId="eop">
    <w:name w:val="eop"/>
    <w:basedOn w:val="DefaultParagraphFont"/>
    <w:rsid w:val="00521F4B"/>
  </w:style>
  <w:style w:type="character" w:styleId="UnresolvedMention">
    <w:name w:val="Unresolved Mention"/>
    <w:basedOn w:val="DefaultParagraphFont"/>
    <w:uiPriority w:val="99"/>
    <w:semiHidden/>
    <w:unhideWhenUsed/>
    <w:rsid w:val="00F02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i.gov/grants/grantsolutions" TargetMode="External" /><Relationship Id="rId8" Type="http://schemas.openxmlformats.org/officeDocument/2006/relationships/hyperlink" Target="https://www.opm.gov/policy-data-oversight/pay-leave/salaries-wages/salary-tables/24Tables/html/DCB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730AABDB1BD4D9A9535349D5EF5B7" ma:contentTypeVersion="4" ma:contentTypeDescription="Create a new document." ma:contentTypeScope="" ma:versionID="9f90b0a2a983a0cba1dcd019ee7cd8f6">
  <xsd:schema xmlns:xsd="http://www.w3.org/2001/XMLSchema" xmlns:xs="http://www.w3.org/2001/XMLSchema" xmlns:p="http://schemas.microsoft.com/office/2006/metadata/properties" xmlns:ns2="d36856fe-d4a9-4f0b-87a7-8fa063632c32" xmlns:ns3="16aa3f2d-47b8-4a75-a8f5-1c0f60bcb387" targetNamespace="http://schemas.microsoft.com/office/2006/metadata/properties" ma:root="true" ma:fieldsID="351ffc591e2a33e14154545ad8d0ab9f" ns2:_="" ns3:_="">
    <xsd:import namespace="d36856fe-d4a9-4f0b-87a7-8fa063632c32"/>
    <xsd:import namespace="16aa3f2d-47b8-4a75-a8f5-1c0f60bcb3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856fe-d4a9-4f0b-87a7-8fa063632c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a3f2d-47b8-4a75-a8f5-1c0f60bcb3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97B197-3F61-46AA-B128-DB94C475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856fe-d4a9-4f0b-87a7-8fa063632c32"/>
    <ds:schemaRef ds:uri="16aa3f2d-47b8-4a75-a8f5-1c0f60bcb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Mullen, Steven M</dc:creator>
  <cp:lastModifiedBy>Mullen, Steven M</cp:lastModifiedBy>
  <cp:revision>4</cp:revision>
  <dcterms:created xsi:type="dcterms:W3CDTF">2024-08-22T15:05:00Z</dcterms:created>
  <dcterms:modified xsi:type="dcterms:W3CDTF">2024-08-22T15:07:00Z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0x01010076B730AABDB1BD4D9A9535349D5EF5B7</vt:lpwstr>
  </property>
</Properties>
</file>