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6034" w14:paraId="368A7D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separate"/>
      </w:r>
      <w:r>
        <w:rPr>
          <w:sz w:val="24"/>
          <w:szCs w:val="24"/>
          <w:lang w:val="en-CA"/>
        </w:rPr>
        <w:fldChar w:fldCharType="end"/>
      </w:r>
      <w:r>
        <w:rPr>
          <w:b/>
          <w:bCs/>
          <w:sz w:val="32"/>
          <w:szCs w:val="32"/>
        </w:rPr>
        <w:t>Supporting Statement A</w:t>
      </w:r>
    </w:p>
    <w:p w:rsidR="00496034" w14:paraId="79EE02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496034" w14:paraId="3AEF0A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Student Transportation Form</w:t>
      </w:r>
    </w:p>
    <w:p w:rsidR="00496034" w14:paraId="7F8042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496034" w:rsidP="00496034" w14:paraId="767127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1076-0134</w:t>
      </w:r>
    </w:p>
    <w:p w:rsidR="00496034" w:rsidP="00496034" w14:paraId="6E00C0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496034" w:rsidP="00496034" w14:paraId="2DEE8F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None.</w:t>
      </w:r>
    </w:p>
    <w:p w:rsidR="00496034" w:rsidP="00496034" w14:paraId="34075C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496034" w14:paraId="1978B4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496034" w14:paraId="46BDC8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96034" w14:paraId="79C401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496034" w14:paraId="6F87AA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96034" w14:paraId="42B3A4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496034" w14:paraId="00AF1B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96034" w14:paraId="58B962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496034" w14:paraId="5AFD01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96034" w:rsidRPr="00775E37" w14:paraId="3731AB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E37">
        <w:rPr>
          <w:b/>
          <w:sz w:val="24"/>
          <w:szCs w:val="24"/>
        </w:rPr>
        <w:t>1.</w:t>
      </w:r>
      <w:r w:rsidRPr="00775E37">
        <w:rPr>
          <w:b/>
          <w:sz w:val="24"/>
          <w:szCs w:val="24"/>
        </w:rPr>
        <w:tab/>
        <w:t>Explain the circumstances that make the collection of information necessary.  Identify any legal or administrative requirements that necessitate the collection.</w:t>
      </w:r>
    </w:p>
    <w:p w:rsidR="00496034" w14:paraId="0782DF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946FA" w:rsidP="00496034" w14:paraId="4FB3DC2B" w14:textId="2F600F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6946FA">
        <w:rPr>
          <w:sz w:val="24"/>
          <w:szCs w:val="24"/>
        </w:rPr>
        <w:t>This action comports with, and furthers, the policy of the executive branch to restore common sense to the Federal Government and unleash the potential of the American citizen (</w:t>
      </w:r>
      <w:r w:rsidRPr="0076205A">
        <w:rPr>
          <w:i/>
          <w:iCs/>
          <w:sz w:val="24"/>
          <w:szCs w:val="24"/>
        </w:rPr>
        <w:t>Initial Rescissions of Harmful Executive Orders and Actions</w:t>
      </w:r>
      <w:r w:rsidRPr="006946FA">
        <w:rPr>
          <w:sz w:val="24"/>
          <w:szCs w:val="24"/>
        </w:rPr>
        <w:t>, Executive Order 14148).</w:t>
      </w:r>
    </w:p>
    <w:p w:rsidR="006946FA" w:rsidP="00496034" w14:paraId="5292B3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496034" w:rsidRPr="00775E37" w:rsidP="00496034" w14:paraId="42D5A413" w14:textId="421249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w:t>
      </w:r>
      <w:r w:rsidRPr="00775E37">
        <w:rPr>
          <w:sz w:val="24"/>
          <w:szCs w:val="24"/>
        </w:rPr>
        <w:t>he Education Amendments of 1978</w:t>
      </w:r>
      <w:r>
        <w:rPr>
          <w:sz w:val="24"/>
          <w:szCs w:val="24"/>
        </w:rPr>
        <w:t xml:space="preserve"> (</w:t>
      </w:r>
      <w:r w:rsidR="008F7C64">
        <w:rPr>
          <w:sz w:val="24"/>
          <w:szCs w:val="24"/>
        </w:rPr>
        <w:t>25 U.S.C. 2001</w:t>
      </w:r>
      <w:r>
        <w:rPr>
          <w:sz w:val="24"/>
          <w:szCs w:val="24"/>
        </w:rPr>
        <w:t>)</w:t>
      </w:r>
      <w:r w:rsidRPr="00775E37">
        <w:rPr>
          <w:sz w:val="24"/>
          <w:szCs w:val="24"/>
        </w:rPr>
        <w:t>, as amended, require</w:t>
      </w:r>
      <w:r>
        <w:rPr>
          <w:sz w:val="24"/>
          <w:szCs w:val="24"/>
        </w:rPr>
        <w:t>s</w:t>
      </w:r>
      <w:r w:rsidRPr="00775E37">
        <w:rPr>
          <w:sz w:val="24"/>
          <w:szCs w:val="24"/>
        </w:rPr>
        <w:t xml:space="preserve"> the Bureau of Indian Education (BIE) to administer elementary </w:t>
      </w:r>
      <w:r w:rsidRPr="0047650A">
        <w:rPr>
          <w:sz w:val="24"/>
          <w:szCs w:val="24"/>
        </w:rPr>
        <w:t>and secondary education programs for Indian children.  The student transportation system is a major portion of this operation.  During Student Count Week, the last full week of September, BI</w:t>
      </w:r>
      <w:r w:rsidRPr="0047650A" w:rsidR="00921A2B">
        <w:rPr>
          <w:sz w:val="24"/>
          <w:szCs w:val="24"/>
        </w:rPr>
        <w:t>E</w:t>
      </w:r>
      <w:r w:rsidRPr="0047650A">
        <w:rPr>
          <w:sz w:val="24"/>
          <w:szCs w:val="24"/>
        </w:rPr>
        <w:t>-funded schools must report school transportation mileage data.  This information is used to allocate the available transportation funds.  25 CFR 39, Subpart G, lists information that BIE has determined is necessary to make allocations.</w:t>
      </w:r>
      <w:r w:rsidRPr="00775E37">
        <w:rPr>
          <w:sz w:val="24"/>
          <w:szCs w:val="24"/>
        </w:rPr>
        <w:t xml:space="preserve">  </w:t>
      </w:r>
    </w:p>
    <w:p w:rsidR="00496034" w14:paraId="190434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96034" w:rsidRPr="00B06BEA" w14:paraId="517177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2.</w:t>
      </w:r>
      <w:r w:rsidRPr="00B06BEA">
        <w:rPr>
          <w:b/>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496034" w:rsidRPr="00775E37" w14:paraId="08FC55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96034" w:rsidP="00496034" w14:paraId="537ACD41" w14:textId="471E956B">
      <w:pPr>
        <w:ind w:left="360"/>
        <w:rPr>
          <w:sz w:val="24"/>
          <w:szCs w:val="24"/>
        </w:rPr>
      </w:pPr>
      <w:r>
        <w:rPr>
          <w:sz w:val="24"/>
          <w:szCs w:val="24"/>
        </w:rPr>
        <w:t xml:space="preserve">Student Transportation Mileage Forms are collected from </w:t>
      </w:r>
      <w:r w:rsidR="00421F35">
        <w:rPr>
          <w:sz w:val="24"/>
          <w:szCs w:val="24"/>
        </w:rPr>
        <w:t>183</w:t>
      </w:r>
      <w:r w:rsidRPr="00775E37">
        <w:rPr>
          <w:sz w:val="24"/>
          <w:szCs w:val="24"/>
        </w:rPr>
        <w:t xml:space="preserve"> </w:t>
      </w:r>
      <w:r>
        <w:rPr>
          <w:sz w:val="24"/>
          <w:szCs w:val="24"/>
        </w:rPr>
        <w:t xml:space="preserve">schools </w:t>
      </w:r>
      <w:r w:rsidRPr="00775E37">
        <w:rPr>
          <w:sz w:val="24"/>
          <w:szCs w:val="24"/>
        </w:rPr>
        <w:t xml:space="preserve">during </w:t>
      </w:r>
      <w:r>
        <w:rPr>
          <w:sz w:val="24"/>
          <w:szCs w:val="24"/>
        </w:rPr>
        <w:t xml:space="preserve">the annual </w:t>
      </w:r>
      <w:r w:rsidRPr="00775E37">
        <w:rPr>
          <w:sz w:val="24"/>
          <w:szCs w:val="24"/>
        </w:rPr>
        <w:t xml:space="preserve">Student Count Week.  This information is used by BIE to allocate the funds received for student transportation, both on school bus routes and residential student miles.  </w:t>
      </w:r>
    </w:p>
    <w:p w:rsidR="00496034" w:rsidP="00496034" w14:paraId="29211F5D" w14:textId="77777777">
      <w:pPr>
        <w:ind w:left="360"/>
        <w:rPr>
          <w:sz w:val="24"/>
          <w:szCs w:val="24"/>
        </w:rPr>
      </w:pPr>
    </w:p>
    <w:p w:rsidR="00496034" w:rsidRPr="00775E37" w:rsidP="00496034" w14:paraId="76BD0A13" w14:textId="77777777">
      <w:pPr>
        <w:ind w:left="360"/>
        <w:rPr>
          <w:sz w:val="24"/>
          <w:szCs w:val="24"/>
          <w:u w:val="single"/>
        </w:rPr>
      </w:pPr>
      <w:r w:rsidRPr="00775E37">
        <w:rPr>
          <w:sz w:val="24"/>
          <w:szCs w:val="24"/>
          <w:u w:val="single"/>
        </w:rPr>
        <w:t>Student Mileage Form</w:t>
      </w:r>
    </w:p>
    <w:p w:rsidR="00496034" w:rsidP="00496034" w14:paraId="4D386C32" w14:textId="77777777">
      <w:pPr>
        <w:rPr>
          <w:sz w:val="24"/>
          <w:szCs w:val="24"/>
        </w:rPr>
      </w:pPr>
    </w:p>
    <w:p w:rsidR="00496034" w:rsidRPr="00775E37" w:rsidP="00496034" w14:paraId="089B8638" w14:textId="77777777">
      <w:pPr>
        <w:ind w:firstLine="360"/>
        <w:rPr>
          <w:sz w:val="24"/>
          <w:szCs w:val="24"/>
        </w:rPr>
      </w:pPr>
      <w:r w:rsidRPr="00775E37">
        <w:rPr>
          <w:sz w:val="24"/>
          <w:szCs w:val="24"/>
        </w:rPr>
        <w:t>Page</w:t>
      </w:r>
      <w:r>
        <w:rPr>
          <w:sz w:val="24"/>
          <w:szCs w:val="24"/>
        </w:rPr>
        <w:t xml:space="preserve"> one through page three consists of explanations</w:t>
      </w:r>
      <w:r w:rsidRPr="00775E37">
        <w:rPr>
          <w:sz w:val="24"/>
          <w:szCs w:val="24"/>
        </w:rPr>
        <w:t xml:space="preserve"> and instructions.</w:t>
      </w:r>
    </w:p>
    <w:p w:rsidR="00496034" w:rsidRPr="00775E37" w:rsidP="00496034" w14:paraId="5178D3D5" w14:textId="77777777">
      <w:pPr>
        <w:rPr>
          <w:sz w:val="24"/>
          <w:szCs w:val="24"/>
        </w:rPr>
      </w:pPr>
    </w:p>
    <w:p w:rsidR="00496034" w:rsidRPr="00775E37" w:rsidP="00496034" w14:paraId="236362C7" w14:textId="77777777">
      <w:pPr>
        <w:ind w:left="360"/>
        <w:rPr>
          <w:sz w:val="24"/>
          <w:szCs w:val="24"/>
        </w:rPr>
      </w:pPr>
      <w:r>
        <w:rPr>
          <w:sz w:val="24"/>
          <w:szCs w:val="24"/>
        </w:rPr>
        <w:t xml:space="preserve">On page four, the first section </w:t>
      </w:r>
      <w:r w:rsidRPr="00775E37">
        <w:rPr>
          <w:sz w:val="24"/>
          <w:szCs w:val="24"/>
        </w:rPr>
        <w:t>asks for specific entry information for day students:  school name, location code, vehicle identification number</w:t>
      </w:r>
      <w:r>
        <w:rPr>
          <w:sz w:val="24"/>
          <w:szCs w:val="24"/>
        </w:rPr>
        <w:t xml:space="preserve">, vehicle transportation size, and </w:t>
      </w:r>
      <w:r w:rsidRPr="00775E37">
        <w:rPr>
          <w:sz w:val="24"/>
          <w:szCs w:val="24"/>
        </w:rPr>
        <w:t>morning bus routes, Monday through Friday, including numbe</w:t>
      </w:r>
      <w:r>
        <w:rPr>
          <w:sz w:val="24"/>
          <w:szCs w:val="24"/>
        </w:rPr>
        <w:t xml:space="preserve">r of miles. The second section on </w:t>
      </w:r>
      <w:r w:rsidRPr="00775E37">
        <w:rPr>
          <w:sz w:val="24"/>
          <w:szCs w:val="24"/>
        </w:rPr>
        <w:t xml:space="preserve">page four, asks for specific entry information for day students: afternoon/evening bus routes Monday through Friday, including number of miles.  </w:t>
      </w:r>
      <w:r>
        <w:rPr>
          <w:sz w:val="24"/>
          <w:szCs w:val="24"/>
        </w:rPr>
        <w:t xml:space="preserve">A separate sheet must be completed for each bus.  </w:t>
      </w:r>
    </w:p>
    <w:p w:rsidR="00496034" w:rsidRPr="00775E37" w:rsidP="00496034" w14:paraId="36D14250" w14:textId="77777777">
      <w:pPr>
        <w:rPr>
          <w:sz w:val="24"/>
          <w:szCs w:val="24"/>
        </w:rPr>
      </w:pPr>
      <w:r w:rsidRPr="00775E37">
        <w:rPr>
          <w:sz w:val="24"/>
          <w:szCs w:val="24"/>
        </w:rPr>
        <w:t xml:space="preserve"> </w:t>
      </w:r>
    </w:p>
    <w:p w:rsidR="00496034" w:rsidRPr="00775E37" w:rsidP="00496034" w14:paraId="14E9BE9F" w14:textId="34C46CE5">
      <w:pPr>
        <w:ind w:left="360"/>
        <w:rPr>
          <w:sz w:val="24"/>
          <w:szCs w:val="24"/>
        </w:rPr>
      </w:pPr>
      <w:r>
        <w:rPr>
          <w:sz w:val="24"/>
          <w:szCs w:val="24"/>
        </w:rPr>
        <w:t xml:space="preserve">On page five, the first section </w:t>
      </w:r>
      <w:r w:rsidRPr="00775E37">
        <w:rPr>
          <w:sz w:val="24"/>
          <w:szCs w:val="24"/>
        </w:rPr>
        <w:t xml:space="preserve">asks for specific entry </w:t>
      </w:r>
      <w:r>
        <w:rPr>
          <w:sz w:val="24"/>
          <w:szCs w:val="24"/>
        </w:rPr>
        <w:t>information for day student transportation</w:t>
      </w:r>
      <w:r w:rsidRPr="00775E37">
        <w:rPr>
          <w:sz w:val="24"/>
          <w:szCs w:val="24"/>
        </w:rPr>
        <w:t>:</w:t>
      </w:r>
      <w:r>
        <w:rPr>
          <w:sz w:val="24"/>
          <w:szCs w:val="24"/>
        </w:rPr>
        <w:t xml:space="preserve"> school name, </w:t>
      </w:r>
      <w:r w:rsidRPr="00775E37">
        <w:rPr>
          <w:sz w:val="24"/>
          <w:szCs w:val="24"/>
        </w:rPr>
        <w:t>location</w:t>
      </w:r>
      <w:r>
        <w:rPr>
          <w:sz w:val="24"/>
          <w:szCs w:val="24"/>
        </w:rPr>
        <w:t xml:space="preserve"> code</w:t>
      </w:r>
      <w:r w:rsidRPr="00775E37">
        <w:rPr>
          <w:sz w:val="24"/>
          <w:szCs w:val="24"/>
        </w:rPr>
        <w:t>,</w:t>
      </w:r>
      <w:r>
        <w:rPr>
          <w:sz w:val="24"/>
          <w:szCs w:val="24"/>
        </w:rPr>
        <w:t xml:space="preserve"> each vehicle identification number, </w:t>
      </w:r>
      <w:r w:rsidRPr="00775E37">
        <w:rPr>
          <w:sz w:val="24"/>
          <w:szCs w:val="24"/>
        </w:rPr>
        <w:t xml:space="preserve">each </w:t>
      </w:r>
      <w:r w:rsidRPr="00775E37" w:rsidR="00D827C0">
        <w:rPr>
          <w:sz w:val="24"/>
          <w:szCs w:val="24"/>
        </w:rPr>
        <w:t>bus’s</w:t>
      </w:r>
      <w:r w:rsidRPr="00775E37">
        <w:rPr>
          <w:sz w:val="24"/>
          <w:szCs w:val="24"/>
        </w:rPr>
        <w:t xml:space="preserve"> average day’s mileage, road conditions, and total mileage.  The second s</w:t>
      </w:r>
      <w:r>
        <w:rPr>
          <w:sz w:val="24"/>
          <w:szCs w:val="24"/>
        </w:rPr>
        <w:t>ection asks for certification</w:t>
      </w:r>
      <w:r w:rsidRPr="00775E37">
        <w:rPr>
          <w:sz w:val="24"/>
          <w:szCs w:val="24"/>
        </w:rPr>
        <w:t xml:space="preserve"> from the school Principal, and the Education Line Officer. </w:t>
      </w:r>
    </w:p>
    <w:p w:rsidR="00496034" w:rsidRPr="00775E37" w:rsidP="00496034" w14:paraId="66429F25"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p>
    <w:p w:rsidR="00496034" w:rsidRPr="00775E37" w:rsidP="00496034" w14:paraId="24E02FED"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ind w:left="360"/>
        <w:rPr>
          <w:sz w:val="24"/>
          <w:szCs w:val="24"/>
        </w:rPr>
      </w:pPr>
      <w:r>
        <w:rPr>
          <w:sz w:val="24"/>
          <w:szCs w:val="24"/>
        </w:rPr>
        <w:t xml:space="preserve">On page six, the first section </w:t>
      </w:r>
      <w:r w:rsidRPr="00775E37">
        <w:rPr>
          <w:sz w:val="24"/>
          <w:szCs w:val="24"/>
        </w:rPr>
        <w:t xml:space="preserve">asks for specific entry information for boarding/dormitory students: school name, location code, vehicle identification number, average day’s mileage, road conditions, and total mileage.  The second section asks for certification information from the school Principal, and the Education Line Officer. </w:t>
      </w:r>
    </w:p>
    <w:p w:rsidR="00496034" w:rsidRPr="00775E37" w:rsidP="00496034" w14:paraId="479B56A3"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p>
    <w:p w:rsidR="00496034" w:rsidRPr="00775E37" w:rsidP="00496034" w14:paraId="2D5786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On page seven, the first section </w:t>
      </w:r>
      <w:r w:rsidRPr="00775E37">
        <w:rPr>
          <w:sz w:val="24"/>
          <w:szCs w:val="24"/>
        </w:rPr>
        <w:t xml:space="preserve">asks for specific entry information for boarding/dormitory students traveling by charter or commercial bus: beginning and ending points of travel, and cost.  The second section, page seven of the Student Transportation Form asks for specific entry information for boarding/dormitory students traveling by air: student name, grade, beginning and ending points of travel, and one way fare.  The third section asks for certification information from the school Principal, and the Education </w:t>
      </w:r>
      <w:r w:rsidR="00921A2B">
        <w:rPr>
          <w:sz w:val="24"/>
          <w:szCs w:val="24"/>
        </w:rPr>
        <w:t>Resource Center</w:t>
      </w:r>
      <w:r w:rsidRPr="00775E37">
        <w:rPr>
          <w:sz w:val="24"/>
          <w:szCs w:val="24"/>
        </w:rPr>
        <w:t>.</w:t>
      </w:r>
    </w:p>
    <w:p w:rsidR="00496034" w:rsidP="00496034" w14:paraId="11C639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96034" w:rsidRPr="00775E37" w14:paraId="7C9FF9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E37">
        <w:rPr>
          <w:b/>
          <w:sz w:val="24"/>
          <w:szCs w:val="24"/>
        </w:rPr>
        <w:t>3.</w:t>
      </w:r>
      <w:r w:rsidRPr="00775E37">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496034" w14:paraId="2024C8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96034" w:rsidRPr="00917930" w:rsidP="00496034" w14:paraId="3E1E0708" w14:textId="5FE21F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917930">
        <w:rPr>
          <w:sz w:val="24"/>
          <w:szCs w:val="24"/>
        </w:rPr>
        <w:t xml:space="preserve">Data is collected from odometers of individual buses, actual travel tickets, and charter contracts and entered into a web-based system, </w:t>
      </w:r>
      <w:r w:rsidRPr="000E1EEB" w:rsidR="000E1EEB">
        <w:rPr>
          <w:sz w:val="24"/>
          <w:szCs w:val="24"/>
        </w:rPr>
        <w:t>Web Education Transportation (Web ET).</w:t>
      </w:r>
      <w:r w:rsidR="000E1EEB">
        <w:rPr>
          <w:sz w:val="24"/>
          <w:szCs w:val="24"/>
        </w:rPr>
        <w:t xml:space="preserve">  </w:t>
      </w:r>
      <w:r w:rsidRPr="00917930" w:rsidR="00917930">
        <w:rPr>
          <w:sz w:val="24"/>
          <w:szCs w:val="24"/>
        </w:rPr>
        <w:t xml:space="preserve">This web-based system is available at </w:t>
      </w:r>
      <w:hyperlink r:id="rId4" w:tgtFrame="_blank" w:history="1">
        <w:r w:rsidRPr="00917930" w:rsidR="00917930">
          <w:rPr>
            <w:rStyle w:val="Hyperlink"/>
            <w:color w:val="1155CC"/>
            <w:sz w:val="24"/>
            <w:szCs w:val="24"/>
            <w:shd w:val="clear" w:color="auto" w:fill="FFFFFF"/>
          </w:rPr>
          <w:t>https://isep.bie.edu</w:t>
        </w:r>
      </w:hyperlink>
      <w:r w:rsidRPr="00917930" w:rsidR="00917930">
        <w:rPr>
          <w:sz w:val="24"/>
          <w:szCs w:val="24"/>
        </w:rPr>
        <w:t xml:space="preserve"> and requires a username and password.  The web-based system asks the same questions that are on the paper form.</w:t>
      </w:r>
    </w:p>
    <w:p w:rsidR="00496034" w14:paraId="210099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96034" w14:paraId="2F0C69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E37">
        <w:rPr>
          <w:b/>
          <w:sz w:val="24"/>
          <w:szCs w:val="24"/>
        </w:rPr>
        <w:t>4.</w:t>
      </w:r>
      <w:r w:rsidRPr="00775E37">
        <w:rPr>
          <w:b/>
          <w:sz w:val="24"/>
          <w:szCs w:val="24"/>
        </w:rPr>
        <w:tab/>
        <w:t>Describe efforts to identify duplication.  Show specifically why any similar information already available cannot be used or modified for use for the purposes described in Item 2 above.</w:t>
      </w:r>
    </w:p>
    <w:p w:rsidR="00496034" w:rsidP="00496034" w14:paraId="0A283854" w14:textId="77777777">
      <w:pPr>
        <w:tabs>
          <w:tab w:val="left" w:pos="-1440"/>
        </w:tabs>
        <w:rPr>
          <w:sz w:val="24"/>
          <w:szCs w:val="24"/>
        </w:rPr>
      </w:pPr>
    </w:p>
    <w:p w:rsidR="00496034" w:rsidRPr="00D161B5" w:rsidP="00496034" w14:paraId="44059EFF" w14:textId="77777777">
      <w:pPr>
        <w:tabs>
          <w:tab w:val="left" w:pos="-1440"/>
        </w:tabs>
        <w:ind w:left="360"/>
        <w:rPr>
          <w:sz w:val="24"/>
          <w:szCs w:val="24"/>
        </w:rPr>
      </w:pPr>
      <w:r w:rsidRPr="00D161B5">
        <w:rPr>
          <w:sz w:val="24"/>
          <w:szCs w:val="24"/>
        </w:rPr>
        <w:t xml:space="preserve">The data is used solely for the distribution of transportation funds </w:t>
      </w:r>
      <w:r w:rsidRPr="0047650A">
        <w:rPr>
          <w:sz w:val="24"/>
          <w:szCs w:val="24"/>
        </w:rPr>
        <w:t>to BI</w:t>
      </w:r>
      <w:r w:rsidRPr="0047650A" w:rsidR="00921A2B">
        <w:rPr>
          <w:sz w:val="24"/>
          <w:szCs w:val="24"/>
        </w:rPr>
        <w:t>E</w:t>
      </w:r>
      <w:r w:rsidRPr="00D161B5">
        <w:rPr>
          <w:sz w:val="24"/>
          <w:szCs w:val="24"/>
        </w:rPr>
        <w:t xml:space="preserve"> funded schools.  No other governmental entity collects this information and no similar information is collected at any level.</w:t>
      </w:r>
    </w:p>
    <w:p w:rsidR="00496034" w14:paraId="26B164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96034" w:rsidRPr="00775E37" w14:paraId="7E5AB7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E37">
        <w:rPr>
          <w:b/>
          <w:sz w:val="24"/>
          <w:szCs w:val="24"/>
        </w:rPr>
        <w:t>5.</w:t>
      </w:r>
      <w:r w:rsidRPr="00775E37">
        <w:rPr>
          <w:b/>
          <w:sz w:val="24"/>
          <w:szCs w:val="24"/>
        </w:rPr>
        <w:tab/>
        <w:t>If the collection of information impacts small businesses or other small entities, describe any methods used to minimize burden.</w:t>
      </w:r>
    </w:p>
    <w:p w:rsidR="00496034" w14:paraId="79454D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96034" w:rsidRPr="00D161B5" w:rsidP="00496034" w14:paraId="72B91A4D" w14:textId="77777777">
      <w:pPr>
        <w:tabs>
          <w:tab w:val="left" w:pos="-1440"/>
        </w:tabs>
        <w:ind w:left="360"/>
        <w:rPr>
          <w:sz w:val="24"/>
          <w:szCs w:val="24"/>
        </w:rPr>
      </w:pPr>
      <w:r w:rsidRPr="00D161B5">
        <w:rPr>
          <w:sz w:val="24"/>
          <w:szCs w:val="24"/>
        </w:rPr>
        <w:t>This collection effort does not adv</w:t>
      </w:r>
      <w:r>
        <w:rPr>
          <w:sz w:val="24"/>
          <w:szCs w:val="24"/>
        </w:rPr>
        <w:t xml:space="preserve">ersely affect small businesses </w:t>
      </w:r>
      <w:r w:rsidRPr="00D161B5">
        <w:rPr>
          <w:sz w:val="24"/>
          <w:szCs w:val="24"/>
        </w:rPr>
        <w:t>or other small entities.</w:t>
      </w:r>
    </w:p>
    <w:p w:rsidR="00496034" w14:paraId="423300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96034" w:rsidRPr="00775E37" w14:paraId="39B913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E37">
        <w:rPr>
          <w:b/>
          <w:sz w:val="24"/>
          <w:szCs w:val="24"/>
        </w:rPr>
        <w:t>6.</w:t>
      </w:r>
      <w:r w:rsidRPr="00775E37">
        <w:rPr>
          <w:b/>
          <w:sz w:val="24"/>
          <w:szCs w:val="24"/>
        </w:rPr>
        <w:tab/>
        <w:t>Describe the consequence to Federal program or policy activities if the collection is not conducted or is conducted less frequently, as well as any technical or legal obstacles to reducing burden.</w:t>
      </w:r>
    </w:p>
    <w:p w:rsidR="00496034" w14:paraId="0C3A1E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96034" w:rsidP="00496034" w14:paraId="2CA0C759"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775E37">
        <w:rPr>
          <w:sz w:val="24"/>
          <w:szCs w:val="24"/>
        </w:rPr>
        <w:t>Without t</w:t>
      </w:r>
      <w:r>
        <w:rPr>
          <w:sz w:val="24"/>
          <w:szCs w:val="24"/>
        </w:rPr>
        <w:t xml:space="preserve">he total mileage data, BIE would not be able to determine the per mile rate used to distribute the funds </w:t>
      </w:r>
      <w:r w:rsidRPr="00775E37">
        <w:rPr>
          <w:sz w:val="24"/>
          <w:szCs w:val="24"/>
        </w:rPr>
        <w:t>equitably in accordance with regulation</w:t>
      </w:r>
      <w:r>
        <w:rPr>
          <w:sz w:val="24"/>
          <w:szCs w:val="24"/>
        </w:rPr>
        <w:t>, which will ultimately adversely impact students who rely on transportation funds to attend school</w:t>
      </w:r>
      <w:r w:rsidRPr="00775E37">
        <w:rPr>
          <w:sz w:val="24"/>
          <w:szCs w:val="24"/>
        </w:rPr>
        <w:t xml:space="preserve">. </w:t>
      </w:r>
      <w:r>
        <w:rPr>
          <w:sz w:val="24"/>
          <w:szCs w:val="24"/>
        </w:rPr>
        <w:t xml:space="preserve"> </w:t>
      </w:r>
    </w:p>
    <w:p w:rsidR="00496034" w14:paraId="2F0C72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96034" w:rsidRPr="00B06BEA" w14:paraId="0B8808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7.</w:t>
      </w:r>
      <w:r w:rsidRPr="00B06BEA">
        <w:rPr>
          <w:b/>
          <w:sz w:val="24"/>
          <w:szCs w:val="24"/>
        </w:rPr>
        <w:tab/>
        <w:t>Explain any special circumstances that would cause an information collection to be conducted in a manner:</w:t>
      </w:r>
    </w:p>
    <w:p w:rsidR="00496034" w:rsidRPr="00B06BEA" w14:paraId="7CA985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report information to the agency more often than quarterly;</w:t>
      </w:r>
    </w:p>
    <w:p w:rsidR="00496034" w:rsidRPr="00B06BEA" w14:paraId="0E70BB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prepare a written response to a collection of information in fewer than 30 days after receipt of it;</w:t>
      </w:r>
    </w:p>
    <w:p w:rsidR="00496034" w:rsidRPr="00B06BEA" w14:paraId="15CF74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submit more than an original and two copies of any document;</w:t>
      </w:r>
    </w:p>
    <w:p w:rsidR="00496034" w:rsidRPr="00B06BEA" w14:paraId="52C012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retain records, other than health, medical, government contract, grant-in-aid, or tax records, for more than three years;</w:t>
      </w:r>
    </w:p>
    <w:p w:rsidR="00496034" w:rsidRPr="00B06BEA" w14:paraId="2D9BE7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in connection with a statistical survey that is not designed to produce valid and reliable results that can be generalized to the universe of study;</w:t>
      </w:r>
    </w:p>
    <w:p w:rsidR="00496034" w:rsidRPr="00B06BEA" w14:paraId="50FBCA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the use of a statistical data classification that has not been reviewed and approved by OMB;</w:t>
      </w:r>
    </w:p>
    <w:p w:rsidR="00496034" w:rsidRPr="00B06BEA" w14:paraId="668F60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6034" w:rsidRPr="00B06BEA" w14:paraId="2576CF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496034" w:rsidP="00496034" w14:paraId="5A02F4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96034" w:rsidP="00496034" w14:paraId="3E6344E1" w14:textId="7777777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6F2591">
        <w:rPr>
          <w:sz w:val="24"/>
          <w:szCs w:val="24"/>
        </w:rPr>
        <w:t>There are no special circumstances th</w:t>
      </w:r>
      <w:r>
        <w:rPr>
          <w:sz w:val="24"/>
          <w:szCs w:val="24"/>
        </w:rPr>
        <w:t>at will apply to this collection</w:t>
      </w:r>
      <w:r w:rsidRPr="006F2591">
        <w:rPr>
          <w:sz w:val="24"/>
          <w:szCs w:val="24"/>
        </w:rPr>
        <w:t xml:space="preserve">.  </w:t>
      </w:r>
    </w:p>
    <w:p w:rsidR="00496034" w:rsidRPr="006F2591" w:rsidP="00496034" w14:paraId="01563ED7"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3366FF"/>
          <w:sz w:val="24"/>
          <w:szCs w:val="24"/>
        </w:rPr>
      </w:pPr>
    </w:p>
    <w:p w:rsidR="00496034" w:rsidRPr="00B06BEA" w14:paraId="64B55C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8.</w:t>
      </w:r>
      <w:r w:rsidRPr="00B06BEA">
        <w:rPr>
          <w:b/>
          <w:sz w:val="24"/>
          <w:szCs w:val="24"/>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w:t>
      </w:r>
      <w:r w:rsidRPr="00B06BEA">
        <w:rPr>
          <w:b/>
          <w:sz w:val="24"/>
          <w:szCs w:val="24"/>
        </w:rPr>
        <w:t>statement associated with the collection over the past three years, and describe actions taken by the agency in response to these comments.  Specifically address comments received on cost and hour burden.</w:t>
      </w:r>
    </w:p>
    <w:p w:rsidR="00496034" w14:paraId="1C9A37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C139E4" w:rsidRPr="00B06BEA" w14:paraId="475A51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96034" w14:paraId="480CD2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06BEA">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96034" w:rsidRPr="00B06BEA" w14:paraId="2EFC74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96034" w14:paraId="261D5A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06BEA">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A7775A" w14:paraId="4F3103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rsidR="00204461" w:rsidP="00204461" w14:paraId="51A1B3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C139E4">
        <w:rPr>
          <w:sz w:val="24"/>
          <w:szCs w:val="24"/>
        </w:rPr>
        <w:t xml:space="preserve">A 60-day notice for public comments was published in the Federal Register on </w:t>
      </w:r>
      <w:r w:rsidRPr="00204461">
        <w:rPr>
          <w:sz w:val="24"/>
          <w:szCs w:val="24"/>
        </w:rPr>
        <w:t>June 21, 2024 (89 FR 52076</w:t>
      </w:r>
      <w:r w:rsidRPr="00C139E4">
        <w:rPr>
          <w:sz w:val="24"/>
          <w:szCs w:val="24"/>
        </w:rPr>
        <w:t>).  There were no comments received in response to this notice.</w:t>
      </w:r>
    </w:p>
    <w:p w:rsidR="00204461" w:rsidP="00204461" w14:paraId="13E55E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496034" w:rsidP="00CE38AD" w14:paraId="03E926B8" w14:textId="25C76066">
      <w:pPr>
        <w:ind w:left="360"/>
        <w:rPr>
          <w:sz w:val="24"/>
          <w:szCs w:val="24"/>
        </w:rPr>
      </w:pPr>
      <w:r>
        <w:rPr>
          <w:sz w:val="24"/>
          <w:szCs w:val="24"/>
        </w:rPr>
        <w:t>In addition, we directly</w:t>
      </w:r>
      <w:r w:rsidRPr="00CE38AD" w:rsidR="00902C8C">
        <w:rPr>
          <w:sz w:val="24"/>
          <w:szCs w:val="24"/>
        </w:rPr>
        <w:t xml:space="preserve"> contacted 9 users in an effort to obtain feedback on the collection.  </w:t>
      </w:r>
      <w:r w:rsidR="00204461">
        <w:rPr>
          <w:sz w:val="24"/>
          <w:szCs w:val="24"/>
        </w:rPr>
        <w:t>We received responses from all 9 u</w:t>
      </w:r>
      <w:r w:rsidRPr="00CE38AD" w:rsidR="00902C8C">
        <w:rPr>
          <w:sz w:val="24"/>
          <w:szCs w:val="24"/>
        </w:rPr>
        <w:t>sers indicat</w:t>
      </w:r>
      <w:r w:rsidR="00204461">
        <w:rPr>
          <w:sz w:val="24"/>
          <w:szCs w:val="24"/>
        </w:rPr>
        <w:t xml:space="preserve">ing </w:t>
      </w:r>
      <w:r w:rsidRPr="00CE38AD" w:rsidR="00902C8C">
        <w:rPr>
          <w:sz w:val="24"/>
          <w:szCs w:val="24"/>
        </w:rPr>
        <w:t>the information requested is relevant and practical; and the burden estimate is reasonable.</w:t>
      </w:r>
    </w:p>
    <w:p w:rsidR="00CE38AD" w14:paraId="75A20C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496034" w14:paraId="227F12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9.</w:t>
      </w:r>
      <w:r w:rsidRPr="00B06BEA">
        <w:rPr>
          <w:b/>
          <w:sz w:val="24"/>
          <w:szCs w:val="24"/>
        </w:rPr>
        <w:tab/>
        <w:t>Explain any decision to provide any payment or gift to respondents, other than remuneration of contractors or grantees.</w:t>
      </w:r>
    </w:p>
    <w:p w:rsidR="00496034" w14:paraId="7FEAE3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sz w:val="24"/>
          <w:szCs w:val="24"/>
        </w:rPr>
      </w:pPr>
    </w:p>
    <w:p w:rsidR="00496034" w:rsidRPr="00027C45" w:rsidP="00496034" w14:paraId="71167651" w14:textId="77777777">
      <w:pPr>
        <w:ind w:left="360"/>
        <w:rPr>
          <w:sz w:val="24"/>
          <w:szCs w:val="24"/>
        </w:rPr>
      </w:pPr>
      <w:r w:rsidRPr="00027C45">
        <w:rPr>
          <w:sz w:val="24"/>
          <w:szCs w:val="24"/>
        </w:rPr>
        <w:t xml:space="preserve">Respondents will not receive any payment, gift, or other remuneration for providing the information collection requirements. </w:t>
      </w:r>
    </w:p>
    <w:p w:rsidR="00496034" w:rsidRPr="00B06BEA" w14:paraId="05C5EB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96034" w:rsidRPr="00B06BEA" w14:paraId="14EC35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10.</w:t>
      </w:r>
      <w:r w:rsidRPr="00B06BEA">
        <w:rPr>
          <w:b/>
          <w:sz w:val="24"/>
          <w:szCs w:val="24"/>
        </w:rPr>
        <w:tab/>
        <w:t>Describe any assurance of confidentiality provided to respondents and the basis for the assurance in statute, regulation, or agency policy.</w:t>
      </w:r>
    </w:p>
    <w:p w:rsidR="00496034" w14:paraId="44C3F5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496034" w:rsidRPr="00D161B5" w:rsidP="00496034" w14:paraId="2CA65A0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D161B5">
        <w:rPr>
          <w:sz w:val="24"/>
          <w:szCs w:val="24"/>
        </w:rPr>
        <w:t>The data collected is not of a confidential nature.  Therefore, no assurances are necessary.</w:t>
      </w:r>
    </w:p>
    <w:p w:rsidR="00496034" w:rsidRPr="00B06BEA" w14:paraId="04D863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496034" w14:paraId="7C7BB3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11.</w:t>
      </w:r>
      <w:r w:rsidRPr="00B06BEA">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96034" w14:paraId="30B296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96034" w:rsidP="00496034" w14:paraId="4E432760"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027C45">
        <w:rPr>
          <w:bCs/>
          <w:sz w:val="24"/>
          <w:szCs w:val="24"/>
        </w:rPr>
        <w:t>We do not request any information of sensitive nature.</w:t>
      </w:r>
    </w:p>
    <w:p w:rsidR="00496034" w:rsidRPr="00B06BEA" w14:paraId="014A67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96034" w:rsidRPr="00B06BEA" w14:paraId="1E5FCA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12.</w:t>
      </w:r>
      <w:r w:rsidRPr="00B06BEA">
        <w:rPr>
          <w:b/>
          <w:sz w:val="24"/>
          <w:szCs w:val="24"/>
        </w:rPr>
        <w:tab/>
        <w:t>Provide estimates of the hour burden of the collection of information.  The statement should:</w:t>
      </w:r>
    </w:p>
    <w:p w:rsidR="00496034" w:rsidRPr="00B06BEA" w14:paraId="5BE15D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 xml:space="preserve">Indicate the number of respondents, frequency of response, annual hour burden, </w:t>
      </w:r>
      <w:r w:rsidRPr="00B06BEA">
        <w:rPr>
          <w:b/>
          <w:sz w:val="24"/>
          <w:szCs w:val="24"/>
        </w:rPr>
        <w:t>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96034" w:rsidRPr="00B06BEA" w14:paraId="6FCE73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If this request for approval covers more than one form, provide separate hour burden estimates for each form and aggregate the hour burdens.</w:t>
      </w:r>
    </w:p>
    <w:p w:rsidR="00496034" w:rsidRPr="00B06BEA" w14:paraId="5E3F45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496034" w14:paraId="3C6BF1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96034" w:rsidP="00496034" w14:paraId="141F238A" w14:textId="12C5B53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0D2D59">
        <w:rPr>
          <w:bCs/>
          <w:sz w:val="24"/>
          <w:szCs w:val="24"/>
        </w:rPr>
        <w:t>Annual reporting and record keeping for this collection of information is estimated to average 2 hours for approximately 183 respondents, annually.  This estimate includes the time to gather, input, certify, and review information.  Therefore, the total annual estimated burden is 366 hours or equiv</w:t>
      </w:r>
      <w:r w:rsidRPr="000D2D59" w:rsidR="005A4823">
        <w:rPr>
          <w:bCs/>
          <w:sz w:val="24"/>
          <w:szCs w:val="24"/>
        </w:rPr>
        <w:t xml:space="preserve">alent to </w:t>
      </w:r>
      <w:r w:rsidRPr="002139D8" w:rsidR="002139D8">
        <w:rPr>
          <w:b/>
          <w:sz w:val="24"/>
          <w:szCs w:val="24"/>
        </w:rPr>
        <w:t>$17,143</w:t>
      </w:r>
      <w:r w:rsidRPr="00147237">
        <w:rPr>
          <w:b/>
          <w:sz w:val="24"/>
          <w:szCs w:val="24"/>
        </w:rPr>
        <w:t>.</w:t>
      </w:r>
      <w:r w:rsidRPr="000D2D59">
        <w:rPr>
          <w:bCs/>
          <w:sz w:val="24"/>
          <w:szCs w:val="24"/>
        </w:rPr>
        <w:t xml:space="preserve">  </w:t>
      </w:r>
    </w:p>
    <w:p w:rsidR="003F4C1A" w:rsidP="00496034" w14:paraId="75A80C86"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3F4C1A" w:rsidRPr="006339B8" w:rsidP="003F4C1A" w14:paraId="1F8BBC07" w14:textId="5C470E6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6339B8">
        <w:rPr>
          <w:sz w:val="24"/>
          <w:szCs w:val="24"/>
        </w:rPr>
        <w:t xml:space="preserve">To obtain the hourly rate, </w:t>
      </w:r>
      <w:r>
        <w:rPr>
          <w:sz w:val="24"/>
          <w:szCs w:val="24"/>
        </w:rPr>
        <w:t>BIE</w:t>
      </w:r>
      <w:r w:rsidRPr="006339B8">
        <w:rPr>
          <w:sz w:val="24"/>
          <w:szCs w:val="24"/>
        </w:rPr>
        <w:t xml:space="preserve"> used $4</w:t>
      </w:r>
      <w:r w:rsidR="00E13A77">
        <w:rPr>
          <w:sz w:val="24"/>
          <w:szCs w:val="24"/>
        </w:rPr>
        <w:t>8.84</w:t>
      </w:r>
      <w:r w:rsidRPr="006339B8">
        <w:rPr>
          <w:sz w:val="24"/>
          <w:szCs w:val="24"/>
        </w:rPr>
        <w:t xml:space="preserve">, the wages and salaries including benefits figure for civilian </w:t>
      </w:r>
      <w:r w:rsidRPr="003F4C1A">
        <w:rPr>
          <w:bCs/>
          <w:sz w:val="24"/>
          <w:szCs w:val="24"/>
        </w:rPr>
        <w:t>workers</w:t>
      </w:r>
      <w:r w:rsidRPr="006339B8">
        <w:rPr>
          <w:sz w:val="24"/>
          <w:szCs w:val="24"/>
        </w:rPr>
        <w:t xml:space="preserve"> from BLS Release </w:t>
      </w:r>
      <w:r w:rsidRPr="00CE01CC" w:rsidR="00CE01CC">
        <w:rPr>
          <w:sz w:val="24"/>
          <w:szCs w:val="24"/>
        </w:rPr>
        <w:t>USDL-24-2561</w:t>
      </w:r>
      <w:r w:rsidRPr="006339B8">
        <w:rPr>
          <w:sz w:val="24"/>
          <w:szCs w:val="24"/>
        </w:rPr>
        <w:t>, Employer Costs for Employee Compensation—</w:t>
      </w:r>
      <w:r w:rsidR="00E13A77">
        <w:rPr>
          <w:sz w:val="24"/>
          <w:szCs w:val="24"/>
        </w:rPr>
        <w:t>September</w:t>
      </w:r>
      <w:r w:rsidRPr="006339B8">
        <w:rPr>
          <w:sz w:val="24"/>
          <w:szCs w:val="24"/>
        </w:rPr>
        <w:t xml:space="preserve"> 202</w:t>
      </w:r>
      <w:r w:rsidR="00E13A77">
        <w:rPr>
          <w:sz w:val="24"/>
          <w:szCs w:val="24"/>
        </w:rPr>
        <w:t>4</w:t>
      </w:r>
      <w:r w:rsidRPr="006339B8">
        <w:rPr>
          <w:sz w:val="24"/>
          <w:szCs w:val="24"/>
        </w:rPr>
        <w:t xml:space="preserve">, Table 2. Civilian workers, at https://www.bls.gov/news.release/pdf/ecec.pdf.  This wage includes a multiplier for benefits.  </w:t>
      </w:r>
    </w:p>
    <w:p w:rsidR="003F4C1A" w:rsidRPr="000D2D59" w:rsidP="00496034" w14:paraId="4285BC0B"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496034" w:rsidP="00496034" w14:paraId="54ED7C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highlight w:val="yellow"/>
        </w:rPr>
      </w:pPr>
    </w:p>
    <w:tbl>
      <w:tblPr>
        <w:tblW w:w="8905"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6"/>
        <w:gridCol w:w="1306"/>
        <w:gridCol w:w="1394"/>
        <w:gridCol w:w="1223"/>
        <w:gridCol w:w="1092"/>
        <w:gridCol w:w="1172"/>
        <w:gridCol w:w="1122"/>
      </w:tblGrid>
      <w:tr w14:paraId="04263A15" w14:textId="77777777" w:rsidTr="005A7FCF">
        <w:tblPrEx>
          <w:tblW w:w="8905"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710" w:type="dxa"/>
          </w:tcPr>
          <w:p w:rsidR="003F4C1A" w:rsidRPr="009104D8" w:rsidP="003007EC" w14:paraId="42C5BD20" w14:textId="77777777">
            <w:pPr>
              <w:tabs>
                <w:tab w:val="left" w:pos="-1080"/>
                <w:tab w:val="left" w:pos="-720"/>
                <w:tab w:val="left" w:pos="360"/>
                <w:tab w:val="left" w:pos="720"/>
              </w:tabs>
              <w:jc w:val="center"/>
              <w:rPr>
                <w:b/>
              </w:rPr>
            </w:pPr>
            <w:r>
              <w:rPr>
                <w:b/>
              </w:rPr>
              <w:t>IC element</w:t>
            </w:r>
          </w:p>
        </w:tc>
        <w:tc>
          <w:tcPr>
            <w:tcW w:w="990" w:type="dxa"/>
          </w:tcPr>
          <w:p w:rsidR="003F4C1A" w:rsidP="003007EC" w14:paraId="36F55E33" w14:textId="77777777">
            <w:pPr>
              <w:tabs>
                <w:tab w:val="left" w:pos="-1080"/>
                <w:tab w:val="left" w:pos="-720"/>
                <w:tab w:val="left" w:pos="360"/>
                <w:tab w:val="left" w:pos="720"/>
              </w:tabs>
              <w:jc w:val="center"/>
              <w:rPr>
                <w:b/>
              </w:rPr>
            </w:pPr>
            <w:r w:rsidRPr="009104D8">
              <w:rPr>
                <w:b/>
              </w:rPr>
              <w:t>Respondents</w:t>
            </w:r>
          </w:p>
          <w:p w:rsidR="003F4C1A" w:rsidRPr="009104D8" w:rsidP="003007EC" w14:paraId="7E2BA1BE" w14:textId="77777777">
            <w:pPr>
              <w:tabs>
                <w:tab w:val="left" w:pos="-1080"/>
                <w:tab w:val="left" w:pos="-720"/>
                <w:tab w:val="left" w:pos="360"/>
                <w:tab w:val="left" w:pos="720"/>
              </w:tabs>
              <w:jc w:val="center"/>
              <w:rPr>
                <w:b/>
              </w:rPr>
            </w:pPr>
            <w:r>
              <w:rPr>
                <w:b/>
              </w:rPr>
              <w:t>(Annually)</w:t>
            </w:r>
          </w:p>
        </w:tc>
        <w:tc>
          <w:tcPr>
            <w:tcW w:w="1440" w:type="dxa"/>
          </w:tcPr>
          <w:p w:rsidR="003F4C1A" w:rsidP="003007EC" w14:paraId="6AE8E058" w14:textId="77777777">
            <w:pPr>
              <w:tabs>
                <w:tab w:val="left" w:pos="-1080"/>
                <w:tab w:val="left" w:pos="-720"/>
                <w:tab w:val="left" w:pos="360"/>
                <w:tab w:val="left" w:pos="720"/>
              </w:tabs>
              <w:jc w:val="center"/>
              <w:rPr>
                <w:b/>
              </w:rPr>
            </w:pPr>
            <w:r w:rsidRPr="009104D8">
              <w:rPr>
                <w:b/>
              </w:rPr>
              <w:t>Frequency of Response</w:t>
            </w:r>
          </w:p>
          <w:p w:rsidR="003F4C1A" w:rsidRPr="009104D8" w:rsidP="003007EC" w14:paraId="02F38696" w14:textId="77777777">
            <w:pPr>
              <w:tabs>
                <w:tab w:val="left" w:pos="-1080"/>
                <w:tab w:val="left" w:pos="-720"/>
                <w:tab w:val="left" w:pos="360"/>
                <w:tab w:val="left" w:pos="720"/>
              </w:tabs>
              <w:jc w:val="center"/>
              <w:rPr>
                <w:b/>
              </w:rPr>
            </w:pPr>
            <w:r>
              <w:rPr>
                <w:b/>
              </w:rPr>
              <w:t>(Annually)</w:t>
            </w:r>
          </w:p>
        </w:tc>
        <w:tc>
          <w:tcPr>
            <w:tcW w:w="1260" w:type="dxa"/>
          </w:tcPr>
          <w:p w:rsidR="003F4C1A" w:rsidRPr="009104D8" w:rsidP="003007EC" w14:paraId="537ECA49" w14:textId="77777777">
            <w:pPr>
              <w:tabs>
                <w:tab w:val="left" w:pos="-1080"/>
                <w:tab w:val="left" w:pos="-720"/>
                <w:tab w:val="left" w:pos="360"/>
                <w:tab w:val="left" w:pos="720"/>
              </w:tabs>
              <w:jc w:val="center"/>
              <w:rPr>
                <w:b/>
              </w:rPr>
            </w:pPr>
            <w:r w:rsidRPr="009104D8">
              <w:rPr>
                <w:b/>
              </w:rPr>
              <w:t>Time per Respons</w:t>
            </w:r>
            <w:r>
              <w:rPr>
                <w:b/>
              </w:rPr>
              <w:t>e (Hours)</w:t>
            </w:r>
          </w:p>
        </w:tc>
        <w:tc>
          <w:tcPr>
            <w:tcW w:w="1129" w:type="dxa"/>
          </w:tcPr>
          <w:p w:rsidR="003F4C1A" w:rsidRPr="009104D8" w:rsidP="003007EC" w14:paraId="4223294A" w14:textId="77777777">
            <w:pPr>
              <w:tabs>
                <w:tab w:val="left" w:pos="-1080"/>
                <w:tab w:val="left" w:pos="-720"/>
                <w:tab w:val="left" w:pos="360"/>
                <w:tab w:val="left" w:pos="720"/>
              </w:tabs>
              <w:jc w:val="center"/>
              <w:rPr>
                <w:b/>
              </w:rPr>
            </w:pPr>
            <w:r w:rsidRPr="009104D8">
              <w:rPr>
                <w:b/>
              </w:rPr>
              <w:t xml:space="preserve">Total Burden </w:t>
            </w:r>
            <w:r>
              <w:rPr>
                <w:b/>
              </w:rPr>
              <w:t>(</w:t>
            </w:r>
            <w:r w:rsidRPr="009104D8">
              <w:rPr>
                <w:b/>
              </w:rPr>
              <w:t>Hours</w:t>
            </w:r>
            <w:r>
              <w:rPr>
                <w:b/>
              </w:rPr>
              <w:t>)</w:t>
            </w:r>
          </w:p>
        </w:tc>
        <w:tc>
          <w:tcPr>
            <w:tcW w:w="1208" w:type="dxa"/>
          </w:tcPr>
          <w:p w:rsidR="003F4C1A" w:rsidP="003007EC" w14:paraId="59F3D366" w14:textId="77777777">
            <w:pPr>
              <w:tabs>
                <w:tab w:val="left" w:pos="-1080"/>
                <w:tab w:val="left" w:pos="-720"/>
                <w:tab w:val="left" w:pos="360"/>
                <w:tab w:val="left" w:pos="720"/>
              </w:tabs>
              <w:jc w:val="center"/>
              <w:rPr>
                <w:b/>
              </w:rPr>
            </w:pPr>
            <w:r w:rsidRPr="009104D8">
              <w:rPr>
                <w:b/>
              </w:rPr>
              <w:t>Hourly Rate</w:t>
            </w:r>
          </w:p>
          <w:p w:rsidR="003F4C1A" w:rsidRPr="009104D8" w:rsidP="003007EC" w14:paraId="7A01CFE2" w14:textId="77777777">
            <w:pPr>
              <w:tabs>
                <w:tab w:val="left" w:pos="-1080"/>
                <w:tab w:val="left" w:pos="-720"/>
                <w:tab w:val="left" w:pos="360"/>
                <w:tab w:val="left" w:pos="720"/>
              </w:tabs>
              <w:jc w:val="center"/>
              <w:rPr>
                <w:b/>
              </w:rPr>
            </w:pPr>
            <w:r>
              <w:rPr>
                <w:b/>
              </w:rPr>
              <w:t>(Dollars)</w:t>
            </w:r>
          </w:p>
        </w:tc>
        <w:tc>
          <w:tcPr>
            <w:tcW w:w="1168" w:type="dxa"/>
          </w:tcPr>
          <w:p w:rsidR="003F4C1A" w:rsidRPr="009104D8" w:rsidP="003007EC" w14:paraId="32911D85" w14:textId="77777777">
            <w:pPr>
              <w:tabs>
                <w:tab w:val="left" w:pos="-1080"/>
                <w:tab w:val="left" w:pos="-720"/>
                <w:tab w:val="left" w:pos="360"/>
                <w:tab w:val="left" w:pos="720"/>
              </w:tabs>
              <w:jc w:val="center"/>
              <w:rPr>
                <w:b/>
              </w:rPr>
            </w:pPr>
            <w:r>
              <w:rPr>
                <w:b/>
              </w:rPr>
              <w:t>Sub T</w:t>
            </w:r>
            <w:r w:rsidRPr="009104D8">
              <w:rPr>
                <w:b/>
              </w:rPr>
              <w:t>otal</w:t>
            </w:r>
          </w:p>
        </w:tc>
      </w:tr>
      <w:tr w14:paraId="7A4DE8A1" w14:textId="77777777" w:rsidTr="005A7FCF">
        <w:tblPrEx>
          <w:tblW w:w="8905" w:type="dxa"/>
          <w:tblInd w:w="445" w:type="dxa"/>
          <w:tblLook w:val="01E0"/>
        </w:tblPrEx>
        <w:trPr>
          <w:trHeight w:val="350"/>
        </w:trPr>
        <w:tc>
          <w:tcPr>
            <w:tcW w:w="1710" w:type="dxa"/>
          </w:tcPr>
          <w:p w:rsidR="003F4C1A" w:rsidRPr="009104D8" w:rsidP="003007EC" w14:paraId="498EE509" w14:textId="737F536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3F4C1A">
              <w:rPr>
                <w:bCs/>
              </w:rPr>
              <w:t>Annual reporting</w:t>
            </w:r>
          </w:p>
        </w:tc>
        <w:tc>
          <w:tcPr>
            <w:tcW w:w="990" w:type="dxa"/>
          </w:tcPr>
          <w:p w:rsidR="003F4C1A" w:rsidRPr="009104D8" w:rsidP="003007EC" w14:paraId="09F566F6" w14:textId="5B0581D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183</w:t>
            </w:r>
          </w:p>
        </w:tc>
        <w:tc>
          <w:tcPr>
            <w:tcW w:w="1440" w:type="dxa"/>
          </w:tcPr>
          <w:p w:rsidR="003F4C1A" w:rsidRPr="009104D8" w:rsidP="003007EC" w14:paraId="267B92EE" w14:textId="597A4D6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1</w:t>
            </w:r>
          </w:p>
        </w:tc>
        <w:tc>
          <w:tcPr>
            <w:tcW w:w="1260" w:type="dxa"/>
          </w:tcPr>
          <w:p w:rsidR="003F4C1A" w:rsidRPr="009104D8" w:rsidP="003007EC" w14:paraId="6DC08AB3" w14:textId="4B49AF0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2</w:t>
            </w:r>
          </w:p>
        </w:tc>
        <w:tc>
          <w:tcPr>
            <w:tcW w:w="1129" w:type="dxa"/>
          </w:tcPr>
          <w:p w:rsidR="003F4C1A" w:rsidRPr="009104D8" w:rsidP="003007EC" w14:paraId="0E95F7DB" w14:textId="0651D3F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366</w:t>
            </w:r>
          </w:p>
        </w:tc>
        <w:tc>
          <w:tcPr>
            <w:tcW w:w="1208" w:type="dxa"/>
          </w:tcPr>
          <w:p w:rsidR="003F4C1A" w:rsidRPr="009104D8" w:rsidP="003007EC" w14:paraId="2A5245BB" w14:textId="6503D6D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0904E2">
              <w:rPr>
                <w:bCs/>
              </w:rPr>
              <w:t>$</w:t>
            </w:r>
            <w:r w:rsidRPr="00042FF5">
              <w:rPr>
                <w:bCs/>
              </w:rPr>
              <w:t>4</w:t>
            </w:r>
            <w:r w:rsidR="003F1D04">
              <w:rPr>
                <w:bCs/>
              </w:rPr>
              <w:t>6.8</w:t>
            </w:r>
            <w:r w:rsidR="00CE01CC">
              <w:rPr>
                <w:bCs/>
              </w:rPr>
              <w:t>4</w:t>
            </w:r>
          </w:p>
        </w:tc>
        <w:tc>
          <w:tcPr>
            <w:tcW w:w="1168" w:type="dxa"/>
          </w:tcPr>
          <w:p w:rsidR="003F4C1A" w:rsidRPr="009104D8" w:rsidP="003007EC" w14:paraId="3149E11D" w14:textId="6FA22C4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139D8">
              <w:t>$17,143</w:t>
            </w:r>
          </w:p>
        </w:tc>
      </w:tr>
      <w:tr w14:paraId="62C165DD" w14:textId="77777777" w:rsidTr="005A7FCF">
        <w:tblPrEx>
          <w:tblW w:w="8905" w:type="dxa"/>
          <w:tblInd w:w="445" w:type="dxa"/>
          <w:tblLook w:val="01E0"/>
        </w:tblPrEx>
        <w:trPr>
          <w:trHeight w:val="350"/>
        </w:trPr>
        <w:tc>
          <w:tcPr>
            <w:tcW w:w="1710" w:type="dxa"/>
            <w:shd w:val="clear" w:color="auto" w:fill="99FF99"/>
          </w:tcPr>
          <w:p w:rsidR="003F4C1A" w:rsidRPr="009104D8" w:rsidP="003007EC" w14:paraId="19E2533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E547CB">
              <w:rPr>
                <w:b/>
                <w:color w:val="000000" w:themeColor="text1"/>
              </w:rPr>
              <w:t>TOTAL</w:t>
            </w:r>
          </w:p>
        </w:tc>
        <w:tc>
          <w:tcPr>
            <w:tcW w:w="990" w:type="dxa"/>
            <w:shd w:val="clear" w:color="auto" w:fill="99FF99"/>
          </w:tcPr>
          <w:p w:rsidR="003F4C1A" w:rsidRPr="009104D8" w:rsidP="003007EC" w14:paraId="1A9E2517" w14:textId="19FEA7D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183</w:t>
            </w:r>
          </w:p>
        </w:tc>
        <w:tc>
          <w:tcPr>
            <w:tcW w:w="1440" w:type="dxa"/>
            <w:shd w:val="clear" w:color="auto" w:fill="99FF99"/>
          </w:tcPr>
          <w:p w:rsidR="003F4C1A" w:rsidRPr="009104D8" w:rsidP="003007EC" w14:paraId="4001B63A"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c>
          <w:tcPr>
            <w:tcW w:w="1260" w:type="dxa"/>
            <w:shd w:val="clear" w:color="auto" w:fill="99FF99"/>
          </w:tcPr>
          <w:p w:rsidR="003F4C1A" w:rsidRPr="009104D8" w:rsidP="003007EC" w14:paraId="1CB8A4DE"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c>
          <w:tcPr>
            <w:tcW w:w="1129" w:type="dxa"/>
            <w:shd w:val="clear" w:color="auto" w:fill="99FF99"/>
          </w:tcPr>
          <w:p w:rsidR="003F4C1A" w:rsidRPr="009104D8" w:rsidP="003007EC" w14:paraId="72998B4C" w14:textId="6CFC4DF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366</w:t>
            </w:r>
          </w:p>
        </w:tc>
        <w:tc>
          <w:tcPr>
            <w:tcW w:w="1208" w:type="dxa"/>
            <w:shd w:val="clear" w:color="auto" w:fill="99FF99"/>
          </w:tcPr>
          <w:p w:rsidR="003F4C1A" w:rsidRPr="009104D8" w:rsidP="003007EC" w14:paraId="0781DAB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c>
          <w:tcPr>
            <w:tcW w:w="1168" w:type="dxa"/>
            <w:shd w:val="clear" w:color="auto" w:fill="99FF99"/>
          </w:tcPr>
          <w:p w:rsidR="003F4C1A" w:rsidRPr="009104D8" w:rsidP="003007EC" w14:paraId="1BB0A547" w14:textId="32AAA08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2139D8">
              <w:rPr>
                <w:b/>
              </w:rPr>
              <w:t>$17,143</w:t>
            </w:r>
          </w:p>
        </w:tc>
      </w:tr>
    </w:tbl>
    <w:p w:rsidR="00496034" w:rsidP="003F4C1A" w14:paraId="184C8162" w14:textId="77777777">
      <w:pPr>
        <w:widowControl/>
        <w:rPr>
          <w:bCs/>
          <w:sz w:val="24"/>
          <w:szCs w:val="24"/>
        </w:rPr>
      </w:pPr>
    </w:p>
    <w:p w:rsidR="00496034" w:rsidRPr="00B06BEA" w14:paraId="4A0C49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13.</w:t>
      </w:r>
      <w:r w:rsidRPr="00B06BEA">
        <w:rPr>
          <w:b/>
          <w:sz w:val="24"/>
          <w:szCs w:val="24"/>
        </w:rPr>
        <w:tab/>
        <w:t>Provide an estimate of the total annual non-hour cost burden to respondents or recordkeepers resulting from the collection of information.  (Do not include the cost of any hour burden already reflected in item 12.)</w:t>
      </w:r>
    </w:p>
    <w:p w:rsidR="00496034" w:rsidRPr="00B06BEA" w14:paraId="545C01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06BEA">
        <w:rPr>
          <w:b/>
          <w:sz w:val="24"/>
          <w:szCs w:val="24"/>
        </w:rPr>
        <w:t>*</w:t>
      </w:r>
      <w:r w:rsidRPr="00B06BEA">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w:t>
      </w:r>
      <w:r w:rsidRPr="00B06BEA">
        <w:rPr>
          <w:b/>
          <w:sz w:val="24"/>
          <w:szCs w:val="24"/>
        </w:rPr>
        <w:t>equipment; and record storage facilities.</w:t>
      </w:r>
    </w:p>
    <w:p w:rsidR="00496034" w:rsidRPr="00B06BEA" w14:paraId="68AF43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06BEA">
        <w:rPr>
          <w:b/>
          <w:sz w:val="24"/>
          <w:szCs w:val="24"/>
        </w:rPr>
        <w:t>*</w:t>
      </w:r>
      <w:r w:rsidRPr="00B06BEA">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96034" w14:paraId="26BBB4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96034" w14:paraId="0A019F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496034" w:rsidRPr="00D161B5" w:rsidP="00496034" w14:paraId="7B49544A" w14:textId="77777777">
      <w:pPr>
        <w:ind w:left="360"/>
        <w:jc w:val="both"/>
        <w:rPr>
          <w:sz w:val="24"/>
          <w:szCs w:val="24"/>
        </w:rPr>
      </w:pPr>
      <w:r>
        <w:rPr>
          <w:sz w:val="24"/>
          <w:szCs w:val="24"/>
        </w:rPr>
        <w:t>There is no non-hour cost burden.</w:t>
      </w:r>
    </w:p>
    <w:p w:rsidR="00496034" w:rsidRPr="00B06BEA" w14:paraId="47339C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96034" w:rsidRPr="00B06BEA" w14:paraId="2210A9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14.</w:t>
      </w:r>
      <w:r w:rsidRPr="00B06BEA">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496034" w14:paraId="745288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496034" w:rsidP="00496034" w14:paraId="1D4FC162" w14:textId="70F76F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8A7C15">
        <w:rPr>
          <w:sz w:val="24"/>
          <w:szCs w:val="24"/>
        </w:rPr>
        <w:t>The estimated total cost to the Federal Government to</w:t>
      </w:r>
      <w:r w:rsidR="005A4823">
        <w:rPr>
          <w:sz w:val="24"/>
          <w:szCs w:val="24"/>
        </w:rPr>
        <w:t xml:space="preserve"> collect the information is </w:t>
      </w:r>
      <w:r w:rsidRPr="000A2664" w:rsidR="005A4823">
        <w:rPr>
          <w:b/>
          <w:bCs/>
          <w:sz w:val="24"/>
          <w:szCs w:val="24"/>
        </w:rPr>
        <w:t>$</w:t>
      </w:r>
      <w:r w:rsidRPr="000B3DA0" w:rsidR="000B3DA0">
        <w:rPr>
          <w:b/>
          <w:bCs/>
          <w:sz w:val="24"/>
          <w:szCs w:val="24"/>
        </w:rPr>
        <w:t>16,111</w:t>
      </w:r>
      <w:r w:rsidRPr="008A7C15">
        <w:rPr>
          <w:sz w:val="24"/>
          <w:szCs w:val="24"/>
        </w:rPr>
        <w:t>.  This is based on school registrars, certification by Education Line Officers and their immediate staff, compiled and finalized by an Education Specialist and a Finance Specialist who collect the information.  The table below explains how this amount was computed.</w:t>
      </w:r>
      <w:r w:rsidR="000A2664">
        <w:rPr>
          <w:sz w:val="24"/>
          <w:szCs w:val="24"/>
        </w:rPr>
        <w:t xml:space="preserve"> </w:t>
      </w:r>
      <w:r w:rsidRPr="000A2664" w:rsidR="000A2664">
        <w:rPr>
          <w:sz w:val="24"/>
          <w:szCs w:val="24"/>
        </w:rPr>
        <w:t>Salary estimates were based on the General Schedule 202</w:t>
      </w:r>
      <w:r w:rsidR="004D17B7">
        <w:rPr>
          <w:sz w:val="24"/>
          <w:szCs w:val="24"/>
        </w:rPr>
        <w:t>5</w:t>
      </w:r>
      <w:r w:rsidRPr="000A2664" w:rsidR="000A2664">
        <w:rPr>
          <w:sz w:val="24"/>
          <w:szCs w:val="24"/>
        </w:rPr>
        <w:t xml:space="preserve">, located at </w:t>
      </w:r>
      <w:hyperlink r:id="rId5" w:history="1">
        <w:r w:rsidRPr="00617085" w:rsidR="004D17B7">
          <w:rPr>
            <w:rStyle w:val="Hyperlink"/>
            <w:sz w:val="24"/>
            <w:szCs w:val="24"/>
          </w:rPr>
          <w:t>https://www.opm.gov/policy-data-oversight/pay-leave/salaries-wages/salary-tables/25Tables/html/RUS_h.aspx</w:t>
        </w:r>
      </w:hyperlink>
      <w:r w:rsidR="004D17B7">
        <w:rPr>
          <w:sz w:val="24"/>
          <w:szCs w:val="24"/>
        </w:rPr>
        <w:t xml:space="preserve"> </w:t>
      </w:r>
      <w:r w:rsidRPr="000A2664" w:rsidR="000A2664">
        <w:rPr>
          <w:sz w:val="24"/>
          <w:szCs w:val="24"/>
        </w:rPr>
        <w:t>and multiplied by 1.6 to cover benefits.</w:t>
      </w:r>
    </w:p>
    <w:p w:rsidR="00496034" w:rsidRPr="008A7C15" w:rsidP="00496034" w14:paraId="5AC823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5"/>
        <w:gridCol w:w="1170"/>
        <w:gridCol w:w="1440"/>
        <w:gridCol w:w="1080"/>
        <w:gridCol w:w="1620"/>
        <w:gridCol w:w="1288"/>
        <w:gridCol w:w="1592"/>
      </w:tblGrid>
      <w:tr w14:paraId="6FDD0E56" w14:textId="77777777" w:rsidTr="00E80293">
        <w:tblPrEx>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39"/>
          <w:jc w:val="center"/>
        </w:trPr>
        <w:tc>
          <w:tcPr>
            <w:tcW w:w="1535" w:type="dxa"/>
            <w:tcBorders>
              <w:bottom w:val="single" w:sz="4" w:space="0" w:color="auto"/>
            </w:tcBorders>
            <w:shd w:val="clear" w:color="auto" w:fill="auto"/>
          </w:tcPr>
          <w:p w:rsidR="00496034" w:rsidRPr="00E80293" w:rsidP="00496034" w14:paraId="4B00B5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mallCaps/>
                <w:sz w:val="22"/>
                <w:szCs w:val="22"/>
              </w:rPr>
            </w:pPr>
            <w:r w:rsidRPr="00E80293">
              <w:rPr>
                <w:smallCaps/>
                <w:sz w:val="22"/>
                <w:szCs w:val="22"/>
              </w:rPr>
              <w:t>Employee Type</w:t>
            </w:r>
          </w:p>
        </w:tc>
        <w:tc>
          <w:tcPr>
            <w:tcW w:w="1170" w:type="dxa"/>
            <w:tcBorders>
              <w:bottom w:val="single" w:sz="4" w:space="0" w:color="auto"/>
            </w:tcBorders>
            <w:shd w:val="clear" w:color="auto" w:fill="auto"/>
          </w:tcPr>
          <w:p w:rsidR="00496034" w:rsidRPr="00E80293" w:rsidP="00496034" w14:paraId="75482A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mallCaps/>
                <w:sz w:val="22"/>
                <w:szCs w:val="22"/>
              </w:rPr>
            </w:pPr>
            <w:r w:rsidRPr="00E80293">
              <w:rPr>
                <w:smallCaps/>
                <w:sz w:val="22"/>
                <w:szCs w:val="22"/>
              </w:rPr>
              <w:t>Average No. of Bureau Operated Schools</w:t>
            </w:r>
          </w:p>
        </w:tc>
        <w:tc>
          <w:tcPr>
            <w:tcW w:w="1440" w:type="dxa"/>
            <w:tcBorders>
              <w:bottom w:val="single" w:sz="4" w:space="0" w:color="auto"/>
            </w:tcBorders>
            <w:shd w:val="clear" w:color="auto" w:fill="auto"/>
          </w:tcPr>
          <w:p w:rsidR="00496034" w:rsidRPr="00E80293" w:rsidP="00496034" w14:paraId="6C808A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mallCaps/>
                <w:sz w:val="22"/>
                <w:szCs w:val="22"/>
              </w:rPr>
            </w:pPr>
            <w:r w:rsidRPr="00E80293">
              <w:rPr>
                <w:smallCaps/>
                <w:sz w:val="22"/>
                <w:szCs w:val="22"/>
              </w:rPr>
              <w:t>Burden Hour</w:t>
            </w:r>
          </w:p>
        </w:tc>
        <w:tc>
          <w:tcPr>
            <w:tcW w:w="1080" w:type="dxa"/>
            <w:tcBorders>
              <w:bottom w:val="single" w:sz="4" w:space="0" w:color="auto"/>
            </w:tcBorders>
            <w:shd w:val="clear" w:color="auto" w:fill="auto"/>
          </w:tcPr>
          <w:p w:rsidR="00496034" w:rsidRPr="00E80293" w:rsidP="00496034" w14:paraId="1A5159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mallCaps/>
                <w:sz w:val="22"/>
                <w:szCs w:val="22"/>
              </w:rPr>
            </w:pPr>
            <w:r w:rsidRPr="00E80293">
              <w:rPr>
                <w:smallCaps/>
                <w:sz w:val="22"/>
                <w:szCs w:val="22"/>
              </w:rPr>
              <w:t>Average Number of Buses</w:t>
            </w:r>
          </w:p>
        </w:tc>
        <w:tc>
          <w:tcPr>
            <w:tcW w:w="1620" w:type="dxa"/>
            <w:tcBorders>
              <w:bottom w:val="single" w:sz="4" w:space="0" w:color="auto"/>
            </w:tcBorders>
            <w:shd w:val="clear" w:color="auto" w:fill="auto"/>
          </w:tcPr>
          <w:p w:rsidR="00496034" w:rsidRPr="00E80293" w:rsidP="00496034" w14:paraId="3DEB5E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mallCaps/>
                <w:sz w:val="22"/>
                <w:szCs w:val="22"/>
              </w:rPr>
            </w:pPr>
            <w:r w:rsidRPr="00E80293">
              <w:rPr>
                <w:smallCaps/>
                <w:sz w:val="22"/>
                <w:szCs w:val="22"/>
              </w:rPr>
              <w:t>Annual Burden</w:t>
            </w:r>
          </w:p>
        </w:tc>
        <w:tc>
          <w:tcPr>
            <w:tcW w:w="1288" w:type="dxa"/>
            <w:tcBorders>
              <w:bottom w:val="single" w:sz="4" w:space="0" w:color="auto"/>
            </w:tcBorders>
            <w:shd w:val="clear" w:color="auto" w:fill="auto"/>
          </w:tcPr>
          <w:p w:rsidR="00496034" w:rsidRPr="00E80293" w:rsidP="00496034" w14:paraId="09831441" w14:textId="6AD2CB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mallCaps/>
                <w:sz w:val="22"/>
                <w:szCs w:val="22"/>
              </w:rPr>
            </w:pPr>
            <w:r w:rsidRPr="00E80293">
              <w:rPr>
                <w:smallCaps/>
                <w:sz w:val="22"/>
                <w:szCs w:val="22"/>
              </w:rPr>
              <w:t>Salary per hour</w:t>
            </w:r>
          </w:p>
        </w:tc>
        <w:tc>
          <w:tcPr>
            <w:tcW w:w="1592" w:type="dxa"/>
            <w:tcBorders>
              <w:bottom w:val="single" w:sz="4" w:space="0" w:color="auto"/>
            </w:tcBorders>
            <w:shd w:val="clear" w:color="auto" w:fill="auto"/>
          </w:tcPr>
          <w:p w:rsidR="00496034" w:rsidRPr="00E80293" w:rsidP="00496034" w14:paraId="04ACAF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mallCaps/>
                <w:sz w:val="22"/>
                <w:szCs w:val="22"/>
              </w:rPr>
            </w:pPr>
            <w:r w:rsidRPr="00E80293">
              <w:rPr>
                <w:smallCaps/>
                <w:sz w:val="22"/>
                <w:szCs w:val="22"/>
              </w:rPr>
              <w:t>Total cost per category</w:t>
            </w:r>
          </w:p>
        </w:tc>
      </w:tr>
      <w:tr w14:paraId="409A4BA1" w14:textId="77777777" w:rsidTr="00E80293">
        <w:tblPrEx>
          <w:tblW w:w="9725" w:type="dxa"/>
          <w:jc w:val="center"/>
          <w:tblLayout w:type="fixed"/>
          <w:tblLook w:val="01E0"/>
        </w:tblPrEx>
        <w:trPr>
          <w:trHeight w:val="1429"/>
          <w:jc w:val="center"/>
        </w:trPr>
        <w:tc>
          <w:tcPr>
            <w:tcW w:w="1535" w:type="dxa"/>
            <w:tcBorders>
              <w:top w:val="single" w:sz="4" w:space="0" w:color="auto"/>
            </w:tcBorders>
          </w:tcPr>
          <w:p w:rsidR="00F3541E" w:rsidRPr="00E80293" w:rsidP="00F3541E" w14:paraId="0E7BEE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E80293">
              <w:rPr>
                <w:sz w:val="22"/>
                <w:szCs w:val="22"/>
              </w:rPr>
              <w:t>Mileage Reporter</w:t>
            </w:r>
          </w:p>
        </w:tc>
        <w:tc>
          <w:tcPr>
            <w:tcW w:w="1170" w:type="dxa"/>
            <w:tcBorders>
              <w:top w:val="single" w:sz="4" w:space="0" w:color="auto"/>
            </w:tcBorders>
          </w:tcPr>
          <w:p w:rsidR="00F3541E" w:rsidRPr="00E80293" w:rsidP="00F3541E" w14:paraId="43852E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E80293">
              <w:rPr>
                <w:sz w:val="22"/>
                <w:szCs w:val="22"/>
              </w:rPr>
              <w:t>47</w:t>
            </w:r>
          </w:p>
        </w:tc>
        <w:tc>
          <w:tcPr>
            <w:tcW w:w="1440" w:type="dxa"/>
            <w:tcBorders>
              <w:top w:val="single" w:sz="4" w:space="0" w:color="auto"/>
            </w:tcBorders>
          </w:tcPr>
          <w:p w:rsidR="00F3541E" w:rsidRPr="00E80293" w:rsidP="00F3541E" w14:paraId="6756B4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E80293">
              <w:rPr>
                <w:sz w:val="22"/>
                <w:szCs w:val="22"/>
              </w:rPr>
              <w:t>10 min./day x 5 days</w:t>
            </w:r>
          </w:p>
          <w:p w:rsidR="00F3541E" w:rsidRPr="00E80293" w:rsidP="00F3541E" w14:paraId="046217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E80293">
              <w:rPr>
                <w:sz w:val="22"/>
                <w:szCs w:val="22"/>
              </w:rPr>
              <w:t xml:space="preserve"> = 50 min/per bus</w:t>
            </w:r>
          </w:p>
        </w:tc>
        <w:tc>
          <w:tcPr>
            <w:tcW w:w="1080" w:type="dxa"/>
            <w:tcBorders>
              <w:top w:val="single" w:sz="4" w:space="0" w:color="auto"/>
              <w:bottom w:val="single" w:sz="4" w:space="0" w:color="auto"/>
            </w:tcBorders>
          </w:tcPr>
          <w:p w:rsidR="00F3541E" w:rsidRPr="00E80293" w:rsidP="00F3541E" w14:paraId="423CAC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E80293">
              <w:rPr>
                <w:sz w:val="22"/>
                <w:szCs w:val="22"/>
              </w:rPr>
              <w:t>6</w:t>
            </w:r>
          </w:p>
        </w:tc>
        <w:tc>
          <w:tcPr>
            <w:tcW w:w="1620" w:type="dxa"/>
            <w:tcBorders>
              <w:top w:val="single" w:sz="4" w:space="0" w:color="auto"/>
            </w:tcBorders>
          </w:tcPr>
          <w:p w:rsidR="00F3541E" w:rsidRPr="00E80293" w:rsidP="00F3541E" w14:paraId="2CB55633" w14:textId="77777777">
            <w:pPr>
              <w:spacing w:before="144" w:beforeLines="60" w:after="144" w:afterLines="60"/>
              <w:jc w:val="right"/>
              <w:rPr>
                <w:sz w:val="22"/>
                <w:szCs w:val="22"/>
              </w:rPr>
            </w:pPr>
            <w:r w:rsidRPr="00E80293">
              <w:rPr>
                <w:sz w:val="22"/>
                <w:szCs w:val="22"/>
              </w:rPr>
              <w:t>47 schools x 6 buses x 50 min = 235 hours</w:t>
            </w:r>
          </w:p>
        </w:tc>
        <w:tc>
          <w:tcPr>
            <w:tcW w:w="1288" w:type="dxa"/>
            <w:tcBorders>
              <w:top w:val="single" w:sz="4" w:space="0" w:color="auto"/>
            </w:tcBorders>
          </w:tcPr>
          <w:p w:rsidR="00F3541E" w:rsidRPr="00E80293" w:rsidP="00F3541E" w14:paraId="43B8B1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E80293">
              <w:rPr>
                <w:sz w:val="22"/>
                <w:szCs w:val="22"/>
              </w:rPr>
              <w:t xml:space="preserve">GS-7/1: </w:t>
            </w:r>
          </w:p>
          <w:p w:rsidR="00F3541E" w:rsidRPr="00E80293" w:rsidP="00F3541E" w14:paraId="1F78A6D5" w14:textId="0CDC1D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E80293">
              <w:rPr>
                <w:sz w:val="22"/>
                <w:szCs w:val="22"/>
              </w:rPr>
              <w:t>$</w:t>
            </w:r>
            <w:r w:rsidRPr="006E368A" w:rsidR="006E368A">
              <w:rPr>
                <w:sz w:val="22"/>
                <w:szCs w:val="22"/>
              </w:rPr>
              <w:t>23.94</w:t>
            </w:r>
            <w:r w:rsidRPr="00E80293">
              <w:rPr>
                <w:sz w:val="22"/>
                <w:szCs w:val="22"/>
              </w:rPr>
              <w:t>/hr x 1.6 = $</w:t>
            </w:r>
            <w:r w:rsidR="00A11BB5">
              <w:rPr>
                <w:sz w:val="22"/>
                <w:szCs w:val="22"/>
              </w:rPr>
              <w:t>38.30</w:t>
            </w:r>
          </w:p>
        </w:tc>
        <w:tc>
          <w:tcPr>
            <w:tcW w:w="1592" w:type="dxa"/>
            <w:tcBorders>
              <w:top w:val="single" w:sz="4" w:space="0" w:color="auto"/>
            </w:tcBorders>
          </w:tcPr>
          <w:p w:rsidR="00F3541E" w:rsidRPr="00F3541E" w:rsidP="00F3541E" w14:paraId="72A50AC0" w14:textId="13D739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F3541E">
              <w:rPr>
                <w:sz w:val="22"/>
                <w:szCs w:val="22"/>
              </w:rPr>
              <w:t>$</w:t>
            </w:r>
            <w:r w:rsidRPr="005842FA" w:rsidR="005842FA">
              <w:rPr>
                <w:sz w:val="22"/>
                <w:szCs w:val="22"/>
              </w:rPr>
              <w:t>9,001</w:t>
            </w:r>
          </w:p>
        </w:tc>
      </w:tr>
      <w:tr w14:paraId="41D55F6C" w14:textId="77777777" w:rsidTr="00E80293">
        <w:tblPrEx>
          <w:tblW w:w="9725" w:type="dxa"/>
          <w:jc w:val="center"/>
          <w:tblLayout w:type="fixed"/>
          <w:tblLook w:val="01E0"/>
        </w:tblPrEx>
        <w:trPr>
          <w:trHeight w:val="956"/>
          <w:jc w:val="center"/>
        </w:trPr>
        <w:tc>
          <w:tcPr>
            <w:tcW w:w="1535" w:type="dxa"/>
          </w:tcPr>
          <w:p w:rsidR="00F3541E" w:rsidRPr="00E80293" w:rsidP="00F3541E" w14:paraId="7A543E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E80293">
              <w:rPr>
                <w:sz w:val="22"/>
                <w:szCs w:val="22"/>
              </w:rPr>
              <w:t>School Administrator</w:t>
            </w:r>
          </w:p>
        </w:tc>
        <w:tc>
          <w:tcPr>
            <w:tcW w:w="1170" w:type="dxa"/>
          </w:tcPr>
          <w:p w:rsidR="00F3541E" w:rsidRPr="00E80293" w:rsidP="00F3541E" w14:paraId="0CE5D4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E80293">
              <w:rPr>
                <w:sz w:val="22"/>
                <w:szCs w:val="22"/>
              </w:rPr>
              <w:t>47</w:t>
            </w:r>
          </w:p>
        </w:tc>
        <w:tc>
          <w:tcPr>
            <w:tcW w:w="1440" w:type="dxa"/>
          </w:tcPr>
          <w:p w:rsidR="00F3541E" w:rsidRPr="00E80293" w:rsidP="00F3541E" w14:paraId="681BE0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E80293">
              <w:rPr>
                <w:sz w:val="22"/>
                <w:szCs w:val="22"/>
              </w:rPr>
              <w:t xml:space="preserve">30 min. </w:t>
            </w:r>
          </w:p>
          <w:p w:rsidR="00F3541E" w:rsidRPr="00E80293" w:rsidP="00F3541E" w14:paraId="1084A7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p>
        </w:tc>
        <w:tc>
          <w:tcPr>
            <w:tcW w:w="1080" w:type="dxa"/>
            <w:shd w:val="pct15" w:color="auto" w:fill="auto"/>
          </w:tcPr>
          <w:p w:rsidR="00F3541E" w:rsidRPr="00E80293" w:rsidP="00F3541E" w14:paraId="4C1F6E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1620" w:type="dxa"/>
          </w:tcPr>
          <w:p w:rsidR="00F3541E" w:rsidRPr="00E80293" w:rsidP="00F3541E" w14:paraId="6CE3F798" w14:textId="77777777">
            <w:pPr>
              <w:spacing w:before="144" w:beforeLines="60" w:after="144" w:afterLines="60"/>
              <w:jc w:val="right"/>
              <w:rPr>
                <w:sz w:val="22"/>
                <w:szCs w:val="22"/>
              </w:rPr>
            </w:pPr>
            <w:r w:rsidRPr="00E80293">
              <w:rPr>
                <w:sz w:val="22"/>
                <w:szCs w:val="22"/>
              </w:rPr>
              <w:t>24 hrs</w:t>
            </w:r>
          </w:p>
        </w:tc>
        <w:tc>
          <w:tcPr>
            <w:tcW w:w="1288" w:type="dxa"/>
          </w:tcPr>
          <w:p w:rsidR="00F3541E" w:rsidRPr="00E80293" w:rsidP="00F3541E" w14:paraId="009E6B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E80293">
              <w:rPr>
                <w:sz w:val="22"/>
                <w:szCs w:val="22"/>
              </w:rPr>
              <w:t xml:space="preserve">GS-13/1: </w:t>
            </w:r>
          </w:p>
          <w:p w:rsidR="00F3541E" w:rsidRPr="00E80293" w:rsidP="00F3541E" w14:paraId="5894624C" w14:textId="709F90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E80293">
              <w:rPr>
                <w:sz w:val="22"/>
                <w:szCs w:val="22"/>
              </w:rPr>
              <w:t>$</w:t>
            </w:r>
            <w:r w:rsidRPr="005D5706" w:rsidR="005D5706">
              <w:rPr>
                <w:sz w:val="22"/>
                <w:szCs w:val="22"/>
              </w:rPr>
              <w:t>50.49</w:t>
            </w:r>
            <w:r w:rsidRPr="00E80293">
              <w:rPr>
                <w:sz w:val="22"/>
                <w:szCs w:val="22"/>
              </w:rPr>
              <w:t>/hr x 1.6 = $</w:t>
            </w:r>
            <w:r w:rsidR="004F1D0A">
              <w:rPr>
                <w:sz w:val="22"/>
                <w:szCs w:val="22"/>
              </w:rPr>
              <w:t>80.79</w:t>
            </w:r>
          </w:p>
        </w:tc>
        <w:tc>
          <w:tcPr>
            <w:tcW w:w="1592" w:type="dxa"/>
          </w:tcPr>
          <w:p w:rsidR="00F3541E" w:rsidRPr="00F3541E" w:rsidP="00F3541E" w14:paraId="4F8BD0C8" w14:textId="6D621A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F3541E">
              <w:rPr>
                <w:sz w:val="22"/>
                <w:szCs w:val="22"/>
              </w:rPr>
              <w:t>$</w:t>
            </w:r>
            <w:r w:rsidRPr="006944E1" w:rsidR="006944E1">
              <w:rPr>
                <w:sz w:val="22"/>
                <w:szCs w:val="22"/>
              </w:rPr>
              <w:t>1,939</w:t>
            </w:r>
          </w:p>
        </w:tc>
      </w:tr>
      <w:tr w14:paraId="77A2827C" w14:textId="77777777" w:rsidTr="00E80293">
        <w:tblPrEx>
          <w:tblW w:w="9725" w:type="dxa"/>
          <w:jc w:val="center"/>
          <w:tblLayout w:type="fixed"/>
          <w:tblLook w:val="01E0"/>
        </w:tblPrEx>
        <w:trPr>
          <w:trHeight w:val="843"/>
          <w:jc w:val="center"/>
        </w:trPr>
        <w:tc>
          <w:tcPr>
            <w:tcW w:w="1535" w:type="dxa"/>
          </w:tcPr>
          <w:p w:rsidR="00F3541E" w:rsidRPr="00E80293" w:rsidP="00F3541E" w14:paraId="31BA99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E80293">
              <w:rPr>
                <w:sz w:val="22"/>
                <w:szCs w:val="22"/>
              </w:rPr>
              <w:t>Education Resource Center</w:t>
            </w:r>
          </w:p>
        </w:tc>
        <w:tc>
          <w:tcPr>
            <w:tcW w:w="1170" w:type="dxa"/>
            <w:tcBorders>
              <w:bottom w:val="single" w:sz="4" w:space="0" w:color="auto"/>
            </w:tcBorders>
          </w:tcPr>
          <w:p w:rsidR="00F3541E" w:rsidRPr="00E80293" w:rsidP="00F3541E" w14:paraId="5E90B0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E80293">
              <w:rPr>
                <w:sz w:val="22"/>
                <w:szCs w:val="22"/>
              </w:rPr>
              <w:t>47</w:t>
            </w:r>
          </w:p>
        </w:tc>
        <w:tc>
          <w:tcPr>
            <w:tcW w:w="1440" w:type="dxa"/>
            <w:tcBorders>
              <w:bottom w:val="single" w:sz="4" w:space="0" w:color="auto"/>
            </w:tcBorders>
          </w:tcPr>
          <w:p w:rsidR="00F3541E" w:rsidRPr="00E80293" w:rsidP="00F3541E" w14:paraId="6FBF87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E80293">
              <w:rPr>
                <w:sz w:val="22"/>
                <w:szCs w:val="22"/>
              </w:rPr>
              <w:t xml:space="preserve">30 min. </w:t>
            </w:r>
          </w:p>
          <w:p w:rsidR="00F3541E" w:rsidRPr="00E80293" w:rsidP="00F3541E" w14:paraId="21C853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p>
        </w:tc>
        <w:tc>
          <w:tcPr>
            <w:tcW w:w="1080" w:type="dxa"/>
            <w:tcBorders>
              <w:bottom w:val="single" w:sz="4" w:space="0" w:color="auto"/>
            </w:tcBorders>
            <w:shd w:val="pct15" w:color="auto" w:fill="auto"/>
          </w:tcPr>
          <w:p w:rsidR="00F3541E" w:rsidRPr="00E80293" w:rsidP="00F3541E" w14:paraId="1D2EB1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1620" w:type="dxa"/>
            <w:tcBorders>
              <w:bottom w:val="single" w:sz="4" w:space="0" w:color="auto"/>
            </w:tcBorders>
          </w:tcPr>
          <w:p w:rsidR="00F3541E" w:rsidRPr="00E80293" w:rsidP="00F3541E" w14:paraId="235ED0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E80293">
              <w:rPr>
                <w:sz w:val="22"/>
                <w:szCs w:val="22"/>
              </w:rPr>
              <w:t>24 hrs</w:t>
            </w:r>
          </w:p>
        </w:tc>
        <w:tc>
          <w:tcPr>
            <w:tcW w:w="1288" w:type="dxa"/>
            <w:tcBorders>
              <w:bottom w:val="single" w:sz="4" w:space="0" w:color="auto"/>
            </w:tcBorders>
          </w:tcPr>
          <w:p w:rsidR="00F3541E" w:rsidRPr="00E80293" w:rsidP="00F3541E" w14:paraId="3317F3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E80293">
              <w:rPr>
                <w:sz w:val="22"/>
                <w:szCs w:val="22"/>
              </w:rPr>
              <w:t xml:space="preserve">GS-13/1: </w:t>
            </w:r>
          </w:p>
          <w:p w:rsidR="00F3541E" w:rsidRPr="00E80293" w:rsidP="00F3541E" w14:paraId="1F37B0FE" w14:textId="0F33A1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E80293">
              <w:rPr>
                <w:sz w:val="22"/>
                <w:szCs w:val="22"/>
              </w:rPr>
              <w:t>$</w:t>
            </w:r>
            <w:r w:rsidR="004F1D0A">
              <w:rPr>
                <w:sz w:val="22"/>
                <w:szCs w:val="22"/>
              </w:rPr>
              <w:t>50.49</w:t>
            </w:r>
            <w:r w:rsidRPr="00E80293">
              <w:rPr>
                <w:sz w:val="22"/>
                <w:szCs w:val="22"/>
              </w:rPr>
              <w:t>/hr x 1.6 = $</w:t>
            </w:r>
            <w:r w:rsidR="004F1D0A">
              <w:rPr>
                <w:sz w:val="22"/>
                <w:szCs w:val="22"/>
              </w:rPr>
              <w:t>80.79</w:t>
            </w:r>
          </w:p>
        </w:tc>
        <w:tc>
          <w:tcPr>
            <w:tcW w:w="1592" w:type="dxa"/>
          </w:tcPr>
          <w:p w:rsidR="00F3541E" w:rsidRPr="00F3541E" w:rsidP="00F3541E" w14:paraId="368DC3EF" w14:textId="4CF029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6944E1">
              <w:rPr>
                <w:sz w:val="22"/>
                <w:szCs w:val="22"/>
              </w:rPr>
              <w:t>$1,939</w:t>
            </w:r>
          </w:p>
        </w:tc>
      </w:tr>
      <w:tr w14:paraId="79D26044" w14:textId="77777777" w:rsidTr="00E80293">
        <w:tblPrEx>
          <w:tblW w:w="9725" w:type="dxa"/>
          <w:jc w:val="center"/>
          <w:tblLayout w:type="fixed"/>
          <w:tblLook w:val="01E0"/>
        </w:tblPrEx>
        <w:trPr>
          <w:trHeight w:val="286"/>
          <w:jc w:val="center"/>
        </w:trPr>
        <w:tc>
          <w:tcPr>
            <w:tcW w:w="1535" w:type="dxa"/>
          </w:tcPr>
          <w:p w:rsidR="00F3541E" w:rsidRPr="00E80293" w:rsidP="00F3541E" w14:paraId="3074C7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E80293">
              <w:rPr>
                <w:sz w:val="22"/>
                <w:szCs w:val="22"/>
              </w:rPr>
              <w:t>Finance Specialist</w:t>
            </w:r>
          </w:p>
        </w:tc>
        <w:tc>
          <w:tcPr>
            <w:tcW w:w="2610" w:type="dxa"/>
            <w:gridSpan w:val="2"/>
            <w:tcBorders>
              <w:bottom w:val="single" w:sz="4" w:space="0" w:color="auto"/>
            </w:tcBorders>
            <w:shd w:val="clear" w:color="auto" w:fill="auto"/>
          </w:tcPr>
          <w:p w:rsidR="00F3541E" w:rsidRPr="00E80293" w:rsidP="00F3541E" w14:paraId="0B036A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E80293">
              <w:rPr>
                <w:sz w:val="22"/>
                <w:szCs w:val="22"/>
              </w:rPr>
              <w:t>On average, the Finance Specialist uses 40 hours to compile the information from all schools and develop the disbursement plan.</w:t>
            </w:r>
          </w:p>
        </w:tc>
        <w:tc>
          <w:tcPr>
            <w:tcW w:w="1080" w:type="dxa"/>
            <w:tcBorders>
              <w:bottom w:val="single" w:sz="4" w:space="0" w:color="auto"/>
            </w:tcBorders>
            <w:shd w:val="pct15" w:color="auto" w:fill="auto"/>
          </w:tcPr>
          <w:p w:rsidR="00F3541E" w:rsidRPr="00E80293" w:rsidP="00F3541E" w14:paraId="1D0EE6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1620" w:type="dxa"/>
            <w:shd w:val="clear" w:color="auto" w:fill="auto"/>
          </w:tcPr>
          <w:p w:rsidR="00F3541E" w:rsidRPr="00E80293" w:rsidP="00F3541E" w14:paraId="5F9B3B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E80293">
              <w:rPr>
                <w:sz w:val="22"/>
                <w:szCs w:val="22"/>
              </w:rPr>
              <w:t>40 hrs</w:t>
            </w:r>
          </w:p>
        </w:tc>
        <w:tc>
          <w:tcPr>
            <w:tcW w:w="1288" w:type="dxa"/>
            <w:shd w:val="clear" w:color="auto" w:fill="auto"/>
          </w:tcPr>
          <w:p w:rsidR="00E556DB" w:rsidRPr="00E80293" w:rsidP="00E556DB" w14:paraId="120CBD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E80293">
              <w:rPr>
                <w:sz w:val="22"/>
                <w:szCs w:val="22"/>
              </w:rPr>
              <w:t xml:space="preserve">GS-13/1: </w:t>
            </w:r>
          </w:p>
          <w:p w:rsidR="00F3541E" w:rsidRPr="00E80293" w:rsidP="00E556DB" w14:paraId="09E2EAEB" w14:textId="0DC269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E80293">
              <w:rPr>
                <w:sz w:val="22"/>
                <w:szCs w:val="22"/>
              </w:rPr>
              <w:t>$</w:t>
            </w:r>
            <w:r w:rsidRPr="005D5706">
              <w:rPr>
                <w:sz w:val="22"/>
                <w:szCs w:val="22"/>
              </w:rPr>
              <w:t>50.49</w:t>
            </w:r>
            <w:r w:rsidRPr="00E80293">
              <w:rPr>
                <w:sz w:val="22"/>
                <w:szCs w:val="22"/>
              </w:rPr>
              <w:t>/hr x 1.6 = $</w:t>
            </w:r>
            <w:r>
              <w:rPr>
                <w:sz w:val="22"/>
                <w:szCs w:val="22"/>
              </w:rPr>
              <w:t>80.79</w:t>
            </w:r>
          </w:p>
        </w:tc>
        <w:tc>
          <w:tcPr>
            <w:tcW w:w="1592" w:type="dxa"/>
          </w:tcPr>
          <w:p w:rsidR="00F3541E" w:rsidRPr="000B3DA0" w:rsidP="00F3541E" w14:paraId="615AF769" w14:textId="0C9BF1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2"/>
                <w:szCs w:val="22"/>
              </w:rPr>
            </w:pPr>
            <w:r w:rsidRPr="000B3DA0">
              <w:rPr>
                <w:bCs/>
                <w:sz w:val="22"/>
                <w:szCs w:val="22"/>
              </w:rPr>
              <w:t>$3,232</w:t>
            </w:r>
          </w:p>
        </w:tc>
      </w:tr>
      <w:tr w14:paraId="18B2A0B7" w14:textId="77777777" w:rsidTr="00A1696D">
        <w:tblPrEx>
          <w:tblW w:w="9725" w:type="dxa"/>
          <w:jc w:val="center"/>
          <w:tblLayout w:type="fixed"/>
          <w:tblLook w:val="01E0"/>
        </w:tblPrEx>
        <w:trPr>
          <w:trHeight w:val="286"/>
          <w:jc w:val="center"/>
        </w:trPr>
        <w:tc>
          <w:tcPr>
            <w:tcW w:w="1535" w:type="dxa"/>
            <w:shd w:val="clear" w:color="auto" w:fill="99FF99"/>
          </w:tcPr>
          <w:p w:rsidR="00F3541E" w:rsidRPr="00E80293" w:rsidP="00F3541E" w14:paraId="16C40A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E80293">
              <w:rPr>
                <w:b/>
                <w:sz w:val="22"/>
                <w:szCs w:val="22"/>
              </w:rPr>
              <w:t>TOTAL</w:t>
            </w:r>
          </w:p>
        </w:tc>
        <w:tc>
          <w:tcPr>
            <w:tcW w:w="1170" w:type="dxa"/>
            <w:shd w:val="clear" w:color="auto" w:fill="99FF99"/>
          </w:tcPr>
          <w:p w:rsidR="00F3541E" w:rsidRPr="00E80293" w:rsidP="00F3541E" w14:paraId="79E090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p>
        </w:tc>
        <w:tc>
          <w:tcPr>
            <w:tcW w:w="1440" w:type="dxa"/>
            <w:shd w:val="clear" w:color="auto" w:fill="99FF99"/>
          </w:tcPr>
          <w:p w:rsidR="00F3541E" w:rsidRPr="00E80293" w:rsidP="00F3541E" w14:paraId="371759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1080" w:type="dxa"/>
            <w:shd w:val="clear" w:color="auto" w:fill="99FF99"/>
          </w:tcPr>
          <w:p w:rsidR="00F3541E" w:rsidRPr="00E80293" w:rsidP="00F3541E" w14:paraId="15D643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1620" w:type="dxa"/>
            <w:shd w:val="clear" w:color="auto" w:fill="99FF99"/>
          </w:tcPr>
          <w:p w:rsidR="00F3541E" w:rsidRPr="00E80293" w:rsidP="00F3541E" w14:paraId="57EDAF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2"/>
                <w:szCs w:val="22"/>
              </w:rPr>
            </w:pPr>
            <w:r w:rsidRPr="00E80293">
              <w:rPr>
                <w:b/>
                <w:sz w:val="22"/>
                <w:szCs w:val="22"/>
              </w:rPr>
              <w:t>323 hrs</w:t>
            </w:r>
          </w:p>
        </w:tc>
        <w:tc>
          <w:tcPr>
            <w:tcW w:w="1288" w:type="dxa"/>
            <w:shd w:val="clear" w:color="auto" w:fill="99FF99"/>
          </w:tcPr>
          <w:p w:rsidR="00F3541E" w:rsidRPr="00E80293" w:rsidP="00F3541E" w14:paraId="546D52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1592" w:type="dxa"/>
            <w:shd w:val="clear" w:color="auto" w:fill="99FF99"/>
          </w:tcPr>
          <w:p w:rsidR="00F3541E" w:rsidRPr="00F3541E" w:rsidP="00F3541E" w14:paraId="0111889D" w14:textId="1FCB22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2"/>
                <w:szCs w:val="22"/>
              </w:rPr>
            </w:pPr>
            <w:r w:rsidRPr="000B3DA0">
              <w:rPr>
                <w:b/>
                <w:bCs/>
                <w:sz w:val="22"/>
                <w:szCs w:val="22"/>
              </w:rPr>
              <w:t>$16,111</w:t>
            </w:r>
          </w:p>
        </w:tc>
      </w:tr>
    </w:tbl>
    <w:p w:rsidR="00A90194" w:rsidP="000D2D59" w14:paraId="292B7771" w14:textId="77777777">
      <w:pPr>
        <w:rPr>
          <w:b/>
          <w:sz w:val="24"/>
          <w:szCs w:val="24"/>
        </w:rPr>
      </w:pPr>
    </w:p>
    <w:p w:rsidR="00496034" w:rsidP="00496034" w14:paraId="0391FE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ind w:left="360" w:hanging="360"/>
        <w:rPr>
          <w:b/>
          <w:sz w:val="24"/>
          <w:szCs w:val="24"/>
        </w:rPr>
      </w:pPr>
      <w:r w:rsidRPr="00B06BEA">
        <w:rPr>
          <w:b/>
          <w:sz w:val="24"/>
          <w:szCs w:val="24"/>
        </w:rPr>
        <w:t>15.</w:t>
      </w:r>
      <w:r w:rsidRPr="00B06BEA">
        <w:rPr>
          <w:b/>
          <w:sz w:val="24"/>
          <w:szCs w:val="24"/>
        </w:rPr>
        <w:tab/>
        <w:t>Explain the reasons for any program changes or adjustments in hour or cost burden.</w:t>
      </w:r>
      <w:r>
        <w:rPr>
          <w:b/>
          <w:sz w:val="24"/>
          <w:szCs w:val="24"/>
        </w:rPr>
        <w:tab/>
      </w:r>
    </w:p>
    <w:p w:rsidR="00496034" w:rsidP="00496034" w14:paraId="12CA6D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sz w:val="24"/>
          <w:szCs w:val="24"/>
        </w:rPr>
      </w:pPr>
    </w:p>
    <w:p w:rsidR="00496034" w:rsidP="000D43B3" w14:paraId="1D16D723" w14:textId="594592D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D43B3">
        <w:rPr>
          <w:sz w:val="24"/>
          <w:szCs w:val="24"/>
        </w:rPr>
        <w:t xml:space="preserve">Updates were made to the Bureau of Labor Statistics (BLS) and Office of Personnel Management (OPM) compensation data contained in Sections 12 and 14.  </w:t>
      </w:r>
    </w:p>
    <w:p w:rsidR="000D43B3" w:rsidRPr="00B06BEA" w:rsidP="00496034" w14:paraId="3E2FB3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rPr>
          <w:b/>
          <w:sz w:val="24"/>
          <w:szCs w:val="24"/>
        </w:rPr>
      </w:pPr>
    </w:p>
    <w:p w:rsidR="00496034" w:rsidRPr="00B06BEA" w14:paraId="10482D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16.</w:t>
      </w:r>
      <w:r w:rsidRPr="00B06BEA">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96034" w14:paraId="3C02EA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96034" w:rsidP="00496034" w14:paraId="56F8F255"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 information collection may be used to support budget requests, but individual persons will not be identifiable.</w:t>
      </w:r>
    </w:p>
    <w:p w:rsidR="00496034" w:rsidRPr="00B06BEA" w14:paraId="27757C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96034" w:rsidRPr="00B06BEA" w14:paraId="613F8B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17.</w:t>
      </w:r>
      <w:r w:rsidRPr="00B06BEA">
        <w:rPr>
          <w:b/>
          <w:sz w:val="24"/>
          <w:szCs w:val="24"/>
        </w:rPr>
        <w:tab/>
        <w:t>If seeking approval to not display the expiration date for OMB approval of the information collection, explain the reasons that display would be inappropriate.</w:t>
      </w:r>
    </w:p>
    <w:p w:rsidR="00496034" w:rsidP="00496034" w14:paraId="5DD28923" w14:textId="77777777">
      <w:pPr>
        <w:tabs>
          <w:tab w:val="left" w:pos="-1440"/>
        </w:tabs>
        <w:jc w:val="both"/>
        <w:rPr>
          <w:sz w:val="24"/>
          <w:szCs w:val="24"/>
        </w:rPr>
      </w:pPr>
    </w:p>
    <w:p w:rsidR="00496034" w:rsidRPr="00D161B5" w:rsidP="00496034" w14:paraId="70E3E472" w14:textId="77777777">
      <w:pPr>
        <w:tabs>
          <w:tab w:val="left" w:pos="-1440"/>
        </w:tabs>
        <w:ind w:left="360"/>
        <w:jc w:val="both"/>
        <w:rPr>
          <w:sz w:val="24"/>
          <w:szCs w:val="24"/>
        </w:rPr>
      </w:pPr>
      <w:r w:rsidRPr="00D161B5">
        <w:rPr>
          <w:sz w:val="24"/>
          <w:szCs w:val="24"/>
        </w:rPr>
        <w:t xml:space="preserve">We intend to display the OMB </w:t>
      </w:r>
      <w:r>
        <w:rPr>
          <w:sz w:val="24"/>
          <w:szCs w:val="24"/>
        </w:rPr>
        <w:t>control number and expiration date.</w:t>
      </w:r>
    </w:p>
    <w:p w:rsidR="00496034" w:rsidRPr="00B06BEA" w14:paraId="71BFD6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96034" w:rsidRPr="00B06BEA" w14:paraId="678F65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18.</w:t>
      </w:r>
      <w:r w:rsidRPr="00B06BEA">
        <w:rPr>
          <w:b/>
          <w:sz w:val="24"/>
          <w:szCs w:val="24"/>
        </w:rPr>
        <w:tab/>
        <w:t>Explain each exception to the topics of the certification statement identified in "Certification for Paperwork Reduction Act Submissions."</w:t>
      </w:r>
    </w:p>
    <w:p w:rsidR="00496034" w:rsidP="00496034" w14:paraId="033411D9"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p>
    <w:p w:rsidR="00496034" w:rsidP="00496034" w14:paraId="7F9D6B39" w14:textId="77777777">
      <w:pPr>
        <w:tabs>
          <w:tab w:val="left" w:pos="-1080"/>
          <w:tab w:val="left" w:pos="-720"/>
          <w:tab w:val="left" w:pos="45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ind w:left="360"/>
        <w:rPr>
          <w:sz w:val="24"/>
          <w:szCs w:val="24"/>
        </w:rPr>
      </w:pPr>
      <w:r w:rsidRPr="00D161B5">
        <w:rPr>
          <w:sz w:val="24"/>
          <w:szCs w:val="24"/>
        </w:rPr>
        <w:t>No exceptions are necessary to the certification statement.</w:t>
      </w:r>
    </w:p>
    <w:sectPr w:rsidSect="00496034">
      <w:footerReference w:type="default" r:id="rId6"/>
      <w:type w:val="continuous"/>
      <w:pgSz w:w="12240" w:h="15840"/>
      <w:pgMar w:top="1440" w:right="1440" w:bottom="1440" w:left="1440" w:header="1440" w:footer="106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6034" w14:paraId="73652D33" w14:textId="77777777">
    <w:pPr>
      <w:pStyle w:val="Footer"/>
      <w:jc w:val="center"/>
    </w:pPr>
    <w:r>
      <w:fldChar w:fldCharType="begin"/>
    </w:r>
    <w:r>
      <w:instrText xml:space="preserve"> PAGE   \* MERGEFORMAT </w:instrText>
    </w:r>
    <w:r>
      <w:fldChar w:fldCharType="separate"/>
    </w:r>
    <w:r w:rsidR="005411EF">
      <w:rPr>
        <w:noProof/>
      </w:rPr>
      <w:t>1</w:t>
    </w:r>
    <w:r>
      <w:fldChar w:fldCharType="end"/>
    </w:r>
  </w:p>
  <w:p w:rsidR="00496034" w14:paraId="0B83E0A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5CE24E0"/>
    <w:multiLevelType w:val="hybridMultilevel"/>
    <w:tmpl w:val="F6782220"/>
    <w:lvl w:ilvl="0">
      <w:start w:val="57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7A7E0267"/>
    <w:multiLevelType w:val="hybridMultilevel"/>
    <w:tmpl w:val="262E1CE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04523855">
    <w:abstractNumId w:val="0"/>
  </w:num>
  <w:num w:numId="2" w16cid:durableId="410351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27C45"/>
    <w:rsid w:val="00042FF5"/>
    <w:rsid w:val="00047A90"/>
    <w:rsid w:val="00083516"/>
    <w:rsid w:val="000904E2"/>
    <w:rsid w:val="000A17AD"/>
    <w:rsid w:val="000A2664"/>
    <w:rsid w:val="000A7406"/>
    <w:rsid w:val="000B2949"/>
    <w:rsid w:val="000B3DA0"/>
    <w:rsid w:val="000C02B8"/>
    <w:rsid w:val="000D2D59"/>
    <w:rsid w:val="000D43B3"/>
    <w:rsid w:val="000E1EEB"/>
    <w:rsid w:val="000F3AF1"/>
    <w:rsid w:val="00100792"/>
    <w:rsid w:val="00126355"/>
    <w:rsid w:val="0013210E"/>
    <w:rsid w:val="00146A1F"/>
    <w:rsid w:val="00147237"/>
    <w:rsid w:val="00150A0C"/>
    <w:rsid w:val="001E2061"/>
    <w:rsid w:val="00204461"/>
    <w:rsid w:val="002139D8"/>
    <w:rsid w:val="0025710E"/>
    <w:rsid w:val="00291CD3"/>
    <w:rsid w:val="003007EC"/>
    <w:rsid w:val="003133C7"/>
    <w:rsid w:val="00314F91"/>
    <w:rsid w:val="00337E8B"/>
    <w:rsid w:val="003B0C84"/>
    <w:rsid w:val="003B45EB"/>
    <w:rsid w:val="003B468F"/>
    <w:rsid w:val="003C6C62"/>
    <w:rsid w:val="003F1D04"/>
    <w:rsid w:val="003F4C1A"/>
    <w:rsid w:val="00421F35"/>
    <w:rsid w:val="0047650A"/>
    <w:rsid w:val="00485644"/>
    <w:rsid w:val="00487DBB"/>
    <w:rsid w:val="00496034"/>
    <w:rsid w:val="004D17B7"/>
    <w:rsid w:val="004F1D0A"/>
    <w:rsid w:val="005411EF"/>
    <w:rsid w:val="00562EB0"/>
    <w:rsid w:val="005842FA"/>
    <w:rsid w:val="005877FA"/>
    <w:rsid w:val="00594B18"/>
    <w:rsid w:val="005A4823"/>
    <w:rsid w:val="005A7FCF"/>
    <w:rsid w:val="005C7B1D"/>
    <w:rsid w:val="005D5706"/>
    <w:rsid w:val="005E2D0E"/>
    <w:rsid w:val="00607B28"/>
    <w:rsid w:val="00617085"/>
    <w:rsid w:val="00632A0A"/>
    <w:rsid w:val="006339B8"/>
    <w:rsid w:val="00671B8C"/>
    <w:rsid w:val="00693F8E"/>
    <w:rsid w:val="006944E1"/>
    <w:rsid w:val="006946FA"/>
    <w:rsid w:val="006E368A"/>
    <w:rsid w:val="006F2591"/>
    <w:rsid w:val="007322D9"/>
    <w:rsid w:val="0076205A"/>
    <w:rsid w:val="00775E37"/>
    <w:rsid w:val="00776CDF"/>
    <w:rsid w:val="007851E9"/>
    <w:rsid w:val="0079375A"/>
    <w:rsid w:val="007D72E6"/>
    <w:rsid w:val="008300FC"/>
    <w:rsid w:val="00885369"/>
    <w:rsid w:val="008A7C15"/>
    <w:rsid w:val="008C0312"/>
    <w:rsid w:val="008E60F3"/>
    <w:rsid w:val="008F211B"/>
    <w:rsid w:val="008F497F"/>
    <w:rsid w:val="008F7C64"/>
    <w:rsid w:val="00902C8C"/>
    <w:rsid w:val="009104D8"/>
    <w:rsid w:val="00912BB7"/>
    <w:rsid w:val="00917930"/>
    <w:rsid w:val="00921A2B"/>
    <w:rsid w:val="009410A5"/>
    <w:rsid w:val="00972CB8"/>
    <w:rsid w:val="00990938"/>
    <w:rsid w:val="009A1416"/>
    <w:rsid w:val="009C07C6"/>
    <w:rsid w:val="00A11BB5"/>
    <w:rsid w:val="00A1696D"/>
    <w:rsid w:val="00A20725"/>
    <w:rsid w:val="00A25E3A"/>
    <w:rsid w:val="00A338EF"/>
    <w:rsid w:val="00A7775A"/>
    <w:rsid w:val="00A90194"/>
    <w:rsid w:val="00B0320D"/>
    <w:rsid w:val="00B06BEA"/>
    <w:rsid w:val="00B1740D"/>
    <w:rsid w:val="00B325E9"/>
    <w:rsid w:val="00B41E63"/>
    <w:rsid w:val="00BE3EA6"/>
    <w:rsid w:val="00C07B83"/>
    <w:rsid w:val="00C139E4"/>
    <w:rsid w:val="00C277EE"/>
    <w:rsid w:val="00C56641"/>
    <w:rsid w:val="00C813F8"/>
    <w:rsid w:val="00C927FD"/>
    <w:rsid w:val="00CB2701"/>
    <w:rsid w:val="00CE01CC"/>
    <w:rsid w:val="00CE38AD"/>
    <w:rsid w:val="00D161B5"/>
    <w:rsid w:val="00D63FF2"/>
    <w:rsid w:val="00D7196A"/>
    <w:rsid w:val="00D827C0"/>
    <w:rsid w:val="00DA572B"/>
    <w:rsid w:val="00DD7592"/>
    <w:rsid w:val="00DE1925"/>
    <w:rsid w:val="00E12763"/>
    <w:rsid w:val="00E13A77"/>
    <w:rsid w:val="00E547CB"/>
    <w:rsid w:val="00E556DB"/>
    <w:rsid w:val="00E80293"/>
    <w:rsid w:val="00E93E3C"/>
    <w:rsid w:val="00EF5EFE"/>
    <w:rsid w:val="00F33F34"/>
    <w:rsid w:val="00F3541E"/>
    <w:rsid w:val="00F81E6F"/>
    <w:rsid w:val="00F90EA4"/>
    <w:rsid w:val="00FB2DF7"/>
    <w:rsid w:val="00FC349E"/>
    <w:rsid w:val="00FE49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6929666"/>
  <w15:chartTrackingRefBased/>
  <w15:docId w15:val="{5437BEB2-2B0A-49F8-8947-0BCBC7848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lang w:val="x-none" w:eastAsia="x-none"/>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rsid w:val="00AF2545"/>
    <w:rPr>
      <w:rFonts w:cs="Times New Roman"/>
      <w:color w:val="0000FF"/>
      <w:u w:val="single"/>
    </w:rPr>
  </w:style>
  <w:style w:type="table" w:styleId="TableGrid">
    <w:name w:val="Table Grid"/>
    <w:basedOn w:val="TableNormal"/>
    <w:uiPriority w:val="99"/>
    <w:rsid w:val="003669AC"/>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556BD"/>
    <w:rPr>
      <w:sz w:val="16"/>
      <w:szCs w:val="16"/>
    </w:rPr>
  </w:style>
  <w:style w:type="paragraph" w:styleId="CommentText">
    <w:name w:val="annotation text"/>
    <w:basedOn w:val="Normal"/>
    <w:link w:val="CommentTextChar"/>
    <w:uiPriority w:val="99"/>
    <w:semiHidden/>
    <w:unhideWhenUsed/>
    <w:rsid w:val="005556BD"/>
    <w:rPr>
      <w:lang w:val="x-none" w:eastAsia="x-none"/>
    </w:rPr>
  </w:style>
  <w:style w:type="character" w:customStyle="1" w:styleId="CommentTextChar">
    <w:name w:val="Comment Text Char"/>
    <w:link w:val="CommentText"/>
    <w:uiPriority w:val="99"/>
    <w:semiHidden/>
    <w:rsid w:val="005556BD"/>
    <w:rPr>
      <w:rFonts w:ascii="Times New Roman" w:hAnsi="Times New Roman"/>
    </w:rPr>
  </w:style>
  <w:style w:type="paragraph" w:styleId="Header">
    <w:name w:val="header"/>
    <w:basedOn w:val="Normal"/>
    <w:link w:val="HeaderChar"/>
    <w:uiPriority w:val="99"/>
    <w:semiHidden/>
    <w:unhideWhenUsed/>
    <w:rsid w:val="0094760F"/>
    <w:pPr>
      <w:tabs>
        <w:tab w:val="center" w:pos="4680"/>
        <w:tab w:val="right" w:pos="9360"/>
      </w:tabs>
    </w:pPr>
    <w:rPr>
      <w:lang w:val="x-none" w:eastAsia="x-none"/>
    </w:rPr>
  </w:style>
  <w:style w:type="character" w:customStyle="1" w:styleId="HeaderChar">
    <w:name w:val="Header Char"/>
    <w:link w:val="Header"/>
    <w:uiPriority w:val="99"/>
    <w:semiHidden/>
    <w:rsid w:val="0094760F"/>
    <w:rPr>
      <w:rFonts w:ascii="Times New Roman" w:hAnsi="Times New Roman"/>
    </w:rPr>
  </w:style>
  <w:style w:type="paragraph" w:styleId="Footer">
    <w:name w:val="footer"/>
    <w:basedOn w:val="Normal"/>
    <w:link w:val="FooterChar"/>
    <w:uiPriority w:val="99"/>
    <w:unhideWhenUsed/>
    <w:rsid w:val="0094760F"/>
    <w:pPr>
      <w:tabs>
        <w:tab w:val="center" w:pos="4680"/>
        <w:tab w:val="right" w:pos="9360"/>
      </w:tabs>
    </w:pPr>
    <w:rPr>
      <w:lang w:val="x-none" w:eastAsia="x-none"/>
    </w:rPr>
  </w:style>
  <w:style w:type="character" w:customStyle="1" w:styleId="FooterChar">
    <w:name w:val="Footer Char"/>
    <w:link w:val="Footer"/>
    <w:uiPriority w:val="99"/>
    <w:rsid w:val="0094760F"/>
    <w:rPr>
      <w:rFonts w:ascii="Times New Roman" w:hAnsi="Times New Roman"/>
    </w:rPr>
  </w:style>
  <w:style w:type="character" w:styleId="Strong">
    <w:name w:val="Strong"/>
    <w:uiPriority w:val="22"/>
    <w:qFormat/>
    <w:rsid w:val="004D0A14"/>
    <w:rPr>
      <w:b/>
      <w:bCs/>
    </w:rPr>
  </w:style>
  <w:style w:type="paragraph" w:styleId="ListParagraph">
    <w:name w:val="List Paragraph"/>
    <w:basedOn w:val="Normal"/>
    <w:uiPriority w:val="34"/>
    <w:qFormat/>
    <w:rsid w:val="001E2061"/>
    <w:pPr>
      <w:ind w:left="720"/>
      <w:contextualSpacing/>
    </w:pPr>
  </w:style>
  <w:style w:type="paragraph" w:styleId="CommentSubject">
    <w:name w:val="annotation subject"/>
    <w:basedOn w:val="CommentText"/>
    <w:next w:val="CommentText"/>
    <w:link w:val="CommentSubjectChar"/>
    <w:uiPriority w:val="99"/>
    <w:semiHidden/>
    <w:unhideWhenUsed/>
    <w:rsid w:val="00671B8C"/>
    <w:rPr>
      <w:b/>
      <w:bCs/>
      <w:lang w:val="en-US" w:eastAsia="en-US"/>
    </w:rPr>
  </w:style>
  <w:style w:type="character" w:customStyle="1" w:styleId="CommentSubjectChar">
    <w:name w:val="Comment Subject Char"/>
    <w:link w:val="CommentSubject"/>
    <w:uiPriority w:val="99"/>
    <w:semiHidden/>
    <w:rsid w:val="00671B8C"/>
    <w:rPr>
      <w:rFonts w:ascii="Times New Roman" w:hAnsi="Times New Roman"/>
      <w:b/>
      <w:bCs/>
    </w:rPr>
  </w:style>
  <w:style w:type="character" w:styleId="UnresolvedMention">
    <w:name w:val="Unresolved Mention"/>
    <w:basedOn w:val="DefaultParagraphFont"/>
    <w:uiPriority w:val="99"/>
    <w:semiHidden/>
    <w:unhideWhenUsed/>
    <w:rsid w:val="004D1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sep.bie.edu/" TargetMode="External" /><Relationship Id="rId5" Type="http://schemas.openxmlformats.org/officeDocument/2006/relationships/hyperlink" Target="https://www.opm.gov/policy-data-oversight/pay-leave/salaries-wages/salary-tables/25Tables/html/RUS_h.aspx"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7</Pages>
  <Words>2573</Words>
  <Characters>14670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17209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Mullen, Steven M</cp:lastModifiedBy>
  <cp:revision>24</cp:revision>
  <cp:lastPrinted>2018-09-21T13:16:00Z</cp:lastPrinted>
  <dcterms:created xsi:type="dcterms:W3CDTF">2025-02-27T16:05:00Z</dcterms:created>
  <dcterms:modified xsi:type="dcterms:W3CDTF">2025-02-27T20:11:00Z</dcterms:modified>
</cp:coreProperties>
</file>