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10441" w:rsidP="00116CD5" w14:paraId="4C554728" w14:textId="77777777">
      <w:pPr>
        <w:widowControl/>
        <w:tabs>
          <w:tab w:val="left" w:pos="720"/>
        </w:tabs>
        <w:ind w:left="720" w:hanging="1440"/>
        <w:jc w:val="center"/>
        <w:rPr>
          <w:b/>
          <w:bCs/>
        </w:rPr>
      </w:pPr>
    </w:p>
    <w:p w:rsidR="00690F56" w:rsidRPr="004E34C5" w:rsidP="004E34C5" w14:paraId="7E97B93F" w14:textId="77777777">
      <w:pPr>
        <w:pStyle w:val="Title"/>
      </w:pPr>
      <w:r w:rsidRPr="004E34C5">
        <w:t>SUPPORTING STATEMENT FOR</w:t>
      </w:r>
    </w:p>
    <w:p w:rsidR="00E86973" w:rsidRPr="004E34C5" w:rsidP="004E34C5" w14:paraId="60089450" w14:textId="5BAFC79F">
      <w:pPr>
        <w:pStyle w:val="Title"/>
      </w:pPr>
      <w:r w:rsidRPr="004E34C5">
        <w:t>Application and Permit for Permanent Exportation of Firearms</w:t>
      </w:r>
    </w:p>
    <w:p w:rsidR="00DB4030" w:rsidRPr="004E34C5" w:rsidP="004E34C5" w14:paraId="25B40D61" w14:textId="77BBF928">
      <w:pPr>
        <w:pStyle w:val="Title"/>
      </w:pPr>
      <w:r w:rsidRPr="004E34C5">
        <w:t>ATF Form 9 (5320.9)</w:t>
      </w:r>
    </w:p>
    <w:p w:rsidR="000B6FB6" w:rsidRPr="00A47DA7" w:rsidP="00690F56" w14:paraId="1CF8A88F" w14:textId="77777777">
      <w:pPr>
        <w:widowControl/>
        <w:rPr>
          <w:b/>
          <w:bCs/>
        </w:rPr>
      </w:pPr>
    </w:p>
    <w:p w:rsidR="00690F56" w:rsidRPr="004E34C5" w:rsidP="00375602" w14:paraId="0A674873" w14:textId="77777777">
      <w:pPr>
        <w:pStyle w:val="Heading1"/>
      </w:pPr>
      <w:r w:rsidRPr="004E34C5">
        <w:t>JUSTIFICATION</w:t>
      </w:r>
    </w:p>
    <w:p w:rsidR="00690F56" w:rsidRPr="00F4518C" w:rsidP="00690F56" w14:paraId="375316BB" w14:textId="77777777">
      <w:pPr>
        <w:widowControl/>
        <w:rPr>
          <w:b/>
          <w:bCs/>
        </w:rPr>
      </w:pPr>
    </w:p>
    <w:p w:rsidR="00690F56" w:rsidP="00690F56" w14:paraId="38CEE6AD" w14:textId="6D3624AE">
      <w:pPr>
        <w:widowControl/>
        <w:rPr>
          <w:b/>
          <w:bCs/>
        </w:rPr>
      </w:pPr>
      <w:r w:rsidRPr="00D53DEB">
        <w:rPr>
          <w:b/>
          <w:bCs/>
        </w:rPr>
        <w:t xml:space="preserve">1.  </w:t>
      </w:r>
      <w:r w:rsidRPr="004E34C5">
        <w:rPr>
          <w:rStyle w:val="Heading2Char"/>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EF7AA0" w:rsidP="00EF7AA0" w14:paraId="64007971" w14:textId="72CE2448">
      <w:pPr>
        <w:pStyle w:val="Default"/>
      </w:pPr>
    </w:p>
    <w:p w:rsidR="00B5043F" w:rsidP="004E34C5" w14:paraId="386CE7D5" w14:textId="3DF84612">
      <w:r w:rsidRPr="00EF7AA0">
        <w:t xml:space="preserve">The registration of National Firearms Act (NFA) firearms is required by 26 U.S.C. § 5841 and 27 CFR § 479.101. An NFA firearm may not be transferred, including exportation, without the approval of ATF and, with certain exceptions, the payment of transfer tax (26 U.S.C. § 5812 and Part 479, Subpart F). An NFA firearm may be exported without payment of the transfer tax (26 U.S.C. § 5854 and 27 CFR §§ 479.114 - 118). The use of the Application and Permit for Permanent Exportation of Firearms (National Firearms Act) - ATF Form 9 (5320.9) is required of any person desiring to export a NFA firearm (27 CFR § 479.114), and to establish such exportation to relieve the exporter from payment of the transfer tax (27 CFR § 479.118). The Arms Export Control Act, 22 U.S.C. § 2778 requires that a license be obtained from the Department of State by any person wishing to export munitions. The State Department license number must be included on the completed ATF Form 9 (5320.9). </w:t>
      </w:r>
    </w:p>
    <w:p w:rsidR="00EF7AA0" w:rsidRPr="00EF7AA0" w:rsidP="00EF7AA0" w14:paraId="1F4AA519" w14:textId="77777777">
      <w:pPr>
        <w:pStyle w:val="Default"/>
      </w:pPr>
    </w:p>
    <w:p w:rsidR="00EF7AA0" w:rsidP="00EF7AA0" w14:paraId="0DAC65BC" w14:textId="77777777">
      <w:pPr>
        <w:pStyle w:val="Default"/>
      </w:pPr>
      <w:r w:rsidRPr="00EF7AA0">
        <w:t xml:space="preserve"> ATF requests approval to make the following changes to OMB 1140-0008 (Application and Permit for Permanent Exportation of Firearms (National Firearms Act) - ATF Form 9 (5320.9)): </w:t>
      </w:r>
    </w:p>
    <w:p w:rsidR="00EF7AA0" w:rsidRPr="00EF7AA0" w:rsidP="00EF7AA0" w14:paraId="7D1A77DC" w14:textId="77777777">
      <w:pPr>
        <w:pStyle w:val="Default"/>
      </w:pPr>
    </w:p>
    <w:p w:rsidR="00EF7AA0" w:rsidRPr="00EF7AA0" w:rsidP="00EF7AA0" w14:paraId="29C792DF" w14:textId="77777777">
      <w:pPr>
        <w:pStyle w:val="Default"/>
      </w:pPr>
      <w:r w:rsidRPr="00EF7AA0">
        <w:t xml:space="preserve">• Change Instructions 1a. (Last Sentence) Delete “to that effect” and add “certifying compliance with 26 U.S. Code § 5854 and 27 CFR § 479.33. </w:t>
      </w:r>
    </w:p>
    <w:p w:rsidR="00EF7AA0" w:rsidRPr="00EF7AA0" w:rsidP="00EF7AA0" w14:paraId="0466B62B" w14:textId="77777777">
      <w:pPr>
        <w:pStyle w:val="Default"/>
      </w:pPr>
    </w:p>
    <w:p w:rsidR="00EF7AA0" w:rsidRPr="00D802D6" w:rsidP="00EF7AA0" w14:paraId="067C8A31" w14:textId="77777777">
      <w:pPr>
        <w:pStyle w:val="Default"/>
      </w:pPr>
    </w:p>
    <w:p w:rsidR="00690F56" w:rsidP="00690F56" w14:paraId="2BBF8E2F" w14:textId="12DDB880">
      <w:pPr>
        <w:widowControl/>
        <w:rPr>
          <w:b/>
          <w:bCs/>
        </w:rPr>
      </w:pPr>
      <w:r w:rsidRPr="00D53DEB">
        <w:rPr>
          <w:b/>
          <w:bCs/>
        </w:rPr>
        <w:t xml:space="preserve"> 2.  Indicate how, by whom, and for what purpose the information is to be used.  Except for a new collection, indicate the actual use the agency has made of the information received from the current collection.</w:t>
      </w:r>
    </w:p>
    <w:p w:rsidR="00EF7AA0" w:rsidP="00EF7AA0" w14:paraId="6A5A6FE1" w14:textId="159B85F9">
      <w:pPr>
        <w:pStyle w:val="Default"/>
      </w:pPr>
    </w:p>
    <w:p w:rsidR="00EF7AA0" w:rsidRPr="00EF7AA0" w:rsidP="00EF7AA0" w14:paraId="2A82EA59" w14:textId="77777777">
      <w:pPr>
        <w:pStyle w:val="Default"/>
      </w:pPr>
      <w:r w:rsidRPr="00EF7AA0">
        <w:t xml:space="preserve">ATF Form 9 (5320.9) is typically used by a Federal firearms licensee who has paid the special (occupational) tax to deal, manufacture, or import NFA firearms. The form must be filed in quadruplicate for approval to permanently export NFA firearms registered in the National Firearms Registration and Transfer Record. Once authorization has been granted, one copy is retained by ATF and the remaining copies returned to the exporter to establish that the exportation took place and claim relief from liability for the transfer tax. </w:t>
      </w:r>
    </w:p>
    <w:p w:rsidR="00EF7AA0" w:rsidRPr="0097578B" w:rsidP="00EF7AA0" w14:paraId="7B65297A" w14:textId="561D9A1B">
      <w:pPr>
        <w:pStyle w:val="Default"/>
      </w:pPr>
      <w:r w:rsidRPr="00EF7AA0">
        <w:t xml:space="preserve">The information submitted on the form is verified by ATF personnel who will ensure that a properly registered firearm is being exported, that the foreign consignee has been approved by </w:t>
      </w:r>
      <w:r w:rsidRPr="00EF7AA0">
        <w:t>the State Department, and that there is no liability for transfer tax.</w:t>
      </w:r>
      <w:r>
        <w:rPr>
          <w:sz w:val="23"/>
          <w:szCs w:val="23"/>
        </w:rPr>
        <w:t xml:space="preserve"> </w:t>
      </w:r>
      <w:r w:rsidRPr="0097578B">
        <w:t xml:space="preserve">This </w:t>
      </w:r>
      <w:r w:rsidRPr="0097578B" w:rsidR="0097578B">
        <w:t>information is also used by ATF to determine the lawful registration of an NFA firearm and/or to pursue the criminal investigation into an unregistered NFA firearm.</w:t>
      </w:r>
    </w:p>
    <w:p w:rsidR="00EF7AA0" w:rsidP="00690F56" w14:paraId="2B1AE1E4" w14:textId="77777777">
      <w:pPr>
        <w:widowControl/>
        <w:rPr>
          <w:b/>
          <w:bCs/>
        </w:rPr>
      </w:pPr>
    </w:p>
    <w:p w:rsidR="00C25E66" w:rsidP="00690F56" w14:paraId="5EFBC942" w14:textId="77777777">
      <w:pPr>
        <w:widowControl/>
        <w:rPr>
          <w:b/>
          <w:bCs/>
        </w:rPr>
      </w:pPr>
    </w:p>
    <w:p w:rsidR="00690F56" w:rsidRPr="00802A30" w:rsidP="0033578D" w14:paraId="6EBE63D5" w14:textId="471C3816">
      <w:pPr>
        <w:widowControl/>
      </w:pPr>
    </w:p>
    <w:p w:rsidR="00802A30" w:rsidRPr="00A47DA7" w:rsidP="00802A30" w14:paraId="34E41BA0" w14:textId="77777777">
      <w:pPr>
        <w:widowControl/>
        <w:rPr>
          <w:u w:val="single"/>
        </w:rPr>
      </w:pPr>
    </w:p>
    <w:p w:rsidR="00690F56" w:rsidP="00690F56" w14:paraId="04006A6E" w14:textId="240F4734">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b/>
          <w:bCs/>
        </w:rPr>
      </w:pPr>
      <w:r w:rsidRPr="00D53DEB">
        <w:rPr>
          <w:b/>
          <w:bCs/>
        </w:rPr>
        <w:t xml:space="preserve">3.  </w:t>
      </w:r>
      <w:r w:rsidRPr="004E34C5">
        <w:rPr>
          <w:rStyle w:val="Heading2Char"/>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w:t>
      </w:r>
      <w:r w:rsidRPr="004E34C5" w:rsidR="00237691">
        <w:rPr>
          <w:rStyle w:val="Heading2Char"/>
        </w:rPr>
        <w:t>,</w:t>
      </w:r>
      <w:r w:rsidRPr="004E34C5">
        <w:rPr>
          <w:rStyle w:val="Heading2Char"/>
        </w:rPr>
        <w:t xml:space="preserve"> describe any consideration of using information technology to reduce burden.</w:t>
      </w:r>
    </w:p>
    <w:p w:rsidR="0097578B" w:rsidRPr="0097578B" w:rsidP="0097578B" w14:paraId="45CE7DF4" w14:textId="77777777">
      <w:pPr>
        <w:pStyle w:val="Default"/>
      </w:pPr>
    </w:p>
    <w:p w:rsidR="0097578B" w:rsidRPr="0097578B" w:rsidP="0097578B" w14:paraId="1DC2DEA5" w14:textId="77777777">
      <w:pPr>
        <w:pStyle w:val="Default"/>
      </w:pPr>
      <w:r w:rsidRPr="0097578B">
        <w:t>The fillable form with electronic signature capability is available on the ATF website (www.atf.gov). The form may also be completed, signed, and filed electronically via ATF’s eForms system (</w:t>
      </w:r>
      <w:r w:rsidRPr="0097578B">
        <w:rPr>
          <w:color w:val="0000FF"/>
        </w:rPr>
        <w:t>www.atfonline.gov</w:t>
      </w:r>
      <w:r w:rsidRPr="0097578B">
        <w:t xml:space="preserve">). </w:t>
      </w:r>
    </w:p>
    <w:p w:rsidR="00690F56" w:rsidRPr="006A4637" w:rsidP="00690F56" w14:paraId="1EFFB376"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p>
    <w:p w:rsidR="00690F56" w:rsidP="00690F56" w14:paraId="2693B8DC" w14:textId="49B3A46B">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r w:rsidRPr="006A4637">
        <w:rPr>
          <w:b/>
          <w:bCs/>
        </w:rPr>
        <w:t xml:space="preserve"> </w:t>
      </w:r>
      <w:r w:rsidRPr="00D53DEB">
        <w:rPr>
          <w:b/>
          <w:bCs/>
        </w:rPr>
        <w:t xml:space="preserve">4.  </w:t>
      </w:r>
      <w:r w:rsidRPr="004E34C5">
        <w:rPr>
          <w:rStyle w:val="Heading2Char"/>
        </w:rPr>
        <w:t xml:space="preserve">Describe efforts to identify duplication.  Show specifically why any similar information already available cannot be used or modified for use for the purposes described in Item </w:t>
      </w:r>
      <w:r w:rsidRPr="004E34C5" w:rsidR="00237691">
        <w:rPr>
          <w:rStyle w:val="Heading2Char"/>
        </w:rPr>
        <w:t>A.</w:t>
      </w:r>
      <w:r w:rsidRPr="004E34C5">
        <w:rPr>
          <w:rStyle w:val="Heading2Char"/>
        </w:rPr>
        <w:t>2 above.</w:t>
      </w:r>
    </w:p>
    <w:p w:rsidR="0097578B" w:rsidP="0097578B" w14:paraId="0658A864" w14:textId="77777777">
      <w:pPr>
        <w:pStyle w:val="Default"/>
      </w:pPr>
    </w:p>
    <w:p w:rsidR="0097578B" w:rsidP="0097578B" w14:paraId="1240BB1B" w14:textId="77777777">
      <w:pPr>
        <w:pStyle w:val="Default"/>
        <w:rPr>
          <w:sz w:val="23"/>
          <w:szCs w:val="23"/>
        </w:rPr>
      </w:pPr>
      <w:r w:rsidRPr="0097578B">
        <w:t>ATF uses a uniform subject classification system to identify duplication and to ensure that any similar information already available cannot be used or modified for use for the purpose of this information collection</w:t>
      </w:r>
      <w:r>
        <w:rPr>
          <w:sz w:val="23"/>
          <w:szCs w:val="23"/>
        </w:rPr>
        <w:t xml:space="preserve">. </w:t>
      </w:r>
    </w:p>
    <w:p w:rsidR="00C25E66" w:rsidRPr="00A973AA" w:rsidP="00690F56" w14:paraId="1F4E2827"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p>
    <w:p w:rsidR="00690F56" w:rsidRPr="004E34C5" w:rsidP="00690F56" w14:paraId="686EF219"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Style w:val="Heading2Char"/>
        </w:rPr>
      </w:pPr>
      <w:r w:rsidRPr="00A973AA">
        <w:rPr>
          <w:b/>
          <w:bCs/>
        </w:rPr>
        <w:t xml:space="preserve"> </w:t>
      </w:r>
      <w:r w:rsidRPr="00D53DEB">
        <w:rPr>
          <w:b/>
          <w:bCs/>
        </w:rPr>
        <w:t>5.</w:t>
      </w:r>
      <w:r w:rsidRPr="00D53DEB">
        <w:t xml:space="preserve">  </w:t>
      </w:r>
      <w:r w:rsidRPr="004E34C5">
        <w:rPr>
          <w:rStyle w:val="Heading2Char"/>
        </w:rPr>
        <w:t>If the collection of information impacts small businesses or other small entities</w:t>
      </w:r>
      <w:r w:rsidRPr="004E34C5" w:rsidR="00237691">
        <w:rPr>
          <w:rStyle w:val="Heading2Char"/>
        </w:rPr>
        <w:t>,</w:t>
      </w:r>
      <w:r w:rsidRPr="004E34C5">
        <w:rPr>
          <w:rStyle w:val="Heading2Char"/>
        </w:rPr>
        <w:t xml:space="preserve"> describe any methods used to minimize burden.</w:t>
      </w:r>
    </w:p>
    <w:p w:rsidR="0097578B" w:rsidP="0097578B" w14:paraId="5003AF8E" w14:textId="77777777">
      <w:pPr>
        <w:pStyle w:val="Default"/>
      </w:pPr>
    </w:p>
    <w:p w:rsidR="0097578B" w:rsidRPr="0097578B" w:rsidP="0097578B" w14:paraId="3872CBF4" w14:textId="77777777">
      <w:pPr>
        <w:pStyle w:val="Default"/>
      </w:pPr>
      <w:r w:rsidRPr="0097578B">
        <w:t xml:space="preserve">This information collection has no impact on small business. The record-keeping/reporting requirement is necessary to ensure compliance with existing regulations. </w:t>
      </w:r>
    </w:p>
    <w:p w:rsidR="005622FE" w:rsidRPr="00A973AA" w:rsidP="00690F56" w14:paraId="6F57386F"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p>
    <w:p w:rsidR="00690F56" w:rsidP="00690F56" w14:paraId="5F528885" w14:textId="2D188CC5">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b/>
          <w:bCs/>
        </w:rPr>
      </w:pPr>
      <w:r w:rsidRPr="00D53DEB">
        <w:rPr>
          <w:b/>
          <w:bCs/>
        </w:rPr>
        <w:t xml:space="preserve"> 6</w:t>
      </w:r>
      <w:r w:rsidRPr="00D53DEB" w:rsidR="00237691">
        <w:rPr>
          <w:b/>
          <w:bCs/>
        </w:rPr>
        <w:t xml:space="preserve">.  </w:t>
      </w:r>
      <w:r w:rsidRPr="004E34C5" w:rsidR="00237691">
        <w:rPr>
          <w:rStyle w:val="Heading2Char"/>
        </w:rPr>
        <w:t>Describe the consequence to f</w:t>
      </w:r>
      <w:r w:rsidRPr="004E34C5">
        <w:rPr>
          <w:rStyle w:val="Heading2Char"/>
        </w:rPr>
        <w:t>ederal program or policy activities if the collection is not conducted or is conducted less frequently, as well as any technical or legal obstacles to reducing burden.</w:t>
      </w:r>
    </w:p>
    <w:p w:rsidR="00894786" w:rsidRPr="00894786" w:rsidP="00894786" w14:paraId="070A367A" w14:textId="77777777">
      <w:pPr>
        <w:pStyle w:val="Default"/>
      </w:pPr>
    </w:p>
    <w:p w:rsidR="00894786" w:rsidRPr="00894786" w:rsidP="00894786" w14:paraId="2DD88A70" w14:textId="77777777">
      <w:pPr>
        <w:pStyle w:val="Default"/>
      </w:pPr>
      <w:r w:rsidRPr="00894786">
        <w:t xml:space="preserve">Without this collection, there would be an increase in unlawful exportation of firearms. The collected information provided is used to verify the exportation of a firearm(s) and justify removal of the firearm(s) from the National Firearms Registration and Transfer Record. </w:t>
      </w:r>
    </w:p>
    <w:p w:rsidR="00690F56" w:rsidRPr="00A47DA7" w:rsidP="00690F56" w14:paraId="7C4C2F67"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p>
    <w:p w:rsidR="00690F56" w:rsidRPr="00D53DEB" w:rsidP="00690F56" w14:paraId="11C38180"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D53DEB">
        <w:rPr>
          <w:b/>
          <w:bCs/>
        </w:rPr>
        <w:t xml:space="preserve">7.  </w:t>
      </w:r>
      <w:r w:rsidRPr="003F4921">
        <w:rPr>
          <w:rStyle w:val="Heading2Char"/>
        </w:rPr>
        <w:t>Explain any special circumstances that would cause an information collection to be conducted in a manner:</w:t>
      </w:r>
    </w:p>
    <w:p w:rsidR="00690F56" w:rsidRPr="00D53DEB" w:rsidP="00690F56" w14:paraId="144BC160"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690F56" w:rsidRPr="00D53DEB" w:rsidP="00690F56" w14:paraId="39464A5B"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D53DEB">
        <w:rPr>
          <w:b/>
          <w:bCs/>
        </w:rPr>
        <w:t>r</w:t>
      </w:r>
      <w:r w:rsidRPr="00D53DEB">
        <w:rPr>
          <w:b/>
          <w:bCs/>
        </w:rPr>
        <w:t>equiring respondents to report information to the agency more often than quarterly;</w:t>
      </w:r>
    </w:p>
    <w:p w:rsidR="00690F56" w:rsidRPr="00D53DEB" w:rsidP="00690F56" w14:paraId="589F4DAA"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p>
    <w:p w:rsidR="00690F56" w:rsidRPr="00D53DEB" w:rsidP="00690F56" w14:paraId="72734CF8"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D53DEB">
        <w:rPr>
          <w:b/>
          <w:bCs/>
        </w:rPr>
        <w:t>r</w:t>
      </w:r>
      <w:r w:rsidRPr="00D53DEB">
        <w:rPr>
          <w:b/>
          <w:bCs/>
        </w:rPr>
        <w:t>equiring respondents to prepare a written response to a collection of information in fewer than 30 days after receipt of it;</w:t>
      </w:r>
    </w:p>
    <w:p w:rsidR="00690F56" w:rsidRPr="00D53DEB" w:rsidP="00690F56" w14:paraId="4C5CBA9B"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p>
    <w:p w:rsidR="00690F56" w:rsidRPr="00D53DEB" w:rsidP="00690F56" w14:paraId="1C6FB789"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D53DEB">
        <w:rPr>
          <w:b/>
          <w:bCs/>
        </w:rPr>
        <w:t>r</w:t>
      </w:r>
      <w:r w:rsidRPr="00D53DEB">
        <w:rPr>
          <w:b/>
          <w:bCs/>
        </w:rPr>
        <w:t>equiring respondents to submit more than an original and two copies of any document;</w:t>
      </w:r>
    </w:p>
    <w:p w:rsidR="00690F56" w:rsidRPr="00D53DEB" w:rsidP="00690F56" w14:paraId="04E0B37A"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p>
    <w:p w:rsidR="00690F56" w:rsidRPr="00D53DEB" w:rsidP="00690F56" w14:paraId="3B520558"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D53DEB">
        <w:rPr>
          <w:b/>
          <w:bCs/>
        </w:rPr>
        <w:t>r</w:t>
      </w:r>
      <w:r w:rsidRPr="00D53DEB">
        <w:rPr>
          <w:b/>
          <w:bCs/>
        </w:rPr>
        <w:t>equiring respondents to retain records, other than health, medical, government contract, grant-in-aid, or tax records for more than three years;</w:t>
      </w:r>
    </w:p>
    <w:p w:rsidR="00690F56" w:rsidRPr="00D53DEB" w:rsidP="00690F56" w14:paraId="54A3D962"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p>
    <w:p w:rsidR="00690F56" w:rsidRPr="00D53DEB" w:rsidP="00690F56" w14:paraId="2CD76B54"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D53DEB">
        <w:rPr>
          <w:b/>
          <w:bCs/>
        </w:rPr>
        <w:t>i</w:t>
      </w:r>
      <w:r w:rsidRPr="00D53DEB">
        <w:rPr>
          <w:b/>
          <w:bCs/>
        </w:rPr>
        <w:t>n connection with a statistical survey</w:t>
      </w:r>
      <w:r w:rsidRPr="00D53DEB">
        <w:rPr>
          <w:b/>
          <w:bCs/>
        </w:rPr>
        <w:t>,</w:t>
      </w:r>
      <w:r w:rsidRPr="00D53DEB">
        <w:rPr>
          <w:b/>
          <w:bCs/>
        </w:rPr>
        <w:t xml:space="preserve"> that is not designed to produce valid and reliable results that can be generalized to the universe of study;</w:t>
      </w:r>
    </w:p>
    <w:p w:rsidR="00690F56" w:rsidRPr="00D53DEB" w:rsidP="00690F56" w14:paraId="5F3D507A"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p>
    <w:p w:rsidR="00690F56" w:rsidRPr="00D53DEB" w:rsidP="00690F56" w14:paraId="4E4545CA"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D53DEB">
        <w:rPr>
          <w:b/>
          <w:bCs/>
        </w:rPr>
        <w:t>r</w:t>
      </w:r>
      <w:r w:rsidRPr="00D53DEB">
        <w:rPr>
          <w:b/>
          <w:bCs/>
        </w:rPr>
        <w:t>equiring the use of statistical data classification that has not been reviewed and approved by OMB;</w:t>
      </w:r>
    </w:p>
    <w:p w:rsidR="00690F56" w:rsidRPr="00D53DEB" w:rsidP="00690F56" w14:paraId="52933EAF" w14:textId="77777777">
      <w:pPr>
        <w:pStyle w:val="Level1"/>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rPr>
          <w:b/>
          <w:bCs/>
        </w:rPr>
      </w:pPr>
    </w:p>
    <w:p w:rsidR="00690F56" w:rsidRPr="00D53DEB" w:rsidP="00690F56" w14:paraId="75D8936B"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D53DEB">
        <w:rPr>
          <w:b/>
          <w:bCs/>
        </w:rPr>
        <w:t>t</w:t>
      </w:r>
      <w:r w:rsidRPr="00D53DEB">
        <w:rPr>
          <w:b/>
          <w:bCs/>
        </w:rPr>
        <w:t>hat includes a pledge of confidentially that is not supported by authority established in statu</w:t>
      </w:r>
      <w:r w:rsidRPr="00D53DEB" w:rsidR="00CD215D">
        <w:rPr>
          <w:b/>
          <w:bCs/>
        </w:rPr>
        <w:t>t</w:t>
      </w:r>
      <w:r w:rsidRPr="00D53DEB">
        <w:rPr>
          <w:b/>
          <w:bCs/>
        </w:rPr>
        <w:t>e or regulation</w:t>
      </w:r>
      <w:r w:rsidRPr="00D53DEB">
        <w:rPr>
          <w:b/>
          <w:bCs/>
        </w:rPr>
        <w:t>,</w:t>
      </w:r>
      <w:r w:rsidRPr="00D53DEB">
        <w:rPr>
          <w:b/>
          <w:bCs/>
        </w:rPr>
        <w:t xml:space="preserve"> that is not supported by disclosure and data security policies that are consistent with the pledge, or which unnecessarily impedes sharing of data with other agencies for compatible confidential use; or</w:t>
      </w:r>
    </w:p>
    <w:p w:rsidR="00690F56" w:rsidRPr="00D53DEB" w:rsidP="00690F56" w14:paraId="109C5387"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p>
    <w:p w:rsidR="00690F56" w:rsidRPr="00D53DEB" w:rsidP="00690F56" w14:paraId="583D2BFF"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pPr>
      <w:r w:rsidRPr="00D53DEB">
        <w:rPr>
          <w:b/>
          <w:bCs/>
        </w:rPr>
        <w:t>r</w:t>
      </w:r>
      <w:r w:rsidRPr="00D53DEB">
        <w:rPr>
          <w:b/>
          <w:bCs/>
        </w:rPr>
        <w:t xml:space="preserve">equiring respondents to submit proprietary trade secret, or other confidential information unless the agency can </w:t>
      </w:r>
      <w:r w:rsidRPr="00D53DEB">
        <w:rPr>
          <w:b/>
          <w:bCs/>
        </w:rPr>
        <w:t>demonstrate</w:t>
      </w:r>
      <w:r w:rsidRPr="00D53DEB">
        <w:rPr>
          <w:b/>
          <w:bCs/>
        </w:rPr>
        <w:t xml:space="preserve"> that it has instituted procedures to protect the information's confidentially to the extent permitted by law.</w:t>
      </w:r>
    </w:p>
    <w:p w:rsidR="00894786" w:rsidP="00894786" w14:paraId="1C89F79B" w14:textId="77777777">
      <w:pPr>
        <w:pStyle w:val="Default"/>
      </w:pPr>
    </w:p>
    <w:p w:rsidR="00894786" w:rsidRPr="00894786" w:rsidP="00894786" w14:paraId="73ECAB08" w14:textId="77777777">
      <w:pPr>
        <w:pStyle w:val="Default"/>
      </w:pPr>
      <w:r w:rsidRPr="00894786">
        <w:t xml:space="preserve">This collection is consistent with the provisions of 5 CFR § 1320.6. There are no special circumstances. </w:t>
      </w:r>
    </w:p>
    <w:p w:rsidR="00690F56" w:rsidRPr="00871CA6" w:rsidP="00690F56" w14:paraId="186CBA80"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pPr>
    </w:p>
    <w:p w:rsidR="00690F56" w:rsidRPr="003F4921" w:rsidP="003F4921" w14:paraId="1E3B8C08" w14:textId="77777777">
      <w:pPr>
        <w:pStyle w:val="Heading2"/>
      </w:pPr>
      <w:r w:rsidRPr="00D53DEB">
        <w:t xml:space="preserve"> 8.  </w:t>
      </w:r>
      <w:r w:rsidRPr="003F4921">
        <w:t xml:space="preserve">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w:t>
      </w:r>
      <w:r w:rsidRPr="003F4921" w:rsidR="00E46EE5">
        <w:t xml:space="preserve"> </w:t>
      </w:r>
      <w:r w:rsidRPr="003F4921">
        <w:t>Specifically address comments received on cost and hour burden.</w:t>
      </w:r>
    </w:p>
    <w:p w:rsidR="00690F56" w:rsidRPr="003F4921" w:rsidP="003F4921" w14:paraId="6D77C5FA" w14:textId="77777777">
      <w:pPr>
        <w:pStyle w:val="Heading2"/>
      </w:pPr>
    </w:p>
    <w:p w:rsidR="00690F56" w:rsidRPr="003F4921" w:rsidP="003F4921" w14:paraId="26F2F511" w14:textId="77777777">
      <w:pPr>
        <w:pStyle w:val="Heading2"/>
      </w:pPr>
      <w:r w:rsidRPr="003F4921">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690F56" w:rsidRPr="003F4921" w:rsidP="003F4921" w14:paraId="51B060B8" w14:textId="77777777">
      <w:pPr>
        <w:pStyle w:val="Heading2"/>
      </w:pPr>
    </w:p>
    <w:p w:rsidR="00690F56" w:rsidRPr="003F4921" w:rsidP="003F4921" w14:paraId="767B60FC" w14:textId="77777777">
      <w:pPr>
        <w:pStyle w:val="Heading2"/>
      </w:pPr>
      <w:r w:rsidRPr="003F4921">
        <w:t>Consultation with representatives of those from whom information is to be obtained or those who must compile records should occur at least once every 3 years</w:t>
      </w:r>
      <w:r w:rsidRPr="003F4921" w:rsidR="00901EF6">
        <w:t xml:space="preserve"> --</w:t>
      </w:r>
      <w:r w:rsidRPr="003F4921">
        <w:t xml:space="preserve"> even if the collection-of-information activity is the same as in prior periods.  There may be </w:t>
      </w:r>
      <w:r w:rsidRPr="003F4921">
        <w:t>circumstances that may preclude consultation in a specific situation.  These circumstances should be explained.</w:t>
      </w:r>
    </w:p>
    <w:p w:rsidR="00DB4030" w:rsidP="00DB4030" w14:paraId="60663735" w14:textId="77777777">
      <w:pPr>
        <w:pStyle w:val="Default"/>
      </w:pPr>
    </w:p>
    <w:p w:rsidR="00DB4030" w:rsidRPr="00DB4030" w:rsidP="00DB4030" w14:paraId="4C60CE56" w14:textId="77777777">
      <w:pPr>
        <w:pStyle w:val="Default"/>
      </w:pPr>
      <w:r w:rsidRPr="00DB4030">
        <w:t xml:space="preserve">No comments have been received during the 60-day Federal Register notice period. However, a 30-day notice will be published in the Federal Register to solicit public comments. </w:t>
      </w:r>
    </w:p>
    <w:p w:rsidR="00DA7DC9" w:rsidRPr="00A47DA7" w:rsidP="0060114B" w14:paraId="0C933CDF" w14:textId="77777777">
      <w:pPr>
        <w:widowControl/>
        <w:autoSpaceDE/>
        <w:autoSpaceDN/>
        <w:adjustRightInd/>
        <w:rPr>
          <w:rFonts w:eastAsia="Calibri"/>
        </w:rPr>
      </w:pPr>
    </w:p>
    <w:p w:rsidR="00690F56" w:rsidRPr="00D53DEB" w:rsidP="00690F56" w14:paraId="608739E9"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b/>
          <w:bCs/>
        </w:rPr>
      </w:pPr>
      <w:r w:rsidRPr="00D53DEB">
        <w:rPr>
          <w:b/>
          <w:bCs/>
        </w:rPr>
        <w:t xml:space="preserve">9.  </w:t>
      </w:r>
      <w:r w:rsidRPr="003F4921">
        <w:rPr>
          <w:rStyle w:val="Heading2Char"/>
        </w:rPr>
        <w:t>Explain any decision to provide any payments or gift</w:t>
      </w:r>
      <w:r w:rsidRPr="003F4921" w:rsidR="009441E2">
        <w:rPr>
          <w:rStyle w:val="Heading2Char"/>
        </w:rPr>
        <w:t>s</w:t>
      </w:r>
      <w:r w:rsidRPr="003F4921">
        <w:rPr>
          <w:rStyle w:val="Heading2Char"/>
        </w:rPr>
        <w:t xml:space="preserve"> to respondents, other than </w:t>
      </w:r>
      <w:r w:rsidRPr="003F4921" w:rsidR="006E1A08">
        <w:rPr>
          <w:rStyle w:val="Heading2Char"/>
        </w:rPr>
        <w:t>remuneration</w:t>
      </w:r>
      <w:r w:rsidRPr="003F4921">
        <w:rPr>
          <w:rStyle w:val="Heading2Char"/>
        </w:rPr>
        <w:t xml:space="preserve"> of contractors or grantees.</w:t>
      </w:r>
    </w:p>
    <w:p w:rsidR="00690F56" w:rsidRPr="00A47DA7" w:rsidP="00690F56" w14:paraId="3EC59954"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b/>
          <w:bCs/>
        </w:rPr>
      </w:pPr>
    </w:p>
    <w:p w:rsidR="00262716" w:rsidP="00262716" w14:paraId="47C3F7E4" w14:textId="1AE0089B">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pPr>
      <w:r w:rsidRPr="004328D9">
        <w:t>No government funds will be used as payment or for gifts to respondents</w:t>
      </w:r>
      <w:r w:rsidRPr="00262716">
        <w:t>.</w:t>
      </w:r>
    </w:p>
    <w:p w:rsidR="00B64496" w:rsidRPr="00871CA6" w:rsidP="00262716" w14:paraId="3D0608DC"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pPr>
    </w:p>
    <w:p w:rsidR="00690F56" w:rsidRPr="00A47DA7" w:rsidP="00690F56" w14:paraId="41D6A133" w14:textId="3087EC49">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b/>
          <w:bCs/>
        </w:rPr>
      </w:pPr>
      <w:r w:rsidRPr="00D53DEB">
        <w:rPr>
          <w:b/>
          <w:bCs/>
        </w:rPr>
        <w:t xml:space="preserve">10.  </w:t>
      </w:r>
      <w:r w:rsidRPr="003F4921">
        <w:rPr>
          <w:rStyle w:val="Heading2Char"/>
        </w:rPr>
        <w:t>Describe any assurance of confidentiality provided to respondents and the basis for the assurance in statute, regulation, or agency policy.</w:t>
      </w:r>
    </w:p>
    <w:p w:rsidR="007108D3" w:rsidP="007108D3" w14:paraId="72D97C53" w14:textId="77777777">
      <w:pPr>
        <w:pStyle w:val="Default"/>
      </w:pPr>
    </w:p>
    <w:p w:rsidR="00D735B0" w:rsidRPr="007108D3" w:rsidP="007108D3" w14:paraId="0AD89F5C" w14:textId="72DA01E7">
      <w:pPr>
        <w:pStyle w:val="Default"/>
      </w:pPr>
      <w:r w:rsidRPr="007108D3">
        <w:t>In addition to the requirements for confidentiality contained in the Privacy Act, this information is classified as "tax information" or “tax return information” and any release is severely restricted by the Tax Reform Act (26 U.S.C. § 6103)</w:t>
      </w:r>
      <w:r w:rsidRPr="007108D3">
        <w:t>.</w:t>
      </w:r>
    </w:p>
    <w:p w:rsidR="004328D9" w:rsidRPr="00871CA6" w:rsidP="00D735B0" w14:paraId="306AC335"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pPr>
    </w:p>
    <w:p w:rsidR="00690F56" w:rsidP="00690F56" w14:paraId="3F71900A" w14:textId="20B32529">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b/>
          <w:bCs/>
        </w:rPr>
      </w:pPr>
      <w:r w:rsidRPr="00D53DEB">
        <w:rPr>
          <w:b/>
          <w:bCs/>
        </w:rPr>
        <w:t xml:space="preserve">11. </w:t>
      </w:r>
      <w:r w:rsidRPr="003F4921">
        <w:rPr>
          <w:rStyle w:val="Heading2Char"/>
        </w:rPr>
        <w:t xml:space="preserve">Provide additional justification for any questions of a sensitive nature, such as sexual behavior and attitudes, religious beliefs, and other matters that are commonly considered private.  This justification should include the reasons why the </w:t>
      </w:r>
      <w:r w:rsidRPr="003F4921" w:rsidR="00C667F3">
        <w:rPr>
          <w:rStyle w:val="Heading2Char"/>
        </w:rPr>
        <w:t>a</w:t>
      </w:r>
      <w:r w:rsidRPr="003F4921">
        <w:rPr>
          <w:rStyle w:val="Heading2Char"/>
        </w:rPr>
        <w:t>gency considers the questions necessary, the specific uses to be made of the information, the explanation to be given to persons from whom the information is requested, and any steps to be taken to obtain their consent.</w:t>
      </w:r>
    </w:p>
    <w:p w:rsidR="007108D3" w:rsidP="007108D3" w14:paraId="6E2C0962" w14:textId="77777777">
      <w:pPr>
        <w:pStyle w:val="Default"/>
      </w:pPr>
    </w:p>
    <w:p w:rsidR="007108D3" w:rsidP="007108D3" w14:paraId="2A70EBBE" w14:textId="77777777">
      <w:pPr>
        <w:pStyle w:val="Default"/>
        <w:rPr>
          <w:sz w:val="23"/>
          <w:szCs w:val="23"/>
        </w:rPr>
      </w:pPr>
      <w:r>
        <w:rPr>
          <w:sz w:val="23"/>
          <w:szCs w:val="23"/>
        </w:rPr>
        <w:t xml:space="preserve">No questions of a sensitive nature are asked. </w:t>
      </w:r>
    </w:p>
    <w:p w:rsidR="00690F56" w:rsidRPr="00871CA6" w:rsidP="00690F56" w14:paraId="27A67CE6"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pPr>
    </w:p>
    <w:p w:rsidR="00690F56" w:rsidRPr="00D53DEB" w:rsidP="00690F56" w14:paraId="39124B7D"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b/>
          <w:bCs/>
        </w:rPr>
      </w:pPr>
      <w:r w:rsidRPr="00D53DEB">
        <w:rPr>
          <w:b/>
          <w:bCs/>
        </w:rPr>
        <w:t xml:space="preserve">12.  </w:t>
      </w:r>
      <w:r w:rsidRPr="003F4921">
        <w:rPr>
          <w:rStyle w:val="Heading2Char"/>
        </w:rPr>
        <w:t>Provide estimates of the hour burden of the collection of information.  The statement should:</w:t>
      </w:r>
    </w:p>
    <w:p w:rsidR="00690F56" w:rsidRPr="00D53DEB" w:rsidP="00690F56" w14:paraId="0DE6D347"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b/>
          <w:bCs/>
        </w:rPr>
      </w:pPr>
    </w:p>
    <w:p w:rsidR="00690F56" w:rsidRPr="00D53DEB" w:rsidP="00C667F3" w14:paraId="6B440E9A" w14:textId="77777777">
      <w:pPr>
        <w:widowControl/>
        <w:numPr>
          <w:ilvl w:val="0"/>
          <w:numId w:val="4"/>
        </w:num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b/>
          <w:bCs/>
        </w:rPr>
      </w:pPr>
      <w:r w:rsidRPr="00D53DEB">
        <w:rPr>
          <w:b/>
          <w:bCs/>
        </w:rPr>
        <w:t xml:space="preserve">Indicate </w:t>
      </w:r>
      <w:r w:rsidRPr="00D53DEB">
        <w:rPr>
          <w:b/>
          <w:bCs/>
        </w:rPr>
        <w:t>the number of respondents, frequency of response, annual hour burden, and an explanation o</w:t>
      </w:r>
      <w:r w:rsidRPr="00D53DEB" w:rsidR="00D2331B">
        <w:rPr>
          <w:b/>
          <w:bCs/>
        </w:rPr>
        <w:t xml:space="preserve">f </w:t>
      </w:r>
      <w:r w:rsidRPr="00D53DEB">
        <w:rPr>
          <w:b/>
          <w:bCs/>
        </w:rPr>
        <w:t>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w:t>
      </w:r>
      <w:r w:rsidRPr="00D53DEB">
        <w:rPr>
          <w:b/>
          <w:bCs/>
        </w:rPr>
        <w:t>,</w:t>
      </w:r>
      <w:r w:rsidRPr="00D53DEB">
        <w:rPr>
          <w:b/>
          <w:bCs/>
        </w:rPr>
        <w:t xml:space="preserve"> estimates should not include burden hours</w:t>
      </w:r>
      <w:r w:rsidRPr="00D53DEB" w:rsidR="00CD215D">
        <w:rPr>
          <w:b/>
          <w:bCs/>
        </w:rPr>
        <w:t xml:space="preserve"> </w:t>
      </w:r>
      <w:r w:rsidRPr="00D53DEB">
        <w:rPr>
          <w:b/>
          <w:bCs/>
        </w:rPr>
        <w:t>for customary and usual business practices.</w:t>
      </w:r>
    </w:p>
    <w:p w:rsidR="00690F56" w:rsidRPr="00D53DEB" w:rsidP="00690F56" w14:paraId="2CF1128C"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b/>
          <w:bCs/>
        </w:rPr>
      </w:pPr>
    </w:p>
    <w:p w:rsidR="007A7F79" w:rsidRPr="00D53DEB" w:rsidP="007A7F79" w14:paraId="37614E37" w14:textId="77777777">
      <w:pPr>
        <w:pStyle w:val="Level1"/>
        <w:widowControl/>
        <w:numPr>
          <w:ilvl w:val="0"/>
          <w:numId w:val="4"/>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D53DEB">
        <w:rPr>
          <w:b/>
        </w:rPr>
        <w:t xml:space="preserve">If this </w:t>
      </w:r>
      <w:r w:rsidRPr="00D53DEB">
        <w:rPr>
          <w:b/>
          <w:bCs/>
        </w:rPr>
        <w:t>request for approval covers more than one form, provide separate hour burden estimates for each form.</w:t>
      </w:r>
    </w:p>
    <w:p w:rsidR="00882B1D" w:rsidRPr="00D53DEB" w:rsidP="00AF2C11" w14:paraId="2B026727" w14:textId="77777777">
      <w:pPr>
        <w:pStyle w:val="Level1"/>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rPr>
          <w:b/>
          <w:bCs/>
        </w:rPr>
      </w:pPr>
    </w:p>
    <w:p w:rsidR="00CD215D" w:rsidRPr="00D53DEB" w:rsidP="00C667F3" w14:paraId="163C0E79" w14:textId="77777777">
      <w:pPr>
        <w:widowControl/>
        <w:numPr>
          <w:ilvl w:val="0"/>
          <w:numId w:val="4"/>
        </w:num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b/>
          <w:bCs/>
        </w:rPr>
      </w:pPr>
      <w:r w:rsidRPr="00D53DEB">
        <w:rPr>
          <w:b/>
          <w:bCs/>
        </w:rPr>
        <w:t xml:space="preserve">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w:t>
      </w:r>
      <w:r w:rsidRPr="00D53DEB" w:rsidR="00312124">
        <w:rPr>
          <w:b/>
          <w:bCs/>
        </w:rPr>
        <w:t>this cost</w:t>
      </w:r>
      <w:r w:rsidRPr="00D53DEB" w:rsidR="00C667F3">
        <w:rPr>
          <w:b/>
          <w:bCs/>
        </w:rPr>
        <w:t xml:space="preserve"> should be included in Item 14</w:t>
      </w:r>
      <w:r w:rsidRPr="00D53DEB">
        <w:rPr>
          <w:b/>
          <w:bCs/>
        </w:rPr>
        <w:t>.</w:t>
      </w:r>
    </w:p>
    <w:p w:rsidR="00690F56" w:rsidP="00690F56" w14:paraId="1904007E"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b/>
          <w:bCs/>
        </w:rPr>
      </w:pPr>
    </w:p>
    <w:p w:rsidR="006626FF" w:rsidRPr="006626FF" w:rsidP="006626FF" w14:paraId="49938EA8" w14:textId="77777777">
      <w:pPr>
        <w:ind w:left="720"/>
        <w:rPr>
          <w:i/>
        </w:rPr>
      </w:pPr>
    </w:p>
    <w:p w:rsidR="006626FF" w:rsidRPr="00E60FB0" w:rsidP="006626FF" w14:paraId="3CD4954E" w14:textId="77777777">
      <w:pPr>
        <w:ind w:left="720"/>
        <w:jc w:val="center"/>
        <w:rPr>
          <w:i/>
        </w:rPr>
      </w:pPr>
      <w:r w:rsidRPr="00E60FB0">
        <w:rPr>
          <w:b/>
        </w:rPr>
        <w:t>Estimated Annualized Respondent Cost and Hour Burden</w:t>
      </w:r>
    </w:p>
    <w:tbl>
      <w:tblPr>
        <w:tblStyle w:val="TableGrid"/>
        <w:tblW w:w="9625" w:type="dxa"/>
        <w:tblLook w:val="04A0"/>
      </w:tblPr>
      <w:tblGrid>
        <w:gridCol w:w="1439"/>
        <w:gridCol w:w="1415"/>
        <w:gridCol w:w="1219"/>
        <w:gridCol w:w="1182"/>
        <w:gridCol w:w="1097"/>
        <w:gridCol w:w="950"/>
        <w:gridCol w:w="889"/>
        <w:gridCol w:w="1434"/>
      </w:tblGrid>
      <w:tr w14:paraId="4AA59B92" w14:textId="77777777" w:rsidTr="00501A15">
        <w:tblPrEx>
          <w:tblW w:w="9625" w:type="dxa"/>
          <w:tblLook w:val="04A0"/>
        </w:tblPrEx>
        <w:tc>
          <w:tcPr>
            <w:tcW w:w="1439" w:type="dxa"/>
            <w:shd w:val="clear" w:color="auto" w:fill="ADB9CA" w:themeFill="text2" w:themeFillTint="66"/>
          </w:tcPr>
          <w:p w:rsidR="003908B9" w:rsidRPr="008F47CB" w:rsidP="008C6A87" w14:paraId="7BEB472C" w14:textId="77777777">
            <w:pPr>
              <w:rPr>
                <w:rFonts w:ascii="Times New Roman" w:hAnsi="Times New Roman"/>
                <w:b/>
                <w:sz w:val="22"/>
                <w:szCs w:val="22"/>
              </w:rPr>
            </w:pPr>
            <w:r w:rsidRPr="008F47CB">
              <w:rPr>
                <w:rFonts w:ascii="Times New Roman" w:hAnsi="Times New Roman"/>
                <w:b/>
                <w:sz w:val="22"/>
                <w:szCs w:val="22"/>
              </w:rPr>
              <w:t>Activity</w:t>
            </w:r>
          </w:p>
        </w:tc>
        <w:tc>
          <w:tcPr>
            <w:tcW w:w="1415" w:type="dxa"/>
            <w:shd w:val="clear" w:color="auto" w:fill="ADB9CA" w:themeFill="text2" w:themeFillTint="66"/>
          </w:tcPr>
          <w:p w:rsidR="003908B9" w:rsidRPr="008F47CB" w:rsidP="008C6A87" w14:paraId="0C165867" w14:textId="77777777">
            <w:pPr>
              <w:rPr>
                <w:rFonts w:ascii="Times New Roman" w:hAnsi="Times New Roman"/>
                <w:b/>
                <w:sz w:val="22"/>
                <w:szCs w:val="22"/>
              </w:rPr>
            </w:pPr>
            <w:r w:rsidRPr="008F47CB">
              <w:rPr>
                <w:rFonts w:ascii="Times New Roman" w:hAnsi="Times New Roman"/>
                <w:b/>
                <w:sz w:val="22"/>
                <w:szCs w:val="22"/>
              </w:rPr>
              <w:t>Number of Respondents</w:t>
            </w:r>
          </w:p>
        </w:tc>
        <w:tc>
          <w:tcPr>
            <w:tcW w:w="1219" w:type="dxa"/>
            <w:shd w:val="clear" w:color="auto" w:fill="ADB9CA" w:themeFill="text2" w:themeFillTint="66"/>
          </w:tcPr>
          <w:p w:rsidR="003908B9" w:rsidRPr="008F47CB" w:rsidP="008C6A87" w14:paraId="504A0CCE" w14:textId="77777777">
            <w:pPr>
              <w:rPr>
                <w:rFonts w:ascii="Times New Roman" w:hAnsi="Times New Roman"/>
                <w:b/>
                <w:sz w:val="22"/>
                <w:szCs w:val="22"/>
              </w:rPr>
            </w:pPr>
            <w:r w:rsidRPr="008F47CB">
              <w:rPr>
                <w:rFonts w:ascii="Times New Roman" w:hAnsi="Times New Roman"/>
                <w:b/>
                <w:sz w:val="22"/>
                <w:szCs w:val="22"/>
              </w:rPr>
              <w:t>Frequency</w:t>
            </w:r>
          </w:p>
        </w:tc>
        <w:tc>
          <w:tcPr>
            <w:tcW w:w="1182" w:type="dxa"/>
            <w:shd w:val="clear" w:color="auto" w:fill="ADB9CA" w:themeFill="text2" w:themeFillTint="66"/>
          </w:tcPr>
          <w:p w:rsidR="003908B9" w:rsidRPr="008F47CB" w:rsidP="008C6A87" w14:paraId="43DA2D2D" w14:textId="77777777">
            <w:pPr>
              <w:rPr>
                <w:rFonts w:ascii="Times New Roman" w:hAnsi="Times New Roman"/>
                <w:b/>
                <w:sz w:val="22"/>
                <w:szCs w:val="22"/>
              </w:rPr>
            </w:pPr>
            <w:r w:rsidRPr="008F47CB">
              <w:rPr>
                <w:rFonts w:ascii="Times New Roman" w:hAnsi="Times New Roman"/>
                <w:b/>
                <w:sz w:val="22"/>
                <w:szCs w:val="22"/>
              </w:rPr>
              <w:t>Total Annual Responses</w:t>
            </w:r>
          </w:p>
        </w:tc>
        <w:tc>
          <w:tcPr>
            <w:tcW w:w="1097" w:type="dxa"/>
            <w:shd w:val="clear" w:color="auto" w:fill="ADB9CA" w:themeFill="text2" w:themeFillTint="66"/>
          </w:tcPr>
          <w:p w:rsidR="003908B9" w:rsidRPr="008F47CB" w:rsidP="008C6A87" w14:paraId="2403F83B" w14:textId="77777777">
            <w:pPr>
              <w:rPr>
                <w:rFonts w:ascii="Times New Roman" w:hAnsi="Times New Roman"/>
                <w:b/>
                <w:sz w:val="22"/>
                <w:szCs w:val="22"/>
              </w:rPr>
            </w:pPr>
            <w:r w:rsidRPr="008F47CB">
              <w:rPr>
                <w:rFonts w:ascii="Times New Roman" w:hAnsi="Times New Roman"/>
                <w:b/>
                <w:sz w:val="22"/>
                <w:szCs w:val="22"/>
              </w:rPr>
              <w:t>Time Per Response</w:t>
            </w:r>
          </w:p>
        </w:tc>
        <w:tc>
          <w:tcPr>
            <w:tcW w:w="950" w:type="dxa"/>
            <w:shd w:val="clear" w:color="auto" w:fill="ADB9CA" w:themeFill="text2" w:themeFillTint="66"/>
          </w:tcPr>
          <w:p w:rsidR="003908B9" w:rsidRPr="008F47CB" w:rsidP="008C6A87" w14:paraId="4756C3F4" w14:textId="77777777">
            <w:pPr>
              <w:rPr>
                <w:rFonts w:ascii="Times New Roman" w:hAnsi="Times New Roman"/>
                <w:b/>
                <w:sz w:val="22"/>
                <w:szCs w:val="22"/>
              </w:rPr>
            </w:pPr>
            <w:r w:rsidRPr="008F47CB">
              <w:rPr>
                <w:rFonts w:ascii="Times New Roman" w:hAnsi="Times New Roman"/>
                <w:b/>
                <w:sz w:val="22"/>
                <w:szCs w:val="22"/>
              </w:rPr>
              <w:t>Total Annual Burden (Hours)</w:t>
            </w:r>
          </w:p>
        </w:tc>
        <w:tc>
          <w:tcPr>
            <w:tcW w:w="889" w:type="dxa"/>
            <w:shd w:val="clear" w:color="auto" w:fill="ADB9CA" w:themeFill="text2" w:themeFillTint="66"/>
          </w:tcPr>
          <w:p w:rsidR="003908B9" w:rsidRPr="008F47CB" w:rsidP="008C6A87" w14:paraId="66A83D48" w14:textId="77777777">
            <w:pPr>
              <w:rPr>
                <w:rFonts w:ascii="Times New Roman" w:hAnsi="Times New Roman"/>
                <w:b/>
                <w:sz w:val="22"/>
                <w:szCs w:val="22"/>
              </w:rPr>
            </w:pPr>
            <w:r w:rsidRPr="008F47CB">
              <w:rPr>
                <w:rFonts w:ascii="Times New Roman" w:hAnsi="Times New Roman"/>
                <w:b/>
                <w:sz w:val="22"/>
                <w:szCs w:val="22"/>
              </w:rPr>
              <w:t>Hourly Rate</w:t>
            </w:r>
            <w:r>
              <w:rPr>
                <w:rFonts w:ascii="Times New Roman" w:hAnsi="Times New Roman"/>
                <w:b/>
                <w:sz w:val="22"/>
                <w:szCs w:val="22"/>
              </w:rPr>
              <w:t>*</w:t>
            </w:r>
          </w:p>
        </w:tc>
        <w:tc>
          <w:tcPr>
            <w:tcW w:w="1434" w:type="dxa"/>
            <w:shd w:val="clear" w:color="auto" w:fill="ADB9CA" w:themeFill="text2" w:themeFillTint="66"/>
          </w:tcPr>
          <w:p w:rsidR="003908B9" w:rsidRPr="008F47CB" w:rsidP="008C6A87" w14:paraId="5F43E499" w14:textId="77777777">
            <w:pPr>
              <w:rPr>
                <w:rFonts w:ascii="Times New Roman" w:hAnsi="Times New Roman"/>
                <w:b/>
                <w:sz w:val="22"/>
                <w:szCs w:val="22"/>
              </w:rPr>
            </w:pPr>
            <w:r w:rsidRPr="008F47CB">
              <w:rPr>
                <w:rFonts w:ascii="Times New Roman" w:hAnsi="Times New Roman"/>
                <w:b/>
                <w:sz w:val="22"/>
                <w:szCs w:val="22"/>
              </w:rPr>
              <w:t>Monetized Value of Respondent Time</w:t>
            </w:r>
          </w:p>
        </w:tc>
      </w:tr>
      <w:tr w14:paraId="079EF15D" w14:textId="77777777" w:rsidTr="00501A15">
        <w:tblPrEx>
          <w:tblW w:w="9625" w:type="dxa"/>
          <w:tblLook w:val="04A0"/>
        </w:tblPrEx>
        <w:tc>
          <w:tcPr>
            <w:tcW w:w="1439" w:type="dxa"/>
            <w:vAlign w:val="bottom"/>
          </w:tcPr>
          <w:p w:rsidR="003908B9" w:rsidRPr="008F47CB" w:rsidP="004B50A2" w14:paraId="4E4E0FA6" w14:textId="0200E2EB">
            <w:pPr>
              <w:jc w:val="right"/>
              <w:rPr>
                <w:rFonts w:ascii="Times New Roman" w:hAnsi="Times New Roman"/>
                <w:sz w:val="22"/>
                <w:szCs w:val="22"/>
              </w:rPr>
            </w:pPr>
            <w:r w:rsidRPr="004B50A2">
              <w:rPr>
                <w:sz w:val="22"/>
                <w:szCs w:val="22"/>
              </w:rPr>
              <w:t>ATF Form 9 (5320.9)</w:t>
            </w:r>
          </w:p>
        </w:tc>
        <w:tc>
          <w:tcPr>
            <w:tcW w:w="1415" w:type="dxa"/>
            <w:vAlign w:val="bottom"/>
          </w:tcPr>
          <w:p w:rsidR="003908B9" w:rsidRPr="008F47CB" w:rsidP="008C6A87" w14:paraId="23BB2474" w14:textId="4C03B70F">
            <w:pPr>
              <w:jc w:val="right"/>
              <w:rPr>
                <w:rFonts w:ascii="Times New Roman" w:hAnsi="Times New Roman"/>
                <w:sz w:val="22"/>
                <w:szCs w:val="22"/>
              </w:rPr>
            </w:pPr>
            <w:r>
              <w:rPr>
                <w:rFonts w:ascii="Times New Roman" w:hAnsi="Times New Roman"/>
                <w:sz w:val="22"/>
                <w:szCs w:val="22"/>
              </w:rPr>
              <w:t>1,831</w:t>
            </w:r>
          </w:p>
        </w:tc>
        <w:tc>
          <w:tcPr>
            <w:tcW w:w="1219" w:type="dxa"/>
            <w:vAlign w:val="bottom"/>
          </w:tcPr>
          <w:p w:rsidR="003908B9" w:rsidRPr="008F47CB" w:rsidP="008C6A87" w14:paraId="5D72451D" w14:textId="2626FAFD">
            <w:pPr>
              <w:jc w:val="right"/>
              <w:rPr>
                <w:rFonts w:ascii="Times New Roman" w:hAnsi="Times New Roman"/>
                <w:sz w:val="22"/>
                <w:szCs w:val="22"/>
              </w:rPr>
            </w:pPr>
            <w:r>
              <w:rPr>
                <w:rFonts w:ascii="Times New Roman" w:hAnsi="Times New Roman"/>
                <w:sz w:val="22"/>
                <w:szCs w:val="22"/>
              </w:rPr>
              <w:t>1</w:t>
            </w:r>
          </w:p>
        </w:tc>
        <w:tc>
          <w:tcPr>
            <w:tcW w:w="1182" w:type="dxa"/>
            <w:vAlign w:val="bottom"/>
          </w:tcPr>
          <w:p w:rsidR="003908B9" w:rsidRPr="008F47CB" w:rsidP="008C6A87" w14:paraId="03D2549D" w14:textId="23854908">
            <w:pPr>
              <w:jc w:val="right"/>
              <w:rPr>
                <w:rFonts w:ascii="Times New Roman" w:hAnsi="Times New Roman"/>
                <w:sz w:val="22"/>
                <w:szCs w:val="22"/>
              </w:rPr>
            </w:pPr>
            <w:r>
              <w:rPr>
                <w:rFonts w:ascii="Times New Roman" w:hAnsi="Times New Roman"/>
                <w:sz w:val="22"/>
                <w:szCs w:val="22"/>
              </w:rPr>
              <w:t>1,831</w:t>
            </w:r>
          </w:p>
        </w:tc>
        <w:tc>
          <w:tcPr>
            <w:tcW w:w="1097" w:type="dxa"/>
            <w:vAlign w:val="bottom"/>
          </w:tcPr>
          <w:p w:rsidR="003908B9" w:rsidRPr="008F47CB" w:rsidP="008C6A87" w14:paraId="3704ADCE" w14:textId="125DA760">
            <w:pPr>
              <w:jc w:val="right"/>
              <w:rPr>
                <w:rFonts w:ascii="Times New Roman" w:hAnsi="Times New Roman"/>
                <w:sz w:val="22"/>
                <w:szCs w:val="22"/>
              </w:rPr>
            </w:pPr>
            <w:r>
              <w:rPr>
                <w:rFonts w:ascii="Times New Roman" w:hAnsi="Times New Roman"/>
                <w:sz w:val="22"/>
                <w:szCs w:val="22"/>
              </w:rPr>
              <w:t>18</w:t>
            </w:r>
            <w:r w:rsidR="00A50508">
              <w:rPr>
                <w:rFonts w:ascii="Times New Roman" w:hAnsi="Times New Roman"/>
                <w:sz w:val="22"/>
                <w:szCs w:val="22"/>
              </w:rPr>
              <w:t>min</w:t>
            </w:r>
          </w:p>
        </w:tc>
        <w:tc>
          <w:tcPr>
            <w:tcW w:w="950" w:type="dxa"/>
            <w:vAlign w:val="bottom"/>
          </w:tcPr>
          <w:p w:rsidR="003908B9" w:rsidRPr="008F47CB" w:rsidP="008C6A87" w14:paraId="498C761A" w14:textId="6D2898AB">
            <w:pPr>
              <w:jc w:val="right"/>
              <w:rPr>
                <w:rFonts w:ascii="Times New Roman" w:hAnsi="Times New Roman"/>
                <w:sz w:val="22"/>
                <w:szCs w:val="22"/>
              </w:rPr>
            </w:pPr>
            <w:r>
              <w:rPr>
                <w:rFonts w:ascii="Times New Roman" w:hAnsi="Times New Roman"/>
                <w:sz w:val="22"/>
                <w:szCs w:val="22"/>
              </w:rPr>
              <w:t>549</w:t>
            </w:r>
            <w:r w:rsidR="00FA6F08">
              <w:rPr>
                <w:rFonts w:ascii="Times New Roman" w:hAnsi="Times New Roman"/>
                <w:sz w:val="22"/>
                <w:szCs w:val="22"/>
              </w:rPr>
              <w:t>hrs</w:t>
            </w:r>
          </w:p>
        </w:tc>
        <w:tc>
          <w:tcPr>
            <w:tcW w:w="889" w:type="dxa"/>
            <w:vAlign w:val="bottom"/>
          </w:tcPr>
          <w:p w:rsidR="003908B9" w:rsidRPr="008F47CB" w:rsidP="008C6A87" w14:paraId="2C9B9B1D" w14:textId="6FE47E75">
            <w:pPr>
              <w:jc w:val="right"/>
              <w:rPr>
                <w:rFonts w:ascii="Times New Roman" w:hAnsi="Times New Roman"/>
                <w:sz w:val="22"/>
                <w:szCs w:val="22"/>
              </w:rPr>
            </w:pPr>
          </w:p>
        </w:tc>
        <w:tc>
          <w:tcPr>
            <w:tcW w:w="1434" w:type="dxa"/>
            <w:vAlign w:val="bottom"/>
          </w:tcPr>
          <w:p w:rsidR="003908B9" w:rsidRPr="008F47CB" w:rsidP="008C6A87" w14:paraId="689A6EF1" w14:textId="2BD442B8">
            <w:pPr>
              <w:jc w:val="right"/>
              <w:rPr>
                <w:rFonts w:ascii="Times New Roman" w:hAnsi="Times New Roman"/>
                <w:sz w:val="22"/>
                <w:szCs w:val="22"/>
              </w:rPr>
            </w:pPr>
          </w:p>
        </w:tc>
      </w:tr>
      <w:tr w14:paraId="28A27403" w14:textId="77777777" w:rsidTr="00501A15">
        <w:tblPrEx>
          <w:tblW w:w="9625" w:type="dxa"/>
          <w:tblLook w:val="04A0"/>
        </w:tblPrEx>
        <w:tc>
          <w:tcPr>
            <w:tcW w:w="1439" w:type="dxa"/>
            <w:vAlign w:val="bottom"/>
          </w:tcPr>
          <w:p w:rsidR="003908B9" w:rsidRPr="008F47CB" w:rsidP="008C6A87" w14:paraId="779E4025" w14:textId="77777777">
            <w:pPr>
              <w:jc w:val="right"/>
              <w:rPr>
                <w:rFonts w:ascii="Times New Roman" w:hAnsi="Times New Roman"/>
                <w:sz w:val="22"/>
                <w:szCs w:val="22"/>
              </w:rPr>
            </w:pPr>
          </w:p>
        </w:tc>
        <w:tc>
          <w:tcPr>
            <w:tcW w:w="1415" w:type="dxa"/>
            <w:vAlign w:val="bottom"/>
          </w:tcPr>
          <w:p w:rsidR="003908B9" w:rsidRPr="008F47CB" w:rsidP="008C6A87" w14:paraId="0D0FB099" w14:textId="77777777">
            <w:pPr>
              <w:jc w:val="right"/>
              <w:rPr>
                <w:rFonts w:ascii="Times New Roman" w:hAnsi="Times New Roman"/>
                <w:sz w:val="22"/>
                <w:szCs w:val="22"/>
              </w:rPr>
            </w:pPr>
          </w:p>
        </w:tc>
        <w:tc>
          <w:tcPr>
            <w:tcW w:w="1219" w:type="dxa"/>
            <w:vAlign w:val="bottom"/>
          </w:tcPr>
          <w:p w:rsidR="003908B9" w:rsidRPr="008F47CB" w:rsidP="008C6A87" w14:paraId="2DF69973" w14:textId="77777777">
            <w:pPr>
              <w:jc w:val="right"/>
              <w:rPr>
                <w:rFonts w:ascii="Times New Roman" w:hAnsi="Times New Roman"/>
                <w:sz w:val="22"/>
                <w:szCs w:val="22"/>
              </w:rPr>
            </w:pPr>
          </w:p>
        </w:tc>
        <w:tc>
          <w:tcPr>
            <w:tcW w:w="1182" w:type="dxa"/>
            <w:vAlign w:val="bottom"/>
          </w:tcPr>
          <w:p w:rsidR="003908B9" w:rsidRPr="008F47CB" w:rsidP="008C6A87" w14:paraId="6869AFA2" w14:textId="77777777">
            <w:pPr>
              <w:jc w:val="right"/>
              <w:rPr>
                <w:rFonts w:ascii="Times New Roman" w:hAnsi="Times New Roman"/>
                <w:sz w:val="22"/>
                <w:szCs w:val="22"/>
              </w:rPr>
            </w:pPr>
          </w:p>
        </w:tc>
        <w:tc>
          <w:tcPr>
            <w:tcW w:w="1097" w:type="dxa"/>
            <w:vAlign w:val="bottom"/>
          </w:tcPr>
          <w:p w:rsidR="003908B9" w:rsidRPr="008F47CB" w:rsidP="008C6A87" w14:paraId="3983D868" w14:textId="77777777">
            <w:pPr>
              <w:jc w:val="right"/>
              <w:rPr>
                <w:rFonts w:ascii="Times New Roman" w:hAnsi="Times New Roman"/>
                <w:sz w:val="22"/>
                <w:szCs w:val="22"/>
              </w:rPr>
            </w:pPr>
          </w:p>
        </w:tc>
        <w:tc>
          <w:tcPr>
            <w:tcW w:w="950" w:type="dxa"/>
            <w:vAlign w:val="bottom"/>
          </w:tcPr>
          <w:p w:rsidR="003908B9" w:rsidRPr="008F47CB" w:rsidP="008C6A87" w14:paraId="1211DF9B" w14:textId="77777777">
            <w:pPr>
              <w:jc w:val="right"/>
              <w:rPr>
                <w:rFonts w:ascii="Times New Roman" w:hAnsi="Times New Roman"/>
                <w:sz w:val="22"/>
                <w:szCs w:val="22"/>
              </w:rPr>
            </w:pPr>
          </w:p>
        </w:tc>
        <w:tc>
          <w:tcPr>
            <w:tcW w:w="889" w:type="dxa"/>
            <w:vAlign w:val="bottom"/>
          </w:tcPr>
          <w:p w:rsidR="003908B9" w:rsidRPr="008F47CB" w:rsidP="008C6A87" w14:paraId="52BBFE45" w14:textId="77777777">
            <w:pPr>
              <w:jc w:val="right"/>
              <w:rPr>
                <w:rFonts w:ascii="Times New Roman" w:hAnsi="Times New Roman"/>
                <w:sz w:val="22"/>
                <w:szCs w:val="22"/>
              </w:rPr>
            </w:pPr>
          </w:p>
        </w:tc>
        <w:tc>
          <w:tcPr>
            <w:tcW w:w="1434" w:type="dxa"/>
            <w:vAlign w:val="bottom"/>
          </w:tcPr>
          <w:p w:rsidR="003908B9" w:rsidRPr="008F47CB" w:rsidP="008C6A87" w14:paraId="1116896A" w14:textId="77777777">
            <w:pPr>
              <w:jc w:val="right"/>
              <w:rPr>
                <w:rFonts w:ascii="Times New Roman" w:hAnsi="Times New Roman"/>
                <w:sz w:val="22"/>
                <w:szCs w:val="22"/>
              </w:rPr>
            </w:pPr>
          </w:p>
        </w:tc>
      </w:tr>
      <w:tr w14:paraId="7117E8A9" w14:textId="77777777" w:rsidTr="00501A15">
        <w:tblPrEx>
          <w:tblW w:w="9625" w:type="dxa"/>
          <w:tblLook w:val="04A0"/>
        </w:tblPrEx>
        <w:tc>
          <w:tcPr>
            <w:tcW w:w="1439" w:type="dxa"/>
            <w:vAlign w:val="bottom"/>
          </w:tcPr>
          <w:p w:rsidR="003908B9" w:rsidRPr="008F47CB" w:rsidP="008C6A87" w14:paraId="7B495C05" w14:textId="1E5C0B79">
            <w:pPr>
              <w:jc w:val="right"/>
              <w:rPr>
                <w:rFonts w:ascii="Times New Roman" w:hAnsi="Times New Roman"/>
                <w:sz w:val="22"/>
                <w:szCs w:val="22"/>
              </w:rPr>
            </w:pPr>
          </w:p>
        </w:tc>
        <w:tc>
          <w:tcPr>
            <w:tcW w:w="1415" w:type="dxa"/>
            <w:vAlign w:val="bottom"/>
          </w:tcPr>
          <w:p w:rsidR="003908B9" w:rsidRPr="008F47CB" w:rsidP="008C6A87" w14:paraId="485C3037" w14:textId="77777777">
            <w:pPr>
              <w:jc w:val="right"/>
              <w:rPr>
                <w:rFonts w:ascii="Times New Roman" w:hAnsi="Times New Roman"/>
                <w:sz w:val="22"/>
                <w:szCs w:val="22"/>
              </w:rPr>
            </w:pPr>
          </w:p>
        </w:tc>
        <w:tc>
          <w:tcPr>
            <w:tcW w:w="1219" w:type="dxa"/>
            <w:vAlign w:val="bottom"/>
          </w:tcPr>
          <w:p w:rsidR="003908B9" w:rsidRPr="008F47CB" w:rsidP="008C6A87" w14:paraId="13B28653" w14:textId="77777777">
            <w:pPr>
              <w:jc w:val="right"/>
              <w:rPr>
                <w:rFonts w:ascii="Times New Roman" w:hAnsi="Times New Roman"/>
                <w:sz w:val="22"/>
                <w:szCs w:val="22"/>
              </w:rPr>
            </w:pPr>
          </w:p>
        </w:tc>
        <w:tc>
          <w:tcPr>
            <w:tcW w:w="1182" w:type="dxa"/>
            <w:vAlign w:val="bottom"/>
          </w:tcPr>
          <w:p w:rsidR="003908B9" w:rsidRPr="008F47CB" w:rsidP="008C6A87" w14:paraId="42D7D78C" w14:textId="77777777">
            <w:pPr>
              <w:jc w:val="right"/>
              <w:rPr>
                <w:rFonts w:ascii="Times New Roman" w:hAnsi="Times New Roman"/>
                <w:sz w:val="22"/>
                <w:szCs w:val="22"/>
              </w:rPr>
            </w:pPr>
          </w:p>
        </w:tc>
        <w:tc>
          <w:tcPr>
            <w:tcW w:w="1097" w:type="dxa"/>
            <w:vAlign w:val="bottom"/>
          </w:tcPr>
          <w:p w:rsidR="003908B9" w:rsidRPr="008F47CB" w:rsidP="008C6A87" w14:paraId="6D74F4F1" w14:textId="77777777">
            <w:pPr>
              <w:jc w:val="right"/>
              <w:rPr>
                <w:rFonts w:ascii="Times New Roman" w:hAnsi="Times New Roman"/>
                <w:sz w:val="22"/>
                <w:szCs w:val="22"/>
              </w:rPr>
            </w:pPr>
          </w:p>
        </w:tc>
        <w:tc>
          <w:tcPr>
            <w:tcW w:w="950" w:type="dxa"/>
            <w:vAlign w:val="bottom"/>
          </w:tcPr>
          <w:p w:rsidR="003908B9" w:rsidRPr="008F47CB" w:rsidP="008C6A87" w14:paraId="3AE5AEA6" w14:textId="77777777">
            <w:pPr>
              <w:jc w:val="right"/>
              <w:rPr>
                <w:rFonts w:ascii="Times New Roman" w:hAnsi="Times New Roman"/>
                <w:sz w:val="22"/>
                <w:szCs w:val="22"/>
              </w:rPr>
            </w:pPr>
          </w:p>
        </w:tc>
        <w:tc>
          <w:tcPr>
            <w:tcW w:w="889" w:type="dxa"/>
            <w:vAlign w:val="bottom"/>
          </w:tcPr>
          <w:p w:rsidR="003908B9" w:rsidRPr="008F47CB" w:rsidP="008C6A87" w14:paraId="1869DBC4" w14:textId="77777777">
            <w:pPr>
              <w:jc w:val="right"/>
              <w:rPr>
                <w:rFonts w:ascii="Times New Roman" w:hAnsi="Times New Roman"/>
                <w:sz w:val="22"/>
                <w:szCs w:val="22"/>
              </w:rPr>
            </w:pPr>
          </w:p>
        </w:tc>
        <w:tc>
          <w:tcPr>
            <w:tcW w:w="1434" w:type="dxa"/>
            <w:vAlign w:val="bottom"/>
          </w:tcPr>
          <w:p w:rsidR="003908B9" w:rsidRPr="008F47CB" w:rsidP="008C6A87" w14:paraId="3020B04B" w14:textId="77777777">
            <w:pPr>
              <w:jc w:val="right"/>
              <w:rPr>
                <w:rFonts w:ascii="Times New Roman" w:hAnsi="Times New Roman"/>
                <w:sz w:val="22"/>
                <w:szCs w:val="22"/>
              </w:rPr>
            </w:pPr>
          </w:p>
        </w:tc>
      </w:tr>
      <w:tr w14:paraId="4F62D8EB" w14:textId="77777777" w:rsidTr="00501A15">
        <w:tblPrEx>
          <w:tblW w:w="9625" w:type="dxa"/>
          <w:tblLook w:val="04A0"/>
        </w:tblPrEx>
        <w:tc>
          <w:tcPr>
            <w:tcW w:w="1439" w:type="dxa"/>
            <w:vAlign w:val="bottom"/>
          </w:tcPr>
          <w:p w:rsidR="00403B06" w:rsidRPr="008F47CB" w:rsidP="008C6A87" w14:paraId="1182DFD4" w14:textId="77777777">
            <w:pPr>
              <w:jc w:val="right"/>
              <w:rPr>
                <w:rFonts w:ascii="Times New Roman" w:hAnsi="Times New Roman"/>
                <w:sz w:val="22"/>
                <w:szCs w:val="22"/>
              </w:rPr>
            </w:pPr>
          </w:p>
        </w:tc>
        <w:tc>
          <w:tcPr>
            <w:tcW w:w="1415" w:type="dxa"/>
            <w:vAlign w:val="bottom"/>
          </w:tcPr>
          <w:p w:rsidR="00403B06" w:rsidRPr="008F47CB" w:rsidP="008C6A87" w14:paraId="64D194D1" w14:textId="77777777">
            <w:pPr>
              <w:jc w:val="right"/>
              <w:rPr>
                <w:rFonts w:ascii="Times New Roman" w:hAnsi="Times New Roman"/>
                <w:sz w:val="22"/>
                <w:szCs w:val="22"/>
              </w:rPr>
            </w:pPr>
          </w:p>
        </w:tc>
        <w:tc>
          <w:tcPr>
            <w:tcW w:w="1219" w:type="dxa"/>
            <w:vAlign w:val="bottom"/>
          </w:tcPr>
          <w:p w:rsidR="00403B06" w:rsidRPr="008F47CB" w:rsidP="008C6A87" w14:paraId="5746F6BB" w14:textId="77777777">
            <w:pPr>
              <w:jc w:val="right"/>
              <w:rPr>
                <w:rFonts w:ascii="Times New Roman" w:hAnsi="Times New Roman"/>
                <w:sz w:val="22"/>
                <w:szCs w:val="22"/>
              </w:rPr>
            </w:pPr>
          </w:p>
        </w:tc>
        <w:tc>
          <w:tcPr>
            <w:tcW w:w="1182" w:type="dxa"/>
            <w:vAlign w:val="bottom"/>
          </w:tcPr>
          <w:p w:rsidR="00403B06" w:rsidRPr="008F47CB" w:rsidP="008C6A87" w14:paraId="587457D9" w14:textId="77777777">
            <w:pPr>
              <w:jc w:val="right"/>
              <w:rPr>
                <w:rFonts w:ascii="Times New Roman" w:hAnsi="Times New Roman"/>
                <w:sz w:val="22"/>
                <w:szCs w:val="22"/>
              </w:rPr>
            </w:pPr>
          </w:p>
        </w:tc>
        <w:tc>
          <w:tcPr>
            <w:tcW w:w="1097" w:type="dxa"/>
            <w:vAlign w:val="bottom"/>
          </w:tcPr>
          <w:p w:rsidR="00403B06" w:rsidRPr="008F47CB" w:rsidP="008C6A87" w14:paraId="025AF99A" w14:textId="77777777">
            <w:pPr>
              <w:jc w:val="right"/>
              <w:rPr>
                <w:rFonts w:ascii="Times New Roman" w:hAnsi="Times New Roman"/>
                <w:sz w:val="22"/>
                <w:szCs w:val="22"/>
              </w:rPr>
            </w:pPr>
          </w:p>
        </w:tc>
        <w:tc>
          <w:tcPr>
            <w:tcW w:w="950" w:type="dxa"/>
            <w:vAlign w:val="bottom"/>
          </w:tcPr>
          <w:p w:rsidR="00403B06" w:rsidRPr="008F47CB" w:rsidP="008C6A87" w14:paraId="77262D48" w14:textId="77777777">
            <w:pPr>
              <w:jc w:val="right"/>
              <w:rPr>
                <w:rFonts w:ascii="Times New Roman" w:hAnsi="Times New Roman"/>
                <w:sz w:val="22"/>
                <w:szCs w:val="22"/>
              </w:rPr>
            </w:pPr>
          </w:p>
        </w:tc>
        <w:tc>
          <w:tcPr>
            <w:tcW w:w="889" w:type="dxa"/>
            <w:vAlign w:val="bottom"/>
          </w:tcPr>
          <w:p w:rsidR="00403B06" w:rsidRPr="008F47CB" w:rsidP="008C6A87" w14:paraId="0EA42709" w14:textId="77777777">
            <w:pPr>
              <w:jc w:val="right"/>
              <w:rPr>
                <w:rFonts w:ascii="Times New Roman" w:hAnsi="Times New Roman"/>
                <w:sz w:val="22"/>
                <w:szCs w:val="22"/>
              </w:rPr>
            </w:pPr>
          </w:p>
        </w:tc>
        <w:tc>
          <w:tcPr>
            <w:tcW w:w="1434" w:type="dxa"/>
            <w:vAlign w:val="bottom"/>
          </w:tcPr>
          <w:p w:rsidR="00403B06" w:rsidRPr="008F47CB" w:rsidP="008C6A87" w14:paraId="4A7A42D6" w14:textId="77777777">
            <w:pPr>
              <w:jc w:val="right"/>
              <w:rPr>
                <w:rFonts w:ascii="Times New Roman" w:hAnsi="Times New Roman"/>
                <w:sz w:val="22"/>
                <w:szCs w:val="22"/>
              </w:rPr>
            </w:pPr>
          </w:p>
        </w:tc>
      </w:tr>
      <w:tr w14:paraId="0A87EBC1" w14:textId="77777777" w:rsidTr="00501A15">
        <w:tblPrEx>
          <w:tblW w:w="9625" w:type="dxa"/>
          <w:tblLook w:val="04A0"/>
        </w:tblPrEx>
        <w:tc>
          <w:tcPr>
            <w:tcW w:w="1439" w:type="dxa"/>
            <w:vAlign w:val="bottom"/>
          </w:tcPr>
          <w:p w:rsidR="00403B06" w:rsidRPr="008F47CB" w:rsidP="008C6A87" w14:paraId="37C5EA3C" w14:textId="77777777">
            <w:pPr>
              <w:jc w:val="right"/>
              <w:rPr>
                <w:rFonts w:ascii="Times New Roman" w:hAnsi="Times New Roman"/>
                <w:sz w:val="22"/>
                <w:szCs w:val="22"/>
              </w:rPr>
            </w:pPr>
          </w:p>
        </w:tc>
        <w:tc>
          <w:tcPr>
            <w:tcW w:w="1415" w:type="dxa"/>
            <w:vAlign w:val="bottom"/>
          </w:tcPr>
          <w:p w:rsidR="00403B06" w:rsidRPr="008F47CB" w:rsidP="008C6A87" w14:paraId="3EB7E1A7" w14:textId="77777777">
            <w:pPr>
              <w:jc w:val="right"/>
              <w:rPr>
                <w:rFonts w:ascii="Times New Roman" w:hAnsi="Times New Roman"/>
                <w:sz w:val="22"/>
                <w:szCs w:val="22"/>
              </w:rPr>
            </w:pPr>
          </w:p>
        </w:tc>
        <w:tc>
          <w:tcPr>
            <w:tcW w:w="1219" w:type="dxa"/>
            <w:vAlign w:val="bottom"/>
          </w:tcPr>
          <w:p w:rsidR="00403B06" w:rsidRPr="008F47CB" w:rsidP="008C6A87" w14:paraId="2F58A60D" w14:textId="77777777">
            <w:pPr>
              <w:jc w:val="right"/>
              <w:rPr>
                <w:rFonts w:ascii="Times New Roman" w:hAnsi="Times New Roman"/>
                <w:sz w:val="22"/>
                <w:szCs w:val="22"/>
              </w:rPr>
            </w:pPr>
          </w:p>
        </w:tc>
        <w:tc>
          <w:tcPr>
            <w:tcW w:w="1182" w:type="dxa"/>
            <w:vAlign w:val="bottom"/>
          </w:tcPr>
          <w:p w:rsidR="00403B06" w:rsidRPr="008F47CB" w:rsidP="008C6A87" w14:paraId="76E70727" w14:textId="77777777">
            <w:pPr>
              <w:jc w:val="right"/>
              <w:rPr>
                <w:rFonts w:ascii="Times New Roman" w:hAnsi="Times New Roman"/>
                <w:sz w:val="22"/>
                <w:szCs w:val="22"/>
              </w:rPr>
            </w:pPr>
          </w:p>
        </w:tc>
        <w:tc>
          <w:tcPr>
            <w:tcW w:w="1097" w:type="dxa"/>
            <w:vAlign w:val="bottom"/>
          </w:tcPr>
          <w:p w:rsidR="00403B06" w:rsidRPr="008F47CB" w:rsidP="008C6A87" w14:paraId="180A597C" w14:textId="77777777">
            <w:pPr>
              <w:jc w:val="right"/>
              <w:rPr>
                <w:rFonts w:ascii="Times New Roman" w:hAnsi="Times New Roman"/>
                <w:sz w:val="22"/>
                <w:szCs w:val="22"/>
              </w:rPr>
            </w:pPr>
          </w:p>
        </w:tc>
        <w:tc>
          <w:tcPr>
            <w:tcW w:w="950" w:type="dxa"/>
            <w:vAlign w:val="bottom"/>
          </w:tcPr>
          <w:p w:rsidR="00403B06" w:rsidRPr="008F47CB" w:rsidP="008C6A87" w14:paraId="60179654" w14:textId="77777777">
            <w:pPr>
              <w:jc w:val="right"/>
              <w:rPr>
                <w:rFonts w:ascii="Times New Roman" w:hAnsi="Times New Roman"/>
                <w:sz w:val="22"/>
                <w:szCs w:val="22"/>
              </w:rPr>
            </w:pPr>
          </w:p>
        </w:tc>
        <w:tc>
          <w:tcPr>
            <w:tcW w:w="889" w:type="dxa"/>
            <w:vAlign w:val="bottom"/>
          </w:tcPr>
          <w:p w:rsidR="00403B06" w:rsidRPr="008F47CB" w:rsidP="008C6A87" w14:paraId="03EEFBC5" w14:textId="77777777">
            <w:pPr>
              <w:jc w:val="right"/>
              <w:rPr>
                <w:rFonts w:ascii="Times New Roman" w:hAnsi="Times New Roman"/>
                <w:sz w:val="22"/>
                <w:szCs w:val="22"/>
              </w:rPr>
            </w:pPr>
          </w:p>
        </w:tc>
        <w:tc>
          <w:tcPr>
            <w:tcW w:w="1434" w:type="dxa"/>
            <w:vAlign w:val="bottom"/>
          </w:tcPr>
          <w:p w:rsidR="00403B06" w:rsidRPr="008F47CB" w:rsidP="008C6A87" w14:paraId="023D7396" w14:textId="77777777">
            <w:pPr>
              <w:jc w:val="right"/>
              <w:rPr>
                <w:rFonts w:ascii="Times New Roman" w:hAnsi="Times New Roman"/>
                <w:sz w:val="22"/>
                <w:szCs w:val="22"/>
              </w:rPr>
            </w:pPr>
          </w:p>
        </w:tc>
      </w:tr>
      <w:tr w14:paraId="578B68EB" w14:textId="77777777" w:rsidTr="00501A15">
        <w:tblPrEx>
          <w:tblW w:w="9625" w:type="dxa"/>
          <w:tblLook w:val="04A0"/>
        </w:tblPrEx>
        <w:tc>
          <w:tcPr>
            <w:tcW w:w="1439" w:type="dxa"/>
          </w:tcPr>
          <w:p w:rsidR="00501A15" w:rsidRPr="008F47CB" w:rsidP="00501A15" w14:paraId="3D459D2C" w14:textId="77777777">
            <w:pPr>
              <w:rPr>
                <w:rFonts w:ascii="Times New Roman" w:hAnsi="Times New Roman"/>
                <w:b/>
                <w:i/>
                <w:sz w:val="22"/>
                <w:szCs w:val="22"/>
              </w:rPr>
            </w:pPr>
            <w:r w:rsidRPr="008F47CB">
              <w:rPr>
                <w:rFonts w:ascii="Times New Roman" w:hAnsi="Times New Roman"/>
                <w:b/>
                <w:i/>
                <w:sz w:val="22"/>
                <w:szCs w:val="22"/>
              </w:rPr>
              <w:t>Unduplicated Totals</w:t>
            </w:r>
          </w:p>
        </w:tc>
        <w:tc>
          <w:tcPr>
            <w:tcW w:w="1415" w:type="dxa"/>
            <w:vAlign w:val="bottom"/>
          </w:tcPr>
          <w:p w:rsidR="00501A15" w:rsidRPr="008F47CB" w:rsidP="00501A15" w14:paraId="32AB6B8A" w14:textId="4C30E059">
            <w:pPr>
              <w:jc w:val="right"/>
              <w:rPr>
                <w:rFonts w:ascii="Times New Roman" w:hAnsi="Times New Roman"/>
                <w:b/>
                <w:i/>
                <w:sz w:val="22"/>
                <w:szCs w:val="22"/>
              </w:rPr>
            </w:pPr>
          </w:p>
        </w:tc>
        <w:tc>
          <w:tcPr>
            <w:tcW w:w="1219" w:type="dxa"/>
            <w:vAlign w:val="bottom"/>
          </w:tcPr>
          <w:p w:rsidR="00501A15" w:rsidRPr="008F47CB" w:rsidP="00627B1F" w14:paraId="75495CB4" w14:textId="7C6FC44B">
            <w:pPr>
              <w:jc w:val="center"/>
              <w:rPr>
                <w:rFonts w:ascii="Times New Roman" w:hAnsi="Times New Roman"/>
                <w:b/>
                <w:i/>
                <w:sz w:val="22"/>
                <w:szCs w:val="22"/>
              </w:rPr>
            </w:pPr>
          </w:p>
        </w:tc>
        <w:tc>
          <w:tcPr>
            <w:tcW w:w="1182" w:type="dxa"/>
            <w:vAlign w:val="bottom"/>
          </w:tcPr>
          <w:p w:rsidR="00501A15" w:rsidRPr="008F47CB" w:rsidP="00501A15" w14:paraId="1A7661D9" w14:textId="0A1B8370">
            <w:pPr>
              <w:jc w:val="right"/>
              <w:rPr>
                <w:rFonts w:ascii="Times New Roman" w:hAnsi="Times New Roman"/>
                <w:b/>
                <w:i/>
                <w:sz w:val="22"/>
                <w:szCs w:val="22"/>
              </w:rPr>
            </w:pPr>
          </w:p>
        </w:tc>
        <w:tc>
          <w:tcPr>
            <w:tcW w:w="1097" w:type="dxa"/>
            <w:vAlign w:val="bottom"/>
          </w:tcPr>
          <w:p w:rsidR="00501A15" w:rsidRPr="008F47CB" w:rsidP="00501A15" w14:paraId="4A94906E" w14:textId="66CA6502">
            <w:pPr>
              <w:jc w:val="right"/>
              <w:rPr>
                <w:rFonts w:ascii="Times New Roman" w:hAnsi="Times New Roman"/>
                <w:b/>
                <w:i/>
                <w:sz w:val="22"/>
                <w:szCs w:val="22"/>
              </w:rPr>
            </w:pPr>
          </w:p>
        </w:tc>
        <w:tc>
          <w:tcPr>
            <w:tcW w:w="950" w:type="dxa"/>
            <w:vAlign w:val="bottom"/>
          </w:tcPr>
          <w:p w:rsidR="00501A15" w:rsidRPr="008F47CB" w:rsidP="00501A15" w14:paraId="4075BA8E" w14:textId="5C8E0FA4">
            <w:pPr>
              <w:jc w:val="right"/>
              <w:rPr>
                <w:rFonts w:ascii="Times New Roman" w:hAnsi="Times New Roman"/>
                <w:b/>
                <w:i/>
                <w:sz w:val="22"/>
                <w:szCs w:val="22"/>
              </w:rPr>
            </w:pPr>
          </w:p>
        </w:tc>
        <w:tc>
          <w:tcPr>
            <w:tcW w:w="889" w:type="dxa"/>
            <w:vAlign w:val="bottom"/>
          </w:tcPr>
          <w:p w:rsidR="00501A15" w:rsidRPr="008F47CB" w:rsidP="00501A15" w14:paraId="7F82B751" w14:textId="50FAEA02">
            <w:pPr>
              <w:jc w:val="right"/>
              <w:rPr>
                <w:rFonts w:ascii="Times New Roman" w:hAnsi="Times New Roman"/>
                <w:b/>
                <w:i/>
                <w:sz w:val="22"/>
                <w:szCs w:val="22"/>
              </w:rPr>
            </w:pPr>
          </w:p>
        </w:tc>
        <w:tc>
          <w:tcPr>
            <w:tcW w:w="1434" w:type="dxa"/>
            <w:vAlign w:val="bottom"/>
          </w:tcPr>
          <w:p w:rsidR="00501A15" w:rsidRPr="008F47CB" w:rsidP="00501A15" w14:paraId="54BFA78B" w14:textId="44F029FD">
            <w:pPr>
              <w:jc w:val="right"/>
              <w:rPr>
                <w:rFonts w:ascii="Times New Roman" w:hAnsi="Times New Roman"/>
                <w:b/>
                <w:i/>
                <w:sz w:val="22"/>
                <w:szCs w:val="22"/>
              </w:rPr>
            </w:pPr>
          </w:p>
        </w:tc>
      </w:tr>
    </w:tbl>
    <w:p w:rsidR="00D472BE" w:rsidP="00E60FB0" w14:paraId="1758C1F3" w14:textId="7C90956B">
      <w:pPr>
        <w:widowControl/>
        <w:autoSpaceDE/>
        <w:autoSpaceDN/>
        <w:adjustRightInd/>
        <w:rPr>
          <w:highlight w:val="yellow"/>
        </w:rPr>
      </w:pPr>
    </w:p>
    <w:p w:rsidR="00EE2223" w:rsidRPr="00EE2223" w:rsidP="00E60FB0" w14:paraId="51C113BE" w14:textId="4093117F">
      <w:pPr>
        <w:widowControl/>
        <w:autoSpaceDE/>
        <w:autoSpaceDN/>
        <w:adjustRightInd/>
        <w:rPr>
          <w:i/>
          <w:iCs/>
        </w:rPr>
      </w:pPr>
      <w:r w:rsidRPr="00EE2223">
        <w:rPr>
          <w:i/>
          <w:iCs/>
        </w:rPr>
        <w:t>Hourly rate source citation</w:t>
      </w:r>
      <w:r w:rsidR="002E6F9C">
        <w:rPr>
          <w:i/>
          <w:iCs/>
        </w:rPr>
        <w:t xml:space="preserve"> or you may enter a footnote</w:t>
      </w:r>
      <w:r w:rsidRPr="00EE2223">
        <w:rPr>
          <w:i/>
          <w:iCs/>
        </w:rPr>
        <w:t xml:space="preserve">: </w:t>
      </w:r>
    </w:p>
    <w:p w:rsidR="00EE2223" w:rsidP="00E60FB0" w14:paraId="73540948" w14:textId="77777777">
      <w:pPr>
        <w:widowControl/>
        <w:autoSpaceDE/>
        <w:autoSpaceDN/>
        <w:adjustRightInd/>
        <w:rPr>
          <w:i/>
          <w:iCs/>
          <w:highlight w:val="yellow"/>
        </w:rPr>
      </w:pPr>
    </w:p>
    <w:p w:rsidR="00103E3C" w:rsidP="00103E3C" w14:paraId="56EC6746" w14:textId="77777777">
      <w:pPr>
        <w:pStyle w:val="Default"/>
      </w:pPr>
    </w:p>
    <w:p w:rsidR="00103E3C" w:rsidRPr="00103E3C" w:rsidP="00103E3C" w14:paraId="4642CE55" w14:textId="77777777">
      <w:pPr>
        <w:pStyle w:val="Default"/>
      </w:pPr>
      <w:r w:rsidRPr="00103E3C">
        <w:t xml:space="preserve">Each filing is a new request for a different firearm(s) to the same country of export or to another country. The number of respondents is 1,831. Each respondent responds once annually for a total 1,831 responses. It is estimated that each respondent takes 18 minutes to complete their responses. Therefore, the total annual burden for this IC is 549 hours. </w:t>
      </w:r>
    </w:p>
    <w:p w:rsidR="00103E3C" w:rsidRPr="00103E3C" w:rsidP="00E60FB0" w14:paraId="66E4C9E0" w14:textId="77777777">
      <w:pPr>
        <w:widowControl/>
        <w:autoSpaceDE/>
        <w:autoSpaceDN/>
        <w:adjustRightInd/>
        <w:rPr>
          <w:highlight w:val="yellow"/>
        </w:rPr>
      </w:pPr>
    </w:p>
    <w:p w:rsidR="00CD215D" w:rsidRPr="00D53DEB" w:rsidP="00CD215D" w14:paraId="4F65FC61"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b/>
        </w:rPr>
      </w:pPr>
      <w:r w:rsidRPr="00D53DEB">
        <w:rPr>
          <w:b/>
        </w:rPr>
        <w:t xml:space="preserve">13.  </w:t>
      </w:r>
      <w:r w:rsidRPr="003F4921">
        <w:rPr>
          <w:rStyle w:val="Heading2Char"/>
        </w:rPr>
        <w:t xml:space="preserve">Provide an estimate of </w:t>
      </w:r>
      <w:r w:rsidRPr="003F4921" w:rsidR="00C667F3">
        <w:rPr>
          <w:rStyle w:val="Heading2Char"/>
        </w:rPr>
        <w:t>the tot</w:t>
      </w:r>
      <w:r w:rsidRPr="003F4921">
        <w:rPr>
          <w:rStyle w:val="Heading2Char"/>
        </w:rPr>
        <w:t xml:space="preserve">al annual cost burden to respondents or recordkeepers resulting from the collection of information.  (Do not include the cost of any hour </w:t>
      </w:r>
      <w:r w:rsidRPr="003F4921" w:rsidR="00C667F3">
        <w:rPr>
          <w:rStyle w:val="Heading2Char"/>
        </w:rPr>
        <w:t>burden shown in Items 12 and 14</w:t>
      </w:r>
      <w:r w:rsidRPr="003F4921">
        <w:rPr>
          <w:rStyle w:val="Heading2Char"/>
        </w:rPr>
        <w:t>)</w:t>
      </w:r>
      <w:r w:rsidRPr="003F4921" w:rsidR="00C667F3">
        <w:rPr>
          <w:rStyle w:val="Heading2Char"/>
        </w:rPr>
        <w:t>.</w:t>
      </w:r>
    </w:p>
    <w:p w:rsidR="00CD215D" w:rsidRPr="00D53DEB" w:rsidP="00CD215D" w14:paraId="168FFC6B"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b/>
        </w:rPr>
      </w:pPr>
    </w:p>
    <w:p w:rsidR="00584F8D" w:rsidP="00584F8D" w14:paraId="2CD34CEB" w14:textId="77777777">
      <w:pPr>
        <w:widowControl/>
        <w:numPr>
          <w:ilvl w:val="0"/>
          <w:numId w:val="13"/>
        </w:numPr>
        <w:tabs>
          <w:tab w:val="left" w:pos="-360"/>
          <w:tab w:val="left" w:pos="0"/>
          <w:tab w:val="left" w:pos="360"/>
          <w:tab w:val="left" w:pos="90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ind w:left="900"/>
        <w:rPr>
          <w:b/>
        </w:rPr>
      </w:pPr>
      <w:r>
        <w:rPr>
          <w:b/>
        </w:rPr>
        <w:t>T</w:t>
      </w:r>
      <w:r w:rsidRPr="006F6E13" w:rsidR="00CD215D">
        <w:rPr>
          <w:b/>
        </w:rPr>
        <w:t>he cost estimate should be split into two components:</w:t>
      </w:r>
      <w:r w:rsidRPr="006F6E13" w:rsidR="00AB4DC3">
        <w:rPr>
          <w:b/>
        </w:rPr>
        <w:t xml:space="preserve">  (a) a total capital</w:t>
      </w:r>
    </w:p>
    <w:p w:rsidR="006F6E13" w:rsidP="00584F8D" w14:paraId="413AA81E" w14:textId="5E275B54">
      <w:pPr>
        <w:widowControl/>
        <w:tabs>
          <w:tab w:val="left" w:pos="-360"/>
          <w:tab w:val="left" w:pos="0"/>
          <w:tab w:val="left" w:pos="36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ind w:left="900"/>
        <w:rPr>
          <w:b/>
        </w:rPr>
      </w:pPr>
      <w:r>
        <w:rPr>
          <w:b/>
        </w:rPr>
        <w:t>a</w:t>
      </w:r>
      <w:r w:rsidRPr="006F6E13" w:rsidR="00AB4DC3">
        <w:rPr>
          <w:b/>
        </w:rPr>
        <w:t>nd</w:t>
      </w:r>
      <w:r w:rsidR="00584F8D">
        <w:rPr>
          <w:b/>
        </w:rPr>
        <w:t xml:space="preserve"> </w:t>
      </w:r>
      <w:r w:rsidRPr="006F6E13" w:rsidR="003F4921">
        <w:rPr>
          <w:b/>
        </w:rPr>
        <w:t>startup</w:t>
      </w:r>
      <w:r w:rsidRPr="006F6E13" w:rsidR="00CD215D">
        <w:rPr>
          <w:b/>
        </w:rPr>
        <w:t xml:space="preserve"> cost component </w:t>
      </w:r>
      <w:r w:rsidRPr="006F6E13" w:rsidR="00C667F3">
        <w:rPr>
          <w:b/>
        </w:rPr>
        <w:t>(</w:t>
      </w:r>
      <w:r w:rsidRPr="006F6E13" w:rsidR="00CD215D">
        <w:rPr>
          <w:b/>
        </w:rPr>
        <w:t>annualized over its expected useful life)</w:t>
      </w:r>
      <w:r w:rsidRPr="006F6E13" w:rsidR="00C667F3">
        <w:rPr>
          <w:b/>
        </w:rPr>
        <w:t>;</w:t>
      </w:r>
      <w:r w:rsidRPr="006F6E13" w:rsidR="00CD215D">
        <w:rPr>
          <w:b/>
        </w:rPr>
        <w:t xml:space="preserve"> and (b) a</w:t>
      </w:r>
    </w:p>
    <w:p w:rsidR="00584F8D" w:rsidP="00584F8D" w14:paraId="02504B16" w14:textId="77777777">
      <w:pPr>
        <w:widowControl/>
        <w:tabs>
          <w:tab w:val="left" w:pos="-360"/>
          <w:tab w:val="left" w:pos="0"/>
          <w:tab w:val="left" w:pos="360"/>
          <w:tab w:val="left" w:pos="99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ind w:left="900"/>
        <w:rPr>
          <w:b/>
        </w:rPr>
      </w:pPr>
      <w:r w:rsidRPr="006F6E13">
        <w:rPr>
          <w:b/>
        </w:rPr>
        <w:t xml:space="preserve">total operation and </w:t>
      </w:r>
      <w:r w:rsidRPr="006F6E13" w:rsidR="006F6E13">
        <w:rPr>
          <w:b/>
        </w:rPr>
        <w:t>m</w:t>
      </w:r>
      <w:r w:rsidRPr="006F6E13">
        <w:rPr>
          <w:b/>
        </w:rPr>
        <w:t>aintenance and purchase of se</w:t>
      </w:r>
      <w:r w:rsidR="006F6E13">
        <w:rPr>
          <w:b/>
        </w:rPr>
        <w:t xml:space="preserve">rvice component.  </w:t>
      </w:r>
    </w:p>
    <w:p w:rsidR="00584F8D" w:rsidP="00584F8D" w14:paraId="5D5D49B5" w14:textId="77777777">
      <w:pPr>
        <w:widowControl/>
        <w:tabs>
          <w:tab w:val="left" w:pos="-360"/>
          <w:tab w:val="left" w:pos="0"/>
          <w:tab w:val="left" w:pos="360"/>
          <w:tab w:val="left" w:pos="90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rPr>
          <w:b/>
        </w:rPr>
      </w:pPr>
      <w:r>
        <w:rPr>
          <w:b/>
        </w:rPr>
        <w:tab/>
      </w:r>
      <w:r>
        <w:rPr>
          <w:b/>
        </w:rPr>
        <w:tab/>
      </w:r>
      <w:r w:rsidR="006F6E13">
        <w:rPr>
          <w:b/>
        </w:rPr>
        <w:t>The estimates</w:t>
      </w:r>
      <w:r>
        <w:rPr>
          <w:b/>
        </w:rPr>
        <w:t xml:space="preserve"> </w:t>
      </w:r>
      <w:r w:rsidRPr="006F6E13" w:rsidR="00CD215D">
        <w:rPr>
          <w:b/>
        </w:rPr>
        <w:t xml:space="preserve">should take into account costs associated with generating, </w:t>
      </w:r>
    </w:p>
    <w:p w:rsidR="00584F8D" w:rsidP="00584F8D" w14:paraId="5EE17FDE" w14:textId="77777777">
      <w:pPr>
        <w:widowControl/>
        <w:tabs>
          <w:tab w:val="left" w:pos="-360"/>
          <w:tab w:val="left" w:pos="0"/>
          <w:tab w:val="left" w:pos="360"/>
          <w:tab w:val="left" w:pos="90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rPr>
          <w:b/>
        </w:rPr>
      </w:pPr>
      <w:r>
        <w:rPr>
          <w:b/>
        </w:rPr>
        <w:tab/>
      </w:r>
      <w:r>
        <w:rPr>
          <w:b/>
        </w:rPr>
        <w:tab/>
      </w:r>
      <w:r w:rsidRPr="006F6E13" w:rsidR="00CD215D">
        <w:rPr>
          <w:b/>
        </w:rPr>
        <w:t xml:space="preserve">maintaining, and disclosing or providing the information.  Include descriptions of </w:t>
      </w:r>
    </w:p>
    <w:p w:rsidR="00CD215D" w:rsidRPr="006F6E13" w:rsidP="00584F8D" w14:paraId="0BF353B3" w14:textId="77777777">
      <w:pPr>
        <w:widowControl/>
        <w:tabs>
          <w:tab w:val="left" w:pos="-360"/>
          <w:tab w:val="left" w:pos="0"/>
          <w:tab w:val="left" w:pos="360"/>
          <w:tab w:val="left" w:pos="90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ind w:left="900"/>
        <w:rPr>
          <w:b/>
        </w:rPr>
      </w:pPr>
      <w:r w:rsidRPr="006F6E13">
        <w:rPr>
          <w:b/>
        </w:rPr>
        <w:t>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00CD215D" w:rsidRPr="00D53DEB" w:rsidP="00584F8D" w14:paraId="10DEAAA9" w14:textId="77777777">
      <w:pPr>
        <w:widowControl/>
        <w:tabs>
          <w:tab w:val="left" w:pos="-360"/>
          <w:tab w:val="left" w:pos="0"/>
          <w:tab w:val="left" w:pos="360"/>
          <w:tab w:val="left" w:pos="540"/>
          <w:tab w:val="left" w:pos="900"/>
          <w:tab w:val="left" w:pos="1800"/>
          <w:tab w:val="left" w:pos="2520"/>
          <w:tab w:val="left" w:pos="3240"/>
          <w:tab w:val="left" w:pos="3960"/>
          <w:tab w:val="left" w:pos="4680"/>
          <w:tab w:val="left" w:pos="5400"/>
          <w:tab w:val="left" w:pos="6120"/>
          <w:tab w:val="left" w:pos="6840"/>
          <w:tab w:val="left" w:pos="7560"/>
          <w:tab w:val="left" w:pos="8280"/>
          <w:tab w:val="left" w:pos="9000"/>
        </w:tabs>
        <w:ind w:left="540"/>
        <w:rPr>
          <w:b/>
        </w:rPr>
      </w:pPr>
    </w:p>
    <w:p w:rsidR="00CD215D" w:rsidRPr="00D53DEB" w:rsidP="00AB4DC3" w14:paraId="4945C473" w14:textId="77777777">
      <w:pPr>
        <w:widowControl/>
        <w:numPr>
          <w:ilvl w:val="0"/>
          <w:numId w:val="3"/>
        </w:num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b/>
        </w:rPr>
      </w:pPr>
      <w:r w:rsidRPr="00D53DEB">
        <w:rPr>
          <w:b/>
        </w:rPr>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CD215D" w:rsidRPr="00D53DEB" w:rsidP="00CD215D" w14:paraId="148E4C51"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pPr>
    </w:p>
    <w:p w:rsidR="00CD215D" w:rsidRPr="00D53DEB" w:rsidP="00CD215D" w14:paraId="32127F6A" w14:textId="77777777">
      <w:pPr>
        <w:widowControl/>
        <w:numPr>
          <w:ilvl w:val="0"/>
          <w:numId w:val="3"/>
        </w:num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b/>
        </w:rPr>
      </w:pPr>
      <w:r w:rsidRPr="00D53DEB">
        <w:rPr>
          <w:b/>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690F56" w:rsidP="00690F56" w14:paraId="726D62FC" w14:textId="0DAE8866">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pPr>
    </w:p>
    <w:p w:rsidR="00103E3C" w:rsidP="00103E3C" w14:paraId="558DF8AD" w14:textId="77777777">
      <w:pPr>
        <w:pStyle w:val="Default"/>
      </w:pPr>
    </w:p>
    <w:p w:rsidR="00103E3C" w:rsidRPr="00103E3C" w:rsidP="00103E3C" w14:paraId="4289F192" w14:textId="77777777">
      <w:pPr>
        <w:pStyle w:val="Default"/>
      </w:pPr>
      <w:r w:rsidRPr="00103E3C">
        <w:t xml:space="preserve">There is no startup cost or annual cost to the respondent. </w:t>
      </w:r>
    </w:p>
    <w:p w:rsidR="008B3128" w:rsidRPr="00F4518C" w:rsidP="00690F56" w14:paraId="3BDD7FFB"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pPr>
    </w:p>
    <w:p w:rsidR="00690F56" w:rsidRPr="00D53DEB" w:rsidP="00690F56" w14:paraId="697B43F9"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pPr>
      <w:r w:rsidRPr="00D53DEB">
        <w:rPr>
          <w:b/>
          <w:bCs/>
        </w:rPr>
        <w:t xml:space="preserve">14.  </w:t>
      </w:r>
      <w:r w:rsidRPr="003F4921">
        <w:rPr>
          <w:rStyle w:val="Heading2Char"/>
        </w:rPr>
        <w:t>Provide estimates of the annualized cost to the Federal Government.  Also, provide a description of the method used to estimate cost, which should include quantification of hours, operational expenses (such as equipment, overhead, printing, and support staff), any other expense that would not have been incurred without this collection of information.  Agencies also may aggregate cost estimates from Items 12, 13, and 14 into a single table.</w:t>
      </w:r>
    </w:p>
    <w:p w:rsidR="00103E3C" w:rsidP="00103E3C" w14:paraId="49F15B59" w14:textId="77777777">
      <w:pPr>
        <w:pStyle w:val="Default"/>
      </w:pPr>
      <w:r>
        <w:t xml:space="preserve"> </w:t>
      </w:r>
    </w:p>
    <w:p w:rsidR="00103E3C" w:rsidRPr="00103E3C" w:rsidP="003F4921" w14:paraId="4B4A3102" w14:textId="5886D958">
      <w:r w:rsidRPr="00103E3C">
        <w:t>Estimates of annual costs to the Federal Government are for printing which is equal to $320.28 (Volume 1,831 X $ 0.17 = $320.28</w:t>
      </w:r>
      <w:r w:rsidR="003F4921">
        <w:t>)</w:t>
      </w:r>
      <w:r w:rsidRPr="00103E3C">
        <w:t xml:space="preserve"> </w:t>
      </w:r>
    </w:p>
    <w:p w:rsidR="00BB2AA1" w:rsidP="001376D3" w14:paraId="2708E903" w14:textId="78470518">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pPr>
    </w:p>
    <w:p w:rsidR="00F96885" w:rsidRPr="00871CA6" w:rsidP="00690F56" w14:paraId="1A15C4F0"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pPr>
    </w:p>
    <w:p w:rsidR="00690F56" w:rsidRPr="003F4921" w:rsidP="00690F56" w14:paraId="0BCEB47E"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rPr>
          <w:rStyle w:val="Heading2Char"/>
        </w:rPr>
      </w:pPr>
      <w:r w:rsidRPr="00D53DEB">
        <w:rPr>
          <w:b/>
          <w:bCs/>
        </w:rPr>
        <w:t>15.</w:t>
      </w:r>
      <w:r w:rsidRPr="00D53DEB">
        <w:rPr>
          <w:b/>
          <w:bCs/>
        </w:rPr>
        <w:tab/>
      </w:r>
      <w:r w:rsidRPr="003F4921">
        <w:rPr>
          <w:rStyle w:val="Heading2Char"/>
        </w:rPr>
        <w:t>Explain the reasons for any</w:t>
      </w:r>
      <w:r w:rsidRPr="003F4921" w:rsidR="00882AB5">
        <w:rPr>
          <w:rStyle w:val="Heading2Char"/>
        </w:rPr>
        <w:t xml:space="preserve"> program changes or adjustments.</w:t>
      </w:r>
    </w:p>
    <w:p w:rsidR="00103E3C" w:rsidP="00103E3C" w14:paraId="1965CDB6" w14:textId="77777777">
      <w:pPr>
        <w:pStyle w:val="Default"/>
      </w:pPr>
    </w:p>
    <w:p w:rsidR="00103E3C" w:rsidRPr="00103E3C" w:rsidP="00103E3C" w14:paraId="7191773D" w14:textId="77777777">
      <w:pPr>
        <w:pStyle w:val="Default"/>
      </w:pPr>
      <w:r w:rsidRPr="00103E3C">
        <w:t xml:space="preserve">The decrease in both total respondents and burden hours by 542 and 163 hours respectively, is due to a general decrease in the volume of industry submissions for this information collection. </w:t>
      </w:r>
    </w:p>
    <w:p w:rsidR="00983CA7" w:rsidRPr="00F4518C" w:rsidP="00690F56" w14:paraId="33AED649"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pPr>
    </w:p>
    <w:p w:rsidR="00690F56" w:rsidRPr="00D53DEB" w:rsidP="00690F56" w14:paraId="4E4F3DC5"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pPr>
      <w:r w:rsidRPr="00D53DEB">
        <w:rPr>
          <w:b/>
          <w:bCs/>
        </w:rPr>
        <w:t>1</w:t>
      </w:r>
      <w:r w:rsidRPr="00D53DEB" w:rsidR="00882AB5">
        <w:rPr>
          <w:b/>
          <w:bCs/>
        </w:rPr>
        <w:t xml:space="preserve">6. </w:t>
      </w:r>
      <w:r w:rsidRPr="00D53DEB">
        <w:rPr>
          <w:b/>
          <w:bCs/>
        </w:rPr>
        <w:t>For collections of information whose results will be published, outline plans for tabulations, and publication.  Address any complex analytical techniques that will be used.  Provide the time schedule for the entire project, including beginning and ending dates of the collection of information, completion of report, publication dates, and other actions</w:t>
      </w:r>
      <w:r w:rsidRPr="00D53DEB">
        <w:t>.</w:t>
      </w:r>
    </w:p>
    <w:p w:rsidR="00445A9D" w:rsidP="00445A9D" w14:paraId="3DF10B30" w14:textId="77777777">
      <w:pPr>
        <w:pStyle w:val="Default"/>
      </w:pPr>
    </w:p>
    <w:p w:rsidR="00445A9D" w:rsidRPr="00445A9D" w:rsidP="003F4921" w14:paraId="63470F5F" w14:textId="77777777">
      <w:r w:rsidRPr="00445A9D">
        <w:t xml:space="preserve">The results of this collection will not be published. </w:t>
      </w:r>
    </w:p>
    <w:p w:rsidR="00690F56" w:rsidRPr="00871CA6" w:rsidP="00690F56" w14:paraId="41B59CA5"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pPr>
    </w:p>
    <w:p w:rsidR="00690F56" w:rsidRPr="003F4921" w:rsidP="00690F56" w14:paraId="6F473DAE"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Style w:val="Heading2Char"/>
        </w:rPr>
      </w:pPr>
      <w:r w:rsidRPr="00D53DEB">
        <w:rPr>
          <w:b/>
          <w:bCs/>
        </w:rPr>
        <w:t xml:space="preserve">17.  </w:t>
      </w:r>
      <w:r w:rsidRPr="003F4921">
        <w:rPr>
          <w:rStyle w:val="Heading2Char"/>
        </w:rPr>
        <w:t>If seeking approval to not display the expiration date for OMB approval of the information collection, explain the reasons that display would be inappropriate.</w:t>
      </w:r>
    </w:p>
    <w:p w:rsidR="00445A9D" w:rsidP="00445A9D" w14:paraId="7C6E6738" w14:textId="4667BB37">
      <w:pPr>
        <w:pStyle w:val="Default"/>
      </w:pPr>
    </w:p>
    <w:p w:rsidR="00445A9D" w:rsidRPr="00445A9D" w:rsidP="003F4921" w14:paraId="327AD8D7" w14:textId="77777777">
      <w:r w:rsidRPr="00445A9D">
        <w:t xml:space="preserve">ATF does not request approval to not display the expiration date of OMB approval for this </w:t>
      </w:r>
      <w:r w:rsidRPr="00445A9D">
        <w:t xml:space="preserve">collection. </w:t>
      </w:r>
    </w:p>
    <w:p w:rsidR="009B6955" w:rsidRPr="00A973AA" w:rsidP="003F4921" w14:paraId="12701956" w14:textId="14861895">
      <w:r>
        <w:t xml:space="preserve"> </w:t>
      </w:r>
    </w:p>
    <w:p w:rsidR="000C3A92" w:rsidRPr="00D53DEB" w:rsidP="00690F56" w14:paraId="41EAB492"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b/>
        </w:rPr>
      </w:pPr>
      <w:r w:rsidRPr="00D53DEB">
        <w:rPr>
          <w:b/>
        </w:rPr>
        <w:t xml:space="preserve">18.  </w:t>
      </w:r>
      <w:r w:rsidRPr="00375602">
        <w:rPr>
          <w:rStyle w:val="Heading2Char"/>
        </w:rPr>
        <w:t>Explain each exception to the certification statement.</w:t>
      </w:r>
    </w:p>
    <w:p w:rsidR="00445A9D" w:rsidP="00445A9D" w14:paraId="667E7FA2" w14:textId="77777777">
      <w:pPr>
        <w:pStyle w:val="Default"/>
      </w:pPr>
    </w:p>
    <w:p w:rsidR="00445A9D" w:rsidRPr="00445A9D" w:rsidP="003F4921" w14:paraId="1DF35933" w14:textId="77777777">
      <w:r w:rsidRPr="00445A9D">
        <w:t xml:space="preserve">There are no exceptions to the certification statement. </w:t>
      </w:r>
    </w:p>
    <w:p w:rsidR="00690F56" w:rsidRPr="00871CA6" w:rsidP="00690F56" w14:paraId="7282302F"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pPr>
    </w:p>
    <w:p w:rsidR="007A7F79" w:rsidRPr="00375602" w:rsidP="00375602" w14:paraId="077F6D32" w14:textId="77777777">
      <w:pPr>
        <w:pStyle w:val="Heading1"/>
      </w:pPr>
      <w:r w:rsidRPr="00375602">
        <w:t>B. COLLECTIONS OF INFORMATON EMPLOYING STATISTICAL METHODS.</w:t>
      </w:r>
    </w:p>
    <w:p w:rsidR="00332F98" w:rsidRPr="00D53DEB" w14:paraId="3E8CBCDA" w14:textId="09628189">
      <w:r>
        <w:t>This collection</w:t>
      </w:r>
      <w:r w:rsidR="00CC1B60">
        <w:t xml:space="preserve"> does/does not</w:t>
      </w:r>
      <w:r>
        <w:t xml:space="preserve"> contain statistical data.</w:t>
      </w:r>
    </w:p>
    <w:sectPr w:rsidSect="00C07F7F">
      <w:headerReference w:type="default" r:id="rId7"/>
      <w:footerReference w:type="even" r:id="rId8"/>
      <w:footerReference w:type="default" r:id="rId9"/>
      <w:headerReference w:type="first" r:id="rId10"/>
      <w:pgSz w:w="12240" w:h="15840" w:code="1"/>
      <w:pgMar w:top="1440" w:right="1440" w:bottom="1440" w:left="1440" w:header="720" w:footer="1008"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CF564A" w14:paraId="1FB9C337" w14:textId="77777777">
      <w:r>
        <w:separator/>
      </w:r>
    </w:p>
    <w:p w:rsidR="00CF564A" w14:paraId="3482D951" w14:textId="77777777"/>
  </w:endnote>
  <w:endnote w:type="continuationSeparator" w:id="1">
    <w:p w:rsidR="00CF564A" w14:paraId="62B06322" w14:textId="77777777">
      <w:r>
        <w:continuationSeparator/>
      </w:r>
    </w:p>
    <w:p w:rsidR="00CF564A" w14:paraId="23D80B83"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12cpi">
    <w:altName w:val="Courier New"/>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C3A92" w:rsidP="00A21F98" w14:paraId="1CA46638" w14:textId="77777777">
    <w:pPr>
      <w:pStyle w:val="Footer"/>
      <w:framePr w:wrap="around" w:vAnchor="text" w:hAnchor="margin" w:xAlign="center" w:y="1"/>
      <w:jc w:val="right"/>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0C3A92" w:rsidP="00A21F98" w14:paraId="69F235C7" w14:textId="77777777">
    <w:pPr>
      <w:pStyle w:val="Footer"/>
      <w:ind w:right="360"/>
    </w:pPr>
  </w:p>
  <w:p w:rsidR="005301A1" w14:paraId="60E26C97"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C3A92" w:rsidRPr="00B26E3E" w:rsidP="00A21F98" w14:paraId="5D246377" w14:textId="1067FB91">
    <w:pPr>
      <w:pStyle w:val="Footer"/>
      <w:framePr w:wrap="around" w:vAnchor="text" w:hAnchor="margin" w:xAlign="center" w:y="1"/>
      <w:jc w:val="right"/>
      <w:rPr>
        <w:rStyle w:val="PageNumber"/>
      </w:rPr>
    </w:pPr>
    <w:r w:rsidRPr="00B26E3E">
      <w:rPr>
        <w:rStyle w:val="PageNumber"/>
      </w:rPr>
      <w:fldChar w:fldCharType="begin"/>
    </w:r>
    <w:r w:rsidRPr="00B26E3E">
      <w:rPr>
        <w:rStyle w:val="PageNumber"/>
      </w:rPr>
      <w:instrText xml:space="preserve">PAGE  </w:instrText>
    </w:r>
    <w:r w:rsidRPr="00B26E3E">
      <w:rPr>
        <w:rStyle w:val="PageNumber"/>
      </w:rPr>
      <w:fldChar w:fldCharType="separate"/>
    </w:r>
    <w:r w:rsidR="00094A5E">
      <w:rPr>
        <w:rStyle w:val="PageNumber"/>
        <w:noProof/>
      </w:rPr>
      <w:t>1</w:t>
    </w:r>
    <w:r w:rsidRPr="00B26E3E">
      <w:rPr>
        <w:rStyle w:val="PageNumber"/>
      </w:rPr>
      <w:fldChar w:fldCharType="end"/>
    </w:r>
  </w:p>
  <w:p w:rsidR="000C3A92" w:rsidP="00A21F98" w14:paraId="5808C3E4" w14:textId="77777777">
    <w:pPr>
      <w:pStyle w:val="Footer"/>
      <w:ind w:right="360"/>
    </w:pPr>
  </w:p>
  <w:p w:rsidR="005301A1" w14:paraId="67A32AFF"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CF564A" w14:paraId="2EE705B4" w14:textId="77777777">
      <w:r>
        <w:separator/>
      </w:r>
    </w:p>
    <w:p w:rsidR="00CF564A" w14:paraId="6FD2A7AC" w14:textId="77777777"/>
  </w:footnote>
  <w:footnote w:type="continuationSeparator" w:id="1">
    <w:p w:rsidR="00CF564A" w14:paraId="2523152C" w14:textId="77777777">
      <w:r>
        <w:continuationSeparator/>
      </w:r>
    </w:p>
    <w:p w:rsidR="00CF564A" w14:paraId="4DEFF227"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86973" w:rsidRPr="006626FF" w:rsidP="00F8164B" w14:paraId="4C516217" w14:textId="4C13E08B">
    <w:pPr>
      <w:pStyle w:val="Header"/>
      <w:rPr>
        <w:bCs/>
        <w:sz w:val="20"/>
        <w:szCs w:val="20"/>
      </w:rPr>
    </w:pPr>
    <w:r>
      <w:rPr>
        <w:bCs/>
        <w:sz w:val="20"/>
        <w:szCs w:val="20"/>
      </w:rPr>
      <w:t>Application and Permit for Permanent Exportation of Firearms: ATF Form 9 (5320.9)</w:t>
    </w:r>
  </w:p>
  <w:p w:rsidR="00EC0B43" w14:paraId="52F50703" w14:textId="7DA37F54">
    <w:pPr>
      <w:pStyle w:val="Header"/>
      <w:rPr>
        <w:sz w:val="20"/>
        <w:szCs w:val="20"/>
      </w:rPr>
    </w:pPr>
    <w:r>
      <w:rPr>
        <w:sz w:val="20"/>
        <w:szCs w:val="20"/>
      </w:rPr>
      <w:t xml:space="preserve">OMB Control </w:t>
    </w:r>
    <w:r w:rsidR="006E1A08">
      <w:rPr>
        <w:sz w:val="20"/>
        <w:szCs w:val="20"/>
      </w:rPr>
      <w:t>Number</w:t>
    </w:r>
    <w:r w:rsidR="006626FF">
      <w:rPr>
        <w:sz w:val="20"/>
        <w:szCs w:val="20"/>
      </w:rPr>
      <w:t xml:space="preserve"> </w:t>
    </w:r>
    <w:r w:rsidR="00BC30E3">
      <w:rPr>
        <w:sz w:val="20"/>
        <w:szCs w:val="20"/>
      </w:rPr>
      <w:t>1140-0008</w:t>
    </w:r>
  </w:p>
  <w:p w:rsidR="00304132" w14:paraId="29EBD65C" w14:textId="02C10ED4">
    <w:pPr>
      <w:pStyle w:val="Header"/>
      <w:rPr>
        <w:sz w:val="20"/>
        <w:szCs w:val="20"/>
      </w:rPr>
    </w:pPr>
    <w:r>
      <w:rPr>
        <w:sz w:val="20"/>
        <w:szCs w:val="20"/>
      </w:rPr>
      <w:t xml:space="preserve">OMB Expiration Date: </w:t>
    </w:r>
    <w:r w:rsidR="00996A5D">
      <w:rPr>
        <w:sz w:val="20"/>
        <w:szCs w:val="20"/>
      </w:rPr>
      <w:t>XX/XX/XXXX</w:t>
    </w:r>
  </w:p>
  <w:p w:rsidR="006E1A08" w14:paraId="578B4815" w14:textId="77777777">
    <w:pPr>
      <w:pStyle w:val="Header"/>
      <w:rPr>
        <w:sz w:val="20"/>
        <w:szCs w:val="20"/>
      </w:rPr>
    </w:pPr>
  </w:p>
  <w:p w:rsidR="005301A1" w14:paraId="2B885362" w14:textId="7777777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C13C6" w14:paraId="0A20DB7F" w14:textId="77777777">
    <w:pPr>
      <w:pStyle w:val="Header"/>
    </w:pPr>
    <w:r>
      <w:t>[Type text]</w:t>
    </w:r>
  </w:p>
  <w:p w:rsidR="001D67BB" w14:paraId="29913AA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FE"/>
    <w:multiLevelType w:val="singleLevel"/>
    <w:tmpl w:val="28DA8BC6"/>
    <w:lvl w:ilvl="0">
      <w:start w:val="0"/>
      <w:numFmt w:val="bullet"/>
      <w:lvlText w:val="*"/>
      <w:lvlJc w:val="left"/>
    </w:lvl>
  </w:abstractNum>
  <w:abstractNum w:abstractNumId="1">
    <w:nsid w:val="009D3F26"/>
    <w:multiLevelType w:val="hybridMultilevel"/>
    <w:tmpl w:val="94F4C25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0A06B8E"/>
    <w:multiLevelType w:val="hybridMultilevel"/>
    <w:tmpl w:val="E36C2216"/>
    <w:lvl w:ilvl="0">
      <w:start w:val="18"/>
      <w:numFmt w:val="decimal"/>
      <w:lvlText w:val="%1."/>
      <w:lvlJc w:val="left"/>
      <w:pPr>
        <w:tabs>
          <w:tab w:val="num" w:pos="780"/>
        </w:tabs>
        <w:ind w:left="780" w:hanging="4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16F97328"/>
    <w:multiLevelType w:val="hybridMultilevel"/>
    <w:tmpl w:val="38EAF262"/>
    <w:lvl w:ilvl="0">
      <w:start w:val="1"/>
      <w:numFmt w:val="bullet"/>
      <w:lvlText w:val=""/>
      <w:lvlJc w:val="left"/>
      <w:pPr>
        <w:tabs>
          <w:tab w:val="num" w:pos="900"/>
        </w:tabs>
        <w:ind w:left="900" w:hanging="360"/>
      </w:pPr>
      <w:rPr>
        <w:rFonts w:ascii="Symbol" w:hAnsi="Symbol" w:hint="default"/>
        <w:color w:val="auto"/>
        <w:sz w:val="20"/>
      </w:rPr>
    </w:lvl>
    <w:lvl w:ilvl="1" w:tentative="1">
      <w:start w:val="1"/>
      <w:numFmt w:val="bullet"/>
      <w:lvlText w:val="o"/>
      <w:lvlJc w:val="left"/>
      <w:pPr>
        <w:tabs>
          <w:tab w:val="num" w:pos="1620"/>
        </w:tabs>
        <w:ind w:left="1620" w:hanging="360"/>
      </w:pPr>
      <w:rPr>
        <w:rFonts w:ascii="Courier New" w:hAnsi="Courier New" w:cs="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cs="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cs="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4">
    <w:nsid w:val="17042950"/>
    <w:multiLevelType w:val="hybridMultilevel"/>
    <w:tmpl w:val="1C507682"/>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F3D042E"/>
    <w:multiLevelType w:val="hybridMultilevel"/>
    <w:tmpl w:val="05CA8F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333115A5"/>
    <w:multiLevelType w:val="hybridMultilevel"/>
    <w:tmpl w:val="430CA228"/>
    <w:lvl w:ilvl="0">
      <w:start w:val="1"/>
      <w:numFmt w:val="bullet"/>
      <w:lvlText w:val=""/>
      <w:lvlJc w:val="left"/>
      <w:pPr>
        <w:ind w:left="900" w:hanging="360"/>
      </w:pPr>
      <w:rPr>
        <w:rFonts w:ascii="Symbol" w:hAnsi="Symbol" w:hint="default"/>
      </w:rPr>
    </w:lvl>
    <w:lvl w:ilvl="1" w:tentative="1">
      <w:start w:val="1"/>
      <w:numFmt w:val="bullet"/>
      <w:lvlText w:val="o"/>
      <w:lvlJc w:val="left"/>
      <w:pPr>
        <w:ind w:left="1620" w:hanging="360"/>
      </w:pPr>
      <w:rPr>
        <w:rFonts w:ascii="Courier New" w:hAnsi="Courier New" w:cs="Courier New" w:hint="default"/>
      </w:rPr>
    </w:lvl>
    <w:lvl w:ilvl="2" w:tentative="1">
      <w:start w:val="1"/>
      <w:numFmt w:val="bullet"/>
      <w:lvlText w:val=""/>
      <w:lvlJc w:val="left"/>
      <w:pPr>
        <w:ind w:left="2340" w:hanging="360"/>
      </w:pPr>
      <w:rPr>
        <w:rFonts w:ascii="Wingdings" w:hAnsi="Wingdings" w:hint="default"/>
      </w:rPr>
    </w:lvl>
    <w:lvl w:ilvl="3" w:tentative="1">
      <w:start w:val="1"/>
      <w:numFmt w:val="bullet"/>
      <w:lvlText w:val=""/>
      <w:lvlJc w:val="left"/>
      <w:pPr>
        <w:ind w:left="3060" w:hanging="360"/>
      </w:pPr>
      <w:rPr>
        <w:rFonts w:ascii="Symbol" w:hAnsi="Symbol" w:hint="default"/>
      </w:rPr>
    </w:lvl>
    <w:lvl w:ilvl="4" w:tentative="1">
      <w:start w:val="1"/>
      <w:numFmt w:val="bullet"/>
      <w:lvlText w:val="o"/>
      <w:lvlJc w:val="left"/>
      <w:pPr>
        <w:ind w:left="3780" w:hanging="360"/>
      </w:pPr>
      <w:rPr>
        <w:rFonts w:ascii="Courier New" w:hAnsi="Courier New" w:cs="Courier New" w:hint="default"/>
      </w:rPr>
    </w:lvl>
    <w:lvl w:ilvl="5" w:tentative="1">
      <w:start w:val="1"/>
      <w:numFmt w:val="bullet"/>
      <w:lvlText w:val=""/>
      <w:lvlJc w:val="left"/>
      <w:pPr>
        <w:ind w:left="4500" w:hanging="360"/>
      </w:pPr>
      <w:rPr>
        <w:rFonts w:ascii="Wingdings" w:hAnsi="Wingdings" w:hint="default"/>
      </w:rPr>
    </w:lvl>
    <w:lvl w:ilvl="6" w:tentative="1">
      <w:start w:val="1"/>
      <w:numFmt w:val="bullet"/>
      <w:lvlText w:val=""/>
      <w:lvlJc w:val="left"/>
      <w:pPr>
        <w:ind w:left="5220" w:hanging="360"/>
      </w:pPr>
      <w:rPr>
        <w:rFonts w:ascii="Symbol" w:hAnsi="Symbol" w:hint="default"/>
      </w:rPr>
    </w:lvl>
    <w:lvl w:ilvl="7" w:tentative="1">
      <w:start w:val="1"/>
      <w:numFmt w:val="bullet"/>
      <w:lvlText w:val="o"/>
      <w:lvlJc w:val="left"/>
      <w:pPr>
        <w:ind w:left="5940" w:hanging="360"/>
      </w:pPr>
      <w:rPr>
        <w:rFonts w:ascii="Courier New" w:hAnsi="Courier New" w:cs="Courier New" w:hint="default"/>
      </w:rPr>
    </w:lvl>
    <w:lvl w:ilvl="8" w:tentative="1">
      <w:start w:val="1"/>
      <w:numFmt w:val="bullet"/>
      <w:lvlText w:val=""/>
      <w:lvlJc w:val="left"/>
      <w:pPr>
        <w:ind w:left="6660" w:hanging="360"/>
      </w:pPr>
      <w:rPr>
        <w:rFonts w:ascii="Wingdings" w:hAnsi="Wingdings" w:hint="default"/>
      </w:rPr>
    </w:lvl>
  </w:abstractNum>
  <w:abstractNum w:abstractNumId="7">
    <w:nsid w:val="38530C60"/>
    <w:multiLevelType w:val="hybridMultilevel"/>
    <w:tmpl w:val="C51C58F0"/>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52583172"/>
    <w:multiLevelType w:val="hybridMultilevel"/>
    <w:tmpl w:val="18EEA1C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9">
    <w:nsid w:val="5FC66CD3"/>
    <w:multiLevelType w:val="hybridMultilevel"/>
    <w:tmpl w:val="B1F22090"/>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0">
    <w:nsid w:val="65BA6C40"/>
    <w:multiLevelType w:val="hybridMultilevel"/>
    <w:tmpl w:val="2EF83638"/>
    <w:lvl w:ilvl="0">
      <w:start w:val="1"/>
      <w:numFmt w:val="bullet"/>
      <w:lvlText w:val=""/>
      <w:lvlJc w:val="left"/>
      <w:pPr>
        <w:ind w:left="810" w:hanging="360"/>
      </w:pPr>
      <w:rPr>
        <w:rFonts w:ascii="Symbol" w:hAnsi="Symbol" w:hint="default"/>
      </w:rPr>
    </w:lvl>
    <w:lvl w:ilvl="1" w:tentative="1">
      <w:start w:val="1"/>
      <w:numFmt w:val="bullet"/>
      <w:lvlText w:val="o"/>
      <w:lvlJc w:val="left"/>
      <w:pPr>
        <w:ind w:left="1530" w:hanging="360"/>
      </w:pPr>
      <w:rPr>
        <w:rFonts w:ascii="Courier New" w:hAnsi="Courier New" w:cs="Courier New" w:hint="default"/>
      </w:rPr>
    </w:lvl>
    <w:lvl w:ilvl="2" w:tentative="1">
      <w:start w:val="1"/>
      <w:numFmt w:val="bullet"/>
      <w:lvlText w:val=""/>
      <w:lvlJc w:val="left"/>
      <w:pPr>
        <w:ind w:left="2250" w:hanging="360"/>
      </w:pPr>
      <w:rPr>
        <w:rFonts w:ascii="Wingdings" w:hAnsi="Wingdings" w:hint="default"/>
      </w:rPr>
    </w:lvl>
    <w:lvl w:ilvl="3" w:tentative="1">
      <w:start w:val="1"/>
      <w:numFmt w:val="bullet"/>
      <w:lvlText w:val=""/>
      <w:lvlJc w:val="left"/>
      <w:pPr>
        <w:ind w:left="2970" w:hanging="360"/>
      </w:pPr>
      <w:rPr>
        <w:rFonts w:ascii="Symbol" w:hAnsi="Symbol" w:hint="default"/>
      </w:rPr>
    </w:lvl>
    <w:lvl w:ilvl="4" w:tentative="1">
      <w:start w:val="1"/>
      <w:numFmt w:val="bullet"/>
      <w:lvlText w:val="o"/>
      <w:lvlJc w:val="left"/>
      <w:pPr>
        <w:ind w:left="3690" w:hanging="360"/>
      </w:pPr>
      <w:rPr>
        <w:rFonts w:ascii="Courier New" w:hAnsi="Courier New" w:cs="Courier New" w:hint="default"/>
      </w:rPr>
    </w:lvl>
    <w:lvl w:ilvl="5" w:tentative="1">
      <w:start w:val="1"/>
      <w:numFmt w:val="bullet"/>
      <w:lvlText w:val=""/>
      <w:lvlJc w:val="left"/>
      <w:pPr>
        <w:ind w:left="4410" w:hanging="360"/>
      </w:pPr>
      <w:rPr>
        <w:rFonts w:ascii="Wingdings" w:hAnsi="Wingdings" w:hint="default"/>
      </w:rPr>
    </w:lvl>
    <w:lvl w:ilvl="6" w:tentative="1">
      <w:start w:val="1"/>
      <w:numFmt w:val="bullet"/>
      <w:lvlText w:val=""/>
      <w:lvlJc w:val="left"/>
      <w:pPr>
        <w:ind w:left="5130" w:hanging="360"/>
      </w:pPr>
      <w:rPr>
        <w:rFonts w:ascii="Symbol" w:hAnsi="Symbol" w:hint="default"/>
      </w:rPr>
    </w:lvl>
    <w:lvl w:ilvl="7" w:tentative="1">
      <w:start w:val="1"/>
      <w:numFmt w:val="bullet"/>
      <w:lvlText w:val="o"/>
      <w:lvlJc w:val="left"/>
      <w:pPr>
        <w:ind w:left="5850" w:hanging="360"/>
      </w:pPr>
      <w:rPr>
        <w:rFonts w:ascii="Courier New" w:hAnsi="Courier New" w:cs="Courier New" w:hint="default"/>
      </w:rPr>
    </w:lvl>
    <w:lvl w:ilvl="8" w:tentative="1">
      <w:start w:val="1"/>
      <w:numFmt w:val="bullet"/>
      <w:lvlText w:val=""/>
      <w:lvlJc w:val="left"/>
      <w:pPr>
        <w:ind w:left="6570" w:hanging="360"/>
      </w:pPr>
      <w:rPr>
        <w:rFonts w:ascii="Wingdings" w:hAnsi="Wingdings" w:hint="default"/>
      </w:rPr>
    </w:lvl>
  </w:abstractNum>
  <w:abstractNum w:abstractNumId="11">
    <w:nsid w:val="68CB0CE7"/>
    <w:multiLevelType w:val="hybridMultilevel"/>
    <w:tmpl w:val="87EE3242"/>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6FAB441A"/>
    <w:multiLevelType w:val="hybridMultilevel"/>
    <w:tmpl w:val="A66E6AA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501039216">
    <w:abstractNumId w:val="0"/>
    <w:lvlOverride w:ilvl="0">
      <w:lvl w:ilvl="0">
        <w:start w:val="0"/>
        <w:numFmt w:val="bullet"/>
        <w:lvlText w:val="·"/>
        <w:legacy w:legacy="1" w:legacySpace="0" w:legacyIndent="360"/>
        <w:lvlJc w:val="left"/>
        <w:pPr>
          <w:ind w:left="720" w:hanging="360"/>
        </w:pPr>
        <w:rPr>
          <w:rFonts w:ascii="Times New Roman" w:hAnsi="Times New Roman" w:cs="Times New Roman" w:hint="default"/>
          <w:b/>
        </w:rPr>
      </w:lvl>
    </w:lvlOverride>
  </w:num>
  <w:num w:numId="2" w16cid:durableId="1160078296">
    <w:abstractNumId w:val="0"/>
    <w:lvlOverride w:ilvl="0">
      <w:lvl w:ilvl="0">
        <w:start w:val="0"/>
        <w:numFmt w:val="bullet"/>
        <w:lvlText w:val="·"/>
        <w:legacy w:legacy="1" w:legacySpace="0" w:legacyIndent="270"/>
        <w:lvlJc w:val="left"/>
        <w:pPr>
          <w:ind w:left="990" w:hanging="270"/>
        </w:pPr>
        <w:rPr>
          <w:rFonts w:ascii="Times New Roman" w:hAnsi="Times New Roman" w:cs="Times New Roman" w:hint="default"/>
        </w:rPr>
      </w:lvl>
    </w:lvlOverride>
  </w:num>
  <w:num w:numId="3" w16cid:durableId="685441913">
    <w:abstractNumId w:val="3"/>
  </w:num>
  <w:num w:numId="4" w16cid:durableId="188491091">
    <w:abstractNumId w:val="9"/>
  </w:num>
  <w:num w:numId="5" w16cid:durableId="2103139837">
    <w:abstractNumId w:val="2"/>
  </w:num>
  <w:num w:numId="6" w16cid:durableId="1756973642">
    <w:abstractNumId w:val="4"/>
  </w:num>
  <w:num w:numId="7" w16cid:durableId="991567385">
    <w:abstractNumId w:val="0"/>
    <w:lvlOverride w:ilvl="0">
      <w:lvl w:ilvl="0">
        <w:start w:val="0"/>
        <w:numFmt w:val="bullet"/>
        <w:lvlText w:val="·"/>
        <w:legacy w:legacy="1" w:legacySpace="0" w:legacyIndent="360"/>
        <w:lvlJc w:val="left"/>
        <w:pPr>
          <w:ind w:left="720" w:hanging="360"/>
        </w:pPr>
        <w:rPr>
          <w:rFonts w:ascii="Times New Roman" w:hAnsi="Times New Roman" w:cs="Times New Roman" w:hint="default"/>
        </w:rPr>
      </w:lvl>
    </w:lvlOverride>
  </w:num>
  <w:num w:numId="8" w16cid:durableId="1665233710">
    <w:abstractNumId w:val="11"/>
  </w:num>
  <w:num w:numId="9" w16cid:durableId="312102842">
    <w:abstractNumId w:val="1"/>
  </w:num>
  <w:num w:numId="10" w16cid:durableId="1376466984">
    <w:abstractNumId w:val="10"/>
  </w:num>
  <w:num w:numId="11" w16cid:durableId="1904831391">
    <w:abstractNumId w:val="6"/>
  </w:num>
  <w:num w:numId="12" w16cid:durableId="1478107046">
    <w:abstractNumId w:val="8"/>
  </w:num>
  <w:num w:numId="13" w16cid:durableId="1542084800">
    <w:abstractNumId w:val="5"/>
  </w:num>
  <w:num w:numId="14" w16cid:durableId="136800702">
    <w:abstractNumId w:val="12"/>
  </w:num>
  <w:num w:numId="15" w16cid:durableId="121709038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20"/>
  <w:displayHorizontalDrawingGridEvery w:val="2"/>
  <w:displayVerticalDrawingGridEvery w:val="2"/>
  <w:noPunctuationKerning/>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0F56"/>
    <w:rsid w:val="0000482B"/>
    <w:rsid w:val="00007F1C"/>
    <w:rsid w:val="000114C0"/>
    <w:rsid w:val="000133FD"/>
    <w:rsid w:val="00014158"/>
    <w:rsid w:val="00020F69"/>
    <w:rsid w:val="00022303"/>
    <w:rsid w:val="0003073D"/>
    <w:rsid w:val="0004107F"/>
    <w:rsid w:val="00042CBD"/>
    <w:rsid w:val="00052174"/>
    <w:rsid w:val="00061F6C"/>
    <w:rsid w:val="00064E28"/>
    <w:rsid w:val="000655CC"/>
    <w:rsid w:val="0007383F"/>
    <w:rsid w:val="00094A5E"/>
    <w:rsid w:val="00095C30"/>
    <w:rsid w:val="00097C15"/>
    <w:rsid w:val="000A7853"/>
    <w:rsid w:val="000B0391"/>
    <w:rsid w:val="000B4875"/>
    <w:rsid w:val="000B6FB6"/>
    <w:rsid w:val="000C257C"/>
    <w:rsid w:val="000C3A92"/>
    <w:rsid w:val="000C74FB"/>
    <w:rsid w:val="000D7F95"/>
    <w:rsid w:val="000E1C64"/>
    <w:rsid w:val="000F6836"/>
    <w:rsid w:val="00103E3C"/>
    <w:rsid w:val="001040D4"/>
    <w:rsid w:val="001078BB"/>
    <w:rsid w:val="00116CD5"/>
    <w:rsid w:val="00117CA5"/>
    <w:rsid w:val="00133C47"/>
    <w:rsid w:val="00133E3D"/>
    <w:rsid w:val="001376D3"/>
    <w:rsid w:val="0014556E"/>
    <w:rsid w:val="0014601E"/>
    <w:rsid w:val="0015322B"/>
    <w:rsid w:val="0015365E"/>
    <w:rsid w:val="00157A90"/>
    <w:rsid w:val="00167AD4"/>
    <w:rsid w:val="00180E5A"/>
    <w:rsid w:val="00192711"/>
    <w:rsid w:val="001A47D9"/>
    <w:rsid w:val="001B4BB9"/>
    <w:rsid w:val="001C39F6"/>
    <w:rsid w:val="001D10ED"/>
    <w:rsid w:val="001D2D09"/>
    <w:rsid w:val="001D67BB"/>
    <w:rsid w:val="001E0E7F"/>
    <w:rsid w:val="001E2932"/>
    <w:rsid w:val="001E3596"/>
    <w:rsid w:val="001E5213"/>
    <w:rsid w:val="001F056F"/>
    <w:rsid w:val="001F2E8E"/>
    <w:rsid w:val="001F552E"/>
    <w:rsid w:val="002036A1"/>
    <w:rsid w:val="00210A61"/>
    <w:rsid w:val="002134B4"/>
    <w:rsid w:val="002203C9"/>
    <w:rsid w:val="00234341"/>
    <w:rsid w:val="00237691"/>
    <w:rsid w:val="00242CA0"/>
    <w:rsid w:val="00243432"/>
    <w:rsid w:val="0024438F"/>
    <w:rsid w:val="00247146"/>
    <w:rsid w:val="002517E4"/>
    <w:rsid w:val="00262716"/>
    <w:rsid w:val="00273D58"/>
    <w:rsid w:val="00277C1F"/>
    <w:rsid w:val="002866AD"/>
    <w:rsid w:val="00286BE3"/>
    <w:rsid w:val="00287A6F"/>
    <w:rsid w:val="00287ACB"/>
    <w:rsid w:val="00287B7D"/>
    <w:rsid w:val="0029135D"/>
    <w:rsid w:val="00292951"/>
    <w:rsid w:val="00293CD1"/>
    <w:rsid w:val="002A3962"/>
    <w:rsid w:val="002A5972"/>
    <w:rsid w:val="002A6FB5"/>
    <w:rsid w:val="002C5AE9"/>
    <w:rsid w:val="002E238B"/>
    <w:rsid w:val="002E4200"/>
    <w:rsid w:val="002E6DF9"/>
    <w:rsid w:val="002E6F9C"/>
    <w:rsid w:val="002F3BB8"/>
    <w:rsid w:val="00304132"/>
    <w:rsid w:val="00304EAD"/>
    <w:rsid w:val="00312124"/>
    <w:rsid w:val="00313820"/>
    <w:rsid w:val="00313AC0"/>
    <w:rsid w:val="00322C1B"/>
    <w:rsid w:val="0032649A"/>
    <w:rsid w:val="00332F98"/>
    <w:rsid w:val="0033578D"/>
    <w:rsid w:val="003430A6"/>
    <w:rsid w:val="003448FC"/>
    <w:rsid w:val="003548D8"/>
    <w:rsid w:val="00363CC2"/>
    <w:rsid w:val="00370C9A"/>
    <w:rsid w:val="00371EEC"/>
    <w:rsid w:val="00375602"/>
    <w:rsid w:val="003876F3"/>
    <w:rsid w:val="00390426"/>
    <w:rsid w:val="003908B9"/>
    <w:rsid w:val="00394AEB"/>
    <w:rsid w:val="003A4476"/>
    <w:rsid w:val="003A6353"/>
    <w:rsid w:val="003B2F28"/>
    <w:rsid w:val="003C13C6"/>
    <w:rsid w:val="003D5958"/>
    <w:rsid w:val="003D6AC7"/>
    <w:rsid w:val="003E15A0"/>
    <w:rsid w:val="003E49A6"/>
    <w:rsid w:val="003E5E34"/>
    <w:rsid w:val="003E6021"/>
    <w:rsid w:val="003F4921"/>
    <w:rsid w:val="003F53FB"/>
    <w:rsid w:val="00400B4D"/>
    <w:rsid w:val="00401F18"/>
    <w:rsid w:val="00403B06"/>
    <w:rsid w:val="004056B7"/>
    <w:rsid w:val="00410AC8"/>
    <w:rsid w:val="00414664"/>
    <w:rsid w:val="004172C1"/>
    <w:rsid w:val="00423E3A"/>
    <w:rsid w:val="004328D9"/>
    <w:rsid w:val="00435E05"/>
    <w:rsid w:val="0043771F"/>
    <w:rsid w:val="00442410"/>
    <w:rsid w:val="00443460"/>
    <w:rsid w:val="00445A9D"/>
    <w:rsid w:val="0044773C"/>
    <w:rsid w:val="00461B8A"/>
    <w:rsid w:val="004672B5"/>
    <w:rsid w:val="004844D1"/>
    <w:rsid w:val="0048559D"/>
    <w:rsid w:val="0049001D"/>
    <w:rsid w:val="00494A93"/>
    <w:rsid w:val="00494D75"/>
    <w:rsid w:val="004A1763"/>
    <w:rsid w:val="004B1E83"/>
    <w:rsid w:val="004B50A2"/>
    <w:rsid w:val="004D1C78"/>
    <w:rsid w:val="004D441E"/>
    <w:rsid w:val="004D46D1"/>
    <w:rsid w:val="004E1D9E"/>
    <w:rsid w:val="004E34C5"/>
    <w:rsid w:val="004E5B39"/>
    <w:rsid w:val="00501A15"/>
    <w:rsid w:val="005164DC"/>
    <w:rsid w:val="00522B8D"/>
    <w:rsid w:val="0052585C"/>
    <w:rsid w:val="005301A1"/>
    <w:rsid w:val="00530EBD"/>
    <w:rsid w:val="005622FE"/>
    <w:rsid w:val="00567912"/>
    <w:rsid w:val="00570098"/>
    <w:rsid w:val="005805E7"/>
    <w:rsid w:val="005825A4"/>
    <w:rsid w:val="00583F5D"/>
    <w:rsid w:val="0058424C"/>
    <w:rsid w:val="00584F8D"/>
    <w:rsid w:val="005A0350"/>
    <w:rsid w:val="005A7D9E"/>
    <w:rsid w:val="005B2697"/>
    <w:rsid w:val="005B5990"/>
    <w:rsid w:val="005C6147"/>
    <w:rsid w:val="005D5F8C"/>
    <w:rsid w:val="005E5148"/>
    <w:rsid w:val="0060114B"/>
    <w:rsid w:val="00603D4A"/>
    <w:rsid w:val="00611DE2"/>
    <w:rsid w:val="00614A1C"/>
    <w:rsid w:val="006227B3"/>
    <w:rsid w:val="00627B1F"/>
    <w:rsid w:val="00642220"/>
    <w:rsid w:val="0065148D"/>
    <w:rsid w:val="00652ED1"/>
    <w:rsid w:val="006626FF"/>
    <w:rsid w:val="006650A8"/>
    <w:rsid w:val="0067772C"/>
    <w:rsid w:val="00683A96"/>
    <w:rsid w:val="00685435"/>
    <w:rsid w:val="00687746"/>
    <w:rsid w:val="00690F56"/>
    <w:rsid w:val="006A4637"/>
    <w:rsid w:val="006C39F8"/>
    <w:rsid w:val="006E1A08"/>
    <w:rsid w:val="006E4433"/>
    <w:rsid w:val="006E54FE"/>
    <w:rsid w:val="006E604F"/>
    <w:rsid w:val="006E63C6"/>
    <w:rsid w:val="006F2132"/>
    <w:rsid w:val="006F66F9"/>
    <w:rsid w:val="006F6E13"/>
    <w:rsid w:val="007010C5"/>
    <w:rsid w:val="007011F1"/>
    <w:rsid w:val="007108D3"/>
    <w:rsid w:val="007127A1"/>
    <w:rsid w:val="00713ACE"/>
    <w:rsid w:val="00715F82"/>
    <w:rsid w:val="0071749C"/>
    <w:rsid w:val="00721E05"/>
    <w:rsid w:val="007412B6"/>
    <w:rsid w:val="00753389"/>
    <w:rsid w:val="00755761"/>
    <w:rsid w:val="007636EC"/>
    <w:rsid w:val="00767D37"/>
    <w:rsid w:val="00774503"/>
    <w:rsid w:val="007754A0"/>
    <w:rsid w:val="00777CD2"/>
    <w:rsid w:val="00780272"/>
    <w:rsid w:val="0078038F"/>
    <w:rsid w:val="0078153B"/>
    <w:rsid w:val="00785FE9"/>
    <w:rsid w:val="00786E04"/>
    <w:rsid w:val="007A7F79"/>
    <w:rsid w:val="007C124D"/>
    <w:rsid w:val="007C4E61"/>
    <w:rsid w:val="007D46C2"/>
    <w:rsid w:val="007E3065"/>
    <w:rsid w:val="007F3B38"/>
    <w:rsid w:val="007F3C02"/>
    <w:rsid w:val="00802605"/>
    <w:rsid w:val="00802A30"/>
    <w:rsid w:val="008043E5"/>
    <w:rsid w:val="00804A1A"/>
    <w:rsid w:val="0081073D"/>
    <w:rsid w:val="00813CC0"/>
    <w:rsid w:val="00827C11"/>
    <w:rsid w:val="008323ED"/>
    <w:rsid w:val="00835955"/>
    <w:rsid w:val="00846701"/>
    <w:rsid w:val="008624D5"/>
    <w:rsid w:val="00871CA6"/>
    <w:rsid w:val="00882AB5"/>
    <w:rsid w:val="00882B1D"/>
    <w:rsid w:val="0088350B"/>
    <w:rsid w:val="0088672C"/>
    <w:rsid w:val="00894786"/>
    <w:rsid w:val="008A1F0C"/>
    <w:rsid w:val="008A40D1"/>
    <w:rsid w:val="008B3128"/>
    <w:rsid w:val="008B541B"/>
    <w:rsid w:val="008C656B"/>
    <w:rsid w:val="008C6A87"/>
    <w:rsid w:val="008F47CB"/>
    <w:rsid w:val="00901003"/>
    <w:rsid w:val="0090158E"/>
    <w:rsid w:val="00901EF6"/>
    <w:rsid w:val="0090413E"/>
    <w:rsid w:val="00923B37"/>
    <w:rsid w:val="009271B1"/>
    <w:rsid w:val="0093485F"/>
    <w:rsid w:val="009407FC"/>
    <w:rsid w:val="009441E2"/>
    <w:rsid w:val="00963680"/>
    <w:rsid w:val="00964D3F"/>
    <w:rsid w:val="009700D9"/>
    <w:rsid w:val="0097578B"/>
    <w:rsid w:val="00983CA7"/>
    <w:rsid w:val="00985369"/>
    <w:rsid w:val="00985C15"/>
    <w:rsid w:val="00996A5D"/>
    <w:rsid w:val="009A6DCA"/>
    <w:rsid w:val="009B00FD"/>
    <w:rsid w:val="009B38D1"/>
    <w:rsid w:val="009B4116"/>
    <w:rsid w:val="009B689F"/>
    <w:rsid w:val="009B6955"/>
    <w:rsid w:val="009C2A10"/>
    <w:rsid w:val="009D0BBA"/>
    <w:rsid w:val="009D1EA2"/>
    <w:rsid w:val="009E0141"/>
    <w:rsid w:val="009E234B"/>
    <w:rsid w:val="009F52F3"/>
    <w:rsid w:val="00A10441"/>
    <w:rsid w:val="00A15094"/>
    <w:rsid w:val="00A217C3"/>
    <w:rsid w:val="00A21F98"/>
    <w:rsid w:val="00A2391E"/>
    <w:rsid w:val="00A33AAC"/>
    <w:rsid w:val="00A41C21"/>
    <w:rsid w:val="00A47DA7"/>
    <w:rsid w:val="00A50508"/>
    <w:rsid w:val="00A52DE7"/>
    <w:rsid w:val="00A55023"/>
    <w:rsid w:val="00A56B86"/>
    <w:rsid w:val="00A632EF"/>
    <w:rsid w:val="00A677E9"/>
    <w:rsid w:val="00A740AB"/>
    <w:rsid w:val="00A834BF"/>
    <w:rsid w:val="00A90769"/>
    <w:rsid w:val="00A973AA"/>
    <w:rsid w:val="00AA177A"/>
    <w:rsid w:val="00AA418C"/>
    <w:rsid w:val="00AB4DC3"/>
    <w:rsid w:val="00AC775D"/>
    <w:rsid w:val="00AD022F"/>
    <w:rsid w:val="00AD113F"/>
    <w:rsid w:val="00AD75AC"/>
    <w:rsid w:val="00AE0D00"/>
    <w:rsid w:val="00AF2C11"/>
    <w:rsid w:val="00AF3788"/>
    <w:rsid w:val="00AF5262"/>
    <w:rsid w:val="00AF7928"/>
    <w:rsid w:val="00B13844"/>
    <w:rsid w:val="00B26E3E"/>
    <w:rsid w:val="00B35DAD"/>
    <w:rsid w:val="00B417B3"/>
    <w:rsid w:val="00B47443"/>
    <w:rsid w:val="00B5043F"/>
    <w:rsid w:val="00B5377A"/>
    <w:rsid w:val="00B6181C"/>
    <w:rsid w:val="00B64496"/>
    <w:rsid w:val="00B66231"/>
    <w:rsid w:val="00B674DE"/>
    <w:rsid w:val="00B67A3F"/>
    <w:rsid w:val="00B9439C"/>
    <w:rsid w:val="00B96E43"/>
    <w:rsid w:val="00BA6A42"/>
    <w:rsid w:val="00BA6C9C"/>
    <w:rsid w:val="00BB2AA1"/>
    <w:rsid w:val="00BB3BEF"/>
    <w:rsid w:val="00BC30E3"/>
    <w:rsid w:val="00BC5F22"/>
    <w:rsid w:val="00BD21CA"/>
    <w:rsid w:val="00BD34F2"/>
    <w:rsid w:val="00BF0E96"/>
    <w:rsid w:val="00C02E4A"/>
    <w:rsid w:val="00C05B4B"/>
    <w:rsid w:val="00C05B88"/>
    <w:rsid w:val="00C07F7F"/>
    <w:rsid w:val="00C12530"/>
    <w:rsid w:val="00C14429"/>
    <w:rsid w:val="00C16FA7"/>
    <w:rsid w:val="00C247D8"/>
    <w:rsid w:val="00C25486"/>
    <w:rsid w:val="00C25E66"/>
    <w:rsid w:val="00C34009"/>
    <w:rsid w:val="00C4763A"/>
    <w:rsid w:val="00C63D1E"/>
    <w:rsid w:val="00C667F3"/>
    <w:rsid w:val="00C712D2"/>
    <w:rsid w:val="00C77B5C"/>
    <w:rsid w:val="00C824C6"/>
    <w:rsid w:val="00C8275F"/>
    <w:rsid w:val="00C87068"/>
    <w:rsid w:val="00C9162F"/>
    <w:rsid w:val="00CA2F0A"/>
    <w:rsid w:val="00CB1ECE"/>
    <w:rsid w:val="00CB3579"/>
    <w:rsid w:val="00CB5C31"/>
    <w:rsid w:val="00CC0731"/>
    <w:rsid w:val="00CC1B60"/>
    <w:rsid w:val="00CC770C"/>
    <w:rsid w:val="00CD215D"/>
    <w:rsid w:val="00CD455D"/>
    <w:rsid w:val="00CD4F92"/>
    <w:rsid w:val="00CD6628"/>
    <w:rsid w:val="00CF564A"/>
    <w:rsid w:val="00D00B48"/>
    <w:rsid w:val="00D2331B"/>
    <w:rsid w:val="00D36BB6"/>
    <w:rsid w:val="00D472BE"/>
    <w:rsid w:val="00D53DEB"/>
    <w:rsid w:val="00D57DE8"/>
    <w:rsid w:val="00D735B0"/>
    <w:rsid w:val="00D73AAD"/>
    <w:rsid w:val="00D75842"/>
    <w:rsid w:val="00D802D6"/>
    <w:rsid w:val="00D86A15"/>
    <w:rsid w:val="00D86FF7"/>
    <w:rsid w:val="00DA7DC9"/>
    <w:rsid w:val="00DB4030"/>
    <w:rsid w:val="00DB7B7C"/>
    <w:rsid w:val="00DD6DF0"/>
    <w:rsid w:val="00E0031C"/>
    <w:rsid w:val="00E0138A"/>
    <w:rsid w:val="00E06430"/>
    <w:rsid w:val="00E13DE5"/>
    <w:rsid w:val="00E163CF"/>
    <w:rsid w:val="00E20D5B"/>
    <w:rsid w:val="00E22463"/>
    <w:rsid w:val="00E23871"/>
    <w:rsid w:val="00E322E9"/>
    <w:rsid w:val="00E400EA"/>
    <w:rsid w:val="00E46EE5"/>
    <w:rsid w:val="00E57F5E"/>
    <w:rsid w:val="00E60FB0"/>
    <w:rsid w:val="00E614A1"/>
    <w:rsid w:val="00E674A9"/>
    <w:rsid w:val="00E700AD"/>
    <w:rsid w:val="00E74ABD"/>
    <w:rsid w:val="00E81C88"/>
    <w:rsid w:val="00E829F2"/>
    <w:rsid w:val="00E83023"/>
    <w:rsid w:val="00E83271"/>
    <w:rsid w:val="00E833E4"/>
    <w:rsid w:val="00E86973"/>
    <w:rsid w:val="00E909D5"/>
    <w:rsid w:val="00E92EED"/>
    <w:rsid w:val="00E93A0F"/>
    <w:rsid w:val="00EA3E66"/>
    <w:rsid w:val="00EC0B43"/>
    <w:rsid w:val="00EC1873"/>
    <w:rsid w:val="00EC4383"/>
    <w:rsid w:val="00EC5D7E"/>
    <w:rsid w:val="00ED49C1"/>
    <w:rsid w:val="00EE2223"/>
    <w:rsid w:val="00EF70DB"/>
    <w:rsid w:val="00EF7AA0"/>
    <w:rsid w:val="00F11AA8"/>
    <w:rsid w:val="00F12F81"/>
    <w:rsid w:val="00F24787"/>
    <w:rsid w:val="00F27223"/>
    <w:rsid w:val="00F3623C"/>
    <w:rsid w:val="00F41116"/>
    <w:rsid w:val="00F42C5F"/>
    <w:rsid w:val="00F44D20"/>
    <w:rsid w:val="00F4518C"/>
    <w:rsid w:val="00F4529D"/>
    <w:rsid w:val="00F53F09"/>
    <w:rsid w:val="00F56B20"/>
    <w:rsid w:val="00F6219B"/>
    <w:rsid w:val="00F64E0B"/>
    <w:rsid w:val="00F72D66"/>
    <w:rsid w:val="00F8164B"/>
    <w:rsid w:val="00F935EE"/>
    <w:rsid w:val="00F96885"/>
    <w:rsid w:val="00FA3D8C"/>
    <w:rsid w:val="00FA6F08"/>
    <w:rsid w:val="00FB026D"/>
    <w:rsid w:val="00FB587F"/>
    <w:rsid w:val="00FD35DD"/>
    <w:rsid w:val="00FD5326"/>
    <w:rsid w:val="00FF42E2"/>
    <w:rsid w:val="00FF4C58"/>
    <w:rsid w:val="00FF61D3"/>
    <w:rsid w:val="00FF6C7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B443247"/>
  <w15:chartTrackingRefBased/>
  <w15:docId w15:val="{38B7AAEB-AA9F-428E-9FC6-F8E4AEA40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E34C5"/>
    <w:pPr>
      <w:widowControl w:val="0"/>
      <w:autoSpaceDE w:val="0"/>
      <w:autoSpaceDN w:val="0"/>
      <w:adjustRightInd w:val="0"/>
    </w:pPr>
    <w:rPr>
      <w:sz w:val="24"/>
      <w:szCs w:val="24"/>
    </w:rPr>
  </w:style>
  <w:style w:type="paragraph" w:styleId="Heading1">
    <w:name w:val="heading 1"/>
    <w:basedOn w:val="Normal"/>
    <w:next w:val="Normal"/>
    <w:link w:val="Heading1Char"/>
    <w:qFormat/>
    <w:rsid w:val="00375602"/>
    <w:pPr>
      <w:widowControl/>
      <w:autoSpaceDE/>
      <w:autoSpaceDN/>
      <w:adjustRightInd/>
      <w:spacing w:after="200" w:line="276" w:lineRule="auto"/>
      <w:outlineLvl w:val="0"/>
    </w:pPr>
    <w:rPr>
      <w:b/>
      <w:bCs/>
    </w:rPr>
  </w:style>
  <w:style w:type="paragraph" w:styleId="Heading2">
    <w:name w:val="heading 2"/>
    <w:basedOn w:val="Normal"/>
    <w:next w:val="Normal"/>
    <w:link w:val="Heading2Char"/>
    <w:qFormat/>
    <w:rsid w:val="003F4921"/>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utoList1">
    <w:name w:val="1AutoList1"/>
    <w:rsid w:val="00690F56"/>
    <w:pPr>
      <w:widowControl w:val="0"/>
      <w:tabs>
        <w:tab w:val="left" w:pos="720"/>
      </w:tabs>
      <w:autoSpaceDE w:val="0"/>
      <w:autoSpaceDN w:val="0"/>
      <w:adjustRightInd w:val="0"/>
      <w:ind w:left="720" w:hanging="720"/>
      <w:jc w:val="both"/>
    </w:pPr>
    <w:rPr>
      <w:rFonts w:ascii="Courier 12cpi" w:hAnsi="Courier 12cpi"/>
      <w:sz w:val="24"/>
      <w:szCs w:val="24"/>
    </w:rPr>
  </w:style>
  <w:style w:type="paragraph" w:styleId="Footer">
    <w:name w:val="footer"/>
    <w:basedOn w:val="Normal"/>
    <w:rsid w:val="00690F56"/>
    <w:pPr>
      <w:tabs>
        <w:tab w:val="center" w:pos="4320"/>
        <w:tab w:val="right" w:pos="8640"/>
      </w:tabs>
    </w:pPr>
  </w:style>
  <w:style w:type="character" w:styleId="PageNumber">
    <w:name w:val="page number"/>
    <w:basedOn w:val="DefaultParagraphFont"/>
    <w:rsid w:val="00690F56"/>
  </w:style>
  <w:style w:type="character" w:styleId="FootnoteReference">
    <w:name w:val="footnote reference"/>
    <w:semiHidden/>
    <w:rsid w:val="00690F56"/>
    <w:rPr>
      <w:vertAlign w:val="superscript"/>
    </w:rPr>
  </w:style>
  <w:style w:type="paragraph" w:customStyle="1" w:styleId="Level1">
    <w:name w:val="Level 1"/>
    <w:basedOn w:val="Normal"/>
    <w:rsid w:val="00690F56"/>
    <w:pPr>
      <w:ind w:left="360" w:hanging="360"/>
    </w:pPr>
  </w:style>
  <w:style w:type="paragraph" w:customStyle="1" w:styleId="Level2">
    <w:name w:val="Level 2"/>
    <w:basedOn w:val="Normal"/>
    <w:rsid w:val="00CD215D"/>
    <w:pPr>
      <w:ind w:left="990" w:hanging="270"/>
    </w:pPr>
  </w:style>
  <w:style w:type="character" w:customStyle="1" w:styleId="Heading2Char">
    <w:name w:val="Heading 2 Char"/>
    <w:link w:val="Heading2"/>
    <w:rsid w:val="003F4921"/>
    <w:rPr>
      <w:b/>
      <w:bCs/>
      <w:sz w:val="24"/>
      <w:szCs w:val="24"/>
    </w:rPr>
  </w:style>
  <w:style w:type="paragraph" w:styleId="BalloonText">
    <w:name w:val="Balloon Text"/>
    <w:basedOn w:val="Normal"/>
    <w:semiHidden/>
    <w:rsid w:val="000B6FB6"/>
    <w:rPr>
      <w:rFonts w:ascii="Tahoma" w:hAnsi="Tahoma" w:cs="Tahoma"/>
      <w:sz w:val="16"/>
      <w:szCs w:val="16"/>
    </w:rPr>
  </w:style>
  <w:style w:type="character" w:styleId="FollowedHyperlink">
    <w:name w:val="FollowedHyperlink"/>
    <w:rsid w:val="00777CD2"/>
    <w:rPr>
      <w:color w:val="800080"/>
      <w:u w:val="single"/>
    </w:rPr>
  </w:style>
  <w:style w:type="paragraph" w:styleId="NormalWeb">
    <w:name w:val="Normal (Web)"/>
    <w:basedOn w:val="Normal"/>
    <w:uiPriority w:val="99"/>
    <w:unhideWhenUsed/>
    <w:rsid w:val="005E5148"/>
    <w:pPr>
      <w:widowControl/>
      <w:autoSpaceDE/>
      <w:autoSpaceDN/>
      <w:adjustRightInd/>
      <w:spacing w:before="100" w:beforeAutospacing="1" w:after="100" w:afterAutospacing="1"/>
      <w:ind w:firstLine="480"/>
    </w:pPr>
  </w:style>
  <w:style w:type="paragraph" w:styleId="ListParagraph">
    <w:name w:val="List Paragraph"/>
    <w:basedOn w:val="Normal"/>
    <w:uiPriority w:val="34"/>
    <w:qFormat/>
    <w:rsid w:val="00882B1D"/>
    <w:pPr>
      <w:ind w:left="720"/>
    </w:pPr>
  </w:style>
  <w:style w:type="paragraph" w:styleId="Header">
    <w:name w:val="header"/>
    <w:basedOn w:val="Normal"/>
    <w:link w:val="HeaderChar"/>
    <w:uiPriority w:val="99"/>
    <w:rsid w:val="00D36BB6"/>
    <w:pPr>
      <w:tabs>
        <w:tab w:val="center" w:pos="4680"/>
        <w:tab w:val="right" w:pos="9360"/>
      </w:tabs>
    </w:pPr>
  </w:style>
  <w:style w:type="character" w:customStyle="1" w:styleId="HeaderChar">
    <w:name w:val="Header Char"/>
    <w:link w:val="Header"/>
    <w:uiPriority w:val="99"/>
    <w:rsid w:val="00D36BB6"/>
    <w:rPr>
      <w:rFonts w:ascii="Courier 12cpi" w:hAnsi="Courier 12cpi"/>
      <w:sz w:val="24"/>
      <w:szCs w:val="24"/>
    </w:rPr>
  </w:style>
  <w:style w:type="character" w:styleId="CommentReference">
    <w:name w:val="annotation reference"/>
    <w:rsid w:val="00C07F7F"/>
    <w:rPr>
      <w:sz w:val="16"/>
      <w:szCs w:val="16"/>
    </w:rPr>
  </w:style>
  <w:style w:type="paragraph" w:styleId="CommentText">
    <w:name w:val="annotation text"/>
    <w:basedOn w:val="Normal"/>
    <w:link w:val="CommentTextChar"/>
    <w:rsid w:val="00C07F7F"/>
    <w:rPr>
      <w:sz w:val="20"/>
      <w:szCs w:val="20"/>
    </w:rPr>
  </w:style>
  <w:style w:type="character" w:customStyle="1" w:styleId="CommentTextChar">
    <w:name w:val="Comment Text Char"/>
    <w:link w:val="CommentText"/>
    <w:rsid w:val="00C07F7F"/>
    <w:rPr>
      <w:rFonts w:ascii="Courier 12cpi" w:hAnsi="Courier 12cpi"/>
    </w:rPr>
  </w:style>
  <w:style w:type="paragraph" w:styleId="CommentSubject">
    <w:name w:val="annotation subject"/>
    <w:basedOn w:val="CommentText"/>
    <w:next w:val="CommentText"/>
    <w:link w:val="CommentSubjectChar"/>
    <w:rsid w:val="00C07F7F"/>
    <w:rPr>
      <w:b/>
      <w:bCs/>
    </w:rPr>
  </w:style>
  <w:style w:type="character" w:customStyle="1" w:styleId="CommentSubjectChar">
    <w:name w:val="Comment Subject Char"/>
    <w:link w:val="CommentSubject"/>
    <w:rsid w:val="00C07F7F"/>
    <w:rPr>
      <w:rFonts w:ascii="Courier 12cpi" w:hAnsi="Courier 12cpi"/>
      <w:b/>
      <w:bCs/>
    </w:rPr>
  </w:style>
  <w:style w:type="paragraph" w:styleId="Revision">
    <w:name w:val="Revision"/>
    <w:hidden/>
    <w:uiPriority w:val="99"/>
    <w:semiHidden/>
    <w:rsid w:val="00567912"/>
    <w:rPr>
      <w:rFonts w:ascii="Courier 12cpi" w:hAnsi="Courier 12cpi"/>
      <w:sz w:val="24"/>
      <w:szCs w:val="24"/>
    </w:rPr>
  </w:style>
  <w:style w:type="character" w:customStyle="1" w:styleId="InternetLink">
    <w:name w:val="Internet Link"/>
    <w:rsid w:val="00D57DE8"/>
    <w:rPr>
      <w:color w:val="0000FF"/>
      <w:u w:val="single"/>
    </w:rPr>
  </w:style>
  <w:style w:type="table" w:styleId="TableGrid">
    <w:name w:val="Table Grid"/>
    <w:basedOn w:val="TableNormal"/>
    <w:uiPriority w:val="59"/>
    <w:rsid w:val="003908B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D472BE"/>
    <w:rPr>
      <w:color w:val="0563C1" w:themeColor="hyperlink"/>
      <w:u w:val="single"/>
    </w:rPr>
  </w:style>
  <w:style w:type="character" w:styleId="UnresolvedMention">
    <w:name w:val="Unresolved Mention"/>
    <w:basedOn w:val="DefaultParagraphFont"/>
    <w:uiPriority w:val="99"/>
    <w:semiHidden/>
    <w:unhideWhenUsed/>
    <w:rsid w:val="00D472BE"/>
    <w:rPr>
      <w:color w:val="605E5C"/>
      <w:shd w:val="clear" w:color="auto" w:fill="E1DFDD"/>
    </w:rPr>
  </w:style>
  <w:style w:type="paragraph" w:styleId="FootnoteText">
    <w:name w:val="footnote text"/>
    <w:basedOn w:val="Normal"/>
    <w:link w:val="FootnoteTextChar"/>
    <w:rsid w:val="00BC5F22"/>
    <w:rPr>
      <w:sz w:val="20"/>
      <w:szCs w:val="20"/>
    </w:rPr>
  </w:style>
  <w:style w:type="character" w:customStyle="1" w:styleId="FootnoteTextChar">
    <w:name w:val="Footnote Text Char"/>
    <w:basedOn w:val="DefaultParagraphFont"/>
    <w:link w:val="FootnoteText"/>
    <w:rsid w:val="00BC5F22"/>
    <w:rPr>
      <w:rFonts w:ascii="Courier 12cpi" w:hAnsi="Courier 12cpi"/>
    </w:rPr>
  </w:style>
  <w:style w:type="character" w:customStyle="1" w:styleId="normaltextrun">
    <w:name w:val="normaltextrun"/>
    <w:basedOn w:val="DefaultParagraphFont"/>
    <w:rsid w:val="00D802D6"/>
  </w:style>
  <w:style w:type="paragraph" w:customStyle="1" w:styleId="paragraph">
    <w:name w:val="paragraph"/>
    <w:basedOn w:val="Normal"/>
    <w:rsid w:val="00D802D6"/>
    <w:pPr>
      <w:widowControl/>
      <w:autoSpaceDE/>
      <w:autoSpaceDN/>
      <w:adjustRightInd/>
      <w:spacing w:before="100" w:beforeAutospacing="1" w:after="100" w:afterAutospacing="1"/>
    </w:pPr>
  </w:style>
  <w:style w:type="paragraph" w:styleId="EndnoteText">
    <w:name w:val="endnote text"/>
    <w:basedOn w:val="Normal"/>
    <w:link w:val="EndnoteTextChar"/>
    <w:rsid w:val="002E6F9C"/>
    <w:rPr>
      <w:sz w:val="20"/>
      <w:szCs w:val="20"/>
    </w:rPr>
  </w:style>
  <w:style w:type="character" w:customStyle="1" w:styleId="EndnoteTextChar">
    <w:name w:val="Endnote Text Char"/>
    <w:basedOn w:val="DefaultParagraphFont"/>
    <w:link w:val="EndnoteText"/>
    <w:rsid w:val="002E6F9C"/>
    <w:rPr>
      <w:rFonts w:ascii="Courier 12cpi" w:hAnsi="Courier 12cpi"/>
    </w:rPr>
  </w:style>
  <w:style w:type="character" w:styleId="EndnoteReference">
    <w:name w:val="endnote reference"/>
    <w:basedOn w:val="DefaultParagraphFont"/>
    <w:rsid w:val="002E6F9C"/>
    <w:rPr>
      <w:vertAlign w:val="superscript"/>
    </w:rPr>
  </w:style>
  <w:style w:type="paragraph" w:customStyle="1" w:styleId="Default">
    <w:name w:val="Default"/>
    <w:rsid w:val="00EF7AA0"/>
    <w:pPr>
      <w:autoSpaceDE w:val="0"/>
      <w:autoSpaceDN w:val="0"/>
      <w:adjustRightInd w:val="0"/>
    </w:pPr>
    <w:rPr>
      <w:color w:val="000000"/>
      <w:sz w:val="24"/>
      <w:szCs w:val="24"/>
    </w:rPr>
  </w:style>
  <w:style w:type="paragraph" w:styleId="Title">
    <w:name w:val="Title"/>
    <w:basedOn w:val="Normal"/>
    <w:next w:val="Normal"/>
    <w:link w:val="TitleChar"/>
    <w:qFormat/>
    <w:rsid w:val="004E34C5"/>
    <w:pPr>
      <w:widowControl/>
      <w:tabs>
        <w:tab w:val="left" w:pos="720"/>
      </w:tabs>
      <w:ind w:left="720" w:hanging="1440"/>
      <w:jc w:val="center"/>
    </w:pPr>
    <w:rPr>
      <w:b/>
      <w:bCs/>
    </w:rPr>
  </w:style>
  <w:style w:type="character" w:customStyle="1" w:styleId="TitleChar">
    <w:name w:val="Title Char"/>
    <w:basedOn w:val="DefaultParagraphFont"/>
    <w:link w:val="Title"/>
    <w:rsid w:val="004E34C5"/>
    <w:rPr>
      <w:b/>
      <w:bCs/>
      <w:sz w:val="24"/>
      <w:szCs w:val="24"/>
    </w:rPr>
  </w:style>
  <w:style w:type="character" w:customStyle="1" w:styleId="Heading1Char">
    <w:name w:val="Heading 1 Char"/>
    <w:basedOn w:val="DefaultParagraphFont"/>
    <w:link w:val="Heading1"/>
    <w:rsid w:val="00375602"/>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DA8E58-838E-4B5D-929C-D0D768473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7</Pages>
  <Words>2182</Words>
  <Characters>12159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March 6, 2007</vt:lpstr>
    </vt:vector>
  </TitlesOfParts>
  <Company>OSHA</Company>
  <LinksUpToDate>false</LinksUpToDate>
  <CharactersWithSpaces>14313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6, 2007</dc:title>
  <dc:creator>Theda Kenney</dc:creator>
  <cp:lastModifiedBy>Holmes-Brooks, Colette N. (ATF) (CTR)</cp:lastModifiedBy>
  <cp:revision>5</cp:revision>
  <cp:lastPrinted>2020-02-19T15:46:00Z</cp:lastPrinted>
  <dcterms:created xsi:type="dcterms:W3CDTF">2024-02-13T14:51:00Z</dcterms:created>
  <dcterms:modified xsi:type="dcterms:W3CDTF">2024-02-15T20:11:00Z</dcterms:modified>
</cp:coreProperties>
</file>