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FEA" w:rsidP="00696E21" w14:paraId="28F980F2" w14:textId="77777777">
      <w:pPr>
        <w:rPr>
          <w:b/>
        </w:rPr>
      </w:pPr>
    </w:p>
    <w:p w:rsidR="0029478C" w:rsidRPr="00041787" w:rsidP="00910252" w14:paraId="06D47E36" w14:textId="063E92AF">
      <w:pPr>
        <w:jc w:val="center"/>
        <w:rPr>
          <w:b/>
        </w:rPr>
      </w:pPr>
      <w:r w:rsidRPr="00041787">
        <w:rPr>
          <w:b/>
        </w:rPr>
        <w:t>SUPPORTING STATEMENT</w:t>
      </w:r>
      <w:r w:rsidR="0049447D">
        <w:rPr>
          <w:b/>
        </w:rPr>
        <w:t xml:space="preserve"> FOR</w:t>
      </w:r>
    </w:p>
    <w:p w:rsidR="0029478C" w:rsidRPr="00BA6848" w:rsidP="00910252" w14:paraId="20FA9D3C" w14:textId="02296298">
      <w:pPr>
        <w:autoSpaceDE w:val="0"/>
        <w:autoSpaceDN w:val="0"/>
        <w:adjustRightInd w:val="0"/>
        <w:jc w:val="center"/>
        <w:rPr>
          <w:b/>
        </w:rPr>
      </w:pPr>
      <w:r>
        <w:rPr>
          <w:b/>
        </w:rPr>
        <w:t>Workforce Flexibility (Workflex) Plan Submission and Reporting Requirements</w:t>
      </w:r>
    </w:p>
    <w:p w:rsidR="00BA6848" w:rsidRPr="00BA6848" w:rsidP="00BA6848" w14:paraId="496EC271" w14:textId="0CC6352F">
      <w:pPr>
        <w:autoSpaceDE w:val="0"/>
        <w:autoSpaceDN w:val="0"/>
        <w:adjustRightInd w:val="0"/>
        <w:jc w:val="center"/>
        <w:rPr>
          <w:b/>
        </w:rPr>
      </w:pPr>
      <w:r w:rsidRPr="00BA6848">
        <w:rPr>
          <w:b/>
        </w:rPr>
        <w:t>OMB C</w:t>
      </w:r>
      <w:r w:rsidR="004016A5">
        <w:rPr>
          <w:b/>
        </w:rPr>
        <w:t xml:space="preserve">ONTROL </w:t>
      </w:r>
      <w:r w:rsidR="00126308">
        <w:rPr>
          <w:b/>
        </w:rPr>
        <w:t>1205-0432</w:t>
      </w:r>
    </w:p>
    <w:p w:rsidR="00EA78D2" w:rsidRPr="00CE3C52" w:rsidP="00EA78D2" w14:paraId="6EE83F10" w14:textId="77777777">
      <w:pPr>
        <w:autoSpaceDE w:val="0"/>
        <w:autoSpaceDN w:val="0"/>
        <w:adjustRightInd w:val="0"/>
      </w:pPr>
    </w:p>
    <w:p w:rsidR="00EA78D2" w:rsidRPr="00CE3C52" w:rsidP="0052176B" w14:paraId="5B2D38E0" w14:textId="77777777">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rsidR="00EA78D2" w:rsidRPr="00CE3C52" w:rsidP="00EA78D2" w14:paraId="70EBE095" w14:textId="77777777">
      <w:pPr>
        <w:autoSpaceDE w:val="0"/>
        <w:autoSpaceDN w:val="0"/>
        <w:adjustRightInd w:val="0"/>
      </w:pPr>
    </w:p>
    <w:p w:rsidR="00EA78D2" w:rsidRPr="00126308" w:rsidP="00126308" w14:paraId="2413B3F5" w14:textId="45545379">
      <w:pPr>
        <w:pStyle w:val="ListParagraph"/>
        <w:numPr>
          <w:ilvl w:val="0"/>
          <w:numId w:val="2"/>
        </w:numPr>
        <w:tabs>
          <w:tab w:val="right" w:pos="360"/>
        </w:tabs>
        <w:autoSpaceDE w:val="0"/>
        <w:autoSpaceDN w:val="0"/>
        <w:adjustRightInd w:val="0"/>
        <w:rPr>
          <w:i/>
        </w:rPr>
      </w:pPr>
      <w:r>
        <w:rPr>
          <w:i/>
        </w:rPr>
        <w:t xml:space="preserve">   </w:t>
      </w:r>
      <w:r w:rsidRPr="00126308">
        <w:rPr>
          <w:i/>
        </w:rPr>
        <w:t>Explain the circumstances that make the collection of information necessary</w:t>
      </w:r>
      <w:r w:rsidRPr="00126308" w:rsidR="00F25EFF">
        <w:rPr>
          <w:i/>
        </w:rPr>
        <w:t xml:space="preserve">.  </w:t>
      </w:r>
      <w:r w:rsidRPr="00126308">
        <w:rPr>
          <w:i/>
        </w:rPr>
        <w:t xml:space="preserve">Identify any legal or administrative requirements that necessitate the collection. </w:t>
      </w:r>
      <w:r w:rsidRPr="00126308" w:rsidR="001C050B">
        <w:rPr>
          <w:i/>
        </w:rPr>
        <w:t xml:space="preserve"> </w:t>
      </w:r>
      <w:r w:rsidRPr="00126308">
        <w:rPr>
          <w:i/>
        </w:rPr>
        <w:t>Attach a copy of the appropriate section of each statute and regulation mandating or authorizing the collection of information.</w:t>
      </w:r>
    </w:p>
    <w:p w:rsidR="00126308" w:rsidP="00126308" w14:paraId="090CCFB6" w14:textId="6E9BD2A5">
      <w:pPr>
        <w:tabs>
          <w:tab w:val="right" w:pos="360"/>
        </w:tabs>
        <w:autoSpaceDE w:val="0"/>
        <w:autoSpaceDN w:val="0"/>
        <w:adjustRightInd w:val="0"/>
        <w:rPr>
          <w:i/>
        </w:rPr>
      </w:pPr>
    </w:p>
    <w:p w:rsidR="00126308" w:rsidP="001204FD" w14:paraId="20EBF696" w14:textId="01EA76A2">
      <w:r w:rsidRPr="00F907A6">
        <w:t>Section 190 of the Workforce Innovation and Opportunity Act (WIOA), (</w:t>
      </w:r>
      <w:r>
        <w:t>P.L. 113-128</w:t>
      </w:r>
      <w:r w:rsidRPr="00F907A6">
        <w:t>, July 22, 2014)</w:t>
      </w:r>
      <w:r>
        <w:t xml:space="preserve"> </w:t>
      </w:r>
      <w:r w:rsidRPr="004D4424">
        <w:t>permit</w:t>
      </w:r>
      <w:r>
        <w:t>s</w:t>
      </w:r>
      <w:r w:rsidRPr="004D4424">
        <w:t xml:space="preserve"> </w:t>
      </w:r>
      <w:r>
        <w:t>s</w:t>
      </w:r>
      <w:r w:rsidRPr="004D4424">
        <w:t>tates to apply for a 5-year Work</w:t>
      </w:r>
      <w:r>
        <w:t>f</w:t>
      </w:r>
      <w:r w:rsidRPr="004D4424">
        <w:t>lex waiver authority to implement reforms to their workforce investment systems in exchange for program improvements.</w:t>
      </w:r>
      <w:r w:rsidR="0049447D">
        <w:t xml:space="preserve"> </w:t>
      </w:r>
      <w:r w:rsidRPr="002D320A">
        <w:rPr>
          <w:rFonts w:eastAsia="Calibri"/>
        </w:rPr>
        <w:t>Under</w:t>
      </w:r>
      <w:r w:rsidR="00976A8A">
        <w:rPr>
          <w:rFonts w:eastAsia="Calibri"/>
        </w:rPr>
        <w:t xml:space="preserve"> </w:t>
      </w:r>
      <w:r w:rsidRPr="002D320A">
        <w:rPr>
          <w:rFonts w:eastAsia="Calibri"/>
        </w:rPr>
        <w:t>Workflex, governors are granted the authority to approve requests submitted by their local areas to waive certain statutory and regulatory provisions of WIOA Title I programs. State</w:t>
      </w:r>
      <w:r>
        <w:rPr>
          <w:rFonts w:eastAsia="Calibri"/>
        </w:rPr>
        <w:t>s</w:t>
      </w:r>
      <w:r w:rsidRPr="002D320A">
        <w:rPr>
          <w:rFonts w:eastAsia="Calibri"/>
        </w:rPr>
        <w:t xml:space="preserve"> may also request waivers from the Secretary of certain requirements of the Wagner-Peyser Act (Sections 8-10) </w:t>
      </w:r>
      <w:r>
        <w:rPr>
          <w:rFonts w:eastAsia="Calibri"/>
        </w:rPr>
        <w:t>and the Older Americans Act of 1965.</w:t>
      </w:r>
      <w:r w:rsidRPr="004D4424">
        <w:t xml:space="preserve"> The Act provides that the Secretary may only grant Work</w:t>
      </w:r>
      <w:r>
        <w:t>f</w:t>
      </w:r>
      <w:r w:rsidRPr="004D4424">
        <w:t>lex waiver authority in consideration of a Work</w:t>
      </w:r>
      <w:r>
        <w:t>f</w:t>
      </w:r>
      <w:r w:rsidRPr="004D4424">
        <w:t xml:space="preserve">lex </w:t>
      </w:r>
      <w:r>
        <w:t>p</w:t>
      </w:r>
      <w:r w:rsidRPr="004D4424">
        <w:t xml:space="preserve">lan submitted by a State. </w:t>
      </w:r>
    </w:p>
    <w:p w:rsidR="00126308" w:rsidP="00126308" w14:paraId="175FA11A" w14:textId="77777777">
      <w:pPr>
        <w:jc w:val="both"/>
      </w:pPr>
    </w:p>
    <w:p w:rsidR="00EA78D2" w:rsidRPr="00B10FD7" w:rsidP="006C133A" w14:paraId="428092E6" w14:textId="77777777">
      <w:pPr>
        <w:tabs>
          <w:tab w:val="right" w:pos="360"/>
        </w:tabs>
        <w:autoSpaceDE w:val="0"/>
        <w:autoSpaceDN w:val="0"/>
        <w:adjustRightInd w:val="0"/>
        <w:ind w:left="540" w:hanging="540"/>
        <w:rPr>
          <w:i/>
        </w:rPr>
      </w:pPr>
      <w:r w:rsidRPr="00B10FD7">
        <w:rPr>
          <w:i/>
        </w:rPr>
        <w:tab/>
      </w:r>
      <w:r w:rsidRPr="00B10FD7">
        <w:rPr>
          <w:i/>
        </w:rPr>
        <w:t xml:space="preserve">2. </w:t>
      </w:r>
      <w:r w:rsidRPr="00B10FD7">
        <w:rPr>
          <w:i/>
        </w:rPr>
        <w:tab/>
      </w:r>
      <w:r w:rsidRPr="00B10FD7">
        <w:rPr>
          <w:i/>
        </w:rPr>
        <w:t xml:space="preserve">Indicate how, by whom, and for what purpose the information is to be used. </w:t>
      </w:r>
      <w:r w:rsidRPr="00B10FD7" w:rsidR="00B10FD7">
        <w:rPr>
          <w:i/>
        </w:rPr>
        <w:t xml:space="preserve"> </w:t>
      </w:r>
      <w:r w:rsidRPr="00B10FD7">
        <w:rPr>
          <w:i/>
        </w:rPr>
        <w:t>Except for a new collection, indicate the actual use the agency has made of the information received from the current collection.</w:t>
      </w:r>
    </w:p>
    <w:p w:rsidR="00EA78D2" w:rsidP="00EA78D2" w14:paraId="59906C07" w14:textId="2CAC4748">
      <w:pPr>
        <w:autoSpaceDE w:val="0"/>
        <w:autoSpaceDN w:val="0"/>
        <w:adjustRightInd w:val="0"/>
      </w:pPr>
    </w:p>
    <w:p w:rsidR="00126308" w:rsidRPr="004D4424" w:rsidP="00876B8A" w14:paraId="7081E640" w14:textId="189F62C7">
      <w:pPr>
        <w:pStyle w:val="NoSpacing"/>
      </w:pPr>
      <w:r w:rsidRPr="004D4424">
        <w:t xml:space="preserve">The information forms the basis for approving applications from </w:t>
      </w:r>
      <w:r>
        <w:t>S</w:t>
      </w:r>
      <w:r w:rsidRPr="004D4424">
        <w:t>tates for Work</w:t>
      </w:r>
      <w:r>
        <w:t>f</w:t>
      </w:r>
      <w:r w:rsidRPr="004D4424">
        <w:t>lex waiver authority.</w:t>
      </w:r>
      <w:r w:rsidR="00876B8A">
        <w:t xml:space="preserve"> </w:t>
      </w:r>
      <w:r w:rsidRPr="004D4424">
        <w:t>Applications consist of Work</w:t>
      </w:r>
      <w:r>
        <w:t>f</w:t>
      </w:r>
      <w:r w:rsidRPr="004D4424">
        <w:t xml:space="preserve">lex </w:t>
      </w:r>
      <w:r>
        <w:t>p</w:t>
      </w:r>
      <w:r w:rsidRPr="004D4424">
        <w:t>lans developed and submitted by States in accordance with the requirements specified in Section 19</w:t>
      </w:r>
      <w:r>
        <w:t>0</w:t>
      </w:r>
      <w:r w:rsidRPr="004D4424">
        <w:t xml:space="preserve"> of the Act, 20 CFR </w:t>
      </w:r>
      <w:r>
        <w:t xml:space="preserve">679.630 </w:t>
      </w:r>
      <w:r w:rsidRPr="004D4424">
        <w:t>et seq</w:t>
      </w:r>
      <w:r>
        <w:t>.</w:t>
      </w:r>
      <w:r w:rsidRPr="004D4424">
        <w:t xml:space="preserve"> and guidance issued by the Department. The Department maintains a quarterly update process by which States report on key data elements, which are implemented upon the approval of the Work</w:t>
      </w:r>
      <w:r>
        <w:t>f</w:t>
      </w:r>
      <w:r w:rsidRPr="004D4424">
        <w:t>lex request.</w:t>
      </w:r>
    </w:p>
    <w:p w:rsidR="00126308" w:rsidP="00EA78D2" w14:paraId="683761F5" w14:textId="22592D3A">
      <w:pPr>
        <w:autoSpaceDE w:val="0"/>
        <w:autoSpaceDN w:val="0"/>
        <w:adjustRightInd w:val="0"/>
      </w:pPr>
    </w:p>
    <w:p w:rsidR="00126308" w:rsidRPr="00CE3C52" w:rsidP="00EA78D2" w14:paraId="5228C629" w14:textId="77777777">
      <w:pPr>
        <w:autoSpaceDE w:val="0"/>
        <w:autoSpaceDN w:val="0"/>
        <w:adjustRightInd w:val="0"/>
      </w:pPr>
    </w:p>
    <w:p w:rsidR="00EA78D2" w:rsidRPr="002221A7" w:rsidP="006C133A" w14:paraId="148D26A8" w14:textId="77777777">
      <w:pPr>
        <w:tabs>
          <w:tab w:val="right" w:pos="360"/>
        </w:tabs>
        <w:autoSpaceDE w:val="0"/>
        <w:autoSpaceDN w:val="0"/>
        <w:adjustRightInd w:val="0"/>
        <w:ind w:left="540" w:hanging="540"/>
        <w:rPr>
          <w:i/>
        </w:rPr>
      </w:pPr>
      <w:r w:rsidRPr="002221A7">
        <w:rPr>
          <w:i/>
        </w:rPr>
        <w:tab/>
      </w:r>
      <w:r w:rsidRPr="002221A7">
        <w:rPr>
          <w:i/>
        </w:rPr>
        <w:t>3.</w:t>
      </w:r>
      <w:r w:rsidRPr="002221A7">
        <w:rPr>
          <w:i/>
        </w:rPr>
        <w:tab/>
      </w: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P="00EA78D2" w14:paraId="0610B3E8" w14:textId="650D2D1C">
      <w:pPr>
        <w:autoSpaceDE w:val="0"/>
        <w:autoSpaceDN w:val="0"/>
        <w:adjustRightInd w:val="0"/>
      </w:pPr>
    </w:p>
    <w:p w:rsidR="001268B3" w:rsidRPr="004D4424" w:rsidP="001268B3" w14:paraId="05ACB68C" w14:textId="359D3C05">
      <w:pPr>
        <w:jc w:val="both"/>
      </w:pPr>
      <w:r w:rsidRPr="004D4424">
        <w:t>In compliance with the Government Paperwork Elimination Act, the Department routinely accepts electronic submissions from its grantees. Electronic submissions must be in Word or PDF format (Macintosh versions cannot be accepted)</w:t>
      </w:r>
      <w:r w:rsidR="00A50649">
        <w:t xml:space="preserve"> </w:t>
      </w:r>
      <w:r w:rsidRPr="004D4424">
        <w:t xml:space="preserve">and must follow the Department’s current policy on the submission of signature pages. </w:t>
      </w:r>
    </w:p>
    <w:p w:rsidR="001268B3" w:rsidRPr="00CE3C52" w:rsidP="00EA78D2" w14:paraId="45888501" w14:textId="77777777">
      <w:pPr>
        <w:autoSpaceDE w:val="0"/>
        <w:autoSpaceDN w:val="0"/>
        <w:adjustRightInd w:val="0"/>
      </w:pPr>
    </w:p>
    <w:p w:rsidR="00EA78D2" w:rsidRPr="002221A7" w:rsidP="006C133A" w14:paraId="49D27996" w14:textId="77777777">
      <w:pPr>
        <w:tabs>
          <w:tab w:val="right" w:pos="360"/>
          <w:tab w:val="left" w:pos="540"/>
        </w:tabs>
        <w:autoSpaceDE w:val="0"/>
        <w:autoSpaceDN w:val="0"/>
        <w:adjustRightInd w:val="0"/>
        <w:ind w:left="540" w:hanging="540"/>
        <w:rPr>
          <w:i/>
        </w:rPr>
      </w:pPr>
      <w:r w:rsidRPr="002221A7">
        <w:rPr>
          <w:i/>
        </w:rPr>
        <w:tab/>
      </w:r>
      <w:r w:rsidRPr="002221A7">
        <w:rPr>
          <w:i/>
        </w:rPr>
        <w:t>4.</w:t>
      </w:r>
      <w:r w:rsidRPr="002221A7">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P="00EA78D2" w14:paraId="2A8F5313" w14:textId="030D86E8">
      <w:pPr>
        <w:autoSpaceDE w:val="0"/>
        <w:autoSpaceDN w:val="0"/>
        <w:adjustRightInd w:val="0"/>
      </w:pPr>
    </w:p>
    <w:p w:rsidR="00D41CC0" w:rsidRPr="004D4424" w:rsidP="00D41CC0" w14:paraId="4C7C304C" w14:textId="6153E054">
      <w:pPr>
        <w:jc w:val="both"/>
      </w:pPr>
      <w:r w:rsidRPr="004D4424">
        <w:t>States may submit Work</w:t>
      </w:r>
      <w:r>
        <w:t>f</w:t>
      </w:r>
      <w:r w:rsidRPr="004D4424">
        <w:t>lex plans as part of their WI</w:t>
      </w:r>
      <w:r>
        <w:t>O</w:t>
      </w:r>
      <w:r w:rsidRPr="004D4424">
        <w:t xml:space="preserve">A </w:t>
      </w:r>
      <w:r>
        <w:t>4</w:t>
      </w:r>
      <w:r w:rsidRPr="004D4424">
        <w:t xml:space="preserve">-year </w:t>
      </w:r>
      <w:r>
        <w:t>State</w:t>
      </w:r>
      <w:r w:rsidRPr="004D4424">
        <w:t xml:space="preserve"> Plan, thereby avoiding duplication, especially in the public review and comment process required for both plans. States may also submit separate Work</w:t>
      </w:r>
      <w:r>
        <w:t>f</w:t>
      </w:r>
      <w:r w:rsidRPr="004D4424">
        <w:t>lex plans, in which case they are encouraged to cross-reference, rather than duplicate, pertinent sections of their WI</w:t>
      </w:r>
      <w:r>
        <w:t>O</w:t>
      </w:r>
      <w:r w:rsidRPr="004D4424">
        <w:t xml:space="preserve">A </w:t>
      </w:r>
      <w:r>
        <w:t>State P</w:t>
      </w:r>
      <w:r w:rsidRPr="004D4424">
        <w:t>lans. Once approved, the Work</w:t>
      </w:r>
      <w:r>
        <w:t>f</w:t>
      </w:r>
      <w:r w:rsidRPr="004D4424">
        <w:t xml:space="preserve">lex </w:t>
      </w:r>
      <w:r>
        <w:t>p</w:t>
      </w:r>
      <w:r w:rsidRPr="004D4424">
        <w:t>lan is incorporated into the WI</w:t>
      </w:r>
      <w:r>
        <w:t>O</w:t>
      </w:r>
      <w:r w:rsidRPr="004D4424">
        <w:t xml:space="preserve">A </w:t>
      </w:r>
      <w:r>
        <w:t>4</w:t>
      </w:r>
      <w:r w:rsidRPr="004D4424">
        <w:t>-year</w:t>
      </w:r>
      <w:r>
        <w:t xml:space="preserve"> State</w:t>
      </w:r>
      <w:r w:rsidRPr="004D4424">
        <w:t xml:space="preserve"> Plan through a grant modification.</w:t>
      </w:r>
    </w:p>
    <w:p w:rsidR="00D41CC0" w:rsidP="00EA78D2" w14:paraId="38FD1B91" w14:textId="5EDD0A89">
      <w:pPr>
        <w:autoSpaceDE w:val="0"/>
        <w:autoSpaceDN w:val="0"/>
        <w:adjustRightInd w:val="0"/>
      </w:pPr>
    </w:p>
    <w:p w:rsidR="00EA78D2" w:rsidRPr="002221A7" w:rsidP="006C133A" w14:paraId="5772C2BD" w14:textId="77777777">
      <w:pPr>
        <w:tabs>
          <w:tab w:val="right" w:pos="360"/>
          <w:tab w:val="left" w:pos="540"/>
        </w:tabs>
        <w:autoSpaceDE w:val="0"/>
        <w:autoSpaceDN w:val="0"/>
        <w:adjustRightInd w:val="0"/>
        <w:ind w:left="540" w:hanging="540"/>
        <w:rPr>
          <w:i/>
        </w:rPr>
      </w:pPr>
      <w:r w:rsidRPr="002221A7">
        <w:rPr>
          <w:i/>
        </w:rPr>
        <w:tab/>
      </w:r>
      <w:r w:rsidRPr="002221A7">
        <w:rPr>
          <w:i/>
        </w:rPr>
        <w:t>5.</w:t>
      </w:r>
      <w:r w:rsidRPr="002221A7">
        <w:rPr>
          <w:i/>
        </w:rPr>
        <w:tab/>
      </w:r>
      <w:r w:rsidRPr="002221A7">
        <w:rPr>
          <w:i/>
        </w:rPr>
        <w:t>If the collection of information impacts small businesses or other small entities, describe any methods used to minimize burden.</w:t>
      </w:r>
    </w:p>
    <w:p w:rsidR="00EA78D2" w:rsidP="00EA78D2" w14:paraId="68A5A765" w14:textId="77777777">
      <w:pPr>
        <w:autoSpaceDE w:val="0"/>
        <w:autoSpaceDN w:val="0"/>
        <w:adjustRightInd w:val="0"/>
      </w:pPr>
    </w:p>
    <w:p w:rsidR="00CC7DBB" w:rsidRPr="004D4424" w:rsidP="00CC7DBB" w14:paraId="3EEF8931" w14:textId="77777777">
      <w:pPr>
        <w:jc w:val="both"/>
      </w:pPr>
      <w:r w:rsidRPr="004D4424">
        <w:t xml:space="preserve">Information collection applies to State Governments only. </w:t>
      </w:r>
    </w:p>
    <w:p w:rsidR="00EA78D2" w:rsidRPr="00CE3C52" w:rsidP="00EA78D2" w14:paraId="309DBE10" w14:textId="77777777">
      <w:pPr>
        <w:autoSpaceDE w:val="0"/>
        <w:autoSpaceDN w:val="0"/>
        <w:adjustRightInd w:val="0"/>
      </w:pPr>
    </w:p>
    <w:p w:rsidR="00EA78D2" w:rsidRPr="002221A7" w:rsidP="006C133A" w14:paraId="2E913E89" w14:textId="77777777">
      <w:pPr>
        <w:tabs>
          <w:tab w:val="right" w:pos="360"/>
          <w:tab w:val="left" w:pos="540"/>
        </w:tabs>
        <w:autoSpaceDE w:val="0"/>
        <w:autoSpaceDN w:val="0"/>
        <w:adjustRightInd w:val="0"/>
        <w:ind w:left="540" w:hanging="540"/>
        <w:rPr>
          <w:i/>
        </w:rPr>
      </w:pPr>
      <w:r w:rsidRPr="002221A7">
        <w:rPr>
          <w:i/>
        </w:rPr>
        <w:tab/>
      </w:r>
      <w:r w:rsidRPr="002221A7">
        <w:rPr>
          <w:i/>
        </w:rPr>
        <w:t>6.</w:t>
      </w:r>
      <w:r w:rsidRPr="002221A7">
        <w:rPr>
          <w:i/>
        </w:rPr>
        <w:tab/>
      </w:r>
      <w:r w:rsidRPr="002221A7">
        <w:rPr>
          <w:i/>
        </w:rPr>
        <w:t>Describe the consequence to Federal program or policy activities if the collection is not conducted or is conducted less frequently, as well as any technical or legal obstacles to reducing burden.</w:t>
      </w:r>
    </w:p>
    <w:p w:rsidR="00CC7DBB" w:rsidP="00CC7DBB" w14:paraId="14109825" w14:textId="77777777">
      <w:pPr>
        <w:jc w:val="both"/>
      </w:pPr>
    </w:p>
    <w:p w:rsidR="00CC7DBB" w:rsidRPr="004D4424" w:rsidP="00CC7DBB" w14:paraId="592EF0B8" w14:textId="1CF23CBB">
      <w:pPr>
        <w:jc w:val="both"/>
      </w:pPr>
      <w:r w:rsidRPr="004D4424">
        <w:t>Since submission of a Work</w:t>
      </w:r>
      <w:r>
        <w:t>f</w:t>
      </w:r>
      <w:r w:rsidRPr="004D4424">
        <w:t xml:space="preserve">lex </w:t>
      </w:r>
      <w:r>
        <w:t>p</w:t>
      </w:r>
      <w:r w:rsidRPr="004D4424">
        <w:t>lan is the only means by which a State may be granted Work</w:t>
      </w:r>
      <w:r>
        <w:t>flex</w:t>
      </w:r>
      <w:r w:rsidRPr="004D4424">
        <w:t xml:space="preserve"> waiver authority, not collecting this information would prevent the State from exercising its option under the Act to apply for such authority.</w:t>
      </w:r>
    </w:p>
    <w:p w:rsidR="00EA78D2" w:rsidRPr="00CE3C52" w:rsidP="00EA78D2" w14:paraId="1518D5A1" w14:textId="77777777">
      <w:pPr>
        <w:autoSpaceDE w:val="0"/>
        <w:autoSpaceDN w:val="0"/>
        <w:adjustRightInd w:val="0"/>
      </w:pPr>
    </w:p>
    <w:p w:rsidR="00EA78D2" w:rsidRPr="002221A7" w:rsidP="006C133A" w14:paraId="74C83C61" w14:textId="77777777">
      <w:pPr>
        <w:tabs>
          <w:tab w:val="right" w:pos="360"/>
          <w:tab w:val="left" w:pos="540"/>
        </w:tabs>
        <w:autoSpaceDE w:val="0"/>
        <w:autoSpaceDN w:val="0"/>
        <w:adjustRightInd w:val="0"/>
        <w:ind w:left="540" w:hanging="540"/>
        <w:rPr>
          <w:i/>
        </w:rPr>
      </w:pPr>
      <w:r w:rsidRPr="002221A7">
        <w:rPr>
          <w:i/>
        </w:rPr>
        <w:tab/>
      </w:r>
      <w:r w:rsidRPr="002221A7">
        <w:rPr>
          <w:i/>
        </w:rPr>
        <w:t>7.</w:t>
      </w:r>
      <w:r w:rsidRPr="002221A7">
        <w:rPr>
          <w:i/>
        </w:rPr>
        <w:tab/>
      </w:r>
      <w:r w:rsidRPr="002221A7">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Pr>
          <w:i/>
        </w:rPr>
        <w:t xml:space="preserve"> </w:t>
      </w:r>
    </w:p>
    <w:p w:rsidR="00EA78D2" w:rsidRPr="002221A7" w:rsidP="00904938" w14:paraId="40C14C99"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w:t>
      </w:r>
      <w:r w:rsidRPr="002221A7">
        <w:rPr>
          <w:i/>
        </w:rPr>
        <w:t>quarterly;</w:t>
      </w:r>
      <w:r w:rsidRPr="002221A7">
        <w:rPr>
          <w:i/>
        </w:rPr>
        <w:t xml:space="preserve"> </w:t>
      </w:r>
    </w:p>
    <w:p w:rsidR="00EA78D2" w:rsidRPr="002221A7" w:rsidP="00904938" w14:paraId="52A4710F"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w:t>
      </w:r>
      <w:r w:rsidRPr="002221A7">
        <w:rPr>
          <w:i/>
        </w:rPr>
        <w:t>it;</w:t>
      </w:r>
      <w:r w:rsidRPr="002221A7">
        <w:rPr>
          <w:i/>
        </w:rPr>
        <w:t xml:space="preserve"> </w:t>
      </w:r>
    </w:p>
    <w:p w:rsidR="00EA78D2" w:rsidRPr="002221A7" w:rsidP="00904938" w14:paraId="0992205F"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w:t>
      </w:r>
      <w:r w:rsidRPr="002221A7">
        <w:rPr>
          <w:i/>
        </w:rPr>
        <w:t>document;</w:t>
      </w:r>
      <w:r w:rsidRPr="002221A7">
        <w:rPr>
          <w:i/>
        </w:rPr>
        <w:t xml:space="preserve"> </w:t>
      </w:r>
    </w:p>
    <w:p w:rsidR="00EA78D2" w:rsidRPr="002221A7" w:rsidP="00904938" w14:paraId="45F0A0C5"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w:t>
      </w:r>
      <w:r w:rsidRPr="002221A7">
        <w:rPr>
          <w:i/>
        </w:rPr>
        <w:t>years;</w:t>
      </w:r>
      <w:r w:rsidRPr="002221A7">
        <w:rPr>
          <w:i/>
        </w:rPr>
        <w:t xml:space="preserve"> </w:t>
      </w:r>
    </w:p>
    <w:p w:rsidR="00EA78D2" w:rsidRPr="002221A7" w:rsidP="00904938" w14:paraId="3B54919D" w14:textId="77777777">
      <w:pPr>
        <w:autoSpaceDE w:val="0"/>
        <w:autoSpaceDN w:val="0"/>
        <w:adjustRightInd w:val="0"/>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w:t>
      </w:r>
      <w:r w:rsidRPr="002221A7">
        <w:rPr>
          <w:i/>
        </w:rPr>
        <w:t>study;</w:t>
      </w:r>
      <w:r w:rsidRPr="002221A7">
        <w:rPr>
          <w:i/>
        </w:rPr>
        <w:t xml:space="preserve"> </w:t>
      </w:r>
    </w:p>
    <w:p w:rsidR="00EA78D2" w:rsidRPr="002221A7" w:rsidP="00904938" w14:paraId="36630B07"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w:t>
      </w:r>
      <w:r w:rsidRPr="002221A7">
        <w:rPr>
          <w:i/>
        </w:rPr>
        <w:t>OMB;</w:t>
      </w:r>
      <w:r w:rsidRPr="002221A7">
        <w:rPr>
          <w:i/>
        </w:rPr>
        <w:t xml:space="preserve"> </w:t>
      </w:r>
    </w:p>
    <w:p w:rsidR="00EA78D2" w:rsidRPr="002221A7" w:rsidP="00904938" w14:paraId="10AAE0F7" w14:textId="77777777">
      <w:pPr>
        <w:autoSpaceDE w:val="0"/>
        <w:autoSpaceDN w:val="0"/>
        <w:adjustRightInd w:val="0"/>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A78D2" w:rsidRPr="002221A7" w:rsidP="00904938" w14:paraId="068519E8" w14:textId="77777777">
      <w:pPr>
        <w:autoSpaceDE w:val="0"/>
        <w:autoSpaceDN w:val="0"/>
        <w:adjustRightInd w:val="0"/>
        <w:ind w:left="720" w:hanging="180"/>
        <w:rPr>
          <w:i/>
        </w:rPr>
      </w:pPr>
      <w:r w:rsidRPr="002221A7">
        <w:rPr>
          <w:i/>
        </w:rPr>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3F1D3E" w:rsidP="003F1D3E" w14:paraId="6D8BDCAF" w14:textId="77777777">
      <w:pPr>
        <w:jc w:val="both"/>
      </w:pPr>
    </w:p>
    <w:p w:rsidR="003F1D3E" w:rsidP="003F1D3E" w14:paraId="5B682F50" w14:textId="63EBF110">
      <w:pPr>
        <w:jc w:val="both"/>
      </w:pPr>
      <w:r w:rsidRPr="004D4424">
        <w:t>There are no special circumstances that require the collection of information to be conducted in a manner inconsistent with 5 CFR 1320.5.</w:t>
      </w:r>
    </w:p>
    <w:p w:rsidR="00EA78D2" w:rsidRPr="00CE3C52" w:rsidP="00EA78D2" w14:paraId="3B3F9945" w14:textId="77777777">
      <w:pPr>
        <w:autoSpaceDE w:val="0"/>
        <w:autoSpaceDN w:val="0"/>
        <w:adjustRightInd w:val="0"/>
      </w:pPr>
    </w:p>
    <w:p w:rsidR="00EA78D2" w:rsidRPr="002221A7" w:rsidP="00973CD5" w14:paraId="11E7CA8E" w14:textId="77777777">
      <w:pPr>
        <w:tabs>
          <w:tab w:val="right" w:pos="360"/>
          <w:tab w:val="left" w:pos="540"/>
        </w:tabs>
        <w:autoSpaceDE w:val="0"/>
        <w:autoSpaceDN w:val="0"/>
        <w:adjustRightInd w:val="0"/>
        <w:ind w:left="540" w:hanging="540"/>
        <w:rPr>
          <w:i/>
        </w:rPr>
      </w:pPr>
      <w:r w:rsidRPr="002221A7">
        <w:rPr>
          <w:i/>
        </w:rPr>
        <w:tab/>
      </w:r>
      <w:r w:rsidRPr="002221A7">
        <w:rPr>
          <w:i/>
        </w:rPr>
        <w:t>8.</w:t>
      </w:r>
      <w:r w:rsidRPr="002221A7">
        <w:rPr>
          <w:i/>
        </w:rPr>
        <w:tab/>
      </w:r>
      <w:r w:rsidRPr="002221A7">
        <w:rPr>
          <w:i/>
        </w:rPr>
        <w:t xml:space="preserve">If applicable, provide a copy and identify the date and page number of </w:t>
      </w:r>
      <w:r w:rsidRPr="002221A7">
        <w:rPr>
          <w:i/>
        </w:rPr>
        <w:t>publication</w:t>
      </w:r>
      <w:r w:rsidRPr="002221A7">
        <w:rPr>
          <w:i/>
        </w:rPr>
        <w:t xml:space="preserve">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696E21" w:rsidP="00973CD5" w14:paraId="04525EF0" w14:textId="77777777">
      <w:pPr>
        <w:autoSpaceDE w:val="0"/>
        <w:autoSpaceDN w:val="0"/>
        <w:adjustRightInd w:val="0"/>
        <w:ind w:left="540"/>
        <w:rPr>
          <w:i/>
        </w:rPr>
      </w:pPr>
    </w:p>
    <w:p w:rsidR="00EA78D2" w:rsidRPr="002221A7" w:rsidP="00973CD5" w14:paraId="6710DD40"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14:paraId="0D04C5B5" w14:textId="77777777">
      <w:pPr>
        <w:autoSpaceDE w:val="0"/>
        <w:autoSpaceDN w:val="0"/>
        <w:adjustRightInd w:val="0"/>
        <w:ind w:left="540"/>
        <w:rPr>
          <w:i/>
        </w:rPr>
      </w:pPr>
    </w:p>
    <w:p w:rsidR="00EA78D2" w:rsidRPr="002221A7" w:rsidP="00973CD5" w14:paraId="0B2161FC"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EA78D2" w14:paraId="1AB8C0FD" w14:textId="2D806FF0">
      <w:pPr>
        <w:autoSpaceDE w:val="0"/>
        <w:autoSpaceDN w:val="0"/>
        <w:adjustRightInd w:val="0"/>
      </w:pPr>
    </w:p>
    <w:p w:rsidR="00F75A41" w:rsidP="00F75A41" w14:paraId="65253C89" w14:textId="10CADE00">
      <w:pPr>
        <w:ind w:left="540"/>
        <w:jc w:val="both"/>
      </w:pPr>
      <w:r w:rsidRPr="00D9717C">
        <w:t xml:space="preserve">In accordance with the Paperwork Reduction Act of 1995, the public was allowed 60 days to comment through the Federal Register Notice posted on </w:t>
      </w:r>
      <w:r w:rsidRPr="00527AD8" w:rsidR="00CA6863">
        <w:t>March 1</w:t>
      </w:r>
      <w:r w:rsidRPr="00527AD8" w:rsidR="00831579">
        <w:t>, 202</w:t>
      </w:r>
      <w:r w:rsidRPr="00527AD8" w:rsidR="00D21C58">
        <w:t>4</w:t>
      </w:r>
      <w:r w:rsidRPr="00D9717C">
        <w:t>.</w:t>
      </w:r>
      <w:r w:rsidR="00982985">
        <w:t xml:space="preserve">  Document Citation Number </w:t>
      </w:r>
      <w:r w:rsidRPr="00982985" w:rsidR="00982985">
        <w:t>89 FR 15221</w:t>
      </w:r>
      <w:r w:rsidR="00982985">
        <w:t xml:space="preserve">. </w:t>
      </w:r>
      <w:r w:rsidR="00527AD8">
        <w:t>No p</w:t>
      </w:r>
      <w:r w:rsidRPr="00D9717C">
        <w:t>ublic comments were received</w:t>
      </w:r>
      <w:r w:rsidR="00527AD8">
        <w:t xml:space="preserve"> in response to this </w:t>
      </w:r>
      <w:r w:rsidR="00831579">
        <w:t>collection.</w:t>
      </w:r>
      <w:r w:rsidR="00152B50">
        <w:t xml:space="preserve">  </w:t>
      </w:r>
    </w:p>
    <w:p w:rsidR="00152B50" w:rsidRPr="00D9717C" w:rsidP="00F75A41" w14:paraId="2B8B65F3" w14:textId="77777777">
      <w:pPr>
        <w:ind w:left="540"/>
        <w:jc w:val="both"/>
      </w:pPr>
    </w:p>
    <w:p w:rsidR="00EA78D2" w:rsidRPr="008F4D44" w:rsidP="00973CD5" w14:paraId="3CD0657B" w14:textId="77777777">
      <w:pPr>
        <w:tabs>
          <w:tab w:val="right" w:pos="360"/>
          <w:tab w:val="left" w:pos="540"/>
        </w:tabs>
        <w:autoSpaceDE w:val="0"/>
        <w:autoSpaceDN w:val="0"/>
        <w:adjustRightInd w:val="0"/>
        <w:ind w:left="540" w:hanging="540"/>
        <w:rPr>
          <w:i/>
        </w:rPr>
      </w:pPr>
      <w:r w:rsidRPr="008F4D44">
        <w:rPr>
          <w:i/>
        </w:rPr>
        <w:tab/>
      </w:r>
      <w:r w:rsidRPr="008F4D44">
        <w:rPr>
          <w:i/>
        </w:rPr>
        <w:t>9.</w:t>
      </w:r>
      <w:r w:rsidRPr="008F4D44">
        <w:rPr>
          <w:i/>
        </w:rPr>
        <w:tab/>
      </w:r>
      <w:r w:rsidRPr="008F4D44">
        <w:rPr>
          <w:i/>
        </w:rPr>
        <w:t>Explain any decision to provide any payment or gift to respondents, other than remuneration of contractors or grantees.</w:t>
      </w:r>
    </w:p>
    <w:p w:rsidR="00EA78D2" w:rsidP="00EA78D2" w14:paraId="21D1E2AC" w14:textId="77777777">
      <w:pPr>
        <w:autoSpaceDE w:val="0"/>
        <w:autoSpaceDN w:val="0"/>
        <w:adjustRightInd w:val="0"/>
      </w:pPr>
    </w:p>
    <w:p w:rsidR="00F75A41" w:rsidRPr="004D4424" w:rsidP="00F75A41" w14:paraId="1B5B5636" w14:textId="77777777">
      <w:pPr>
        <w:ind w:firstLine="540"/>
        <w:jc w:val="both"/>
      </w:pPr>
      <w:r w:rsidRPr="00E932EA">
        <w:t>There are no payments made to respondents.</w:t>
      </w:r>
      <w:r>
        <w:t xml:space="preserve"> </w:t>
      </w:r>
    </w:p>
    <w:p w:rsidR="00F52F68" w:rsidRPr="00CE3C52" w:rsidP="00EA78D2" w14:paraId="0BF1A2CD" w14:textId="77777777">
      <w:pPr>
        <w:autoSpaceDE w:val="0"/>
        <w:autoSpaceDN w:val="0"/>
        <w:adjustRightInd w:val="0"/>
      </w:pPr>
    </w:p>
    <w:p w:rsidR="00EA78D2" w:rsidRPr="008F4D44" w:rsidP="00973CD5" w14:paraId="4FFF3C6F" w14:textId="77777777">
      <w:pPr>
        <w:tabs>
          <w:tab w:val="right" w:pos="360"/>
          <w:tab w:val="left" w:pos="540"/>
        </w:tabs>
        <w:autoSpaceDE w:val="0"/>
        <w:autoSpaceDN w:val="0"/>
        <w:adjustRightInd w:val="0"/>
        <w:ind w:left="540" w:hanging="540"/>
        <w:rPr>
          <w:i/>
        </w:rPr>
      </w:pPr>
      <w:r w:rsidRPr="008F4D44">
        <w:rPr>
          <w:i/>
        </w:rPr>
        <w:tab/>
      </w:r>
      <w:r w:rsidRPr="008F4D44">
        <w:rPr>
          <w:i/>
        </w:rPr>
        <w:t>10.</w:t>
      </w:r>
      <w:r w:rsidRPr="008F4D44">
        <w:rPr>
          <w:i/>
        </w:rPr>
        <w:tab/>
      </w:r>
      <w:r w:rsidRPr="008F4D44">
        <w:rPr>
          <w:i/>
        </w:rPr>
        <w:t>Describe any assurance of confidentiality provided to respondents and the basis for the assurance in statute, regulation, or agency policy.</w:t>
      </w:r>
    </w:p>
    <w:p w:rsidR="00EA78D2" w:rsidP="00EA78D2" w14:paraId="0DBE3D61" w14:textId="38ACBAB3">
      <w:pPr>
        <w:autoSpaceDE w:val="0"/>
        <w:autoSpaceDN w:val="0"/>
        <w:adjustRightInd w:val="0"/>
      </w:pPr>
    </w:p>
    <w:p w:rsidR="00F75A41" w:rsidRPr="004D4424" w:rsidP="00F75A41" w14:paraId="43BAF4F7" w14:textId="77777777">
      <w:pPr>
        <w:ind w:firstLine="540"/>
        <w:jc w:val="both"/>
      </w:pPr>
      <w:r w:rsidRPr="004D4424">
        <w:t>There are no assurances of confidentiality.</w:t>
      </w:r>
    </w:p>
    <w:p w:rsidR="00F75A41" w:rsidRPr="00CE3C52" w:rsidP="00EA78D2" w14:paraId="558340E4" w14:textId="77777777">
      <w:pPr>
        <w:autoSpaceDE w:val="0"/>
        <w:autoSpaceDN w:val="0"/>
        <w:adjustRightInd w:val="0"/>
      </w:pPr>
    </w:p>
    <w:p w:rsidR="00EA78D2" w:rsidRPr="008F4D44" w:rsidP="00973CD5" w14:paraId="5645578D" w14:textId="77777777">
      <w:pPr>
        <w:tabs>
          <w:tab w:val="right" w:pos="360"/>
          <w:tab w:val="left" w:pos="540"/>
        </w:tabs>
        <w:autoSpaceDE w:val="0"/>
        <w:autoSpaceDN w:val="0"/>
        <w:adjustRightInd w:val="0"/>
        <w:ind w:left="540" w:hanging="540"/>
        <w:rPr>
          <w:i/>
        </w:rPr>
      </w:pPr>
      <w:r w:rsidRPr="008F4D44">
        <w:rPr>
          <w:i/>
        </w:rPr>
        <w:tab/>
      </w:r>
      <w:r w:rsidRPr="008F4D44">
        <w:rPr>
          <w:i/>
        </w:rPr>
        <w:t>11.</w:t>
      </w:r>
      <w:r w:rsidRPr="008F4D44">
        <w:rPr>
          <w:i/>
        </w:rPr>
        <w:tab/>
      </w:r>
      <w:r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14:paraId="3D3CA798" w14:textId="5CC17029">
      <w:pPr>
        <w:autoSpaceDE w:val="0"/>
        <w:autoSpaceDN w:val="0"/>
        <w:adjustRightInd w:val="0"/>
      </w:pPr>
    </w:p>
    <w:p w:rsidR="00F75A41" w:rsidRPr="004D4424" w:rsidP="00F75A41" w14:paraId="2B850C3C" w14:textId="77777777">
      <w:pPr>
        <w:ind w:firstLine="540"/>
        <w:jc w:val="both"/>
      </w:pPr>
      <w:r w:rsidRPr="004D4424">
        <w:t>There is no information of a sensitive nature being requested.</w:t>
      </w:r>
    </w:p>
    <w:p w:rsidR="00F75A41" w:rsidRPr="00CE3C52" w:rsidP="00EA78D2" w14:paraId="03F8AC57" w14:textId="77777777">
      <w:pPr>
        <w:autoSpaceDE w:val="0"/>
        <w:autoSpaceDN w:val="0"/>
        <w:adjustRightInd w:val="0"/>
      </w:pPr>
    </w:p>
    <w:p w:rsidR="00EA78D2" w:rsidRPr="008F4D44" w:rsidP="0052176B" w14:paraId="5AF65739" w14:textId="77777777">
      <w:pPr>
        <w:tabs>
          <w:tab w:val="right" w:pos="360"/>
        </w:tabs>
        <w:autoSpaceDE w:val="0"/>
        <w:autoSpaceDN w:val="0"/>
        <w:adjustRightInd w:val="0"/>
        <w:ind w:left="540" w:hanging="540"/>
        <w:rPr>
          <w:i/>
        </w:rPr>
      </w:pPr>
      <w:r w:rsidRPr="008F4D44">
        <w:rPr>
          <w:i/>
        </w:rPr>
        <w:tab/>
      </w:r>
      <w:r w:rsidRPr="008F4D44">
        <w:rPr>
          <w:i/>
        </w:rPr>
        <w:t>12.</w:t>
      </w:r>
      <w:r w:rsidRPr="008F4D44">
        <w:rPr>
          <w:i/>
        </w:rPr>
        <w:tab/>
      </w:r>
      <w:r w:rsidRPr="008F4D44">
        <w:rPr>
          <w:i/>
        </w:rPr>
        <w:t xml:space="preserve">Provide estimates of the hour burden of the collection of information. </w:t>
      </w:r>
      <w:r w:rsidR="00216406">
        <w:rPr>
          <w:i/>
        </w:rPr>
        <w:t xml:space="preserve"> </w:t>
      </w:r>
      <w:r w:rsidRPr="008F4D44">
        <w:rPr>
          <w:i/>
        </w:rPr>
        <w:t xml:space="preserve">The statement should: </w:t>
      </w:r>
    </w:p>
    <w:p w:rsidR="00996590" w:rsidRPr="008F4D44" w:rsidP="00996590" w14:paraId="377CF9DA" w14:textId="77777777">
      <w:pPr>
        <w:autoSpaceDE w:val="0"/>
        <w:autoSpaceDN w:val="0"/>
        <w:adjustRightInd w:val="0"/>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 xml:space="preserve">Unless directed to do so, agencies should not conduct special surveys to obtain information on which to base hour burden </w:t>
      </w:r>
      <w:r w:rsidRPr="008F4D44">
        <w:rPr>
          <w:i/>
        </w:rPr>
        <w:t xml:space="preserve">estimates. </w:t>
      </w:r>
      <w:r w:rsidRPr="008F4D44">
        <w:rPr>
          <w:i/>
        </w:rPr>
        <w:t xml:space="preserve"> </w:t>
      </w:r>
      <w:r w:rsidRPr="008F4D44">
        <w:rPr>
          <w:i/>
        </w:rPr>
        <w:t>Consultation with a sample (fewer than 10) of potential respondents is desirable</w:t>
      </w:r>
      <w:r w:rsidRPr="008F4D44" w:rsidR="00F25EFF">
        <w:rPr>
          <w:i/>
        </w:rPr>
        <w:t xml:space="preserve">.  </w:t>
      </w:r>
      <w:r w:rsidRPr="008F4D44">
        <w:rPr>
          <w:i/>
        </w:rPr>
        <w:t xml:space="preserve">If the hour burden on respondents is expected to vary widely because of differences in activity, size, or complexity, show the range of estimated hour burden, and explain the reasons for the variance. </w:t>
      </w:r>
      <w:r w:rsidRPr="008F4D44">
        <w:rPr>
          <w:i/>
        </w:rPr>
        <w:t xml:space="preserve"> </w:t>
      </w:r>
      <w:r w:rsidRPr="008F4D44">
        <w:rPr>
          <w:i/>
        </w:rPr>
        <w:t>Generally, estimates should not include burden hours for customary and usual business practices.</w:t>
      </w:r>
    </w:p>
    <w:p w:rsidR="00EA78D2" w:rsidRPr="008F4D44" w:rsidP="00996590" w14:paraId="5089F95C" w14:textId="77777777">
      <w:pPr>
        <w:autoSpaceDE w:val="0"/>
        <w:autoSpaceDN w:val="0"/>
        <w:adjustRightInd w:val="0"/>
        <w:ind w:left="720" w:hanging="180"/>
        <w:rPr>
          <w:i/>
        </w:rPr>
      </w:pPr>
      <w:r w:rsidRPr="008F4D44">
        <w:rPr>
          <w:i/>
        </w:rPr>
        <w:t xml:space="preserve">* If this request for approval covers more than one form, provide separate hour burden estimates for each </w:t>
      </w:r>
      <w:r w:rsidRPr="008F4D44">
        <w:rPr>
          <w:i/>
        </w:rPr>
        <w:t>form</w:t>
      </w:r>
      <w:r w:rsidRPr="008F4D44">
        <w:rPr>
          <w:i/>
        </w:rPr>
        <w:t xml:space="preserve"> and aggregate the hour burdens. </w:t>
      </w:r>
    </w:p>
    <w:p w:rsidR="00EA78D2" w:rsidRPr="008F4D44" w:rsidP="00996590" w14:paraId="58301E1B" w14:textId="77777777">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3737C4" w:rsidP="003737C4" w14:paraId="5C6A53D0" w14:textId="77777777"/>
    <w:p w:rsidR="003737C4" w:rsidRPr="00B86D38" w:rsidP="003737C4" w14:paraId="53DA1050" w14:textId="577BCD1E">
      <w:pPr>
        <w:ind w:left="540"/>
      </w:pPr>
      <w:r w:rsidRPr="00B86D38">
        <w:t>All States, including the Insular Areas, may apply for Workflex waiver authority; therefore, the number of respondents indicated below is an estimate. Based on the historical level of interest, the number of respondents is expected to be quite low. Burden estimates are:</w:t>
      </w:r>
    </w:p>
    <w:p w:rsidR="003737C4" w:rsidRPr="00B86D38" w:rsidP="003737C4" w14:paraId="6FB0BAD4" w14:textId="77777777"/>
    <w:p w:rsidR="003737C4" w:rsidRPr="00B86D38" w:rsidP="003737C4" w14:paraId="69FC5B30" w14:textId="77777777">
      <w:pPr>
        <w:ind w:left="540"/>
      </w:pPr>
      <w:r w:rsidRPr="00B86D38">
        <w:t>5 respondents x 1 frequency x 1</w:t>
      </w:r>
      <w:r>
        <w:t>5</w:t>
      </w:r>
      <w:r w:rsidRPr="00B86D38">
        <w:t xml:space="preserve"> hours per respondent application = </w:t>
      </w:r>
      <w:r>
        <w:t>75</w:t>
      </w:r>
      <w:r w:rsidRPr="00B86D38">
        <w:t xml:space="preserve"> total annual burden hours.</w:t>
      </w:r>
    </w:p>
    <w:p w:rsidR="00DB6641" w:rsidP="00DB6641" w14:paraId="03DE43F3" w14:textId="77777777"/>
    <w:p w:rsidR="00DB6641" w:rsidRPr="00B86D38" w:rsidP="00DB6641" w14:paraId="7F31B1BC" w14:textId="4A30D852">
      <w:pPr>
        <w:ind w:left="540"/>
      </w:pPr>
      <w:r w:rsidRPr="00B86D38">
        <w:t xml:space="preserve">In addition to the Workflex plan, a State granted Workflex authority is required to submit quarterly reports consisting of seven items which summarize waiver activities in the State.  We estimate that, at the high end, five states will request Workflex authority per year.  </w:t>
      </w:r>
      <w:r w:rsidRPr="00C2714E">
        <w:t>Therefore</w:t>
      </w:r>
      <w:r w:rsidRPr="00C2714E" w:rsidR="000A5FFE">
        <w:t>,</w:t>
      </w:r>
      <w:r w:rsidRPr="00B86D38">
        <w:t xml:space="preserve"> burden estimates for quarterly reporting are:</w:t>
      </w:r>
    </w:p>
    <w:p w:rsidR="00DB6641" w:rsidRPr="00B86D38" w:rsidP="00DB6641" w14:paraId="307C6904" w14:textId="77777777"/>
    <w:p w:rsidR="00DB6641" w:rsidRPr="00B86D38" w:rsidP="00DB6641" w14:paraId="2FD591B3" w14:textId="77777777">
      <w:pPr>
        <w:ind w:left="540"/>
      </w:pPr>
      <w:r w:rsidRPr="00B86D38">
        <w:t xml:space="preserve">5 respondents x 4 quarters x </w:t>
      </w:r>
      <w:r>
        <w:t>8</w:t>
      </w:r>
      <w:r w:rsidRPr="00B86D38">
        <w:t xml:space="preserve"> hours per respondent per report = </w:t>
      </w:r>
      <w:r>
        <w:t>1</w:t>
      </w:r>
      <w:r w:rsidRPr="00B86D38">
        <w:t>60 total annual burden hours</w:t>
      </w:r>
    </w:p>
    <w:p w:rsidR="00DB6641" w:rsidRPr="00B86D38" w:rsidP="00DB6641" w14:paraId="2F43524D" w14:textId="77777777"/>
    <w:p w:rsidR="00621DF7" w:rsidRPr="00B86D38" w:rsidP="00621DF7" w14:paraId="27E7D63D" w14:textId="79C46F67">
      <w:pPr>
        <w:ind w:left="540"/>
      </w:pPr>
      <w:r w:rsidRPr="00B86D38">
        <w:t xml:space="preserve">Costs for respondents include drafting the application to meet the submission requirements and the goals and priorities of the Governor and various State and local partners/stakeholders. Individual staff costs to prepare an </w:t>
      </w:r>
      <w:r w:rsidRPr="00B86D38">
        <w:rPr>
          <w:i/>
        </w:rPr>
        <w:t>application</w:t>
      </w:r>
      <w:r w:rsidRPr="00B86D38">
        <w:t xml:space="preserve"> are estimated at $</w:t>
      </w:r>
      <w:r w:rsidR="00A03C32">
        <w:t>53.31</w:t>
      </w:r>
      <w:r w:rsidR="00643B2E">
        <w:t xml:space="preserve"> </w:t>
      </w:r>
      <w:r w:rsidRPr="00B86D38">
        <w:t>per hour times 1</w:t>
      </w:r>
      <w:r>
        <w:t>5</w:t>
      </w:r>
      <w:r w:rsidRPr="00B86D38">
        <w:t xml:space="preserve"> hours of preparation or $</w:t>
      </w:r>
      <w:r w:rsidR="00A03C32">
        <w:t>799.65</w:t>
      </w:r>
      <w:r w:rsidR="00643B2E">
        <w:t xml:space="preserve"> </w:t>
      </w:r>
      <w:r w:rsidRPr="00B86D38">
        <w:t xml:space="preserve">per respondent. Staff costs to prepare </w:t>
      </w:r>
      <w:r w:rsidRPr="00B86D38">
        <w:rPr>
          <w:i/>
        </w:rPr>
        <w:t>quarterly reports</w:t>
      </w:r>
      <w:r w:rsidRPr="00B86D38">
        <w:t xml:space="preserve"> are estimated at $</w:t>
      </w:r>
      <w:r w:rsidR="00A03C32">
        <w:t>53.31</w:t>
      </w:r>
      <w:r w:rsidR="00643B2E">
        <w:t xml:space="preserve"> </w:t>
      </w:r>
      <w:r w:rsidRPr="00B86D38">
        <w:t xml:space="preserve">per hour times </w:t>
      </w:r>
      <w:r>
        <w:t>8</w:t>
      </w:r>
      <w:r w:rsidRPr="00B86D38">
        <w:t xml:space="preserve"> hours of preparation multiplied by 4 reports or $</w:t>
      </w:r>
      <w:r w:rsidR="00A03C32">
        <w:t>1,705.92</w:t>
      </w:r>
      <w:r w:rsidR="00643B2E">
        <w:t xml:space="preserve"> </w:t>
      </w:r>
      <w:r w:rsidRPr="00B86D38">
        <w:t>per respondent annually. The total monetized value of the respondents’ time is $</w:t>
      </w:r>
      <w:r w:rsidR="00A03C32">
        <w:t>12,527.85</w:t>
      </w:r>
      <w:r w:rsidRPr="00B86D38">
        <w:t xml:space="preserve"> ($</w:t>
      </w:r>
      <w:r w:rsidR="00A03C32">
        <w:t>2,505.57</w:t>
      </w:r>
      <w:r w:rsidR="00643B2E">
        <w:t xml:space="preserve"> </w:t>
      </w:r>
      <w:r w:rsidRPr="00B86D38">
        <w:t>per respondent times 5 respondents)</w:t>
      </w:r>
      <w:r>
        <w:t>.</w:t>
      </w:r>
      <w:r w:rsidRPr="00B86D38">
        <w:t xml:space="preserve"> </w:t>
      </w:r>
    </w:p>
    <w:p w:rsidR="00621DF7" w:rsidRPr="00B86D38" w:rsidP="00621DF7" w14:paraId="04129DE2" w14:textId="77777777"/>
    <w:p w:rsidR="00621DF7" w:rsidRPr="003B179F" w:rsidP="00621DF7" w14:paraId="593FA8AA" w14:textId="74939073">
      <w:pPr>
        <w:ind w:left="540"/>
        <w:rPr>
          <w:rFonts w:eastAsia="Calibri"/>
        </w:rPr>
      </w:pPr>
      <w:r w:rsidRPr="00B86D38">
        <w:t>The hourly rate is computed by dividing the FY 20</w:t>
      </w:r>
      <w:r w:rsidR="00F2011E">
        <w:t>23</w:t>
      </w:r>
      <w:r w:rsidRPr="00B86D38">
        <w:t xml:space="preserve"> national average personal services/personal benefits (PS/PB) annual salary for state staff as provided for through the distribution of state UI administrative grants (</w:t>
      </w:r>
      <w:bookmarkStart w:id="0" w:name="_Hlk168562539"/>
      <w:hyperlink r:id="rId5" w:history="1">
        <w:r w:rsidRPr="00573686" w:rsidR="00F2011E">
          <w:rPr>
            <w:rStyle w:val="Hyperlink"/>
          </w:rPr>
          <w:t>https://www.dol.gov/sites/dolgov/files/ETA/advisories/UIPL/2022/UIPL%2018-22/CTS%2043926%20-%20OUI%20-%20UIPL%20-%20FY%202023%20Targets%20UIPL%20-%20WAS%20State%20table%20-%20Attachment%20I%20%28Accessible%20PDF%29.pdf</w:t>
        </w:r>
      </w:hyperlink>
      <w:bookmarkEnd w:id="0"/>
      <w:r w:rsidR="00F2011E">
        <w:t xml:space="preserve">) </w:t>
      </w:r>
      <w:r w:rsidRPr="00B86D38">
        <w:t>) by the number of hour</w:t>
      </w:r>
      <w:r w:rsidR="00643B2E">
        <w:t>s worked in a year (1,711).  $</w:t>
      </w:r>
      <w:r w:rsidR="00A03C32">
        <w:t xml:space="preserve">91,210 </w:t>
      </w:r>
      <w:r w:rsidRPr="00B86D38">
        <w:t>annual rate/1,711 hours = $</w:t>
      </w:r>
      <w:r w:rsidR="00643B2E">
        <w:t>5</w:t>
      </w:r>
      <w:r w:rsidR="00A03C32">
        <w:t>3</w:t>
      </w:r>
      <w:r w:rsidR="00643B2E">
        <w:t>.</w:t>
      </w:r>
      <w:r w:rsidR="00A03C32">
        <w:t>31</w:t>
      </w:r>
      <w:r w:rsidRPr="00B86D38">
        <w:t>.</w:t>
      </w:r>
      <w:r>
        <w:rPr>
          <w:rFonts w:eastAsia="Calibri"/>
        </w:rPr>
        <w:t xml:space="preserve"> </w:t>
      </w:r>
      <w:r w:rsidRPr="003B179F">
        <w:rPr>
          <w:rFonts w:eastAsia="Calibri"/>
        </w:rPr>
        <w:t xml:space="preserve">  </w:t>
      </w:r>
    </w:p>
    <w:p w:rsidR="00EA78D2" w:rsidP="00EA78D2" w14:paraId="48FFC9ED" w14:textId="27C7BBB9">
      <w:pPr>
        <w:autoSpaceDE w:val="0"/>
        <w:autoSpaceDN w:val="0"/>
        <w:adjustRightInd w:val="0"/>
      </w:pPr>
    </w:p>
    <w:p w:rsidR="003737C4" w:rsidP="00EA78D2" w14:paraId="34797EE6" w14:textId="77777777">
      <w:pPr>
        <w:autoSpaceDE w:val="0"/>
        <w:autoSpaceDN w:val="0"/>
        <w:adjustRightInd w:val="0"/>
      </w:pPr>
    </w:p>
    <w:p w:rsidR="00C30A42" w:rsidP="00C30A42" w14:paraId="468B7CB9"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415"/>
        <w:gridCol w:w="1219"/>
        <w:gridCol w:w="1182"/>
        <w:gridCol w:w="1097"/>
        <w:gridCol w:w="950"/>
        <w:gridCol w:w="1316"/>
        <w:gridCol w:w="1637"/>
      </w:tblGrid>
      <w:tr w14:paraId="715A2631" w14:textId="77777777" w:rsidTr="00F279FA">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703CB12D" w14:textId="77777777">
            <w:pPr>
              <w:spacing w:line="276" w:lineRule="auto"/>
              <w:jc w:val="center"/>
              <w:rPr>
                <w:b/>
                <w:sz w:val="22"/>
                <w:szCs w:val="22"/>
              </w:rPr>
            </w:pPr>
            <w:r>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636601BC" w14:textId="77777777">
            <w:pPr>
              <w:spacing w:line="276" w:lineRule="auto"/>
              <w:jc w:val="center"/>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5B5D62D6" w14:textId="77777777">
            <w:pPr>
              <w:spacing w:line="276" w:lineRule="auto"/>
              <w:jc w:val="center"/>
              <w:rPr>
                <w:b/>
                <w:sz w:val="22"/>
                <w:szCs w:val="22"/>
              </w:rPr>
            </w:pPr>
            <w:r>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28A587E8" w14:textId="77777777">
            <w:pPr>
              <w:spacing w:line="276" w:lineRule="auto"/>
              <w:jc w:val="center"/>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1A381BF4" w14:textId="77777777">
            <w:pPr>
              <w:spacing w:line="276" w:lineRule="auto"/>
              <w:jc w:val="center"/>
              <w:rPr>
                <w:b/>
                <w:sz w:val="22"/>
                <w:szCs w:val="22"/>
              </w:rPr>
            </w:pPr>
            <w:r>
              <w:rPr>
                <w:b/>
                <w:sz w:val="22"/>
                <w:szCs w:val="22"/>
              </w:rPr>
              <w:t>Time Per Response</w:t>
            </w:r>
          </w:p>
          <w:p w:rsidR="0002000A" w:rsidP="00696E21" w14:paraId="715B92CA" w14:textId="518F3B9A">
            <w:pPr>
              <w:spacing w:line="276" w:lineRule="auto"/>
              <w:jc w:val="center"/>
              <w:rPr>
                <w:b/>
                <w:sz w:val="22"/>
                <w:szCs w:val="22"/>
              </w:rPr>
            </w:pPr>
            <w:r>
              <w:rPr>
                <w:b/>
                <w:sz w:val="22"/>
                <w:szCs w:val="22"/>
              </w:rPr>
              <w:t>(Hours)</w:t>
            </w:r>
          </w:p>
        </w:tc>
        <w:tc>
          <w:tcPr>
            <w:tcW w:w="950"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611B4279" w14:textId="77777777">
            <w:pPr>
              <w:spacing w:line="276" w:lineRule="auto"/>
              <w:jc w:val="center"/>
              <w:rPr>
                <w:b/>
                <w:sz w:val="22"/>
                <w:szCs w:val="22"/>
              </w:rPr>
            </w:pPr>
            <w:r>
              <w:rPr>
                <w:b/>
                <w:sz w:val="22"/>
                <w:szCs w:val="22"/>
              </w:rPr>
              <w:t>Total Annual Burden (Hours)</w:t>
            </w:r>
          </w:p>
        </w:tc>
        <w:tc>
          <w:tcPr>
            <w:tcW w:w="1316"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6DD1F5CB" w14:textId="77777777">
            <w:pPr>
              <w:spacing w:line="276" w:lineRule="auto"/>
              <w:jc w:val="center"/>
              <w:rPr>
                <w:b/>
                <w:sz w:val="22"/>
                <w:szCs w:val="22"/>
              </w:rPr>
            </w:pPr>
            <w:r>
              <w:rPr>
                <w:b/>
                <w:sz w:val="22"/>
                <w:szCs w:val="22"/>
              </w:rPr>
              <w:t>Hourly Rate*</w:t>
            </w:r>
          </w:p>
        </w:tc>
        <w:tc>
          <w:tcPr>
            <w:tcW w:w="1637"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2ACF64C8" w14:textId="77777777">
            <w:pPr>
              <w:spacing w:line="276" w:lineRule="auto"/>
              <w:jc w:val="center"/>
              <w:rPr>
                <w:b/>
                <w:sz w:val="22"/>
                <w:szCs w:val="22"/>
              </w:rPr>
            </w:pPr>
            <w:r>
              <w:rPr>
                <w:b/>
                <w:sz w:val="22"/>
                <w:szCs w:val="22"/>
              </w:rPr>
              <w:t>Monetized Value of Respondent Time</w:t>
            </w:r>
          </w:p>
        </w:tc>
      </w:tr>
      <w:tr w14:paraId="6263B0B5" w14:textId="77777777" w:rsidTr="00F279FA">
        <w:tblPrEx>
          <w:tblW w:w="10255" w:type="dxa"/>
          <w:tblLook w:val="04A0"/>
        </w:tblPrEx>
        <w:tc>
          <w:tcPr>
            <w:tcW w:w="1439" w:type="dxa"/>
            <w:tcBorders>
              <w:top w:val="single" w:sz="4" w:space="0" w:color="auto"/>
              <w:left w:val="single" w:sz="4" w:space="0" w:color="auto"/>
              <w:bottom w:val="single" w:sz="4" w:space="0" w:color="auto"/>
              <w:right w:val="single" w:sz="4" w:space="0" w:color="auto"/>
            </w:tcBorders>
            <w:vAlign w:val="bottom"/>
          </w:tcPr>
          <w:p w:rsidR="00C30A42" w14:paraId="2A782854" w14:textId="6BAE35F0">
            <w:pPr>
              <w:spacing w:line="276" w:lineRule="auto"/>
              <w:jc w:val="right"/>
              <w:rPr>
                <w:sz w:val="22"/>
                <w:szCs w:val="22"/>
              </w:rPr>
            </w:pPr>
            <w:r>
              <w:rPr>
                <w:sz w:val="22"/>
                <w:szCs w:val="22"/>
              </w:rPr>
              <w:t>Waiver Application</w:t>
            </w:r>
          </w:p>
        </w:tc>
        <w:tc>
          <w:tcPr>
            <w:tcW w:w="1415" w:type="dxa"/>
            <w:tcBorders>
              <w:top w:val="single" w:sz="4" w:space="0" w:color="auto"/>
              <w:left w:val="single" w:sz="4" w:space="0" w:color="auto"/>
              <w:bottom w:val="single" w:sz="4" w:space="0" w:color="auto"/>
              <w:right w:val="single" w:sz="4" w:space="0" w:color="auto"/>
            </w:tcBorders>
            <w:vAlign w:val="bottom"/>
          </w:tcPr>
          <w:p w:rsidR="00C30A42" w14:paraId="5EAFE22D" w14:textId="6FDA32C5">
            <w:pPr>
              <w:spacing w:line="276" w:lineRule="auto"/>
              <w:jc w:val="right"/>
              <w:rPr>
                <w:sz w:val="22"/>
                <w:szCs w:val="22"/>
              </w:rPr>
            </w:pPr>
            <w:r>
              <w:rPr>
                <w:sz w:val="22"/>
                <w:szCs w:val="22"/>
              </w:rPr>
              <w:t>5</w:t>
            </w:r>
          </w:p>
        </w:tc>
        <w:tc>
          <w:tcPr>
            <w:tcW w:w="1219" w:type="dxa"/>
            <w:tcBorders>
              <w:top w:val="single" w:sz="4" w:space="0" w:color="auto"/>
              <w:left w:val="single" w:sz="4" w:space="0" w:color="auto"/>
              <w:bottom w:val="single" w:sz="4" w:space="0" w:color="auto"/>
              <w:right w:val="single" w:sz="4" w:space="0" w:color="auto"/>
            </w:tcBorders>
            <w:vAlign w:val="bottom"/>
          </w:tcPr>
          <w:p w:rsidR="00C30A42" w14:paraId="1C84B303" w14:textId="6D96F46C">
            <w:pPr>
              <w:spacing w:line="276" w:lineRule="auto"/>
              <w:jc w:val="right"/>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C30A42" w14:paraId="29D44BB0" w14:textId="642BEB46">
            <w:pPr>
              <w:spacing w:line="276" w:lineRule="auto"/>
              <w:jc w:val="right"/>
              <w:rPr>
                <w:sz w:val="22"/>
                <w:szCs w:val="22"/>
              </w:rPr>
            </w:pPr>
            <w:r>
              <w:rPr>
                <w:sz w:val="22"/>
                <w:szCs w:val="22"/>
              </w:rPr>
              <w:t>5</w:t>
            </w:r>
          </w:p>
        </w:tc>
        <w:tc>
          <w:tcPr>
            <w:tcW w:w="1097" w:type="dxa"/>
            <w:tcBorders>
              <w:top w:val="single" w:sz="4" w:space="0" w:color="auto"/>
              <w:left w:val="single" w:sz="4" w:space="0" w:color="auto"/>
              <w:bottom w:val="single" w:sz="4" w:space="0" w:color="auto"/>
              <w:right w:val="single" w:sz="4" w:space="0" w:color="auto"/>
            </w:tcBorders>
            <w:vAlign w:val="bottom"/>
          </w:tcPr>
          <w:p w:rsidR="00C30A42" w14:paraId="5068715C" w14:textId="60F7586B">
            <w:pPr>
              <w:spacing w:line="276" w:lineRule="auto"/>
              <w:jc w:val="right"/>
              <w:rPr>
                <w:sz w:val="22"/>
                <w:szCs w:val="22"/>
              </w:rPr>
            </w:pPr>
            <w:r>
              <w:rPr>
                <w:sz w:val="22"/>
                <w:szCs w:val="22"/>
              </w:rPr>
              <w:t>15</w:t>
            </w:r>
          </w:p>
        </w:tc>
        <w:tc>
          <w:tcPr>
            <w:tcW w:w="950" w:type="dxa"/>
            <w:tcBorders>
              <w:top w:val="single" w:sz="4" w:space="0" w:color="auto"/>
              <w:left w:val="single" w:sz="4" w:space="0" w:color="auto"/>
              <w:bottom w:val="single" w:sz="4" w:space="0" w:color="auto"/>
              <w:right w:val="single" w:sz="4" w:space="0" w:color="auto"/>
            </w:tcBorders>
            <w:vAlign w:val="bottom"/>
          </w:tcPr>
          <w:p w:rsidR="00C30A42" w14:paraId="51D1A8C4" w14:textId="5AA87C52">
            <w:pPr>
              <w:spacing w:line="276" w:lineRule="auto"/>
              <w:jc w:val="right"/>
              <w:rPr>
                <w:sz w:val="22"/>
                <w:szCs w:val="22"/>
              </w:rPr>
            </w:pPr>
            <w:r>
              <w:rPr>
                <w:sz w:val="22"/>
                <w:szCs w:val="22"/>
              </w:rPr>
              <w:t>75</w:t>
            </w:r>
          </w:p>
        </w:tc>
        <w:tc>
          <w:tcPr>
            <w:tcW w:w="1316" w:type="dxa"/>
            <w:tcBorders>
              <w:top w:val="single" w:sz="4" w:space="0" w:color="auto"/>
              <w:left w:val="single" w:sz="4" w:space="0" w:color="auto"/>
              <w:bottom w:val="single" w:sz="4" w:space="0" w:color="auto"/>
              <w:right w:val="single" w:sz="4" w:space="0" w:color="auto"/>
            </w:tcBorders>
            <w:vAlign w:val="bottom"/>
          </w:tcPr>
          <w:p w:rsidR="00C30A42" w14:paraId="734458F1" w14:textId="5C19902D">
            <w:pPr>
              <w:spacing w:line="276" w:lineRule="auto"/>
              <w:jc w:val="right"/>
              <w:rPr>
                <w:sz w:val="22"/>
                <w:szCs w:val="22"/>
              </w:rPr>
            </w:pPr>
            <w:r>
              <w:rPr>
                <w:sz w:val="22"/>
                <w:szCs w:val="22"/>
              </w:rPr>
              <w:t>$</w:t>
            </w:r>
            <w:r w:rsidR="00BF7820">
              <w:rPr>
                <w:sz w:val="22"/>
                <w:szCs w:val="22"/>
              </w:rPr>
              <w:t>53.31</w:t>
            </w:r>
          </w:p>
        </w:tc>
        <w:tc>
          <w:tcPr>
            <w:tcW w:w="1637" w:type="dxa"/>
            <w:tcBorders>
              <w:top w:val="single" w:sz="4" w:space="0" w:color="auto"/>
              <w:left w:val="single" w:sz="4" w:space="0" w:color="auto"/>
              <w:bottom w:val="single" w:sz="4" w:space="0" w:color="auto"/>
              <w:right w:val="single" w:sz="4" w:space="0" w:color="auto"/>
            </w:tcBorders>
            <w:vAlign w:val="bottom"/>
          </w:tcPr>
          <w:p w:rsidR="00C30A42" w14:paraId="20150B6A" w14:textId="5BBCE6B0">
            <w:pPr>
              <w:spacing w:line="276" w:lineRule="auto"/>
              <w:jc w:val="right"/>
              <w:rPr>
                <w:sz w:val="22"/>
                <w:szCs w:val="22"/>
              </w:rPr>
            </w:pPr>
            <w:r>
              <w:rPr>
                <w:sz w:val="22"/>
                <w:szCs w:val="22"/>
              </w:rPr>
              <w:t>$</w:t>
            </w:r>
            <w:r w:rsidR="006A1C45">
              <w:rPr>
                <w:sz w:val="22"/>
                <w:szCs w:val="22"/>
              </w:rPr>
              <w:t>3,998.25</w:t>
            </w:r>
          </w:p>
        </w:tc>
      </w:tr>
      <w:tr w14:paraId="73561324" w14:textId="77777777" w:rsidTr="00F279FA">
        <w:tblPrEx>
          <w:tblW w:w="10255" w:type="dxa"/>
          <w:tblLook w:val="04A0"/>
        </w:tblPrEx>
        <w:tc>
          <w:tcPr>
            <w:tcW w:w="1439" w:type="dxa"/>
            <w:tcBorders>
              <w:top w:val="single" w:sz="4" w:space="0" w:color="auto"/>
              <w:left w:val="single" w:sz="4" w:space="0" w:color="auto"/>
              <w:bottom w:val="single" w:sz="4" w:space="0" w:color="auto"/>
              <w:right w:val="single" w:sz="4" w:space="0" w:color="auto"/>
            </w:tcBorders>
            <w:vAlign w:val="bottom"/>
          </w:tcPr>
          <w:p w:rsidR="00C30A42" w14:paraId="257EE95F" w14:textId="77BFD765">
            <w:pPr>
              <w:spacing w:line="276" w:lineRule="auto"/>
              <w:jc w:val="right"/>
              <w:rPr>
                <w:sz w:val="22"/>
                <w:szCs w:val="22"/>
              </w:rPr>
            </w:pPr>
            <w:r>
              <w:rPr>
                <w:sz w:val="22"/>
                <w:szCs w:val="22"/>
              </w:rPr>
              <w:t>Quarterly Reporting</w:t>
            </w:r>
          </w:p>
        </w:tc>
        <w:tc>
          <w:tcPr>
            <w:tcW w:w="1415" w:type="dxa"/>
            <w:tcBorders>
              <w:top w:val="single" w:sz="4" w:space="0" w:color="auto"/>
              <w:left w:val="single" w:sz="4" w:space="0" w:color="auto"/>
              <w:bottom w:val="single" w:sz="4" w:space="0" w:color="auto"/>
              <w:right w:val="single" w:sz="4" w:space="0" w:color="auto"/>
            </w:tcBorders>
            <w:vAlign w:val="bottom"/>
          </w:tcPr>
          <w:p w:rsidR="00C30A42" w14:paraId="10CB9E48" w14:textId="7E623396">
            <w:pPr>
              <w:spacing w:line="276" w:lineRule="auto"/>
              <w:jc w:val="right"/>
              <w:rPr>
                <w:sz w:val="22"/>
                <w:szCs w:val="22"/>
              </w:rPr>
            </w:pPr>
            <w:r>
              <w:rPr>
                <w:sz w:val="22"/>
                <w:szCs w:val="22"/>
              </w:rPr>
              <w:t>5</w:t>
            </w:r>
          </w:p>
        </w:tc>
        <w:tc>
          <w:tcPr>
            <w:tcW w:w="1219" w:type="dxa"/>
            <w:tcBorders>
              <w:top w:val="single" w:sz="4" w:space="0" w:color="auto"/>
              <w:left w:val="single" w:sz="4" w:space="0" w:color="auto"/>
              <w:bottom w:val="single" w:sz="4" w:space="0" w:color="auto"/>
              <w:right w:val="single" w:sz="4" w:space="0" w:color="auto"/>
            </w:tcBorders>
            <w:vAlign w:val="bottom"/>
          </w:tcPr>
          <w:p w:rsidR="00C30A42" w14:paraId="6E83EF8B" w14:textId="3695A4E9">
            <w:pPr>
              <w:spacing w:line="276" w:lineRule="auto"/>
              <w:jc w:val="right"/>
              <w:rPr>
                <w:sz w:val="22"/>
                <w:szCs w:val="22"/>
              </w:rPr>
            </w:pPr>
            <w:r>
              <w:rPr>
                <w:sz w:val="22"/>
                <w:szCs w:val="22"/>
              </w:rPr>
              <w:t>4</w:t>
            </w:r>
          </w:p>
        </w:tc>
        <w:tc>
          <w:tcPr>
            <w:tcW w:w="1182" w:type="dxa"/>
            <w:tcBorders>
              <w:top w:val="single" w:sz="4" w:space="0" w:color="auto"/>
              <w:left w:val="single" w:sz="4" w:space="0" w:color="auto"/>
              <w:bottom w:val="single" w:sz="4" w:space="0" w:color="auto"/>
              <w:right w:val="single" w:sz="4" w:space="0" w:color="auto"/>
            </w:tcBorders>
            <w:vAlign w:val="bottom"/>
          </w:tcPr>
          <w:p w:rsidR="00C30A42" w14:paraId="56899AF6" w14:textId="5ECE08F5">
            <w:pPr>
              <w:spacing w:line="276" w:lineRule="auto"/>
              <w:jc w:val="right"/>
              <w:rPr>
                <w:sz w:val="22"/>
                <w:szCs w:val="22"/>
              </w:rPr>
            </w:pPr>
            <w:r>
              <w:rPr>
                <w:sz w:val="22"/>
                <w:szCs w:val="22"/>
              </w:rPr>
              <w:t>20</w:t>
            </w:r>
          </w:p>
        </w:tc>
        <w:tc>
          <w:tcPr>
            <w:tcW w:w="1097" w:type="dxa"/>
            <w:tcBorders>
              <w:top w:val="single" w:sz="4" w:space="0" w:color="auto"/>
              <w:left w:val="single" w:sz="4" w:space="0" w:color="auto"/>
              <w:bottom w:val="single" w:sz="4" w:space="0" w:color="auto"/>
              <w:right w:val="single" w:sz="4" w:space="0" w:color="auto"/>
            </w:tcBorders>
            <w:vAlign w:val="bottom"/>
          </w:tcPr>
          <w:p w:rsidR="00C30A42" w14:paraId="780AA5C2" w14:textId="1698655E">
            <w:pPr>
              <w:spacing w:line="276" w:lineRule="auto"/>
              <w:jc w:val="right"/>
              <w:rPr>
                <w:sz w:val="22"/>
                <w:szCs w:val="22"/>
              </w:rPr>
            </w:pPr>
            <w:r>
              <w:rPr>
                <w:sz w:val="22"/>
                <w:szCs w:val="22"/>
              </w:rPr>
              <w:t>8</w:t>
            </w:r>
          </w:p>
        </w:tc>
        <w:tc>
          <w:tcPr>
            <w:tcW w:w="950" w:type="dxa"/>
            <w:tcBorders>
              <w:top w:val="single" w:sz="4" w:space="0" w:color="auto"/>
              <w:left w:val="single" w:sz="4" w:space="0" w:color="auto"/>
              <w:bottom w:val="single" w:sz="4" w:space="0" w:color="auto"/>
              <w:right w:val="single" w:sz="4" w:space="0" w:color="auto"/>
            </w:tcBorders>
            <w:vAlign w:val="bottom"/>
          </w:tcPr>
          <w:p w:rsidR="00C30A42" w14:paraId="4B85EDE0" w14:textId="2B321AE3">
            <w:pPr>
              <w:spacing w:line="276" w:lineRule="auto"/>
              <w:jc w:val="right"/>
              <w:rPr>
                <w:sz w:val="22"/>
                <w:szCs w:val="22"/>
              </w:rPr>
            </w:pPr>
            <w:r>
              <w:rPr>
                <w:sz w:val="22"/>
                <w:szCs w:val="22"/>
              </w:rPr>
              <w:t>160</w:t>
            </w:r>
          </w:p>
        </w:tc>
        <w:tc>
          <w:tcPr>
            <w:tcW w:w="1316" w:type="dxa"/>
            <w:tcBorders>
              <w:top w:val="single" w:sz="4" w:space="0" w:color="auto"/>
              <w:left w:val="single" w:sz="4" w:space="0" w:color="auto"/>
              <w:bottom w:val="single" w:sz="4" w:space="0" w:color="auto"/>
              <w:right w:val="single" w:sz="4" w:space="0" w:color="auto"/>
            </w:tcBorders>
            <w:vAlign w:val="bottom"/>
          </w:tcPr>
          <w:p w:rsidR="00C30A42" w14:paraId="6C038184" w14:textId="78EACDB1">
            <w:pPr>
              <w:spacing w:line="276" w:lineRule="auto"/>
              <w:jc w:val="right"/>
              <w:rPr>
                <w:sz w:val="22"/>
                <w:szCs w:val="22"/>
              </w:rPr>
            </w:pPr>
            <w:r>
              <w:rPr>
                <w:sz w:val="22"/>
                <w:szCs w:val="22"/>
              </w:rPr>
              <w:t>$</w:t>
            </w:r>
            <w:r w:rsidR="00BF7820">
              <w:rPr>
                <w:sz w:val="22"/>
                <w:szCs w:val="22"/>
              </w:rPr>
              <w:t>53.31</w:t>
            </w:r>
          </w:p>
        </w:tc>
        <w:tc>
          <w:tcPr>
            <w:tcW w:w="1637" w:type="dxa"/>
            <w:tcBorders>
              <w:top w:val="single" w:sz="4" w:space="0" w:color="auto"/>
              <w:left w:val="single" w:sz="4" w:space="0" w:color="auto"/>
              <w:bottom w:val="single" w:sz="4" w:space="0" w:color="auto"/>
              <w:right w:val="single" w:sz="4" w:space="0" w:color="auto"/>
            </w:tcBorders>
            <w:vAlign w:val="bottom"/>
          </w:tcPr>
          <w:p w:rsidR="00C30A42" w14:paraId="5D8C884E" w14:textId="62E204BF">
            <w:pPr>
              <w:spacing w:line="276" w:lineRule="auto"/>
              <w:jc w:val="right"/>
              <w:rPr>
                <w:sz w:val="22"/>
                <w:szCs w:val="22"/>
              </w:rPr>
            </w:pPr>
            <w:r>
              <w:rPr>
                <w:sz w:val="22"/>
                <w:szCs w:val="22"/>
              </w:rPr>
              <w:t>$8,</w:t>
            </w:r>
            <w:r w:rsidR="006A1C45">
              <w:rPr>
                <w:sz w:val="22"/>
                <w:szCs w:val="22"/>
              </w:rPr>
              <w:t>529.60</w:t>
            </w:r>
          </w:p>
        </w:tc>
      </w:tr>
      <w:tr w14:paraId="3D8367AB" w14:textId="77777777" w:rsidTr="00F279FA">
        <w:tblPrEx>
          <w:tblW w:w="10255" w:type="dxa"/>
          <w:tblLook w:val="04A0"/>
        </w:tblPrEx>
        <w:tc>
          <w:tcPr>
            <w:tcW w:w="1439" w:type="dxa"/>
            <w:tcBorders>
              <w:top w:val="single" w:sz="4" w:space="0" w:color="auto"/>
              <w:left w:val="single" w:sz="4" w:space="0" w:color="auto"/>
              <w:bottom w:val="single" w:sz="4" w:space="0" w:color="auto"/>
              <w:right w:val="single" w:sz="4" w:space="0" w:color="auto"/>
            </w:tcBorders>
            <w:hideMark/>
          </w:tcPr>
          <w:p w:rsidR="00C30A42" w14:paraId="3CA09CE7" w14:textId="77777777">
            <w:pPr>
              <w:spacing w:line="276" w:lineRule="auto"/>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C30A42" w14:paraId="78B02840" w14:textId="7561A6DD">
            <w:pPr>
              <w:spacing w:line="276" w:lineRule="auto"/>
              <w:jc w:val="right"/>
              <w:rPr>
                <w:b/>
                <w:i/>
                <w:sz w:val="22"/>
                <w:szCs w:val="22"/>
              </w:rPr>
            </w:pPr>
            <w:r>
              <w:rPr>
                <w:b/>
                <w:i/>
                <w:sz w:val="22"/>
                <w:szCs w:val="22"/>
              </w:rPr>
              <w:t>--</w:t>
            </w:r>
          </w:p>
        </w:tc>
        <w:tc>
          <w:tcPr>
            <w:tcW w:w="1219" w:type="dxa"/>
            <w:tcBorders>
              <w:top w:val="single" w:sz="4" w:space="0" w:color="auto"/>
              <w:left w:val="single" w:sz="4" w:space="0" w:color="auto"/>
              <w:bottom w:val="single" w:sz="4" w:space="0" w:color="auto"/>
              <w:right w:val="single" w:sz="4" w:space="0" w:color="auto"/>
            </w:tcBorders>
            <w:vAlign w:val="bottom"/>
          </w:tcPr>
          <w:p w:rsidR="00C30A42" w14:paraId="19051364" w14:textId="0A6B2E5C">
            <w:pPr>
              <w:spacing w:line="276" w:lineRule="auto"/>
              <w:jc w:val="right"/>
              <w:rPr>
                <w:b/>
                <w:i/>
                <w:sz w:val="22"/>
                <w:szCs w:val="22"/>
              </w:rPr>
            </w:pPr>
            <w:r>
              <w:rPr>
                <w:b/>
                <w:i/>
                <w:sz w:val="22"/>
                <w:szCs w:val="22"/>
              </w:rPr>
              <w:t>5</w:t>
            </w:r>
          </w:p>
        </w:tc>
        <w:tc>
          <w:tcPr>
            <w:tcW w:w="1182" w:type="dxa"/>
            <w:tcBorders>
              <w:top w:val="single" w:sz="4" w:space="0" w:color="auto"/>
              <w:left w:val="single" w:sz="4" w:space="0" w:color="auto"/>
              <w:bottom w:val="single" w:sz="4" w:space="0" w:color="auto"/>
              <w:right w:val="single" w:sz="4" w:space="0" w:color="auto"/>
            </w:tcBorders>
            <w:vAlign w:val="bottom"/>
          </w:tcPr>
          <w:p w:rsidR="00C30A42" w14:paraId="72C5ABC8" w14:textId="507E08EA">
            <w:pPr>
              <w:spacing w:line="276" w:lineRule="auto"/>
              <w:jc w:val="right"/>
              <w:rPr>
                <w:b/>
                <w:i/>
                <w:sz w:val="22"/>
                <w:szCs w:val="22"/>
              </w:rPr>
            </w:pPr>
            <w:r>
              <w:rPr>
                <w:b/>
                <w:i/>
                <w:sz w:val="22"/>
                <w:szCs w:val="22"/>
              </w:rPr>
              <w:t>25</w:t>
            </w:r>
          </w:p>
        </w:tc>
        <w:tc>
          <w:tcPr>
            <w:tcW w:w="1097" w:type="dxa"/>
            <w:tcBorders>
              <w:top w:val="single" w:sz="4" w:space="0" w:color="auto"/>
              <w:left w:val="single" w:sz="4" w:space="0" w:color="auto"/>
              <w:bottom w:val="single" w:sz="4" w:space="0" w:color="auto"/>
              <w:right w:val="single" w:sz="4" w:space="0" w:color="auto"/>
            </w:tcBorders>
            <w:vAlign w:val="bottom"/>
          </w:tcPr>
          <w:p w:rsidR="00C30A42" w14:paraId="245C0A4C" w14:textId="7704833D">
            <w:pPr>
              <w:spacing w:line="276" w:lineRule="auto"/>
              <w:jc w:val="right"/>
              <w:rPr>
                <w:b/>
                <w:i/>
                <w:sz w:val="22"/>
                <w:szCs w:val="22"/>
              </w:rPr>
            </w:pPr>
            <w:r>
              <w:rPr>
                <w:b/>
                <w:i/>
                <w:sz w:val="22"/>
                <w:szCs w:val="22"/>
              </w:rPr>
              <w:t>--</w:t>
            </w:r>
          </w:p>
        </w:tc>
        <w:tc>
          <w:tcPr>
            <w:tcW w:w="950" w:type="dxa"/>
            <w:tcBorders>
              <w:top w:val="single" w:sz="4" w:space="0" w:color="auto"/>
              <w:left w:val="single" w:sz="4" w:space="0" w:color="auto"/>
              <w:bottom w:val="single" w:sz="4" w:space="0" w:color="auto"/>
              <w:right w:val="single" w:sz="4" w:space="0" w:color="auto"/>
            </w:tcBorders>
            <w:vAlign w:val="bottom"/>
          </w:tcPr>
          <w:p w:rsidR="00C30A42" w14:paraId="7A03DC26" w14:textId="347326B7">
            <w:pPr>
              <w:spacing w:line="276" w:lineRule="auto"/>
              <w:jc w:val="right"/>
              <w:rPr>
                <w:b/>
                <w:i/>
                <w:sz w:val="22"/>
                <w:szCs w:val="22"/>
              </w:rPr>
            </w:pPr>
            <w:r>
              <w:rPr>
                <w:b/>
                <w:i/>
                <w:sz w:val="22"/>
                <w:szCs w:val="22"/>
              </w:rPr>
              <w:t>235</w:t>
            </w:r>
          </w:p>
        </w:tc>
        <w:tc>
          <w:tcPr>
            <w:tcW w:w="1316" w:type="dxa"/>
            <w:tcBorders>
              <w:top w:val="single" w:sz="4" w:space="0" w:color="auto"/>
              <w:left w:val="single" w:sz="4" w:space="0" w:color="auto"/>
              <w:bottom w:val="single" w:sz="4" w:space="0" w:color="auto"/>
              <w:right w:val="single" w:sz="4" w:space="0" w:color="auto"/>
            </w:tcBorders>
            <w:vAlign w:val="bottom"/>
          </w:tcPr>
          <w:p w:rsidR="00C30A42" w14:paraId="01219625" w14:textId="38D98B52">
            <w:pPr>
              <w:spacing w:line="276" w:lineRule="auto"/>
              <w:jc w:val="right"/>
              <w:rPr>
                <w:b/>
                <w:i/>
                <w:sz w:val="22"/>
                <w:szCs w:val="22"/>
              </w:rPr>
            </w:pPr>
            <w:r>
              <w:rPr>
                <w:b/>
                <w:i/>
                <w:sz w:val="22"/>
                <w:szCs w:val="22"/>
              </w:rPr>
              <w:t>--</w:t>
            </w:r>
          </w:p>
        </w:tc>
        <w:tc>
          <w:tcPr>
            <w:tcW w:w="1637" w:type="dxa"/>
            <w:tcBorders>
              <w:top w:val="single" w:sz="4" w:space="0" w:color="auto"/>
              <w:left w:val="single" w:sz="4" w:space="0" w:color="auto"/>
              <w:bottom w:val="single" w:sz="4" w:space="0" w:color="auto"/>
              <w:right w:val="single" w:sz="4" w:space="0" w:color="auto"/>
            </w:tcBorders>
            <w:vAlign w:val="bottom"/>
          </w:tcPr>
          <w:p w:rsidR="00C30A42" w14:paraId="0089B222" w14:textId="13DD008F">
            <w:pPr>
              <w:spacing w:line="276" w:lineRule="auto"/>
              <w:jc w:val="right"/>
              <w:rPr>
                <w:b/>
                <w:i/>
                <w:sz w:val="22"/>
                <w:szCs w:val="22"/>
              </w:rPr>
            </w:pPr>
            <w:r>
              <w:rPr>
                <w:b/>
                <w:i/>
                <w:sz w:val="22"/>
                <w:szCs w:val="22"/>
              </w:rPr>
              <w:t>$</w:t>
            </w:r>
            <w:r w:rsidR="006A1C45">
              <w:rPr>
                <w:b/>
                <w:i/>
                <w:sz w:val="22"/>
                <w:szCs w:val="22"/>
              </w:rPr>
              <w:t>12,527.85</w:t>
            </w:r>
          </w:p>
        </w:tc>
      </w:tr>
    </w:tbl>
    <w:p w:rsidR="00C30A42" w:rsidP="00C30A42" w14:paraId="752CDBA0" w14:textId="1E8E8608">
      <w:pPr>
        <w:rPr>
          <w:i/>
        </w:rPr>
      </w:pPr>
      <w:bookmarkStart w:id="1" w:name="_Hlk168558007"/>
      <w:r>
        <w:rPr>
          <w:i/>
        </w:rPr>
        <w:t xml:space="preserve">* </w:t>
      </w:r>
      <w:r w:rsidRPr="00982985" w:rsidR="00982985">
        <w:rPr>
          <w:i/>
        </w:rPr>
        <w:t>https://www.dol.gov/sites/dolgov/files/ETA/advisories/UIPL/2022/UIPL%2018-22/CTS%2043926%20-%20OUI%20-%20UIPL%20-%20FY%202023%20Targets%20UIPL%20-%20WAS%20State%20table%20-%20Attachment%20I%20%28Accessible%20PDF%29.pdf</w:t>
      </w:r>
    </w:p>
    <w:bookmarkEnd w:id="1"/>
    <w:p w:rsidR="00EA78D2" w:rsidP="00EA78D2" w14:paraId="54F28C2C" w14:textId="77777777">
      <w:pPr>
        <w:autoSpaceDE w:val="0"/>
        <w:autoSpaceDN w:val="0"/>
        <w:adjustRightInd w:val="0"/>
      </w:pPr>
    </w:p>
    <w:p w:rsidR="00696E21" w:rsidRPr="00CE3C52" w:rsidP="00EA78D2" w14:paraId="77F86858" w14:textId="77777777">
      <w:pPr>
        <w:autoSpaceDE w:val="0"/>
        <w:autoSpaceDN w:val="0"/>
        <w:adjustRightInd w:val="0"/>
      </w:pPr>
    </w:p>
    <w:p w:rsidR="00EA78D2" w:rsidRPr="008F4D44" w:rsidP="00A705A4" w14:paraId="0FC7FB8C" w14:textId="77777777">
      <w:pPr>
        <w:tabs>
          <w:tab w:val="right" w:pos="360"/>
        </w:tabs>
        <w:autoSpaceDE w:val="0"/>
        <w:autoSpaceDN w:val="0"/>
        <w:adjustRightInd w:val="0"/>
        <w:ind w:left="540" w:hanging="540"/>
        <w:rPr>
          <w:i/>
        </w:rPr>
      </w:pPr>
      <w:r w:rsidRPr="008F4D44">
        <w:rPr>
          <w:i/>
        </w:rPr>
        <w:tab/>
      </w:r>
      <w:r w:rsidRPr="008F4D44">
        <w:rPr>
          <w:i/>
        </w:rPr>
        <w:t>13.</w:t>
      </w:r>
      <w:r w:rsidRPr="008F4D44">
        <w:rPr>
          <w:i/>
        </w:rPr>
        <w:tab/>
      </w:r>
      <w:r w:rsidRPr="008F4D44">
        <w:rPr>
          <w:i/>
        </w:rPr>
        <w:t>Provide an estimate for the total annual cost burden to respondents or record keepers resulting from the collection of information.</w:t>
      </w:r>
      <w:r w:rsidRPr="008F4D44">
        <w:rPr>
          <w:i/>
        </w:rPr>
        <w:t xml:space="preserve"> </w:t>
      </w:r>
      <w:r w:rsidRPr="008F4D44">
        <w:rPr>
          <w:i/>
        </w:rPr>
        <w:t xml:space="preserve"> (Do not include the cost of any hour burden already reflected on the burden worksheet).</w:t>
      </w:r>
    </w:p>
    <w:p w:rsidR="00EA78D2" w:rsidRPr="008F4D44" w:rsidP="00A171C6" w14:paraId="0609DBD7" w14:textId="77777777">
      <w:pPr>
        <w:autoSpaceDE w:val="0"/>
        <w:autoSpaceDN w:val="0"/>
        <w:adjustRightInd w:val="0"/>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 xml:space="preserve">The estimates should </w:t>
      </w:r>
      <w:r w:rsidRPr="008F4D44">
        <w:rPr>
          <w:i/>
        </w:rPr>
        <w:t>take into account</w:t>
      </w:r>
      <w:r w:rsidRPr="008F4D44">
        <w:rPr>
          <w:i/>
        </w:rPr>
        <w:t xml:space="preserve"> costs associated with generating, maintaining, and disclosing or providing the information</w:t>
      </w:r>
      <w:r w:rsidRPr="008F4D44" w:rsidR="00F25EFF">
        <w:rPr>
          <w:i/>
        </w:rPr>
        <w:t xml:space="preserve">.  </w:t>
      </w:r>
      <w:r w:rsidRPr="008F4D44">
        <w:rPr>
          <w:i/>
        </w:rPr>
        <w:t xml:space="preserve">Include descriptions of methods used to estimate major cost factors including system and technology acquisition, expected useful life of capital equipment, the discount rate(s), and the </w:t>
      </w:r>
      <w:r w:rsidRPr="008F4D44">
        <w:rPr>
          <w:i/>
        </w:rPr>
        <w:t>time period</w:t>
      </w:r>
      <w:r w:rsidRPr="008F4D44">
        <w:rPr>
          <w:i/>
        </w:rPr>
        <w:t xml:space="preserve">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w:t>
      </w:r>
      <w:r w:rsidRPr="008F4D44">
        <w:rPr>
          <w:i/>
        </w:rPr>
        <w:t>drilling</w:t>
      </w:r>
      <w:r w:rsidRPr="008F4D44">
        <w:rPr>
          <w:i/>
        </w:rPr>
        <w:t xml:space="preserve"> and testing equipment; and record storage facilities. </w:t>
      </w:r>
    </w:p>
    <w:p w:rsidR="00EA78D2" w:rsidRPr="008F4D44" w:rsidP="00A171C6" w14:paraId="43438080" w14:textId="77777777">
      <w:pPr>
        <w:autoSpaceDE w:val="0"/>
        <w:autoSpaceDN w:val="0"/>
        <w:adjustRightInd w:val="0"/>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 xml:space="preserve">In developing cost burden estimates, agencies may consult with a sample of respondents (fewer than 10), utilize the 60-day pre-OMB submission public comment </w:t>
      </w:r>
      <w:r w:rsidRPr="008F4D44">
        <w:rPr>
          <w:i/>
        </w:rPr>
        <w:t>process</w:t>
      </w:r>
      <w:r w:rsidRPr="008F4D44">
        <w:rPr>
          <w:i/>
        </w:rPr>
        <w:t xml:space="preserve"> and use existing economic or regulatory impact analysis associated with the rulemaking containing the information collection, as appropriate.</w:t>
      </w:r>
    </w:p>
    <w:p w:rsidR="00EA78D2" w:rsidRPr="008F4D44" w:rsidP="00A171C6" w14:paraId="0FA58D96" w14:textId="77777777">
      <w:pPr>
        <w:autoSpaceDE w:val="0"/>
        <w:autoSpaceDN w:val="0"/>
        <w:adjustRightInd w:val="0"/>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F5C2D" w:rsidP="000F5C2D" w14:paraId="4E9D8CE0" w14:textId="77777777">
      <w:pPr>
        <w:jc w:val="both"/>
      </w:pPr>
    </w:p>
    <w:p w:rsidR="000F5C2D" w:rsidRPr="004D4424" w:rsidP="000F5C2D" w14:paraId="6EDD7053" w14:textId="683B8656">
      <w:pPr>
        <w:jc w:val="both"/>
      </w:pPr>
      <w:r w:rsidRPr="004D4424">
        <w:t>There are no other costs involved.</w:t>
      </w:r>
    </w:p>
    <w:p w:rsidR="000F5C2D" w:rsidRPr="00CE3C52" w:rsidP="00EA78D2" w14:paraId="7437A601" w14:textId="77777777">
      <w:pPr>
        <w:autoSpaceDE w:val="0"/>
        <w:autoSpaceDN w:val="0"/>
        <w:adjustRightInd w:val="0"/>
      </w:pPr>
    </w:p>
    <w:p w:rsidR="00EA78D2" w:rsidP="007F12A0" w14:paraId="679EC887" w14:textId="46C1B51D">
      <w:pPr>
        <w:tabs>
          <w:tab w:val="right" w:pos="360"/>
        </w:tabs>
        <w:autoSpaceDE w:val="0"/>
        <w:autoSpaceDN w:val="0"/>
        <w:adjustRightInd w:val="0"/>
        <w:ind w:left="540" w:hanging="540"/>
        <w:rPr>
          <w:i/>
        </w:rPr>
      </w:pPr>
      <w:r w:rsidRPr="008F4D44">
        <w:rPr>
          <w:i/>
        </w:rPr>
        <w:tab/>
      </w:r>
      <w:r w:rsidRPr="008F4D44">
        <w:rPr>
          <w:i/>
        </w:rPr>
        <w:t>14.</w:t>
      </w:r>
      <w:r w:rsidRPr="008F4D44" w:rsidR="004B774D">
        <w:rPr>
          <w:i/>
        </w:rPr>
        <w:tab/>
      </w:r>
      <w:r w:rsidRPr="008F4D44">
        <w:rPr>
          <w:i/>
        </w:rPr>
        <w:t xml:space="preserve">Provide estimates of annualized costs to the Federal government. </w:t>
      </w:r>
      <w:r w:rsidRPr="008F4D44" w:rsidR="007F12A0">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9B62A2" w:rsidRPr="008F4D44" w:rsidP="007F12A0" w14:paraId="104DF3C1" w14:textId="77777777">
      <w:pPr>
        <w:tabs>
          <w:tab w:val="right" w:pos="360"/>
        </w:tabs>
        <w:autoSpaceDE w:val="0"/>
        <w:autoSpaceDN w:val="0"/>
        <w:adjustRightInd w:val="0"/>
        <w:ind w:left="540" w:hanging="540"/>
        <w:rPr>
          <w:i/>
        </w:rPr>
      </w:pPr>
    </w:p>
    <w:p w:rsidR="000F5C2D" w:rsidP="000F5C2D" w14:paraId="43E98C4D" w14:textId="7E500391">
      <w:pPr>
        <w:jc w:val="both"/>
      </w:pPr>
      <w:r w:rsidRPr="004D4424">
        <w:t xml:space="preserve">Federal staff will be reviewing and approving applications and processing quarterly reports. </w:t>
      </w:r>
      <w:r>
        <w:t xml:space="preserve">Costs to review an </w:t>
      </w:r>
      <w:r w:rsidRPr="009B5FF9">
        <w:rPr>
          <w:i/>
        </w:rPr>
        <w:t>application</w:t>
      </w:r>
      <w:r>
        <w:t xml:space="preserve"> are estimated at $</w:t>
      </w:r>
      <w:r w:rsidR="00F2011E">
        <w:t>45.83</w:t>
      </w:r>
      <w:r>
        <w:t xml:space="preserve"> per hour times 10 hours or $</w:t>
      </w:r>
      <w:r w:rsidR="00F2011E">
        <w:t xml:space="preserve">458.30 </w:t>
      </w:r>
      <w:r>
        <w:t xml:space="preserve">per application. Staff cost to review </w:t>
      </w:r>
      <w:r w:rsidRPr="009B5FF9">
        <w:rPr>
          <w:i/>
        </w:rPr>
        <w:t>quarterly reports</w:t>
      </w:r>
      <w:r>
        <w:t xml:space="preserve"> are estimated at $</w:t>
      </w:r>
      <w:r w:rsidR="00F2011E">
        <w:t>45.83</w:t>
      </w:r>
      <w:r>
        <w:t xml:space="preserve"> per hour times 8 hours multiplied by 4 or $</w:t>
      </w:r>
      <w:r w:rsidR="00F2011E">
        <w:t>1,466.56</w:t>
      </w:r>
      <w:r>
        <w:t xml:space="preserve"> per respondent annually. The total </w:t>
      </w:r>
      <w:r w:rsidRPr="005A393C">
        <w:t>annualized staff costs are $</w:t>
      </w:r>
      <w:r w:rsidR="00F2011E">
        <w:t>9</w:t>
      </w:r>
      <w:r w:rsidR="006B092B">
        <w:t>,</w:t>
      </w:r>
      <w:r w:rsidR="00F2011E">
        <w:t>624.30</w:t>
      </w:r>
      <w:r w:rsidR="00371FE7">
        <w:t xml:space="preserve"> ($</w:t>
      </w:r>
      <w:r w:rsidR="00F2011E">
        <w:t>1,924.86</w:t>
      </w:r>
      <w:r w:rsidR="00371FE7">
        <w:t xml:space="preserve"> </w:t>
      </w:r>
      <w:r w:rsidRPr="005A393C">
        <w:t>per respondent times 5 respondents</w:t>
      </w:r>
      <w:r>
        <w:t>.</w:t>
      </w:r>
      <w:r w:rsidRPr="005A393C">
        <w:t>)</w:t>
      </w:r>
      <w:r>
        <w:t xml:space="preserve"> </w:t>
      </w:r>
    </w:p>
    <w:p w:rsidR="000F5C2D" w:rsidP="000F5C2D" w14:paraId="71B83372" w14:textId="77777777">
      <w:pPr>
        <w:jc w:val="both"/>
      </w:pPr>
    </w:p>
    <w:p w:rsidR="00F2011E" w:rsidP="00414234" w14:paraId="5B7CF075" w14:textId="60448711">
      <w:r w:rsidRPr="004D4424">
        <w:t>ETA derives the wage figure from the current GS schedule for a GS-1</w:t>
      </w:r>
      <w:r>
        <w:t>2</w:t>
      </w:r>
      <w:r w:rsidRPr="004D4424">
        <w:t xml:space="preserve">, Step </w:t>
      </w:r>
      <w:r>
        <w:t>4</w:t>
      </w:r>
      <w:r w:rsidRPr="004D4424">
        <w:t xml:space="preserve"> employee</w:t>
      </w:r>
      <w:r>
        <w:t xml:space="preserve"> ($</w:t>
      </w:r>
      <w:r>
        <w:t>45</w:t>
      </w:r>
      <w:r w:rsidR="00414234">
        <w:t>.</w:t>
      </w:r>
      <w:r>
        <w:t>83</w:t>
      </w:r>
      <w:r w:rsidR="00414234">
        <w:t xml:space="preserve"> per hours</w:t>
      </w:r>
      <w:r>
        <w:t>)</w:t>
      </w:r>
      <w:r w:rsidR="00414234">
        <w:t xml:space="preserve">  </w:t>
      </w:r>
      <w:r>
        <w:t>(</w:t>
      </w:r>
      <w:hyperlink r:id="rId6" w:history="1">
        <w:r w:rsidRPr="00573686">
          <w:rPr>
            <w:rStyle w:val="Hyperlink"/>
          </w:rPr>
          <w:t>https://www.opm.gov/policy-data-oversight/pay-leave/salaries-wages/salary-tables/24Tables/html/RUS_h.aspx</w:t>
        </w:r>
      </w:hyperlink>
      <w:r>
        <w:t>)</w:t>
      </w:r>
      <w:r w:rsidR="00414234">
        <w:t>.</w:t>
      </w:r>
    </w:p>
    <w:p w:rsidR="000F5C2D" w:rsidP="000F5C2D" w14:paraId="429A9593" w14:textId="0269D4FC">
      <w:pPr>
        <w:jc w:val="both"/>
      </w:pPr>
    </w:p>
    <w:p w:rsidR="00EA78D2" w:rsidRPr="008F4D44" w:rsidP="007F12A0" w14:paraId="2EAE828E" w14:textId="77777777">
      <w:pPr>
        <w:tabs>
          <w:tab w:val="right" w:pos="360"/>
        </w:tabs>
        <w:autoSpaceDE w:val="0"/>
        <w:autoSpaceDN w:val="0"/>
        <w:adjustRightInd w:val="0"/>
        <w:ind w:left="540" w:hanging="540"/>
        <w:rPr>
          <w:i/>
        </w:rPr>
      </w:pPr>
      <w:r w:rsidRPr="008F4D44">
        <w:rPr>
          <w:i/>
        </w:rPr>
        <w:tab/>
      </w:r>
      <w:r w:rsidRPr="008F4D44">
        <w:rPr>
          <w:i/>
        </w:rPr>
        <w:t>15.</w:t>
      </w:r>
      <w:r w:rsidRPr="008F4D44">
        <w:rPr>
          <w:i/>
        </w:rPr>
        <w:tab/>
      </w:r>
      <w:r w:rsidRPr="008F4D44">
        <w:rPr>
          <w:i/>
        </w:rPr>
        <w:t>Explain the reasons for any program changes or adjustments reported on the burden worksheet.</w:t>
      </w:r>
    </w:p>
    <w:p w:rsidR="00790F6E" w:rsidP="00EA78D2" w14:paraId="6EA59092" w14:textId="4E58A8DB">
      <w:pPr>
        <w:autoSpaceDE w:val="0"/>
        <w:autoSpaceDN w:val="0"/>
        <w:adjustRightInd w:val="0"/>
      </w:pPr>
      <w:r>
        <w:t>There are no changes to the burden.</w:t>
      </w:r>
    </w:p>
    <w:p w:rsidR="00790F6E" w:rsidRPr="00CE3C52" w:rsidP="00EA78D2" w14:paraId="0838C51A" w14:textId="4767A805">
      <w:pPr>
        <w:autoSpaceDE w:val="0"/>
        <w:autoSpaceDN w:val="0"/>
        <w:adjustRightInd w:val="0"/>
      </w:pPr>
      <w:r>
        <w:t xml:space="preserve"> </w:t>
      </w:r>
    </w:p>
    <w:p w:rsidR="00EA78D2" w:rsidRPr="00030FA0" w:rsidP="00030FA0" w14:paraId="02A3938F" w14:textId="77777777">
      <w:pPr>
        <w:tabs>
          <w:tab w:val="right" w:pos="360"/>
        </w:tabs>
        <w:autoSpaceDE w:val="0"/>
        <w:autoSpaceDN w:val="0"/>
        <w:adjustRightInd w:val="0"/>
        <w:ind w:left="540" w:hanging="540"/>
        <w:rPr>
          <w:i/>
        </w:rPr>
      </w:pPr>
      <w:r>
        <w:rPr>
          <w:i/>
        </w:rPr>
        <w:tab/>
      </w:r>
      <w:r w:rsidRPr="00030FA0">
        <w:rPr>
          <w:i/>
        </w:rPr>
        <w:t>16.</w:t>
      </w:r>
      <w:r>
        <w:rPr>
          <w:i/>
        </w:rPr>
        <w:tab/>
      </w:r>
      <w:r w:rsidRPr="00030FA0">
        <w:rPr>
          <w:i/>
        </w:rPr>
        <w:t>For collections of information whose results will be published, outline plans for tabulation and publication</w:t>
      </w:r>
      <w:r w:rsidRPr="00030FA0" w:rsidR="00F25EFF">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4A1161" w:rsidP="00EA78D2" w14:paraId="58607E3C" w14:textId="400E9AF2">
      <w:pPr>
        <w:autoSpaceDE w:val="0"/>
        <w:autoSpaceDN w:val="0"/>
        <w:adjustRightInd w:val="0"/>
      </w:pPr>
    </w:p>
    <w:p w:rsidR="000F5C2D" w:rsidRPr="004D4424" w:rsidP="000F5C2D" w14:paraId="1CB64CE5" w14:textId="77777777">
      <w:pPr>
        <w:ind w:right="-90"/>
        <w:jc w:val="both"/>
      </w:pPr>
      <w:r>
        <w:t>All approved Workflex plans will be published on the DOL website.</w:t>
      </w:r>
    </w:p>
    <w:p w:rsidR="000F5C2D" w:rsidRPr="00CE3C52" w:rsidP="00EA78D2" w14:paraId="0B5B196C" w14:textId="77777777">
      <w:pPr>
        <w:autoSpaceDE w:val="0"/>
        <w:autoSpaceDN w:val="0"/>
        <w:adjustRightInd w:val="0"/>
      </w:pPr>
    </w:p>
    <w:p w:rsidR="00EA78D2" w:rsidRPr="00030FA0" w:rsidP="004B774D" w14:paraId="08D7A0DD" w14:textId="77777777">
      <w:pPr>
        <w:tabs>
          <w:tab w:val="right" w:pos="360"/>
        </w:tabs>
        <w:autoSpaceDE w:val="0"/>
        <w:autoSpaceDN w:val="0"/>
        <w:adjustRightInd w:val="0"/>
        <w:ind w:left="540" w:hanging="540"/>
        <w:rPr>
          <w:i/>
        </w:rPr>
      </w:pPr>
      <w:r w:rsidRPr="00030FA0">
        <w:rPr>
          <w:i/>
        </w:rPr>
        <w:tab/>
      </w:r>
      <w:r w:rsidRPr="00030FA0">
        <w:rPr>
          <w:i/>
        </w:rPr>
        <w:t>17.</w:t>
      </w:r>
      <w:r w:rsidRPr="00030FA0">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EA78D2" w14:paraId="5342F954" w14:textId="77777777">
      <w:pPr>
        <w:autoSpaceDE w:val="0"/>
        <w:autoSpaceDN w:val="0"/>
        <w:adjustRightInd w:val="0"/>
      </w:pPr>
    </w:p>
    <w:p w:rsidR="00F803CD" w:rsidRPr="004D4424" w:rsidP="00F803CD" w14:paraId="07A59AB1" w14:textId="77777777">
      <w:pPr>
        <w:jc w:val="both"/>
      </w:pPr>
      <w:r w:rsidRPr="004D4424">
        <w:t xml:space="preserve">There are no plans to seek non-display of the OMB approval.  </w:t>
      </w:r>
    </w:p>
    <w:p w:rsidR="004A1161" w:rsidRPr="00CE3C52" w:rsidP="00EA78D2" w14:paraId="4A94DF8A" w14:textId="77777777">
      <w:pPr>
        <w:autoSpaceDE w:val="0"/>
        <w:autoSpaceDN w:val="0"/>
        <w:adjustRightInd w:val="0"/>
      </w:pPr>
    </w:p>
    <w:p w:rsidR="003F4C38" w:rsidP="003F4C38" w14:paraId="7830F0E3"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4204FF" w:rsidP="003F4C38" w14:paraId="08961C2B" w14:textId="77777777">
      <w:pPr>
        <w:tabs>
          <w:tab w:val="right" w:pos="360"/>
        </w:tabs>
        <w:ind w:left="540" w:hanging="540"/>
        <w:rPr>
          <w:i/>
        </w:rPr>
      </w:pPr>
    </w:p>
    <w:p w:rsidR="00F803CD" w:rsidRPr="004D4424" w:rsidP="00F803CD" w14:paraId="42AAB743" w14:textId="77777777">
      <w:pPr>
        <w:jc w:val="both"/>
      </w:pPr>
      <w:r w:rsidRPr="004D4424">
        <w:t>No exceptions are requested.</w:t>
      </w:r>
    </w:p>
    <w:p w:rsidR="003F4C38" w:rsidP="003F4C38" w14:paraId="01C36016" w14:textId="77777777">
      <w:pPr>
        <w:tabs>
          <w:tab w:val="right" w:pos="360"/>
        </w:tabs>
        <w:ind w:left="540" w:hanging="540"/>
        <w:rPr>
          <w:i/>
        </w:rPr>
      </w:pPr>
    </w:p>
    <w:p w:rsidR="003F4C38" w:rsidRPr="003F4C38" w:rsidP="003F4C38" w14:paraId="3F49E3E4"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14:paraId="10B868A4" w14:textId="77777777"/>
    <w:p w:rsidR="004A1161" w:rsidP="00EA78D2" w14:paraId="0D9318A6" w14:textId="77777777">
      <w:r>
        <w:t>This information collection does not employ statistical methods.</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187394"/>
      <w:docPartObj>
        <w:docPartGallery w:val="Page Numbers (Bottom of Page)"/>
        <w:docPartUnique/>
      </w:docPartObj>
    </w:sdtPr>
    <w:sdtEndPr>
      <w:rPr>
        <w:noProof/>
      </w:rPr>
    </w:sdtEndPr>
    <w:sdtContent>
      <w:p w:rsidR="00910252" w14:paraId="04C1FA42" w14:textId="3ECFA4E5">
        <w:pPr>
          <w:pStyle w:val="Footer"/>
          <w:jc w:val="center"/>
        </w:pPr>
        <w:r>
          <w:fldChar w:fldCharType="begin"/>
        </w:r>
        <w:r>
          <w:instrText xml:space="preserve"> PAGE   \* MERGEFORMAT </w:instrText>
        </w:r>
        <w:r>
          <w:fldChar w:fldCharType="separate"/>
        </w:r>
        <w:r w:rsidR="00AF4B41">
          <w:rPr>
            <w:noProof/>
          </w:rPr>
          <w:t>7</w:t>
        </w:r>
        <w:r>
          <w:rPr>
            <w:noProof/>
          </w:rPr>
          <w:fldChar w:fldCharType="end"/>
        </w:r>
      </w:p>
    </w:sdtContent>
  </w:sdt>
  <w:p w:rsidR="00910252" w14:paraId="20AA77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EA" w:rsidRPr="00D45FEA" w:rsidP="00D45FEA" w14:paraId="74BFB492" w14:textId="07D730F8">
    <w:pPr>
      <w:pStyle w:val="Header"/>
      <w:tabs>
        <w:tab w:val="clear" w:pos="4680"/>
      </w:tabs>
      <w:jc w:val="both"/>
      <w:rPr>
        <w:sz w:val="20"/>
        <w:szCs w:val="20"/>
      </w:rPr>
    </w:pPr>
    <w:r>
      <w:rPr>
        <w:sz w:val="20"/>
        <w:szCs w:val="20"/>
      </w:rPr>
      <w:t>Workforce Flexibility (Workflex) Plan Submission and Reporting Requirements</w:t>
    </w:r>
  </w:p>
  <w:p w:rsidR="00D45FEA" w:rsidRPr="00D45FEA" w:rsidP="00D45FEA" w14:paraId="797F3248" w14:textId="450B05B1">
    <w:pPr>
      <w:pStyle w:val="Header"/>
      <w:tabs>
        <w:tab w:val="clear" w:pos="4680"/>
      </w:tabs>
      <w:jc w:val="both"/>
      <w:rPr>
        <w:sz w:val="20"/>
        <w:szCs w:val="20"/>
      </w:rPr>
    </w:pPr>
    <w:r>
      <w:rPr>
        <w:sz w:val="20"/>
        <w:szCs w:val="20"/>
      </w:rPr>
      <w:t>OMB Control # 1205-0432</w:t>
    </w:r>
  </w:p>
  <w:p w:rsidR="00904938" w:rsidRPr="001204FD" w:rsidP="00D45FEA" w14:paraId="1491CA09" w14:textId="647D5B30">
    <w:pPr>
      <w:pStyle w:val="Header"/>
      <w:tabs>
        <w:tab w:val="clear" w:pos="4680"/>
      </w:tabs>
      <w:jc w:val="both"/>
      <w:rPr>
        <w:sz w:val="20"/>
        <w:szCs w:val="20"/>
      </w:rPr>
    </w:pPr>
    <w:r w:rsidRPr="001204FD">
      <w:rPr>
        <w:sz w:val="20"/>
        <w:szCs w:val="20"/>
      </w:rPr>
      <w:t>Expiration date:</w:t>
    </w:r>
    <w:r w:rsidR="0058598F">
      <w:rPr>
        <w:sz w:val="20"/>
        <w:szCs w:val="20"/>
      </w:rPr>
      <w:t xml:space="preserve"> July 30, 2024</w:t>
    </w:r>
    <w:r w:rsidRPr="001204FD" w:rsidR="00953421">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B53832"/>
    <w:multiLevelType w:val="hybridMultilevel"/>
    <w:tmpl w:val="EFEE331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3733014">
    <w:abstractNumId w:val="1"/>
  </w:num>
  <w:num w:numId="2" w16cid:durableId="74298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2000A"/>
    <w:rsid w:val="00030FA0"/>
    <w:rsid w:val="00041787"/>
    <w:rsid w:val="000707A0"/>
    <w:rsid w:val="000A5FFE"/>
    <w:rsid w:val="000F5C2D"/>
    <w:rsid w:val="001204FD"/>
    <w:rsid w:val="00126308"/>
    <w:rsid w:val="001268B3"/>
    <w:rsid w:val="00133E35"/>
    <w:rsid w:val="001468F7"/>
    <w:rsid w:val="00152B50"/>
    <w:rsid w:val="00184FE6"/>
    <w:rsid w:val="001A7B43"/>
    <w:rsid w:val="001B5B96"/>
    <w:rsid w:val="001C050B"/>
    <w:rsid w:val="001C795C"/>
    <w:rsid w:val="001D00CD"/>
    <w:rsid w:val="001E681C"/>
    <w:rsid w:val="001E721D"/>
    <w:rsid w:val="00216406"/>
    <w:rsid w:val="002221A7"/>
    <w:rsid w:val="00287289"/>
    <w:rsid w:val="0029478C"/>
    <w:rsid w:val="002D320A"/>
    <w:rsid w:val="003101E9"/>
    <w:rsid w:val="00332236"/>
    <w:rsid w:val="003669DA"/>
    <w:rsid w:val="00371FE7"/>
    <w:rsid w:val="003737C4"/>
    <w:rsid w:val="003B179F"/>
    <w:rsid w:val="003C2A5F"/>
    <w:rsid w:val="003F1D3E"/>
    <w:rsid w:val="003F4C38"/>
    <w:rsid w:val="004016A5"/>
    <w:rsid w:val="00414234"/>
    <w:rsid w:val="004204FF"/>
    <w:rsid w:val="00454C02"/>
    <w:rsid w:val="0049447D"/>
    <w:rsid w:val="004A1161"/>
    <w:rsid w:val="004B774D"/>
    <w:rsid w:val="004C5A8E"/>
    <w:rsid w:val="004D4424"/>
    <w:rsid w:val="004E3C16"/>
    <w:rsid w:val="0052176B"/>
    <w:rsid w:val="00527AD8"/>
    <w:rsid w:val="0055227E"/>
    <w:rsid w:val="00573686"/>
    <w:rsid w:val="005749F8"/>
    <w:rsid w:val="00575368"/>
    <w:rsid w:val="0058598F"/>
    <w:rsid w:val="0058705E"/>
    <w:rsid w:val="005A393C"/>
    <w:rsid w:val="005B18FC"/>
    <w:rsid w:val="005C4B0F"/>
    <w:rsid w:val="00621DF7"/>
    <w:rsid w:val="00643B2E"/>
    <w:rsid w:val="006455A8"/>
    <w:rsid w:val="0066182C"/>
    <w:rsid w:val="00685F48"/>
    <w:rsid w:val="0069256F"/>
    <w:rsid w:val="00696E21"/>
    <w:rsid w:val="006A1C45"/>
    <w:rsid w:val="006B092B"/>
    <w:rsid w:val="006B1E8A"/>
    <w:rsid w:val="006C133A"/>
    <w:rsid w:val="006C7290"/>
    <w:rsid w:val="006D6C2A"/>
    <w:rsid w:val="00722622"/>
    <w:rsid w:val="007850D5"/>
    <w:rsid w:val="00790F6E"/>
    <w:rsid w:val="007924FA"/>
    <w:rsid w:val="007E7883"/>
    <w:rsid w:val="007F12A0"/>
    <w:rsid w:val="008149D2"/>
    <w:rsid w:val="00831579"/>
    <w:rsid w:val="00844009"/>
    <w:rsid w:val="0084590F"/>
    <w:rsid w:val="00876B8A"/>
    <w:rsid w:val="008A07F2"/>
    <w:rsid w:val="008A0E30"/>
    <w:rsid w:val="008B27C4"/>
    <w:rsid w:val="008C2720"/>
    <w:rsid w:val="008E018C"/>
    <w:rsid w:val="008F4D44"/>
    <w:rsid w:val="00904938"/>
    <w:rsid w:val="00910252"/>
    <w:rsid w:val="0092610E"/>
    <w:rsid w:val="00953421"/>
    <w:rsid w:val="009539B2"/>
    <w:rsid w:val="00973CD5"/>
    <w:rsid w:val="00976A8A"/>
    <w:rsid w:val="00982985"/>
    <w:rsid w:val="00983A0C"/>
    <w:rsid w:val="00996590"/>
    <w:rsid w:val="009B204E"/>
    <w:rsid w:val="009B3CA5"/>
    <w:rsid w:val="009B5FF9"/>
    <w:rsid w:val="009B62A2"/>
    <w:rsid w:val="009B6A38"/>
    <w:rsid w:val="009D2A30"/>
    <w:rsid w:val="00A03C32"/>
    <w:rsid w:val="00A171C6"/>
    <w:rsid w:val="00A50649"/>
    <w:rsid w:val="00A705A4"/>
    <w:rsid w:val="00A95F70"/>
    <w:rsid w:val="00AB0AFB"/>
    <w:rsid w:val="00AD5251"/>
    <w:rsid w:val="00AF4B41"/>
    <w:rsid w:val="00B101AF"/>
    <w:rsid w:val="00B10FD7"/>
    <w:rsid w:val="00B86D38"/>
    <w:rsid w:val="00BA6848"/>
    <w:rsid w:val="00BC20CE"/>
    <w:rsid w:val="00BD513C"/>
    <w:rsid w:val="00BE38F5"/>
    <w:rsid w:val="00BF7820"/>
    <w:rsid w:val="00C239F6"/>
    <w:rsid w:val="00C25C15"/>
    <w:rsid w:val="00C2714E"/>
    <w:rsid w:val="00C30A42"/>
    <w:rsid w:val="00C33D74"/>
    <w:rsid w:val="00C45047"/>
    <w:rsid w:val="00C52BA5"/>
    <w:rsid w:val="00C73756"/>
    <w:rsid w:val="00C9566D"/>
    <w:rsid w:val="00CA6863"/>
    <w:rsid w:val="00CC7DBB"/>
    <w:rsid w:val="00CE3C52"/>
    <w:rsid w:val="00CF302B"/>
    <w:rsid w:val="00D21C58"/>
    <w:rsid w:val="00D3545C"/>
    <w:rsid w:val="00D41CC0"/>
    <w:rsid w:val="00D45FEA"/>
    <w:rsid w:val="00D73D28"/>
    <w:rsid w:val="00D9717C"/>
    <w:rsid w:val="00DB6641"/>
    <w:rsid w:val="00DC5B18"/>
    <w:rsid w:val="00DD504E"/>
    <w:rsid w:val="00E02747"/>
    <w:rsid w:val="00E932EA"/>
    <w:rsid w:val="00EA78D2"/>
    <w:rsid w:val="00F2011E"/>
    <w:rsid w:val="00F25EFF"/>
    <w:rsid w:val="00F279FA"/>
    <w:rsid w:val="00F44D0F"/>
    <w:rsid w:val="00F52F68"/>
    <w:rsid w:val="00F66CF6"/>
    <w:rsid w:val="00F75A41"/>
    <w:rsid w:val="00F7708E"/>
    <w:rsid w:val="00F803CD"/>
    <w:rsid w:val="00F907A6"/>
    <w:rsid w:val="00F97C8A"/>
    <w:rsid w:val="00FB35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A5830"/>
  <w15:docId w15:val="{6A4F9C9A-5ED9-4AE9-A0A1-8AAEDD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A8E"/>
    <w:rPr>
      <w:sz w:val="16"/>
      <w:szCs w:val="16"/>
    </w:rPr>
  </w:style>
  <w:style w:type="paragraph" w:styleId="CommentText">
    <w:name w:val="annotation text"/>
    <w:basedOn w:val="Normal"/>
    <w:link w:val="CommentTextChar"/>
    <w:uiPriority w:val="99"/>
    <w:unhideWhenUsed/>
    <w:rsid w:val="004C5A8E"/>
    <w:rPr>
      <w:sz w:val="20"/>
      <w:szCs w:val="20"/>
    </w:rPr>
  </w:style>
  <w:style w:type="character" w:customStyle="1" w:styleId="CommentTextChar">
    <w:name w:val="Comment Text Char"/>
    <w:basedOn w:val="DefaultParagraphFont"/>
    <w:link w:val="CommentText"/>
    <w:uiPriority w:val="99"/>
    <w:rsid w:val="004C5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A8E"/>
    <w:rPr>
      <w:b/>
      <w:bCs/>
    </w:rPr>
  </w:style>
  <w:style w:type="character" w:customStyle="1" w:styleId="CommentSubjectChar">
    <w:name w:val="Comment Subject Char"/>
    <w:basedOn w:val="CommentTextChar"/>
    <w:link w:val="CommentSubject"/>
    <w:uiPriority w:val="99"/>
    <w:semiHidden/>
    <w:rsid w:val="004C5A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8E"/>
    <w:rPr>
      <w:rFonts w:ascii="Segoe UI" w:eastAsia="Times New Roman" w:hAnsi="Segoe UI" w:cs="Segoe UI"/>
      <w:sz w:val="18"/>
      <w:szCs w:val="18"/>
    </w:rPr>
  </w:style>
  <w:style w:type="paragraph" w:styleId="Revision">
    <w:name w:val="Revision"/>
    <w:hidden/>
    <w:uiPriority w:val="99"/>
    <w:semiHidden/>
    <w:rsid w:val="004C5A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5C15"/>
    <w:rPr>
      <w:color w:val="0563C1"/>
      <w:u w:val="single"/>
    </w:rPr>
  </w:style>
  <w:style w:type="character" w:styleId="FollowedHyperlink">
    <w:name w:val="FollowedHyperlink"/>
    <w:basedOn w:val="DefaultParagraphFont"/>
    <w:uiPriority w:val="99"/>
    <w:semiHidden/>
    <w:unhideWhenUsed/>
    <w:rsid w:val="00790F6E"/>
    <w:rPr>
      <w:color w:val="800080" w:themeColor="followedHyperlink"/>
      <w:u w:val="single"/>
    </w:rPr>
  </w:style>
  <w:style w:type="paragraph" w:styleId="NoSpacing">
    <w:name w:val="No Spacing"/>
    <w:uiPriority w:val="1"/>
    <w:qFormat/>
    <w:rsid w:val="00876B8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sites/dolgov/files/ETA/advisories/UIPL/2022/UIPL%2018-22/CTS%2043926%20-%20OUI%20-%20UIPL%20-%20FY%202023%20Targets%20UIPL%20-%20WAS%20State%20table%20-%20Attachment%20I%20%28Accessible%20PDF%29.pdf"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0CF0-421B-44AC-BE1F-8C9785FC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2</cp:revision>
  <dcterms:created xsi:type="dcterms:W3CDTF">2024-06-10T15:05:00Z</dcterms:created>
  <dcterms:modified xsi:type="dcterms:W3CDTF">2024-06-10T15:05:00Z</dcterms:modified>
</cp:coreProperties>
</file>