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9B5" w:rsidP="009E275D" w14:paraId="6B4E663A" w14:textId="15941693">
      <w:pPr>
        <w:pStyle w:val="Header"/>
        <w:jc w:val="center"/>
        <w:rPr>
          <w:bCs w:val="0"/>
          <w:sz w:val="24"/>
          <w:szCs w:val="24"/>
        </w:rPr>
      </w:pPr>
      <w:r w:rsidRPr="00AF030E">
        <w:rPr>
          <w:bCs w:val="0"/>
          <w:sz w:val="24"/>
          <w:szCs w:val="24"/>
        </w:rPr>
        <w:t>SUPPORTING STATEMENT FOR PAPERWORK REDUCTION ACT 1995</w:t>
      </w:r>
      <w:r w:rsidR="00976299">
        <w:rPr>
          <w:bCs w:val="0"/>
          <w:sz w:val="24"/>
          <w:szCs w:val="24"/>
        </w:rPr>
        <w:t>:</w:t>
      </w:r>
      <w:r w:rsidRPr="00AF030E">
        <w:rPr>
          <w:bCs w:val="0"/>
          <w:sz w:val="24"/>
          <w:szCs w:val="24"/>
        </w:rPr>
        <w:t xml:space="preserve"> </w:t>
      </w:r>
    </w:p>
    <w:p w:rsidR="009E275D" w:rsidP="009E275D" w14:paraId="7E997F5A" w14:textId="6D518453">
      <w:pPr>
        <w:pStyle w:val="Header"/>
        <w:jc w:val="center"/>
        <w:rPr>
          <w:bCs w:val="0"/>
          <w:sz w:val="24"/>
          <w:szCs w:val="24"/>
        </w:rPr>
      </w:pPr>
      <w:r w:rsidRPr="009E275D">
        <w:rPr>
          <w:bCs w:val="0"/>
          <w:sz w:val="24"/>
          <w:szCs w:val="24"/>
        </w:rPr>
        <w:t xml:space="preserve">MENTAL HEALTH PARITY INFORMATION COLLECTION </w:t>
      </w:r>
    </w:p>
    <w:p w:rsidR="005B52AF" w:rsidP="00EF4861" w14:paraId="2E0D918C" w14:textId="05FCDFB6">
      <w:pPr>
        <w:pStyle w:val="Header"/>
        <w:tabs>
          <w:tab w:val="left" w:pos="3090"/>
        </w:tabs>
        <w:rPr>
          <w:bCs w:val="0"/>
          <w:sz w:val="24"/>
          <w:szCs w:val="24"/>
        </w:rPr>
      </w:pPr>
      <w:r>
        <w:rPr>
          <w:bCs w:val="0"/>
          <w:sz w:val="24"/>
          <w:szCs w:val="24"/>
        </w:rPr>
        <w:tab/>
      </w:r>
      <w:r>
        <w:rPr>
          <w:bCs w:val="0"/>
          <w:sz w:val="24"/>
          <w:szCs w:val="24"/>
        </w:rPr>
        <w:tab/>
      </w:r>
    </w:p>
    <w:p w:rsidR="00DF1552" w:rsidRPr="00F649B5" w:rsidP="00DF1552" w14:paraId="72147476" w14:textId="3C41A2E0">
      <w:pPr>
        <w:widowControl/>
        <w:autoSpaceDE/>
        <w:autoSpaceDN/>
        <w:adjustRightInd/>
        <w:ind w:left="720"/>
        <w:contextualSpacing/>
        <w:rPr>
          <w:rFonts w:eastAsiaTheme="minorHAnsi"/>
          <w:sz w:val="24"/>
          <w:szCs w:val="24"/>
        </w:rPr>
      </w:pPr>
      <w:r w:rsidRPr="00091346">
        <w:rPr>
          <w:sz w:val="24"/>
        </w:rPr>
        <w:t xml:space="preserve">This ICR seeks approval for </w:t>
      </w:r>
      <w:r w:rsidRPr="00091346" w:rsidR="00431DF5">
        <w:rPr>
          <w:sz w:val="24"/>
        </w:rPr>
        <w:t>a</w:t>
      </w:r>
      <w:r w:rsidRPr="00091346" w:rsidR="00F4250B">
        <w:rPr>
          <w:sz w:val="24"/>
        </w:rPr>
        <w:t xml:space="preserve"> revision</w:t>
      </w:r>
      <w:r w:rsidRPr="00091346" w:rsidR="00BB3EE3">
        <w:rPr>
          <w:sz w:val="24"/>
        </w:rPr>
        <w:t xml:space="preserve"> </w:t>
      </w:r>
      <w:r w:rsidRPr="00091346">
        <w:rPr>
          <w:sz w:val="24"/>
        </w:rPr>
        <w:t>of an existing control number</w:t>
      </w:r>
      <w:r w:rsidRPr="00F649B5">
        <w:rPr>
          <w:sz w:val="24"/>
        </w:rPr>
        <w:t xml:space="preserve">. </w:t>
      </w:r>
    </w:p>
    <w:p w:rsidR="005B52AF" w:rsidRPr="00A92375" w:rsidP="002F144A" w14:paraId="542DE946" w14:textId="497CC27B">
      <w:pPr>
        <w:widowControl/>
        <w:tabs>
          <w:tab w:val="left" w:pos="6361"/>
        </w:tabs>
        <w:rPr>
          <w:b w:val="0"/>
          <w:sz w:val="24"/>
          <w:szCs w:val="24"/>
        </w:rPr>
      </w:pPr>
      <w:r>
        <w:rPr>
          <w:b w:val="0"/>
          <w:sz w:val="24"/>
          <w:szCs w:val="24"/>
        </w:rPr>
        <w:tab/>
      </w:r>
    </w:p>
    <w:p w:rsidR="00CE7EE9" w:rsidRPr="0045454F" w:rsidP="00E34575" w14:paraId="005AF6E1" w14:textId="6CD626F8">
      <w:pPr>
        <w:pStyle w:val="Heading1"/>
        <w:rPr>
          <w:bCs w:val="0"/>
        </w:rPr>
      </w:pPr>
      <w:r w:rsidRPr="0045454F">
        <w:t xml:space="preserve">A. </w:t>
      </w:r>
      <w:r w:rsidR="00F4250B">
        <w:rPr>
          <w:bCs w:val="0"/>
        </w:rPr>
        <w:tab/>
      </w:r>
      <w:r w:rsidRPr="0045454F">
        <w:rPr>
          <w:bCs w:val="0"/>
        </w:rPr>
        <w:t>JUSTIFICATION</w:t>
      </w:r>
    </w:p>
    <w:p w:rsidR="00CE7EE9" w:rsidRPr="00107D03" w:rsidP="00107D03" w14:paraId="3CBDBE0D" w14:textId="77777777"/>
    <w:p w:rsidR="00CE7EE9" w:rsidRPr="00C41F52" w:rsidP="00E34575" w14:paraId="5630C7EC" w14:textId="620427F1">
      <w:pPr>
        <w:pStyle w:val="Heading1"/>
        <w:ind w:left="720" w:hanging="720"/>
        <w:rPr>
          <w:rStyle w:val="Emphasis"/>
        </w:rPr>
      </w:pPr>
      <w:r w:rsidRPr="00C20D2D">
        <w:t xml:space="preserve">1. </w:t>
      </w:r>
      <w:r>
        <w:tab/>
      </w:r>
      <w:r w:rsidRPr="00C20D2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RPr="00594B94" w:rsidP="00AE57A2" w14:paraId="287290BD" w14:textId="77777777">
      <w:pPr>
        <w:pStyle w:val="Quick1"/>
        <w:widowControl/>
        <w:numPr>
          <w:ilvl w:val="0"/>
          <w:numId w:val="0"/>
        </w:numPr>
        <w:tabs>
          <w:tab w:val="left" w:pos="-1440"/>
        </w:tabs>
        <w:ind w:left="720" w:hanging="720"/>
        <w:rPr>
          <w:rStyle w:val="footnoteref"/>
          <w:b w:val="0"/>
          <w:sz w:val="24"/>
          <w:szCs w:val="24"/>
        </w:rPr>
      </w:pPr>
    </w:p>
    <w:p w:rsidR="000D006B" w:rsidRPr="00594B94" w:rsidP="006C2914" w14:paraId="4E275AA2" w14:textId="6AE517E7">
      <w:pPr>
        <w:ind w:left="720"/>
        <w:rPr>
          <w:rStyle w:val="footnoteref"/>
          <w:b w:val="0"/>
          <w:sz w:val="24"/>
          <w:szCs w:val="24"/>
        </w:rPr>
      </w:pPr>
      <w:r w:rsidRPr="00594B94">
        <w:rPr>
          <w:rStyle w:val="footnoteref"/>
          <w:b w:val="0"/>
          <w:sz w:val="24"/>
          <w:szCs w:val="24"/>
        </w:rPr>
        <w:t xml:space="preserve">The Paul Wellstone and Pete Domenici Mental Health Parity and Addiction Equity Act of 2008 (MHPAEA) was enacted on October 3, </w:t>
      </w:r>
      <w:r w:rsidRPr="00594B94">
        <w:rPr>
          <w:rStyle w:val="footnoteref"/>
          <w:b w:val="0"/>
          <w:sz w:val="24"/>
          <w:szCs w:val="24"/>
        </w:rPr>
        <w:t>2008</w:t>
      </w:r>
      <w:r w:rsidRPr="00594B94">
        <w:rPr>
          <w:rStyle w:val="footnoteref"/>
          <w:b w:val="0"/>
          <w:sz w:val="24"/>
          <w:szCs w:val="24"/>
        </w:rPr>
        <w:t xml:space="preserve">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Pr="00594B94" w:rsidR="00FB5429">
        <w:rPr>
          <w:rStyle w:val="footnoteref"/>
          <w:b w:val="0"/>
          <w:sz w:val="24"/>
          <w:szCs w:val="24"/>
        </w:rPr>
        <w:t xml:space="preserve">the </w:t>
      </w:r>
      <w:r w:rsidRPr="00594B94">
        <w:rPr>
          <w:rStyle w:val="footnoteref"/>
          <w:b w:val="0"/>
          <w:sz w:val="24"/>
          <w:szCs w:val="24"/>
        </w:rPr>
        <w:t xml:space="preserve">Code). In 1996, Congress enacted the Mental Health Parity Act of 1996, which required parity in aggregate lifetime and annual dollar limits for mental health </w:t>
      </w:r>
      <w:r w:rsidR="009A3673">
        <w:rPr>
          <w:rStyle w:val="footnoteref"/>
          <w:b w:val="0"/>
          <w:sz w:val="24"/>
          <w:szCs w:val="24"/>
        </w:rPr>
        <w:t>(MH)</w:t>
      </w:r>
      <w:r w:rsidRPr="00594B94">
        <w:rPr>
          <w:rStyle w:val="footnoteref"/>
          <w:b w:val="0"/>
          <w:sz w:val="24"/>
          <w:szCs w:val="24"/>
        </w:rPr>
        <w:t xml:space="preserve"> benefits and medical</w:t>
      </w:r>
      <w:r w:rsidR="00FC49ED">
        <w:rPr>
          <w:rStyle w:val="footnoteref"/>
          <w:b w:val="0"/>
          <w:sz w:val="24"/>
          <w:szCs w:val="24"/>
        </w:rPr>
        <w:t>/</w:t>
      </w:r>
      <w:r w:rsidRPr="00594B94">
        <w:rPr>
          <w:rStyle w:val="footnoteref"/>
          <w:b w:val="0"/>
          <w:sz w:val="24"/>
          <w:szCs w:val="24"/>
        </w:rPr>
        <w:t>surgical benefits</w:t>
      </w:r>
      <w:r w:rsidR="0077761E">
        <w:rPr>
          <w:rStyle w:val="footnoteref"/>
          <w:b w:val="0"/>
          <w:sz w:val="24"/>
          <w:szCs w:val="24"/>
        </w:rPr>
        <w:t xml:space="preserve">, and </w:t>
      </w:r>
      <w:r w:rsidRPr="00594B94">
        <w:rPr>
          <w:rStyle w:val="footnoteref"/>
          <w:b w:val="0"/>
          <w:sz w:val="24"/>
          <w:szCs w:val="24"/>
        </w:rPr>
        <w:t xml:space="preserve">codified </w:t>
      </w:r>
      <w:r w:rsidR="0077761E">
        <w:rPr>
          <w:rStyle w:val="footnoteref"/>
          <w:b w:val="0"/>
          <w:sz w:val="24"/>
          <w:szCs w:val="24"/>
        </w:rPr>
        <w:t xml:space="preserve">those provisions </w:t>
      </w:r>
      <w:r w:rsidRPr="00594B94">
        <w:rPr>
          <w:rStyle w:val="footnoteref"/>
          <w:b w:val="0"/>
          <w:sz w:val="24"/>
          <w:szCs w:val="24"/>
        </w:rPr>
        <w:t>in section 712 of ERISA, section 2705 of the PHS Act, and section 9812 of the Code.</w:t>
      </w:r>
      <w:r>
        <w:rPr>
          <w:rStyle w:val="FootnoteReference"/>
          <w:b w:val="0"/>
          <w:sz w:val="24"/>
          <w:szCs w:val="24"/>
          <w:vertAlign w:val="superscript"/>
        </w:rPr>
        <w:footnoteReference w:id="3"/>
      </w:r>
      <w:r w:rsidRPr="00594B94">
        <w:rPr>
          <w:rStyle w:val="footnoteref"/>
          <w:b w:val="0"/>
          <w:sz w:val="24"/>
          <w:szCs w:val="24"/>
        </w:rPr>
        <w:t xml:space="preserve"> The changes made by MHPAEA are codified in these same sections and </w:t>
      </w:r>
      <w:r w:rsidR="004B5B20">
        <w:rPr>
          <w:rStyle w:val="footnoteref"/>
          <w:b w:val="0"/>
          <w:sz w:val="24"/>
          <w:szCs w:val="24"/>
        </w:rPr>
        <w:t xml:space="preserve">include provisions to apply the mental health parity requirements to substance use disorder </w:t>
      </w:r>
      <w:r w:rsidR="009A3673">
        <w:rPr>
          <w:rStyle w:val="footnoteref"/>
          <w:b w:val="0"/>
          <w:sz w:val="24"/>
          <w:szCs w:val="24"/>
        </w:rPr>
        <w:t xml:space="preserve">(SUD) </w:t>
      </w:r>
      <w:r w:rsidR="004B5B20">
        <w:rPr>
          <w:rStyle w:val="footnoteref"/>
          <w:b w:val="0"/>
          <w:sz w:val="24"/>
          <w:szCs w:val="24"/>
        </w:rPr>
        <w:t xml:space="preserve">benefits and impose </w:t>
      </w:r>
      <w:r w:rsidRPr="00594B94" w:rsidR="00561D3B">
        <w:rPr>
          <w:rStyle w:val="footnoteref"/>
          <w:b w:val="0"/>
          <w:sz w:val="24"/>
          <w:szCs w:val="24"/>
        </w:rPr>
        <w:t>additional</w:t>
      </w:r>
      <w:r w:rsidRPr="00594B94">
        <w:rPr>
          <w:rStyle w:val="footnoteref"/>
          <w:b w:val="0"/>
          <w:sz w:val="24"/>
          <w:szCs w:val="24"/>
        </w:rPr>
        <w:t xml:space="preserve"> requirements </w:t>
      </w:r>
      <w:r w:rsidR="000E5B97">
        <w:rPr>
          <w:rStyle w:val="footnoteref"/>
          <w:b w:val="0"/>
          <w:sz w:val="24"/>
          <w:szCs w:val="24"/>
        </w:rPr>
        <w:t xml:space="preserve">for financial requirements and treatment limitations </w:t>
      </w:r>
      <w:r w:rsidR="000C051C">
        <w:rPr>
          <w:rStyle w:val="footnoteref"/>
          <w:b w:val="0"/>
          <w:sz w:val="24"/>
          <w:szCs w:val="24"/>
        </w:rPr>
        <w:t>for</w:t>
      </w:r>
      <w:r w:rsidRPr="00594B94">
        <w:rPr>
          <w:rStyle w:val="footnoteref"/>
          <w:b w:val="0"/>
          <w:sz w:val="24"/>
          <w:szCs w:val="24"/>
        </w:rPr>
        <w:t xml:space="preserve"> group health plans and health insurance coverage offered in connection with a group health plan. </w:t>
      </w:r>
      <w:r w:rsidRPr="00594B94" w:rsidR="001C18D0">
        <w:rPr>
          <w:rStyle w:val="footnoteref"/>
          <w:b w:val="0"/>
          <w:sz w:val="24"/>
          <w:szCs w:val="24"/>
        </w:rPr>
        <w:t xml:space="preserve">MHPAEA </w:t>
      </w:r>
      <w:r w:rsidR="0075757E">
        <w:rPr>
          <w:rStyle w:val="footnoteref"/>
          <w:b w:val="0"/>
          <w:sz w:val="24"/>
          <w:szCs w:val="24"/>
        </w:rPr>
        <w:t xml:space="preserve">does </w:t>
      </w:r>
      <w:r w:rsidRPr="00594B94" w:rsidR="001C18D0">
        <w:rPr>
          <w:rStyle w:val="footnoteref"/>
          <w:b w:val="0"/>
          <w:sz w:val="24"/>
          <w:szCs w:val="24"/>
        </w:rPr>
        <w:t xml:space="preserve">not apply to small employers </w:t>
      </w:r>
      <w:r w:rsidRPr="00594B94" w:rsidR="00F3444A">
        <w:rPr>
          <w:rStyle w:val="footnoteref"/>
          <w:b w:val="0"/>
          <w:sz w:val="24"/>
          <w:szCs w:val="24"/>
        </w:rPr>
        <w:t xml:space="preserve">that </w:t>
      </w:r>
      <w:r w:rsidRPr="00594B94" w:rsidR="001C18D0">
        <w:rPr>
          <w:rStyle w:val="footnoteref"/>
          <w:b w:val="0"/>
          <w:sz w:val="24"/>
          <w:szCs w:val="24"/>
        </w:rPr>
        <w:t xml:space="preserve">have between two and 50 employees. </w:t>
      </w:r>
      <w:r w:rsidRPr="00594B94">
        <w:rPr>
          <w:rStyle w:val="footnoteref"/>
          <w:b w:val="0"/>
          <w:sz w:val="24"/>
          <w:szCs w:val="24"/>
        </w:rPr>
        <w:t xml:space="preserve">The changes made by MHPAEA </w:t>
      </w:r>
      <w:r w:rsidR="00AF4454">
        <w:rPr>
          <w:rStyle w:val="footnoteref"/>
          <w:b w:val="0"/>
          <w:sz w:val="24"/>
          <w:szCs w:val="24"/>
        </w:rPr>
        <w:t>became</w:t>
      </w:r>
      <w:r w:rsidRPr="00594B94" w:rsidR="00AF4454">
        <w:rPr>
          <w:rStyle w:val="footnoteref"/>
          <w:b w:val="0"/>
          <w:sz w:val="24"/>
          <w:szCs w:val="24"/>
        </w:rPr>
        <w:t xml:space="preserve"> </w:t>
      </w:r>
      <w:r w:rsidRPr="00594B94">
        <w:rPr>
          <w:rStyle w:val="footnoteref"/>
          <w:b w:val="0"/>
          <w:sz w:val="24"/>
          <w:szCs w:val="24"/>
        </w:rPr>
        <w:t xml:space="preserve">generally effective for plan years beginning </w:t>
      </w:r>
      <w:r w:rsidR="00AF4454">
        <w:rPr>
          <w:rStyle w:val="footnoteref"/>
          <w:b w:val="0"/>
          <w:sz w:val="24"/>
          <w:szCs w:val="24"/>
        </w:rPr>
        <w:t xml:space="preserve">on or </w:t>
      </w:r>
      <w:r w:rsidRPr="00594B94">
        <w:rPr>
          <w:rStyle w:val="footnoteref"/>
          <w:b w:val="0"/>
          <w:sz w:val="24"/>
          <w:szCs w:val="24"/>
        </w:rPr>
        <w:t>after October 3, 2009.</w:t>
      </w:r>
      <w:r w:rsidR="0075757E">
        <w:rPr>
          <w:rStyle w:val="footnoteref"/>
          <w:b w:val="0"/>
          <w:sz w:val="24"/>
          <w:szCs w:val="24"/>
        </w:rPr>
        <w:t xml:space="preserve"> The Departments of Labor, Health and Human Services</w:t>
      </w:r>
      <w:r w:rsidR="009A3673">
        <w:rPr>
          <w:rStyle w:val="footnoteref"/>
          <w:b w:val="0"/>
          <w:sz w:val="24"/>
          <w:szCs w:val="24"/>
        </w:rPr>
        <w:t xml:space="preserve"> (HHS),</w:t>
      </w:r>
      <w:r w:rsidR="0075757E">
        <w:rPr>
          <w:rStyle w:val="footnoteref"/>
          <w:b w:val="0"/>
          <w:sz w:val="24"/>
          <w:szCs w:val="24"/>
        </w:rPr>
        <w:t xml:space="preserve"> and the Treasury (the Departments) issued interim final rules</w:t>
      </w:r>
      <w:r w:rsidR="00985494">
        <w:rPr>
          <w:rStyle w:val="footnoteref"/>
          <w:b w:val="0"/>
          <w:sz w:val="24"/>
          <w:szCs w:val="24"/>
        </w:rPr>
        <w:t xml:space="preserve"> to implement MHPAEA on February 2, 2010,</w:t>
      </w:r>
      <w:r>
        <w:rPr>
          <w:rStyle w:val="FootnoteReference"/>
          <w:b w:val="0"/>
          <w:sz w:val="24"/>
          <w:szCs w:val="24"/>
          <w:vertAlign w:val="superscript"/>
        </w:rPr>
        <w:footnoteReference w:id="4"/>
      </w:r>
      <w:r w:rsidR="00985494">
        <w:rPr>
          <w:rStyle w:val="footnoteref"/>
          <w:b w:val="0"/>
          <w:sz w:val="24"/>
          <w:szCs w:val="24"/>
        </w:rPr>
        <w:t xml:space="preserve"> and final rules on </w:t>
      </w:r>
      <w:r w:rsidR="009A3673">
        <w:rPr>
          <w:rStyle w:val="footnoteref"/>
          <w:b w:val="0"/>
          <w:sz w:val="24"/>
          <w:szCs w:val="24"/>
        </w:rPr>
        <w:t>November 13, 2013.</w:t>
      </w:r>
      <w:r>
        <w:rPr>
          <w:rStyle w:val="FootnoteReference"/>
          <w:b w:val="0"/>
          <w:sz w:val="24"/>
          <w:szCs w:val="24"/>
          <w:vertAlign w:val="superscript"/>
        </w:rPr>
        <w:footnoteReference w:id="5"/>
      </w:r>
    </w:p>
    <w:p w:rsidR="006A6772" w:rsidRPr="00594B94" w:rsidP="00524D76" w14:paraId="56CCC6A0" w14:textId="77777777">
      <w:pPr>
        <w:rPr>
          <w:rStyle w:val="footnoteref"/>
          <w:b w:val="0"/>
          <w:sz w:val="24"/>
          <w:szCs w:val="24"/>
        </w:rPr>
      </w:pPr>
    </w:p>
    <w:p w:rsidR="006A6772" w:rsidRPr="00594B94" w:rsidP="006C2914" w14:paraId="08ECD6CC" w14:textId="7013CCBA">
      <w:pPr>
        <w:ind w:left="720"/>
        <w:rPr>
          <w:rStyle w:val="footnoteref"/>
          <w:b w:val="0"/>
          <w:sz w:val="24"/>
          <w:szCs w:val="24"/>
        </w:rPr>
      </w:pPr>
      <w:r w:rsidRPr="00594B94">
        <w:rPr>
          <w:b w:val="0"/>
          <w:sz w:val="24"/>
          <w:szCs w:val="24"/>
        </w:rPr>
        <w:t>Additionally, the HHS final regulation</w:t>
      </w:r>
      <w:r>
        <w:rPr>
          <w:rStyle w:val="FootnoteReference"/>
          <w:b w:val="0"/>
          <w:sz w:val="24"/>
          <w:szCs w:val="24"/>
          <w:vertAlign w:val="superscript"/>
        </w:rPr>
        <w:footnoteReference w:id="6"/>
      </w:r>
      <w:r w:rsidRPr="00594B94" w:rsidR="00F9515C">
        <w:rPr>
          <w:b w:val="0"/>
          <w:sz w:val="24"/>
          <w:szCs w:val="24"/>
        </w:rPr>
        <w:t xml:space="preserve"> </w:t>
      </w:r>
      <w:r w:rsidRPr="00594B94">
        <w:rPr>
          <w:b w:val="0"/>
          <w:sz w:val="24"/>
          <w:szCs w:val="24"/>
        </w:rPr>
        <w:t xml:space="preserve">regarding essential health benefits (EHB) </w:t>
      </w:r>
      <w:r w:rsidR="00861812">
        <w:rPr>
          <w:b w:val="0"/>
          <w:sz w:val="24"/>
          <w:szCs w:val="24"/>
        </w:rPr>
        <w:t xml:space="preserve">under the Affordable Care Act (ACA) </w:t>
      </w:r>
      <w:r w:rsidRPr="00594B94">
        <w:rPr>
          <w:b w:val="0"/>
          <w:sz w:val="24"/>
          <w:szCs w:val="24"/>
        </w:rPr>
        <w:t xml:space="preserve">requires </w:t>
      </w:r>
      <w:r w:rsidRPr="00594B94" w:rsidR="00D41ACA">
        <w:rPr>
          <w:b w:val="0"/>
          <w:sz w:val="24"/>
          <w:szCs w:val="24"/>
        </w:rPr>
        <w:t>non-</w:t>
      </w:r>
      <w:r w:rsidRPr="00594B94" w:rsidR="00C501AA">
        <w:rPr>
          <w:b w:val="0"/>
          <w:sz w:val="24"/>
          <w:szCs w:val="24"/>
        </w:rPr>
        <w:t>grandfathered</w:t>
      </w:r>
      <w:r w:rsidRPr="00594B94">
        <w:rPr>
          <w:b w:val="0"/>
          <w:sz w:val="24"/>
          <w:szCs w:val="24"/>
        </w:rPr>
        <w:t xml:space="preserve"> health </w:t>
      </w:r>
      <w:r w:rsidRPr="00594B94" w:rsidR="00730392">
        <w:rPr>
          <w:b w:val="0"/>
          <w:sz w:val="24"/>
          <w:szCs w:val="24"/>
        </w:rPr>
        <w:t xml:space="preserve">insurance coverage </w:t>
      </w:r>
      <w:r w:rsidRPr="00594B94">
        <w:rPr>
          <w:b w:val="0"/>
          <w:sz w:val="24"/>
          <w:szCs w:val="24"/>
        </w:rPr>
        <w:t>in the individual and small group markets (</w:t>
      </w:r>
      <w:r w:rsidRPr="00594B94" w:rsidR="00730392">
        <w:rPr>
          <w:b w:val="0"/>
          <w:sz w:val="24"/>
          <w:szCs w:val="24"/>
        </w:rPr>
        <w:t>generally coverage offered by employers with 50</w:t>
      </w:r>
      <w:r w:rsidRPr="00594B94" w:rsidR="00AE1B38">
        <w:rPr>
          <w:b w:val="0"/>
          <w:sz w:val="24"/>
          <w:szCs w:val="24"/>
        </w:rPr>
        <w:t xml:space="preserve"> or fewer</w:t>
      </w:r>
      <w:r w:rsidRPr="00594B94" w:rsidR="00730392">
        <w:rPr>
          <w:b w:val="0"/>
          <w:sz w:val="24"/>
          <w:szCs w:val="24"/>
        </w:rPr>
        <w:t xml:space="preserve"> employees</w:t>
      </w:r>
      <w:r w:rsidRPr="00594B94">
        <w:rPr>
          <w:b w:val="0"/>
          <w:sz w:val="24"/>
          <w:szCs w:val="24"/>
        </w:rPr>
        <w:t xml:space="preserve">) to comply with the requirements of MHPAEA and its implementing regulations </w:t>
      </w:r>
      <w:r w:rsidRPr="00594B94">
        <w:rPr>
          <w:b w:val="0"/>
          <w:sz w:val="24"/>
          <w:szCs w:val="24"/>
        </w:rPr>
        <w:t>in order to</w:t>
      </w:r>
      <w:r w:rsidRPr="00594B94">
        <w:rPr>
          <w:b w:val="0"/>
          <w:sz w:val="24"/>
          <w:szCs w:val="24"/>
        </w:rPr>
        <w:t xml:space="preserve"> satisfy the requirement to cover EHB. This information collection </w:t>
      </w:r>
      <w:r w:rsidRPr="00594B94" w:rsidR="00D3218B">
        <w:rPr>
          <w:b w:val="0"/>
          <w:sz w:val="24"/>
          <w:szCs w:val="24"/>
        </w:rPr>
        <w:t xml:space="preserve">has been revised to </w:t>
      </w:r>
      <w:r w:rsidRPr="00594B94">
        <w:rPr>
          <w:b w:val="0"/>
          <w:sz w:val="24"/>
          <w:szCs w:val="24"/>
        </w:rPr>
        <w:t>include these added burden</w:t>
      </w:r>
      <w:r w:rsidRPr="00594B94" w:rsidR="00D72175">
        <w:rPr>
          <w:b w:val="0"/>
          <w:sz w:val="24"/>
          <w:szCs w:val="24"/>
        </w:rPr>
        <w:t>s</w:t>
      </w:r>
      <w:r w:rsidRPr="00594B94">
        <w:rPr>
          <w:b w:val="0"/>
          <w:sz w:val="24"/>
          <w:szCs w:val="24"/>
        </w:rPr>
        <w:t>.</w:t>
      </w:r>
    </w:p>
    <w:p w:rsidR="000D006B" w:rsidRPr="00594B94" w:rsidP="00D362D6" w14:paraId="00F90E74" w14:textId="77777777">
      <w:pPr>
        <w:ind w:left="720"/>
        <w:rPr>
          <w:rStyle w:val="footnoteref"/>
          <w:b w:val="0"/>
          <w:sz w:val="24"/>
          <w:szCs w:val="24"/>
        </w:rPr>
      </w:pPr>
    </w:p>
    <w:p w:rsidR="000F3328" w:rsidRPr="00594B94" w:rsidP="006C2914" w14:paraId="6DAC3069" w14:textId="75223138">
      <w:pPr>
        <w:ind w:left="720"/>
        <w:rPr>
          <w:b w:val="0"/>
          <w:sz w:val="24"/>
          <w:szCs w:val="24"/>
        </w:rPr>
      </w:pPr>
      <w:r w:rsidRPr="00594B94">
        <w:rPr>
          <w:b w:val="0"/>
          <w:sz w:val="24"/>
          <w:szCs w:val="24"/>
        </w:rPr>
        <w:t xml:space="preserve">MHPAEA </w:t>
      </w:r>
      <w:r w:rsidRPr="00594B94" w:rsidR="000D006B">
        <w:rPr>
          <w:b w:val="0"/>
          <w:sz w:val="24"/>
          <w:szCs w:val="24"/>
        </w:rPr>
        <w:t xml:space="preserve">and the </w:t>
      </w:r>
      <w:r w:rsidR="00C44574">
        <w:rPr>
          <w:b w:val="0"/>
          <w:sz w:val="24"/>
          <w:szCs w:val="24"/>
        </w:rPr>
        <w:t xml:space="preserve">2013 </w:t>
      </w:r>
      <w:r w:rsidRPr="00594B94" w:rsidR="000D006B">
        <w:rPr>
          <w:b w:val="0"/>
          <w:sz w:val="24"/>
          <w:szCs w:val="24"/>
        </w:rPr>
        <w:t xml:space="preserve">final regulations (29 CFR 2590.712(d)) </w:t>
      </w:r>
      <w:r w:rsidRPr="00594B94">
        <w:rPr>
          <w:b w:val="0"/>
          <w:sz w:val="24"/>
          <w:szCs w:val="24"/>
        </w:rPr>
        <w:t xml:space="preserve">require plan administrators to provide two disclosures regarding </w:t>
      </w:r>
      <w:r w:rsidRPr="00594B94" w:rsidR="00987297">
        <w:rPr>
          <w:b w:val="0"/>
          <w:sz w:val="24"/>
          <w:szCs w:val="24"/>
        </w:rPr>
        <w:t>MH</w:t>
      </w:r>
      <w:r w:rsidRPr="00594B94">
        <w:rPr>
          <w:b w:val="0"/>
          <w:sz w:val="24"/>
          <w:szCs w:val="24"/>
        </w:rPr>
        <w:t>/</w:t>
      </w:r>
      <w:r w:rsidRPr="00594B94" w:rsidR="00987297">
        <w:rPr>
          <w:b w:val="0"/>
          <w:sz w:val="24"/>
          <w:szCs w:val="24"/>
        </w:rPr>
        <w:t>SUD</w:t>
      </w:r>
      <w:r w:rsidRPr="00594B94">
        <w:rPr>
          <w:b w:val="0"/>
          <w:sz w:val="24"/>
          <w:szCs w:val="24"/>
        </w:rPr>
        <w:t xml:space="preserve"> benefits</w:t>
      </w:r>
      <w:r w:rsidR="009A3673">
        <w:rPr>
          <w:b w:val="0"/>
          <w:sz w:val="24"/>
          <w:szCs w:val="24"/>
        </w:rPr>
        <w:t xml:space="preserve"> </w:t>
      </w:r>
      <w:r w:rsidRPr="00594B94">
        <w:rPr>
          <w:b w:val="0"/>
          <w:sz w:val="24"/>
          <w:szCs w:val="24"/>
        </w:rPr>
        <w:t>--</w:t>
      </w:r>
      <w:r w:rsidR="009A3673">
        <w:rPr>
          <w:b w:val="0"/>
          <w:sz w:val="24"/>
          <w:szCs w:val="24"/>
        </w:rPr>
        <w:t xml:space="preserve"> </w:t>
      </w:r>
      <w:r w:rsidRPr="00594B94">
        <w:rPr>
          <w:b w:val="0"/>
          <w:sz w:val="24"/>
          <w:szCs w:val="24"/>
        </w:rPr>
        <w:t xml:space="preserve">one providing criteria for medical necessity determinations </w:t>
      </w:r>
      <w:r w:rsidRPr="00594B94" w:rsidR="000D006B">
        <w:rPr>
          <w:b w:val="0"/>
          <w:sz w:val="24"/>
          <w:szCs w:val="24"/>
        </w:rPr>
        <w:t xml:space="preserve">(medical necessity disclosure) </w:t>
      </w:r>
      <w:r w:rsidRPr="00594B94">
        <w:rPr>
          <w:b w:val="0"/>
          <w:sz w:val="24"/>
          <w:szCs w:val="24"/>
        </w:rPr>
        <w:t>and the other providing the reason for denial of claims reimbursement</w:t>
      </w:r>
      <w:r w:rsidRPr="00594B94" w:rsidR="000D006B">
        <w:rPr>
          <w:b w:val="0"/>
          <w:sz w:val="24"/>
          <w:szCs w:val="24"/>
        </w:rPr>
        <w:t xml:space="preserve"> (claims denial disclosure</w:t>
      </w:r>
      <w:r w:rsidR="005D327A">
        <w:rPr>
          <w:b w:val="0"/>
          <w:sz w:val="24"/>
          <w:szCs w:val="24"/>
        </w:rPr>
        <w:t>)</w:t>
      </w:r>
      <w:r w:rsidR="00975FD2">
        <w:rPr>
          <w:b w:val="0"/>
          <w:sz w:val="24"/>
          <w:szCs w:val="24"/>
        </w:rPr>
        <w:t>.</w:t>
      </w:r>
      <w:r w:rsidRPr="00975FD2" w:rsidR="00975FD2">
        <w:rPr>
          <w:b w:val="0"/>
          <w:sz w:val="24"/>
          <w:szCs w:val="24"/>
        </w:rPr>
        <w:t xml:space="preserve"> </w:t>
      </w:r>
      <w:r w:rsidRPr="00594B94" w:rsidR="00975FD2">
        <w:rPr>
          <w:b w:val="0"/>
          <w:sz w:val="24"/>
          <w:szCs w:val="24"/>
        </w:rPr>
        <w:t>These disclosures are information collection requests for purposes of the Paperwork Reduction Act and are discussed below.</w:t>
      </w:r>
      <w:r w:rsidRPr="00594B94" w:rsidR="000F4C95">
        <w:rPr>
          <w:b w:val="0"/>
          <w:sz w:val="24"/>
          <w:szCs w:val="24"/>
        </w:rPr>
        <w:t xml:space="preserve"> </w:t>
      </w:r>
    </w:p>
    <w:p w:rsidR="000F3328" w:rsidRPr="00594B94" w:rsidP="00D362D6" w14:paraId="01CA15CC" w14:textId="77777777">
      <w:pPr>
        <w:ind w:left="720"/>
        <w:rPr>
          <w:b w:val="0"/>
          <w:sz w:val="24"/>
          <w:szCs w:val="24"/>
        </w:rPr>
      </w:pPr>
    </w:p>
    <w:p w:rsidR="000F3328" w:rsidRPr="000D1EEF" w:rsidP="006C2914" w14:paraId="40B2F678" w14:textId="77777777">
      <w:pPr>
        <w:ind w:firstLine="720"/>
        <w:rPr>
          <w:bCs w:val="0"/>
          <w:i/>
          <w:sz w:val="24"/>
          <w:szCs w:val="24"/>
          <w:u w:val="single"/>
        </w:rPr>
      </w:pPr>
      <w:r w:rsidRPr="000D1EEF">
        <w:rPr>
          <w:bCs w:val="0"/>
          <w:i/>
          <w:sz w:val="24"/>
          <w:szCs w:val="24"/>
          <w:u w:val="single"/>
        </w:rPr>
        <w:t>Medical Necessity Disclosure under MHPAEA</w:t>
      </w:r>
    </w:p>
    <w:p w:rsidR="000F3328" w:rsidRPr="00594B94" w:rsidP="00D362D6" w14:paraId="2CA63EC0" w14:textId="77777777">
      <w:pPr>
        <w:ind w:left="720"/>
        <w:rPr>
          <w:b w:val="0"/>
          <w:i/>
          <w:sz w:val="24"/>
          <w:szCs w:val="24"/>
        </w:rPr>
      </w:pPr>
    </w:p>
    <w:p w:rsidR="000F3328" w:rsidRPr="00594B94" w:rsidP="006C2914" w14:paraId="00C21E7A" w14:textId="5FB9C829">
      <w:pPr>
        <w:ind w:left="720"/>
        <w:rPr>
          <w:b w:val="0"/>
          <w:sz w:val="24"/>
          <w:szCs w:val="24"/>
        </w:rPr>
      </w:pPr>
      <w:r w:rsidRPr="00594B94">
        <w:rPr>
          <w:b w:val="0"/>
          <w:sz w:val="24"/>
          <w:szCs w:val="24"/>
        </w:rPr>
        <w:t xml:space="preserve">MHPAEA </w:t>
      </w:r>
      <w:r w:rsidRPr="00594B94" w:rsidR="000D006B">
        <w:rPr>
          <w:b w:val="0"/>
          <w:sz w:val="24"/>
          <w:szCs w:val="24"/>
        </w:rPr>
        <w:t xml:space="preserve">and 29 CFR 2590.712(d)(1) </w:t>
      </w:r>
      <w:r w:rsidRPr="00594B94">
        <w:rPr>
          <w:b w:val="0"/>
          <w:sz w:val="24"/>
          <w:szCs w:val="24"/>
        </w:rPr>
        <w:t xml:space="preserve">require </w:t>
      </w:r>
      <w:r w:rsidRPr="00594B94" w:rsidR="00FB5429">
        <w:rPr>
          <w:b w:val="0"/>
          <w:sz w:val="24"/>
          <w:szCs w:val="24"/>
        </w:rPr>
        <w:t xml:space="preserve">a </w:t>
      </w:r>
      <w:r w:rsidRPr="00594B94">
        <w:rPr>
          <w:b w:val="0"/>
          <w:sz w:val="24"/>
          <w:szCs w:val="24"/>
        </w:rPr>
        <w:t>plan</w:t>
      </w:r>
      <w:r w:rsidRPr="00594B94" w:rsidR="000D006B">
        <w:rPr>
          <w:b w:val="0"/>
          <w:sz w:val="24"/>
          <w:szCs w:val="24"/>
        </w:rPr>
        <w:t xml:space="preserve"> administrator</w:t>
      </w:r>
      <w:r w:rsidRPr="00594B94">
        <w:rPr>
          <w:b w:val="0"/>
          <w:sz w:val="24"/>
          <w:szCs w:val="24"/>
        </w:rPr>
        <w:t xml:space="preserve"> to provide, upon request, the criteria for medical necessity determinations made with respect to MH/SUD benefits to current or potential participants, beneficiaries, or contracting providers. Accordingly, any plan that receives a request from a current or potential plan participant, beneficiary, or contracting health care provider must provide that party with a Medical Necessity Disclosure under MHPAEA</w:t>
      </w:r>
      <w:r w:rsidRPr="00594B94" w:rsidR="000F4C95">
        <w:rPr>
          <w:b w:val="0"/>
          <w:sz w:val="24"/>
          <w:szCs w:val="24"/>
        </w:rPr>
        <w:t>.</w:t>
      </w:r>
      <w:r w:rsidR="009614B0">
        <w:rPr>
          <w:b w:val="0"/>
          <w:sz w:val="24"/>
          <w:szCs w:val="24"/>
        </w:rPr>
        <w:t xml:space="preserve"> </w:t>
      </w:r>
      <w:r w:rsidRPr="00594B94" w:rsidR="00F04752">
        <w:rPr>
          <w:b w:val="0"/>
          <w:sz w:val="24"/>
          <w:szCs w:val="24"/>
        </w:rPr>
        <w:t>The Department of Labor,</w:t>
      </w:r>
      <w:r w:rsidRPr="00594B94">
        <w:rPr>
          <w:b w:val="0"/>
          <w:sz w:val="24"/>
          <w:szCs w:val="24"/>
        </w:rPr>
        <w:t xml:space="preserve"> however, is not proposing that plans </w:t>
      </w:r>
      <w:r w:rsidRPr="00594B94" w:rsidR="00D362D6">
        <w:rPr>
          <w:b w:val="0"/>
          <w:sz w:val="24"/>
          <w:szCs w:val="24"/>
        </w:rPr>
        <w:t>or issuers use a specific form.</w:t>
      </w:r>
    </w:p>
    <w:p w:rsidR="000F3328" w:rsidRPr="00594B94" w:rsidP="00D362D6" w14:paraId="3217CFD0" w14:textId="77777777">
      <w:pPr>
        <w:ind w:left="720"/>
        <w:rPr>
          <w:b w:val="0"/>
          <w:sz w:val="24"/>
          <w:szCs w:val="24"/>
        </w:rPr>
      </w:pPr>
    </w:p>
    <w:p w:rsidR="000F3328" w:rsidRPr="000D1EEF" w:rsidP="006C2914" w14:paraId="568C3FD2" w14:textId="77777777">
      <w:pPr>
        <w:ind w:firstLine="720"/>
        <w:rPr>
          <w:bCs w:val="0"/>
          <w:i/>
          <w:sz w:val="24"/>
          <w:szCs w:val="24"/>
          <w:u w:val="single"/>
        </w:rPr>
      </w:pPr>
      <w:r w:rsidRPr="000D1EEF">
        <w:rPr>
          <w:bCs w:val="0"/>
          <w:i/>
          <w:sz w:val="24"/>
          <w:szCs w:val="24"/>
          <w:u w:val="single"/>
        </w:rPr>
        <w:t>Claims Denial Disclosure under MHPAEA</w:t>
      </w:r>
    </w:p>
    <w:p w:rsidR="00F04752" w:rsidRPr="00594B94" w:rsidP="00D362D6" w14:paraId="5D7937C9" w14:textId="77777777">
      <w:pPr>
        <w:ind w:left="720"/>
        <w:rPr>
          <w:b w:val="0"/>
          <w:i/>
          <w:sz w:val="24"/>
          <w:szCs w:val="24"/>
        </w:rPr>
      </w:pPr>
    </w:p>
    <w:p w:rsidR="000F3328" w:rsidRPr="00594B94" w:rsidP="006C2914" w14:paraId="0E5E101C" w14:textId="6D254488">
      <w:pPr>
        <w:ind w:left="720"/>
        <w:rPr>
          <w:b w:val="0"/>
          <w:sz w:val="24"/>
          <w:szCs w:val="24"/>
        </w:rPr>
      </w:pPr>
      <w:r w:rsidRPr="00594B94">
        <w:rPr>
          <w:b w:val="0"/>
          <w:sz w:val="24"/>
          <w:szCs w:val="24"/>
        </w:rPr>
        <w:t xml:space="preserve">MHPAEA and the </w:t>
      </w:r>
      <w:r w:rsidR="00C44574">
        <w:rPr>
          <w:b w:val="0"/>
          <w:sz w:val="24"/>
          <w:szCs w:val="24"/>
        </w:rPr>
        <w:t xml:space="preserve">2013 </w:t>
      </w:r>
      <w:r w:rsidRPr="00594B94">
        <w:rPr>
          <w:b w:val="0"/>
          <w:sz w:val="24"/>
          <w:szCs w:val="24"/>
        </w:rPr>
        <w:t>final regulations (29 CFR 25</w:t>
      </w:r>
      <w:r w:rsidRPr="00594B94" w:rsidR="00B54621">
        <w:rPr>
          <w:b w:val="0"/>
          <w:sz w:val="24"/>
          <w:szCs w:val="24"/>
        </w:rPr>
        <w:t>9</w:t>
      </w:r>
      <w:r w:rsidRPr="00594B94">
        <w:rPr>
          <w:b w:val="0"/>
          <w:sz w:val="24"/>
          <w:szCs w:val="24"/>
        </w:rPr>
        <w:t>0.712(d)(2)</w:t>
      </w:r>
      <w:r w:rsidRPr="00594B94" w:rsidR="003860F7">
        <w:rPr>
          <w:b w:val="0"/>
          <w:sz w:val="24"/>
          <w:szCs w:val="24"/>
        </w:rPr>
        <w:t>)</w:t>
      </w:r>
      <w:r w:rsidRPr="00594B94">
        <w:rPr>
          <w:b w:val="0"/>
          <w:sz w:val="24"/>
          <w:szCs w:val="24"/>
        </w:rPr>
        <w:t xml:space="preserve"> provide that the reason for any denial under a group health plan (or health insurance coverage</w:t>
      </w:r>
      <w:r w:rsidRPr="00594B94" w:rsidR="00294B62">
        <w:rPr>
          <w:b w:val="0"/>
          <w:sz w:val="24"/>
          <w:szCs w:val="24"/>
        </w:rPr>
        <w:t xml:space="preserve"> offered in connection with such plan</w:t>
      </w:r>
      <w:r w:rsidRPr="00594B94">
        <w:rPr>
          <w:b w:val="0"/>
          <w:sz w:val="24"/>
          <w:szCs w:val="24"/>
        </w:rPr>
        <w:t xml:space="preserve">) of reimbursement or payment for services with respect to </w:t>
      </w:r>
      <w:r w:rsidRPr="00594B94" w:rsidR="00987297">
        <w:rPr>
          <w:b w:val="0"/>
          <w:sz w:val="24"/>
          <w:szCs w:val="24"/>
        </w:rPr>
        <w:t>MH/SUD</w:t>
      </w:r>
      <w:r w:rsidRPr="00594B94" w:rsidR="00035D27">
        <w:rPr>
          <w:b w:val="0"/>
          <w:sz w:val="24"/>
          <w:szCs w:val="24"/>
        </w:rPr>
        <w:t xml:space="preserve"> </w:t>
      </w:r>
      <w:r w:rsidRPr="00594B94">
        <w:rPr>
          <w:b w:val="0"/>
          <w:sz w:val="24"/>
          <w:szCs w:val="24"/>
        </w:rPr>
        <w:t>benefits in the case of any participant or beneficiary must be made available by the plan administrator (or the health insurance issuer offering such coverage) to the participant or beneficiary</w:t>
      </w:r>
      <w:r w:rsidRPr="00594B94" w:rsidR="00294B62">
        <w:rPr>
          <w:b w:val="0"/>
          <w:sz w:val="24"/>
          <w:szCs w:val="24"/>
        </w:rPr>
        <w:t xml:space="preserve"> in a fo</w:t>
      </w:r>
      <w:r w:rsidR="00AD7F64">
        <w:rPr>
          <w:b w:val="0"/>
          <w:sz w:val="24"/>
          <w:szCs w:val="24"/>
        </w:rPr>
        <w:t>r</w:t>
      </w:r>
      <w:r w:rsidRPr="00594B94" w:rsidR="00294B62">
        <w:rPr>
          <w:b w:val="0"/>
          <w:sz w:val="24"/>
          <w:szCs w:val="24"/>
        </w:rPr>
        <w:t xml:space="preserve">m and manner consistent with the </w:t>
      </w:r>
      <w:r w:rsidR="00EB7447">
        <w:rPr>
          <w:b w:val="0"/>
          <w:sz w:val="24"/>
          <w:szCs w:val="24"/>
        </w:rPr>
        <w:t xml:space="preserve">DOL </w:t>
      </w:r>
      <w:r w:rsidRPr="00594B94">
        <w:rPr>
          <w:b w:val="0"/>
          <w:sz w:val="24"/>
          <w:szCs w:val="24"/>
        </w:rPr>
        <w:t>claims procedure regulation (29 CFR 2560.503-1)</w:t>
      </w:r>
      <w:r w:rsidRPr="00594B94" w:rsidR="00294B62">
        <w:rPr>
          <w:b w:val="0"/>
          <w:sz w:val="24"/>
          <w:szCs w:val="24"/>
        </w:rPr>
        <w:t>. Th</w:t>
      </w:r>
      <w:r w:rsidR="005D327A">
        <w:rPr>
          <w:b w:val="0"/>
          <w:sz w:val="24"/>
          <w:szCs w:val="24"/>
        </w:rPr>
        <w:t>e claims</w:t>
      </w:r>
      <w:r w:rsidRPr="00594B94" w:rsidR="00294B62">
        <w:rPr>
          <w:b w:val="0"/>
          <w:sz w:val="24"/>
          <w:szCs w:val="24"/>
        </w:rPr>
        <w:t xml:space="preserve"> </w:t>
      </w:r>
      <w:r w:rsidR="005D327A">
        <w:rPr>
          <w:b w:val="0"/>
          <w:sz w:val="24"/>
          <w:szCs w:val="24"/>
        </w:rPr>
        <w:t xml:space="preserve">procedure </w:t>
      </w:r>
      <w:r w:rsidRPr="00594B94" w:rsidR="00294B62">
        <w:rPr>
          <w:b w:val="0"/>
          <w:sz w:val="24"/>
          <w:szCs w:val="24"/>
        </w:rPr>
        <w:t>regulation</w:t>
      </w:r>
      <w:r w:rsidRPr="00594B94">
        <w:rPr>
          <w:b w:val="0"/>
          <w:sz w:val="24"/>
          <w:szCs w:val="24"/>
        </w:rPr>
        <w:t xml:space="preserve"> requires, among other things, </w:t>
      </w:r>
      <w:r w:rsidRPr="00594B94" w:rsidR="00380D0F">
        <w:rPr>
          <w:b w:val="0"/>
          <w:sz w:val="24"/>
          <w:szCs w:val="24"/>
        </w:rPr>
        <w:t xml:space="preserve">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w:t>
      </w:r>
      <w:r w:rsidR="00801129">
        <w:rPr>
          <w:b w:val="0"/>
          <w:sz w:val="24"/>
          <w:szCs w:val="24"/>
        </w:rPr>
        <w:t xml:space="preserve">claims procedure </w:t>
      </w:r>
      <w:r w:rsidRPr="00594B94" w:rsidR="00380D0F">
        <w:rPr>
          <w:b w:val="0"/>
          <w:sz w:val="24"/>
          <w:szCs w:val="24"/>
        </w:rPr>
        <w:t>regulation also requires that any adverse decision upon review be in writing (including electronic means) and include specific reasons for the decision, as well as references to relevant plan provisions</w:t>
      </w:r>
      <w:r w:rsidRPr="00594B94" w:rsidR="000F4C95">
        <w:rPr>
          <w:b w:val="0"/>
          <w:sz w:val="24"/>
          <w:szCs w:val="24"/>
        </w:rPr>
        <w:t xml:space="preserve">. </w:t>
      </w:r>
      <w:r w:rsidRPr="00594B94">
        <w:rPr>
          <w:b w:val="0"/>
          <w:sz w:val="24"/>
          <w:szCs w:val="24"/>
        </w:rPr>
        <w:t xml:space="preserve">Therefore, the </w:t>
      </w:r>
      <w:r w:rsidR="00C44574">
        <w:rPr>
          <w:b w:val="0"/>
          <w:sz w:val="24"/>
          <w:szCs w:val="24"/>
        </w:rPr>
        <w:t xml:space="preserve">2013 </w:t>
      </w:r>
      <w:r w:rsidRPr="00594B94">
        <w:rPr>
          <w:b w:val="0"/>
          <w:sz w:val="24"/>
          <w:szCs w:val="24"/>
        </w:rPr>
        <w:t xml:space="preserve">final regulations provide that ERISA-covered plans (and health insurance coverage offered in connection with such plans) </w:t>
      </w:r>
      <w:r w:rsidR="005D327A">
        <w:rPr>
          <w:b w:val="0"/>
          <w:sz w:val="24"/>
          <w:szCs w:val="24"/>
        </w:rPr>
        <w:t>must make the reason for a</w:t>
      </w:r>
      <w:r w:rsidR="00613BA1">
        <w:rPr>
          <w:b w:val="0"/>
          <w:sz w:val="24"/>
          <w:szCs w:val="24"/>
        </w:rPr>
        <w:t>ny</w:t>
      </w:r>
      <w:r w:rsidR="005D327A">
        <w:rPr>
          <w:b w:val="0"/>
          <w:sz w:val="24"/>
          <w:szCs w:val="24"/>
        </w:rPr>
        <w:t xml:space="preserve"> denial available by the plan administrator (or health insurance issuer</w:t>
      </w:r>
      <w:r w:rsidR="00613BA1">
        <w:rPr>
          <w:b w:val="0"/>
          <w:sz w:val="24"/>
          <w:szCs w:val="24"/>
        </w:rPr>
        <w:t xml:space="preserve"> offering such coverage</w:t>
      </w:r>
      <w:r w:rsidR="005D327A">
        <w:rPr>
          <w:b w:val="0"/>
          <w:sz w:val="24"/>
          <w:szCs w:val="24"/>
        </w:rPr>
        <w:t xml:space="preserve">) </w:t>
      </w:r>
      <w:r w:rsidRPr="005D327A" w:rsidR="005D327A">
        <w:rPr>
          <w:b w:val="0"/>
          <w:sz w:val="24"/>
          <w:szCs w:val="24"/>
        </w:rPr>
        <w:t xml:space="preserve">to the participant or beneficiary in a form and manner consistent with the requirements of </w:t>
      </w:r>
      <w:r w:rsidR="00B4610A">
        <w:rPr>
          <w:b w:val="0"/>
          <w:sz w:val="24"/>
          <w:szCs w:val="24"/>
        </w:rPr>
        <w:t xml:space="preserve">29 CFR </w:t>
      </w:r>
      <w:r w:rsidRPr="005D327A" w:rsidR="005D327A">
        <w:rPr>
          <w:b w:val="0"/>
          <w:sz w:val="24"/>
          <w:szCs w:val="24"/>
        </w:rPr>
        <w:t>2560.503-</w:t>
      </w:r>
      <w:r w:rsidR="005D327A">
        <w:rPr>
          <w:b w:val="0"/>
          <w:sz w:val="24"/>
          <w:szCs w:val="24"/>
        </w:rPr>
        <w:t>1.</w:t>
      </w:r>
      <w:r w:rsidRPr="00594B94">
        <w:rPr>
          <w:b w:val="0"/>
          <w:sz w:val="24"/>
          <w:szCs w:val="24"/>
        </w:rPr>
        <w:t xml:space="preserve"> </w:t>
      </w:r>
    </w:p>
    <w:p w:rsidR="00D16FB7" w:rsidRPr="00594B94" w:rsidP="00D362D6" w14:paraId="499CBFD6" w14:textId="77777777">
      <w:pPr>
        <w:ind w:left="720"/>
        <w:rPr>
          <w:b w:val="0"/>
          <w:sz w:val="24"/>
          <w:szCs w:val="24"/>
        </w:rPr>
      </w:pPr>
    </w:p>
    <w:p w:rsidR="00D16FB7" w:rsidRPr="000D1EEF" w:rsidP="0057287F" w14:paraId="1D786164" w14:textId="752BA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i/>
          <w:sz w:val="24"/>
          <w:u w:val="single"/>
        </w:rPr>
      </w:pPr>
      <w:r>
        <w:rPr>
          <w:b w:val="0"/>
          <w:i/>
          <w:sz w:val="24"/>
        </w:rPr>
        <w:tab/>
      </w:r>
      <w:r w:rsidRPr="00D0131F">
        <w:rPr>
          <w:bCs w:val="0"/>
          <w:i/>
          <w:sz w:val="24"/>
        </w:rPr>
        <w:tab/>
      </w:r>
      <w:r w:rsidRPr="000D1EEF">
        <w:rPr>
          <w:bCs w:val="0"/>
          <w:i/>
          <w:sz w:val="24"/>
          <w:u w:val="single"/>
        </w:rPr>
        <w:t>Requirements in the 21</w:t>
      </w:r>
      <w:r w:rsidRPr="000D1EEF">
        <w:rPr>
          <w:bCs w:val="0"/>
          <w:i/>
          <w:sz w:val="24"/>
          <w:u w:val="single"/>
          <w:vertAlign w:val="superscript"/>
        </w:rPr>
        <w:t>st</w:t>
      </w:r>
      <w:r w:rsidRPr="000D1EEF">
        <w:rPr>
          <w:bCs w:val="0"/>
          <w:i/>
          <w:sz w:val="24"/>
          <w:u w:val="single"/>
        </w:rPr>
        <w:t xml:space="preserve"> Century Cures Act Related to MHPAEA Disclosures</w:t>
      </w:r>
    </w:p>
    <w:p w:rsidR="00D16FB7" w:rsidRPr="00594B94" w:rsidP="00245CC1" w14:paraId="2E3CFB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val="0"/>
          <w:sz w:val="24"/>
        </w:rPr>
      </w:pPr>
    </w:p>
    <w:p w:rsidR="00D16FB7" w:rsidRPr="0057287F" w:rsidP="006C2914" w14:paraId="7483136A" w14:textId="42F6B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lang w:val="en"/>
        </w:rPr>
      </w:pPr>
      <w:r w:rsidRPr="00594B94">
        <w:rPr>
          <w:b w:val="0"/>
          <w:sz w:val="24"/>
        </w:rPr>
        <w:t>Among its provisions, the Cures Act require</w:t>
      </w:r>
      <w:r w:rsidRPr="00594B94" w:rsidR="0042449D">
        <w:rPr>
          <w:b w:val="0"/>
          <w:sz w:val="24"/>
        </w:rPr>
        <w:t>d</w:t>
      </w:r>
      <w:r w:rsidRPr="00594B94">
        <w:rPr>
          <w:b w:val="0"/>
          <w:sz w:val="24"/>
        </w:rPr>
        <w:t xml:space="preserve"> the Departments, by June 13, 2017, to solicit feedback from the public on how the disclosure request process for documents </w:t>
      </w:r>
      <w:r w:rsidRPr="00594B94">
        <w:rPr>
          <w:b w:val="0"/>
          <w:sz w:val="24"/>
        </w:rPr>
        <w:t>containing information that health plans and health insurance issuers are required under Federal or 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disclosed.</w:t>
      </w:r>
      <w:r>
        <w:rPr>
          <w:b w:val="0"/>
          <w:sz w:val="24"/>
          <w:vertAlign w:val="superscript"/>
        </w:rPr>
        <w:footnoteReference w:id="7"/>
      </w:r>
      <w:r w:rsidRPr="00594B94">
        <w:rPr>
          <w:b w:val="0"/>
          <w:sz w:val="24"/>
        </w:rPr>
        <w:t xml:space="preserve"> The Cures Act requires the Departments to make this feedback publicly available by December 13, 2017.</w:t>
      </w:r>
      <w:r>
        <w:rPr>
          <w:b w:val="0"/>
          <w:sz w:val="24"/>
          <w:vertAlign w:val="superscript"/>
        </w:rPr>
        <w:footnoteReference w:id="8"/>
      </w:r>
      <w:r w:rsidRPr="00594B94" w:rsidR="0019473D">
        <w:rPr>
          <w:b w:val="0"/>
          <w:sz w:val="24"/>
        </w:rPr>
        <w:t xml:space="preserve"> </w:t>
      </w:r>
      <w:r w:rsidRPr="00594B94" w:rsidR="008654F6">
        <w:rPr>
          <w:b w:val="0"/>
          <w:sz w:val="24"/>
        </w:rPr>
        <w:t xml:space="preserve">As part of this public outreach process, </w:t>
      </w:r>
      <w:r w:rsidRPr="00594B94" w:rsidR="008654F6">
        <w:rPr>
          <w:b w:val="0"/>
          <w:sz w:val="24"/>
        </w:rPr>
        <w:t>t</w:t>
      </w:r>
      <w:r w:rsidRPr="00594B94">
        <w:rPr>
          <w:b w:val="0"/>
          <w:sz w:val="24"/>
          <w:lang w:val="en"/>
        </w:rPr>
        <w:t>he</w:t>
      </w:r>
      <w:r w:rsidRPr="00594B94">
        <w:rPr>
          <w:b w:val="0"/>
          <w:sz w:val="24"/>
          <w:lang w:val="en"/>
        </w:rPr>
        <w:t xml:space="preserve"> Departments solicit</w:t>
      </w:r>
      <w:r w:rsidRPr="00594B94" w:rsidR="0042449D">
        <w:rPr>
          <w:b w:val="0"/>
          <w:sz w:val="24"/>
          <w:lang w:val="en"/>
        </w:rPr>
        <w:t>ed</w:t>
      </w:r>
      <w:r w:rsidRPr="00594B94">
        <w:rPr>
          <w:b w:val="0"/>
          <w:sz w:val="24"/>
          <w:lang w:val="en"/>
        </w:rPr>
        <w:t xml:space="preserve"> comments on a draft model form that participants, enrollees, or their authorized representatives could use to request information from their health plan or issuer regarding </w:t>
      </w:r>
      <w:r w:rsidRPr="00594B94" w:rsidR="00707FFC">
        <w:rPr>
          <w:b w:val="0"/>
          <w:sz w:val="24"/>
          <w:lang w:val="en"/>
        </w:rPr>
        <w:t>nonquanti</w:t>
      </w:r>
      <w:r w:rsidRPr="00594B94" w:rsidR="0088336C">
        <w:rPr>
          <w:b w:val="0"/>
          <w:sz w:val="24"/>
          <w:lang w:val="en"/>
        </w:rPr>
        <w:t>tative</w:t>
      </w:r>
      <w:r w:rsidRPr="00594B94" w:rsidR="00F3444A">
        <w:rPr>
          <w:b w:val="0"/>
          <w:sz w:val="24"/>
          <w:lang w:val="en"/>
        </w:rPr>
        <w:t xml:space="preserve"> treatment limit</w:t>
      </w:r>
      <w:r w:rsidRPr="00594B94" w:rsidR="00707FFC">
        <w:rPr>
          <w:b w:val="0"/>
          <w:sz w:val="24"/>
          <w:lang w:val="en"/>
        </w:rPr>
        <w:t>at</w:t>
      </w:r>
      <w:r w:rsidRPr="00594B94" w:rsidR="00F3444A">
        <w:rPr>
          <w:b w:val="0"/>
          <w:sz w:val="24"/>
          <w:lang w:val="en"/>
        </w:rPr>
        <w:t xml:space="preserve">ions </w:t>
      </w:r>
      <w:r w:rsidRPr="00594B94" w:rsidR="00707FFC">
        <w:rPr>
          <w:b w:val="0"/>
          <w:sz w:val="24"/>
          <w:lang w:val="en"/>
        </w:rPr>
        <w:t>(</w:t>
      </w:r>
      <w:r w:rsidRPr="00594B94">
        <w:rPr>
          <w:b w:val="0"/>
          <w:sz w:val="24"/>
          <w:lang w:val="en"/>
        </w:rPr>
        <w:t>NQTLs</w:t>
      </w:r>
      <w:r w:rsidRPr="00594B94" w:rsidR="00707FFC">
        <w:rPr>
          <w:b w:val="0"/>
          <w:sz w:val="24"/>
          <w:lang w:val="en"/>
        </w:rPr>
        <w:t>)</w:t>
      </w:r>
      <w:r w:rsidRPr="00594B94">
        <w:rPr>
          <w:b w:val="0"/>
          <w:sz w:val="24"/>
          <w:lang w:val="en"/>
        </w:rPr>
        <w:t xml:space="preserve"> that may affect their MH/SUD benefits, or to obtain documentation after an adverse benefit determination involving MH/SUD benefits to support an appeal.</w:t>
      </w:r>
      <w:r w:rsidRPr="00594B94" w:rsidR="00181D9D">
        <w:rPr>
          <w:b w:val="0"/>
          <w:sz w:val="24"/>
          <w:lang w:val="en"/>
        </w:rPr>
        <w:t xml:space="preserve"> </w:t>
      </w:r>
      <w:r w:rsidRPr="00594B94" w:rsidR="0042449D">
        <w:rPr>
          <w:b w:val="0"/>
          <w:sz w:val="24"/>
          <w:lang w:val="en"/>
        </w:rPr>
        <w:t xml:space="preserve">The Departments received 19 comments and </w:t>
      </w:r>
      <w:r w:rsidRPr="00594B94" w:rsidR="00707FFC">
        <w:rPr>
          <w:b w:val="0"/>
          <w:sz w:val="24"/>
          <w:lang w:val="en"/>
        </w:rPr>
        <w:t xml:space="preserve">considered </w:t>
      </w:r>
      <w:r w:rsidRPr="00594B94" w:rsidR="0042449D">
        <w:rPr>
          <w:b w:val="0"/>
          <w:sz w:val="24"/>
          <w:lang w:val="en"/>
        </w:rPr>
        <w:t xml:space="preserve">those comments </w:t>
      </w:r>
      <w:r w:rsidRPr="00594B94" w:rsidR="00707FFC">
        <w:rPr>
          <w:b w:val="0"/>
          <w:sz w:val="24"/>
          <w:lang w:val="en"/>
        </w:rPr>
        <w:t xml:space="preserve">in making </w:t>
      </w:r>
      <w:r w:rsidRPr="00594B94" w:rsidR="0042449D">
        <w:rPr>
          <w:b w:val="0"/>
          <w:sz w:val="24"/>
          <w:lang w:val="en"/>
        </w:rPr>
        <w:t>changes to the model form.</w:t>
      </w:r>
      <w:r w:rsidRPr="00594B94" w:rsidR="00181D9D">
        <w:rPr>
          <w:b w:val="0"/>
          <w:sz w:val="24"/>
          <w:lang w:val="en"/>
        </w:rPr>
        <w:t xml:space="preserve"> </w:t>
      </w:r>
      <w:r w:rsidRPr="00594B94" w:rsidR="00B446D5">
        <w:rPr>
          <w:b w:val="0"/>
          <w:sz w:val="24"/>
          <w:lang w:val="en"/>
        </w:rPr>
        <w:t>OMB</w:t>
      </w:r>
      <w:r w:rsidRPr="00594B94" w:rsidR="00015462">
        <w:rPr>
          <w:b w:val="0"/>
          <w:sz w:val="24"/>
          <w:lang w:val="en"/>
        </w:rPr>
        <w:t xml:space="preserve"> then</w:t>
      </w:r>
      <w:r w:rsidRPr="00594B94" w:rsidR="00B446D5">
        <w:rPr>
          <w:b w:val="0"/>
          <w:sz w:val="24"/>
          <w:lang w:val="en"/>
        </w:rPr>
        <w:t xml:space="preserve"> received </w:t>
      </w:r>
      <w:r w:rsidRPr="00594B94" w:rsidR="00015462">
        <w:rPr>
          <w:b w:val="0"/>
          <w:sz w:val="24"/>
          <w:lang w:val="en"/>
        </w:rPr>
        <w:t>an additional five comments in response to the 30-day notice on the revised model notice.</w:t>
      </w:r>
    </w:p>
    <w:p w:rsidR="00237EEB" w:rsidP="00245CC1" w14:paraId="638CCF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highlight w:val="green"/>
        </w:rPr>
      </w:pPr>
    </w:p>
    <w:p w:rsidR="00237EEB" w:rsidRPr="000D1EEF" w:rsidP="006C2914" w14:paraId="2BFD9309" w14:textId="77777777">
      <w:pPr>
        <w:widowControl/>
        <w:autoSpaceDE/>
        <w:autoSpaceDN/>
        <w:adjustRightInd/>
        <w:spacing w:after="200" w:line="276" w:lineRule="auto"/>
        <w:ind w:firstLine="720"/>
        <w:rPr>
          <w:rFonts w:eastAsiaTheme="minorHAnsi"/>
          <w:i/>
          <w:color w:val="000000"/>
          <w:sz w:val="24"/>
          <w:szCs w:val="24"/>
          <w:u w:val="single"/>
        </w:rPr>
      </w:pPr>
      <w:r w:rsidRPr="000D1EEF">
        <w:rPr>
          <w:rFonts w:eastAsiaTheme="minorHAnsi"/>
          <w:i/>
          <w:color w:val="000000"/>
          <w:sz w:val="24"/>
          <w:szCs w:val="24"/>
          <w:u w:val="single"/>
        </w:rPr>
        <w:t xml:space="preserve">The Consolidated Appropriations Act of 2021 </w:t>
      </w:r>
    </w:p>
    <w:p w:rsidR="00237EEB" w:rsidP="006C6D2B" w14:paraId="39FE9A56" w14:textId="0E3D101E">
      <w:pPr>
        <w:widowControl/>
        <w:autoSpaceDE/>
        <w:autoSpaceDN/>
        <w:adjustRightInd/>
        <w:ind w:left="720"/>
        <w:rPr>
          <w:rFonts w:eastAsiaTheme="minorHAnsi"/>
          <w:b w:val="0"/>
          <w:bCs w:val="0"/>
          <w:sz w:val="24"/>
          <w:szCs w:val="24"/>
        </w:rPr>
      </w:pPr>
      <w:r w:rsidRPr="00237EEB">
        <w:rPr>
          <w:rFonts w:eastAsiaTheme="minorHAnsi"/>
          <w:b w:val="0"/>
          <w:bCs w:val="0"/>
          <w:sz w:val="24"/>
          <w:szCs w:val="24"/>
        </w:rPr>
        <w:t xml:space="preserve">The </w:t>
      </w:r>
      <w:r w:rsidR="00760856">
        <w:rPr>
          <w:rFonts w:eastAsiaTheme="minorHAnsi"/>
          <w:b w:val="0"/>
          <w:bCs w:val="0"/>
          <w:sz w:val="24"/>
          <w:szCs w:val="24"/>
        </w:rPr>
        <w:t xml:space="preserve">Consolidated </w:t>
      </w:r>
      <w:r w:rsidRPr="00237EEB">
        <w:rPr>
          <w:rFonts w:eastAsiaTheme="minorHAnsi"/>
          <w:b w:val="0"/>
          <w:bCs w:val="0"/>
          <w:sz w:val="24"/>
          <w:szCs w:val="24"/>
        </w:rPr>
        <w:t xml:space="preserve">Appropriations Act </w:t>
      </w:r>
      <w:r w:rsidR="00760856">
        <w:rPr>
          <w:rFonts w:eastAsiaTheme="minorHAnsi"/>
          <w:b w:val="0"/>
          <w:bCs w:val="0"/>
          <w:sz w:val="24"/>
          <w:szCs w:val="24"/>
        </w:rPr>
        <w:t>(CAA</w:t>
      </w:r>
      <w:r w:rsidR="004E0381">
        <w:rPr>
          <w:rFonts w:eastAsiaTheme="minorHAnsi"/>
          <w:b w:val="0"/>
          <w:bCs w:val="0"/>
          <w:sz w:val="24"/>
          <w:szCs w:val="24"/>
        </w:rPr>
        <w:t>, 2021</w:t>
      </w:r>
      <w:r w:rsidR="00760856">
        <w:rPr>
          <w:rFonts w:eastAsiaTheme="minorHAnsi"/>
          <w:b w:val="0"/>
          <w:bCs w:val="0"/>
          <w:sz w:val="24"/>
          <w:szCs w:val="24"/>
        </w:rPr>
        <w:t xml:space="preserve">) </w:t>
      </w:r>
      <w:r w:rsidRPr="00237EEB">
        <w:rPr>
          <w:rFonts w:eastAsiaTheme="minorHAnsi"/>
          <w:b w:val="0"/>
          <w:bCs w:val="0"/>
          <w:sz w:val="24"/>
          <w:szCs w:val="24"/>
        </w:rPr>
        <w:t>was enacted on December 27, 2020.</w:t>
      </w:r>
      <w:r>
        <w:rPr>
          <w:rFonts w:eastAsiaTheme="minorHAnsi"/>
          <w:b w:val="0"/>
          <w:bCs w:val="0"/>
          <w:sz w:val="24"/>
          <w:szCs w:val="24"/>
          <w:vertAlign w:val="superscript"/>
        </w:rPr>
        <w:footnoteReference w:id="9"/>
      </w:r>
      <w:r w:rsidRPr="00237EEB">
        <w:rPr>
          <w:rFonts w:eastAsiaTheme="minorHAnsi"/>
          <w:b w:val="0"/>
          <w:bCs w:val="0"/>
          <w:sz w:val="24"/>
          <w:szCs w:val="24"/>
        </w:rPr>
        <w:t xml:space="preserve"> 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Further, beginning 45 days after the date of enactment of the </w:t>
      </w:r>
      <w:r w:rsidR="006B0523">
        <w:rPr>
          <w:rFonts w:eastAsiaTheme="minorHAnsi"/>
          <w:b w:val="0"/>
          <w:bCs w:val="0"/>
          <w:sz w:val="24"/>
          <w:szCs w:val="24"/>
        </w:rPr>
        <w:t>CAA, 2021</w:t>
      </w:r>
      <w:r w:rsidRPr="00237EEB">
        <w:rPr>
          <w:rFonts w:eastAsiaTheme="minorHAnsi"/>
          <w:b w:val="0"/>
          <w:bCs w:val="0"/>
          <w:sz w:val="24"/>
          <w:szCs w:val="24"/>
        </w:rPr>
        <w:t>,</w:t>
      </w:r>
      <w:r w:rsidR="00942AAD">
        <w:rPr>
          <w:rFonts w:eastAsiaTheme="minorHAnsi"/>
          <w:b w:val="0"/>
          <w:bCs w:val="0"/>
          <w:sz w:val="24"/>
          <w:szCs w:val="24"/>
        </w:rPr>
        <w:t xml:space="preserve"> on February 10, 2021,</w:t>
      </w:r>
      <w:r w:rsidRPr="00237EEB">
        <w:rPr>
          <w:rFonts w:eastAsiaTheme="minorHAnsi"/>
          <w:b w:val="0"/>
          <w:bCs w:val="0"/>
          <w:sz w:val="24"/>
          <w:szCs w:val="24"/>
        </w:rPr>
        <w:t xml:space="preserve"> plans and issuers must make their comparative analyses available to the Departments or applicable State authorities, upon request, including the following information:</w:t>
      </w:r>
    </w:p>
    <w:p w:rsidR="006C6D2B" w:rsidRPr="00237EEB" w:rsidP="006C6D2B" w14:paraId="45B03985" w14:textId="77777777">
      <w:pPr>
        <w:widowControl/>
        <w:autoSpaceDE/>
        <w:autoSpaceDN/>
        <w:adjustRightInd/>
        <w:ind w:left="720"/>
        <w:rPr>
          <w:rFonts w:eastAsiaTheme="minorHAnsi"/>
          <w:b w:val="0"/>
          <w:bCs w:val="0"/>
          <w:sz w:val="24"/>
          <w:szCs w:val="24"/>
        </w:rPr>
      </w:pPr>
    </w:p>
    <w:p w:rsidR="00237EEB" w:rsidRPr="00237EEB" w:rsidP="0051488E" w14:paraId="77739574"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 xml:space="preserve">The specific plan or coverage terms or other relevant terms regarding the NQTLs and a description of all MH/SUD and medical or surgical benefits to which each such term applies in each respective </w:t>
      </w:r>
      <w:r w:rsidRPr="00237EEB">
        <w:rPr>
          <w:rFonts w:eastAsiaTheme="minorHAnsi"/>
          <w:b w:val="0"/>
          <w:bCs w:val="0"/>
          <w:sz w:val="24"/>
          <w:szCs w:val="24"/>
        </w:rPr>
        <w:t>benefits</w:t>
      </w:r>
      <w:r w:rsidRPr="00237EEB">
        <w:rPr>
          <w:rFonts w:eastAsiaTheme="minorHAnsi"/>
          <w:b w:val="0"/>
          <w:bCs w:val="0"/>
          <w:sz w:val="24"/>
          <w:szCs w:val="24"/>
        </w:rPr>
        <w:t xml:space="preserve"> classification;</w:t>
      </w:r>
    </w:p>
    <w:p w:rsidR="00237EEB" w:rsidRPr="00237EEB" w:rsidP="0051488E" w14:paraId="28397688"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 xml:space="preserve">The factors used to determine that the NQTLs will apply to MH/SUD benefits and medical or surgical </w:t>
      </w:r>
      <w:r w:rsidRPr="00237EEB">
        <w:rPr>
          <w:rFonts w:eastAsiaTheme="minorHAnsi"/>
          <w:b w:val="0"/>
          <w:bCs w:val="0"/>
          <w:sz w:val="24"/>
          <w:szCs w:val="24"/>
        </w:rPr>
        <w:t>benefits;</w:t>
      </w:r>
    </w:p>
    <w:p w:rsidR="00237EEB" w:rsidRPr="00237EEB" w:rsidP="0051488E" w14:paraId="3F850EC1"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 xml:space="preserve">The evidentiary standards used for the factors identified, when applicable, provided that every factor shall be defined, and any other source or evidence relied upon to design and apply the NQTLs to MH/SUD benefits and medical or surgical </w:t>
      </w:r>
      <w:r w:rsidRPr="00237EEB">
        <w:rPr>
          <w:rFonts w:eastAsiaTheme="minorHAnsi"/>
          <w:b w:val="0"/>
          <w:bCs w:val="0"/>
          <w:sz w:val="24"/>
          <w:szCs w:val="24"/>
        </w:rPr>
        <w:t>benefits;</w:t>
      </w:r>
    </w:p>
    <w:p w:rsidR="00237EEB" w:rsidRPr="00237EEB" w:rsidP="0051488E" w14:paraId="6E93E9A9"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The comparative analyses demonstrating that the processes, strategies, evidentiary standards, and other factors used to apply the NQTLs to MH/SUD benefits, as written and in operation, are comparable to, and are applied no more stringently than, the processes, strategies, evidentiary standards, and other factors used to apply the NQTLs to medical/surgical benefits in the benefits classification; and</w:t>
      </w:r>
    </w:p>
    <w:p w:rsidR="00237EEB" w:rsidRPr="00237EEB" w:rsidP="0051488E" w14:paraId="3B77F9A5"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The specific findings and conclusions reached by the plan or issuer, including any results of the analyses that indicate that the plan or coverage is or is not in compliance with this section.</w:t>
      </w:r>
      <w:r>
        <w:rPr>
          <w:rFonts w:eastAsiaTheme="minorHAnsi"/>
          <w:b w:val="0"/>
          <w:bCs w:val="0"/>
          <w:sz w:val="24"/>
          <w:szCs w:val="24"/>
          <w:vertAlign w:val="superscript"/>
        </w:rPr>
        <w:footnoteReference w:id="10"/>
      </w:r>
    </w:p>
    <w:p w:rsidR="00237EEB" w:rsidRPr="00237EEB" w:rsidP="00237EEB" w14:paraId="04B11586" w14:textId="77777777">
      <w:pPr>
        <w:widowControl/>
        <w:autoSpaceDE/>
        <w:autoSpaceDN/>
        <w:adjustRightInd/>
        <w:spacing w:line="276" w:lineRule="auto"/>
        <w:rPr>
          <w:rFonts w:eastAsiaTheme="minorHAnsi"/>
          <w:b w:val="0"/>
          <w:bCs w:val="0"/>
          <w:sz w:val="24"/>
          <w:szCs w:val="24"/>
        </w:rPr>
      </w:pPr>
    </w:p>
    <w:p w:rsidR="00D16FB7" w:rsidP="00CE1A1E" w14:paraId="18935C58" w14:textId="579FF7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heme="minorHAnsi"/>
          <w:b w:val="0"/>
          <w:bCs w:val="0"/>
          <w:sz w:val="24"/>
          <w:szCs w:val="24"/>
        </w:rPr>
      </w:pPr>
      <w:r w:rsidRPr="00AA2F1A">
        <w:rPr>
          <w:rFonts w:eastAsiaTheme="minorHAnsi"/>
          <w:b w:val="0"/>
          <w:bCs w:val="0"/>
          <w:sz w:val="24"/>
          <w:szCs w:val="24"/>
        </w:rPr>
        <w:t xml:space="preserve">The </w:t>
      </w:r>
      <w:r w:rsidR="00217AFD">
        <w:rPr>
          <w:rFonts w:eastAsiaTheme="minorHAnsi"/>
          <w:b w:val="0"/>
          <w:bCs w:val="0"/>
          <w:sz w:val="24"/>
          <w:szCs w:val="24"/>
        </w:rPr>
        <w:t>CAA, 2021</w:t>
      </w:r>
      <w:r w:rsidRPr="00AA2F1A">
        <w:rPr>
          <w:rFonts w:eastAsiaTheme="minorHAnsi"/>
          <w:b w:val="0"/>
          <w:bCs w:val="0"/>
          <w:sz w:val="24"/>
          <w:szCs w:val="24"/>
        </w:rPr>
        <w:t xml:space="preserve"> also provides that the Departments </w:t>
      </w:r>
      <w:r w:rsidRPr="00237EEB">
        <w:rPr>
          <w:rFonts w:eastAsiaTheme="minorHAnsi"/>
          <w:b w:val="0"/>
          <w:bCs w:val="0"/>
          <w:sz w:val="24"/>
          <w:szCs w:val="24"/>
        </w:rPr>
        <w:t>shall request that a group health plan or issuer submit the comparative analyses for plans</w:t>
      </w:r>
      <w:r w:rsidRPr="00AA2F1A">
        <w:rPr>
          <w:rFonts w:eastAsiaTheme="minorHAnsi"/>
          <w:b w:val="0"/>
          <w:bCs w:val="0"/>
          <w:sz w:val="24"/>
          <w:szCs w:val="24"/>
        </w:rPr>
        <w:t xml:space="preserve"> that involve potential violations of MHPAEA or complaints regarding noncompliance with MHPAEA that concern NQTLs, and any other instances in which the Departments determine appropriate. </w:t>
      </w:r>
      <w:r w:rsidR="00182FDF">
        <w:rPr>
          <w:rFonts w:eastAsiaTheme="minorHAnsi"/>
          <w:b w:val="0"/>
          <w:bCs w:val="0"/>
          <w:sz w:val="24"/>
          <w:szCs w:val="24"/>
        </w:rPr>
        <w:t xml:space="preserve">In instances </w:t>
      </w:r>
      <w:r w:rsidRPr="002051CF" w:rsidR="002051CF">
        <w:rPr>
          <w:rFonts w:eastAsiaTheme="minorHAnsi"/>
          <w:b w:val="0"/>
          <w:bCs w:val="0"/>
          <w:sz w:val="24"/>
          <w:szCs w:val="24"/>
        </w:rPr>
        <w:t xml:space="preserve">in which </w:t>
      </w:r>
      <w:r w:rsidR="002051CF">
        <w:rPr>
          <w:rFonts w:eastAsiaTheme="minorHAnsi"/>
          <w:b w:val="0"/>
          <w:bCs w:val="0"/>
          <w:sz w:val="24"/>
          <w:szCs w:val="24"/>
        </w:rPr>
        <w:t xml:space="preserve">one of the Departments </w:t>
      </w:r>
      <w:r w:rsidRPr="002051CF" w:rsidR="002051CF">
        <w:rPr>
          <w:rFonts w:eastAsiaTheme="minorHAnsi"/>
          <w:b w:val="0"/>
          <w:bCs w:val="0"/>
          <w:sz w:val="24"/>
          <w:szCs w:val="24"/>
        </w:rPr>
        <w:t>conclude</w:t>
      </w:r>
      <w:r w:rsidR="002051CF">
        <w:rPr>
          <w:rFonts w:eastAsiaTheme="minorHAnsi"/>
          <w:b w:val="0"/>
          <w:bCs w:val="0"/>
          <w:sz w:val="24"/>
          <w:szCs w:val="24"/>
        </w:rPr>
        <w:t>s</w:t>
      </w:r>
      <w:r w:rsidRPr="002051CF" w:rsidR="002051CF">
        <w:rPr>
          <w:rFonts w:eastAsiaTheme="minorHAnsi"/>
          <w:b w:val="0"/>
          <w:bCs w:val="0"/>
          <w:sz w:val="24"/>
          <w:szCs w:val="24"/>
        </w:rPr>
        <w:t xml:space="preserve"> that the plan or issuer has not submitted sufficient information to review the comparative analyses</w:t>
      </w:r>
      <w:r w:rsidR="002051CF">
        <w:rPr>
          <w:rFonts w:eastAsiaTheme="minorHAnsi"/>
          <w:b w:val="0"/>
          <w:bCs w:val="0"/>
          <w:sz w:val="24"/>
          <w:szCs w:val="24"/>
        </w:rPr>
        <w:t xml:space="preserve"> requested, the Department </w:t>
      </w:r>
      <w:r w:rsidRPr="002051CF" w:rsidR="002051CF">
        <w:rPr>
          <w:rFonts w:eastAsiaTheme="minorHAnsi"/>
          <w:b w:val="0"/>
          <w:bCs w:val="0"/>
          <w:sz w:val="24"/>
          <w:szCs w:val="24"/>
        </w:rPr>
        <w:t>shall specify to the plan or issuer the information the</w:t>
      </w:r>
      <w:r w:rsidR="002051CF">
        <w:rPr>
          <w:rFonts w:eastAsiaTheme="minorHAnsi"/>
          <w:b w:val="0"/>
          <w:bCs w:val="0"/>
          <w:sz w:val="24"/>
          <w:szCs w:val="24"/>
        </w:rPr>
        <w:t>y</w:t>
      </w:r>
      <w:r w:rsidRPr="002051CF" w:rsidR="002051CF">
        <w:rPr>
          <w:rFonts w:eastAsiaTheme="minorHAnsi"/>
          <w:b w:val="0"/>
          <w:bCs w:val="0"/>
          <w:sz w:val="24"/>
          <w:szCs w:val="24"/>
        </w:rPr>
        <w:t xml:space="preserve"> must submit to be responsive to the request</w:t>
      </w:r>
      <w:r w:rsidR="002051CF">
        <w:rPr>
          <w:rFonts w:eastAsiaTheme="minorHAnsi"/>
          <w:b w:val="0"/>
          <w:bCs w:val="0"/>
          <w:sz w:val="24"/>
          <w:szCs w:val="24"/>
        </w:rPr>
        <w:t xml:space="preserve">. </w:t>
      </w:r>
      <w:r w:rsidRPr="00CE1A1E" w:rsidR="00CE1A1E">
        <w:rPr>
          <w:rFonts w:eastAsiaTheme="minorHAnsi"/>
          <w:b w:val="0"/>
          <w:bCs w:val="0"/>
          <w:sz w:val="24"/>
          <w:szCs w:val="24"/>
        </w:rPr>
        <w:t>I</w:t>
      </w:r>
      <w:r w:rsidR="00CE1A1E">
        <w:rPr>
          <w:rFonts w:eastAsiaTheme="minorHAnsi"/>
          <w:b w:val="0"/>
          <w:bCs w:val="0"/>
          <w:sz w:val="24"/>
          <w:szCs w:val="24"/>
        </w:rPr>
        <w:t xml:space="preserve">f, after review of a comparative analysis, one of the Departments </w:t>
      </w:r>
      <w:r w:rsidRPr="00CE1A1E" w:rsidR="00CE1A1E">
        <w:rPr>
          <w:rFonts w:eastAsiaTheme="minorHAnsi"/>
          <w:b w:val="0"/>
          <w:bCs w:val="0"/>
          <w:sz w:val="24"/>
          <w:szCs w:val="24"/>
        </w:rPr>
        <w:t>determine</w:t>
      </w:r>
      <w:r w:rsidR="00CE1A1E">
        <w:rPr>
          <w:rFonts w:eastAsiaTheme="minorHAnsi"/>
          <w:b w:val="0"/>
          <w:bCs w:val="0"/>
          <w:sz w:val="24"/>
          <w:szCs w:val="24"/>
        </w:rPr>
        <w:t>s</w:t>
      </w:r>
      <w:r w:rsidRPr="00CE1A1E" w:rsidR="00CE1A1E">
        <w:rPr>
          <w:rFonts w:eastAsiaTheme="minorHAnsi"/>
          <w:b w:val="0"/>
          <w:bCs w:val="0"/>
          <w:sz w:val="24"/>
          <w:szCs w:val="24"/>
        </w:rPr>
        <w:t xml:space="preserve"> that the plan or issuer is not in compliance with </w:t>
      </w:r>
      <w:r w:rsidR="00CE1A1E">
        <w:rPr>
          <w:rFonts w:eastAsiaTheme="minorHAnsi"/>
          <w:b w:val="0"/>
          <w:bCs w:val="0"/>
          <w:sz w:val="24"/>
          <w:szCs w:val="24"/>
        </w:rPr>
        <w:t>MHPAEA</w:t>
      </w:r>
      <w:r w:rsidRPr="00CE1A1E" w:rsidR="00CE1A1E">
        <w:rPr>
          <w:rFonts w:eastAsiaTheme="minorHAnsi"/>
          <w:b w:val="0"/>
          <w:bCs w:val="0"/>
          <w:sz w:val="24"/>
          <w:szCs w:val="24"/>
        </w:rPr>
        <w:t>, the plan or issuer</w:t>
      </w:r>
      <w:r w:rsidR="00CE1A1E">
        <w:rPr>
          <w:rFonts w:eastAsiaTheme="minorHAnsi"/>
          <w:b w:val="0"/>
          <w:bCs w:val="0"/>
          <w:sz w:val="24"/>
          <w:szCs w:val="24"/>
        </w:rPr>
        <w:t xml:space="preserve"> shall </w:t>
      </w:r>
      <w:r w:rsidRPr="00CE1A1E" w:rsidR="00CE1A1E">
        <w:rPr>
          <w:rFonts w:eastAsiaTheme="minorHAnsi"/>
          <w:b w:val="0"/>
          <w:bCs w:val="0"/>
          <w:sz w:val="24"/>
          <w:szCs w:val="24"/>
        </w:rPr>
        <w:t xml:space="preserve">specify to the </w:t>
      </w:r>
      <w:r w:rsidR="00CE1A1E">
        <w:rPr>
          <w:rFonts w:eastAsiaTheme="minorHAnsi"/>
          <w:b w:val="0"/>
          <w:bCs w:val="0"/>
          <w:sz w:val="24"/>
          <w:szCs w:val="24"/>
        </w:rPr>
        <w:t xml:space="preserve">Department </w:t>
      </w:r>
      <w:r w:rsidRPr="00CE1A1E" w:rsidR="00CE1A1E">
        <w:rPr>
          <w:rFonts w:eastAsiaTheme="minorHAnsi"/>
          <w:b w:val="0"/>
          <w:bCs w:val="0"/>
          <w:sz w:val="24"/>
          <w:szCs w:val="24"/>
        </w:rPr>
        <w:t xml:space="preserve">the actions the plan or issuer will take to </w:t>
      </w:r>
      <w:r w:rsidR="00CE1A1E">
        <w:rPr>
          <w:rFonts w:eastAsiaTheme="minorHAnsi"/>
          <w:b w:val="0"/>
          <w:bCs w:val="0"/>
          <w:sz w:val="24"/>
          <w:szCs w:val="24"/>
        </w:rPr>
        <w:t xml:space="preserve">come </w:t>
      </w:r>
      <w:r w:rsidRPr="00CE1A1E" w:rsidR="00CE1A1E">
        <w:rPr>
          <w:rFonts w:eastAsiaTheme="minorHAnsi"/>
          <w:b w:val="0"/>
          <w:bCs w:val="0"/>
          <w:sz w:val="24"/>
          <w:szCs w:val="24"/>
        </w:rPr>
        <w:t>in</w:t>
      </w:r>
      <w:r w:rsidR="00CE1A1E">
        <w:rPr>
          <w:rFonts w:eastAsiaTheme="minorHAnsi"/>
          <w:b w:val="0"/>
          <w:bCs w:val="0"/>
          <w:sz w:val="24"/>
          <w:szCs w:val="24"/>
        </w:rPr>
        <w:t>to</w:t>
      </w:r>
      <w:r w:rsidRPr="00CE1A1E" w:rsidR="00CE1A1E">
        <w:rPr>
          <w:rFonts w:eastAsiaTheme="minorHAnsi"/>
          <w:b w:val="0"/>
          <w:bCs w:val="0"/>
          <w:sz w:val="24"/>
          <w:szCs w:val="24"/>
        </w:rPr>
        <w:t xml:space="preserve"> compliance and provide additional comparative analyses that demonstrate compliance not later than 45 days after the initial determination </w:t>
      </w:r>
      <w:r w:rsidR="00CE1A1E">
        <w:rPr>
          <w:rFonts w:eastAsiaTheme="minorHAnsi"/>
          <w:b w:val="0"/>
          <w:bCs w:val="0"/>
          <w:sz w:val="24"/>
          <w:szCs w:val="24"/>
        </w:rPr>
        <w:t>of non</w:t>
      </w:r>
      <w:r w:rsidRPr="00CE1A1E" w:rsidR="00CE1A1E">
        <w:rPr>
          <w:rFonts w:eastAsiaTheme="minorHAnsi"/>
          <w:b w:val="0"/>
          <w:bCs w:val="0"/>
          <w:sz w:val="24"/>
          <w:szCs w:val="24"/>
        </w:rPr>
        <w:t>compliance.</w:t>
      </w:r>
      <w:r w:rsidR="00CE1A1E">
        <w:rPr>
          <w:rFonts w:eastAsiaTheme="minorHAnsi"/>
          <w:b w:val="0"/>
          <w:bCs w:val="0"/>
          <w:sz w:val="24"/>
          <w:szCs w:val="24"/>
        </w:rPr>
        <w:t xml:space="preserve"> </w:t>
      </w:r>
      <w:r w:rsidR="00613BA1">
        <w:rPr>
          <w:rFonts w:eastAsiaTheme="minorHAnsi"/>
          <w:b w:val="0"/>
          <w:bCs w:val="0"/>
          <w:sz w:val="24"/>
          <w:szCs w:val="24"/>
        </w:rPr>
        <w:t xml:space="preserve">If the </w:t>
      </w:r>
      <w:r w:rsidR="00E632AE">
        <w:rPr>
          <w:rFonts w:eastAsiaTheme="minorHAnsi"/>
          <w:b w:val="0"/>
          <w:bCs w:val="0"/>
          <w:sz w:val="24"/>
          <w:szCs w:val="24"/>
        </w:rPr>
        <w:t>Departments make a final determination that</w:t>
      </w:r>
      <w:r w:rsidRPr="00E632AE" w:rsidR="00E632AE">
        <w:rPr>
          <w:rFonts w:eastAsiaTheme="minorHAnsi"/>
          <w:b w:val="0"/>
          <w:bCs w:val="0"/>
          <w:sz w:val="24"/>
          <w:szCs w:val="24"/>
        </w:rPr>
        <w:t xml:space="preserve"> the plan or issuer still is not in compliance with </w:t>
      </w:r>
      <w:r w:rsidR="00CE1A1E">
        <w:rPr>
          <w:rFonts w:eastAsiaTheme="minorHAnsi"/>
          <w:b w:val="0"/>
          <w:bCs w:val="0"/>
          <w:sz w:val="24"/>
          <w:szCs w:val="24"/>
        </w:rPr>
        <w:t>MHPAEA</w:t>
      </w:r>
      <w:r w:rsidRPr="00E632AE" w:rsidR="00E632AE">
        <w:rPr>
          <w:rFonts w:eastAsiaTheme="minorHAnsi"/>
          <w:b w:val="0"/>
          <w:bCs w:val="0"/>
          <w:sz w:val="24"/>
          <w:szCs w:val="24"/>
        </w:rPr>
        <w:t>, not later than 7 days after such determination,</w:t>
      </w:r>
      <w:r w:rsidR="00E632AE">
        <w:rPr>
          <w:rFonts w:eastAsiaTheme="minorHAnsi"/>
          <w:b w:val="0"/>
          <w:bCs w:val="0"/>
          <w:sz w:val="24"/>
          <w:szCs w:val="24"/>
        </w:rPr>
        <w:t xml:space="preserve"> the plan or issuer</w:t>
      </w:r>
      <w:r w:rsidRPr="00E632AE" w:rsidR="00E632AE">
        <w:rPr>
          <w:rFonts w:eastAsiaTheme="minorHAnsi"/>
          <w:b w:val="0"/>
          <w:bCs w:val="0"/>
          <w:sz w:val="24"/>
          <w:szCs w:val="24"/>
        </w:rPr>
        <w:t xml:space="preserve"> shall notify all individuals enrolled in the plan or applicable health insurance coverage that the plan or issuer</w:t>
      </w:r>
      <w:r w:rsidR="00E632AE">
        <w:rPr>
          <w:rFonts w:eastAsiaTheme="minorHAnsi"/>
          <w:b w:val="0"/>
          <w:bCs w:val="0"/>
          <w:sz w:val="24"/>
          <w:szCs w:val="24"/>
        </w:rPr>
        <w:t xml:space="preserve"> </w:t>
      </w:r>
      <w:r w:rsidRPr="00E632AE" w:rsidR="00E632AE">
        <w:rPr>
          <w:rFonts w:eastAsiaTheme="minorHAnsi"/>
          <w:b w:val="0"/>
          <w:bCs w:val="0"/>
          <w:sz w:val="24"/>
          <w:szCs w:val="24"/>
        </w:rPr>
        <w:t xml:space="preserve">has been determined to be not in compliance with </w:t>
      </w:r>
      <w:r w:rsidR="00E632AE">
        <w:rPr>
          <w:rFonts w:eastAsiaTheme="minorHAnsi"/>
          <w:b w:val="0"/>
          <w:bCs w:val="0"/>
          <w:sz w:val="24"/>
          <w:szCs w:val="24"/>
        </w:rPr>
        <w:t>MHPAEA.</w:t>
      </w:r>
    </w:p>
    <w:p w:rsidR="003251D4" w:rsidP="00237EEB" w14:paraId="684A6B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szCs w:val="24"/>
          <w:highlight w:val="green"/>
        </w:rPr>
      </w:pPr>
    </w:p>
    <w:p w:rsidR="00282B87" w:rsidP="003F7778" w14:paraId="0A03E9FB" w14:textId="2EDBA1D1">
      <w:pPr>
        <w:widowControl/>
        <w:autoSpaceDE/>
        <w:autoSpaceDN/>
        <w:adjustRightInd/>
        <w:ind w:left="720"/>
        <w:contextualSpacing/>
        <w:rPr>
          <w:rFonts w:eastAsiaTheme="minorHAnsi"/>
          <w:b w:val="0"/>
          <w:bCs w:val="0"/>
          <w:sz w:val="24"/>
          <w:szCs w:val="24"/>
        </w:rPr>
      </w:pPr>
      <w:r w:rsidRPr="003251D4">
        <w:rPr>
          <w:rFonts w:eastAsiaTheme="minorHAnsi"/>
          <w:b w:val="0"/>
          <w:bCs w:val="0"/>
          <w:sz w:val="24"/>
          <w:szCs w:val="24"/>
        </w:rPr>
        <w:t xml:space="preserve">The </w:t>
      </w:r>
      <w:r w:rsidR="006B0523">
        <w:rPr>
          <w:rFonts w:eastAsiaTheme="minorHAnsi"/>
          <w:b w:val="0"/>
          <w:bCs w:val="0"/>
          <w:sz w:val="24"/>
          <w:szCs w:val="24"/>
        </w:rPr>
        <w:t>CAA, 2021</w:t>
      </w:r>
      <w:r w:rsidRPr="003251D4">
        <w:rPr>
          <w:rFonts w:eastAsiaTheme="minorHAnsi"/>
          <w:b w:val="0"/>
          <w:bCs w:val="0"/>
          <w:sz w:val="24"/>
          <w:szCs w:val="24"/>
        </w:rPr>
        <w:t xml:space="preserve"> further requires the Departments, after review of the comparative analyses, to share information on findings of compliance and noncompliance with the State where the plan is located or the State where the issuer is licensed to do business. </w:t>
      </w:r>
    </w:p>
    <w:p w:rsidR="003F7778" w:rsidP="003F7778" w14:paraId="4A3D66D9" w14:textId="28AE0471">
      <w:pPr>
        <w:widowControl/>
        <w:autoSpaceDE/>
        <w:autoSpaceDN/>
        <w:adjustRightInd/>
        <w:ind w:left="720"/>
        <w:contextualSpacing/>
        <w:rPr>
          <w:rFonts w:eastAsiaTheme="minorHAnsi"/>
          <w:b w:val="0"/>
          <w:bCs w:val="0"/>
          <w:sz w:val="24"/>
          <w:szCs w:val="24"/>
        </w:rPr>
      </w:pPr>
    </w:p>
    <w:p w:rsidR="003F7778" w:rsidRPr="000D1EEF" w:rsidP="00381C43" w14:paraId="36ED34B9" w14:textId="67E73EED">
      <w:pPr>
        <w:widowControl/>
        <w:autoSpaceDE/>
        <w:autoSpaceDN/>
        <w:adjustRightInd/>
        <w:ind w:firstLine="720"/>
        <w:rPr>
          <w:rFonts w:eastAsiaTheme="minorHAnsi"/>
          <w:i/>
          <w:iCs/>
          <w:sz w:val="24"/>
          <w:szCs w:val="24"/>
          <w:u w:val="single"/>
        </w:rPr>
      </w:pPr>
      <w:r w:rsidRPr="000D1EEF">
        <w:rPr>
          <w:rFonts w:eastAsiaTheme="minorHAnsi"/>
          <w:i/>
          <w:iCs/>
          <w:sz w:val="24"/>
          <w:szCs w:val="24"/>
          <w:u w:val="single"/>
        </w:rPr>
        <w:t>202</w:t>
      </w:r>
      <w:r w:rsidR="00DE3B64">
        <w:rPr>
          <w:rFonts w:eastAsiaTheme="minorHAnsi"/>
          <w:i/>
          <w:iCs/>
          <w:sz w:val="24"/>
          <w:szCs w:val="24"/>
          <w:u w:val="single"/>
        </w:rPr>
        <w:t>4</w:t>
      </w:r>
      <w:r w:rsidRPr="000D1EEF" w:rsidR="009770A9">
        <w:rPr>
          <w:rFonts w:eastAsiaTheme="minorHAnsi"/>
          <w:i/>
          <w:iCs/>
          <w:sz w:val="24"/>
          <w:szCs w:val="24"/>
          <w:u w:val="single"/>
        </w:rPr>
        <w:t xml:space="preserve"> </w:t>
      </w:r>
      <w:r w:rsidR="00DE3B64">
        <w:rPr>
          <w:rFonts w:eastAsiaTheme="minorHAnsi"/>
          <w:i/>
          <w:iCs/>
          <w:sz w:val="24"/>
          <w:szCs w:val="24"/>
          <w:u w:val="single"/>
        </w:rPr>
        <w:t>Final Rule</w:t>
      </w:r>
      <w:r w:rsidR="00DD2352">
        <w:rPr>
          <w:rFonts w:eastAsiaTheme="minorHAnsi"/>
          <w:i/>
          <w:iCs/>
          <w:sz w:val="24"/>
          <w:szCs w:val="24"/>
          <w:u w:val="single"/>
        </w:rPr>
        <w:t>s</w:t>
      </w:r>
      <w:r w:rsidRPr="000D1EEF" w:rsidR="00DE3B64">
        <w:rPr>
          <w:rFonts w:eastAsiaTheme="minorHAnsi"/>
          <w:i/>
          <w:iCs/>
          <w:sz w:val="24"/>
          <w:szCs w:val="24"/>
          <w:u w:val="single"/>
        </w:rPr>
        <w:t xml:space="preserve"> </w:t>
      </w:r>
    </w:p>
    <w:p w:rsidR="009770A9" w:rsidP="003F7778" w14:paraId="46475EE2" w14:textId="699DC7F0">
      <w:pPr>
        <w:widowControl/>
        <w:autoSpaceDE/>
        <w:autoSpaceDN/>
        <w:adjustRightInd/>
        <w:ind w:left="720"/>
        <w:contextualSpacing/>
        <w:rPr>
          <w:rFonts w:eastAsiaTheme="minorHAnsi"/>
          <w:b w:val="0"/>
          <w:bCs w:val="0"/>
          <w:sz w:val="24"/>
          <w:szCs w:val="24"/>
        </w:rPr>
      </w:pPr>
    </w:p>
    <w:p w:rsidR="004A6A18" w:rsidP="0090022A" w14:paraId="1472BC9B" w14:textId="67A0BD5B">
      <w:pPr>
        <w:widowControl/>
        <w:autoSpaceDE/>
        <w:autoSpaceDN/>
        <w:adjustRightInd/>
        <w:ind w:left="720"/>
        <w:contextualSpacing/>
        <w:rPr>
          <w:rFonts w:eastAsiaTheme="minorHAnsi"/>
          <w:b w:val="0"/>
          <w:bCs w:val="0"/>
          <w:sz w:val="24"/>
          <w:szCs w:val="24"/>
        </w:rPr>
      </w:pPr>
      <w:r w:rsidRPr="0090022A">
        <w:rPr>
          <w:rFonts w:eastAsiaTheme="minorHAnsi"/>
          <w:b w:val="0"/>
          <w:bCs w:val="0"/>
          <w:sz w:val="24"/>
          <w:szCs w:val="24"/>
        </w:rPr>
        <w:t>Th</w:t>
      </w:r>
      <w:r>
        <w:rPr>
          <w:rFonts w:eastAsiaTheme="minorHAnsi"/>
          <w:b w:val="0"/>
          <w:bCs w:val="0"/>
          <w:sz w:val="24"/>
          <w:szCs w:val="24"/>
        </w:rPr>
        <w:t xml:space="preserve">ese </w:t>
      </w:r>
      <w:r w:rsidRPr="0090022A">
        <w:rPr>
          <w:rFonts w:eastAsiaTheme="minorHAnsi"/>
          <w:b w:val="0"/>
          <w:bCs w:val="0"/>
          <w:sz w:val="24"/>
          <w:szCs w:val="24"/>
        </w:rPr>
        <w:t>final rules amend</w:t>
      </w:r>
      <w:r>
        <w:rPr>
          <w:rFonts w:eastAsiaTheme="minorHAnsi"/>
          <w:b w:val="0"/>
          <w:bCs w:val="0"/>
          <w:sz w:val="24"/>
          <w:szCs w:val="24"/>
        </w:rPr>
        <w:t xml:space="preserve"> the</w:t>
      </w:r>
      <w:r w:rsidRPr="0090022A">
        <w:rPr>
          <w:rFonts w:eastAsiaTheme="minorHAnsi"/>
          <w:b w:val="0"/>
          <w:bCs w:val="0"/>
          <w:sz w:val="24"/>
          <w:szCs w:val="24"/>
        </w:rPr>
        <w:t xml:space="preserve"> regulations implementing MHPAEA and add new regulations implementing the NQTL comparative </w:t>
      </w:r>
      <w:r w:rsidRPr="0090022A" w:rsidR="006B0523">
        <w:rPr>
          <w:rFonts w:eastAsiaTheme="minorHAnsi"/>
          <w:b w:val="0"/>
          <w:bCs w:val="0"/>
          <w:sz w:val="24"/>
          <w:szCs w:val="24"/>
        </w:rPr>
        <w:t>analys</w:t>
      </w:r>
      <w:r w:rsidR="006B0523">
        <w:rPr>
          <w:rFonts w:eastAsiaTheme="minorHAnsi"/>
          <w:b w:val="0"/>
          <w:bCs w:val="0"/>
          <w:sz w:val="24"/>
          <w:szCs w:val="24"/>
        </w:rPr>
        <w:t>i</w:t>
      </w:r>
      <w:r w:rsidRPr="0090022A" w:rsidR="006B0523">
        <w:rPr>
          <w:rFonts w:eastAsiaTheme="minorHAnsi"/>
          <w:b w:val="0"/>
          <w:bCs w:val="0"/>
          <w:sz w:val="24"/>
          <w:szCs w:val="24"/>
        </w:rPr>
        <w:t xml:space="preserve">s </w:t>
      </w:r>
      <w:r w:rsidRPr="0090022A">
        <w:rPr>
          <w:rFonts w:eastAsiaTheme="minorHAnsi"/>
          <w:b w:val="0"/>
          <w:bCs w:val="0"/>
          <w:sz w:val="24"/>
          <w:szCs w:val="24"/>
        </w:rPr>
        <w:t xml:space="preserve">requirements under MHPAEA, as amended by the CAA, 2021. Specifically, these final rules amend the existing NQTL standard to prohibit plans and issuers from using NQTLs to place greater restrictions on access to </w:t>
      </w:r>
      <w:r w:rsidR="006B0523">
        <w:rPr>
          <w:rFonts w:eastAsiaTheme="minorHAnsi"/>
          <w:b w:val="0"/>
          <w:bCs w:val="0"/>
          <w:sz w:val="24"/>
          <w:szCs w:val="24"/>
        </w:rPr>
        <w:t xml:space="preserve">MH/SUD </w:t>
      </w:r>
      <w:r w:rsidRPr="0090022A">
        <w:rPr>
          <w:rFonts w:eastAsiaTheme="minorHAnsi"/>
          <w:b w:val="0"/>
          <w:bCs w:val="0"/>
          <w:sz w:val="24"/>
          <w:szCs w:val="24"/>
        </w:rPr>
        <w:t>benefits as compared to medical/surgical benefits. As part of these changes, these final rules require plans and issuers to collect and evaluate relevant data in a manner reasonably designed to assess the impact of NQTLs on</w:t>
      </w:r>
      <w:r w:rsidR="00AE268C">
        <w:rPr>
          <w:rFonts w:eastAsiaTheme="minorHAnsi"/>
          <w:b w:val="0"/>
          <w:bCs w:val="0"/>
          <w:sz w:val="24"/>
          <w:szCs w:val="24"/>
        </w:rPr>
        <w:t xml:space="preserve"> </w:t>
      </w:r>
      <w:r w:rsidR="00AE268C">
        <w:rPr>
          <w:b w:val="0"/>
          <w:iCs/>
          <w:sz w:val="24"/>
          <w:szCs w:val="24"/>
        </w:rPr>
        <w:t>relevant outcomes related to</w:t>
      </w:r>
      <w:r w:rsidRPr="0090022A">
        <w:rPr>
          <w:rFonts w:eastAsiaTheme="minorHAnsi"/>
          <w:b w:val="0"/>
          <w:bCs w:val="0"/>
          <w:sz w:val="24"/>
          <w:szCs w:val="24"/>
        </w:rPr>
        <w:t xml:space="preserve"> access to </w:t>
      </w:r>
      <w:r w:rsidR="00FD4147">
        <w:rPr>
          <w:rFonts w:eastAsiaTheme="minorHAnsi"/>
          <w:b w:val="0"/>
          <w:bCs w:val="0"/>
          <w:sz w:val="24"/>
          <w:szCs w:val="24"/>
        </w:rPr>
        <w:t xml:space="preserve">MH/SUD </w:t>
      </w:r>
      <w:r w:rsidRPr="0090022A">
        <w:rPr>
          <w:rFonts w:eastAsiaTheme="minorHAnsi"/>
          <w:b w:val="0"/>
          <w:bCs w:val="0"/>
          <w:sz w:val="24"/>
          <w:szCs w:val="24"/>
        </w:rPr>
        <w:t>benefits and medical/surgical benefits</w:t>
      </w:r>
      <w:r w:rsidR="00953B57">
        <w:rPr>
          <w:rFonts w:eastAsiaTheme="minorHAnsi"/>
          <w:b w:val="0"/>
          <w:bCs w:val="0"/>
          <w:sz w:val="24"/>
          <w:szCs w:val="24"/>
        </w:rPr>
        <w:t xml:space="preserve">. The final </w:t>
      </w:r>
      <w:r w:rsidR="00953B57">
        <w:rPr>
          <w:rFonts w:eastAsiaTheme="minorHAnsi"/>
          <w:b w:val="0"/>
          <w:bCs w:val="0"/>
          <w:sz w:val="24"/>
          <w:szCs w:val="24"/>
        </w:rPr>
        <w:t>rules also require plans and issuers</w:t>
      </w:r>
      <w:r w:rsidRPr="0090022A">
        <w:rPr>
          <w:rFonts w:eastAsiaTheme="minorHAnsi"/>
          <w:b w:val="0"/>
          <w:bCs w:val="0"/>
          <w:sz w:val="24"/>
          <w:szCs w:val="24"/>
        </w:rPr>
        <w:t xml:space="preserve"> to take reasonable action, as necessary</w:t>
      </w:r>
      <w:r w:rsidR="006B0523">
        <w:rPr>
          <w:rFonts w:eastAsiaTheme="minorHAnsi"/>
          <w:b w:val="0"/>
          <w:bCs w:val="0"/>
          <w:sz w:val="24"/>
          <w:szCs w:val="24"/>
        </w:rPr>
        <w:t>,</w:t>
      </w:r>
      <w:r w:rsidR="00244809">
        <w:rPr>
          <w:rFonts w:eastAsiaTheme="minorHAnsi"/>
          <w:b w:val="0"/>
          <w:bCs w:val="0"/>
          <w:sz w:val="24"/>
          <w:szCs w:val="24"/>
        </w:rPr>
        <w:t xml:space="preserve"> to ensure compliance</w:t>
      </w:r>
      <w:r w:rsidR="006B0523">
        <w:rPr>
          <w:rFonts w:eastAsiaTheme="minorHAnsi"/>
          <w:b w:val="0"/>
          <w:bCs w:val="0"/>
          <w:sz w:val="24"/>
          <w:szCs w:val="24"/>
        </w:rPr>
        <w:t xml:space="preserve"> with MHPAEA</w:t>
      </w:r>
      <w:r w:rsidRPr="0090022A">
        <w:rPr>
          <w:rFonts w:eastAsiaTheme="minorHAnsi"/>
          <w:b w:val="0"/>
          <w:bCs w:val="0"/>
          <w:sz w:val="24"/>
          <w:szCs w:val="24"/>
        </w:rPr>
        <w:t xml:space="preserve">, </w:t>
      </w:r>
      <w:r w:rsidR="00AE268C">
        <w:rPr>
          <w:rFonts w:eastAsiaTheme="minorHAnsi"/>
          <w:b w:val="0"/>
          <w:bCs w:val="0"/>
          <w:sz w:val="24"/>
          <w:szCs w:val="24"/>
        </w:rPr>
        <w:t xml:space="preserve">where </w:t>
      </w:r>
      <w:r w:rsidRPr="00AE268C" w:rsidR="00AE268C">
        <w:rPr>
          <w:rFonts w:eastAsiaTheme="minorHAnsi"/>
          <w:b w:val="0"/>
          <w:bCs w:val="0"/>
          <w:sz w:val="24"/>
          <w:szCs w:val="24"/>
        </w:rPr>
        <w:t xml:space="preserve">the relevant data suggest that </w:t>
      </w:r>
      <w:r w:rsidR="00953B57">
        <w:rPr>
          <w:rFonts w:eastAsiaTheme="minorHAnsi"/>
          <w:b w:val="0"/>
          <w:bCs w:val="0"/>
          <w:sz w:val="24"/>
          <w:szCs w:val="24"/>
        </w:rPr>
        <w:t xml:space="preserve">an </w:t>
      </w:r>
      <w:r w:rsidR="00AE268C">
        <w:rPr>
          <w:rFonts w:eastAsiaTheme="minorHAnsi"/>
          <w:b w:val="0"/>
          <w:bCs w:val="0"/>
          <w:sz w:val="24"/>
          <w:szCs w:val="24"/>
        </w:rPr>
        <w:t>NQTL</w:t>
      </w:r>
      <w:r w:rsidRPr="00AE268C" w:rsidR="00AE268C">
        <w:rPr>
          <w:rFonts w:eastAsiaTheme="minorHAnsi"/>
          <w:b w:val="0"/>
          <w:bCs w:val="0"/>
          <w:sz w:val="24"/>
          <w:szCs w:val="24"/>
        </w:rPr>
        <w:t xml:space="preserve"> contributes to material differences in access to </w:t>
      </w:r>
      <w:r w:rsidR="006B0523">
        <w:rPr>
          <w:rFonts w:eastAsiaTheme="minorHAnsi"/>
          <w:b w:val="0"/>
          <w:bCs w:val="0"/>
          <w:sz w:val="24"/>
          <w:szCs w:val="24"/>
        </w:rPr>
        <w:t xml:space="preserve">MH/SUD </w:t>
      </w:r>
      <w:r w:rsidRPr="00AE268C" w:rsidR="00AE268C">
        <w:rPr>
          <w:rFonts w:eastAsiaTheme="minorHAnsi"/>
          <w:b w:val="0"/>
          <w:bCs w:val="0"/>
          <w:sz w:val="24"/>
          <w:szCs w:val="24"/>
        </w:rPr>
        <w:t>benefits as compared to medical/surgical benefits in a classification</w:t>
      </w:r>
      <w:r w:rsidRPr="0090022A">
        <w:rPr>
          <w:rFonts w:eastAsiaTheme="minorHAnsi"/>
          <w:b w:val="0"/>
          <w:bCs w:val="0"/>
          <w:sz w:val="24"/>
          <w:szCs w:val="24"/>
        </w:rPr>
        <w:t xml:space="preserve">. </w:t>
      </w:r>
      <w:r w:rsidR="00244809">
        <w:rPr>
          <w:rFonts w:eastAsiaTheme="minorHAnsi"/>
          <w:b w:val="0"/>
          <w:bCs w:val="0"/>
          <w:sz w:val="24"/>
          <w:szCs w:val="24"/>
        </w:rPr>
        <w:t xml:space="preserve">Additionally, these final rules specify that if a plan or issuer receives a </w:t>
      </w:r>
      <w:r w:rsidR="006B0523">
        <w:rPr>
          <w:rFonts w:eastAsiaTheme="minorHAnsi"/>
          <w:b w:val="0"/>
          <w:bCs w:val="0"/>
          <w:sz w:val="24"/>
          <w:szCs w:val="24"/>
        </w:rPr>
        <w:t xml:space="preserve">final </w:t>
      </w:r>
      <w:r w:rsidR="00244809">
        <w:rPr>
          <w:rFonts w:eastAsiaTheme="minorHAnsi"/>
          <w:b w:val="0"/>
          <w:bCs w:val="0"/>
          <w:sz w:val="24"/>
          <w:szCs w:val="24"/>
        </w:rPr>
        <w:t xml:space="preserve">determination from the relevant Secretary that the plan or issuer is not in compliance with the rules for comparative analyses, the Secretary may direct the plan or issuer not to impose the NQTL with respect to </w:t>
      </w:r>
      <w:r w:rsidR="006B0523">
        <w:rPr>
          <w:rFonts w:eastAsiaTheme="minorHAnsi"/>
          <w:b w:val="0"/>
          <w:bCs w:val="0"/>
          <w:sz w:val="24"/>
          <w:szCs w:val="24"/>
        </w:rPr>
        <w:t xml:space="preserve">MH/SUD </w:t>
      </w:r>
      <w:r w:rsidR="00244809">
        <w:rPr>
          <w:rFonts w:eastAsiaTheme="minorHAnsi"/>
          <w:b w:val="0"/>
          <w:bCs w:val="0"/>
          <w:sz w:val="24"/>
          <w:szCs w:val="24"/>
        </w:rPr>
        <w:t>benefits</w:t>
      </w:r>
      <w:r w:rsidR="00C00225">
        <w:rPr>
          <w:rFonts w:eastAsiaTheme="minorHAnsi"/>
          <w:b w:val="0"/>
          <w:bCs w:val="0"/>
          <w:sz w:val="24"/>
          <w:szCs w:val="24"/>
        </w:rPr>
        <w:t>, unless or until the plan or issuer demonstrates to the Secretary compliance with the requirements or takes appropriate action to remedy the violation</w:t>
      </w:r>
      <w:r w:rsidR="00244809">
        <w:rPr>
          <w:rFonts w:eastAsiaTheme="minorHAnsi"/>
          <w:b w:val="0"/>
          <w:bCs w:val="0"/>
          <w:sz w:val="24"/>
          <w:szCs w:val="24"/>
        </w:rPr>
        <w:t xml:space="preserve">. </w:t>
      </w:r>
      <w:r w:rsidRPr="0090022A">
        <w:rPr>
          <w:rFonts w:eastAsiaTheme="minorHAnsi"/>
          <w:b w:val="0"/>
          <w:bCs w:val="0"/>
          <w:sz w:val="24"/>
          <w:szCs w:val="24"/>
        </w:rPr>
        <w:t xml:space="preserve">These final rules also amend existing examples and add new examples on the application of the rules for NQTLs to clarify and illustrate the requirements of MHPAEA. </w:t>
      </w:r>
      <w:bookmarkStart w:id="0" w:name="_Hlk172269841"/>
      <w:r w:rsidRPr="0090022A">
        <w:rPr>
          <w:rFonts w:eastAsiaTheme="minorHAnsi"/>
          <w:b w:val="0"/>
          <w:bCs w:val="0"/>
          <w:sz w:val="24"/>
          <w:szCs w:val="24"/>
        </w:rPr>
        <w:t>Additionally, these final rules set forth the content requirements for NQTL comparative analyses and specify how plans and issuers must make these comparative analyses available to the Department</w:t>
      </w:r>
      <w:r w:rsidR="006B0523">
        <w:rPr>
          <w:rFonts w:eastAsiaTheme="minorHAnsi"/>
          <w:b w:val="0"/>
          <w:bCs w:val="0"/>
          <w:sz w:val="24"/>
          <w:szCs w:val="24"/>
        </w:rPr>
        <w:t>s</w:t>
      </w:r>
      <w:r w:rsidRPr="0090022A">
        <w:rPr>
          <w:rFonts w:eastAsiaTheme="minorHAnsi"/>
          <w:b w:val="0"/>
          <w:bCs w:val="0"/>
          <w:sz w:val="24"/>
          <w:szCs w:val="24"/>
        </w:rPr>
        <w:t>, as well as to an applicable State authority, and to participants, beneficiaries, and enrollees.</w:t>
      </w:r>
      <w:r w:rsidRPr="004E0381" w:rsidR="00540514">
        <w:rPr>
          <w:rFonts w:eastAsiaTheme="minorHAnsi"/>
          <w:b w:val="0"/>
          <w:bCs w:val="0"/>
          <w:sz w:val="24"/>
          <w:szCs w:val="24"/>
        </w:rPr>
        <w:t xml:space="preserve"> </w:t>
      </w:r>
      <w:bookmarkEnd w:id="0"/>
    </w:p>
    <w:p w:rsidR="0090022A" w:rsidRPr="005827E4" w:rsidP="0090022A" w14:paraId="5BC2F24B" w14:textId="77777777">
      <w:pPr>
        <w:widowControl/>
        <w:autoSpaceDE/>
        <w:autoSpaceDN/>
        <w:adjustRightInd/>
        <w:ind w:left="720"/>
        <w:contextualSpacing/>
        <w:rPr>
          <w:rFonts w:eastAsiaTheme="minorHAnsi"/>
          <w:b w:val="0"/>
          <w:bCs w:val="0"/>
          <w:sz w:val="24"/>
          <w:szCs w:val="24"/>
        </w:rPr>
      </w:pPr>
    </w:p>
    <w:p w:rsidR="00312DD7" w:rsidRPr="00C20D2D" w:rsidP="00E34575" w14:paraId="5333F6B5" w14:textId="7E9697F4">
      <w:pPr>
        <w:pStyle w:val="Heading1"/>
        <w:ind w:left="720" w:hanging="720"/>
      </w:pPr>
      <w:r w:rsidRPr="00C20D2D">
        <w:t xml:space="preserve">2. </w:t>
      </w:r>
      <w:r>
        <w:tab/>
      </w:r>
      <w:r w:rsidRPr="00C20D2D" w:rsidR="00AA1E33">
        <w:t xml:space="preserve">Indicate how, by whom, and for what purpose the information is to be used. </w:t>
      </w:r>
      <w:r w:rsidRPr="00C20D2D">
        <w:t>Except for a new collection, indicate the actual use the agency has made of the information received from the current collection.</w:t>
      </w:r>
    </w:p>
    <w:p w:rsidR="00AA1E33" w:rsidRPr="006569E8" w:rsidP="00A513F6" w14:paraId="0B8C6442" w14:textId="77777777">
      <w:pPr>
        <w:pStyle w:val="Quick1"/>
        <w:widowControl/>
        <w:numPr>
          <w:ilvl w:val="0"/>
          <w:numId w:val="0"/>
        </w:numPr>
        <w:ind w:left="720" w:hanging="720"/>
        <w:rPr>
          <w:b w:val="0"/>
          <w:sz w:val="24"/>
          <w:szCs w:val="24"/>
        </w:rPr>
      </w:pPr>
    </w:p>
    <w:p w:rsidR="00380D0F" w:rsidRPr="000D1EEF" w:rsidP="00A513F6" w14:paraId="23EEFE09" w14:textId="551806B1">
      <w:pPr>
        <w:pStyle w:val="Quick1"/>
        <w:widowControl/>
        <w:numPr>
          <w:ilvl w:val="0"/>
          <w:numId w:val="0"/>
        </w:numPr>
        <w:tabs>
          <w:tab w:val="left" w:pos="-1440"/>
        </w:tabs>
        <w:ind w:left="720" w:hanging="720"/>
        <w:rPr>
          <w:bCs w:val="0"/>
          <w:i/>
          <w:sz w:val="24"/>
          <w:szCs w:val="24"/>
          <w:u w:val="single"/>
        </w:rPr>
      </w:pPr>
      <w:r>
        <w:rPr>
          <w:b w:val="0"/>
          <w:i/>
          <w:sz w:val="24"/>
          <w:szCs w:val="24"/>
        </w:rPr>
        <w:tab/>
      </w:r>
      <w:r w:rsidRPr="000D1EEF">
        <w:rPr>
          <w:bCs w:val="0"/>
          <w:i/>
          <w:sz w:val="24"/>
          <w:szCs w:val="24"/>
          <w:u w:val="single"/>
        </w:rPr>
        <w:t xml:space="preserve">Medical Necessity Disclosure </w:t>
      </w:r>
    </w:p>
    <w:p w:rsidR="00380D0F" w:rsidRPr="006569E8" w:rsidP="00D362D6" w14:paraId="229472BE" w14:textId="77777777">
      <w:pPr>
        <w:pStyle w:val="Quick1"/>
        <w:widowControl/>
        <w:numPr>
          <w:ilvl w:val="0"/>
          <w:numId w:val="0"/>
        </w:numPr>
        <w:tabs>
          <w:tab w:val="left" w:pos="-1440"/>
        </w:tabs>
        <w:ind w:left="720"/>
        <w:rPr>
          <w:b w:val="0"/>
          <w:sz w:val="24"/>
          <w:szCs w:val="24"/>
        </w:rPr>
      </w:pPr>
    </w:p>
    <w:p w:rsidR="00380D0F" w:rsidRPr="00594B94" w:rsidP="006C2914" w14:paraId="3402A3D6" w14:textId="42CE80C1">
      <w:pPr>
        <w:pStyle w:val="Quick1"/>
        <w:widowControl/>
        <w:numPr>
          <w:ilvl w:val="0"/>
          <w:numId w:val="0"/>
        </w:numPr>
        <w:tabs>
          <w:tab w:val="left" w:pos="-1440"/>
        </w:tabs>
        <w:ind w:left="720"/>
        <w:rPr>
          <w:b w:val="0"/>
          <w:sz w:val="24"/>
          <w:szCs w:val="24"/>
        </w:rPr>
      </w:pPr>
      <w:r w:rsidRPr="006569E8">
        <w:rPr>
          <w:b w:val="0"/>
          <w:sz w:val="24"/>
          <w:szCs w:val="24"/>
        </w:rPr>
        <w:t xml:space="preserve">As discussed above, MHPAEA and the </w:t>
      </w:r>
      <w:r w:rsidR="00C44574">
        <w:rPr>
          <w:b w:val="0"/>
          <w:sz w:val="24"/>
          <w:szCs w:val="24"/>
        </w:rPr>
        <w:t xml:space="preserve">2013 </w:t>
      </w:r>
      <w:r w:rsidRPr="006569E8">
        <w:rPr>
          <w:b w:val="0"/>
          <w:sz w:val="24"/>
          <w:szCs w:val="24"/>
        </w:rPr>
        <w:t>final regulations require plans and issuers to provide</w:t>
      </w:r>
      <w:r w:rsidRPr="002A13C8">
        <w:rPr>
          <w:b w:val="0"/>
          <w:sz w:val="24"/>
          <w:szCs w:val="24"/>
        </w:rPr>
        <w:t xml:space="preserve"> Medical Necessity Disclosure. Receiving this information will enable potential and current participants and beneficiaries to make more informed </w:t>
      </w:r>
      <w:r w:rsidRPr="006569E8">
        <w:rPr>
          <w:b w:val="0"/>
          <w:sz w:val="24"/>
          <w:szCs w:val="24"/>
        </w:rPr>
        <w:t xml:space="preserve">decisions </w:t>
      </w:r>
      <w:r w:rsidRPr="006569E8" w:rsidR="00707FFC">
        <w:rPr>
          <w:b w:val="0"/>
          <w:sz w:val="24"/>
          <w:szCs w:val="24"/>
        </w:rPr>
        <w:t xml:space="preserve">when choosing </w:t>
      </w:r>
      <w:r w:rsidRPr="006569E8">
        <w:rPr>
          <w:b w:val="0"/>
          <w:sz w:val="24"/>
          <w:szCs w:val="24"/>
        </w:rPr>
        <w:t>their plans and hopefully result in better treatment of their MH</w:t>
      </w:r>
      <w:r w:rsidR="005930ED">
        <w:rPr>
          <w:b w:val="0"/>
          <w:sz w:val="24"/>
          <w:szCs w:val="24"/>
        </w:rPr>
        <w:t xml:space="preserve"> conditions and </w:t>
      </w:r>
      <w:r w:rsidRPr="006569E8">
        <w:rPr>
          <w:b w:val="0"/>
          <w:sz w:val="24"/>
          <w:szCs w:val="24"/>
        </w:rPr>
        <w:t>SUD</w:t>
      </w:r>
      <w:r w:rsidR="005930ED">
        <w:rPr>
          <w:b w:val="0"/>
          <w:sz w:val="24"/>
          <w:szCs w:val="24"/>
        </w:rPr>
        <w:t>s</w:t>
      </w:r>
      <w:r w:rsidRPr="006569E8">
        <w:rPr>
          <w:b w:val="0"/>
          <w:sz w:val="24"/>
          <w:szCs w:val="24"/>
        </w:rPr>
        <w:t xml:space="preserve">. MHPAEA also requires plan administrators to provide the Medical Necessity Disclosure to current and potential contracting health care providers. </w:t>
      </w:r>
      <w:r w:rsidRPr="002A13C8">
        <w:rPr>
          <w:b w:val="0"/>
          <w:sz w:val="24"/>
          <w:szCs w:val="24"/>
        </w:rPr>
        <w:t xml:space="preserve">Because medically necessary criteria generally indicate appropriate treatment </w:t>
      </w:r>
      <w:r w:rsidRPr="002A13C8" w:rsidR="007B05BB">
        <w:rPr>
          <w:b w:val="0"/>
          <w:sz w:val="24"/>
          <w:szCs w:val="24"/>
        </w:rPr>
        <w:t xml:space="preserve">for </w:t>
      </w:r>
      <w:r w:rsidRPr="0072589C">
        <w:rPr>
          <w:b w:val="0"/>
          <w:sz w:val="24"/>
          <w:szCs w:val="24"/>
        </w:rPr>
        <w:t xml:space="preserve">certain illnesses in accordance with standards of good medical practice, this information should enable physicians and institutions to structure available resources to provide the most efficient </w:t>
      </w:r>
      <w:r w:rsidR="00FD4147">
        <w:rPr>
          <w:b w:val="0"/>
          <w:sz w:val="24"/>
          <w:szCs w:val="24"/>
        </w:rPr>
        <w:t>MH/SUD</w:t>
      </w:r>
      <w:r w:rsidRPr="0072589C">
        <w:rPr>
          <w:b w:val="0"/>
          <w:sz w:val="24"/>
          <w:szCs w:val="24"/>
        </w:rPr>
        <w:t xml:space="preserve"> care for their patients. </w:t>
      </w:r>
    </w:p>
    <w:p w:rsidR="00380D0F" w:rsidRPr="000922E3" w:rsidP="00D362D6" w14:paraId="64542726" w14:textId="77777777">
      <w:pPr>
        <w:pStyle w:val="Quick1"/>
        <w:widowControl/>
        <w:numPr>
          <w:ilvl w:val="0"/>
          <w:numId w:val="0"/>
        </w:numPr>
        <w:tabs>
          <w:tab w:val="left" w:pos="-1440"/>
        </w:tabs>
        <w:ind w:left="720"/>
        <w:rPr>
          <w:b w:val="0"/>
          <w:i/>
          <w:sz w:val="24"/>
          <w:szCs w:val="24"/>
        </w:rPr>
      </w:pPr>
    </w:p>
    <w:p w:rsidR="00380D0F" w:rsidRPr="000D1EEF" w:rsidP="00A6651F" w14:paraId="0B6ED7EA" w14:textId="15C584C7">
      <w:pPr>
        <w:pStyle w:val="Quick1"/>
        <w:widowControl/>
        <w:numPr>
          <w:ilvl w:val="0"/>
          <w:numId w:val="0"/>
        </w:numPr>
        <w:tabs>
          <w:tab w:val="left" w:pos="-1440"/>
        </w:tabs>
        <w:ind w:left="720" w:hanging="720"/>
        <w:rPr>
          <w:bCs w:val="0"/>
          <w:i/>
          <w:sz w:val="24"/>
          <w:szCs w:val="24"/>
          <w:u w:val="single"/>
        </w:rPr>
      </w:pPr>
      <w:r>
        <w:rPr>
          <w:b w:val="0"/>
          <w:i/>
          <w:sz w:val="24"/>
          <w:szCs w:val="24"/>
        </w:rPr>
        <w:tab/>
      </w:r>
      <w:r w:rsidRPr="000D1EEF">
        <w:rPr>
          <w:bCs w:val="0"/>
          <w:i/>
          <w:sz w:val="24"/>
          <w:szCs w:val="24"/>
          <w:u w:val="single"/>
        </w:rPr>
        <w:t xml:space="preserve">Claims Denial Disclosure </w:t>
      </w:r>
    </w:p>
    <w:p w:rsidR="00380D0F" w:rsidRPr="00594B94" w:rsidP="00D362D6" w14:paraId="365DF032" w14:textId="77777777">
      <w:pPr>
        <w:pStyle w:val="Quick1"/>
        <w:widowControl/>
        <w:numPr>
          <w:ilvl w:val="0"/>
          <w:numId w:val="0"/>
        </w:numPr>
        <w:tabs>
          <w:tab w:val="left" w:pos="-1440"/>
        </w:tabs>
        <w:ind w:left="720"/>
        <w:rPr>
          <w:b w:val="0"/>
          <w:sz w:val="24"/>
          <w:szCs w:val="24"/>
        </w:rPr>
      </w:pPr>
    </w:p>
    <w:p w:rsidR="00380D0F" w:rsidRPr="00594B94" w:rsidP="006C2914" w14:paraId="4CD46CE1" w14:textId="0C28C4D2">
      <w:pPr>
        <w:pStyle w:val="Quick1"/>
        <w:widowControl/>
        <w:numPr>
          <w:ilvl w:val="0"/>
          <w:numId w:val="0"/>
        </w:numPr>
        <w:tabs>
          <w:tab w:val="left" w:pos="-1440"/>
        </w:tabs>
        <w:ind w:left="720"/>
        <w:rPr>
          <w:b w:val="0"/>
          <w:sz w:val="24"/>
          <w:szCs w:val="24"/>
        </w:rPr>
      </w:pPr>
      <w:r w:rsidRPr="00594B94">
        <w:rPr>
          <w:b w:val="0"/>
          <w:sz w:val="24"/>
          <w:szCs w:val="24"/>
        </w:rPr>
        <w:t>MHPAEA and the final regulations require plans and issuers</w:t>
      </w:r>
      <w:r w:rsidRPr="00594B94" w:rsidR="00707FFC">
        <w:rPr>
          <w:b w:val="0"/>
          <w:sz w:val="24"/>
          <w:szCs w:val="24"/>
        </w:rPr>
        <w:t xml:space="preserve"> </w:t>
      </w:r>
      <w:r w:rsidRPr="00594B94">
        <w:rPr>
          <w:b w:val="0"/>
          <w:sz w:val="24"/>
          <w:szCs w:val="24"/>
        </w:rPr>
        <w:t>to explain the reason that a specific claim is denied</w:t>
      </w:r>
      <w:r w:rsidRPr="00594B94" w:rsidR="000F4C95">
        <w:rPr>
          <w:b w:val="0"/>
          <w:sz w:val="24"/>
          <w:szCs w:val="24"/>
        </w:rPr>
        <w:t xml:space="preserve">. </w:t>
      </w:r>
      <w:r w:rsidRPr="00594B94">
        <w:rPr>
          <w:b w:val="0"/>
          <w:sz w:val="24"/>
          <w:szCs w:val="24"/>
        </w:rPr>
        <w:t xml:space="preserve">Most practically, participants and beneficiaries need this information to determine whether they agree with the decision and, if not, whether to pursue an appeal. </w:t>
      </w:r>
    </w:p>
    <w:p w:rsidR="00D16FB7" w:rsidRPr="00594B94" w:rsidP="00D362D6" w14:paraId="0C61CEDB" w14:textId="77777777">
      <w:pPr>
        <w:pStyle w:val="Quick1"/>
        <w:widowControl/>
        <w:numPr>
          <w:ilvl w:val="0"/>
          <w:numId w:val="0"/>
        </w:numPr>
        <w:tabs>
          <w:tab w:val="left" w:pos="-1440"/>
        </w:tabs>
        <w:ind w:left="720"/>
        <w:rPr>
          <w:b w:val="0"/>
          <w:sz w:val="24"/>
          <w:szCs w:val="24"/>
        </w:rPr>
      </w:pPr>
    </w:p>
    <w:p w:rsidR="00D16FB7" w:rsidRPr="000D1EEF" w:rsidP="00A6651F" w14:paraId="1F49563E" w14:textId="1648BC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i/>
          <w:sz w:val="24"/>
          <w:u w:val="single"/>
        </w:rPr>
      </w:pPr>
      <w:r>
        <w:rPr>
          <w:b w:val="0"/>
          <w:i/>
          <w:sz w:val="24"/>
        </w:rPr>
        <w:tab/>
      </w:r>
      <w:r w:rsidR="006805A0">
        <w:rPr>
          <w:b w:val="0"/>
          <w:i/>
          <w:sz w:val="24"/>
        </w:rPr>
        <w:tab/>
      </w:r>
      <w:r w:rsidRPr="000D1EEF">
        <w:rPr>
          <w:bCs w:val="0"/>
          <w:i/>
          <w:sz w:val="24"/>
          <w:u w:val="single"/>
        </w:rPr>
        <w:t>Disclosure Request Form</w:t>
      </w:r>
    </w:p>
    <w:p w:rsidR="000B5DF2" w:rsidRPr="00594B94" w:rsidP="00EB5329" w14:paraId="5B7E42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val="0"/>
          <w:sz w:val="24"/>
        </w:rPr>
      </w:pPr>
      <w:r w:rsidRPr="00594B94">
        <w:rPr>
          <w:b w:val="0"/>
          <w:sz w:val="24"/>
        </w:rPr>
        <w:tab/>
      </w:r>
    </w:p>
    <w:p w:rsidR="00D16FB7" w:rsidRPr="00245CC1" w:rsidP="006C2914" w14:paraId="15BF32F1" w14:textId="206A2A3A">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594B94">
        <w:rPr>
          <w:b w:val="0"/>
          <w:sz w:val="24"/>
        </w:rPr>
        <w:t xml:space="preserve">Group health plan participants, beneficiaries, covered individuals in the individual market, or persons acting on their behalf, may use </w:t>
      </w:r>
      <w:r w:rsidRPr="00594B94" w:rsidR="0019473D">
        <w:rPr>
          <w:b w:val="0"/>
          <w:sz w:val="24"/>
        </w:rPr>
        <w:t xml:space="preserve">the </w:t>
      </w:r>
      <w:r w:rsidRPr="00594B94">
        <w:rPr>
          <w:b w:val="0"/>
          <w:sz w:val="24"/>
        </w:rPr>
        <w:t xml:space="preserve">model form to request information </w:t>
      </w:r>
      <w:r w:rsidRPr="00594B94">
        <w:rPr>
          <w:b w:val="0"/>
          <w:sz w:val="24"/>
        </w:rPr>
        <w:t>from plans regarding NQTLs that may affect patients’ MH/SUD benefits or that may have resulted in their coverage being denied. The form aims to simplify the process of requesting relevant disclosures for patients and their authorized representatives</w:t>
      </w:r>
      <w:r w:rsidRPr="00245CC1">
        <w:rPr>
          <w:b w:val="0"/>
          <w:sz w:val="24"/>
        </w:rPr>
        <w:t>.</w:t>
      </w:r>
    </w:p>
    <w:p w:rsidR="00D16FB7" w:rsidRPr="00D16FB7" w:rsidP="00D362D6" w14:paraId="6311FDCC" w14:textId="77777777">
      <w:pPr>
        <w:pStyle w:val="Quick1"/>
        <w:widowControl/>
        <w:numPr>
          <w:ilvl w:val="0"/>
          <w:numId w:val="0"/>
        </w:numPr>
        <w:tabs>
          <w:tab w:val="left" w:pos="-1440"/>
        </w:tabs>
        <w:ind w:left="720"/>
        <w:contextualSpacing/>
        <w:rPr>
          <w:b w:val="0"/>
          <w:bCs w:val="0"/>
          <w:sz w:val="24"/>
          <w:szCs w:val="24"/>
        </w:rPr>
      </w:pPr>
    </w:p>
    <w:p w:rsidR="00AA1E33" w:rsidRPr="000D1EEF" w:rsidP="006C2914" w14:paraId="4442686E" w14:textId="77777777">
      <w:pPr>
        <w:widowControl/>
        <w:autoSpaceDE/>
        <w:autoSpaceDN/>
        <w:adjustRightInd/>
        <w:spacing w:after="200" w:line="276" w:lineRule="auto"/>
        <w:ind w:firstLine="720"/>
        <w:rPr>
          <w:rFonts w:eastAsiaTheme="minorHAnsi"/>
          <w:i/>
          <w:sz w:val="24"/>
          <w:szCs w:val="24"/>
          <w:u w:val="single"/>
        </w:rPr>
      </w:pPr>
      <w:r w:rsidRPr="000D1EEF">
        <w:rPr>
          <w:rFonts w:eastAsiaTheme="minorHAnsi"/>
          <w:i/>
          <w:sz w:val="24"/>
          <w:szCs w:val="24"/>
          <w:u w:val="single"/>
        </w:rPr>
        <w:t>The Consolidated Appropriations Act of 2021</w:t>
      </w:r>
    </w:p>
    <w:p w:rsidR="00D22547" w:rsidP="00D22547" w14:paraId="6A930F41" w14:textId="3698B4EF">
      <w:pPr>
        <w:widowControl/>
        <w:autoSpaceDE/>
        <w:autoSpaceDN/>
        <w:adjustRightInd/>
        <w:spacing w:after="200"/>
        <w:ind w:left="720"/>
        <w:contextualSpacing/>
        <w:rPr>
          <w:rFonts w:eastAsiaTheme="minorHAnsi"/>
          <w:i/>
          <w:iCs/>
          <w:sz w:val="24"/>
          <w:szCs w:val="24"/>
          <w:u w:val="single"/>
        </w:rPr>
      </w:pPr>
      <w:r>
        <w:rPr>
          <w:rFonts w:eastAsiaTheme="minorHAnsi"/>
          <w:b w:val="0"/>
          <w:bCs w:val="0"/>
          <w:sz w:val="24"/>
          <w:szCs w:val="24"/>
        </w:rPr>
        <w:t>As discussed above, u</w:t>
      </w:r>
      <w:r w:rsidRPr="001F158D">
        <w:rPr>
          <w:rFonts w:eastAsiaTheme="minorHAnsi"/>
          <w:b w:val="0"/>
          <w:bCs w:val="0"/>
          <w:sz w:val="24"/>
          <w:szCs w:val="24"/>
        </w:rPr>
        <w:t xml:space="preserve">nder the </w:t>
      </w:r>
      <w:r w:rsidR="00265C9B">
        <w:rPr>
          <w:rFonts w:eastAsiaTheme="minorHAnsi"/>
          <w:b w:val="0"/>
          <w:bCs w:val="0"/>
          <w:sz w:val="24"/>
          <w:szCs w:val="24"/>
        </w:rPr>
        <w:t>CAA, 2021</w:t>
      </w:r>
      <w:r w:rsidRPr="001F158D">
        <w:rPr>
          <w:rFonts w:eastAsiaTheme="minorHAnsi"/>
          <w:b w:val="0"/>
          <w:bCs w:val="0"/>
          <w:sz w:val="24"/>
          <w:szCs w:val="24"/>
        </w:rPr>
        <w:t xml:space="preserve">, plans and issuers must now be prepared to submit their comparative analysis with respect to each NQTL imposed when requested by any of the Departments or applicable State authority. </w:t>
      </w:r>
      <w:r w:rsidR="005930ED">
        <w:rPr>
          <w:rFonts w:eastAsiaTheme="minorHAnsi"/>
          <w:b w:val="0"/>
          <w:bCs w:val="0"/>
          <w:sz w:val="24"/>
          <w:szCs w:val="24"/>
        </w:rPr>
        <w:t xml:space="preserve">The Departments are required by statute to request a certain number of comparative analyses per year </w:t>
      </w:r>
      <w:r w:rsidR="005930ED">
        <w:rPr>
          <w:rFonts w:eastAsiaTheme="minorHAnsi"/>
          <w:b w:val="0"/>
          <w:bCs w:val="0"/>
          <w:sz w:val="24"/>
          <w:szCs w:val="24"/>
        </w:rPr>
        <w:t>and,</w:t>
      </w:r>
      <w:r w:rsidR="005930ED">
        <w:rPr>
          <w:rFonts w:eastAsiaTheme="minorHAnsi"/>
          <w:b w:val="0"/>
          <w:bCs w:val="0"/>
          <w:sz w:val="24"/>
          <w:szCs w:val="24"/>
        </w:rPr>
        <w:t xml:space="preserve"> once requested, review the analyses to determine whether NQTL that is the subject of each analysis </w:t>
      </w:r>
      <w:r w:rsidR="00BE5AFA">
        <w:rPr>
          <w:rFonts w:eastAsiaTheme="minorHAnsi"/>
          <w:b w:val="0"/>
          <w:bCs w:val="0"/>
          <w:sz w:val="24"/>
          <w:szCs w:val="24"/>
        </w:rPr>
        <w:t xml:space="preserve">violates MHPAEA. Additionally, the final rules permit a participant or beneficiary (including a provider or other person acting as a participant’s or beneficiary’s authorized representative) who has received an adverse benefit determination related to MH/SUD benefits to request a copy of a comparative analysis, so the participant and beneficiary has the information necessary to determine whether to appeal the adverse benefit determination. This provision allows all participants and beneficiaries in plans and issuers subject to ERISA to request a copy of any comparative analysis, consistent with the general requirement under ERISA section 104 that entitles participants and beneficiaries to copies of instruments under which a plan is established or operated. </w:t>
      </w:r>
      <w:r w:rsidRPr="000D1EEF">
        <w:rPr>
          <w:rFonts w:eastAsiaTheme="minorHAnsi"/>
          <w:i/>
          <w:iCs/>
          <w:sz w:val="24"/>
          <w:szCs w:val="24"/>
          <w:u w:val="single"/>
        </w:rPr>
        <w:t>202</w:t>
      </w:r>
      <w:r w:rsidR="00A5417D">
        <w:rPr>
          <w:rFonts w:eastAsiaTheme="minorHAnsi"/>
          <w:i/>
          <w:iCs/>
          <w:sz w:val="24"/>
          <w:szCs w:val="24"/>
          <w:u w:val="single"/>
        </w:rPr>
        <w:t>4</w:t>
      </w:r>
      <w:r w:rsidRPr="000D1EEF">
        <w:rPr>
          <w:rFonts w:eastAsiaTheme="minorHAnsi"/>
          <w:i/>
          <w:iCs/>
          <w:sz w:val="24"/>
          <w:szCs w:val="24"/>
          <w:u w:val="single"/>
        </w:rPr>
        <w:t xml:space="preserve"> </w:t>
      </w:r>
      <w:r w:rsidR="00A5417D">
        <w:rPr>
          <w:rFonts w:eastAsiaTheme="minorHAnsi"/>
          <w:i/>
          <w:iCs/>
          <w:sz w:val="24"/>
          <w:szCs w:val="24"/>
          <w:u w:val="single"/>
        </w:rPr>
        <w:t>Final Rule</w:t>
      </w:r>
      <w:r w:rsidR="00DD2352">
        <w:rPr>
          <w:rFonts w:eastAsiaTheme="minorHAnsi"/>
          <w:i/>
          <w:iCs/>
          <w:sz w:val="24"/>
          <w:szCs w:val="24"/>
          <w:u w:val="single"/>
        </w:rPr>
        <w:t>s</w:t>
      </w:r>
      <w:r w:rsidRPr="000D1EEF">
        <w:rPr>
          <w:rFonts w:eastAsiaTheme="minorHAnsi"/>
          <w:i/>
          <w:iCs/>
          <w:sz w:val="24"/>
          <w:szCs w:val="24"/>
          <w:u w:val="single"/>
        </w:rPr>
        <w:t xml:space="preserve"> </w:t>
      </w:r>
    </w:p>
    <w:p w:rsidR="00BB3470" w:rsidP="00D22547" w14:paraId="61575CFB" w14:textId="6F96F946">
      <w:pPr>
        <w:widowControl/>
        <w:autoSpaceDE/>
        <w:autoSpaceDN/>
        <w:adjustRightInd/>
        <w:spacing w:after="200"/>
        <w:ind w:left="720"/>
        <w:contextualSpacing/>
        <w:rPr>
          <w:rFonts w:eastAsiaTheme="minorHAnsi"/>
          <w:i/>
          <w:iCs/>
          <w:sz w:val="24"/>
          <w:szCs w:val="24"/>
          <w:u w:val="single"/>
        </w:rPr>
      </w:pPr>
    </w:p>
    <w:p w:rsidR="00E96C36" w:rsidRPr="00E96C36" w:rsidP="00E96C36" w14:paraId="474A9FB7" w14:textId="211A703F">
      <w:pPr>
        <w:ind w:left="720"/>
        <w:rPr>
          <w:b w:val="0"/>
          <w:iCs/>
          <w:sz w:val="24"/>
          <w:szCs w:val="24"/>
        </w:rPr>
      </w:pPr>
      <w:r w:rsidRPr="00E96C36">
        <w:rPr>
          <w:b w:val="0"/>
          <w:iCs/>
          <w:sz w:val="24"/>
          <w:szCs w:val="24"/>
        </w:rPr>
        <w:t xml:space="preserve">These final rules amend existing regulatory definitions and add new definitions of key terms, including “factors,” “processes,” “strategies,” and “evidentiary standards.” They also add more specificity as to what conditions or disorders plans and issuers must treat as </w:t>
      </w:r>
      <w:r w:rsidR="00FD4147">
        <w:rPr>
          <w:b w:val="0"/>
          <w:iCs/>
          <w:sz w:val="24"/>
          <w:szCs w:val="24"/>
        </w:rPr>
        <w:t xml:space="preserve">MH </w:t>
      </w:r>
      <w:r w:rsidRPr="00E96C36">
        <w:rPr>
          <w:b w:val="0"/>
          <w:iCs/>
          <w:sz w:val="24"/>
          <w:szCs w:val="24"/>
        </w:rPr>
        <w:t xml:space="preserve">conditions and </w:t>
      </w:r>
      <w:r w:rsidR="00FD4147">
        <w:rPr>
          <w:b w:val="0"/>
          <w:iCs/>
          <w:sz w:val="24"/>
          <w:szCs w:val="24"/>
        </w:rPr>
        <w:t>SUD</w:t>
      </w:r>
      <w:r w:rsidRPr="00E96C36">
        <w:rPr>
          <w:b w:val="0"/>
          <w:iCs/>
          <w:sz w:val="24"/>
          <w:szCs w:val="24"/>
        </w:rPr>
        <w:t>s, and</w:t>
      </w:r>
      <w:r w:rsidRPr="00E96C36">
        <w:rPr>
          <w:b w:val="0"/>
          <w:iCs/>
          <w:sz w:val="24"/>
          <w:szCs w:val="24"/>
        </w:rPr>
        <w:t xml:space="preserve"> clarify that the way a plan or issuer defines </w:t>
      </w:r>
      <w:r w:rsidR="00C32062">
        <w:rPr>
          <w:b w:val="0"/>
          <w:iCs/>
          <w:sz w:val="24"/>
          <w:szCs w:val="24"/>
        </w:rPr>
        <w:t xml:space="preserve">MH </w:t>
      </w:r>
      <w:r w:rsidRPr="00E96C36">
        <w:rPr>
          <w:b w:val="0"/>
          <w:iCs/>
          <w:sz w:val="24"/>
          <w:szCs w:val="24"/>
        </w:rPr>
        <w:t xml:space="preserve">benefits and </w:t>
      </w:r>
      <w:r w:rsidR="00C32062">
        <w:rPr>
          <w:b w:val="0"/>
          <w:iCs/>
          <w:sz w:val="24"/>
          <w:szCs w:val="24"/>
        </w:rPr>
        <w:t xml:space="preserve">SUD </w:t>
      </w:r>
      <w:r w:rsidRPr="00E96C36">
        <w:rPr>
          <w:b w:val="0"/>
          <w:iCs/>
          <w:sz w:val="24"/>
          <w:szCs w:val="24"/>
        </w:rPr>
        <w:t xml:space="preserve">benefits for purposes of MHPAEA must be consistent with generally recognized independent standards of current medical practice. These final rules also clarify the way the parity requirements apply to NQTLs, including by prohibiting discriminatory factors and evidentiary standards, and provide additional examples of the application of MHPAEA to NQTLs to improve the understanding and ability of the regulated community to comply with the law. Additionally, these final rules require that plans and issuers provide meaningful benefits for covered mental health conditions and substance use disorders in each classification in which </w:t>
      </w:r>
      <w:r w:rsidRPr="00AE268C" w:rsidR="00AE268C">
        <w:rPr>
          <w:b w:val="0"/>
          <w:iCs/>
          <w:sz w:val="24"/>
          <w:szCs w:val="24"/>
        </w:rPr>
        <w:t>in which medical/surgical benefits are provided</w:t>
      </w:r>
      <w:r w:rsidRPr="00E96C36">
        <w:rPr>
          <w:b w:val="0"/>
          <w:iCs/>
          <w:sz w:val="24"/>
          <w:szCs w:val="24"/>
        </w:rPr>
        <w:t xml:space="preserve">. </w:t>
      </w:r>
    </w:p>
    <w:p w:rsidR="00E96C36" w:rsidP="00E96C36" w14:paraId="138EECE6" w14:textId="77777777">
      <w:pPr>
        <w:ind w:left="720"/>
        <w:rPr>
          <w:b w:val="0"/>
          <w:iCs/>
          <w:sz w:val="24"/>
          <w:szCs w:val="24"/>
        </w:rPr>
      </w:pPr>
    </w:p>
    <w:p w:rsidR="00BE6E02" w:rsidP="00E96C36" w14:paraId="6D3B34F0" w14:textId="0E50F1F6">
      <w:pPr>
        <w:ind w:left="720"/>
        <w:rPr>
          <w:rFonts w:eastAsiaTheme="minorHAnsi"/>
          <w:b w:val="0"/>
          <w:bCs w:val="0"/>
          <w:sz w:val="24"/>
          <w:szCs w:val="24"/>
        </w:rPr>
      </w:pPr>
      <w:r w:rsidRPr="00E96C36">
        <w:rPr>
          <w:b w:val="0"/>
          <w:iCs/>
          <w:sz w:val="24"/>
          <w:szCs w:val="24"/>
        </w:rPr>
        <w:t xml:space="preserve">Under these final rules, plans and issuers will be required to collect and evaluate relevant data in a manner reasonably designed to assess the impact of the NQTL on </w:t>
      </w:r>
      <w:r w:rsidR="00AE268C">
        <w:rPr>
          <w:b w:val="0"/>
          <w:iCs/>
          <w:sz w:val="24"/>
          <w:szCs w:val="24"/>
        </w:rPr>
        <w:t xml:space="preserve">relevant outcomes related to </w:t>
      </w:r>
      <w:r w:rsidRPr="00E96C36">
        <w:rPr>
          <w:b w:val="0"/>
          <w:iCs/>
          <w:sz w:val="24"/>
          <w:szCs w:val="24"/>
        </w:rPr>
        <w:t xml:space="preserve">access to </w:t>
      </w:r>
      <w:r w:rsidR="00E93312">
        <w:rPr>
          <w:b w:val="0"/>
          <w:iCs/>
          <w:sz w:val="24"/>
          <w:szCs w:val="24"/>
        </w:rPr>
        <w:t xml:space="preserve">MH/SUD </w:t>
      </w:r>
      <w:r w:rsidRPr="00E96C36">
        <w:rPr>
          <w:b w:val="0"/>
          <w:iCs/>
          <w:sz w:val="24"/>
          <w:szCs w:val="24"/>
        </w:rPr>
        <w:t xml:space="preserve">benefits and medical/surgical benefits. </w:t>
      </w:r>
      <w:r>
        <w:rPr>
          <w:b w:val="0"/>
          <w:iCs/>
          <w:sz w:val="24"/>
          <w:szCs w:val="24"/>
        </w:rPr>
        <w:t xml:space="preserve">Where the </w:t>
      </w:r>
      <w:r w:rsidRPr="00AE268C">
        <w:rPr>
          <w:rFonts w:eastAsiaTheme="minorHAnsi"/>
          <w:b w:val="0"/>
          <w:bCs w:val="0"/>
          <w:sz w:val="24"/>
          <w:szCs w:val="24"/>
        </w:rPr>
        <w:t xml:space="preserve">relevant data suggest that the </w:t>
      </w:r>
      <w:r>
        <w:rPr>
          <w:rFonts w:eastAsiaTheme="minorHAnsi"/>
          <w:b w:val="0"/>
          <w:bCs w:val="0"/>
          <w:sz w:val="24"/>
          <w:szCs w:val="24"/>
        </w:rPr>
        <w:t>NQTL</w:t>
      </w:r>
      <w:r w:rsidRPr="00AE268C">
        <w:rPr>
          <w:rFonts w:eastAsiaTheme="minorHAnsi"/>
          <w:b w:val="0"/>
          <w:bCs w:val="0"/>
          <w:sz w:val="24"/>
          <w:szCs w:val="24"/>
        </w:rPr>
        <w:t xml:space="preserve"> contributes to material differences in access to </w:t>
      </w:r>
      <w:r>
        <w:rPr>
          <w:rFonts w:eastAsiaTheme="minorHAnsi"/>
          <w:b w:val="0"/>
          <w:bCs w:val="0"/>
          <w:sz w:val="24"/>
          <w:szCs w:val="24"/>
        </w:rPr>
        <w:t xml:space="preserve">MH/SUD </w:t>
      </w:r>
      <w:r w:rsidRPr="00AE268C">
        <w:rPr>
          <w:rFonts w:eastAsiaTheme="minorHAnsi"/>
          <w:b w:val="0"/>
          <w:bCs w:val="0"/>
          <w:sz w:val="24"/>
          <w:szCs w:val="24"/>
        </w:rPr>
        <w:t>benefits as compared to medical/surgical benefits in a classification</w:t>
      </w:r>
      <w:r>
        <w:rPr>
          <w:rFonts w:eastAsiaTheme="minorHAnsi"/>
          <w:b w:val="0"/>
          <w:bCs w:val="0"/>
          <w:sz w:val="24"/>
          <w:szCs w:val="24"/>
        </w:rPr>
        <w:t xml:space="preserve">, the plan or issuer must take reasonable action, as necessary, </w:t>
      </w:r>
      <w:r w:rsidRPr="00244809">
        <w:rPr>
          <w:rFonts w:eastAsiaTheme="minorHAnsi"/>
          <w:b w:val="0"/>
          <w:bCs w:val="0"/>
          <w:sz w:val="24"/>
          <w:szCs w:val="24"/>
        </w:rPr>
        <w:t>to address the material differences to ensure compliance</w:t>
      </w:r>
      <w:r w:rsidR="00612B26">
        <w:rPr>
          <w:rFonts w:eastAsiaTheme="minorHAnsi"/>
          <w:b w:val="0"/>
          <w:bCs w:val="0"/>
          <w:sz w:val="24"/>
          <w:szCs w:val="24"/>
        </w:rPr>
        <w:t xml:space="preserve"> with MHPAEA</w:t>
      </w:r>
      <w:r>
        <w:rPr>
          <w:rFonts w:eastAsiaTheme="minorHAnsi"/>
          <w:b w:val="0"/>
          <w:bCs w:val="0"/>
          <w:sz w:val="24"/>
          <w:szCs w:val="24"/>
        </w:rPr>
        <w:t>.</w:t>
      </w:r>
    </w:p>
    <w:p w:rsidR="00BE6E02" w:rsidP="00E96C36" w14:paraId="04C5C4A2" w14:textId="77777777">
      <w:pPr>
        <w:ind w:left="720"/>
        <w:rPr>
          <w:rFonts w:eastAsiaTheme="minorHAnsi"/>
          <w:b w:val="0"/>
          <w:bCs w:val="0"/>
          <w:sz w:val="24"/>
          <w:szCs w:val="24"/>
        </w:rPr>
      </w:pPr>
    </w:p>
    <w:p w:rsidR="00E96C36" w:rsidP="00E96C36" w14:paraId="14DE189C" w14:textId="5C782503">
      <w:pPr>
        <w:ind w:left="720"/>
        <w:rPr>
          <w:b w:val="0"/>
          <w:iCs/>
          <w:sz w:val="24"/>
          <w:szCs w:val="24"/>
        </w:rPr>
      </w:pPr>
      <w:r w:rsidRPr="00E96C36">
        <w:rPr>
          <w:b w:val="0"/>
          <w:iCs/>
          <w:sz w:val="24"/>
          <w:szCs w:val="24"/>
        </w:rPr>
        <w:t>These final rules provide guidance for how to comply with the relevant data evaluation requirements in limited circumstances where data is temporarily unavailable for new and newly imposed NQTLs</w:t>
      </w:r>
      <w:r w:rsidRPr="00E96C36">
        <w:rPr>
          <w:b w:val="0"/>
          <w:iCs/>
          <w:sz w:val="24"/>
          <w:szCs w:val="24"/>
        </w:rPr>
        <w:t xml:space="preserve"> </w:t>
      </w:r>
      <w:r w:rsidRPr="00E96C36">
        <w:rPr>
          <w:b w:val="0"/>
          <w:iCs/>
          <w:sz w:val="24"/>
          <w:szCs w:val="24"/>
        </w:rPr>
        <w:t xml:space="preserve">and where no data exists that can reasonably measure any relevant impact of </w:t>
      </w:r>
      <w:r w:rsidR="000F5167">
        <w:rPr>
          <w:b w:val="0"/>
          <w:iCs/>
          <w:sz w:val="24"/>
          <w:szCs w:val="24"/>
        </w:rPr>
        <w:t xml:space="preserve">an </w:t>
      </w:r>
      <w:r w:rsidRPr="00E96C36">
        <w:rPr>
          <w:b w:val="0"/>
          <w:iCs/>
          <w:sz w:val="24"/>
          <w:szCs w:val="24"/>
        </w:rPr>
        <w:t>NQTL on access</w:t>
      </w:r>
      <w:r w:rsidR="00E71292">
        <w:rPr>
          <w:b w:val="0"/>
          <w:iCs/>
          <w:sz w:val="24"/>
          <w:szCs w:val="24"/>
        </w:rPr>
        <w:t xml:space="preserve"> to MH/SUD benefits and medical/surgical benefits</w:t>
      </w:r>
      <w:r w:rsidRPr="00E96C36">
        <w:rPr>
          <w:b w:val="0"/>
          <w:iCs/>
          <w:sz w:val="24"/>
          <w:szCs w:val="24"/>
        </w:rPr>
        <w:t xml:space="preserve">. Where relevant data is temporarily unavailable for new or newly imposed NQTLs, the plan or issuer must provide a detailed explanation of the lack of relevant data, the basis for the </w:t>
      </w:r>
      <w:r w:rsidRPr="00E96C36">
        <w:rPr>
          <w:b w:val="0"/>
          <w:iCs/>
          <w:sz w:val="24"/>
          <w:szCs w:val="24"/>
        </w:rPr>
        <w:t>plan’s</w:t>
      </w:r>
      <w:r w:rsidRPr="00E96C36">
        <w:rPr>
          <w:b w:val="0"/>
          <w:iCs/>
          <w:sz w:val="24"/>
          <w:szCs w:val="24"/>
        </w:rPr>
        <w:t xml:space="preserve"> or issuer’s conclusion that there is a lack of relevant data, and when and how the data will become available and be collected and analyzed. For an NQTL for which no data exists that can reasonably assess any relevant impact on access to </w:t>
      </w:r>
      <w:r w:rsidR="00E93312">
        <w:rPr>
          <w:b w:val="0"/>
          <w:iCs/>
          <w:sz w:val="24"/>
          <w:szCs w:val="24"/>
        </w:rPr>
        <w:t xml:space="preserve">MH/SUD </w:t>
      </w:r>
      <w:r w:rsidRPr="00E96C36">
        <w:rPr>
          <w:b w:val="0"/>
          <w:iCs/>
          <w:sz w:val="24"/>
          <w:szCs w:val="24"/>
        </w:rPr>
        <w:t>benefits and medical/surgical benefits, the plan or issuer must provide a reasoned justification as to the basis for the conclusion that there are no data that can reasonably assess the NQTL’s impact, why the nature of the NQTL prevents the plan or issuer from reasonably measuring its impact, an explanation of what data was considered and rejected, and documentation of any additional safeguards or protocols used to ensure that the NQTL complies with MHPAEA.</w:t>
      </w:r>
      <w:r w:rsidR="00244809">
        <w:rPr>
          <w:b w:val="0"/>
          <w:iCs/>
          <w:sz w:val="24"/>
          <w:szCs w:val="24"/>
        </w:rPr>
        <w:t xml:space="preserve"> </w:t>
      </w:r>
    </w:p>
    <w:p w:rsidR="00244809" w:rsidP="00E96C36" w14:paraId="0A186ACC" w14:textId="77777777">
      <w:pPr>
        <w:ind w:left="720"/>
        <w:rPr>
          <w:b w:val="0"/>
          <w:iCs/>
          <w:sz w:val="24"/>
          <w:szCs w:val="24"/>
        </w:rPr>
      </w:pPr>
    </w:p>
    <w:p w:rsidR="00244809" w:rsidRPr="00E96C36" w:rsidP="00E96C36" w14:paraId="6EBDD8D7" w14:textId="0830DA08">
      <w:pPr>
        <w:ind w:left="720"/>
        <w:rPr>
          <w:b w:val="0"/>
          <w:iCs/>
          <w:sz w:val="24"/>
          <w:szCs w:val="24"/>
        </w:rPr>
      </w:pPr>
      <w:r>
        <w:rPr>
          <w:rFonts w:eastAsiaTheme="minorHAnsi"/>
          <w:b w:val="0"/>
          <w:bCs w:val="0"/>
          <w:sz w:val="24"/>
          <w:szCs w:val="24"/>
        </w:rPr>
        <w:t xml:space="preserve">Additionally, these final rules specify that if a plan or issuer receives a determination from the relevant Secretary that the plan or issuer is not in compliance with the rules for comparative analyses, the Secretary may direct the plan or issuer not to impose the NQTL with respect to </w:t>
      </w:r>
      <w:r w:rsidR="00E93312">
        <w:rPr>
          <w:rFonts w:eastAsiaTheme="minorHAnsi"/>
          <w:b w:val="0"/>
          <w:bCs w:val="0"/>
          <w:sz w:val="24"/>
          <w:szCs w:val="24"/>
        </w:rPr>
        <w:t xml:space="preserve">MH/SUD </w:t>
      </w:r>
      <w:r>
        <w:rPr>
          <w:rFonts w:eastAsiaTheme="minorHAnsi"/>
          <w:b w:val="0"/>
          <w:bCs w:val="0"/>
          <w:sz w:val="24"/>
          <w:szCs w:val="24"/>
        </w:rPr>
        <w:t>benefits</w:t>
      </w:r>
      <w:r w:rsidR="00EC040A">
        <w:rPr>
          <w:rFonts w:eastAsiaTheme="minorHAnsi"/>
          <w:b w:val="0"/>
          <w:bCs w:val="0"/>
          <w:sz w:val="24"/>
          <w:szCs w:val="24"/>
        </w:rPr>
        <w:t>.</w:t>
      </w:r>
    </w:p>
    <w:p w:rsidR="00E96C36" w:rsidP="00E96C36" w14:paraId="650F6F8D" w14:textId="77777777">
      <w:pPr>
        <w:ind w:left="720"/>
        <w:rPr>
          <w:b w:val="0"/>
          <w:iCs/>
          <w:sz w:val="24"/>
          <w:szCs w:val="24"/>
        </w:rPr>
      </w:pPr>
    </w:p>
    <w:p w:rsidR="0018494B" w:rsidP="00E96C36" w14:paraId="321A3E9D" w14:textId="552914A2">
      <w:pPr>
        <w:ind w:left="720"/>
        <w:rPr>
          <w:b w:val="0"/>
          <w:iCs/>
          <w:sz w:val="24"/>
          <w:szCs w:val="24"/>
        </w:rPr>
      </w:pPr>
      <w:r w:rsidRPr="00E96C36">
        <w:rPr>
          <w:b w:val="0"/>
          <w:iCs/>
          <w:sz w:val="24"/>
          <w:szCs w:val="24"/>
        </w:rPr>
        <w:t>These final rules also set forth specific content requirements for comparative analyses required by the CAA, 2021, and outline the process for plans and issuers to provide their comparative analyses to the Departments or an applicable State authority upon request</w:t>
      </w:r>
      <w:r>
        <w:rPr>
          <w:b w:val="0"/>
          <w:iCs/>
          <w:sz w:val="24"/>
          <w:szCs w:val="24"/>
        </w:rPr>
        <w:t>:</w:t>
      </w:r>
    </w:p>
    <w:p w:rsidR="00062F8E" w:rsidP="00062F8E" w14:paraId="38E347CB" w14:textId="77777777">
      <w:pPr>
        <w:pStyle w:val="pf0"/>
        <w:numPr>
          <w:ilvl w:val="0"/>
          <w:numId w:val="37"/>
        </w:numPr>
        <w:spacing w:before="0" w:beforeAutospacing="0" w:after="0" w:afterAutospacing="0"/>
      </w:pPr>
      <w:r w:rsidRPr="0018494B">
        <w:t xml:space="preserve">A description of the NQTL, including identification of the NQTL, identification of all benefits to which the NQTL </w:t>
      </w:r>
      <w:r w:rsidRPr="0018494B">
        <w:t>applies</w:t>
      </w:r>
      <w:r w:rsidRPr="0018494B">
        <w:t xml:space="preserve"> and a description of what benefits are included in the classification;</w:t>
      </w:r>
    </w:p>
    <w:p w:rsidR="00062F8E" w:rsidP="00062F8E" w14:paraId="1FE2BFC1" w14:textId="77777777">
      <w:pPr>
        <w:pStyle w:val="pf0"/>
        <w:numPr>
          <w:ilvl w:val="0"/>
          <w:numId w:val="37"/>
        </w:numPr>
        <w:spacing w:before="0" w:beforeAutospacing="0" w:after="0" w:afterAutospacing="0"/>
      </w:pPr>
      <w:r w:rsidRPr="00062F8E">
        <w:t>Identification and definition of the factors and evidentiary standards used to design or apply the NQTL, including identification of every factor, as well as the evidentiary standards considered or relied upon to design or apply each factor and the sources from which each evidentiary standard was derived, a definition of each factor and a description of any steps the plan or issuer has taken to correct, cure, or supplement any information, evidence, sources, or standards that would otherwise have been considered biased or not objective;</w:t>
      </w:r>
    </w:p>
    <w:p w:rsidR="00062F8E" w:rsidP="00062F8E" w14:paraId="7EBD0EC7" w14:textId="77777777">
      <w:pPr>
        <w:pStyle w:val="pf0"/>
        <w:numPr>
          <w:ilvl w:val="0"/>
          <w:numId w:val="37"/>
        </w:numPr>
        <w:spacing w:before="0" w:beforeAutospacing="0" w:after="0" w:afterAutospacing="0"/>
      </w:pPr>
      <w:r w:rsidRPr="00062F8E">
        <w:t>Description of how factors are used in the design and application of the NQTL, including a detailed explanation of how each factor identified and defined is used to determine which mental health or substance use disorder benefits and which medical/surgical benefits are subject, and an explanation of the evidentiary standards or other information or sources (if any) considered or relied upon in designing or applying the factors or relied upon in designing and applying the NQTL;</w:t>
      </w:r>
    </w:p>
    <w:p w:rsidR="0018494B" w:rsidRPr="00062F8E" w:rsidP="00062F8E" w14:paraId="2D1384DB" w14:textId="1C5B89AA">
      <w:pPr>
        <w:pStyle w:val="pf0"/>
        <w:numPr>
          <w:ilvl w:val="0"/>
          <w:numId w:val="37"/>
        </w:numPr>
        <w:spacing w:before="0" w:beforeAutospacing="0" w:after="0" w:afterAutospacing="0"/>
        <w:rPr>
          <w:rFonts w:ascii="Arial" w:hAnsi="Arial" w:cs="Arial"/>
        </w:rPr>
      </w:pPr>
      <w:r w:rsidRPr="00062F8E">
        <w:t xml:space="preserve">Demonstration of comparability and stringency as written, including </w:t>
      </w:r>
      <w:r w:rsidRPr="00062F8E">
        <w:rPr>
          <w:color w:val="1B1B1B"/>
        </w:rPr>
        <w:t xml:space="preserve">documentation of each factor identified and defined was applied, </w:t>
      </w:r>
      <w:r w:rsidRPr="00062F8E">
        <w:t xml:space="preserve">a comparison of how the NQTL, as written, is designed and applied to mental health or substance use disorder benefits </w:t>
      </w:r>
      <w:r w:rsidRPr="00062F8E">
        <w:t xml:space="preserve">and to medical/surgical benefits, documentation demonstrating how the factors are comparably applied, as written, and an explanation of the reasons for any deviations or variations in the application of a </w:t>
      </w:r>
      <w:r w:rsidRPr="00062F8E">
        <w:t>factor;</w:t>
      </w:r>
    </w:p>
    <w:p w:rsidR="0018494B" w:rsidRPr="00062F8E" w:rsidP="00062F8E" w14:paraId="60DC9821" w14:textId="512F0B8A">
      <w:pPr>
        <w:pStyle w:val="ListParagraph"/>
        <w:widowControl/>
        <w:numPr>
          <w:ilvl w:val="0"/>
          <w:numId w:val="37"/>
        </w:numPr>
        <w:autoSpaceDE/>
        <w:autoSpaceDN/>
        <w:adjustRightInd/>
        <w:rPr>
          <w:b w:val="0"/>
          <w:bCs w:val="0"/>
          <w:sz w:val="24"/>
          <w:szCs w:val="24"/>
        </w:rPr>
      </w:pPr>
      <w:r w:rsidRPr="00062F8E">
        <w:rPr>
          <w:b w:val="0"/>
          <w:bCs w:val="0"/>
          <w:sz w:val="24"/>
          <w:szCs w:val="24"/>
        </w:rPr>
        <w:t xml:space="preserve">Demonstration of comparability and stringency in operation, including a comprehensive explanation of how the plan or issuer evaluates whether, in operation, the processes, strategies, evidentiary standards, or other factors used in designing and applying the NQTL, identification of the relevant data collected and evaluated, documentation of the outcomes that resulted and a detailed explanation of any material differences in access and discussion of the actions that have been or are being taken by the plan or issuer to mitigate any material differences in access; and </w:t>
      </w:r>
    </w:p>
    <w:p w:rsidR="0018494B" w:rsidRPr="00062F8E" w:rsidP="00062F8E" w14:paraId="09C50A46" w14:textId="04F8B74F">
      <w:pPr>
        <w:pStyle w:val="ListParagraph"/>
        <w:widowControl/>
        <w:numPr>
          <w:ilvl w:val="0"/>
          <w:numId w:val="37"/>
        </w:numPr>
        <w:autoSpaceDE/>
        <w:autoSpaceDN/>
        <w:adjustRightInd/>
        <w:rPr>
          <w:rFonts w:ascii="Arial" w:hAnsi="Arial" w:cs="Arial"/>
          <w:b w:val="0"/>
          <w:bCs w:val="0"/>
        </w:rPr>
      </w:pPr>
      <w:r w:rsidRPr="00062F8E">
        <w:rPr>
          <w:b w:val="0"/>
          <w:bCs w:val="0"/>
          <w:sz w:val="24"/>
          <w:szCs w:val="24"/>
        </w:rPr>
        <w:t>Findings and conclusions, including any findings that the plan is or is not (or might or might not be) in compliance, a reasoned discussion of such findings, citations to any additional specific information, and a certification by one or more named fiduciaries that they have engaged in a prudent process to select one or more qualified service providers to perform and document a comparative analysis and have satisfied their duty to monitor those service providers</w:t>
      </w:r>
      <w:r w:rsidR="00062F8E">
        <w:rPr>
          <w:b w:val="0"/>
          <w:bCs w:val="0"/>
          <w:sz w:val="24"/>
          <w:szCs w:val="24"/>
        </w:rPr>
        <w:t>.</w:t>
      </w:r>
    </w:p>
    <w:p w:rsidR="00062F8E" w:rsidRPr="00062F8E" w:rsidP="00062F8E" w14:paraId="73FCD377" w14:textId="77777777">
      <w:pPr>
        <w:pStyle w:val="ListParagraph"/>
        <w:widowControl/>
        <w:autoSpaceDE/>
        <w:autoSpaceDN/>
        <w:adjustRightInd/>
        <w:ind w:left="1080"/>
        <w:rPr>
          <w:rFonts w:ascii="Arial" w:hAnsi="Arial" w:cs="Arial"/>
          <w:b w:val="0"/>
          <w:bCs w:val="0"/>
        </w:rPr>
      </w:pPr>
    </w:p>
    <w:p w:rsidR="00E96C36" w:rsidRPr="00E96C36" w:rsidP="00E96C36" w14:paraId="2762C615" w14:textId="6727E290">
      <w:pPr>
        <w:ind w:left="720"/>
        <w:rPr>
          <w:b w:val="0"/>
          <w:iCs/>
          <w:sz w:val="24"/>
          <w:szCs w:val="24"/>
        </w:rPr>
      </w:pPr>
      <w:r w:rsidRPr="00E96C36">
        <w:rPr>
          <w:b w:val="0"/>
          <w:iCs/>
          <w:sz w:val="24"/>
          <w:szCs w:val="24"/>
        </w:rPr>
        <w:t xml:space="preserve"> Additionally, in these final rules, HHS finalizes regulatory amendments to implement a provision in the CAA, 2023 that sunsets the election option for sponsors of self-funded non-Federal governmental plans to opt out of requirements under MHPAEA.</w:t>
      </w:r>
    </w:p>
    <w:p w:rsidR="00860DB2" w:rsidP="00032972" w14:paraId="0F6E953F" w14:textId="77777777">
      <w:pPr>
        <w:ind w:left="720"/>
        <w:rPr>
          <w:rFonts w:eastAsiaTheme="minorHAnsi"/>
          <w:b w:val="0"/>
          <w:bCs w:val="0"/>
          <w:sz w:val="24"/>
          <w:szCs w:val="24"/>
        </w:rPr>
      </w:pPr>
    </w:p>
    <w:p w:rsidR="004243C5" w:rsidRPr="00C20D2D" w:rsidP="00E34575" w14:paraId="514955D0" w14:textId="59B649EC">
      <w:pPr>
        <w:pStyle w:val="Heading1"/>
        <w:ind w:left="720" w:hanging="720"/>
      </w:pPr>
      <w:r>
        <w:t xml:space="preserve">3. </w:t>
      </w:r>
      <w:r>
        <w:tab/>
      </w:r>
      <w:r w:rsidRPr="00C20D2D" w:rsidR="001F098D">
        <w:t xml:space="preserve">Describe whether, and to what extent, the collection </w:t>
      </w:r>
      <w:r w:rsidR="001F098D">
        <w:t xml:space="preserve">of information involves the use </w:t>
      </w:r>
      <w:r w:rsidRPr="00C20D2D" w:rsidR="001F098D">
        <w:t>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Pr="00A92375" w:rsidP="00A6651F" w14:paraId="056DF7CA" w14:textId="77777777">
      <w:pPr>
        <w:pStyle w:val="Quick1"/>
        <w:widowControl/>
        <w:numPr>
          <w:ilvl w:val="0"/>
          <w:numId w:val="0"/>
        </w:numPr>
        <w:ind w:left="720" w:hanging="720"/>
        <w:rPr>
          <w:b w:val="0"/>
          <w:bCs w:val="0"/>
          <w:sz w:val="24"/>
          <w:szCs w:val="24"/>
        </w:rPr>
      </w:pPr>
    </w:p>
    <w:p w:rsidR="00380D0F" w:rsidRPr="00A92375" w:rsidP="004B1FC6" w14:paraId="66C7B116" w14:textId="3EC5A54A">
      <w:pPr>
        <w:pStyle w:val="BodyText"/>
        <w:ind w:left="720"/>
        <w:rPr>
          <w:iCs/>
          <w:szCs w:val="24"/>
        </w:rPr>
      </w:pPr>
      <w:r w:rsidRPr="00A92375">
        <w:rPr>
          <w:iCs/>
          <w:szCs w:val="24"/>
        </w:rPr>
        <w:t xml:space="preserve">The regulation does not restrict plans or issuers from using electronic technology to provide </w:t>
      </w:r>
      <w:r w:rsidR="00250B71">
        <w:rPr>
          <w:iCs/>
          <w:szCs w:val="24"/>
        </w:rPr>
        <w:t>the required</w:t>
      </w:r>
      <w:r w:rsidRPr="00A92375" w:rsidR="00250B71">
        <w:rPr>
          <w:iCs/>
          <w:szCs w:val="24"/>
        </w:rPr>
        <w:t xml:space="preserve"> </w:t>
      </w:r>
      <w:r w:rsidRPr="00A92375">
        <w:rPr>
          <w:iCs/>
          <w:szCs w:val="24"/>
        </w:rPr>
        <w:t>disclosure</w:t>
      </w:r>
      <w:r w:rsidR="00250B71">
        <w:rPr>
          <w:iCs/>
          <w:szCs w:val="24"/>
        </w:rPr>
        <w:t>s</w:t>
      </w:r>
      <w:r w:rsidRPr="00A92375" w:rsidR="000F4C95">
        <w:rPr>
          <w:iCs/>
          <w:szCs w:val="24"/>
        </w:rPr>
        <w:t xml:space="preserve">. </w:t>
      </w:r>
      <w:r w:rsidRPr="00A92375" w:rsidR="007B05BB">
        <w:rPr>
          <w:iCs/>
          <w:szCs w:val="24"/>
        </w:rPr>
        <w:t>The Department of Labor’s regulations u</w:t>
      </w:r>
      <w:r w:rsidRPr="00A92375">
        <w:rPr>
          <w:iCs/>
          <w:szCs w:val="24"/>
        </w:rPr>
        <w:t>nder 29 C.F.R. §</w:t>
      </w:r>
      <w:r w:rsidR="00733016">
        <w:rPr>
          <w:iCs/>
          <w:szCs w:val="24"/>
        </w:rPr>
        <w:t> </w:t>
      </w:r>
      <w:r w:rsidRPr="00A92375">
        <w:rPr>
          <w:iCs/>
          <w:szCs w:val="24"/>
        </w:rPr>
        <w:t xml:space="preserve">2520.104b-1(b) </w:t>
      </w:r>
      <w:r w:rsidRPr="00A92375" w:rsidR="007B05BB">
        <w:rPr>
          <w:iCs/>
          <w:szCs w:val="24"/>
        </w:rPr>
        <w:t>provide</w:t>
      </w:r>
      <w:r w:rsidR="00733016">
        <w:rPr>
          <w:iCs/>
          <w:szCs w:val="24"/>
        </w:rPr>
        <w:t>s</w:t>
      </w:r>
      <w:r w:rsidRPr="00A92375" w:rsidR="007B05BB">
        <w:rPr>
          <w:iCs/>
          <w:szCs w:val="24"/>
        </w:rPr>
        <w:t xml:space="preserve"> that</w:t>
      </w:r>
      <w:r w:rsidRPr="00A92375">
        <w:rPr>
          <w:iCs/>
          <w:szCs w:val="24"/>
        </w:rPr>
        <w:t>, “</w:t>
      </w:r>
      <w:r w:rsidRPr="00BC4A8C" w:rsidR="00BC4A8C">
        <w:rPr>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w:t>
      </w:r>
      <w:r w:rsidR="00BC4A8C">
        <w:rPr>
          <w:iCs/>
          <w:szCs w:val="24"/>
        </w:rPr>
        <w:t xml:space="preserve"> </w:t>
      </w:r>
      <w:r w:rsidRPr="00BC4A8C" w:rsidR="00BC4A8C">
        <w:rPr>
          <w:iCs/>
          <w:szCs w:val="24"/>
        </w:rPr>
        <w:t>and other specified individuals</w:t>
      </w:r>
      <w:r w:rsidR="001A10D8">
        <w:rPr>
          <w:iCs/>
          <w:szCs w:val="24"/>
        </w:rPr>
        <w:t>.</w:t>
      </w:r>
      <w:r w:rsidR="00BC4A8C">
        <w:rPr>
          <w:iCs/>
          <w:szCs w:val="24"/>
        </w:rPr>
        <w:t>”</w:t>
      </w:r>
      <w:r w:rsidRPr="00A92375">
        <w:rPr>
          <w:iCs/>
          <w:szCs w:val="24"/>
        </w:rPr>
        <w:t xml:space="preserve"> Section </w:t>
      </w:r>
      <w:r w:rsidRPr="00A92375" w:rsidR="007B05BB">
        <w:rPr>
          <w:iCs/>
          <w:szCs w:val="24"/>
        </w:rPr>
        <w:t xml:space="preserve">29 CFR </w:t>
      </w:r>
      <w:r w:rsidRPr="00A92375">
        <w:rPr>
          <w:iCs/>
          <w:szCs w:val="24"/>
        </w:rPr>
        <w:t xml:space="preserve">2520.104b-1(c) establishes the </w:t>
      </w:r>
      <w:r w:rsidRPr="00A92375">
        <w:rPr>
          <w:iCs/>
          <w:szCs w:val="24"/>
        </w:rPr>
        <w:t>manner in which</w:t>
      </w:r>
      <w:r w:rsidRPr="00A92375">
        <w:rPr>
          <w:iCs/>
          <w:szCs w:val="24"/>
        </w:rPr>
        <w:t xml:space="preserve"> disclosures under Title I of ERISA made through electronic media will be deemed to satisfy the requirement of § 2520.104b-1(b). Section 2520</w:t>
      </w:r>
      <w:r w:rsidR="00BD2281">
        <w:rPr>
          <w:iCs/>
          <w:szCs w:val="24"/>
        </w:rPr>
        <w:t>.</w:t>
      </w:r>
      <w:r w:rsidRPr="00A92375">
        <w:rPr>
          <w:iCs/>
          <w:szCs w:val="24"/>
        </w:rPr>
        <w:t>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6D5B1C">
        <w:rPr>
          <w:iCs/>
          <w:szCs w:val="24"/>
        </w:rPr>
        <w:t>ubject to specific safeguards.</w:t>
      </w:r>
      <w:r w:rsidR="00A00CAA">
        <w:rPr>
          <w:iCs/>
          <w:szCs w:val="24"/>
        </w:rPr>
        <w:t xml:space="preserve"> </w:t>
      </w:r>
      <w:r w:rsidRPr="00A00CAA" w:rsidR="00A00CAA">
        <w:rPr>
          <w:iCs/>
          <w:szCs w:val="24"/>
        </w:rPr>
        <w:t xml:space="preserve">However, </w:t>
      </w:r>
      <w:r w:rsidRPr="00A00CAA" w:rsidR="00A00CAA">
        <w:rPr>
          <w:iCs/>
          <w:szCs w:val="24"/>
        </w:rPr>
        <w:t>in order to</w:t>
      </w:r>
      <w:r w:rsidRPr="00A00CAA" w:rsidR="00A00CAA">
        <w:rPr>
          <w:iCs/>
          <w:szCs w:val="24"/>
        </w:rPr>
        <w:t xml:space="preserve"> ensure access for those participants and beneficiaries who may lack the ability to access electronic media, in order to meet the conditions of 29 CFR 2520.104b-1(c), all disclosures must be provided in paper form upon request.</w:t>
      </w:r>
      <w:r w:rsidR="004B1FC6">
        <w:rPr>
          <w:iCs/>
          <w:szCs w:val="24"/>
        </w:rPr>
        <w:t xml:space="preserve"> Additionally, </w:t>
      </w:r>
      <w:r w:rsidR="00E4732A">
        <w:rPr>
          <w:iCs/>
          <w:szCs w:val="24"/>
        </w:rPr>
        <w:t xml:space="preserve">to notify all </w:t>
      </w:r>
      <w:r w:rsidR="00E4732A">
        <w:rPr>
          <w:iCs/>
          <w:szCs w:val="24"/>
        </w:rPr>
        <w:t xml:space="preserve">participants and beneficiaries </w:t>
      </w:r>
      <w:r w:rsidR="004B1FC6">
        <w:rPr>
          <w:iCs/>
          <w:szCs w:val="24"/>
        </w:rPr>
        <w:t xml:space="preserve">of a final determination of </w:t>
      </w:r>
      <w:r w:rsidR="00E4732A">
        <w:rPr>
          <w:iCs/>
          <w:szCs w:val="24"/>
        </w:rPr>
        <w:t>non</w:t>
      </w:r>
      <w:r w:rsidR="004B1FC6">
        <w:rPr>
          <w:iCs/>
          <w:szCs w:val="24"/>
        </w:rPr>
        <w:t xml:space="preserve">compliance, the plan may make the required </w:t>
      </w:r>
      <w:r w:rsidR="00E4732A">
        <w:rPr>
          <w:iCs/>
          <w:szCs w:val="24"/>
        </w:rPr>
        <w:t xml:space="preserve">notice </w:t>
      </w:r>
      <w:r w:rsidR="004B1FC6">
        <w:rPr>
          <w:iCs/>
          <w:szCs w:val="24"/>
        </w:rPr>
        <w:t>available electronically if t</w:t>
      </w:r>
      <w:r w:rsidRPr="004B1FC6" w:rsidR="004B1FC6">
        <w:rPr>
          <w:iCs/>
          <w:szCs w:val="24"/>
        </w:rPr>
        <w:t>he format is readily accessible;</w:t>
      </w:r>
      <w:r w:rsidR="004B1FC6">
        <w:rPr>
          <w:iCs/>
          <w:szCs w:val="24"/>
        </w:rPr>
        <w:t xml:space="preserve"> the</w:t>
      </w:r>
      <w:r w:rsidRPr="004B1FC6" w:rsidR="004B1FC6">
        <w:rPr>
          <w:iCs/>
          <w:szCs w:val="24"/>
        </w:rPr>
        <w:t xml:space="preserve"> notice is provided in paper form free of charge upon request; and</w:t>
      </w:r>
      <w:r w:rsidR="00E4732A">
        <w:rPr>
          <w:iCs/>
          <w:szCs w:val="24"/>
        </w:rPr>
        <w:t>,</w:t>
      </w:r>
      <w:r w:rsidR="004B1FC6">
        <w:rPr>
          <w:iCs/>
          <w:szCs w:val="24"/>
        </w:rPr>
        <w:t xml:space="preserve"> in</w:t>
      </w:r>
      <w:r w:rsidRPr="004B1FC6" w:rsidR="004B1FC6">
        <w:rPr>
          <w:iCs/>
          <w:szCs w:val="24"/>
        </w:rPr>
        <w:t xml:space="preserve"> a case in which the electronic form is an internet posting, the plan or issuer timely notifies the participant or beneficiary in paper form (such as a postcard or email</w:t>
      </w:r>
      <w:r w:rsidR="00E4732A">
        <w:rPr>
          <w:iCs/>
          <w:szCs w:val="24"/>
        </w:rPr>
        <w:t>)</w:t>
      </w:r>
      <w:r w:rsidRPr="004B1FC6" w:rsidR="004B1FC6">
        <w:rPr>
          <w:iCs/>
          <w:szCs w:val="24"/>
        </w:rPr>
        <w:t xml:space="preserve">, that the documents are available on the internet, provides the internet address, and notifies the participant or beneficiary that the documents are available in paper form upon request.  </w:t>
      </w:r>
    </w:p>
    <w:p w:rsidR="00380D0F" w:rsidRPr="00A92375" w:rsidP="006C2914" w14:paraId="15E17562" w14:textId="77777777">
      <w:pPr>
        <w:pStyle w:val="BodyText"/>
        <w:ind w:left="1080"/>
        <w:rPr>
          <w:iCs/>
          <w:szCs w:val="24"/>
        </w:rPr>
      </w:pPr>
    </w:p>
    <w:p w:rsidR="00AA1E33" w:rsidRPr="00A92375" w:rsidP="006C2914" w14:paraId="0560E2A8" w14:textId="1594D747">
      <w:pPr>
        <w:pStyle w:val="BodyText"/>
        <w:ind w:left="720"/>
        <w:rPr>
          <w:iCs/>
          <w:szCs w:val="24"/>
        </w:rPr>
      </w:pPr>
      <w:r w:rsidRPr="00A92375">
        <w:rPr>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Pr="00A92375" w:rsidP="006D5B1C" w14:paraId="70E40764" w14:textId="77777777">
      <w:pPr>
        <w:pStyle w:val="BodyText"/>
        <w:ind w:left="720"/>
        <w:rPr>
          <w:i/>
          <w:iCs/>
          <w:szCs w:val="24"/>
        </w:rPr>
      </w:pPr>
    </w:p>
    <w:p w:rsidR="008611BC" w:rsidRPr="00C20D2D" w:rsidP="00E34575" w14:paraId="76FC88A7" w14:textId="66A7A96D">
      <w:pPr>
        <w:pStyle w:val="Heading1"/>
        <w:ind w:left="720" w:hanging="720"/>
      </w:pPr>
      <w:r w:rsidRPr="00C20D2D">
        <w:t xml:space="preserve">4. </w:t>
      </w:r>
      <w:r>
        <w:tab/>
      </w:r>
      <w:r w:rsidRPr="00C20D2D" w:rsidR="00AA1E33">
        <w:t xml:space="preserve">Describe efforts to identify duplication. </w:t>
      </w:r>
      <w:r w:rsidRPr="00C20D2D">
        <w:t>Show specifically why any similar information already available cannot be used or modified for use for the purposes described in Item 2 above.</w:t>
      </w:r>
    </w:p>
    <w:p w:rsidR="00380D0F" w:rsidRPr="00A92375" w:rsidP="00B376E9" w14:paraId="51135C4A" w14:textId="77777777">
      <w:pPr>
        <w:widowControl/>
        <w:tabs>
          <w:tab w:val="left" w:pos="-1440"/>
        </w:tabs>
        <w:rPr>
          <w:b w:val="0"/>
          <w:bCs w:val="0"/>
          <w:i/>
          <w:iCs/>
          <w:sz w:val="24"/>
          <w:szCs w:val="24"/>
        </w:rPr>
      </w:pPr>
    </w:p>
    <w:p w:rsidR="003833C1" w:rsidRPr="00A92375" w:rsidP="006C2914" w14:paraId="6EC852D4" w14:textId="50717CC2">
      <w:pPr>
        <w:widowControl/>
        <w:tabs>
          <w:tab w:val="left" w:pos="-1440"/>
          <w:tab w:val="left" w:pos="630"/>
        </w:tabs>
        <w:ind w:left="720"/>
        <w:rPr>
          <w:b w:val="0"/>
          <w:bCs w:val="0"/>
          <w:sz w:val="24"/>
          <w:szCs w:val="24"/>
        </w:rPr>
      </w:pPr>
      <w:r w:rsidRPr="00A92375">
        <w:rPr>
          <w:b w:val="0"/>
          <w:bCs w:val="0"/>
          <w:sz w:val="24"/>
          <w:szCs w:val="24"/>
        </w:rPr>
        <w:t xml:space="preserve">MHPAEA amended ERISA and the Code in addition to the PHS Act. </w:t>
      </w:r>
      <w:r w:rsidR="00557845">
        <w:rPr>
          <w:b w:val="0"/>
          <w:bCs w:val="0"/>
          <w:sz w:val="24"/>
          <w:szCs w:val="24"/>
        </w:rPr>
        <w:t>The required disclosure</w:t>
      </w:r>
      <w:r w:rsidR="00DA28D6">
        <w:rPr>
          <w:b w:val="0"/>
          <w:bCs w:val="0"/>
          <w:sz w:val="24"/>
          <w:szCs w:val="24"/>
        </w:rPr>
        <w:t>s are</w:t>
      </w:r>
      <w:r w:rsidR="00557845">
        <w:rPr>
          <w:b w:val="0"/>
          <w:bCs w:val="0"/>
          <w:sz w:val="24"/>
          <w:szCs w:val="24"/>
        </w:rPr>
        <w:t xml:space="preserve"> </w:t>
      </w:r>
      <w:r w:rsidR="00295B8B">
        <w:rPr>
          <w:b w:val="0"/>
          <w:bCs w:val="0"/>
          <w:sz w:val="24"/>
          <w:szCs w:val="24"/>
        </w:rPr>
        <w:t>specific to MHPAEA.</w:t>
      </w:r>
      <w:r w:rsidR="00EE2920">
        <w:rPr>
          <w:b w:val="0"/>
          <w:bCs w:val="0"/>
          <w:sz w:val="24"/>
          <w:szCs w:val="24"/>
        </w:rPr>
        <w:t xml:space="preserve"> </w:t>
      </w:r>
      <w:r w:rsidR="00334B90">
        <w:rPr>
          <w:b w:val="0"/>
          <w:bCs w:val="0"/>
          <w:sz w:val="24"/>
          <w:szCs w:val="24"/>
        </w:rPr>
        <w:t>The Department of Health and Human Services, The Department of the Trea</w:t>
      </w:r>
      <w:r w:rsidR="00A27CB4">
        <w:rPr>
          <w:b w:val="0"/>
          <w:bCs w:val="0"/>
          <w:sz w:val="24"/>
          <w:szCs w:val="24"/>
        </w:rPr>
        <w:t>sury, and the Department of Labor have worked together</w:t>
      </w:r>
      <w:r w:rsidR="00AA0A03">
        <w:rPr>
          <w:b w:val="0"/>
          <w:bCs w:val="0"/>
          <w:sz w:val="24"/>
          <w:szCs w:val="24"/>
        </w:rPr>
        <w:t xml:space="preserve"> on rulemaking</w:t>
      </w:r>
      <w:r w:rsidR="00A27CB4">
        <w:rPr>
          <w:b w:val="0"/>
          <w:bCs w:val="0"/>
          <w:sz w:val="24"/>
          <w:szCs w:val="24"/>
        </w:rPr>
        <w:t xml:space="preserve"> </w:t>
      </w:r>
      <w:r w:rsidR="000C7AA3">
        <w:rPr>
          <w:b w:val="0"/>
          <w:bCs w:val="0"/>
          <w:sz w:val="24"/>
          <w:szCs w:val="24"/>
        </w:rPr>
        <w:t>to ensure</w:t>
      </w:r>
      <w:r w:rsidR="00AA0A03">
        <w:rPr>
          <w:b w:val="0"/>
          <w:bCs w:val="0"/>
          <w:sz w:val="24"/>
          <w:szCs w:val="24"/>
        </w:rPr>
        <w:t xml:space="preserve"> there</w:t>
      </w:r>
      <w:r w:rsidRPr="00A92375" w:rsidR="00DB582F">
        <w:rPr>
          <w:b w:val="0"/>
          <w:bCs w:val="0"/>
          <w:sz w:val="24"/>
          <w:szCs w:val="24"/>
        </w:rPr>
        <w:t xml:space="preserve"> will be no duplication</w:t>
      </w:r>
      <w:r w:rsidR="00CF79E2">
        <w:rPr>
          <w:b w:val="0"/>
          <w:bCs w:val="0"/>
          <w:sz w:val="24"/>
          <w:szCs w:val="24"/>
        </w:rPr>
        <w:t xml:space="preserve">. </w:t>
      </w:r>
      <w:r w:rsidRPr="00A92375">
        <w:rPr>
          <w:b w:val="0"/>
          <w:sz w:val="24"/>
          <w:szCs w:val="24"/>
        </w:rPr>
        <w:t>Also, the regulations provide that ERISA-covered plans (and health insurance coverage offered in connection with such plans)</w:t>
      </w:r>
      <w:r w:rsidR="00B4610A">
        <w:rPr>
          <w:b w:val="0"/>
          <w:sz w:val="24"/>
          <w:szCs w:val="24"/>
        </w:rPr>
        <w:t xml:space="preserve"> must make the reason for any denial available by the plan administrator (or health insurance issuer offering such coverage) </w:t>
      </w:r>
      <w:r w:rsidRPr="005D327A" w:rsidR="00B4610A">
        <w:rPr>
          <w:b w:val="0"/>
          <w:sz w:val="24"/>
          <w:szCs w:val="24"/>
        </w:rPr>
        <w:t xml:space="preserve">to the participant or beneficiary in a form and manner consistent with the requirements of </w:t>
      </w:r>
      <w:r w:rsidR="00B4610A">
        <w:rPr>
          <w:b w:val="0"/>
          <w:sz w:val="24"/>
          <w:szCs w:val="24"/>
        </w:rPr>
        <w:t xml:space="preserve">29 CFR </w:t>
      </w:r>
      <w:r w:rsidRPr="005D327A" w:rsidR="00B4610A">
        <w:rPr>
          <w:b w:val="0"/>
          <w:sz w:val="24"/>
          <w:szCs w:val="24"/>
        </w:rPr>
        <w:t>2560.503-</w:t>
      </w:r>
      <w:r w:rsidR="00B4610A">
        <w:rPr>
          <w:b w:val="0"/>
          <w:sz w:val="24"/>
          <w:szCs w:val="24"/>
        </w:rPr>
        <w:t>1</w:t>
      </w:r>
      <w:r w:rsidRPr="00A92375">
        <w:rPr>
          <w:b w:val="0"/>
          <w:sz w:val="24"/>
          <w:szCs w:val="24"/>
        </w:rPr>
        <w:t xml:space="preserve">. </w:t>
      </w:r>
    </w:p>
    <w:p w:rsidR="00B62EB4" w:rsidRPr="00A92375" w:rsidP="00401290" w14:paraId="161E87F4" w14:textId="77777777">
      <w:pPr>
        <w:widowControl/>
        <w:tabs>
          <w:tab w:val="left" w:pos="-1440"/>
        </w:tabs>
        <w:rPr>
          <w:b w:val="0"/>
          <w:bCs w:val="0"/>
          <w:sz w:val="24"/>
          <w:szCs w:val="24"/>
        </w:rPr>
      </w:pPr>
    </w:p>
    <w:p w:rsidR="008611BC" w:rsidP="00E34575" w14:paraId="2C5255B6" w14:textId="2028A570">
      <w:pPr>
        <w:pStyle w:val="Heading1"/>
        <w:ind w:left="720" w:hanging="720"/>
      </w:pPr>
      <w:r w:rsidRPr="00C20D2D">
        <w:t xml:space="preserve">5. </w:t>
      </w:r>
      <w:r>
        <w:tab/>
      </w:r>
      <w:r w:rsidRPr="00C20D2D">
        <w:t>If the collection of information impacts small businesses or other small en</w:t>
      </w:r>
      <w:r>
        <w:t>tities</w:t>
      </w:r>
      <w:r w:rsidRPr="00C20D2D">
        <w:t>, describe any methods used to minimize burden.</w:t>
      </w:r>
    </w:p>
    <w:p w:rsidR="00AA1E33" w:rsidRPr="00A92375" w:rsidP="00EE2920" w14:paraId="6DAEF830" w14:textId="77777777">
      <w:pPr>
        <w:widowControl/>
        <w:tabs>
          <w:tab w:val="left" w:pos="-1440"/>
        </w:tabs>
        <w:rPr>
          <w:b w:val="0"/>
          <w:bCs w:val="0"/>
          <w:i/>
          <w:iCs/>
          <w:sz w:val="24"/>
          <w:szCs w:val="24"/>
        </w:rPr>
      </w:pPr>
    </w:p>
    <w:p w:rsidR="0056371A" w:rsidRPr="00A92375" w:rsidP="006C2914" w14:paraId="6C7437CE" w14:textId="11F614E5">
      <w:pPr>
        <w:pStyle w:val="Quick1"/>
        <w:widowControl/>
        <w:numPr>
          <w:ilvl w:val="0"/>
          <w:numId w:val="0"/>
        </w:numPr>
        <w:ind w:left="720"/>
        <w:rPr>
          <w:b w:val="0"/>
          <w:bCs w:val="0"/>
          <w:sz w:val="24"/>
          <w:szCs w:val="24"/>
        </w:rPr>
      </w:pPr>
      <w:r w:rsidRPr="00A92375">
        <w:rPr>
          <w:b w:val="0"/>
          <w:bCs w:val="0"/>
          <w:sz w:val="24"/>
          <w:szCs w:val="24"/>
        </w:rPr>
        <w:t xml:space="preserve">While MHPAEA does not </w:t>
      </w:r>
      <w:r w:rsidR="00AE1B38">
        <w:rPr>
          <w:b w:val="0"/>
          <w:bCs w:val="0"/>
          <w:sz w:val="24"/>
          <w:szCs w:val="24"/>
        </w:rPr>
        <w:t xml:space="preserve">apply to </w:t>
      </w:r>
      <w:r w:rsidRPr="00A92375">
        <w:rPr>
          <w:b w:val="0"/>
          <w:bCs w:val="0"/>
          <w:sz w:val="24"/>
          <w:szCs w:val="24"/>
        </w:rPr>
        <w:t xml:space="preserve">plans </w:t>
      </w:r>
      <w:r w:rsidR="0053630E">
        <w:rPr>
          <w:b w:val="0"/>
          <w:bCs w:val="0"/>
          <w:sz w:val="24"/>
          <w:szCs w:val="24"/>
        </w:rPr>
        <w:t xml:space="preserve">sponsored by employers </w:t>
      </w:r>
      <w:r w:rsidRPr="00A92375">
        <w:rPr>
          <w:b w:val="0"/>
          <w:bCs w:val="0"/>
          <w:sz w:val="24"/>
          <w:szCs w:val="24"/>
        </w:rPr>
        <w:t xml:space="preserve">with </w:t>
      </w:r>
      <w:r w:rsidRPr="00B54621">
        <w:rPr>
          <w:b w:val="0"/>
          <w:bCs w:val="0"/>
          <w:sz w:val="24"/>
          <w:szCs w:val="24"/>
        </w:rPr>
        <w:t>50</w:t>
      </w:r>
      <w:r w:rsidR="004D5C5B">
        <w:rPr>
          <w:b w:val="0"/>
          <w:bCs w:val="0"/>
          <w:sz w:val="24"/>
          <w:szCs w:val="24"/>
        </w:rPr>
        <w:t xml:space="preserve"> or fewer</w:t>
      </w:r>
      <w:r w:rsidRPr="00B54621">
        <w:rPr>
          <w:b w:val="0"/>
          <w:bCs w:val="0"/>
          <w:sz w:val="24"/>
          <w:szCs w:val="24"/>
        </w:rPr>
        <w:t xml:space="preserve"> </w:t>
      </w:r>
      <w:r w:rsidRPr="00B54621" w:rsidR="0053630E">
        <w:rPr>
          <w:b w:val="0"/>
          <w:bCs w:val="0"/>
          <w:sz w:val="24"/>
          <w:szCs w:val="24"/>
        </w:rPr>
        <w:t>employees</w:t>
      </w:r>
      <w:r w:rsidRPr="00B54621" w:rsidR="00D3218B">
        <w:rPr>
          <w:b w:val="0"/>
          <w:bCs w:val="0"/>
          <w:sz w:val="24"/>
          <w:szCs w:val="24"/>
        </w:rPr>
        <w:t>,</w:t>
      </w:r>
      <w:r w:rsidRPr="00B54621">
        <w:rPr>
          <w:b w:val="0"/>
          <w:bCs w:val="0"/>
          <w:sz w:val="24"/>
          <w:szCs w:val="24"/>
        </w:rPr>
        <w:t xml:space="preserve"> the ACA </w:t>
      </w:r>
      <w:r w:rsidR="001F29E9">
        <w:rPr>
          <w:b w:val="0"/>
          <w:bCs w:val="0"/>
          <w:sz w:val="24"/>
          <w:szCs w:val="24"/>
        </w:rPr>
        <w:t xml:space="preserve">EHB </w:t>
      </w:r>
      <w:r w:rsidRPr="00B54621" w:rsidR="00A151B1">
        <w:rPr>
          <w:b w:val="0"/>
          <w:bCs w:val="0"/>
          <w:sz w:val="24"/>
          <w:szCs w:val="24"/>
        </w:rPr>
        <w:t>Regulation</w:t>
      </w:r>
      <w:r w:rsidRPr="00B54621" w:rsidR="00D41ACA">
        <w:rPr>
          <w:b w:val="0"/>
          <w:bCs w:val="0"/>
          <w:sz w:val="24"/>
          <w:szCs w:val="24"/>
        </w:rPr>
        <w:t xml:space="preserve"> </w:t>
      </w:r>
      <w:r w:rsidRPr="00B54621" w:rsidR="00D3218B">
        <w:rPr>
          <w:b w:val="0"/>
          <w:bCs w:val="0"/>
          <w:sz w:val="24"/>
          <w:szCs w:val="24"/>
        </w:rPr>
        <w:t xml:space="preserve">requires </w:t>
      </w:r>
      <w:r w:rsidRPr="00B54621" w:rsidR="00D41ACA">
        <w:rPr>
          <w:b w:val="0"/>
          <w:bCs w:val="0"/>
          <w:sz w:val="24"/>
          <w:szCs w:val="24"/>
        </w:rPr>
        <w:t>non-grandfath</w:t>
      </w:r>
      <w:r w:rsidRPr="00B54621" w:rsidR="00D3218B">
        <w:rPr>
          <w:b w:val="0"/>
          <w:bCs w:val="0"/>
          <w:sz w:val="24"/>
          <w:szCs w:val="24"/>
        </w:rPr>
        <w:t>e</w:t>
      </w:r>
      <w:r w:rsidRPr="00B54621" w:rsidR="00D41ACA">
        <w:rPr>
          <w:b w:val="0"/>
          <w:bCs w:val="0"/>
          <w:sz w:val="24"/>
          <w:szCs w:val="24"/>
        </w:rPr>
        <w:t>red</w:t>
      </w:r>
      <w:r w:rsidRPr="00B54621">
        <w:rPr>
          <w:b w:val="0"/>
          <w:bCs w:val="0"/>
          <w:sz w:val="24"/>
          <w:szCs w:val="24"/>
        </w:rPr>
        <w:t xml:space="preserve"> </w:t>
      </w:r>
      <w:r w:rsidR="00202C02">
        <w:rPr>
          <w:b w:val="0"/>
          <w:bCs w:val="0"/>
          <w:sz w:val="24"/>
          <w:szCs w:val="24"/>
        </w:rPr>
        <w:t>fully-insured</w:t>
      </w:r>
      <w:r w:rsidR="00202C02">
        <w:rPr>
          <w:b w:val="0"/>
          <w:bCs w:val="0"/>
          <w:sz w:val="24"/>
          <w:szCs w:val="24"/>
        </w:rPr>
        <w:t xml:space="preserve"> </w:t>
      </w:r>
      <w:r w:rsidRPr="00B54621">
        <w:rPr>
          <w:b w:val="0"/>
          <w:bCs w:val="0"/>
          <w:sz w:val="24"/>
          <w:szCs w:val="24"/>
        </w:rPr>
        <w:t>plans</w:t>
      </w:r>
      <w:r w:rsidRPr="00B54621" w:rsidR="00D41ACA">
        <w:rPr>
          <w:b w:val="0"/>
          <w:bCs w:val="0"/>
          <w:sz w:val="24"/>
          <w:szCs w:val="24"/>
        </w:rPr>
        <w:t xml:space="preserve"> </w:t>
      </w:r>
      <w:r w:rsidRPr="00B54621" w:rsidR="0053630E">
        <w:rPr>
          <w:b w:val="0"/>
          <w:bCs w:val="0"/>
          <w:sz w:val="24"/>
          <w:szCs w:val="24"/>
        </w:rPr>
        <w:t xml:space="preserve">in the small group market sponsored by employers </w:t>
      </w:r>
      <w:r w:rsidRPr="00B54621" w:rsidR="00D41ACA">
        <w:rPr>
          <w:b w:val="0"/>
          <w:bCs w:val="0"/>
          <w:sz w:val="24"/>
          <w:szCs w:val="24"/>
        </w:rPr>
        <w:t>with 50</w:t>
      </w:r>
      <w:r w:rsidR="004D5C5B">
        <w:rPr>
          <w:b w:val="0"/>
          <w:bCs w:val="0"/>
          <w:sz w:val="24"/>
          <w:szCs w:val="24"/>
        </w:rPr>
        <w:t xml:space="preserve"> or fewer</w:t>
      </w:r>
      <w:r w:rsidRPr="00A92375" w:rsidR="00D41ACA">
        <w:rPr>
          <w:b w:val="0"/>
          <w:bCs w:val="0"/>
          <w:sz w:val="24"/>
          <w:szCs w:val="24"/>
        </w:rPr>
        <w:t xml:space="preserve"> </w:t>
      </w:r>
      <w:r w:rsidR="0053630E">
        <w:rPr>
          <w:b w:val="0"/>
          <w:bCs w:val="0"/>
          <w:sz w:val="24"/>
          <w:szCs w:val="24"/>
        </w:rPr>
        <w:t xml:space="preserve">employees) </w:t>
      </w:r>
      <w:r w:rsidRPr="00A92375" w:rsidR="00D3218B">
        <w:rPr>
          <w:b w:val="0"/>
          <w:bCs w:val="0"/>
          <w:sz w:val="24"/>
          <w:szCs w:val="24"/>
        </w:rPr>
        <w:t>to comply with MHPAEA</w:t>
      </w:r>
      <w:r w:rsidR="0053630E">
        <w:rPr>
          <w:b w:val="0"/>
          <w:bCs w:val="0"/>
          <w:sz w:val="24"/>
          <w:szCs w:val="24"/>
        </w:rPr>
        <w:t xml:space="preserve"> in order to satisfy the requirement to provide EHB</w:t>
      </w:r>
      <w:r w:rsidRPr="00A92375">
        <w:rPr>
          <w:b w:val="0"/>
          <w:bCs w:val="0"/>
          <w:sz w:val="24"/>
          <w:szCs w:val="24"/>
        </w:rPr>
        <w:t xml:space="preserve">. </w:t>
      </w:r>
      <w:r w:rsidRPr="00A92375" w:rsidR="00A151B1">
        <w:rPr>
          <w:b w:val="0"/>
          <w:bCs w:val="0"/>
          <w:sz w:val="24"/>
          <w:szCs w:val="24"/>
        </w:rPr>
        <w:t>To help minimize burden</w:t>
      </w:r>
      <w:r w:rsidRPr="00A92375" w:rsidR="00D3218B">
        <w:rPr>
          <w:b w:val="0"/>
          <w:bCs w:val="0"/>
          <w:sz w:val="24"/>
          <w:szCs w:val="24"/>
        </w:rPr>
        <w:t>,</w:t>
      </w:r>
      <w:r w:rsidRPr="00A92375" w:rsidR="00A151B1">
        <w:rPr>
          <w:b w:val="0"/>
          <w:bCs w:val="0"/>
          <w:sz w:val="24"/>
          <w:szCs w:val="24"/>
        </w:rPr>
        <w:t xml:space="preserve"> </w:t>
      </w:r>
      <w:r w:rsidRPr="00A92375" w:rsidR="00D3218B">
        <w:rPr>
          <w:b w:val="0"/>
          <w:bCs w:val="0"/>
          <w:sz w:val="24"/>
          <w:szCs w:val="24"/>
        </w:rPr>
        <w:t>the regulation</w:t>
      </w:r>
      <w:r w:rsidRPr="00A92375" w:rsidR="003860F7">
        <w:rPr>
          <w:b w:val="0"/>
          <w:bCs w:val="0"/>
          <w:sz w:val="24"/>
          <w:szCs w:val="24"/>
        </w:rPr>
        <w:t>s</w:t>
      </w:r>
      <w:r w:rsidRPr="00A92375" w:rsidR="00D3218B">
        <w:rPr>
          <w:b w:val="0"/>
          <w:bCs w:val="0"/>
          <w:sz w:val="24"/>
          <w:szCs w:val="24"/>
        </w:rPr>
        <w:t xml:space="preserve"> provide</w:t>
      </w:r>
      <w:r w:rsidRPr="00A92375" w:rsidR="003860F7">
        <w:rPr>
          <w:b w:val="0"/>
          <w:bCs w:val="0"/>
          <w:sz w:val="24"/>
          <w:szCs w:val="24"/>
        </w:rPr>
        <w:t xml:space="preserve"> </w:t>
      </w:r>
      <w:r w:rsidRPr="00A92375" w:rsidR="00D3218B">
        <w:rPr>
          <w:b w:val="0"/>
          <w:bCs w:val="0"/>
          <w:sz w:val="24"/>
          <w:szCs w:val="24"/>
        </w:rPr>
        <w:t xml:space="preserve">that </w:t>
      </w:r>
      <w:r w:rsidRPr="00A92375" w:rsidR="00A151B1">
        <w:rPr>
          <w:b w:val="0"/>
          <w:sz w:val="24"/>
          <w:szCs w:val="24"/>
        </w:rPr>
        <w:t xml:space="preserve">ERISA-covered plans (and health insurance coverage offered in connection with such plans) </w:t>
      </w:r>
      <w:r w:rsidR="00B4610A">
        <w:rPr>
          <w:b w:val="0"/>
          <w:sz w:val="24"/>
          <w:szCs w:val="24"/>
        </w:rPr>
        <w:t xml:space="preserve">must make the reason for any denial available by the plan administrator (or health insurance issuer offering such coverage) </w:t>
      </w:r>
      <w:r w:rsidRPr="005D327A" w:rsidR="00B4610A">
        <w:rPr>
          <w:b w:val="0"/>
          <w:sz w:val="24"/>
          <w:szCs w:val="24"/>
        </w:rPr>
        <w:t xml:space="preserve">to the participant or beneficiary in a form and manner consistent with the requirements of </w:t>
      </w:r>
      <w:r w:rsidR="00B4610A">
        <w:rPr>
          <w:b w:val="0"/>
          <w:sz w:val="24"/>
          <w:szCs w:val="24"/>
        </w:rPr>
        <w:t xml:space="preserve">29 CFR </w:t>
      </w:r>
      <w:r w:rsidRPr="005D327A" w:rsidR="00B4610A">
        <w:rPr>
          <w:b w:val="0"/>
          <w:sz w:val="24"/>
          <w:szCs w:val="24"/>
        </w:rPr>
        <w:t>2560.503-</w:t>
      </w:r>
      <w:r w:rsidR="00B4610A">
        <w:rPr>
          <w:b w:val="0"/>
          <w:sz w:val="24"/>
          <w:szCs w:val="24"/>
        </w:rPr>
        <w:t>1</w:t>
      </w:r>
      <w:r w:rsidRPr="00A92375" w:rsidR="00A151B1">
        <w:rPr>
          <w:b w:val="0"/>
          <w:sz w:val="24"/>
          <w:szCs w:val="24"/>
        </w:rPr>
        <w:t>.</w:t>
      </w:r>
    </w:p>
    <w:p w:rsidR="00AF6B8B" w:rsidRPr="00A92375" w:rsidP="006D5B1C" w14:paraId="418DC91B" w14:textId="77777777">
      <w:pPr>
        <w:pStyle w:val="Quick1"/>
        <w:widowControl/>
        <w:numPr>
          <w:ilvl w:val="0"/>
          <w:numId w:val="0"/>
        </w:numPr>
        <w:ind w:left="720"/>
        <w:rPr>
          <w:b w:val="0"/>
          <w:bCs w:val="0"/>
          <w:sz w:val="24"/>
          <w:szCs w:val="24"/>
        </w:rPr>
      </w:pPr>
    </w:p>
    <w:p w:rsidR="00C23F23" w:rsidRPr="00C20D2D" w:rsidP="00E34575" w14:paraId="7768E09B" w14:textId="33B7A13D">
      <w:pPr>
        <w:pStyle w:val="Heading1"/>
        <w:ind w:left="720" w:hanging="720"/>
      </w:pPr>
      <w:r w:rsidRPr="00C20D2D">
        <w:t xml:space="preserve">6. </w:t>
      </w:r>
      <w:r>
        <w:tab/>
      </w:r>
      <w:r w:rsidRPr="00C20D2D">
        <w:t xml:space="preserve">Describe the consequence to Federal program or policy activities if the collection is not conducted or is conducted less frequently, as well as any technical or legal </w:t>
      </w:r>
      <w:r w:rsidRPr="00C20D2D">
        <w:t>obstacles to reducing burden.</w:t>
      </w:r>
    </w:p>
    <w:p w:rsidR="00AA1E33" w:rsidRPr="00A92375" w:rsidP="00EE2920" w14:paraId="0D7D854F" w14:textId="77777777">
      <w:pPr>
        <w:widowControl/>
        <w:tabs>
          <w:tab w:val="left" w:pos="-1440"/>
        </w:tabs>
        <w:rPr>
          <w:b w:val="0"/>
          <w:bCs w:val="0"/>
          <w:i/>
          <w:iCs/>
          <w:sz w:val="24"/>
          <w:szCs w:val="24"/>
        </w:rPr>
      </w:pPr>
    </w:p>
    <w:p w:rsidR="0056371A" w:rsidRPr="00A92375" w:rsidP="006C2914" w14:paraId="236FE9DD" w14:textId="2C7B6F60">
      <w:pPr>
        <w:widowControl/>
        <w:tabs>
          <w:tab w:val="left" w:pos="-1440"/>
        </w:tabs>
        <w:ind w:left="720"/>
        <w:rPr>
          <w:b w:val="0"/>
          <w:bCs w:val="0"/>
          <w:sz w:val="24"/>
          <w:szCs w:val="24"/>
        </w:rPr>
      </w:pPr>
      <w:r>
        <w:rPr>
          <w:b w:val="0"/>
          <w:bCs w:val="0"/>
          <w:sz w:val="24"/>
          <w:szCs w:val="24"/>
        </w:rPr>
        <w:t xml:space="preserve">Part of this </w:t>
      </w:r>
      <w:r w:rsidRPr="00A92375" w:rsidR="001F098D">
        <w:rPr>
          <w:b w:val="0"/>
          <w:bCs w:val="0"/>
          <w:sz w:val="24"/>
          <w:szCs w:val="24"/>
        </w:rPr>
        <w:t>information collection arise</w:t>
      </w:r>
      <w:r w:rsidRPr="00A92375" w:rsidR="00424E2C">
        <w:rPr>
          <w:b w:val="0"/>
          <w:bCs w:val="0"/>
          <w:sz w:val="24"/>
          <w:szCs w:val="24"/>
        </w:rPr>
        <w:t>s</w:t>
      </w:r>
      <w:r w:rsidRPr="00A92375" w:rsidR="001F098D">
        <w:rPr>
          <w:b w:val="0"/>
          <w:bCs w:val="0"/>
          <w:sz w:val="24"/>
          <w:szCs w:val="24"/>
        </w:rPr>
        <w:t xml:space="preserve"> in connection with the occurrence of individual claims for benefits and consist</w:t>
      </w:r>
      <w:r w:rsidRPr="00A92375" w:rsidR="00424E2C">
        <w:rPr>
          <w:b w:val="0"/>
          <w:bCs w:val="0"/>
          <w:sz w:val="24"/>
          <w:szCs w:val="24"/>
        </w:rPr>
        <w:t>s</w:t>
      </w:r>
      <w:r w:rsidRPr="00A92375" w:rsidR="001F098D">
        <w:rPr>
          <w:b w:val="0"/>
          <w:bCs w:val="0"/>
          <w:sz w:val="24"/>
          <w:szCs w:val="24"/>
        </w:rPr>
        <w:t xml:space="preserve"> of third-party notices and disclosures. </w:t>
      </w:r>
      <w:r w:rsidR="002311D7">
        <w:rPr>
          <w:b w:val="0"/>
          <w:bCs w:val="0"/>
          <w:sz w:val="24"/>
          <w:szCs w:val="24"/>
        </w:rPr>
        <w:t>If</w:t>
      </w:r>
      <w:r w:rsidRPr="00A92375" w:rsidR="001F098D">
        <w:rPr>
          <w:b w:val="0"/>
          <w:bCs w:val="0"/>
          <w:sz w:val="24"/>
          <w:szCs w:val="24"/>
        </w:rPr>
        <w:t xml:space="preserve"> the plans and issuers do not provide the disclosures or provide those disclosures less frequently, the Federal policy goals underlying MHPAEA would be </w:t>
      </w:r>
      <w:r w:rsidRPr="00A92375" w:rsidR="00DB582F">
        <w:rPr>
          <w:b w:val="0"/>
          <w:bCs w:val="0"/>
          <w:sz w:val="24"/>
          <w:szCs w:val="24"/>
        </w:rPr>
        <w:t>impeded</w:t>
      </w:r>
      <w:r w:rsidRPr="00A92375" w:rsidR="001F098D">
        <w:rPr>
          <w:b w:val="0"/>
          <w:bCs w:val="0"/>
          <w:sz w:val="24"/>
          <w:szCs w:val="24"/>
        </w:rPr>
        <w:t xml:space="preserve">. Access to information about reasons for denials and medical necessity criteria enables participants, beneficiaries, and health care providers to better utilize health care resources which in turn may result in better treatment for </w:t>
      </w:r>
      <w:r>
        <w:rPr>
          <w:b w:val="0"/>
          <w:bCs w:val="0"/>
          <w:sz w:val="24"/>
          <w:szCs w:val="24"/>
        </w:rPr>
        <w:t xml:space="preserve">MH </w:t>
      </w:r>
      <w:r w:rsidRPr="00A92375" w:rsidR="001F098D">
        <w:rPr>
          <w:b w:val="0"/>
          <w:bCs w:val="0"/>
          <w:sz w:val="24"/>
          <w:szCs w:val="24"/>
        </w:rPr>
        <w:t>conditions</w:t>
      </w:r>
      <w:r>
        <w:rPr>
          <w:b w:val="0"/>
          <w:bCs w:val="0"/>
          <w:sz w:val="24"/>
          <w:szCs w:val="24"/>
        </w:rPr>
        <w:t xml:space="preserve"> and SUDs</w:t>
      </w:r>
      <w:r w:rsidRPr="00A92375" w:rsidR="000F4C95">
        <w:rPr>
          <w:b w:val="0"/>
          <w:bCs w:val="0"/>
          <w:sz w:val="24"/>
          <w:szCs w:val="24"/>
        </w:rPr>
        <w:t xml:space="preserve">. </w:t>
      </w:r>
      <w:r w:rsidR="005319A3">
        <w:rPr>
          <w:b w:val="0"/>
          <w:bCs w:val="0"/>
          <w:sz w:val="24"/>
          <w:szCs w:val="24"/>
        </w:rPr>
        <w:t>The required</w:t>
      </w:r>
      <w:r w:rsidRPr="00A92375" w:rsidR="001F098D">
        <w:rPr>
          <w:b w:val="0"/>
          <w:bCs w:val="0"/>
          <w:sz w:val="24"/>
          <w:szCs w:val="24"/>
        </w:rPr>
        <w:t xml:space="preserve"> disclosures make it easier to </w:t>
      </w:r>
      <w:r w:rsidRPr="00A92375" w:rsidR="00DB582F">
        <w:rPr>
          <w:b w:val="0"/>
          <w:bCs w:val="0"/>
          <w:sz w:val="24"/>
          <w:szCs w:val="24"/>
        </w:rPr>
        <w:t>determine w</w:t>
      </w:r>
      <w:r w:rsidRPr="00A92375" w:rsidR="001F098D">
        <w:rPr>
          <w:b w:val="0"/>
          <w:bCs w:val="0"/>
          <w:sz w:val="24"/>
          <w:szCs w:val="24"/>
        </w:rPr>
        <w:t xml:space="preserve">hether plans are making decisions about </w:t>
      </w:r>
      <w:r w:rsidR="004E2019">
        <w:rPr>
          <w:b w:val="0"/>
          <w:bCs w:val="0"/>
          <w:sz w:val="24"/>
          <w:szCs w:val="24"/>
        </w:rPr>
        <w:t xml:space="preserve">MH/SUD </w:t>
      </w:r>
      <w:r w:rsidRPr="00A92375" w:rsidR="001F098D">
        <w:rPr>
          <w:b w:val="0"/>
          <w:bCs w:val="0"/>
          <w:sz w:val="24"/>
          <w:szCs w:val="24"/>
        </w:rPr>
        <w:t xml:space="preserve">conditions in parity to those made </w:t>
      </w:r>
      <w:r w:rsidR="006D5B1C">
        <w:rPr>
          <w:b w:val="0"/>
          <w:bCs w:val="0"/>
          <w:sz w:val="24"/>
          <w:szCs w:val="24"/>
        </w:rPr>
        <w:t>regarding med</w:t>
      </w:r>
      <w:r w:rsidR="004E2019">
        <w:rPr>
          <w:b w:val="0"/>
          <w:bCs w:val="0"/>
          <w:sz w:val="24"/>
          <w:szCs w:val="24"/>
        </w:rPr>
        <w:t>ical</w:t>
      </w:r>
      <w:r w:rsidR="006D5B1C">
        <w:rPr>
          <w:b w:val="0"/>
          <w:bCs w:val="0"/>
          <w:sz w:val="24"/>
          <w:szCs w:val="24"/>
        </w:rPr>
        <w:t>/surg</w:t>
      </w:r>
      <w:r w:rsidR="004E2019">
        <w:rPr>
          <w:b w:val="0"/>
          <w:bCs w:val="0"/>
          <w:sz w:val="24"/>
          <w:szCs w:val="24"/>
        </w:rPr>
        <w:t>ical</w:t>
      </w:r>
      <w:r w:rsidR="006D5B1C">
        <w:rPr>
          <w:b w:val="0"/>
          <w:bCs w:val="0"/>
          <w:sz w:val="24"/>
          <w:szCs w:val="24"/>
        </w:rPr>
        <w:t xml:space="preserve"> conditions.</w:t>
      </w:r>
    </w:p>
    <w:p w:rsidR="00066334" w:rsidP="006D5B1C" w14:paraId="176B85AD" w14:textId="77777777">
      <w:pPr>
        <w:widowControl/>
        <w:tabs>
          <w:tab w:val="left" w:pos="-1440"/>
        </w:tabs>
        <w:ind w:left="720"/>
        <w:rPr>
          <w:b w:val="0"/>
          <w:bCs w:val="0"/>
          <w:sz w:val="24"/>
          <w:szCs w:val="24"/>
        </w:rPr>
      </w:pPr>
    </w:p>
    <w:p w:rsidR="00066334" w:rsidP="006C2914" w14:paraId="12F3EEC7" w14:textId="77777777">
      <w:pPr>
        <w:widowControl/>
        <w:tabs>
          <w:tab w:val="left" w:pos="-1440"/>
        </w:tabs>
        <w:ind w:left="720"/>
        <w:rPr>
          <w:rFonts w:eastAsiaTheme="minorHAnsi"/>
          <w:b w:val="0"/>
          <w:bCs w:val="0"/>
          <w:sz w:val="24"/>
          <w:szCs w:val="24"/>
        </w:rPr>
      </w:pPr>
      <w:r>
        <w:rPr>
          <w:rFonts w:eastAsiaTheme="minorHAnsi"/>
          <w:b w:val="0"/>
          <w:bCs w:val="0"/>
          <w:sz w:val="24"/>
          <w:szCs w:val="24"/>
        </w:rPr>
        <w:t xml:space="preserve">The Department will use the </w:t>
      </w:r>
      <w:r w:rsidRPr="00237EEB">
        <w:rPr>
          <w:rFonts w:eastAsiaTheme="minorHAnsi"/>
          <w:b w:val="0"/>
          <w:bCs w:val="0"/>
          <w:sz w:val="24"/>
          <w:szCs w:val="24"/>
        </w:rPr>
        <w:t>comparative analyses of the design and application of NQTLs</w:t>
      </w:r>
      <w:r>
        <w:rPr>
          <w:rFonts w:eastAsiaTheme="minorHAnsi"/>
          <w:b w:val="0"/>
          <w:bCs w:val="0"/>
          <w:sz w:val="24"/>
          <w:szCs w:val="24"/>
        </w:rPr>
        <w:t xml:space="preserve"> to help enforce the requirements of MHPAEA and to provide a required report to Congress.</w:t>
      </w:r>
    </w:p>
    <w:p w:rsidR="004C1B75" w:rsidRPr="00A92375" w:rsidP="00F0391B" w14:paraId="331C1339" w14:textId="77777777">
      <w:pPr>
        <w:widowControl/>
        <w:tabs>
          <w:tab w:val="left" w:pos="-1440"/>
        </w:tabs>
        <w:ind w:firstLine="720"/>
        <w:rPr>
          <w:b w:val="0"/>
          <w:bCs w:val="0"/>
          <w:sz w:val="24"/>
          <w:szCs w:val="24"/>
        </w:rPr>
      </w:pPr>
    </w:p>
    <w:p w:rsidR="001B5409" w:rsidRPr="00C20D2D" w:rsidP="00E34575" w14:paraId="24C02354" w14:textId="00A34DDE">
      <w:pPr>
        <w:pStyle w:val="Heading1"/>
        <w:ind w:left="720" w:hanging="720"/>
      </w:pPr>
      <w:r w:rsidRPr="00C20D2D">
        <w:t xml:space="preserve">7. </w:t>
      </w:r>
      <w:r>
        <w:tab/>
      </w:r>
      <w:r w:rsidRPr="00C20D2D">
        <w:t>Explain any special circumstances that would cause an information collection to be conducted in a manner:</w:t>
      </w:r>
    </w:p>
    <w:p w:rsidR="001B5409" w:rsidRPr="00C20D2D" w:rsidP="001B5409" w14:paraId="7A181DE9"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report information to the agency more often than </w:t>
      </w:r>
      <w:r w:rsidRPr="00C20D2D">
        <w:rPr>
          <w:bCs w:val="0"/>
          <w:iCs/>
          <w:sz w:val="24"/>
          <w:szCs w:val="24"/>
        </w:rPr>
        <w:t>quarterly;</w:t>
      </w:r>
    </w:p>
    <w:p w:rsidR="001B5409" w:rsidRPr="00C20D2D" w:rsidP="001B5409" w14:paraId="0A407007"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prepare a written response to a collection of information in fewer than 30 days after receipt of </w:t>
      </w:r>
      <w:r w:rsidRPr="00C20D2D">
        <w:rPr>
          <w:bCs w:val="0"/>
          <w:iCs/>
          <w:sz w:val="24"/>
          <w:szCs w:val="24"/>
        </w:rPr>
        <w:t>it;</w:t>
      </w:r>
    </w:p>
    <w:p w:rsidR="001B5409" w:rsidRPr="00C20D2D" w:rsidP="001B5409" w14:paraId="65168419"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submit more than an original and two copies of any </w:t>
      </w:r>
      <w:r w:rsidRPr="00C20D2D">
        <w:rPr>
          <w:bCs w:val="0"/>
          <w:iCs/>
          <w:sz w:val="24"/>
          <w:szCs w:val="24"/>
        </w:rPr>
        <w:t>document;</w:t>
      </w:r>
    </w:p>
    <w:p w:rsidR="001B5409" w:rsidRPr="00C20D2D" w:rsidP="001B5409" w14:paraId="2BD69ED5" w14:textId="77777777">
      <w:pPr>
        <w:widowControl/>
        <w:numPr>
          <w:ilvl w:val="0"/>
          <w:numId w:val="11"/>
        </w:numPr>
        <w:tabs>
          <w:tab w:val="left" w:pos="-1440"/>
        </w:tabs>
        <w:rPr>
          <w:bCs w:val="0"/>
          <w:iCs/>
          <w:sz w:val="24"/>
          <w:szCs w:val="24"/>
        </w:rPr>
      </w:pPr>
      <w:r w:rsidRPr="00C20D2D">
        <w:rPr>
          <w:bCs w:val="0"/>
          <w:iCs/>
          <w:sz w:val="24"/>
          <w:szCs w:val="24"/>
        </w:rPr>
        <w:t xml:space="preserve">requiring respondents to retain records, other than health, medical, government contract, grant-in-aid, or tax records for more than three </w:t>
      </w:r>
      <w:r w:rsidRPr="00C20D2D">
        <w:rPr>
          <w:bCs w:val="0"/>
          <w:iCs/>
          <w:sz w:val="24"/>
          <w:szCs w:val="24"/>
        </w:rPr>
        <w:t>years;</w:t>
      </w:r>
    </w:p>
    <w:p w:rsidR="001B5409" w:rsidRPr="00C20D2D" w:rsidP="001B5409" w14:paraId="63980C7F" w14:textId="77777777">
      <w:pPr>
        <w:widowControl/>
        <w:numPr>
          <w:ilvl w:val="0"/>
          <w:numId w:val="11"/>
        </w:numPr>
        <w:tabs>
          <w:tab w:val="left" w:pos="-1440"/>
        </w:tabs>
        <w:rPr>
          <w:bCs w:val="0"/>
          <w:iCs/>
          <w:sz w:val="24"/>
          <w:szCs w:val="24"/>
        </w:rPr>
      </w:pPr>
      <w:r w:rsidRPr="00C20D2D">
        <w:rPr>
          <w:bCs w:val="0"/>
          <w:iCs/>
          <w:sz w:val="24"/>
          <w:szCs w:val="24"/>
        </w:rPr>
        <w:t xml:space="preserve">in connection with a statistical survey, that is not designed to produce valid and reliable results that can be generalized to the universe of </w:t>
      </w:r>
      <w:r w:rsidRPr="00C20D2D">
        <w:rPr>
          <w:bCs w:val="0"/>
          <w:iCs/>
          <w:sz w:val="24"/>
          <w:szCs w:val="24"/>
        </w:rPr>
        <w:t>study;</w:t>
      </w:r>
    </w:p>
    <w:p w:rsidR="001B5409" w:rsidRPr="00C20D2D" w:rsidP="001B5409" w14:paraId="5B244A0A" w14:textId="77777777">
      <w:pPr>
        <w:widowControl/>
        <w:numPr>
          <w:ilvl w:val="0"/>
          <w:numId w:val="11"/>
        </w:numPr>
        <w:tabs>
          <w:tab w:val="left" w:pos="-1440"/>
        </w:tabs>
        <w:rPr>
          <w:bCs w:val="0"/>
          <w:iCs/>
          <w:sz w:val="24"/>
          <w:szCs w:val="24"/>
        </w:rPr>
      </w:pPr>
      <w:r w:rsidRPr="00C20D2D">
        <w:rPr>
          <w:bCs w:val="0"/>
          <w:iCs/>
          <w:sz w:val="24"/>
          <w:szCs w:val="24"/>
        </w:rPr>
        <w:t xml:space="preserve">requiring the use of a statistical data classification that has not been reviewed and approved by </w:t>
      </w:r>
      <w:r w:rsidRPr="00C20D2D">
        <w:rPr>
          <w:bCs w:val="0"/>
          <w:iCs/>
          <w:sz w:val="24"/>
          <w:szCs w:val="24"/>
        </w:rPr>
        <w:t>OMB;</w:t>
      </w:r>
    </w:p>
    <w:p w:rsidR="001B5409" w:rsidP="001B5409" w14:paraId="1A393CAC" w14:textId="77777777">
      <w:pPr>
        <w:widowControl/>
        <w:numPr>
          <w:ilvl w:val="0"/>
          <w:numId w:val="11"/>
        </w:numPr>
        <w:tabs>
          <w:tab w:val="left" w:pos="-1440"/>
        </w:tabs>
        <w:rPr>
          <w:bCs w:val="0"/>
          <w:iCs/>
          <w:sz w:val="24"/>
          <w:szCs w:val="24"/>
        </w:rPr>
      </w:pPr>
      <w:r w:rsidRPr="00C20D2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5409" w:rsidP="001B5409" w14:paraId="20D96090" w14:textId="77777777">
      <w:pPr>
        <w:widowControl/>
        <w:numPr>
          <w:ilvl w:val="0"/>
          <w:numId w:val="11"/>
        </w:numPr>
        <w:tabs>
          <w:tab w:val="left" w:pos="-1440"/>
        </w:tabs>
        <w:rPr>
          <w:bCs w:val="0"/>
          <w:iCs/>
          <w:sz w:val="24"/>
          <w:szCs w:val="24"/>
        </w:rPr>
      </w:pPr>
      <w:r w:rsidRPr="00C20D2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Pr="00A92375" w:rsidP="00165DCD" w14:paraId="4E5A3221" w14:textId="77777777">
      <w:pPr>
        <w:widowControl/>
        <w:tabs>
          <w:tab w:val="left" w:pos="-1440"/>
        </w:tabs>
        <w:rPr>
          <w:b w:val="0"/>
          <w:bCs w:val="0"/>
          <w:i/>
          <w:iCs/>
          <w:sz w:val="24"/>
          <w:szCs w:val="24"/>
        </w:rPr>
      </w:pPr>
    </w:p>
    <w:p w:rsidR="00AA1E33" w:rsidRPr="00A92375" w:rsidP="00A61ACE" w14:paraId="7541F034" w14:textId="2F0777E2">
      <w:pPr>
        <w:pStyle w:val="BodyTextIndent2"/>
        <w:widowControl/>
        <w:ind w:left="720" w:firstLine="0"/>
        <w:rPr>
          <w:b w:val="0"/>
          <w:bCs w:val="0"/>
          <w:szCs w:val="24"/>
        </w:rPr>
      </w:pPr>
      <w:r>
        <w:rPr>
          <w:b w:val="0"/>
          <w:bCs w:val="0"/>
          <w:szCs w:val="24"/>
        </w:rPr>
        <w:t xml:space="preserve">There are no special circumstances in this information collection. </w:t>
      </w:r>
    </w:p>
    <w:p w:rsidR="00AA1E33" w:rsidRPr="00A92375" w:rsidP="00A61ACE" w14:paraId="7DA90162" w14:textId="77777777">
      <w:pPr>
        <w:widowControl/>
        <w:tabs>
          <w:tab w:val="left" w:pos="-1440"/>
        </w:tabs>
        <w:ind w:left="720"/>
        <w:rPr>
          <w:b w:val="0"/>
          <w:bCs w:val="0"/>
          <w:sz w:val="24"/>
          <w:szCs w:val="24"/>
        </w:rPr>
      </w:pPr>
    </w:p>
    <w:p w:rsidR="00267932" w:rsidRPr="008E3DFC" w:rsidP="00E34575" w14:paraId="57A70E9A" w14:textId="48F967BC">
      <w:pPr>
        <w:pStyle w:val="Heading1"/>
        <w:ind w:left="720" w:hanging="720"/>
      </w:pPr>
      <w:r w:rsidRPr="008E3DFC">
        <w:t xml:space="preserve">8. </w:t>
      </w:r>
      <w:r>
        <w:tab/>
      </w:r>
      <w:r w:rsidRPr="008E3DFC" w:rsidR="00AA1E33">
        <w:t xml:space="preserve">If applicable, provide a copy and identify the date and page number of </w:t>
      </w:r>
      <w:r w:rsidRPr="008E3DFC" w:rsidR="00AA1E33">
        <w:t>publication</w:t>
      </w:r>
      <w:r w:rsidRPr="008E3DFC" w:rsidR="00AA1E33">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7932" w:rsidRPr="008E3DFC" w:rsidP="00267932" w14:paraId="3EE8097B" w14:textId="77777777">
      <w:pPr>
        <w:widowControl/>
        <w:rPr>
          <w:bCs w:val="0"/>
          <w:iCs/>
          <w:sz w:val="24"/>
          <w:szCs w:val="24"/>
        </w:rPr>
      </w:pPr>
    </w:p>
    <w:p w:rsidR="00267932" w:rsidRPr="008E3DFC" w:rsidP="00267932" w14:paraId="66C07DDC" w14:textId="77777777">
      <w:pPr>
        <w:pStyle w:val="BodyText3"/>
        <w:ind w:left="720"/>
        <w:rPr>
          <w:bCs w:val="0"/>
          <w:i w:val="0"/>
          <w:sz w:val="24"/>
          <w:szCs w:val="24"/>
        </w:rPr>
      </w:pPr>
      <w:r w:rsidRPr="008E3DFC">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7932" w:rsidRPr="008E3DFC" w:rsidP="00267932" w14:paraId="01A95A62" w14:textId="77777777">
      <w:pPr>
        <w:widowControl/>
        <w:ind w:left="720"/>
        <w:rPr>
          <w:bCs w:val="0"/>
          <w:iCs/>
          <w:sz w:val="24"/>
          <w:szCs w:val="24"/>
        </w:rPr>
      </w:pPr>
    </w:p>
    <w:p w:rsidR="00267932" w:rsidP="00267932" w14:paraId="58FD25EF" w14:textId="449015F8">
      <w:pPr>
        <w:pStyle w:val="BodyText3"/>
        <w:ind w:left="720"/>
        <w:rPr>
          <w:bCs w:val="0"/>
          <w:i w:val="0"/>
          <w:sz w:val="24"/>
          <w:szCs w:val="24"/>
        </w:rPr>
      </w:pPr>
      <w:r w:rsidRPr="008E3DFC">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D063E" w:rsidRPr="00C91B0D" w:rsidP="00267932" w14:paraId="277938E7" w14:textId="310804DB">
      <w:pPr>
        <w:pStyle w:val="BodyText3"/>
        <w:ind w:left="720"/>
        <w:rPr>
          <w:b w:val="0"/>
          <w:bCs w:val="0"/>
          <w:i w:val="0"/>
          <w:sz w:val="32"/>
          <w:szCs w:val="32"/>
        </w:rPr>
      </w:pPr>
    </w:p>
    <w:p w:rsidR="0093352F" w:rsidRPr="00C91B0D" w:rsidP="0093352F" w14:paraId="397165BD" w14:textId="549AAA51">
      <w:pPr>
        <w:widowControl/>
        <w:ind w:left="720"/>
        <w:rPr>
          <w:b w:val="0"/>
          <w:bCs w:val="0"/>
          <w:iCs/>
          <w:sz w:val="24"/>
          <w:szCs w:val="24"/>
        </w:rPr>
      </w:pPr>
      <w:r w:rsidRPr="00C91B0D">
        <w:rPr>
          <w:b w:val="0"/>
          <w:bCs w:val="0"/>
          <w:iCs/>
          <w:sz w:val="24"/>
          <w:szCs w:val="24"/>
        </w:rPr>
        <w:t xml:space="preserve">The Departments’ notice required by 5 CFR 1320.8(d), which provided the public with 60 days to comment on the information collection under the </w:t>
      </w:r>
      <w:r w:rsidR="009A38C8">
        <w:rPr>
          <w:b w:val="0"/>
          <w:bCs w:val="0"/>
          <w:iCs/>
          <w:sz w:val="24"/>
          <w:szCs w:val="24"/>
        </w:rPr>
        <w:t>proposed</w:t>
      </w:r>
      <w:r w:rsidRPr="00C91B0D">
        <w:rPr>
          <w:b w:val="0"/>
          <w:bCs w:val="0"/>
          <w:iCs/>
          <w:sz w:val="24"/>
          <w:szCs w:val="24"/>
        </w:rPr>
        <w:t xml:space="preserve"> rules, was published in the Federal Register on </w:t>
      </w:r>
      <w:r w:rsidR="00C53E33">
        <w:rPr>
          <w:b w:val="0"/>
          <w:bCs w:val="0"/>
          <w:iCs/>
          <w:sz w:val="24"/>
          <w:szCs w:val="24"/>
        </w:rPr>
        <w:t>August</w:t>
      </w:r>
      <w:r w:rsidRPr="00C91B0D">
        <w:rPr>
          <w:b w:val="0"/>
          <w:bCs w:val="0"/>
          <w:iCs/>
          <w:sz w:val="24"/>
          <w:szCs w:val="24"/>
        </w:rPr>
        <w:t xml:space="preserve"> </w:t>
      </w:r>
      <w:r w:rsidR="00DD6F3A">
        <w:rPr>
          <w:b w:val="0"/>
          <w:bCs w:val="0"/>
          <w:iCs/>
          <w:sz w:val="24"/>
          <w:szCs w:val="24"/>
        </w:rPr>
        <w:t>3</w:t>
      </w:r>
      <w:r w:rsidRPr="00C91B0D">
        <w:rPr>
          <w:b w:val="0"/>
          <w:bCs w:val="0"/>
          <w:iCs/>
          <w:sz w:val="24"/>
          <w:szCs w:val="24"/>
        </w:rPr>
        <w:t xml:space="preserve">, </w:t>
      </w:r>
      <w:r w:rsidR="00C53E33">
        <w:rPr>
          <w:b w:val="0"/>
          <w:bCs w:val="0"/>
          <w:iCs/>
          <w:sz w:val="24"/>
          <w:szCs w:val="24"/>
        </w:rPr>
        <w:t>2023</w:t>
      </w:r>
      <w:r w:rsidRPr="00C91B0D">
        <w:rPr>
          <w:b w:val="0"/>
          <w:bCs w:val="0"/>
          <w:iCs/>
          <w:sz w:val="24"/>
          <w:szCs w:val="24"/>
        </w:rPr>
        <w:t xml:space="preserve"> (</w:t>
      </w:r>
      <w:r w:rsidRPr="009A38C8" w:rsidR="009A38C8">
        <w:rPr>
          <w:b w:val="0"/>
          <w:bCs w:val="0"/>
          <w:iCs/>
          <w:sz w:val="24"/>
          <w:szCs w:val="24"/>
        </w:rPr>
        <w:t>88 FR 51552</w:t>
      </w:r>
      <w:r w:rsidRPr="00C91B0D">
        <w:rPr>
          <w:b w:val="0"/>
          <w:bCs w:val="0"/>
          <w:iCs/>
          <w:sz w:val="24"/>
          <w:szCs w:val="24"/>
        </w:rPr>
        <w:t xml:space="preserve">). </w:t>
      </w:r>
    </w:p>
    <w:p w:rsidR="0093352F" w:rsidRPr="00C91B0D" w:rsidP="0093352F" w14:paraId="4E58D6C1" w14:textId="77777777">
      <w:pPr>
        <w:widowControl/>
        <w:ind w:left="720"/>
        <w:rPr>
          <w:b w:val="0"/>
          <w:bCs w:val="0"/>
          <w:iCs/>
          <w:sz w:val="24"/>
          <w:szCs w:val="24"/>
        </w:rPr>
      </w:pPr>
    </w:p>
    <w:p w:rsidR="00BB2059" w:rsidP="00BB2059" w14:paraId="11B4A842" w14:textId="166C8647">
      <w:pPr>
        <w:pStyle w:val="BodyText3"/>
        <w:ind w:left="720"/>
        <w:rPr>
          <w:b w:val="0"/>
          <w:bCs w:val="0"/>
          <w:i w:val="0"/>
          <w:iCs w:val="0"/>
          <w:sz w:val="24"/>
          <w:szCs w:val="24"/>
        </w:rPr>
      </w:pPr>
      <w:r>
        <w:rPr>
          <w:b w:val="0"/>
          <w:bCs w:val="0"/>
          <w:i w:val="0"/>
          <w:sz w:val="24"/>
          <w:szCs w:val="24"/>
        </w:rPr>
        <w:t xml:space="preserve">DOL </w:t>
      </w:r>
      <w:r w:rsidRPr="00C91B0D" w:rsidR="0093352F">
        <w:rPr>
          <w:b w:val="0"/>
          <w:bCs w:val="0"/>
          <w:i w:val="0"/>
          <w:sz w:val="24"/>
          <w:szCs w:val="24"/>
        </w:rPr>
        <w:t xml:space="preserve">received comments on the </w:t>
      </w:r>
      <w:r w:rsidR="009A38C8">
        <w:rPr>
          <w:b w:val="0"/>
          <w:bCs w:val="0"/>
          <w:i w:val="0"/>
          <w:sz w:val="24"/>
          <w:szCs w:val="24"/>
        </w:rPr>
        <w:t xml:space="preserve">proposed </w:t>
      </w:r>
      <w:r w:rsidRPr="00C91B0D" w:rsidR="0093352F">
        <w:rPr>
          <w:b w:val="0"/>
          <w:bCs w:val="0"/>
          <w:i w:val="0"/>
          <w:sz w:val="24"/>
          <w:szCs w:val="24"/>
        </w:rPr>
        <w:t>rules (</w:t>
      </w:r>
      <w:hyperlink r:id="rId9" w:history="1">
        <w:r w:rsidRPr="00112C29" w:rsidR="00C91B0D">
          <w:rPr>
            <w:rStyle w:val="Hyperlink"/>
            <w:b w:val="0"/>
            <w:bCs w:val="0"/>
            <w:i w:val="0"/>
            <w:sz w:val="24"/>
            <w:szCs w:val="24"/>
          </w:rPr>
          <w:t>https://www.federalregister.gov/documents/2023/08/03/2023-15945/requirements-related-to-the-mental-health-parity-and-addiction-equity-act</w:t>
        </w:r>
      </w:hyperlink>
      <w:r w:rsidRPr="00C91B0D" w:rsidR="0093352F">
        <w:rPr>
          <w:b w:val="0"/>
          <w:bCs w:val="0"/>
          <w:i w:val="0"/>
          <w:sz w:val="24"/>
          <w:szCs w:val="24"/>
        </w:rPr>
        <w:t>).</w:t>
      </w:r>
      <w:r w:rsidR="00965CFB">
        <w:rPr>
          <w:b w:val="0"/>
          <w:bCs w:val="0"/>
          <w:i w:val="0"/>
          <w:sz w:val="24"/>
          <w:szCs w:val="24"/>
        </w:rPr>
        <w:t xml:space="preserve"> </w:t>
      </w:r>
      <w:r w:rsidRPr="00BB2059">
        <w:rPr>
          <w:b w:val="0"/>
          <w:bCs w:val="0"/>
          <w:i w:val="0"/>
          <w:iCs w:val="0"/>
          <w:sz w:val="24"/>
          <w:szCs w:val="24"/>
        </w:rPr>
        <w:t>Many commenters expressed concern that the Departments underestimated the burden of collecting the required data, the burden required in conducting the substantially all and predominant variation analysis, the number of NQTLs that would need to be analyzed for each plan and issuer, and the amount of time that it would take to conduct those analyses. The Departments reviewed these public comments in developing the paperwork burden analysis discussed here.</w:t>
      </w:r>
    </w:p>
    <w:p w:rsidR="00BB2059" w:rsidRPr="00BB2059" w:rsidP="00BB2059" w14:paraId="4B3FC4D1" w14:textId="77777777">
      <w:pPr>
        <w:pStyle w:val="BodyText3"/>
        <w:ind w:left="720"/>
        <w:rPr>
          <w:b w:val="0"/>
          <w:bCs w:val="0"/>
          <w:i w:val="0"/>
          <w:iCs w:val="0"/>
          <w:sz w:val="24"/>
          <w:szCs w:val="24"/>
        </w:rPr>
      </w:pPr>
    </w:p>
    <w:p w:rsidR="00BB2059" w:rsidRPr="00BB2059" w:rsidP="00BB2059" w14:paraId="439E6FA0" w14:textId="77777777">
      <w:pPr>
        <w:pStyle w:val="BodyText3"/>
        <w:ind w:left="720"/>
        <w:rPr>
          <w:b w:val="0"/>
          <w:i w:val="0"/>
          <w:iCs w:val="0"/>
          <w:sz w:val="24"/>
          <w:szCs w:val="24"/>
        </w:rPr>
      </w:pPr>
      <w:r w:rsidRPr="00BB2059">
        <w:rPr>
          <w:b w:val="0"/>
          <w:i w:val="0"/>
          <w:iCs w:val="0"/>
          <w:sz w:val="24"/>
          <w:szCs w:val="24"/>
        </w:rPr>
        <w:t>In response to commenters’ concerns that the Departments underestimated the number of NQTLs that each plan or issuer would need to create comparative analyses for, and that plans and issuers would on average have the same number NQTLs, the Departments have revised their assumptions to 10 NQTLs for both plans and issuers. One commenter proposed the average number of NQTLs should be more than 15 at a minimum,</w:t>
      </w:r>
      <w:r>
        <w:rPr>
          <w:b w:val="0"/>
          <w:i w:val="0"/>
          <w:iCs w:val="0"/>
          <w:sz w:val="24"/>
          <w:szCs w:val="24"/>
          <w:vertAlign w:val="superscript"/>
        </w:rPr>
        <w:footnoteReference w:id="11"/>
      </w:r>
      <w:r w:rsidRPr="00BB2059">
        <w:rPr>
          <w:b w:val="0"/>
          <w:i w:val="0"/>
          <w:iCs w:val="0"/>
          <w:sz w:val="24"/>
          <w:szCs w:val="24"/>
        </w:rPr>
        <w:t xml:space="preserve"> while another noted that there were at least 15 NQTLs referenced in the proposed rules and </w:t>
      </w:r>
      <w:r w:rsidRPr="00BB2059">
        <w:rPr>
          <w:b w:val="0"/>
          <w:i w:val="0"/>
          <w:iCs w:val="0"/>
          <w:sz w:val="24"/>
          <w:szCs w:val="24"/>
        </w:rPr>
        <w:t>other guidance.</w:t>
      </w:r>
      <w:r>
        <w:rPr>
          <w:b w:val="0"/>
          <w:i w:val="0"/>
          <w:iCs w:val="0"/>
          <w:sz w:val="24"/>
          <w:szCs w:val="24"/>
          <w:vertAlign w:val="superscript"/>
        </w:rPr>
        <w:footnoteReference w:id="12"/>
      </w:r>
      <w:r w:rsidRPr="00BB2059">
        <w:rPr>
          <w:b w:val="0"/>
          <w:i w:val="0"/>
          <w:iCs w:val="0"/>
          <w:sz w:val="24"/>
          <w:szCs w:val="24"/>
        </w:rPr>
        <w:t xml:space="preserve"> However, given that the number of NQTLs vary by issuer and plan, that most plans will not have every NQTL identified in regulations and guidance (although some might have more), and that NQTLs can be counted as an umbrella group, the Departments assume 10 NQTLs. </w:t>
      </w:r>
    </w:p>
    <w:p w:rsidR="00BB2059" w:rsidRPr="00BB2059" w:rsidP="00BB2059" w14:paraId="302D1CA0" w14:textId="77777777">
      <w:pPr>
        <w:pStyle w:val="BodyText3"/>
        <w:rPr>
          <w:b w:val="0"/>
          <w:sz w:val="24"/>
          <w:szCs w:val="24"/>
        </w:rPr>
      </w:pPr>
    </w:p>
    <w:p w:rsidR="00AA1E33" w:rsidP="00BB2059" w14:paraId="02A534D8" w14:textId="4DAFF540">
      <w:pPr>
        <w:pStyle w:val="BodyText3"/>
        <w:ind w:left="720"/>
        <w:rPr>
          <w:b w:val="0"/>
          <w:i w:val="0"/>
          <w:iCs w:val="0"/>
          <w:sz w:val="24"/>
          <w:szCs w:val="24"/>
        </w:rPr>
      </w:pPr>
      <w:r w:rsidRPr="00BB2059">
        <w:rPr>
          <w:b w:val="0"/>
          <w:i w:val="0"/>
          <w:iCs w:val="0"/>
          <w:sz w:val="24"/>
          <w:szCs w:val="24"/>
        </w:rPr>
        <w:t xml:space="preserve">The Departments assume that collecting the data, and reviewing and revising the comparative analyses would require 60 hours per NQTL in the first year and 12 hours per NQTL in subsequent years. While plans and issuers can use other professionals to fulfill their requirements, for purposes of developing the wage estimate, the Departments assume that it will take a team of data analysts, actuaries, and attorneys to collect the data and prepare the comparative </w:t>
      </w:r>
      <w:r w:rsidRPr="00BB2059">
        <w:rPr>
          <w:b w:val="0"/>
          <w:i w:val="0"/>
          <w:iCs w:val="0"/>
          <w:sz w:val="24"/>
          <w:szCs w:val="24"/>
        </w:rPr>
        <w:t>analyses, and</w:t>
      </w:r>
      <w:r w:rsidRPr="00BB2059">
        <w:rPr>
          <w:b w:val="0"/>
          <w:i w:val="0"/>
          <w:iCs w:val="0"/>
          <w:sz w:val="24"/>
          <w:szCs w:val="24"/>
        </w:rPr>
        <w:t xml:space="preserve"> have estimated a composite wage rate of $167.48.</w:t>
      </w:r>
      <w:r>
        <w:rPr>
          <w:b w:val="0"/>
          <w:i w:val="0"/>
          <w:iCs w:val="0"/>
          <w:sz w:val="24"/>
          <w:szCs w:val="24"/>
          <w:vertAlign w:val="superscript"/>
        </w:rPr>
        <w:footnoteReference w:id="13"/>
      </w:r>
    </w:p>
    <w:p w:rsidR="00BB2059" w:rsidRPr="00A92375" w:rsidP="00BB2059" w14:paraId="7239A947" w14:textId="77777777">
      <w:pPr>
        <w:pStyle w:val="BodyText3"/>
        <w:ind w:left="720"/>
      </w:pPr>
    </w:p>
    <w:p w:rsidR="00D16BD2" w:rsidRPr="00C20D2D" w:rsidP="00E34575" w14:paraId="77BE3330" w14:textId="46C07B39">
      <w:pPr>
        <w:pStyle w:val="Heading1"/>
        <w:ind w:left="720" w:hanging="720"/>
      </w:pPr>
      <w:r w:rsidRPr="00C20D2D">
        <w:t xml:space="preserve">9. </w:t>
      </w:r>
      <w:r>
        <w:tab/>
      </w:r>
      <w:r w:rsidRPr="00C20D2D">
        <w:t>Explain any decision to provide any payment or gift to respondents, other than remuneration of contractors or grantees.</w:t>
      </w:r>
    </w:p>
    <w:p w:rsidR="00AA1E33" w:rsidRPr="00524D76" w:rsidP="005E7C77" w14:paraId="56BEA409" w14:textId="77777777">
      <w:pPr>
        <w:widowControl/>
        <w:tabs>
          <w:tab w:val="left" w:pos="-1440"/>
        </w:tabs>
        <w:rPr>
          <w:b w:val="0"/>
          <w:i/>
          <w:sz w:val="24"/>
          <w:szCs w:val="24"/>
        </w:rPr>
      </w:pPr>
    </w:p>
    <w:p w:rsidR="00AA1E33" w:rsidRPr="00A92375" w:rsidP="009B2C70" w14:paraId="6AA7C0D0" w14:textId="4C8EE30E">
      <w:pPr>
        <w:pStyle w:val="BodyText"/>
        <w:ind w:left="720"/>
        <w:rPr>
          <w:szCs w:val="24"/>
        </w:rPr>
      </w:pPr>
      <w:r>
        <w:rPr>
          <w:szCs w:val="24"/>
        </w:rPr>
        <w:t>There are no payments or gifts</w:t>
      </w:r>
      <w:r w:rsidR="00F03755">
        <w:rPr>
          <w:szCs w:val="24"/>
        </w:rPr>
        <w:t xml:space="preserve"> in this information collection. </w:t>
      </w:r>
    </w:p>
    <w:p w:rsidR="00D16BD2" w:rsidRPr="00A92375" w:rsidP="009B2C70" w14:paraId="409CD9B5" w14:textId="77777777">
      <w:pPr>
        <w:pStyle w:val="BodyText"/>
        <w:ind w:left="720"/>
        <w:rPr>
          <w:szCs w:val="24"/>
        </w:rPr>
      </w:pPr>
    </w:p>
    <w:p w:rsidR="00D16BD2" w:rsidRPr="00C20D2D" w:rsidP="00E34575" w14:paraId="5C58CF0B" w14:textId="0E88D2B0">
      <w:pPr>
        <w:pStyle w:val="Heading1"/>
        <w:ind w:left="720" w:hanging="720"/>
      </w:pPr>
      <w:r w:rsidRPr="00C20D2D">
        <w:t xml:space="preserve">10. </w:t>
      </w:r>
      <w:r>
        <w:tab/>
      </w:r>
      <w:r w:rsidRPr="00C20D2D">
        <w:t>Describe any assurance of confidentiality provided to respondents and the basis for the assurance in statute, regulation, or agency policy.</w:t>
      </w:r>
    </w:p>
    <w:p w:rsidR="00AA1E33" w:rsidRPr="00A92375" w:rsidP="005E7C77" w14:paraId="560BAE1D" w14:textId="77777777">
      <w:pPr>
        <w:widowControl/>
        <w:rPr>
          <w:b w:val="0"/>
          <w:bCs w:val="0"/>
          <w:sz w:val="24"/>
          <w:szCs w:val="24"/>
        </w:rPr>
      </w:pPr>
    </w:p>
    <w:p w:rsidR="003E1E53" w:rsidRPr="00A92375" w:rsidP="009B2C70" w14:paraId="19237590" w14:textId="20A974A4">
      <w:pPr>
        <w:widowControl/>
        <w:ind w:left="720"/>
        <w:rPr>
          <w:b w:val="0"/>
          <w:bCs w:val="0"/>
          <w:sz w:val="24"/>
          <w:szCs w:val="24"/>
        </w:rPr>
      </w:pPr>
      <w:r>
        <w:rPr>
          <w:b w:val="0"/>
          <w:bCs w:val="0"/>
          <w:sz w:val="24"/>
          <w:szCs w:val="24"/>
        </w:rPr>
        <w:t xml:space="preserve">There are no questions of sensitive nature in this information collection, and thus there is no assurance of confidentiality provided to respondents. </w:t>
      </w:r>
    </w:p>
    <w:p w:rsidR="00A73525" w:rsidRPr="00A92375" w:rsidP="009B2C70" w14:paraId="0061E5CA" w14:textId="77777777">
      <w:pPr>
        <w:widowControl/>
        <w:ind w:left="720"/>
        <w:rPr>
          <w:b w:val="0"/>
          <w:bCs w:val="0"/>
          <w:sz w:val="24"/>
          <w:szCs w:val="24"/>
        </w:rPr>
      </w:pPr>
    </w:p>
    <w:p w:rsidR="00C4178F" w:rsidRPr="00711BA1" w:rsidP="00E34575" w14:paraId="46B92D01" w14:textId="5DE290D6">
      <w:pPr>
        <w:pStyle w:val="Heading1"/>
        <w:ind w:left="720" w:hanging="720"/>
      </w:pPr>
      <w:r w:rsidRPr="00711BA1">
        <w:t xml:space="preserve">11. </w:t>
      </w:r>
      <w:r>
        <w:tab/>
      </w:r>
      <w:r w:rsidRPr="00711BA1" w:rsidR="00AA1E33">
        <w:t xml:space="preserve">Provide additional justification for any questions of a sensitive nature, such as sexual behavior and attitudes, religious beliefs, and other matters that are commonly considered private. </w:t>
      </w:r>
      <w:r w:rsidRPr="00711BA1">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Pr="00A92375" w:rsidP="005E7C77" w14:paraId="4900692A" w14:textId="77777777">
      <w:pPr>
        <w:widowControl/>
        <w:rPr>
          <w:b w:val="0"/>
          <w:bCs w:val="0"/>
          <w:i/>
          <w:iCs/>
          <w:sz w:val="24"/>
          <w:szCs w:val="24"/>
        </w:rPr>
      </w:pPr>
    </w:p>
    <w:p w:rsidR="003E1E53" w:rsidRPr="00A92375" w:rsidP="009B2C70" w14:paraId="2FCF4467" w14:textId="1FEC8847">
      <w:pPr>
        <w:pStyle w:val="BodyText"/>
        <w:ind w:left="720"/>
        <w:rPr>
          <w:szCs w:val="24"/>
        </w:rPr>
      </w:pPr>
      <w:r>
        <w:rPr>
          <w:szCs w:val="24"/>
        </w:rPr>
        <w:t xml:space="preserve">There are no questions of sensitive nature in this information collection. </w:t>
      </w:r>
    </w:p>
    <w:p w:rsidR="00A73525" w:rsidRPr="00A92375" w:rsidP="009B2C70" w14:paraId="3D7FFC95" w14:textId="77777777">
      <w:pPr>
        <w:pStyle w:val="BodyText"/>
        <w:ind w:left="720"/>
        <w:rPr>
          <w:szCs w:val="24"/>
        </w:rPr>
      </w:pPr>
    </w:p>
    <w:p w:rsidR="00001E1B" w:rsidP="00E34575" w14:paraId="0D6773EB" w14:textId="125B3FDA">
      <w:pPr>
        <w:pStyle w:val="Heading1"/>
        <w:ind w:left="720" w:hanging="720"/>
      </w:pPr>
      <w:r w:rsidRPr="00711BA1">
        <w:t xml:space="preserve">12. </w:t>
      </w:r>
      <w:r>
        <w:tab/>
      </w:r>
      <w:r w:rsidRPr="00711BA1" w:rsidR="00AA1E33">
        <w:t xml:space="preserve">Provide estimates of the hour burden of the collection of information. The statement </w:t>
      </w:r>
      <w:r w:rsidRPr="00711BA1" w:rsidR="00AA1E33">
        <w:t>should</w:t>
      </w:r>
      <w:r>
        <w:t>:</w:t>
      </w:r>
    </w:p>
    <w:p w:rsidR="00C4178F" w:rsidRPr="00001E1B" w:rsidP="00C4178F" w14:paraId="7B1066AD" w14:textId="0DA5E3CE">
      <w:pPr>
        <w:pStyle w:val="ListParagraph"/>
        <w:widowControl/>
        <w:numPr>
          <w:ilvl w:val="0"/>
          <w:numId w:val="36"/>
        </w:numPr>
        <w:tabs>
          <w:tab w:val="left" w:pos="-1440"/>
        </w:tabs>
        <w:rPr>
          <w:bCs w:val="0"/>
          <w:iCs/>
          <w:sz w:val="24"/>
          <w:szCs w:val="24"/>
        </w:rPr>
      </w:pPr>
      <w:r>
        <w:rPr>
          <w:sz w:val="24"/>
          <w:szCs w:val="24"/>
        </w:rPr>
        <w:t>I</w:t>
      </w:r>
      <w:r w:rsidRPr="00001E1B" w:rsidR="00AA1E33">
        <w:rPr>
          <w:sz w:val="24"/>
          <w:szCs w:val="24"/>
        </w:rPr>
        <w:t>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4178F" w:rsidRPr="00111C13" w:rsidP="00111C13" w14:paraId="12500D56" w14:textId="1E1E34A5">
      <w:pPr>
        <w:widowControl/>
        <w:numPr>
          <w:ilvl w:val="0"/>
          <w:numId w:val="10"/>
        </w:numPr>
        <w:tabs>
          <w:tab w:val="left" w:pos="-1440"/>
          <w:tab w:val="clear" w:pos="720"/>
          <w:tab w:val="num" w:pos="1440"/>
        </w:tabs>
        <w:ind w:left="1440"/>
        <w:rPr>
          <w:bCs w:val="0"/>
          <w:iCs/>
          <w:sz w:val="24"/>
          <w:szCs w:val="24"/>
        </w:rPr>
      </w:pPr>
      <w:r w:rsidRPr="002142F2">
        <w:rPr>
          <w:bCs w:val="0"/>
          <w:iCs/>
          <w:sz w:val="24"/>
          <w:szCs w:val="24"/>
        </w:rPr>
        <w:t>If this request for approval covers more than one form, provide separate hour burden estimate</w:t>
      </w:r>
      <w:r>
        <w:rPr>
          <w:bCs w:val="0"/>
          <w:iCs/>
          <w:sz w:val="24"/>
          <w:szCs w:val="24"/>
        </w:rPr>
        <w:t xml:space="preserve">s for each form. </w:t>
      </w:r>
    </w:p>
    <w:p w:rsidR="00C4178F" w:rsidRPr="00111C13" w:rsidP="00111C13" w14:paraId="70EE0C30" w14:textId="5CC46E8C">
      <w:pPr>
        <w:widowControl/>
        <w:numPr>
          <w:ilvl w:val="0"/>
          <w:numId w:val="10"/>
        </w:numPr>
        <w:tabs>
          <w:tab w:val="left" w:pos="-1440"/>
          <w:tab w:val="clear" w:pos="720"/>
          <w:tab w:val="num" w:pos="1440"/>
        </w:tabs>
        <w:ind w:left="1440"/>
        <w:rPr>
          <w:bCs w:val="0"/>
          <w:iCs/>
          <w:sz w:val="24"/>
          <w:szCs w:val="24"/>
        </w:rPr>
      </w:pPr>
      <w:r w:rsidRPr="00711BA1">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4178F" w:rsidRPr="00711BA1" w:rsidP="00111C13" w14:paraId="77568DB6" w14:textId="01D60C8D">
      <w:pPr>
        <w:widowControl/>
        <w:numPr>
          <w:ilvl w:val="0"/>
          <w:numId w:val="10"/>
        </w:numPr>
        <w:tabs>
          <w:tab w:val="left" w:pos="-1440"/>
          <w:tab w:val="clear" w:pos="720"/>
          <w:tab w:val="num" w:pos="1440"/>
        </w:tabs>
        <w:ind w:left="1440"/>
        <w:rPr>
          <w:bCs w:val="0"/>
          <w:iCs/>
          <w:sz w:val="24"/>
          <w:szCs w:val="24"/>
        </w:rPr>
      </w:pPr>
      <w:r w:rsidRPr="00711BA1">
        <w:rPr>
          <w:bCs w:val="0"/>
          <w:iCs/>
          <w:sz w:val="24"/>
          <w:szCs w:val="24"/>
        </w:rPr>
        <w:t>The cost of contracting out or paying outside parties for information collection activities should not be included here. Instead, this cost should be included in Item 14.</w:t>
      </w:r>
    </w:p>
    <w:p w:rsidR="00251D9F" w:rsidP="00DA28D6" w14:paraId="51096E36" w14:textId="77777777">
      <w:pPr>
        <w:widowControl/>
        <w:tabs>
          <w:tab w:val="left" w:pos="-1440"/>
        </w:tabs>
        <w:rPr>
          <w:b w:val="0"/>
          <w:bCs w:val="0"/>
          <w:iCs/>
          <w:sz w:val="24"/>
          <w:szCs w:val="24"/>
        </w:rPr>
      </w:pPr>
    </w:p>
    <w:p w:rsidR="00B11E7A" w:rsidRPr="00B11E7A" w:rsidP="7C19D832" w14:paraId="0D8651B7" w14:textId="1D0C6056">
      <w:pPr>
        <w:ind w:left="720"/>
        <w:rPr>
          <w:b w:val="0"/>
          <w:bCs w:val="0"/>
          <w:sz w:val="24"/>
          <w:szCs w:val="24"/>
          <w:vertAlign w:val="superscript"/>
        </w:rPr>
      </w:pPr>
      <w:r w:rsidRPr="7C19D832">
        <w:rPr>
          <w:b w:val="0"/>
          <w:bCs w:val="0"/>
          <w:sz w:val="24"/>
          <w:szCs w:val="24"/>
        </w:rPr>
        <w:t xml:space="preserve">Group health plans sponsored by employers with 50 or more employees that offer mental health and substance use disorder benefits are generally required to comply with MHPAEA. Although MHPAEA includes a small employer exemption, group health plans sponsored by employers with less than 50 employees who purchase non-grandfathered small group coverage are required to comply with MHPAEA under the EHB requirements of the ACA. In this analysis, plan size is used as a proxy for employer size to determine if a plan is affected. Evidence suggests that most large plans offer </w:t>
      </w:r>
      <w:r w:rsidRPr="7C19D832" w:rsidR="00642655">
        <w:rPr>
          <w:b w:val="0"/>
          <w:bCs w:val="0"/>
          <w:sz w:val="24"/>
          <w:szCs w:val="24"/>
        </w:rPr>
        <w:t>MH/SUD</w:t>
      </w:r>
      <w:r w:rsidRPr="7C19D832">
        <w:rPr>
          <w:b w:val="0"/>
          <w:bCs w:val="0"/>
          <w:sz w:val="24"/>
          <w:szCs w:val="24"/>
        </w:rPr>
        <w:t xml:space="preserve"> benefits, and nearly all participants</w:t>
      </w:r>
      <w:r w:rsidRPr="7C19D832" w:rsidR="691B7FE0">
        <w:rPr>
          <w:b w:val="0"/>
          <w:bCs w:val="0"/>
          <w:sz w:val="24"/>
          <w:szCs w:val="24"/>
        </w:rPr>
        <w:t xml:space="preserve"> in such plans</w:t>
      </w:r>
      <w:r w:rsidRPr="7C19D832">
        <w:rPr>
          <w:b w:val="0"/>
          <w:bCs w:val="0"/>
          <w:sz w:val="24"/>
          <w:szCs w:val="24"/>
        </w:rPr>
        <w:t xml:space="preserve"> </w:t>
      </w:r>
      <w:r w:rsidRPr="7C19D832" w:rsidR="7C7EA02D">
        <w:rPr>
          <w:b w:val="0"/>
          <w:bCs w:val="0"/>
          <w:sz w:val="24"/>
          <w:szCs w:val="24"/>
        </w:rPr>
        <w:t>have behavioral health coverage</w:t>
      </w:r>
      <w:r w:rsidRPr="7C19D832">
        <w:rPr>
          <w:b w:val="0"/>
          <w:bCs w:val="0"/>
          <w:sz w:val="24"/>
          <w:szCs w:val="24"/>
        </w:rPr>
        <w:t>.</w:t>
      </w:r>
      <w:r>
        <w:rPr>
          <w:b w:val="0"/>
          <w:bCs w:val="0"/>
          <w:sz w:val="24"/>
          <w:szCs w:val="24"/>
          <w:vertAlign w:val="superscript"/>
        </w:rPr>
        <w:footnoteReference w:id="14"/>
      </w:r>
      <w:r w:rsidRPr="7C19D832">
        <w:rPr>
          <w:b w:val="0"/>
          <w:bCs w:val="0"/>
          <w:sz w:val="24"/>
          <w:szCs w:val="24"/>
          <w:vertAlign w:val="superscript"/>
        </w:rPr>
        <w:t xml:space="preserve"> </w:t>
      </w:r>
    </w:p>
    <w:p w:rsidR="00DA28D6" w:rsidP="00DA28D6" w14:paraId="60534ECF" w14:textId="77777777">
      <w:pPr>
        <w:widowControl/>
        <w:tabs>
          <w:tab w:val="left" w:pos="-1440"/>
        </w:tabs>
        <w:ind w:left="720"/>
        <w:rPr>
          <w:b w:val="0"/>
          <w:bCs w:val="0"/>
          <w:iCs/>
          <w:sz w:val="24"/>
          <w:szCs w:val="24"/>
        </w:rPr>
      </w:pPr>
    </w:p>
    <w:p w:rsidR="00DA28D6" w:rsidP="00DA28D6" w14:paraId="563B3846" w14:textId="6A4125C8">
      <w:pPr>
        <w:widowControl/>
        <w:tabs>
          <w:tab w:val="left" w:pos="-1440"/>
        </w:tabs>
        <w:ind w:left="720"/>
        <w:rPr>
          <w:b w:val="0"/>
          <w:bCs w:val="0"/>
          <w:iCs/>
          <w:sz w:val="24"/>
          <w:szCs w:val="24"/>
          <w:vertAlign w:val="superscript"/>
        </w:rPr>
      </w:pPr>
      <w:r w:rsidRPr="00BF683B">
        <w:rPr>
          <w:b w:val="0"/>
          <w:bCs w:val="0"/>
          <w:iCs/>
          <w:sz w:val="24"/>
          <w:szCs w:val="24"/>
          <w:vertAlign w:val="superscript"/>
        </w:rPr>
        <w:t xml:space="preserve"> </w:t>
      </w:r>
      <w:r w:rsidRPr="00545F04">
        <w:rPr>
          <w:b w:val="0"/>
          <w:bCs w:val="0"/>
          <w:iCs/>
          <w:sz w:val="24"/>
          <w:szCs w:val="24"/>
        </w:rPr>
        <w:t>The following wage rates were used in this analysis: $</w:t>
      </w:r>
      <w:r>
        <w:rPr>
          <w:b w:val="0"/>
          <w:bCs w:val="0"/>
          <w:iCs/>
          <w:sz w:val="24"/>
          <w:szCs w:val="24"/>
        </w:rPr>
        <w:t>57.10</w:t>
      </w:r>
      <w:r w:rsidRPr="00545F04">
        <w:rPr>
          <w:b w:val="0"/>
          <w:bCs w:val="0"/>
          <w:iCs/>
          <w:sz w:val="24"/>
          <w:szCs w:val="24"/>
        </w:rPr>
        <w:t xml:space="preserve"> (medical secretary),</w:t>
      </w:r>
      <w:r>
        <w:rPr>
          <w:b w:val="0"/>
          <w:bCs w:val="0"/>
          <w:iCs/>
          <w:sz w:val="24"/>
          <w:szCs w:val="24"/>
        </w:rPr>
        <w:t xml:space="preserve"> $159.61 (data analyst), $165.71 (legal professional), $177.11 (actuary), </w:t>
      </w:r>
      <w:r w:rsidRPr="00545F04">
        <w:rPr>
          <w:b w:val="0"/>
          <w:bCs w:val="0"/>
          <w:iCs/>
          <w:sz w:val="24"/>
          <w:szCs w:val="24"/>
        </w:rPr>
        <w:t>and $</w:t>
      </w:r>
      <w:r>
        <w:rPr>
          <w:b w:val="0"/>
          <w:bCs w:val="0"/>
          <w:iCs/>
          <w:sz w:val="24"/>
          <w:szCs w:val="24"/>
        </w:rPr>
        <w:t>216.39</w:t>
      </w:r>
      <w:r w:rsidRPr="00545F04">
        <w:rPr>
          <w:b w:val="0"/>
          <w:bCs w:val="0"/>
          <w:iCs/>
          <w:sz w:val="24"/>
          <w:szCs w:val="24"/>
        </w:rPr>
        <w:t xml:space="preserve"> (physician).</w:t>
      </w:r>
      <w:r>
        <w:rPr>
          <w:b w:val="0"/>
          <w:bCs w:val="0"/>
          <w:iCs/>
          <w:sz w:val="24"/>
          <w:szCs w:val="24"/>
          <w:vertAlign w:val="superscript"/>
        </w:rPr>
        <w:footnoteReference w:id="15"/>
      </w:r>
      <w:r w:rsidRPr="00545F04">
        <w:rPr>
          <w:b w:val="0"/>
          <w:bCs w:val="0"/>
          <w:iCs/>
          <w:sz w:val="24"/>
          <w:szCs w:val="24"/>
          <w:vertAlign w:val="superscript"/>
        </w:rPr>
        <w:t xml:space="preserve"> </w:t>
      </w:r>
    </w:p>
    <w:p w:rsidR="00545F04" w:rsidP="00176D52" w14:paraId="3B9CD436" w14:textId="4C3913B3">
      <w:pPr>
        <w:widowControl/>
        <w:tabs>
          <w:tab w:val="left" w:pos="-1440"/>
        </w:tabs>
        <w:rPr>
          <w:b w:val="0"/>
          <w:i/>
          <w:sz w:val="24"/>
          <w:szCs w:val="24"/>
        </w:rPr>
      </w:pPr>
    </w:p>
    <w:p w:rsidR="00176D52" w:rsidRPr="002C1BE7" w:rsidP="00176D52" w14:paraId="3EFE409B" w14:textId="0A85FD54">
      <w:pPr>
        <w:widowControl/>
        <w:tabs>
          <w:tab w:val="left" w:pos="-1440"/>
        </w:tabs>
        <w:rPr>
          <w:bCs w:val="0"/>
          <w:i/>
          <w:sz w:val="24"/>
          <w:szCs w:val="24"/>
          <w:u w:val="single"/>
        </w:rPr>
      </w:pPr>
      <w:r>
        <w:rPr>
          <w:b w:val="0"/>
          <w:i/>
          <w:sz w:val="24"/>
          <w:szCs w:val="24"/>
        </w:rPr>
        <w:tab/>
      </w:r>
      <w:r w:rsidRPr="002C1BE7">
        <w:rPr>
          <w:bCs w:val="0"/>
          <w:i/>
          <w:sz w:val="24"/>
          <w:szCs w:val="24"/>
          <w:u w:val="single"/>
        </w:rPr>
        <w:t>Notices under the Mental Health Parity and Addiction Equity Act of 2008</w:t>
      </w:r>
    </w:p>
    <w:p w:rsidR="0085769B" w:rsidRPr="002C24F6" w:rsidP="00176D52" w14:paraId="3B014FE1" w14:textId="77777777">
      <w:pPr>
        <w:widowControl/>
        <w:tabs>
          <w:tab w:val="left" w:pos="-1440"/>
        </w:tabs>
        <w:rPr>
          <w:sz w:val="24"/>
          <w:szCs w:val="24"/>
        </w:rPr>
      </w:pPr>
    </w:p>
    <w:p w:rsidR="00DB582F" w:rsidRPr="00A92375" w:rsidP="006C2914" w14:paraId="3C622ED9" w14:textId="7ED818D5">
      <w:pPr>
        <w:widowControl/>
        <w:tabs>
          <w:tab w:val="left" w:pos="-1440"/>
        </w:tabs>
        <w:ind w:left="720"/>
        <w:rPr>
          <w:b w:val="0"/>
          <w:bCs w:val="0"/>
          <w:iCs/>
          <w:sz w:val="24"/>
          <w:szCs w:val="24"/>
        </w:rPr>
      </w:pPr>
      <w:r w:rsidRPr="00A92375">
        <w:rPr>
          <w:b w:val="0"/>
          <w:bCs w:val="0"/>
          <w:iCs/>
          <w:sz w:val="24"/>
          <w:szCs w:val="24"/>
        </w:rPr>
        <w:t xml:space="preserve">As discussed in item 1 above, </w:t>
      </w:r>
      <w:r w:rsidRPr="00A92375" w:rsidR="00B62EB4">
        <w:rPr>
          <w:b w:val="0"/>
          <w:bCs w:val="0"/>
          <w:iCs/>
          <w:sz w:val="24"/>
          <w:szCs w:val="24"/>
        </w:rPr>
        <w:t xml:space="preserve">MHPAEA and the regulations </w:t>
      </w:r>
      <w:r w:rsidRPr="00A92375" w:rsidR="00D172CA">
        <w:rPr>
          <w:b w:val="0"/>
          <w:bCs w:val="0"/>
          <w:iCs/>
          <w:sz w:val="24"/>
          <w:szCs w:val="24"/>
        </w:rPr>
        <w:t>(29 CFR 2590.712(d)</w:t>
      </w:r>
      <w:r w:rsidR="0043670F">
        <w:rPr>
          <w:b w:val="0"/>
          <w:bCs w:val="0"/>
          <w:iCs/>
          <w:sz w:val="24"/>
          <w:szCs w:val="24"/>
        </w:rPr>
        <w:t xml:space="preserve"> and 29 CFR 2590.712-1</w:t>
      </w:r>
      <w:r w:rsidRPr="00A92375" w:rsidR="00D172CA">
        <w:rPr>
          <w:b w:val="0"/>
          <w:bCs w:val="0"/>
          <w:iCs/>
          <w:sz w:val="24"/>
          <w:szCs w:val="24"/>
        </w:rPr>
        <w:t xml:space="preserve">) </w:t>
      </w:r>
      <w:r w:rsidRPr="00A92375" w:rsidR="00B62EB4">
        <w:rPr>
          <w:b w:val="0"/>
          <w:bCs w:val="0"/>
          <w:iCs/>
          <w:sz w:val="24"/>
          <w:szCs w:val="24"/>
        </w:rPr>
        <w:t>contain</w:t>
      </w:r>
      <w:r w:rsidRPr="00A92375" w:rsidR="007C771C">
        <w:rPr>
          <w:b w:val="0"/>
          <w:bCs w:val="0"/>
          <w:iCs/>
          <w:sz w:val="24"/>
          <w:szCs w:val="24"/>
        </w:rPr>
        <w:t xml:space="preserve"> </w:t>
      </w:r>
      <w:r w:rsidRPr="00A92375" w:rsidR="00B62EB4">
        <w:rPr>
          <w:b w:val="0"/>
          <w:bCs w:val="0"/>
          <w:iCs/>
          <w:sz w:val="24"/>
          <w:szCs w:val="24"/>
        </w:rPr>
        <w:t xml:space="preserve">disclosure provisions for group health plans and health insurance coverage offered in connection with a group health plan. </w:t>
      </w:r>
      <w:r w:rsidRPr="00A92375">
        <w:rPr>
          <w:b w:val="0"/>
          <w:bCs w:val="0"/>
          <w:iCs/>
          <w:sz w:val="24"/>
          <w:szCs w:val="24"/>
        </w:rPr>
        <w:t xml:space="preserve">The Claims Denial Disclosure </w:t>
      </w:r>
      <w:r w:rsidRPr="00A92375" w:rsidR="009461A6">
        <w:rPr>
          <w:b w:val="0"/>
          <w:bCs w:val="0"/>
          <w:iCs/>
          <w:sz w:val="24"/>
          <w:szCs w:val="24"/>
        </w:rPr>
        <w:t xml:space="preserve">(29 CFR 2590.712(d)(2) requires </w:t>
      </w:r>
      <w:r w:rsidRPr="00A92375" w:rsidR="00B62EB4">
        <w:rPr>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Pr="00A92375" w:rsidR="007D7EDC">
        <w:rPr>
          <w:b w:val="0"/>
          <w:bCs w:val="0"/>
          <w:iCs/>
          <w:sz w:val="24"/>
          <w:szCs w:val="24"/>
        </w:rPr>
        <w:t xml:space="preserve">to </w:t>
      </w:r>
      <w:r w:rsidRPr="00A92375" w:rsidR="00B62EB4">
        <w:rPr>
          <w:b w:val="0"/>
          <w:bCs w:val="0"/>
          <w:iCs/>
          <w:sz w:val="24"/>
          <w:szCs w:val="24"/>
        </w:rPr>
        <w:t xml:space="preserve">be made available </w:t>
      </w:r>
      <w:r w:rsidRPr="00B54621" w:rsidR="00B62EB4">
        <w:rPr>
          <w:b w:val="0"/>
          <w:bCs w:val="0"/>
          <w:iCs/>
          <w:sz w:val="24"/>
          <w:szCs w:val="24"/>
        </w:rPr>
        <w:t>by the plan administrator</w:t>
      </w:r>
      <w:r w:rsidRPr="00A92375" w:rsidR="00B62EB4">
        <w:rPr>
          <w:b w:val="0"/>
          <w:bCs w:val="0"/>
          <w:iCs/>
          <w:sz w:val="24"/>
          <w:szCs w:val="24"/>
        </w:rPr>
        <w:t xml:space="preserve"> (or the health insurance issuer offering such coverage) to t</w:t>
      </w:r>
      <w:r w:rsidR="0085769B">
        <w:rPr>
          <w:b w:val="0"/>
          <w:bCs w:val="0"/>
          <w:iCs/>
          <w:sz w:val="24"/>
          <w:szCs w:val="24"/>
        </w:rPr>
        <w:t>he participant or beneficiary</w:t>
      </w:r>
      <w:r w:rsidRPr="00294B62" w:rsidR="00294B62">
        <w:rPr>
          <w:b w:val="0"/>
          <w:sz w:val="24"/>
          <w:szCs w:val="24"/>
        </w:rPr>
        <w:t xml:space="preserve"> </w:t>
      </w:r>
      <w:r w:rsidR="00294B62">
        <w:rPr>
          <w:b w:val="0"/>
          <w:sz w:val="24"/>
          <w:szCs w:val="24"/>
        </w:rPr>
        <w:t>in a f</w:t>
      </w:r>
      <w:r w:rsidR="003971F5">
        <w:rPr>
          <w:b w:val="0"/>
          <w:sz w:val="24"/>
          <w:szCs w:val="24"/>
        </w:rPr>
        <w:t>orm</w:t>
      </w:r>
      <w:r w:rsidR="00294B62">
        <w:rPr>
          <w:b w:val="0"/>
          <w:sz w:val="24"/>
          <w:szCs w:val="24"/>
        </w:rPr>
        <w:t xml:space="preserve"> and manner consistent with the Department</w:t>
      </w:r>
      <w:r w:rsidR="003971F5">
        <w:rPr>
          <w:b w:val="0"/>
          <w:sz w:val="24"/>
          <w:szCs w:val="24"/>
        </w:rPr>
        <w:t>’s</w:t>
      </w:r>
      <w:r w:rsidR="00294B62">
        <w:rPr>
          <w:b w:val="0"/>
          <w:sz w:val="24"/>
          <w:szCs w:val="24"/>
        </w:rPr>
        <w:t xml:space="preserve"> </w:t>
      </w:r>
      <w:r w:rsidRPr="00A92375" w:rsidR="00294B62">
        <w:rPr>
          <w:b w:val="0"/>
          <w:sz w:val="24"/>
          <w:szCs w:val="24"/>
        </w:rPr>
        <w:t>ERISA claims procedure regulation (29 CFR 2560.503-1)</w:t>
      </w:r>
      <w:r w:rsidR="00294B62">
        <w:rPr>
          <w:b w:val="0"/>
          <w:sz w:val="24"/>
          <w:szCs w:val="24"/>
        </w:rPr>
        <w:t xml:space="preserve">. This regulation </w:t>
      </w:r>
      <w:r w:rsidRPr="00A92375">
        <w:rPr>
          <w:b w:val="0"/>
          <w:bCs w:val="0"/>
          <w:iCs/>
          <w:sz w:val="24"/>
          <w:szCs w:val="24"/>
        </w:rPr>
        <w:t xml:space="preserve">requires, among other things, </w:t>
      </w:r>
      <w:r w:rsidR="00294B62">
        <w:rPr>
          <w:b w:val="0"/>
          <w:bCs w:val="0"/>
          <w:iCs/>
          <w:sz w:val="24"/>
          <w:szCs w:val="24"/>
        </w:rPr>
        <w:t xml:space="preserve">a plan administrator to provide </w:t>
      </w:r>
      <w:r w:rsidRPr="00A92375">
        <w:rPr>
          <w:b w:val="0"/>
          <w:bCs w:val="0"/>
          <w:iCs/>
          <w:sz w:val="24"/>
          <w:szCs w:val="24"/>
        </w:rPr>
        <w:t>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w:t>
      </w:r>
      <w:r w:rsidR="009A34C0">
        <w:rPr>
          <w:b w:val="0"/>
          <w:bCs w:val="0"/>
          <w:iCs/>
          <w:sz w:val="24"/>
          <w:szCs w:val="24"/>
        </w:rPr>
        <w:t xml:space="preserve"> </w:t>
      </w:r>
      <w:r w:rsidRPr="005032FB" w:rsidR="00C16E62">
        <w:rPr>
          <w:b w:val="0"/>
          <w:bCs w:val="0"/>
          <w:iCs/>
          <w:sz w:val="24"/>
          <w:szCs w:val="24"/>
        </w:rPr>
        <w:t xml:space="preserve">This ICR does not apply </w:t>
      </w:r>
      <w:r w:rsidRPr="005032FB">
        <w:rPr>
          <w:b w:val="0"/>
          <w:bCs w:val="0"/>
          <w:iCs/>
          <w:sz w:val="24"/>
          <w:szCs w:val="24"/>
        </w:rPr>
        <w:t xml:space="preserve">to the </w:t>
      </w:r>
      <w:r w:rsidRPr="005032FB">
        <w:rPr>
          <w:b w:val="0"/>
          <w:bCs w:val="0"/>
          <w:iCs/>
          <w:sz w:val="24"/>
          <w:szCs w:val="24"/>
        </w:rPr>
        <w:t>claims</w:t>
      </w:r>
      <w:r w:rsidRPr="005032FB">
        <w:rPr>
          <w:b w:val="0"/>
          <w:bCs w:val="0"/>
          <w:iCs/>
          <w:sz w:val="24"/>
          <w:szCs w:val="24"/>
        </w:rPr>
        <w:t xml:space="preserve"> denial notice, because the costs and burdens associated with complying with the claims denial disclosure requirement already are accounted for under</w:t>
      </w:r>
      <w:r w:rsidRPr="005032FB" w:rsidR="00652C4A">
        <w:rPr>
          <w:b w:val="0"/>
          <w:bCs w:val="0"/>
          <w:iCs/>
          <w:sz w:val="24"/>
          <w:szCs w:val="24"/>
        </w:rPr>
        <w:t xml:space="preserve"> </w:t>
      </w:r>
      <w:r w:rsidRPr="005032FB">
        <w:rPr>
          <w:b w:val="0"/>
          <w:bCs w:val="0"/>
          <w:iCs/>
          <w:sz w:val="24"/>
          <w:szCs w:val="24"/>
        </w:rPr>
        <w:t xml:space="preserve">the Department of Labor’s </w:t>
      </w:r>
      <w:r w:rsidRPr="005032FB" w:rsidR="00652C4A">
        <w:rPr>
          <w:b w:val="0"/>
          <w:bCs w:val="0"/>
          <w:iCs/>
          <w:sz w:val="24"/>
          <w:szCs w:val="24"/>
        </w:rPr>
        <w:t xml:space="preserve">Employee Benefit Plan Claims Procedure </w:t>
      </w:r>
      <w:r w:rsidRPr="005032FB" w:rsidR="00480856">
        <w:rPr>
          <w:b w:val="0"/>
          <w:bCs w:val="0"/>
          <w:iCs/>
          <w:sz w:val="24"/>
          <w:szCs w:val="24"/>
        </w:rPr>
        <w:t>u</w:t>
      </w:r>
      <w:r w:rsidRPr="005032FB" w:rsidR="00652C4A">
        <w:rPr>
          <w:b w:val="0"/>
          <w:bCs w:val="0"/>
          <w:iCs/>
          <w:sz w:val="24"/>
          <w:szCs w:val="24"/>
        </w:rPr>
        <w:t>nder ERISA regulation (</w:t>
      </w:r>
      <w:r w:rsidRPr="005032FB">
        <w:rPr>
          <w:b w:val="0"/>
          <w:bCs w:val="0"/>
          <w:iCs/>
          <w:sz w:val="24"/>
          <w:szCs w:val="24"/>
        </w:rPr>
        <w:t>OMB Control Number 1210-00</w:t>
      </w:r>
      <w:r w:rsidRPr="005032FB" w:rsidR="00652C4A">
        <w:rPr>
          <w:b w:val="0"/>
          <w:bCs w:val="0"/>
          <w:iCs/>
          <w:sz w:val="24"/>
          <w:szCs w:val="24"/>
        </w:rPr>
        <w:t>53)</w:t>
      </w:r>
      <w:r w:rsidRPr="005032FB">
        <w:rPr>
          <w:b w:val="0"/>
          <w:bCs w:val="0"/>
          <w:iCs/>
          <w:sz w:val="24"/>
          <w:szCs w:val="24"/>
        </w:rPr>
        <w:t>.</w:t>
      </w:r>
    </w:p>
    <w:p w:rsidR="00D05F2D" w:rsidRPr="00F538AF" w:rsidP="008E4B6E" w14:paraId="1DAC18F2" w14:textId="77777777">
      <w:pPr>
        <w:widowControl/>
        <w:tabs>
          <w:tab w:val="left" w:pos="-1440"/>
        </w:tabs>
        <w:rPr>
          <w:i/>
          <w:iCs/>
          <w:sz w:val="24"/>
          <w:szCs w:val="24"/>
        </w:rPr>
      </w:pPr>
    </w:p>
    <w:p w:rsidR="00FF3D31" w:rsidRPr="00F538AF" w:rsidP="005F752E" w14:paraId="6E45B4C8" w14:textId="77777777">
      <w:pPr>
        <w:widowControl/>
        <w:tabs>
          <w:tab w:val="left" w:pos="-1440"/>
        </w:tabs>
        <w:ind w:firstLine="720"/>
        <w:rPr>
          <w:i/>
          <w:iCs/>
          <w:sz w:val="24"/>
          <w:szCs w:val="24"/>
        </w:rPr>
      </w:pPr>
      <w:r w:rsidRPr="00F538AF">
        <w:rPr>
          <w:i/>
          <w:iCs/>
          <w:sz w:val="24"/>
          <w:szCs w:val="24"/>
        </w:rPr>
        <w:t>Medical Necessity Disclosure</w:t>
      </w:r>
    </w:p>
    <w:p w:rsidR="00FF3D31" w:rsidRPr="00A92375" w:rsidP="005F752E" w14:paraId="033557B1" w14:textId="77777777">
      <w:pPr>
        <w:widowControl/>
        <w:tabs>
          <w:tab w:val="left" w:pos="-1440"/>
        </w:tabs>
        <w:ind w:firstLine="720"/>
        <w:rPr>
          <w:b w:val="0"/>
          <w:bCs w:val="0"/>
          <w:iCs/>
          <w:sz w:val="24"/>
          <w:szCs w:val="24"/>
        </w:rPr>
      </w:pPr>
    </w:p>
    <w:p w:rsidR="00C608CC" w:rsidRPr="00A92375" w:rsidP="00D05D92" w14:paraId="3071DEAB" w14:textId="4BE5B6E6">
      <w:pPr>
        <w:ind w:left="720"/>
        <w:rPr>
          <w:b w:val="0"/>
          <w:sz w:val="24"/>
          <w:szCs w:val="24"/>
        </w:rPr>
      </w:pPr>
      <w:r w:rsidRPr="00A92375">
        <w:rPr>
          <w:b w:val="0"/>
          <w:bCs w:val="0"/>
          <w:iCs/>
          <w:sz w:val="24"/>
          <w:szCs w:val="24"/>
        </w:rPr>
        <w:t xml:space="preserve">MHPAEA </w:t>
      </w:r>
      <w:r w:rsidRPr="00A92375" w:rsidR="00D172CA">
        <w:rPr>
          <w:b w:val="0"/>
          <w:bCs w:val="0"/>
          <w:iCs/>
          <w:sz w:val="24"/>
          <w:szCs w:val="24"/>
        </w:rPr>
        <w:t>and the final regulations (29 CFR 2590.712(d)(</w:t>
      </w:r>
      <w:r w:rsidRPr="00A92375" w:rsidR="009461A6">
        <w:rPr>
          <w:b w:val="0"/>
          <w:bCs w:val="0"/>
          <w:iCs/>
          <w:sz w:val="24"/>
          <w:szCs w:val="24"/>
        </w:rPr>
        <w:t>1</w:t>
      </w:r>
      <w:r w:rsidRPr="00A92375" w:rsidR="00D172CA">
        <w:rPr>
          <w:b w:val="0"/>
          <w:bCs w:val="0"/>
          <w:iCs/>
          <w:sz w:val="24"/>
          <w:szCs w:val="24"/>
        </w:rPr>
        <w:t xml:space="preserve">)) </w:t>
      </w:r>
      <w:r w:rsidRPr="00A92375">
        <w:rPr>
          <w:b w:val="0"/>
          <w:bCs w:val="0"/>
          <w:iCs/>
          <w:sz w:val="24"/>
          <w:szCs w:val="24"/>
        </w:rPr>
        <w:t xml:space="preserve">also require plan administrators to make the plan’s medical necessity determination criteria available upon request to potential participants, beneficiaries, or contracting providers. </w:t>
      </w:r>
      <w:r w:rsidRPr="00A92375">
        <w:rPr>
          <w:b w:val="0"/>
          <w:sz w:val="24"/>
          <w:szCs w:val="24"/>
        </w:rPr>
        <w:t xml:space="preserve">The Department </w:t>
      </w:r>
      <w:r w:rsidRPr="00A92375" w:rsidR="000E6A06">
        <w:rPr>
          <w:b w:val="0"/>
          <w:sz w:val="24"/>
          <w:szCs w:val="24"/>
        </w:rPr>
        <w:t>is</w:t>
      </w:r>
      <w:r w:rsidRPr="00A92375">
        <w:rPr>
          <w:b w:val="0"/>
          <w:sz w:val="24"/>
          <w:szCs w:val="24"/>
        </w:rPr>
        <w:t xml:space="preserve"> unable to estimate with certainty the number of requests for medical necessity criteria disclosures that will be received by plan administrators; however, the Department </w:t>
      </w:r>
      <w:r w:rsidRPr="00A92375" w:rsidR="000E6A06">
        <w:rPr>
          <w:b w:val="0"/>
          <w:sz w:val="24"/>
          <w:szCs w:val="24"/>
        </w:rPr>
        <w:t>has</w:t>
      </w:r>
      <w:r w:rsidRPr="00A92375">
        <w:rPr>
          <w:b w:val="0"/>
          <w:sz w:val="24"/>
          <w:szCs w:val="24"/>
        </w:rPr>
        <w:t xml:space="preserve"> assumed that, on average, each plan affected by the rule will receive one request.</w:t>
      </w:r>
      <w:r>
        <w:rPr>
          <w:rStyle w:val="FootnoteReference"/>
          <w:b w:val="0"/>
          <w:sz w:val="24"/>
          <w:szCs w:val="24"/>
          <w:vertAlign w:val="superscript"/>
        </w:rPr>
        <w:footnoteReference w:id="16"/>
      </w:r>
      <w:r w:rsidRPr="00A92375">
        <w:rPr>
          <w:b w:val="0"/>
          <w:sz w:val="24"/>
          <w:szCs w:val="24"/>
        </w:rPr>
        <w:t xml:space="preserve"> The Department </w:t>
      </w:r>
      <w:r w:rsidRPr="00A92375" w:rsidR="000E6A06">
        <w:rPr>
          <w:b w:val="0"/>
          <w:sz w:val="24"/>
          <w:szCs w:val="24"/>
        </w:rPr>
        <w:t>estimates</w:t>
      </w:r>
      <w:r w:rsidRPr="00A92375">
        <w:rPr>
          <w:b w:val="0"/>
          <w:sz w:val="24"/>
          <w:szCs w:val="24"/>
        </w:rPr>
        <w:t xml:space="preserve"> that </w:t>
      </w:r>
      <w:r w:rsidRPr="00A00796" w:rsidR="00A00796">
        <w:rPr>
          <w:b w:val="0"/>
          <w:sz w:val="24"/>
          <w:szCs w:val="24"/>
        </w:rPr>
        <w:t>410,581</w:t>
      </w:r>
      <w:r w:rsidR="005A6CCA">
        <w:rPr>
          <w:b w:val="0"/>
          <w:sz w:val="24"/>
          <w:szCs w:val="24"/>
        </w:rPr>
        <w:t xml:space="preserve"> </w:t>
      </w:r>
      <w:r w:rsidRPr="00A92375">
        <w:rPr>
          <w:b w:val="0"/>
          <w:sz w:val="24"/>
          <w:szCs w:val="24"/>
        </w:rPr>
        <w:t>ERISA</w:t>
      </w:r>
      <w:r w:rsidRPr="00A92375" w:rsidR="00D3218B">
        <w:rPr>
          <w:b w:val="0"/>
          <w:sz w:val="24"/>
          <w:szCs w:val="24"/>
        </w:rPr>
        <w:t>-</w:t>
      </w:r>
      <w:r w:rsidRPr="00A92375">
        <w:rPr>
          <w:b w:val="0"/>
          <w:sz w:val="24"/>
          <w:szCs w:val="24"/>
        </w:rPr>
        <w:t>covered health plans</w:t>
      </w:r>
      <w:r w:rsidR="00B25E55">
        <w:rPr>
          <w:b w:val="0"/>
          <w:sz w:val="24"/>
          <w:szCs w:val="24"/>
        </w:rPr>
        <w:t xml:space="preserve"> with 50 or more </w:t>
      </w:r>
      <w:r w:rsidR="00B25E55">
        <w:rPr>
          <w:b w:val="0"/>
          <w:sz w:val="24"/>
          <w:szCs w:val="24"/>
        </w:rPr>
        <w:t>participants</w:t>
      </w:r>
      <w:r>
        <w:rPr>
          <w:rStyle w:val="FootnoteReference"/>
          <w:b w:val="0"/>
          <w:sz w:val="24"/>
          <w:szCs w:val="24"/>
          <w:vertAlign w:val="superscript"/>
        </w:rPr>
        <w:footnoteReference w:id="17"/>
      </w:r>
      <w:r w:rsidR="00E950A1">
        <w:rPr>
          <w:b w:val="0"/>
          <w:sz w:val="24"/>
          <w:szCs w:val="24"/>
        </w:rPr>
        <w:t xml:space="preserve"> </w:t>
      </w:r>
      <w:r w:rsidR="00CB7116">
        <w:rPr>
          <w:b w:val="0"/>
          <w:sz w:val="24"/>
          <w:szCs w:val="24"/>
        </w:rPr>
        <w:t xml:space="preserve">and </w:t>
      </w:r>
      <w:r w:rsidR="00B84760">
        <w:rPr>
          <w:b w:val="0"/>
          <w:sz w:val="24"/>
          <w:szCs w:val="24"/>
        </w:rPr>
        <w:t>1,718,935</w:t>
      </w:r>
      <w:r w:rsidRPr="00E81502" w:rsidR="00E81502">
        <w:rPr>
          <w:b w:val="0"/>
          <w:sz w:val="24"/>
          <w:szCs w:val="24"/>
        </w:rPr>
        <w:t xml:space="preserve"> </w:t>
      </w:r>
      <w:r w:rsidR="00FF25B8">
        <w:rPr>
          <w:b w:val="0"/>
          <w:sz w:val="24"/>
          <w:szCs w:val="24"/>
        </w:rPr>
        <w:t xml:space="preserve">ERISA-covered health </w:t>
      </w:r>
      <w:r w:rsidR="00CB7116">
        <w:rPr>
          <w:b w:val="0"/>
          <w:sz w:val="24"/>
          <w:szCs w:val="24"/>
        </w:rPr>
        <w:t>plans with less than 50 participants</w:t>
      </w:r>
      <w:r>
        <w:rPr>
          <w:rStyle w:val="FootnoteReference"/>
          <w:b w:val="0"/>
          <w:sz w:val="24"/>
          <w:szCs w:val="24"/>
          <w:vertAlign w:val="superscript"/>
        </w:rPr>
        <w:footnoteReference w:id="18"/>
      </w:r>
      <w:r w:rsidR="00CB7116">
        <w:rPr>
          <w:b w:val="0"/>
          <w:sz w:val="24"/>
          <w:szCs w:val="24"/>
        </w:rPr>
        <w:t xml:space="preserve"> that are not grandfathered</w:t>
      </w:r>
      <w:r w:rsidRPr="00CB7116" w:rsidR="00CB7116">
        <w:rPr>
          <w:b w:val="0"/>
          <w:sz w:val="24"/>
          <w:szCs w:val="24"/>
        </w:rPr>
        <w:t xml:space="preserve"> </w:t>
      </w:r>
      <w:r w:rsidRPr="00A92375" w:rsidR="00D3218B">
        <w:rPr>
          <w:b w:val="0"/>
          <w:sz w:val="24"/>
          <w:szCs w:val="24"/>
        </w:rPr>
        <w:t>are a</w:t>
      </w:r>
      <w:r w:rsidRPr="00A92375" w:rsidR="00CF32BF">
        <w:rPr>
          <w:b w:val="0"/>
          <w:sz w:val="24"/>
          <w:szCs w:val="24"/>
        </w:rPr>
        <w:t xml:space="preserve">ffected by this </w:t>
      </w:r>
      <w:r w:rsidR="003C7C13">
        <w:rPr>
          <w:b w:val="0"/>
          <w:sz w:val="24"/>
          <w:szCs w:val="24"/>
        </w:rPr>
        <w:t>medical necessity disclosure,</w:t>
      </w:r>
      <w:r w:rsidR="00CB7116">
        <w:rPr>
          <w:b w:val="0"/>
          <w:sz w:val="24"/>
          <w:szCs w:val="24"/>
        </w:rPr>
        <w:t xml:space="preserve"> resulting in a total of </w:t>
      </w:r>
      <w:r w:rsidRPr="00DA3328" w:rsidR="00DA3328">
        <w:rPr>
          <w:b w:val="0"/>
          <w:sz w:val="24"/>
          <w:szCs w:val="24"/>
        </w:rPr>
        <w:t>2</w:t>
      </w:r>
      <w:r w:rsidR="00DA3328">
        <w:rPr>
          <w:b w:val="0"/>
          <w:sz w:val="24"/>
          <w:szCs w:val="24"/>
        </w:rPr>
        <w:t>,</w:t>
      </w:r>
      <w:r w:rsidRPr="00DA3328" w:rsidR="00DA3328">
        <w:rPr>
          <w:b w:val="0"/>
          <w:sz w:val="24"/>
          <w:szCs w:val="24"/>
        </w:rPr>
        <w:t>129</w:t>
      </w:r>
      <w:r w:rsidR="00DA3328">
        <w:rPr>
          <w:b w:val="0"/>
          <w:sz w:val="24"/>
          <w:szCs w:val="24"/>
        </w:rPr>
        <w:t>,</w:t>
      </w:r>
      <w:r w:rsidRPr="00DA3328" w:rsidR="00DA3328">
        <w:rPr>
          <w:b w:val="0"/>
          <w:sz w:val="24"/>
          <w:szCs w:val="24"/>
        </w:rPr>
        <w:t>516</w:t>
      </w:r>
      <w:r w:rsidR="00DA3328">
        <w:rPr>
          <w:b w:val="0"/>
          <w:sz w:val="24"/>
          <w:szCs w:val="24"/>
        </w:rPr>
        <w:t xml:space="preserve"> </w:t>
      </w:r>
      <w:r w:rsidR="003C7C13">
        <w:rPr>
          <w:b w:val="0"/>
          <w:sz w:val="24"/>
          <w:szCs w:val="24"/>
        </w:rPr>
        <w:t>requests</w:t>
      </w:r>
      <w:r w:rsidR="00FF25B8">
        <w:rPr>
          <w:b w:val="0"/>
          <w:sz w:val="24"/>
          <w:szCs w:val="24"/>
        </w:rPr>
        <w:t>.</w:t>
      </w:r>
      <w:r>
        <w:rPr>
          <w:rStyle w:val="FootnoteReference"/>
          <w:b w:val="0"/>
          <w:sz w:val="24"/>
          <w:szCs w:val="24"/>
          <w:vertAlign w:val="superscript"/>
        </w:rPr>
        <w:footnoteReference w:id="19"/>
      </w:r>
      <w:r w:rsidRPr="00A92375">
        <w:rPr>
          <w:b w:val="0"/>
          <w:sz w:val="24"/>
          <w:szCs w:val="24"/>
        </w:rPr>
        <w:t xml:space="preserve"> </w:t>
      </w:r>
      <w:r w:rsidRPr="00D05D92" w:rsidR="00D05D92">
        <w:rPr>
          <w:b w:val="0"/>
          <w:sz w:val="24"/>
          <w:szCs w:val="24"/>
        </w:rPr>
        <w:t xml:space="preserve">Please see Table </w:t>
      </w:r>
      <w:r w:rsidR="003E477A">
        <w:rPr>
          <w:b w:val="0"/>
          <w:sz w:val="24"/>
          <w:szCs w:val="24"/>
        </w:rPr>
        <w:t>1</w:t>
      </w:r>
      <w:r w:rsidRPr="00D05D92" w:rsidR="00D05D92">
        <w:rPr>
          <w:b w:val="0"/>
          <w:sz w:val="24"/>
          <w:szCs w:val="24"/>
        </w:rPr>
        <w:t xml:space="preserve"> for calculations and burden totals. </w:t>
      </w:r>
    </w:p>
    <w:p w:rsidR="001B35FD" w:rsidRPr="008E489E" w:rsidP="00F538AF" w14:paraId="2172AE8D" w14:textId="77777777">
      <w:pPr>
        <w:rPr>
          <w:bCs w:val="0"/>
          <w:i/>
          <w:sz w:val="24"/>
        </w:rPr>
      </w:pPr>
      <w:bookmarkStart w:id="3" w:name="OLE_LINK3"/>
      <w:bookmarkStart w:id="4" w:name="OLE_LINK4"/>
    </w:p>
    <w:p w:rsidR="00CF6468" w:rsidRPr="008E489E" w:rsidP="00E1665C" w14:paraId="479F1F4E" w14:textId="77777777">
      <w:pPr>
        <w:ind w:left="720"/>
        <w:rPr>
          <w:bCs w:val="0"/>
          <w:i/>
          <w:sz w:val="24"/>
        </w:rPr>
      </w:pPr>
      <w:r w:rsidRPr="008E489E">
        <w:rPr>
          <w:bCs w:val="0"/>
          <w:i/>
          <w:sz w:val="24"/>
        </w:rPr>
        <w:t>Model Disclosure Request Form</w:t>
      </w:r>
    </w:p>
    <w:p w:rsidR="008654F6" w:rsidRPr="00245CC1" w:rsidP="00E1665C" w14:paraId="3E80C323" w14:textId="77777777">
      <w:pPr>
        <w:ind w:left="720"/>
        <w:rPr>
          <w:b w:val="0"/>
          <w:i/>
          <w:sz w:val="24"/>
        </w:rPr>
      </w:pPr>
    </w:p>
    <w:p w:rsidR="00D05D92" w:rsidRPr="00D05D92" w:rsidP="00EA73ED" w14:paraId="5E6C3180" w14:textId="75040D4F">
      <w:pPr>
        <w:ind w:left="720"/>
        <w:rPr>
          <w:b w:val="0"/>
          <w:sz w:val="24"/>
        </w:rPr>
      </w:pPr>
      <w:r w:rsidRPr="00245CC1">
        <w:rPr>
          <w:b w:val="0"/>
          <w:sz w:val="24"/>
        </w:rPr>
        <w:t xml:space="preserve">Group health plan participants, beneficiaries, covered individuals in the individual market, or their authorized representatives may use </w:t>
      </w:r>
      <w:r w:rsidR="0019473D">
        <w:rPr>
          <w:b w:val="0"/>
          <w:sz w:val="24"/>
        </w:rPr>
        <w:t xml:space="preserve">the model </w:t>
      </w:r>
      <w:r w:rsidRPr="00245CC1">
        <w:rPr>
          <w:b w:val="0"/>
          <w:sz w:val="24"/>
        </w:rPr>
        <w:t>form to request disclosures from plans.</w:t>
      </w:r>
      <w:r w:rsidR="005F752E">
        <w:rPr>
          <w:b w:val="0"/>
          <w:sz w:val="24"/>
        </w:rPr>
        <w:t xml:space="preserve"> </w:t>
      </w:r>
      <w:r w:rsidRPr="00245CC1">
        <w:rPr>
          <w:b w:val="0"/>
          <w:sz w:val="24"/>
        </w:rPr>
        <w:t xml:space="preserve">Use of this form is optional. </w:t>
      </w:r>
      <w:r w:rsidR="00676B18">
        <w:rPr>
          <w:b w:val="0"/>
          <w:sz w:val="24"/>
        </w:rPr>
        <w:t>The Department estimates that a</w:t>
      </w:r>
      <w:r w:rsidRPr="00245CC1" w:rsidR="00631F41">
        <w:rPr>
          <w:b w:val="0"/>
          <w:sz w:val="24"/>
        </w:rPr>
        <w:t xml:space="preserve">pproximately </w:t>
      </w:r>
      <w:r w:rsidR="00631F41">
        <w:rPr>
          <w:b w:val="0"/>
          <w:sz w:val="24"/>
        </w:rPr>
        <w:t>498,015</w:t>
      </w:r>
      <w:r w:rsidRPr="00245CC1" w:rsidR="00631F41">
        <w:rPr>
          <w:b w:val="0"/>
          <w:sz w:val="24"/>
        </w:rPr>
        <w:t xml:space="preserve"> requests will be made using the model form.</w:t>
      </w:r>
      <w:r>
        <w:rPr>
          <w:rStyle w:val="FootnoteReference"/>
          <w:b w:val="0"/>
          <w:sz w:val="24"/>
          <w:vertAlign w:val="superscript"/>
        </w:rPr>
        <w:footnoteReference w:id="20"/>
      </w:r>
      <w:r w:rsidR="00631F41">
        <w:rPr>
          <w:b w:val="0"/>
          <w:sz w:val="24"/>
        </w:rPr>
        <w:t xml:space="preserve"> The </w:t>
      </w:r>
      <w:r w:rsidR="00376F32">
        <w:rPr>
          <w:b w:val="0"/>
          <w:sz w:val="24"/>
        </w:rPr>
        <w:t>Department</w:t>
      </w:r>
      <w:r w:rsidR="00540B29">
        <w:rPr>
          <w:b w:val="0"/>
          <w:sz w:val="24"/>
        </w:rPr>
        <w:t xml:space="preserve"> estimates</w:t>
      </w:r>
      <w:r w:rsidRPr="00245CC1">
        <w:rPr>
          <w:b w:val="0"/>
          <w:sz w:val="24"/>
        </w:rPr>
        <w:t xml:space="preserve"> that it will take a provider approximately 5 minutes to review clinical records and complete this form. </w:t>
      </w:r>
      <w:r w:rsidRPr="00D05D92">
        <w:rPr>
          <w:b w:val="0"/>
          <w:sz w:val="24"/>
        </w:rPr>
        <w:t>Please see Table</w:t>
      </w:r>
      <w:r w:rsidR="00B43F26">
        <w:rPr>
          <w:b w:val="0"/>
          <w:sz w:val="24"/>
        </w:rPr>
        <w:t xml:space="preserve"> 1</w:t>
      </w:r>
      <w:r w:rsidRPr="00D05D92">
        <w:rPr>
          <w:b w:val="0"/>
          <w:sz w:val="24"/>
        </w:rPr>
        <w:t xml:space="preserve"> for calculations and burden totals. </w:t>
      </w:r>
    </w:p>
    <w:p w:rsidR="00AE458D" w:rsidP="00F538AF" w14:paraId="3D2770DC" w14:textId="77777777">
      <w:pPr>
        <w:ind w:left="720"/>
        <w:rPr>
          <w:b w:val="0"/>
          <w:sz w:val="24"/>
        </w:rPr>
      </w:pPr>
    </w:p>
    <w:p w:rsidR="00AE458D" w:rsidP="006C2914" w14:paraId="2D216A62" w14:textId="62982D64">
      <w:pPr>
        <w:ind w:left="720"/>
        <w:rPr>
          <w:b w:val="0"/>
          <w:sz w:val="24"/>
        </w:rPr>
      </w:pPr>
      <w:r>
        <w:rPr>
          <w:b w:val="0"/>
          <w:sz w:val="24"/>
        </w:rPr>
        <w:t xml:space="preserve">To meet the PRA requirement, the Department </w:t>
      </w:r>
      <w:r w:rsidR="00FF1EBA">
        <w:rPr>
          <w:b w:val="0"/>
          <w:sz w:val="24"/>
        </w:rPr>
        <w:t>estimated the burden</w:t>
      </w:r>
      <w:r>
        <w:rPr>
          <w:b w:val="0"/>
          <w:sz w:val="24"/>
        </w:rPr>
        <w:t xml:space="preserve"> </w:t>
      </w:r>
      <w:r w:rsidR="007F37E1">
        <w:rPr>
          <w:b w:val="0"/>
          <w:sz w:val="24"/>
        </w:rPr>
        <w:t xml:space="preserve">associated with </w:t>
      </w:r>
      <w:r>
        <w:rPr>
          <w:b w:val="0"/>
          <w:sz w:val="24"/>
        </w:rPr>
        <w:t xml:space="preserve">completing the </w:t>
      </w:r>
      <w:r w:rsidR="007F37E1">
        <w:rPr>
          <w:b w:val="0"/>
          <w:sz w:val="24"/>
        </w:rPr>
        <w:t xml:space="preserve">Model </w:t>
      </w:r>
      <w:r>
        <w:rPr>
          <w:b w:val="0"/>
          <w:sz w:val="24"/>
        </w:rPr>
        <w:t xml:space="preserve">Disclosure Request </w:t>
      </w:r>
      <w:r w:rsidR="007F37E1">
        <w:rPr>
          <w:b w:val="0"/>
          <w:sz w:val="24"/>
        </w:rPr>
        <w:t>F</w:t>
      </w:r>
      <w:r>
        <w:rPr>
          <w:b w:val="0"/>
          <w:sz w:val="24"/>
        </w:rPr>
        <w:t>orm</w:t>
      </w:r>
      <w:r w:rsidR="00E82412">
        <w:rPr>
          <w:b w:val="0"/>
          <w:sz w:val="24"/>
        </w:rPr>
        <w:t>.</w:t>
      </w:r>
      <w:r>
        <w:rPr>
          <w:b w:val="0"/>
          <w:sz w:val="24"/>
        </w:rPr>
        <w:t xml:space="preserve"> </w:t>
      </w:r>
      <w:r w:rsidR="007F37E1">
        <w:rPr>
          <w:b w:val="0"/>
          <w:sz w:val="24"/>
        </w:rPr>
        <w:t xml:space="preserve">Under the MHPAEA regulations, participants </w:t>
      </w:r>
      <w:r w:rsidR="00BF5677">
        <w:rPr>
          <w:b w:val="0"/>
          <w:sz w:val="24"/>
        </w:rPr>
        <w:t>have</w:t>
      </w:r>
      <w:r w:rsidR="007F37E1">
        <w:rPr>
          <w:b w:val="0"/>
          <w:sz w:val="24"/>
        </w:rPr>
        <w:t xml:space="preserve"> the right to request information regarding NQTLs</w:t>
      </w:r>
      <w:r w:rsidR="000A39FE">
        <w:rPr>
          <w:b w:val="0"/>
          <w:sz w:val="24"/>
        </w:rPr>
        <w:t>.</w:t>
      </w:r>
      <w:r w:rsidR="005F752E">
        <w:rPr>
          <w:b w:val="0"/>
          <w:sz w:val="24"/>
        </w:rPr>
        <w:t xml:space="preserve"> </w:t>
      </w:r>
      <w:r w:rsidR="007F37E1">
        <w:rPr>
          <w:b w:val="0"/>
          <w:sz w:val="24"/>
        </w:rPr>
        <w:t xml:space="preserve">The Department notes, </w:t>
      </w:r>
      <w:r w:rsidR="00FF1EBA">
        <w:rPr>
          <w:b w:val="0"/>
          <w:sz w:val="24"/>
        </w:rPr>
        <w:t xml:space="preserve">that the availability of the form </w:t>
      </w:r>
      <w:r w:rsidR="007F37E1">
        <w:rPr>
          <w:b w:val="0"/>
          <w:sz w:val="24"/>
        </w:rPr>
        <w:t xml:space="preserve">is likely to </w:t>
      </w:r>
      <w:r w:rsidR="00FF1EBA">
        <w:rPr>
          <w:b w:val="0"/>
          <w:sz w:val="24"/>
        </w:rPr>
        <w:t xml:space="preserve">reduce </w:t>
      </w:r>
      <w:r w:rsidR="007F37E1">
        <w:rPr>
          <w:b w:val="0"/>
          <w:sz w:val="24"/>
        </w:rPr>
        <w:t xml:space="preserve">the </w:t>
      </w:r>
      <w:r w:rsidR="00FF1EBA">
        <w:rPr>
          <w:b w:val="0"/>
          <w:sz w:val="24"/>
        </w:rPr>
        <w:t xml:space="preserve">overall burden </w:t>
      </w:r>
      <w:r w:rsidR="007F37E1">
        <w:rPr>
          <w:b w:val="0"/>
          <w:sz w:val="24"/>
        </w:rPr>
        <w:t xml:space="preserve">imposed on </w:t>
      </w:r>
      <w:r w:rsidR="00FF1EBA">
        <w:rPr>
          <w:b w:val="0"/>
          <w:sz w:val="24"/>
        </w:rPr>
        <w:t xml:space="preserve">plan participants </w:t>
      </w:r>
      <w:r w:rsidR="007F37E1">
        <w:rPr>
          <w:b w:val="0"/>
          <w:sz w:val="24"/>
        </w:rPr>
        <w:t xml:space="preserve">to request the information, because it provides a simplified process to do so. </w:t>
      </w:r>
      <w:r w:rsidR="00FF1EBA">
        <w:rPr>
          <w:b w:val="0"/>
          <w:sz w:val="24"/>
        </w:rPr>
        <w:t>Also,</w:t>
      </w:r>
      <w:r w:rsidR="00502E64">
        <w:rPr>
          <w:b w:val="0"/>
          <w:sz w:val="24"/>
        </w:rPr>
        <w:t xml:space="preserve"> </w:t>
      </w:r>
      <w:r w:rsidR="007F37E1">
        <w:rPr>
          <w:b w:val="0"/>
          <w:sz w:val="24"/>
        </w:rPr>
        <w:t>because</w:t>
      </w:r>
      <w:r w:rsidR="00502E64">
        <w:rPr>
          <w:b w:val="0"/>
          <w:sz w:val="24"/>
        </w:rPr>
        <w:t xml:space="preserve"> </w:t>
      </w:r>
      <w:r w:rsidR="00FF1EBA">
        <w:rPr>
          <w:b w:val="0"/>
          <w:sz w:val="24"/>
        </w:rPr>
        <w:t>use of the form is voluntary</w:t>
      </w:r>
      <w:r w:rsidR="007F37E1">
        <w:rPr>
          <w:b w:val="0"/>
          <w:sz w:val="24"/>
        </w:rPr>
        <w:t xml:space="preserve">, the Department assumes that </w:t>
      </w:r>
      <w:r w:rsidR="00FF1EBA">
        <w:rPr>
          <w:b w:val="0"/>
          <w:sz w:val="24"/>
        </w:rPr>
        <w:t xml:space="preserve">participants only </w:t>
      </w:r>
      <w:r w:rsidR="007F37E1">
        <w:rPr>
          <w:b w:val="0"/>
          <w:sz w:val="24"/>
        </w:rPr>
        <w:t xml:space="preserve">will </w:t>
      </w:r>
      <w:r w:rsidR="00FF1EBA">
        <w:rPr>
          <w:b w:val="0"/>
          <w:sz w:val="24"/>
        </w:rPr>
        <w:t xml:space="preserve">use the form if it reduces </w:t>
      </w:r>
      <w:r w:rsidR="00502E64">
        <w:rPr>
          <w:b w:val="0"/>
          <w:sz w:val="24"/>
        </w:rPr>
        <w:t xml:space="preserve">their </w:t>
      </w:r>
      <w:r w:rsidR="00FF1EBA">
        <w:rPr>
          <w:b w:val="0"/>
          <w:sz w:val="24"/>
        </w:rPr>
        <w:t>burden</w:t>
      </w:r>
      <w:r w:rsidR="007F37E1">
        <w:rPr>
          <w:b w:val="0"/>
          <w:sz w:val="24"/>
        </w:rPr>
        <w:t xml:space="preserve"> to request the information.</w:t>
      </w:r>
      <w:r w:rsidR="00FF1EBA">
        <w:rPr>
          <w:b w:val="0"/>
          <w:sz w:val="24"/>
        </w:rPr>
        <w:t xml:space="preserve"> </w:t>
      </w:r>
    </w:p>
    <w:p w:rsidR="00282798" w:rsidP="006C2914" w14:paraId="0717CEC5" w14:textId="77777777">
      <w:pPr>
        <w:ind w:left="720"/>
        <w:rPr>
          <w:b w:val="0"/>
          <w:sz w:val="24"/>
        </w:rPr>
      </w:pPr>
    </w:p>
    <w:p w:rsidR="00F83AC3" w:rsidP="00E34575" w14:paraId="347062E3" w14:textId="162472D7">
      <w:pPr>
        <w:pStyle w:val="Heading1"/>
        <w:ind w:left="720"/>
        <w:rPr>
          <w:bCs w:val="0"/>
        </w:rPr>
      </w:pPr>
      <w:r w:rsidRPr="00F538AF">
        <w:t>Table</w:t>
      </w:r>
      <w:r w:rsidR="00175A69">
        <w:rPr>
          <w:bCs w:val="0"/>
        </w:rPr>
        <w:t xml:space="preserve"> 1</w:t>
      </w:r>
      <w:r w:rsidRPr="00F538AF">
        <w:rPr>
          <w:bCs w:val="0"/>
        </w:rPr>
        <w:t>. Hour Burden of Medical Necessity Disclosure</w:t>
      </w:r>
      <w:r w:rsidR="0029370F">
        <w:rPr>
          <w:bCs w:val="0"/>
        </w:rPr>
        <w:t>s</w:t>
      </w:r>
      <w:r w:rsidRPr="00F538AF">
        <w:rPr>
          <w:bCs w:val="0"/>
        </w:rPr>
        <w:t xml:space="preserve"> and Model Disclosure </w:t>
      </w:r>
      <w:r w:rsidRPr="00F538AF">
        <w:rPr>
          <w:bCs w:val="0"/>
        </w:rPr>
        <w:t>Request Form</w:t>
      </w:r>
      <w:r w:rsidR="0029370F">
        <w:rPr>
          <w:bCs w:val="0"/>
        </w:rPr>
        <w:t>s</w:t>
      </w:r>
    </w:p>
    <w:tbl>
      <w:tblPr>
        <w:tblpPr w:leftFromText="180" w:rightFromText="180" w:vertAnchor="text" w:horzAnchor="margin" w:tblpXSpec="right" w:tblpY="222"/>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096"/>
        <w:gridCol w:w="1260"/>
        <w:gridCol w:w="1080"/>
        <w:gridCol w:w="931"/>
        <w:gridCol w:w="1710"/>
      </w:tblGrid>
      <w:tr w14:paraId="06EB586A" w14:textId="77777777" w:rsidTr="00BB6CCD">
        <w:tblPrEx>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0"/>
        </w:trPr>
        <w:tc>
          <w:tcPr>
            <w:tcW w:w="2790" w:type="dxa"/>
            <w:shd w:val="clear" w:color="auto" w:fill="auto"/>
            <w:noWrap/>
            <w:vAlign w:val="bottom"/>
            <w:hideMark/>
          </w:tcPr>
          <w:p w:rsidR="00B43F26" w:rsidRPr="00F83AC3" w:rsidP="00B43F26" w14:paraId="24E33DEF" w14:textId="77777777">
            <w:pPr>
              <w:widowControl/>
              <w:autoSpaceDE/>
              <w:autoSpaceDN/>
              <w:adjustRightInd/>
              <w:rPr>
                <w:b w:val="0"/>
                <w:bCs w:val="0"/>
                <w:sz w:val="22"/>
                <w:szCs w:val="22"/>
              </w:rPr>
            </w:pPr>
            <w:r w:rsidRPr="00F83AC3">
              <w:rPr>
                <w:b w:val="0"/>
                <w:bCs w:val="0"/>
                <w:sz w:val="22"/>
                <w:szCs w:val="22"/>
              </w:rPr>
              <w:t> </w:t>
            </w:r>
          </w:p>
        </w:tc>
        <w:tc>
          <w:tcPr>
            <w:tcW w:w="1096" w:type="dxa"/>
            <w:shd w:val="clear" w:color="auto" w:fill="auto"/>
            <w:vAlign w:val="bottom"/>
            <w:hideMark/>
          </w:tcPr>
          <w:p w:rsidR="00B43F26" w:rsidRPr="00F83AC3" w:rsidP="00B43F26" w14:paraId="3CCBC2A8" w14:textId="77777777">
            <w:pPr>
              <w:widowControl/>
              <w:autoSpaceDE/>
              <w:autoSpaceDN/>
              <w:adjustRightInd/>
              <w:jc w:val="center"/>
              <w:rPr>
                <w:sz w:val="22"/>
                <w:szCs w:val="22"/>
              </w:rPr>
            </w:pPr>
            <w:r w:rsidRPr="00F83AC3">
              <w:rPr>
                <w:sz w:val="22"/>
                <w:szCs w:val="22"/>
              </w:rPr>
              <w:t>Number of Entities</w:t>
            </w:r>
          </w:p>
        </w:tc>
        <w:tc>
          <w:tcPr>
            <w:tcW w:w="1260" w:type="dxa"/>
            <w:shd w:val="clear" w:color="auto" w:fill="auto"/>
            <w:vAlign w:val="bottom"/>
            <w:hideMark/>
          </w:tcPr>
          <w:p w:rsidR="00B43F26" w:rsidRPr="00F83AC3" w:rsidP="00B43F26" w14:paraId="6FF76FC9" w14:textId="77777777">
            <w:pPr>
              <w:widowControl/>
              <w:autoSpaceDE/>
              <w:autoSpaceDN/>
              <w:adjustRightInd/>
              <w:jc w:val="center"/>
              <w:rPr>
                <w:sz w:val="22"/>
                <w:szCs w:val="22"/>
              </w:rPr>
            </w:pPr>
            <w:r w:rsidRPr="00F83AC3">
              <w:rPr>
                <w:sz w:val="22"/>
                <w:szCs w:val="22"/>
              </w:rPr>
              <w:t>Number of Hours per Entity</w:t>
            </w:r>
          </w:p>
        </w:tc>
        <w:tc>
          <w:tcPr>
            <w:tcW w:w="1080" w:type="dxa"/>
            <w:shd w:val="clear" w:color="auto" w:fill="auto"/>
            <w:vAlign w:val="bottom"/>
            <w:hideMark/>
          </w:tcPr>
          <w:p w:rsidR="00B43F26" w:rsidRPr="00F83AC3" w:rsidP="00B43F26" w14:paraId="02885A2D" w14:textId="77777777">
            <w:pPr>
              <w:widowControl/>
              <w:autoSpaceDE/>
              <w:autoSpaceDN/>
              <w:adjustRightInd/>
              <w:jc w:val="center"/>
              <w:rPr>
                <w:sz w:val="22"/>
                <w:szCs w:val="22"/>
              </w:rPr>
            </w:pPr>
            <w:r w:rsidRPr="00F83AC3">
              <w:rPr>
                <w:sz w:val="22"/>
                <w:szCs w:val="22"/>
              </w:rPr>
              <w:t>Total Hour Burden</w:t>
            </w:r>
          </w:p>
        </w:tc>
        <w:tc>
          <w:tcPr>
            <w:tcW w:w="931" w:type="dxa"/>
            <w:shd w:val="clear" w:color="auto" w:fill="auto"/>
            <w:vAlign w:val="bottom"/>
            <w:hideMark/>
          </w:tcPr>
          <w:p w:rsidR="00B43F26" w:rsidRPr="00F83AC3" w:rsidP="00B43F26" w14:paraId="43F8100B" w14:textId="77777777">
            <w:pPr>
              <w:widowControl/>
              <w:autoSpaceDE/>
              <w:autoSpaceDN/>
              <w:adjustRightInd/>
              <w:jc w:val="center"/>
              <w:rPr>
                <w:sz w:val="22"/>
                <w:szCs w:val="22"/>
              </w:rPr>
            </w:pPr>
            <w:r w:rsidRPr="00F83AC3">
              <w:rPr>
                <w:sz w:val="22"/>
                <w:szCs w:val="22"/>
              </w:rPr>
              <w:t>Wage Rate</w:t>
            </w:r>
          </w:p>
        </w:tc>
        <w:tc>
          <w:tcPr>
            <w:tcW w:w="1710" w:type="dxa"/>
            <w:shd w:val="clear" w:color="auto" w:fill="auto"/>
            <w:vAlign w:val="bottom"/>
            <w:hideMark/>
          </w:tcPr>
          <w:p w:rsidR="00B43F26" w:rsidRPr="00F83AC3" w:rsidP="00B43F26" w14:paraId="1E8C4979" w14:textId="77777777">
            <w:pPr>
              <w:widowControl/>
              <w:autoSpaceDE/>
              <w:autoSpaceDN/>
              <w:adjustRightInd/>
              <w:jc w:val="center"/>
              <w:rPr>
                <w:sz w:val="22"/>
                <w:szCs w:val="22"/>
              </w:rPr>
            </w:pPr>
            <w:r w:rsidRPr="00F83AC3">
              <w:rPr>
                <w:sz w:val="22"/>
                <w:szCs w:val="22"/>
              </w:rPr>
              <w:t>Hour Equivalent of Cost Burden</w:t>
            </w:r>
          </w:p>
        </w:tc>
      </w:tr>
      <w:tr w14:paraId="1FFF9C97" w14:textId="77777777" w:rsidTr="00BB6CCD">
        <w:tblPrEx>
          <w:tblW w:w="8867" w:type="dxa"/>
          <w:tblLook w:val="04A0"/>
        </w:tblPrEx>
        <w:trPr>
          <w:trHeight w:val="280"/>
        </w:trPr>
        <w:tc>
          <w:tcPr>
            <w:tcW w:w="2790" w:type="dxa"/>
            <w:shd w:val="clear" w:color="auto" w:fill="auto"/>
            <w:noWrap/>
            <w:vAlign w:val="bottom"/>
            <w:hideMark/>
          </w:tcPr>
          <w:p w:rsidR="00B43F26" w:rsidRPr="00F83AC3" w:rsidP="00B43F26" w14:paraId="0DAB897E" w14:textId="77777777">
            <w:pPr>
              <w:widowControl/>
              <w:autoSpaceDE/>
              <w:autoSpaceDN/>
              <w:adjustRightInd/>
              <w:rPr>
                <w:b w:val="0"/>
                <w:bCs w:val="0"/>
                <w:sz w:val="22"/>
                <w:szCs w:val="22"/>
              </w:rPr>
            </w:pPr>
            <w:r w:rsidRPr="00F83AC3">
              <w:rPr>
                <w:b w:val="0"/>
                <w:bCs w:val="0"/>
                <w:sz w:val="22"/>
                <w:szCs w:val="22"/>
              </w:rPr>
              <w:t> </w:t>
            </w:r>
          </w:p>
        </w:tc>
        <w:tc>
          <w:tcPr>
            <w:tcW w:w="1096" w:type="dxa"/>
            <w:shd w:val="clear" w:color="auto" w:fill="auto"/>
            <w:vAlign w:val="bottom"/>
            <w:hideMark/>
          </w:tcPr>
          <w:p w:rsidR="00B43F26" w:rsidRPr="00F83AC3" w:rsidP="00B43F26" w14:paraId="08C655FB" w14:textId="77777777">
            <w:pPr>
              <w:widowControl/>
              <w:autoSpaceDE/>
              <w:autoSpaceDN/>
              <w:adjustRightInd/>
              <w:jc w:val="center"/>
              <w:rPr>
                <w:sz w:val="22"/>
                <w:szCs w:val="22"/>
              </w:rPr>
            </w:pPr>
            <w:r w:rsidRPr="00F83AC3">
              <w:rPr>
                <w:sz w:val="22"/>
                <w:szCs w:val="22"/>
              </w:rPr>
              <w:t>(A)</w:t>
            </w:r>
          </w:p>
        </w:tc>
        <w:tc>
          <w:tcPr>
            <w:tcW w:w="1260" w:type="dxa"/>
            <w:shd w:val="clear" w:color="auto" w:fill="auto"/>
            <w:vAlign w:val="bottom"/>
            <w:hideMark/>
          </w:tcPr>
          <w:p w:rsidR="00B43F26" w:rsidRPr="00F83AC3" w:rsidP="00B43F26" w14:paraId="3BDD424B" w14:textId="77777777">
            <w:pPr>
              <w:widowControl/>
              <w:autoSpaceDE/>
              <w:autoSpaceDN/>
              <w:adjustRightInd/>
              <w:jc w:val="center"/>
              <w:rPr>
                <w:sz w:val="22"/>
                <w:szCs w:val="22"/>
              </w:rPr>
            </w:pPr>
            <w:r w:rsidRPr="00F83AC3">
              <w:rPr>
                <w:sz w:val="22"/>
                <w:szCs w:val="22"/>
              </w:rPr>
              <w:t>(B)</w:t>
            </w:r>
          </w:p>
        </w:tc>
        <w:tc>
          <w:tcPr>
            <w:tcW w:w="1080" w:type="dxa"/>
            <w:shd w:val="clear" w:color="auto" w:fill="auto"/>
            <w:vAlign w:val="bottom"/>
            <w:hideMark/>
          </w:tcPr>
          <w:p w:rsidR="00B43F26" w:rsidRPr="00F83AC3" w:rsidP="00B43F26" w14:paraId="3245155B" w14:textId="77777777">
            <w:pPr>
              <w:widowControl/>
              <w:autoSpaceDE/>
              <w:autoSpaceDN/>
              <w:adjustRightInd/>
              <w:jc w:val="center"/>
              <w:rPr>
                <w:sz w:val="22"/>
                <w:szCs w:val="22"/>
              </w:rPr>
            </w:pPr>
            <w:r w:rsidRPr="00F83AC3">
              <w:rPr>
                <w:sz w:val="22"/>
                <w:szCs w:val="22"/>
              </w:rPr>
              <w:t>(C)</w:t>
            </w:r>
          </w:p>
        </w:tc>
        <w:tc>
          <w:tcPr>
            <w:tcW w:w="931" w:type="dxa"/>
            <w:shd w:val="clear" w:color="auto" w:fill="auto"/>
            <w:vAlign w:val="bottom"/>
            <w:hideMark/>
          </w:tcPr>
          <w:p w:rsidR="00B43F26" w:rsidRPr="00F83AC3" w:rsidP="00B43F26" w14:paraId="1F51234B" w14:textId="77777777">
            <w:pPr>
              <w:widowControl/>
              <w:autoSpaceDE/>
              <w:autoSpaceDN/>
              <w:adjustRightInd/>
              <w:jc w:val="center"/>
              <w:rPr>
                <w:sz w:val="22"/>
                <w:szCs w:val="22"/>
              </w:rPr>
            </w:pPr>
            <w:r w:rsidRPr="00F83AC3">
              <w:rPr>
                <w:sz w:val="22"/>
                <w:szCs w:val="22"/>
              </w:rPr>
              <w:t>(D)</w:t>
            </w:r>
          </w:p>
        </w:tc>
        <w:tc>
          <w:tcPr>
            <w:tcW w:w="1710" w:type="dxa"/>
            <w:shd w:val="clear" w:color="auto" w:fill="auto"/>
            <w:vAlign w:val="bottom"/>
            <w:hideMark/>
          </w:tcPr>
          <w:p w:rsidR="00B43F26" w:rsidRPr="00F83AC3" w:rsidP="00B43F26" w14:paraId="06C3C8EB" w14:textId="77777777">
            <w:pPr>
              <w:widowControl/>
              <w:autoSpaceDE/>
              <w:autoSpaceDN/>
              <w:adjustRightInd/>
              <w:jc w:val="center"/>
              <w:rPr>
                <w:sz w:val="22"/>
                <w:szCs w:val="22"/>
              </w:rPr>
            </w:pPr>
            <w:r w:rsidRPr="00F83AC3">
              <w:rPr>
                <w:sz w:val="22"/>
                <w:szCs w:val="22"/>
              </w:rPr>
              <w:t>(A x B x C x D)</w:t>
            </w:r>
          </w:p>
        </w:tc>
      </w:tr>
      <w:tr w14:paraId="2DB918EA" w14:textId="77777777" w:rsidTr="00BB6CCD">
        <w:tblPrEx>
          <w:tblW w:w="8867" w:type="dxa"/>
          <w:tblLook w:val="04A0"/>
        </w:tblPrEx>
        <w:trPr>
          <w:trHeight w:val="560"/>
        </w:trPr>
        <w:tc>
          <w:tcPr>
            <w:tcW w:w="2790" w:type="dxa"/>
            <w:shd w:val="clear" w:color="auto" w:fill="auto"/>
            <w:vAlign w:val="bottom"/>
            <w:hideMark/>
          </w:tcPr>
          <w:p w:rsidR="00B43F26" w:rsidRPr="00F83AC3" w:rsidP="00B43F26" w14:paraId="2C270FB1" w14:textId="12E98479">
            <w:pPr>
              <w:widowControl/>
              <w:autoSpaceDE/>
              <w:autoSpaceDN/>
              <w:adjustRightInd/>
              <w:rPr>
                <w:b w:val="0"/>
                <w:bCs w:val="0"/>
                <w:sz w:val="22"/>
                <w:szCs w:val="22"/>
              </w:rPr>
            </w:pPr>
            <w:r w:rsidRPr="00F83AC3">
              <w:rPr>
                <w:b w:val="0"/>
                <w:bCs w:val="0"/>
                <w:sz w:val="22"/>
                <w:szCs w:val="22"/>
              </w:rPr>
              <w:t>Medical secretar</w:t>
            </w:r>
            <w:r w:rsidR="00F419AF">
              <w:rPr>
                <w:b w:val="0"/>
                <w:bCs w:val="0"/>
                <w:sz w:val="22"/>
                <w:szCs w:val="22"/>
              </w:rPr>
              <w:t>ies</w:t>
            </w:r>
            <w:r w:rsidRPr="00F83AC3">
              <w:rPr>
                <w:b w:val="0"/>
                <w:bCs w:val="0"/>
                <w:sz w:val="22"/>
                <w:szCs w:val="22"/>
              </w:rPr>
              <w:t xml:space="preserve"> prepare </w:t>
            </w:r>
            <w:r w:rsidR="00F419AF">
              <w:rPr>
                <w:b w:val="0"/>
                <w:bCs w:val="0"/>
                <w:sz w:val="22"/>
                <w:szCs w:val="22"/>
              </w:rPr>
              <w:t>M</w:t>
            </w:r>
            <w:r w:rsidRPr="00F83AC3">
              <w:rPr>
                <w:b w:val="0"/>
                <w:bCs w:val="0"/>
                <w:sz w:val="22"/>
                <w:szCs w:val="22"/>
              </w:rPr>
              <w:t xml:space="preserve">edical </w:t>
            </w:r>
            <w:r w:rsidR="00F419AF">
              <w:rPr>
                <w:b w:val="0"/>
                <w:bCs w:val="0"/>
                <w:sz w:val="22"/>
                <w:szCs w:val="22"/>
              </w:rPr>
              <w:t>N</w:t>
            </w:r>
            <w:r w:rsidRPr="00F83AC3">
              <w:rPr>
                <w:b w:val="0"/>
                <w:bCs w:val="0"/>
                <w:sz w:val="22"/>
                <w:szCs w:val="22"/>
              </w:rPr>
              <w:t xml:space="preserve">ecessity </w:t>
            </w:r>
            <w:r w:rsidR="00F419AF">
              <w:rPr>
                <w:b w:val="0"/>
                <w:bCs w:val="0"/>
                <w:sz w:val="22"/>
                <w:szCs w:val="22"/>
              </w:rPr>
              <w:t>C</w:t>
            </w:r>
            <w:r w:rsidRPr="00F83AC3">
              <w:rPr>
                <w:b w:val="0"/>
                <w:bCs w:val="0"/>
                <w:sz w:val="22"/>
                <w:szCs w:val="22"/>
              </w:rPr>
              <w:t xml:space="preserve">riteria </w:t>
            </w:r>
            <w:r w:rsidR="00F419AF">
              <w:rPr>
                <w:b w:val="0"/>
                <w:bCs w:val="0"/>
                <w:sz w:val="22"/>
                <w:szCs w:val="22"/>
              </w:rPr>
              <w:t>D</w:t>
            </w:r>
            <w:r w:rsidRPr="00F83AC3">
              <w:rPr>
                <w:b w:val="0"/>
                <w:bCs w:val="0"/>
                <w:sz w:val="22"/>
                <w:szCs w:val="22"/>
              </w:rPr>
              <w:t xml:space="preserve">isclosures </w:t>
            </w:r>
          </w:p>
        </w:tc>
        <w:tc>
          <w:tcPr>
            <w:tcW w:w="1096" w:type="dxa"/>
            <w:shd w:val="clear" w:color="auto" w:fill="auto"/>
            <w:noWrap/>
            <w:vAlign w:val="bottom"/>
            <w:hideMark/>
          </w:tcPr>
          <w:p w:rsidR="00B43F26" w:rsidRPr="00F83AC3" w:rsidP="00B43F26" w14:paraId="7191D409" w14:textId="77777777">
            <w:pPr>
              <w:widowControl/>
              <w:autoSpaceDE/>
              <w:autoSpaceDN/>
              <w:adjustRightInd/>
              <w:jc w:val="right"/>
              <w:rPr>
                <w:b w:val="0"/>
                <w:bCs w:val="0"/>
                <w:sz w:val="22"/>
                <w:szCs w:val="22"/>
              </w:rPr>
            </w:pPr>
            <w:r w:rsidRPr="00F83AC3">
              <w:rPr>
                <w:b w:val="0"/>
                <w:bCs w:val="0"/>
                <w:sz w:val="22"/>
                <w:szCs w:val="22"/>
              </w:rPr>
              <w:t>2,129,516</w:t>
            </w:r>
          </w:p>
        </w:tc>
        <w:tc>
          <w:tcPr>
            <w:tcW w:w="1260" w:type="dxa"/>
            <w:shd w:val="clear" w:color="auto" w:fill="auto"/>
            <w:noWrap/>
            <w:vAlign w:val="bottom"/>
            <w:hideMark/>
          </w:tcPr>
          <w:p w:rsidR="00B43F26" w:rsidRPr="00F83AC3" w:rsidP="00B43F26" w14:paraId="02805C34" w14:textId="77777777">
            <w:pPr>
              <w:widowControl/>
              <w:autoSpaceDE/>
              <w:autoSpaceDN/>
              <w:adjustRightInd/>
              <w:jc w:val="right"/>
              <w:rPr>
                <w:b w:val="0"/>
                <w:bCs w:val="0"/>
                <w:sz w:val="22"/>
                <w:szCs w:val="22"/>
              </w:rPr>
            </w:pPr>
            <w:r w:rsidRPr="00F83AC3">
              <w:rPr>
                <w:b w:val="0"/>
                <w:bCs w:val="0"/>
                <w:sz w:val="22"/>
                <w:szCs w:val="22"/>
              </w:rPr>
              <w:t>0.083</w:t>
            </w:r>
          </w:p>
        </w:tc>
        <w:tc>
          <w:tcPr>
            <w:tcW w:w="1080" w:type="dxa"/>
            <w:shd w:val="clear" w:color="auto" w:fill="auto"/>
            <w:noWrap/>
            <w:vAlign w:val="bottom"/>
            <w:hideMark/>
          </w:tcPr>
          <w:p w:rsidR="00B43F26" w:rsidRPr="00F83AC3" w:rsidP="00B43F26" w14:paraId="115DDEFB" w14:textId="77777777">
            <w:pPr>
              <w:widowControl/>
              <w:autoSpaceDE/>
              <w:autoSpaceDN/>
              <w:adjustRightInd/>
              <w:jc w:val="right"/>
              <w:rPr>
                <w:b w:val="0"/>
                <w:bCs w:val="0"/>
                <w:sz w:val="22"/>
                <w:szCs w:val="22"/>
              </w:rPr>
            </w:pPr>
            <w:r w:rsidRPr="00F83AC3">
              <w:rPr>
                <w:b w:val="0"/>
                <w:bCs w:val="0"/>
                <w:sz w:val="22"/>
                <w:szCs w:val="22"/>
              </w:rPr>
              <w:t>177,460</w:t>
            </w:r>
          </w:p>
        </w:tc>
        <w:tc>
          <w:tcPr>
            <w:tcW w:w="931" w:type="dxa"/>
            <w:shd w:val="clear" w:color="auto" w:fill="auto"/>
            <w:noWrap/>
            <w:vAlign w:val="bottom"/>
            <w:hideMark/>
          </w:tcPr>
          <w:p w:rsidR="00B43F26" w:rsidRPr="00F83AC3" w:rsidP="00B43F26" w14:paraId="593FFD7B" w14:textId="77777777">
            <w:pPr>
              <w:widowControl/>
              <w:autoSpaceDE/>
              <w:autoSpaceDN/>
              <w:adjustRightInd/>
              <w:jc w:val="right"/>
              <w:rPr>
                <w:b w:val="0"/>
                <w:bCs w:val="0"/>
                <w:sz w:val="22"/>
                <w:szCs w:val="22"/>
              </w:rPr>
            </w:pPr>
            <w:r w:rsidRPr="00F83AC3">
              <w:rPr>
                <w:b w:val="0"/>
                <w:bCs w:val="0"/>
                <w:sz w:val="22"/>
                <w:szCs w:val="22"/>
              </w:rPr>
              <w:t>$57.10</w:t>
            </w:r>
          </w:p>
        </w:tc>
        <w:tc>
          <w:tcPr>
            <w:tcW w:w="1710" w:type="dxa"/>
            <w:shd w:val="clear" w:color="auto" w:fill="auto"/>
            <w:noWrap/>
            <w:vAlign w:val="bottom"/>
            <w:hideMark/>
          </w:tcPr>
          <w:p w:rsidR="00B43F26" w:rsidRPr="00F83AC3" w:rsidP="00B43F26" w14:paraId="06EC2E4E" w14:textId="77777777">
            <w:pPr>
              <w:widowControl/>
              <w:autoSpaceDE/>
              <w:autoSpaceDN/>
              <w:adjustRightInd/>
              <w:jc w:val="right"/>
              <w:rPr>
                <w:b w:val="0"/>
                <w:bCs w:val="0"/>
                <w:sz w:val="22"/>
                <w:szCs w:val="22"/>
              </w:rPr>
            </w:pPr>
            <w:r w:rsidRPr="00F83AC3">
              <w:rPr>
                <w:b w:val="0"/>
                <w:bCs w:val="0"/>
                <w:sz w:val="22"/>
                <w:szCs w:val="22"/>
              </w:rPr>
              <w:t>$10,132,946</w:t>
            </w:r>
          </w:p>
        </w:tc>
      </w:tr>
      <w:tr w14:paraId="6C5A6064" w14:textId="77777777" w:rsidTr="00BB6CCD">
        <w:tblPrEx>
          <w:tblW w:w="8867" w:type="dxa"/>
          <w:tblLook w:val="04A0"/>
        </w:tblPrEx>
        <w:trPr>
          <w:trHeight w:val="560"/>
        </w:trPr>
        <w:tc>
          <w:tcPr>
            <w:tcW w:w="2790" w:type="dxa"/>
            <w:shd w:val="clear" w:color="auto" w:fill="auto"/>
            <w:vAlign w:val="bottom"/>
            <w:hideMark/>
          </w:tcPr>
          <w:p w:rsidR="00B43F26" w:rsidRPr="00F83AC3" w:rsidP="00B43F26" w14:paraId="30FD93CA" w14:textId="7A687D7B">
            <w:pPr>
              <w:widowControl/>
              <w:autoSpaceDE/>
              <w:autoSpaceDN/>
              <w:adjustRightInd/>
              <w:rPr>
                <w:b w:val="0"/>
                <w:bCs w:val="0"/>
                <w:sz w:val="22"/>
                <w:szCs w:val="22"/>
              </w:rPr>
            </w:pPr>
            <w:r w:rsidRPr="00F83AC3">
              <w:rPr>
                <w:b w:val="0"/>
                <w:bCs w:val="0"/>
                <w:sz w:val="22"/>
                <w:szCs w:val="22"/>
              </w:rPr>
              <w:t>Medical provider</w:t>
            </w:r>
            <w:r w:rsidR="00F419AF">
              <w:rPr>
                <w:b w:val="0"/>
                <w:bCs w:val="0"/>
                <w:sz w:val="22"/>
                <w:szCs w:val="22"/>
              </w:rPr>
              <w:t>s</w:t>
            </w:r>
            <w:r w:rsidRPr="00F83AC3">
              <w:rPr>
                <w:b w:val="0"/>
                <w:bCs w:val="0"/>
                <w:sz w:val="22"/>
                <w:szCs w:val="22"/>
              </w:rPr>
              <w:t xml:space="preserve"> review and complete Model Disclosure Request Form</w:t>
            </w:r>
            <w:r w:rsidR="00A00F5B">
              <w:rPr>
                <w:b w:val="0"/>
                <w:bCs w:val="0"/>
                <w:sz w:val="22"/>
                <w:szCs w:val="22"/>
              </w:rPr>
              <w:t>s</w:t>
            </w:r>
          </w:p>
        </w:tc>
        <w:tc>
          <w:tcPr>
            <w:tcW w:w="1096" w:type="dxa"/>
            <w:tcBorders>
              <w:bottom w:val="double" w:sz="4" w:space="0" w:color="auto"/>
            </w:tcBorders>
            <w:shd w:val="clear" w:color="auto" w:fill="auto"/>
            <w:noWrap/>
            <w:vAlign w:val="bottom"/>
            <w:hideMark/>
          </w:tcPr>
          <w:p w:rsidR="00B43F26" w:rsidRPr="00F83AC3" w:rsidP="00B43F26" w14:paraId="0B1B6A80" w14:textId="77777777">
            <w:pPr>
              <w:widowControl/>
              <w:autoSpaceDE/>
              <w:autoSpaceDN/>
              <w:adjustRightInd/>
              <w:jc w:val="right"/>
              <w:rPr>
                <w:b w:val="0"/>
                <w:bCs w:val="0"/>
                <w:sz w:val="22"/>
                <w:szCs w:val="22"/>
              </w:rPr>
            </w:pPr>
            <w:r w:rsidRPr="00F83AC3">
              <w:rPr>
                <w:b w:val="0"/>
                <w:bCs w:val="0"/>
                <w:sz w:val="22"/>
                <w:szCs w:val="22"/>
              </w:rPr>
              <w:t>498,015</w:t>
            </w:r>
          </w:p>
        </w:tc>
        <w:tc>
          <w:tcPr>
            <w:tcW w:w="1260" w:type="dxa"/>
            <w:tcBorders>
              <w:bottom w:val="double" w:sz="4" w:space="0" w:color="auto"/>
            </w:tcBorders>
            <w:shd w:val="clear" w:color="auto" w:fill="auto"/>
            <w:noWrap/>
            <w:vAlign w:val="bottom"/>
            <w:hideMark/>
          </w:tcPr>
          <w:p w:rsidR="00B43F26" w:rsidRPr="00F83AC3" w:rsidP="00B43F26" w14:paraId="35D17A3B" w14:textId="77777777">
            <w:pPr>
              <w:widowControl/>
              <w:autoSpaceDE/>
              <w:autoSpaceDN/>
              <w:adjustRightInd/>
              <w:jc w:val="right"/>
              <w:rPr>
                <w:b w:val="0"/>
                <w:bCs w:val="0"/>
                <w:sz w:val="22"/>
                <w:szCs w:val="22"/>
              </w:rPr>
            </w:pPr>
            <w:r w:rsidRPr="00F83AC3">
              <w:rPr>
                <w:b w:val="0"/>
                <w:bCs w:val="0"/>
                <w:sz w:val="22"/>
                <w:szCs w:val="22"/>
              </w:rPr>
              <w:t>0.083</w:t>
            </w:r>
          </w:p>
        </w:tc>
        <w:tc>
          <w:tcPr>
            <w:tcW w:w="1080" w:type="dxa"/>
            <w:tcBorders>
              <w:bottom w:val="double" w:sz="4" w:space="0" w:color="auto"/>
            </w:tcBorders>
            <w:shd w:val="clear" w:color="auto" w:fill="auto"/>
            <w:noWrap/>
            <w:vAlign w:val="bottom"/>
            <w:hideMark/>
          </w:tcPr>
          <w:p w:rsidR="00B43F26" w:rsidRPr="00F83AC3" w:rsidP="00B43F26" w14:paraId="404AF915" w14:textId="77777777">
            <w:pPr>
              <w:widowControl/>
              <w:autoSpaceDE/>
              <w:autoSpaceDN/>
              <w:adjustRightInd/>
              <w:jc w:val="right"/>
              <w:rPr>
                <w:b w:val="0"/>
                <w:bCs w:val="0"/>
                <w:sz w:val="22"/>
                <w:szCs w:val="22"/>
              </w:rPr>
            </w:pPr>
            <w:r w:rsidRPr="00F83AC3">
              <w:rPr>
                <w:b w:val="0"/>
                <w:bCs w:val="0"/>
                <w:sz w:val="22"/>
                <w:szCs w:val="22"/>
              </w:rPr>
              <w:t>41,501</w:t>
            </w:r>
          </w:p>
        </w:tc>
        <w:tc>
          <w:tcPr>
            <w:tcW w:w="931" w:type="dxa"/>
            <w:tcBorders>
              <w:bottom w:val="double" w:sz="4" w:space="0" w:color="auto"/>
            </w:tcBorders>
            <w:shd w:val="clear" w:color="auto" w:fill="auto"/>
            <w:noWrap/>
            <w:vAlign w:val="bottom"/>
            <w:hideMark/>
          </w:tcPr>
          <w:p w:rsidR="00B43F26" w:rsidRPr="00F83AC3" w:rsidP="00B43F26" w14:paraId="174277B1" w14:textId="77777777">
            <w:pPr>
              <w:widowControl/>
              <w:autoSpaceDE/>
              <w:autoSpaceDN/>
              <w:adjustRightInd/>
              <w:jc w:val="right"/>
              <w:rPr>
                <w:b w:val="0"/>
                <w:bCs w:val="0"/>
                <w:sz w:val="22"/>
                <w:szCs w:val="22"/>
              </w:rPr>
            </w:pPr>
            <w:r w:rsidRPr="00F83AC3">
              <w:rPr>
                <w:b w:val="0"/>
                <w:bCs w:val="0"/>
                <w:sz w:val="22"/>
                <w:szCs w:val="22"/>
              </w:rPr>
              <w:t>$216.39</w:t>
            </w:r>
          </w:p>
        </w:tc>
        <w:tc>
          <w:tcPr>
            <w:tcW w:w="1710" w:type="dxa"/>
            <w:tcBorders>
              <w:bottom w:val="double" w:sz="4" w:space="0" w:color="auto"/>
            </w:tcBorders>
            <w:shd w:val="clear" w:color="auto" w:fill="auto"/>
            <w:noWrap/>
            <w:vAlign w:val="bottom"/>
            <w:hideMark/>
          </w:tcPr>
          <w:p w:rsidR="00B43F26" w:rsidRPr="00F83AC3" w:rsidP="00B43F26" w14:paraId="6BF68BB4" w14:textId="77777777">
            <w:pPr>
              <w:widowControl/>
              <w:autoSpaceDE/>
              <w:autoSpaceDN/>
              <w:adjustRightInd/>
              <w:jc w:val="right"/>
              <w:rPr>
                <w:b w:val="0"/>
                <w:bCs w:val="0"/>
                <w:sz w:val="22"/>
                <w:szCs w:val="22"/>
              </w:rPr>
            </w:pPr>
            <w:r w:rsidRPr="00F83AC3">
              <w:rPr>
                <w:b w:val="0"/>
                <w:bCs w:val="0"/>
                <w:sz w:val="22"/>
                <w:szCs w:val="22"/>
              </w:rPr>
              <w:t>$8,980,455</w:t>
            </w:r>
          </w:p>
        </w:tc>
      </w:tr>
      <w:tr w14:paraId="1EA30B0E" w14:textId="77777777" w:rsidTr="00BB6CCD">
        <w:tblPrEx>
          <w:tblW w:w="8867" w:type="dxa"/>
          <w:tblLook w:val="04A0"/>
        </w:tblPrEx>
        <w:trPr>
          <w:trHeight w:val="280"/>
        </w:trPr>
        <w:tc>
          <w:tcPr>
            <w:tcW w:w="2790" w:type="dxa"/>
            <w:shd w:val="clear" w:color="auto" w:fill="auto"/>
            <w:noWrap/>
            <w:vAlign w:val="bottom"/>
            <w:hideMark/>
          </w:tcPr>
          <w:p w:rsidR="00B43F26" w:rsidRPr="00F83AC3" w:rsidP="00B43F26" w14:paraId="6230BAA9" w14:textId="77777777">
            <w:pPr>
              <w:widowControl/>
              <w:autoSpaceDE/>
              <w:autoSpaceDN/>
              <w:adjustRightInd/>
              <w:rPr>
                <w:sz w:val="22"/>
                <w:szCs w:val="22"/>
              </w:rPr>
            </w:pPr>
            <w:r w:rsidRPr="00F83AC3">
              <w:rPr>
                <w:sz w:val="22"/>
                <w:szCs w:val="22"/>
              </w:rPr>
              <w:t>Total</w:t>
            </w:r>
          </w:p>
        </w:tc>
        <w:tc>
          <w:tcPr>
            <w:tcW w:w="1096" w:type="dxa"/>
            <w:tcBorders>
              <w:top w:val="double" w:sz="4" w:space="0" w:color="auto"/>
            </w:tcBorders>
            <w:shd w:val="clear" w:color="auto" w:fill="auto"/>
            <w:noWrap/>
            <w:vAlign w:val="bottom"/>
            <w:hideMark/>
          </w:tcPr>
          <w:p w:rsidR="00B43F26" w:rsidRPr="00F83AC3" w:rsidP="00B43F26" w14:paraId="0275D99D" w14:textId="77777777">
            <w:pPr>
              <w:widowControl/>
              <w:autoSpaceDE/>
              <w:autoSpaceDN/>
              <w:adjustRightInd/>
              <w:jc w:val="right"/>
              <w:rPr>
                <w:sz w:val="22"/>
                <w:szCs w:val="22"/>
              </w:rPr>
            </w:pPr>
            <w:r w:rsidRPr="00F83AC3">
              <w:rPr>
                <w:sz w:val="22"/>
                <w:szCs w:val="22"/>
              </w:rPr>
              <w:t>2,627,531</w:t>
            </w:r>
          </w:p>
        </w:tc>
        <w:tc>
          <w:tcPr>
            <w:tcW w:w="1260" w:type="dxa"/>
            <w:tcBorders>
              <w:top w:val="double" w:sz="4" w:space="0" w:color="auto"/>
            </w:tcBorders>
            <w:shd w:val="clear" w:color="auto" w:fill="auto"/>
            <w:noWrap/>
            <w:vAlign w:val="bottom"/>
            <w:hideMark/>
          </w:tcPr>
          <w:p w:rsidR="00B43F26" w:rsidRPr="00F83AC3" w:rsidP="00B43F26" w14:paraId="7E2A04F1" w14:textId="77777777">
            <w:pPr>
              <w:widowControl/>
              <w:autoSpaceDE/>
              <w:autoSpaceDN/>
              <w:adjustRightInd/>
              <w:jc w:val="right"/>
              <w:rPr>
                <w:sz w:val="22"/>
                <w:szCs w:val="22"/>
              </w:rPr>
            </w:pPr>
            <w:r w:rsidRPr="00F83AC3">
              <w:rPr>
                <w:sz w:val="22"/>
                <w:szCs w:val="22"/>
              </w:rPr>
              <w:t>-</w:t>
            </w:r>
          </w:p>
        </w:tc>
        <w:tc>
          <w:tcPr>
            <w:tcW w:w="1080" w:type="dxa"/>
            <w:tcBorders>
              <w:top w:val="double" w:sz="4" w:space="0" w:color="auto"/>
            </w:tcBorders>
            <w:shd w:val="clear" w:color="auto" w:fill="auto"/>
            <w:noWrap/>
            <w:vAlign w:val="bottom"/>
            <w:hideMark/>
          </w:tcPr>
          <w:p w:rsidR="00B43F26" w:rsidRPr="00F83AC3" w:rsidP="00B43F26" w14:paraId="2D0C9880" w14:textId="77777777">
            <w:pPr>
              <w:widowControl/>
              <w:autoSpaceDE/>
              <w:autoSpaceDN/>
              <w:adjustRightInd/>
              <w:jc w:val="right"/>
              <w:rPr>
                <w:sz w:val="22"/>
                <w:szCs w:val="22"/>
              </w:rPr>
            </w:pPr>
            <w:r w:rsidRPr="00F83AC3">
              <w:rPr>
                <w:sz w:val="22"/>
                <w:szCs w:val="22"/>
              </w:rPr>
              <w:t>218,961</w:t>
            </w:r>
          </w:p>
        </w:tc>
        <w:tc>
          <w:tcPr>
            <w:tcW w:w="931" w:type="dxa"/>
            <w:tcBorders>
              <w:top w:val="double" w:sz="4" w:space="0" w:color="auto"/>
            </w:tcBorders>
            <w:shd w:val="clear" w:color="auto" w:fill="auto"/>
            <w:noWrap/>
            <w:vAlign w:val="bottom"/>
            <w:hideMark/>
          </w:tcPr>
          <w:p w:rsidR="00B43F26" w:rsidRPr="00F83AC3" w:rsidP="00B43F26" w14:paraId="57433626" w14:textId="77777777">
            <w:pPr>
              <w:widowControl/>
              <w:autoSpaceDE/>
              <w:autoSpaceDN/>
              <w:adjustRightInd/>
              <w:jc w:val="right"/>
              <w:rPr>
                <w:sz w:val="22"/>
                <w:szCs w:val="22"/>
              </w:rPr>
            </w:pPr>
            <w:r w:rsidRPr="00F83AC3">
              <w:rPr>
                <w:sz w:val="22"/>
                <w:szCs w:val="22"/>
              </w:rPr>
              <w:t>-</w:t>
            </w:r>
          </w:p>
        </w:tc>
        <w:tc>
          <w:tcPr>
            <w:tcW w:w="1710" w:type="dxa"/>
            <w:tcBorders>
              <w:top w:val="double" w:sz="4" w:space="0" w:color="auto"/>
            </w:tcBorders>
            <w:shd w:val="clear" w:color="auto" w:fill="auto"/>
            <w:noWrap/>
            <w:vAlign w:val="bottom"/>
            <w:hideMark/>
          </w:tcPr>
          <w:p w:rsidR="00B43F26" w:rsidRPr="00F83AC3" w:rsidP="00B43F26" w14:paraId="48812CDE" w14:textId="77777777">
            <w:pPr>
              <w:widowControl/>
              <w:autoSpaceDE/>
              <w:autoSpaceDN/>
              <w:adjustRightInd/>
              <w:jc w:val="right"/>
              <w:rPr>
                <w:sz w:val="22"/>
                <w:szCs w:val="22"/>
              </w:rPr>
            </w:pPr>
            <w:r w:rsidRPr="00F83AC3">
              <w:rPr>
                <w:sz w:val="22"/>
                <w:szCs w:val="22"/>
              </w:rPr>
              <w:t>$19,113,401</w:t>
            </w:r>
          </w:p>
        </w:tc>
      </w:tr>
    </w:tbl>
    <w:p w:rsidR="00EA73ED" w:rsidP="00D05D92" w14:paraId="4E85CC3E" w14:textId="77777777">
      <w:pPr>
        <w:ind w:left="720"/>
        <w:rPr>
          <w:bCs w:val="0"/>
          <w:sz w:val="24"/>
        </w:rPr>
      </w:pPr>
    </w:p>
    <w:bookmarkEnd w:id="3"/>
    <w:bookmarkEnd w:id="4"/>
    <w:p w:rsidR="001A147C" w:rsidRPr="002C1BE7" w:rsidP="006C2914" w14:paraId="1DD8444E" w14:textId="0C2B59B5">
      <w:pPr>
        <w:ind w:left="720"/>
        <w:rPr>
          <w:bCs w:val="0"/>
          <w:sz w:val="24"/>
          <w:szCs w:val="24"/>
        </w:rPr>
      </w:pPr>
      <w:r w:rsidRPr="002C1BE7">
        <w:rPr>
          <w:bCs w:val="0"/>
          <w:i/>
          <w:sz w:val="24"/>
          <w:szCs w:val="24"/>
          <w:u w:val="single"/>
        </w:rPr>
        <w:t>Requirements under the Consolidated Appropriations Act of 2021</w:t>
      </w:r>
    </w:p>
    <w:p w:rsidR="00927009" w:rsidP="00861D9C" w14:paraId="0CC116C4" w14:textId="3C0CB81C">
      <w:pPr>
        <w:rPr>
          <w:b w:val="0"/>
          <w:bCs w:val="0"/>
          <w:iCs/>
          <w:sz w:val="24"/>
          <w:szCs w:val="24"/>
        </w:rPr>
      </w:pPr>
    </w:p>
    <w:p w:rsidR="002C1BE7" w:rsidRPr="002C1BE7" w:rsidP="00861D9C" w14:paraId="4EFFE80E" w14:textId="2BCC18F0">
      <w:pPr>
        <w:rPr>
          <w:b w:val="0"/>
          <w:bCs w:val="0"/>
          <w:i/>
          <w:sz w:val="24"/>
          <w:szCs w:val="24"/>
        </w:rPr>
      </w:pPr>
      <w:r>
        <w:rPr>
          <w:b w:val="0"/>
          <w:bCs w:val="0"/>
          <w:iCs/>
          <w:sz w:val="24"/>
          <w:szCs w:val="24"/>
        </w:rPr>
        <w:tab/>
      </w:r>
      <w:r w:rsidRPr="002C1BE7">
        <w:rPr>
          <w:b w:val="0"/>
          <w:bCs w:val="0"/>
          <w:i/>
          <w:sz w:val="24"/>
          <w:szCs w:val="24"/>
        </w:rPr>
        <w:t>Content Requirement Under the CAA</w:t>
      </w:r>
      <w:r w:rsidR="00927E79">
        <w:rPr>
          <w:b w:val="0"/>
          <w:bCs w:val="0"/>
          <w:i/>
          <w:sz w:val="24"/>
          <w:szCs w:val="24"/>
        </w:rPr>
        <w:t>, 2021</w:t>
      </w:r>
      <w:r w:rsidRPr="002C1BE7">
        <w:rPr>
          <w:b w:val="0"/>
          <w:bCs w:val="0"/>
          <w:i/>
          <w:sz w:val="24"/>
          <w:szCs w:val="24"/>
        </w:rPr>
        <w:t xml:space="preserve"> </w:t>
      </w:r>
      <w:r w:rsidRPr="002C1BE7">
        <w:rPr>
          <w:b w:val="0"/>
          <w:bCs w:val="0"/>
          <w:i/>
          <w:sz w:val="24"/>
          <w:szCs w:val="24"/>
        </w:rPr>
        <w:tab/>
      </w:r>
    </w:p>
    <w:p w:rsidR="002C1BE7" w:rsidP="00861D9C" w14:paraId="0FE0F29D" w14:textId="77777777">
      <w:pPr>
        <w:rPr>
          <w:b w:val="0"/>
          <w:bCs w:val="0"/>
          <w:iCs/>
          <w:sz w:val="24"/>
          <w:szCs w:val="24"/>
        </w:rPr>
      </w:pPr>
    </w:p>
    <w:p w:rsidR="00717746" w:rsidP="006C2914" w14:paraId="66931A0B" w14:textId="77777777">
      <w:pPr>
        <w:ind w:left="720"/>
        <w:rPr>
          <w:b w:val="0"/>
          <w:sz w:val="24"/>
          <w:szCs w:val="24"/>
        </w:rPr>
      </w:pPr>
      <w:r w:rsidRPr="006570FD">
        <w:rPr>
          <w:b w:val="0"/>
          <w:sz w:val="24"/>
          <w:szCs w:val="24"/>
        </w:rPr>
        <w:t>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w:t>
      </w:r>
    </w:p>
    <w:p w:rsidR="001A147C" w:rsidP="006570FD" w14:paraId="345B04B8" w14:textId="77777777">
      <w:pPr>
        <w:rPr>
          <w:b w:val="0"/>
          <w:sz w:val="24"/>
          <w:szCs w:val="24"/>
        </w:rPr>
      </w:pPr>
    </w:p>
    <w:p w:rsidR="00772D3F" w:rsidP="00137177" w14:paraId="57F7910A" w14:textId="5AB0CDAB">
      <w:pPr>
        <w:ind w:left="720"/>
        <w:rPr>
          <w:b w:val="0"/>
          <w:sz w:val="24"/>
          <w:szCs w:val="24"/>
        </w:rPr>
      </w:pPr>
      <w:r>
        <w:rPr>
          <w:b w:val="0"/>
          <w:sz w:val="24"/>
          <w:szCs w:val="24"/>
        </w:rPr>
        <w:t xml:space="preserve">For the purpose of this analysis, it is assumed that health insurance issuers will fulfill the requirements for </w:t>
      </w:r>
      <w:r>
        <w:rPr>
          <w:b w:val="0"/>
          <w:sz w:val="24"/>
          <w:szCs w:val="24"/>
        </w:rPr>
        <w:t>fully-insured</w:t>
      </w:r>
      <w:r>
        <w:rPr>
          <w:b w:val="0"/>
          <w:sz w:val="24"/>
          <w:szCs w:val="24"/>
        </w:rPr>
        <w:t xml:space="preserve"> group health plans, and group health plans themselves will fulfill the requirements for self-insure</w:t>
      </w:r>
      <w:r w:rsidR="00DE2D66">
        <w:rPr>
          <w:b w:val="0"/>
          <w:sz w:val="24"/>
          <w:szCs w:val="24"/>
        </w:rPr>
        <w:t>d</w:t>
      </w:r>
      <w:r>
        <w:rPr>
          <w:b w:val="0"/>
          <w:sz w:val="24"/>
          <w:szCs w:val="24"/>
        </w:rPr>
        <w:t xml:space="preserve"> group health plans. </w:t>
      </w:r>
      <w:r>
        <w:rPr>
          <w:b w:val="0"/>
          <w:bCs w:val="0"/>
          <w:iCs/>
          <w:sz w:val="24"/>
          <w:szCs w:val="24"/>
        </w:rPr>
        <w:t xml:space="preserve">While there are ERISA plans that are fully-insured, and are under the Department’s jurisdiction, as HHS has jurisdiction over </w:t>
      </w:r>
      <w:r w:rsidR="003A041D">
        <w:rPr>
          <w:b w:val="0"/>
          <w:bCs w:val="0"/>
          <w:iCs/>
          <w:sz w:val="24"/>
          <w:szCs w:val="24"/>
        </w:rPr>
        <w:t>issuers</w:t>
      </w:r>
      <w:r>
        <w:rPr>
          <w:b w:val="0"/>
          <w:bCs w:val="0"/>
          <w:iCs/>
          <w:sz w:val="24"/>
          <w:szCs w:val="24"/>
        </w:rPr>
        <w:t xml:space="preserve">, </w:t>
      </w:r>
      <w:r w:rsidR="003A041D">
        <w:rPr>
          <w:b w:val="0"/>
          <w:bCs w:val="0"/>
          <w:iCs/>
          <w:sz w:val="24"/>
          <w:szCs w:val="24"/>
        </w:rPr>
        <w:t>HHS is</w:t>
      </w:r>
      <w:r>
        <w:rPr>
          <w:b w:val="0"/>
          <w:bCs w:val="0"/>
          <w:iCs/>
          <w:sz w:val="24"/>
          <w:szCs w:val="24"/>
        </w:rPr>
        <w:t xml:space="preserve"> accounting for this portion of the burden in their analysis, in addition to non-</w:t>
      </w:r>
      <w:r w:rsidR="00083274">
        <w:rPr>
          <w:b w:val="0"/>
          <w:bCs w:val="0"/>
          <w:iCs/>
          <w:sz w:val="24"/>
          <w:szCs w:val="24"/>
        </w:rPr>
        <w:t xml:space="preserve">Federal Government </w:t>
      </w:r>
      <w:r>
        <w:rPr>
          <w:b w:val="0"/>
          <w:bCs w:val="0"/>
          <w:iCs/>
          <w:sz w:val="24"/>
          <w:szCs w:val="24"/>
        </w:rPr>
        <w:t>group health plans.</w:t>
      </w:r>
      <w:r w:rsidR="00540514">
        <w:rPr>
          <w:b w:val="0"/>
          <w:bCs w:val="0"/>
          <w:iCs/>
          <w:sz w:val="24"/>
          <w:szCs w:val="24"/>
        </w:rPr>
        <w:t xml:space="preserve"> </w:t>
      </w:r>
      <w:r w:rsidR="008C5258">
        <w:rPr>
          <w:b w:val="0"/>
          <w:bCs w:val="0"/>
          <w:iCs/>
          <w:sz w:val="24"/>
          <w:szCs w:val="24"/>
        </w:rPr>
        <w:t>Accordingly, t</w:t>
      </w:r>
      <w:r w:rsidRPr="00D77401" w:rsidR="008C5258">
        <w:rPr>
          <w:b w:val="0"/>
          <w:bCs w:val="0"/>
          <w:iCs/>
          <w:sz w:val="24"/>
          <w:szCs w:val="24"/>
        </w:rPr>
        <w:t xml:space="preserve">his analysis, </w:t>
      </w:r>
      <w:r w:rsidR="008C5258">
        <w:rPr>
          <w:b w:val="0"/>
          <w:bCs w:val="0"/>
          <w:iCs/>
          <w:sz w:val="24"/>
          <w:szCs w:val="24"/>
        </w:rPr>
        <w:t>considers only the</w:t>
      </w:r>
      <w:r w:rsidRPr="00D77401" w:rsidR="008C5258">
        <w:rPr>
          <w:b w:val="0"/>
          <w:bCs w:val="0"/>
          <w:iCs/>
          <w:sz w:val="24"/>
          <w:szCs w:val="24"/>
        </w:rPr>
        <w:t xml:space="preserve"> burden associated with ERISA</w:t>
      </w:r>
      <w:r w:rsidR="00525475">
        <w:rPr>
          <w:b w:val="0"/>
          <w:bCs w:val="0"/>
          <w:iCs/>
          <w:sz w:val="24"/>
          <w:szCs w:val="24"/>
        </w:rPr>
        <w:t>-covered</w:t>
      </w:r>
      <w:r w:rsidRPr="00D77401" w:rsidR="008C5258">
        <w:rPr>
          <w:b w:val="0"/>
          <w:bCs w:val="0"/>
          <w:iCs/>
          <w:sz w:val="24"/>
          <w:szCs w:val="24"/>
        </w:rPr>
        <w:t xml:space="preserve"> </w:t>
      </w:r>
      <w:r w:rsidR="00CF5FBA">
        <w:rPr>
          <w:b w:val="0"/>
          <w:bCs w:val="0"/>
          <w:iCs/>
          <w:sz w:val="24"/>
          <w:szCs w:val="24"/>
        </w:rPr>
        <w:t>self-</w:t>
      </w:r>
      <w:r w:rsidR="00DE2D66">
        <w:rPr>
          <w:b w:val="0"/>
          <w:bCs w:val="0"/>
          <w:iCs/>
          <w:sz w:val="24"/>
          <w:szCs w:val="24"/>
        </w:rPr>
        <w:t>insured</w:t>
      </w:r>
      <w:r w:rsidRPr="00D77401" w:rsidR="00DE2D66">
        <w:rPr>
          <w:b w:val="0"/>
          <w:bCs w:val="0"/>
          <w:iCs/>
          <w:sz w:val="24"/>
          <w:szCs w:val="24"/>
        </w:rPr>
        <w:t xml:space="preserve"> </w:t>
      </w:r>
      <w:r w:rsidRPr="00D77401" w:rsidR="008C5258">
        <w:rPr>
          <w:b w:val="0"/>
          <w:bCs w:val="0"/>
          <w:iCs/>
          <w:sz w:val="24"/>
          <w:szCs w:val="24"/>
        </w:rPr>
        <w:t xml:space="preserve">group health plans, which are under jurisdiction of the Department. </w:t>
      </w:r>
    </w:p>
    <w:p w:rsidR="005674AF" w:rsidP="00191210" w14:paraId="31F4D966" w14:textId="77777777">
      <w:pPr>
        <w:rPr>
          <w:b w:val="0"/>
          <w:bCs w:val="0"/>
          <w:iCs/>
          <w:sz w:val="24"/>
          <w:szCs w:val="24"/>
        </w:rPr>
      </w:pPr>
    </w:p>
    <w:p w:rsidR="00746969" w:rsidRPr="00907D7D" w:rsidP="00D05D92" w14:paraId="1944DC8C" w14:textId="39FE794D">
      <w:pPr>
        <w:ind w:left="720"/>
        <w:rPr>
          <w:b w:val="0"/>
          <w:iCs/>
          <w:sz w:val="24"/>
          <w:szCs w:val="24"/>
        </w:rPr>
      </w:pPr>
      <w:r w:rsidRPr="00B320AE">
        <w:rPr>
          <w:b w:val="0"/>
          <w:bCs w:val="0"/>
          <w:iCs/>
          <w:sz w:val="24"/>
          <w:szCs w:val="24"/>
        </w:rPr>
        <w:t>Based on its prior experience</w:t>
      </w:r>
      <w:r w:rsidR="005D182A">
        <w:rPr>
          <w:b w:val="0"/>
          <w:bCs w:val="0"/>
          <w:iCs/>
          <w:sz w:val="24"/>
          <w:szCs w:val="24"/>
        </w:rPr>
        <w:t xml:space="preserve"> and current funding</w:t>
      </w:r>
      <w:r w:rsidRPr="00B320AE">
        <w:rPr>
          <w:b w:val="0"/>
          <w:bCs w:val="0"/>
          <w:iCs/>
          <w:sz w:val="24"/>
          <w:szCs w:val="24"/>
        </w:rPr>
        <w:t xml:space="preserve">, DOL expects to request </w:t>
      </w:r>
      <w:r w:rsidR="00D95588">
        <w:rPr>
          <w:b w:val="0"/>
          <w:bCs w:val="0"/>
          <w:iCs/>
          <w:sz w:val="24"/>
          <w:szCs w:val="24"/>
        </w:rPr>
        <w:t xml:space="preserve">20 </w:t>
      </w:r>
      <w:r w:rsidRPr="00B320AE">
        <w:rPr>
          <w:b w:val="0"/>
          <w:bCs w:val="0"/>
          <w:iCs/>
          <w:sz w:val="24"/>
          <w:szCs w:val="24"/>
        </w:rPr>
        <w:t xml:space="preserve">comparative analyses each year. </w:t>
      </w:r>
      <w:r w:rsidR="00ED23B0">
        <w:rPr>
          <w:b w:val="0"/>
          <w:bCs w:val="0"/>
          <w:iCs/>
          <w:sz w:val="24"/>
          <w:szCs w:val="24"/>
        </w:rPr>
        <w:t xml:space="preserve">The Department assumes that 50 percent of plans will be able to provide </w:t>
      </w:r>
      <w:r w:rsidR="00ED23B0">
        <w:rPr>
          <w:b w:val="0"/>
          <w:bCs w:val="0"/>
          <w:iCs/>
          <w:sz w:val="24"/>
          <w:szCs w:val="24"/>
        </w:rPr>
        <w:t>all of</w:t>
      </w:r>
      <w:r w:rsidR="00ED23B0">
        <w:rPr>
          <w:b w:val="0"/>
          <w:bCs w:val="0"/>
          <w:iCs/>
          <w:sz w:val="24"/>
          <w:szCs w:val="24"/>
        </w:rPr>
        <w:t xml:space="preserve"> the appropriate documentation in their first attempt. The other 50 percent, or </w:t>
      </w:r>
      <w:r w:rsidR="00D95588">
        <w:rPr>
          <w:b w:val="0"/>
          <w:bCs w:val="0"/>
          <w:iCs/>
          <w:sz w:val="24"/>
          <w:szCs w:val="24"/>
        </w:rPr>
        <w:t>10</w:t>
      </w:r>
      <w:r w:rsidR="00ED23B0">
        <w:rPr>
          <w:b w:val="0"/>
          <w:bCs w:val="0"/>
          <w:iCs/>
          <w:sz w:val="24"/>
          <w:szCs w:val="24"/>
        </w:rPr>
        <w:t xml:space="preserve"> plans, will be required to spend additional time to produce additional documentation. </w:t>
      </w:r>
      <w:r w:rsidRPr="00D05D92" w:rsidR="00D05D92">
        <w:rPr>
          <w:b w:val="0"/>
          <w:iCs/>
          <w:sz w:val="24"/>
          <w:szCs w:val="24"/>
        </w:rPr>
        <w:t xml:space="preserve">Please see Table </w:t>
      </w:r>
      <w:r w:rsidR="00175A69">
        <w:rPr>
          <w:b w:val="0"/>
          <w:iCs/>
          <w:sz w:val="24"/>
          <w:szCs w:val="24"/>
        </w:rPr>
        <w:t>2</w:t>
      </w:r>
      <w:r w:rsidRPr="00D05D92" w:rsidR="00D05D92">
        <w:rPr>
          <w:b w:val="0"/>
          <w:iCs/>
          <w:sz w:val="24"/>
          <w:szCs w:val="24"/>
        </w:rPr>
        <w:t xml:space="preserve"> for calculations and burden totals. </w:t>
      </w:r>
    </w:p>
    <w:p w:rsidR="00BB0B8D" w:rsidP="00BB0B8D" w14:paraId="01CDAD12" w14:textId="77777777">
      <w:pPr>
        <w:ind w:firstLine="720"/>
        <w:rPr>
          <w:b w:val="0"/>
          <w:bCs w:val="0"/>
          <w:iCs/>
          <w:sz w:val="24"/>
          <w:szCs w:val="24"/>
        </w:rPr>
      </w:pPr>
    </w:p>
    <w:p w:rsidR="00BE37C0" w:rsidRPr="008E489E" w:rsidP="00BB0B8D" w14:paraId="6642E22D" w14:textId="7FF95842">
      <w:pPr>
        <w:ind w:firstLine="720"/>
        <w:rPr>
          <w:i/>
          <w:sz w:val="24"/>
          <w:szCs w:val="24"/>
        </w:rPr>
      </w:pPr>
      <w:r w:rsidRPr="008E489E">
        <w:rPr>
          <w:i/>
          <w:sz w:val="24"/>
          <w:szCs w:val="24"/>
        </w:rPr>
        <w:t>Corrective Action Plan</w:t>
      </w:r>
    </w:p>
    <w:p w:rsidR="006362BE" w:rsidP="00BB0B8D" w14:paraId="21977989" w14:textId="77777777">
      <w:pPr>
        <w:ind w:firstLine="720"/>
        <w:rPr>
          <w:b w:val="0"/>
          <w:bCs w:val="0"/>
          <w:iCs/>
          <w:sz w:val="24"/>
          <w:szCs w:val="24"/>
        </w:rPr>
      </w:pPr>
    </w:p>
    <w:p w:rsidR="007C4816" w:rsidP="00D05D92" w14:paraId="4F8AF9B8" w14:textId="0C389055">
      <w:pPr>
        <w:ind w:left="720"/>
        <w:rPr>
          <w:b w:val="0"/>
          <w:bCs w:val="0"/>
          <w:iCs/>
          <w:sz w:val="24"/>
          <w:szCs w:val="24"/>
        </w:rPr>
      </w:pPr>
      <w:r w:rsidRPr="00746969">
        <w:rPr>
          <w:b w:val="0"/>
          <w:bCs w:val="0"/>
          <w:iCs/>
          <w:sz w:val="24"/>
          <w:szCs w:val="24"/>
        </w:rPr>
        <w:t>In</w:t>
      </w:r>
      <w:r>
        <w:rPr>
          <w:b w:val="0"/>
          <w:bCs w:val="0"/>
          <w:iCs/>
          <w:sz w:val="24"/>
          <w:szCs w:val="24"/>
        </w:rPr>
        <w:t xml:space="preserve"> instances where the Department has</w:t>
      </w:r>
      <w:r w:rsidRPr="00746969">
        <w:rPr>
          <w:b w:val="0"/>
          <w:bCs w:val="0"/>
          <w:iCs/>
          <w:sz w:val="24"/>
          <w:szCs w:val="24"/>
        </w:rPr>
        <w:t xml:space="preserve"> reviewed the comparative analyses and any other materials submitted upon request from a plan or issuer and determined that the plan or </w:t>
      </w:r>
      <w:r w:rsidRPr="00746969">
        <w:rPr>
          <w:b w:val="0"/>
          <w:bCs w:val="0"/>
          <w:iCs/>
          <w:sz w:val="24"/>
          <w:szCs w:val="24"/>
        </w:rPr>
        <w:t xml:space="preserve">issuer is not in compliance with MHPAEA, the </w:t>
      </w:r>
      <w:r>
        <w:rPr>
          <w:b w:val="0"/>
          <w:bCs w:val="0"/>
          <w:iCs/>
          <w:sz w:val="24"/>
          <w:szCs w:val="24"/>
        </w:rPr>
        <w:t>CAA</w:t>
      </w:r>
      <w:r w:rsidR="00927E79">
        <w:rPr>
          <w:b w:val="0"/>
          <w:bCs w:val="0"/>
          <w:iCs/>
          <w:sz w:val="24"/>
          <w:szCs w:val="24"/>
        </w:rPr>
        <w:t>, 2021</w:t>
      </w:r>
      <w:r w:rsidRPr="00746969">
        <w:rPr>
          <w:b w:val="0"/>
          <w:bCs w:val="0"/>
          <w:iCs/>
          <w:sz w:val="24"/>
          <w:szCs w:val="24"/>
        </w:rPr>
        <w:t xml:space="preserve"> requires the plan or issu</w:t>
      </w:r>
      <w:r w:rsidR="00BC0D5F">
        <w:rPr>
          <w:b w:val="0"/>
          <w:bCs w:val="0"/>
          <w:iCs/>
          <w:sz w:val="24"/>
          <w:szCs w:val="24"/>
        </w:rPr>
        <w:t xml:space="preserve">er </w:t>
      </w:r>
      <w:r w:rsidR="00EB21AB">
        <w:rPr>
          <w:b w:val="0"/>
          <w:bCs w:val="0"/>
          <w:iCs/>
          <w:sz w:val="24"/>
          <w:szCs w:val="24"/>
        </w:rPr>
        <w:t xml:space="preserve">must respond to the initial determination by the Secretary and </w:t>
      </w:r>
      <w:r w:rsidR="00BC0D5F">
        <w:rPr>
          <w:b w:val="0"/>
          <w:bCs w:val="0"/>
          <w:iCs/>
          <w:sz w:val="24"/>
          <w:szCs w:val="24"/>
        </w:rPr>
        <w:t xml:space="preserve">specify </w:t>
      </w:r>
      <w:r w:rsidRPr="00746969">
        <w:rPr>
          <w:b w:val="0"/>
          <w:bCs w:val="0"/>
          <w:iCs/>
          <w:sz w:val="24"/>
          <w:szCs w:val="24"/>
        </w:rPr>
        <w:t xml:space="preserve">the actions the plan or issuer will take to </w:t>
      </w:r>
      <w:r w:rsidR="006B2CE4">
        <w:rPr>
          <w:b w:val="0"/>
          <w:bCs w:val="0"/>
          <w:iCs/>
          <w:sz w:val="24"/>
          <w:szCs w:val="24"/>
        </w:rPr>
        <w:t xml:space="preserve">bring the plan or coverage </w:t>
      </w:r>
      <w:r w:rsidRPr="00746969">
        <w:rPr>
          <w:b w:val="0"/>
          <w:bCs w:val="0"/>
          <w:iCs/>
          <w:sz w:val="24"/>
          <w:szCs w:val="24"/>
        </w:rPr>
        <w:t>into compliance</w:t>
      </w:r>
      <w:r w:rsidR="00BE37C0">
        <w:rPr>
          <w:b w:val="0"/>
          <w:bCs w:val="0"/>
          <w:iCs/>
          <w:sz w:val="24"/>
          <w:szCs w:val="24"/>
        </w:rPr>
        <w:t xml:space="preserve"> (a corrective action plan)</w:t>
      </w:r>
      <w:r w:rsidRPr="00746969">
        <w:rPr>
          <w:b w:val="0"/>
          <w:bCs w:val="0"/>
          <w:iCs/>
          <w:sz w:val="24"/>
          <w:szCs w:val="24"/>
        </w:rPr>
        <w:t xml:space="preserve">. </w:t>
      </w:r>
      <w:r w:rsidR="0056646A">
        <w:rPr>
          <w:b w:val="0"/>
          <w:bCs w:val="0"/>
          <w:iCs/>
          <w:sz w:val="24"/>
          <w:szCs w:val="24"/>
        </w:rPr>
        <w:t>T</w:t>
      </w:r>
      <w:r w:rsidRPr="00746969">
        <w:rPr>
          <w:b w:val="0"/>
          <w:bCs w:val="0"/>
          <w:iCs/>
          <w:sz w:val="24"/>
          <w:szCs w:val="24"/>
        </w:rPr>
        <w:t xml:space="preserve">he plan or issuer </w:t>
      </w:r>
      <w:r w:rsidR="0056646A">
        <w:rPr>
          <w:b w:val="0"/>
          <w:bCs w:val="0"/>
          <w:iCs/>
          <w:sz w:val="24"/>
          <w:szCs w:val="24"/>
        </w:rPr>
        <w:t xml:space="preserve">also </w:t>
      </w:r>
      <w:r w:rsidRPr="00746969">
        <w:rPr>
          <w:b w:val="0"/>
          <w:bCs w:val="0"/>
          <w:iCs/>
          <w:sz w:val="24"/>
          <w:szCs w:val="24"/>
        </w:rPr>
        <w:t xml:space="preserve">must submit additional comparative analyses that demonstrate compliance not later than 45 days after the initial determination of noncompliance. </w:t>
      </w:r>
    </w:p>
    <w:p w:rsidR="007C4816" w:rsidP="00D05D92" w14:paraId="36F74ACD" w14:textId="77777777">
      <w:pPr>
        <w:ind w:left="720"/>
        <w:rPr>
          <w:b w:val="0"/>
          <w:bCs w:val="0"/>
          <w:iCs/>
          <w:sz w:val="24"/>
          <w:szCs w:val="24"/>
        </w:rPr>
      </w:pPr>
    </w:p>
    <w:p w:rsidR="00D05D92" w:rsidRPr="00D05D92" w:rsidP="00D05D92" w14:paraId="0831DD34" w14:textId="038E45CB">
      <w:pPr>
        <w:ind w:left="720"/>
        <w:rPr>
          <w:b w:val="0"/>
          <w:iCs/>
          <w:sz w:val="24"/>
          <w:szCs w:val="24"/>
        </w:rPr>
      </w:pPr>
      <w:r>
        <w:rPr>
          <w:b w:val="0"/>
          <w:bCs w:val="0"/>
          <w:iCs/>
          <w:sz w:val="24"/>
          <w:szCs w:val="24"/>
        </w:rPr>
        <w:t>The</w:t>
      </w:r>
      <w:r w:rsidR="001A02AD">
        <w:rPr>
          <w:b w:val="0"/>
          <w:bCs w:val="0"/>
          <w:iCs/>
          <w:sz w:val="24"/>
          <w:szCs w:val="24"/>
        </w:rPr>
        <w:t xml:space="preserve"> Department does not have a</w:t>
      </w:r>
      <w:r w:rsidR="00A82B56">
        <w:rPr>
          <w:b w:val="0"/>
          <w:bCs w:val="0"/>
          <w:iCs/>
          <w:sz w:val="24"/>
          <w:szCs w:val="24"/>
        </w:rPr>
        <w:t xml:space="preserve"> good</w:t>
      </w:r>
      <w:r w:rsidR="001A02AD">
        <w:rPr>
          <w:b w:val="0"/>
          <w:bCs w:val="0"/>
          <w:iCs/>
          <w:sz w:val="24"/>
          <w:szCs w:val="24"/>
        </w:rPr>
        <w:t xml:space="preserve"> estimate of the number of plans that will be </w:t>
      </w:r>
      <w:r w:rsidR="00762520">
        <w:rPr>
          <w:b w:val="0"/>
          <w:bCs w:val="0"/>
          <w:iCs/>
          <w:sz w:val="24"/>
          <w:szCs w:val="24"/>
        </w:rPr>
        <w:t>compliant</w:t>
      </w:r>
      <w:r w:rsidR="008164F3">
        <w:rPr>
          <w:b w:val="0"/>
          <w:bCs w:val="0"/>
          <w:iCs/>
          <w:sz w:val="24"/>
          <w:szCs w:val="24"/>
        </w:rPr>
        <w:t xml:space="preserve">. </w:t>
      </w:r>
      <w:r w:rsidR="00181055">
        <w:rPr>
          <w:b w:val="0"/>
          <w:bCs w:val="0"/>
          <w:iCs/>
          <w:sz w:val="24"/>
          <w:szCs w:val="24"/>
        </w:rPr>
        <w:t xml:space="preserve">As documented in </w:t>
      </w:r>
      <w:r w:rsidRPr="00181055" w:rsidR="00181055">
        <w:rPr>
          <w:b w:val="0"/>
          <w:bCs w:val="0"/>
          <w:iCs/>
          <w:sz w:val="24"/>
          <w:szCs w:val="24"/>
        </w:rPr>
        <w:t>the 2022 MHPAEA Report to Congress</w:t>
      </w:r>
      <w:r w:rsidR="00181055">
        <w:rPr>
          <w:b w:val="0"/>
          <w:bCs w:val="0"/>
          <w:iCs/>
          <w:sz w:val="24"/>
          <w:szCs w:val="24"/>
        </w:rPr>
        <w:t>,</w:t>
      </w:r>
      <w:r>
        <w:rPr>
          <w:b w:val="0"/>
          <w:bCs w:val="0"/>
          <w:iCs/>
          <w:sz w:val="24"/>
          <w:szCs w:val="24"/>
          <w:vertAlign w:val="superscript"/>
        </w:rPr>
        <w:footnoteReference w:id="21"/>
      </w:r>
      <w:r w:rsidRPr="00181055" w:rsidR="00181055">
        <w:rPr>
          <w:b w:val="0"/>
          <w:bCs w:val="0"/>
          <w:iCs/>
          <w:sz w:val="24"/>
          <w:szCs w:val="24"/>
        </w:rPr>
        <w:t xml:space="preserve"> </w:t>
      </w:r>
      <w:r w:rsidR="00181055">
        <w:rPr>
          <w:b w:val="0"/>
          <w:bCs w:val="0"/>
          <w:iCs/>
          <w:sz w:val="24"/>
          <w:szCs w:val="24"/>
        </w:rPr>
        <w:t>the Dep</w:t>
      </w:r>
      <w:r w:rsidR="00272E98">
        <w:rPr>
          <w:b w:val="0"/>
          <w:bCs w:val="0"/>
          <w:iCs/>
          <w:sz w:val="24"/>
          <w:szCs w:val="24"/>
        </w:rPr>
        <w:t xml:space="preserve">artment </w:t>
      </w:r>
      <w:r w:rsidRPr="00181055" w:rsidR="00181055">
        <w:rPr>
          <w:b w:val="0"/>
          <w:bCs w:val="0"/>
          <w:iCs/>
          <w:sz w:val="24"/>
          <w:szCs w:val="24"/>
        </w:rPr>
        <w:t xml:space="preserve">found that none of the comparative analyses reviewed by the Departments under the first year of the CAA, 2021, contained sufficient information and documentation from plans and issuers upon initial receipt and nearly all were </w:t>
      </w:r>
      <w:r w:rsidR="00CA120D">
        <w:rPr>
          <w:b w:val="0"/>
          <w:bCs w:val="0"/>
          <w:iCs/>
          <w:sz w:val="24"/>
          <w:szCs w:val="24"/>
        </w:rPr>
        <w:t xml:space="preserve">found to be </w:t>
      </w:r>
      <w:r w:rsidRPr="00181055" w:rsidR="00181055">
        <w:rPr>
          <w:b w:val="0"/>
          <w:bCs w:val="0"/>
          <w:iCs/>
          <w:sz w:val="24"/>
          <w:szCs w:val="24"/>
        </w:rPr>
        <w:t>similarly deficient for the 2023 MHPAEA Comparative Analysis Report to Congress.</w:t>
      </w:r>
      <w:r>
        <w:rPr>
          <w:b w:val="0"/>
          <w:bCs w:val="0"/>
          <w:iCs/>
          <w:sz w:val="24"/>
          <w:szCs w:val="24"/>
          <w:vertAlign w:val="superscript"/>
        </w:rPr>
        <w:footnoteReference w:id="22"/>
      </w:r>
      <w:r w:rsidR="009664C3">
        <w:rPr>
          <w:b w:val="0"/>
          <w:bCs w:val="0"/>
          <w:iCs/>
          <w:sz w:val="24"/>
          <w:szCs w:val="24"/>
        </w:rPr>
        <w:t xml:space="preserve"> While the Department </w:t>
      </w:r>
      <w:r w:rsidR="00F82C42">
        <w:rPr>
          <w:b w:val="0"/>
          <w:bCs w:val="0"/>
          <w:iCs/>
          <w:sz w:val="24"/>
          <w:szCs w:val="24"/>
        </w:rPr>
        <w:t xml:space="preserve">believes that most plans and issuers are not </w:t>
      </w:r>
      <w:r w:rsidR="00A256D4">
        <w:rPr>
          <w:b w:val="0"/>
          <w:bCs w:val="0"/>
          <w:iCs/>
          <w:sz w:val="24"/>
          <w:szCs w:val="24"/>
        </w:rPr>
        <w:t xml:space="preserve">currently </w:t>
      </w:r>
      <w:r w:rsidR="00F82C42">
        <w:rPr>
          <w:b w:val="0"/>
          <w:bCs w:val="0"/>
          <w:iCs/>
          <w:sz w:val="24"/>
          <w:szCs w:val="24"/>
        </w:rPr>
        <w:t>complying</w:t>
      </w:r>
      <w:r w:rsidR="00A256D4">
        <w:rPr>
          <w:b w:val="0"/>
          <w:bCs w:val="0"/>
          <w:iCs/>
          <w:sz w:val="24"/>
          <w:szCs w:val="24"/>
        </w:rPr>
        <w:t xml:space="preserve"> with the CAA, the Department believes that the number of plans and issuers </w:t>
      </w:r>
      <w:r w:rsidR="00952812">
        <w:rPr>
          <w:b w:val="0"/>
          <w:bCs w:val="0"/>
          <w:iCs/>
          <w:sz w:val="24"/>
          <w:szCs w:val="24"/>
        </w:rPr>
        <w:t xml:space="preserve">currently </w:t>
      </w:r>
      <w:r w:rsidR="00A75F09">
        <w:rPr>
          <w:b w:val="0"/>
          <w:bCs w:val="0"/>
          <w:iCs/>
          <w:sz w:val="24"/>
          <w:szCs w:val="24"/>
        </w:rPr>
        <w:t xml:space="preserve">complying </w:t>
      </w:r>
      <w:r w:rsidR="00952812">
        <w:rPr>
          <w:b w:val="0"/>
          <w:bCs w:val="0"/>
          <w:iCs/>
          <w:sz w:val="24"/>
          <w:szCs w:val="24"/>
        </w:rPr>
        <w:t xml:space="preserve">with the CAA </w:t>
      </w:r>
      <w:r w:rsidR="00A75F09">
        <w:rPr>
          <w:b w:val="0"/>
          <w:bCs w:val="0"/>
          <w:iCs/>
          <w:sz w:val="24"/>
          <w:szCs w:val="24"/>
        </w:rPr>
        <w:t>is more than zero. With th</w:t>
      </w:r>
      <w:r w:rsidR="00325EA3">
        <w:rPr>
          <w:b w:val="0"/>
          <w:bCs w:val="0"/>
          <w:iCs/>
          <w:sz w:val="24"/>
          <w:szCs w:val="24"/>
        </w:rPr>
        <w:t>ese</w:t>
      </w:r>
      <w:r w:rsidR="00A75F09">
        <w:rPr>
          <w:b w:val="0"/>
          <w:bCs w:val="0"/>
          <w:iCs/>
          <w:sz w:val="24"/>
          <w:szCs w:val="24"/>
        </w:rPr>
        <w:t xml:space="preserve"> final rule</w:t>
      </w:r>
      <w:r w:rsidR="00325EA3">
        <w:rPr>
          <w:b w:val="0"/>
          <w:bCs w:val="0"/>
          <w:iCs/>
          <w:sz w:val="24"/>
          <w:szCs w:val="24"/>
        </w:rPr>
        <w:t>s</w:t>
      </w:r>
      <w:r w:rsidR="00A75F09">
        <w:rPr>
          <w:b w:val="0"/>
          <w:bCs w:val="0"/>
          <w:iCs/>
          <w:sz w:val="24"/>
          <w:szCs w:val="24"/>
        </w:rPr>
        <w:t xml:space="preserve">, the Department believes </w:t>
      </w:r>
      <w:r w:rsidR="00E474E2">
        <w:rPr>
          <w:b w:val="0"/>
          <w:bCs w:val="0"/>
          <w:iCs/>
          <w:sz w:val="24"/>
          <w:szCs w:val="24"/>
        </w:rPr>
        <w:t>that</w:t>
      </w:r>
      <w:r w:rsidRPr="007C4816" w:rsidR="007C4816">
        <w:rPr>
          <w:b w:val="0"/>
          <w:bCs w:val="0"/>
          <w:iCs/>
          <w:sz w:val="24"/>
          <w:szCs w:val="24"/>
        </w:rPr>
        <w:t xml:space="preserve"> plans and issuers </w:t>
      </w:r>
      <w:r w:rsidR="00A7181E">
        <w:rPr>
          <w:b w:val="0"/>
          <w:bCs w:val="0"/>
          <w:iCs/>
          <w:sz w:val="24"/>
          <w:szCs w:val="24"/>
        </w:rPr>
        <w:t xml:space="preserve">will </w:t>
      </w:r>
      <w:r w:rsidRPr="007C4816" w:rsidR="007C4816">
        <w:rPr>
          <w:b w:val="0"/>
          <w:bCs w:val="0"/>
          <w:iCs/>
          <w:sz w:val="24"/>
          <w:szCs w:val="24"/>
        </w:rPr>
        <w:t>better understand and fulfill their obligations under MHPAEA; and</w:t>
      </w:r>
      <w:r w:rsidR="00A7181E">
        <w:rPr>
          <w:b w:val="0"/>
          <w:bCs w:val="0"/>
          <w:iCs/>
          <w:sz w:val="24"/>
          <w:szCs w:val="24"/>
        </w:rPr>
        <w:t xml:space="preserve"> will have</w:t>
      </w:r>
      <w:r w:rsidRPr="007C4816" w:rsidR="007C4816">
        <w:rPr>
          <w:b w:val="0"/>
          <w:bCs w:val="0"/>
          <w:iCs/>
          <w:sz w:val="24"/>
          <w:szCs w:val="24"/>
        </w:rPr>
        <w:t xml:space="preserve"> greater clarity regarding differences in access to mental health and substance use disorder benefits as compared to medical/surgical benefits</w:t>
      </w:r>
      <w:r w:rsidR="007C4816">
        <w:rPr>
          <w:b w:val="0"/>
          <w:bCs w:val="0"/>
          <w:iCs/>
          <w:sz w:val="24"/>
          <w:szCs w:val="24"/>
        </w:rPr>
        <w:t>.</w:t>
      </w:r>
      <w:r w:rsidR="001A02AD">
        <w:rPr>
          <w:b w:val="0"/>
          <w:bCs w:val="0"/>
          <w:iCs/>
          <w:sz w:val="24"/>
          <w:szCs w:val="24"/>
        </w:rPr>
        <w:t xml:space="preserve"> </w:t>
      </w:r>
      <w:r w:rsidR="007C4816">
        <w:rPr>
          <w:b w:val="0"/>
          <w:bCs w:val="0"/>
          <w:iCs/>
          <w:sz w:val="24"/>
          <w:szCs w:val="24"/>
        </w:rPr>
        <w:t xml:space="preserve">Thus, </w:t>
      </w:r>
      <w:r w:rsidR="001A02AD">
        <w:rPr>
          <w:b w:val="0"/>
          <w:bCs w:val="0"/>
          <w:iCs/>
          <w:sz w:val="24"/>
          <w:szCs w:val="24"/>
        </w:rPr>
        <w:t>t</w:t>
      </w:r>
      <w:r w:rsidRPr="00BB0B8D" w:rsidR="001F098D">
        <w:rPr>
          <w:b w:val="0"/>
          <w:bCs w:val="0"/>
          <w:iCs/>
          <w:sz w:val="24"/>
          <w:szCs w:val="24"/>
        </w:rPr>
        <w:t>he Department assumes that</w:t>
      </w:r>
      <w:r w:rsidR="00952812">
        <w:rPr>
          <w:b w:val="0"/>
          <w:bCs w:val="0"/>
          <w:iCs/>
          <w:sz w:val="24"/>
          <w:szCs w:val="24"/>
        </w:rPr>
        <w:t xml:space="preserve"> following the</w:t>
      </w:r>
      <w:r w:rsidR="00325EA3">
        <w:rPr>
          <w:b w:val="0"/>
          <w:bCs w:val="0"/>
          <w:iCs/>
          <w:sz w:val="24"/>
          <w:szCs w:val="24"/>
        </w:rPr>
        <w:t>se</w:t>
      </w:r>
      <w:r w:rsidR="00952812">
        <w:rPr>
          <w:b w:val="0"/>
          <w:bCs w:val="0"/>
          <w:iCs/>
          <w:sz w:val="24"/>
          <w:szCs w:val="24"/>
        </w:rPr>
        <w:t xml:space="preserve"> final rule</w:t>
      </w:r>
      <w:r w:rsidR="00325EA3">
        <w:rPr>
          <w:b w:val="0"/>
          <w:bCs w:val="0"/>
          <w:iCs/>
          <w:sz w:val="24"/>
          <w:szCs w:val="24"/>
        </w:rPr>
        <w:t>s</w:t>
      </w:r>
      <w:r w:rsidR="00952812">
        <w:rPr>
          <w:b w:val="0"/>
          <w:bCs w:val="0"/>
          <w:iCs/>
          <w:sz w:val="24"/>
          <w:szCs w:val="24"/>
        </w:rPr>
        <w:t>,</w:t>
      </w:r>
      <w:r w:rsidRPr="00BB0B8D" w:rsidR="001F098D">
        <w:rPr>
          <w:b w:val="0"/>
          <w:bCs w:val="0"/>
          <w:iCs/>
          <w:sz w:val="24"/>
          <w:szCs w:val="24"/>
        </w:rPr>
        <w:t xml:space="preserve"> 40 percent of plans</w:t>
      </w:r>
      <w:r w:rsidR="00D95588">
        <w:rPr>
          <w:b w:val="0"/>
          <w:bCs w:val="0"/>
          <w:iCs/>
          <w:sz w:val="24"/>
          <w:szCs w:val="24"/>
        </w:rPr>
        <w:t>, or 8 plans,</w:t>
      </w:r>
      <w:r w:rsidRPr="00BB0B8D" w:rsidR="001F098D">
        <w:rPr>
          <w:b w:val="0"/>
          <w:bCs w:val="0"/>
          <w:iCs/>
          <w:sz w:val="24"/>
          <w:szCs w:val="24"/>
        </w:rPr>
        <w:t xml:space="preserve"> will be found to be noncompliant and will have to submit additional comparative analyses. </w:t>
      </w:r>
      <w:r w:rsidRPr="00D05D92">
        <w:rPr>
          <w:b w:val="0"/>
          <w:iCs/>
          <w:sz w:val="24"/>
          <w:szCs w:val="24"/>
        </w:rPr>
        <w:t xml:space="preserve">Please see Table </w:t>
      </w:r>
      <w:r w:rsidR="00175A69">
        <w:rPr>
          <w:b w:val="0"/>
          <w:iCs/>
          <w:sz w:val="24"/>
          <w:szCs w:val="24"/>
        </w:rPr>
        <w:t>2</w:t>
      </w:r>
      <w:r w:rsidRPr="00D05D92">
        <w:rPr>
          <w:b w:val="0"/>
          <w:iCs/>
          <w:sz w:val="24"/>
          <w:szCs w:val="24"/>
        </w:rPr>
        <w:t xml:space="preserve"> for calculations and burden totals. </w:t>
      </w:r>
    </w:p>
    <w:p w:rsidR="00A85569" w:rsidP="00F538AF" w14:paraId="1021A112" w14:textId="18B891D7">
      <w:pPr>
        <w:rPr>
          <w:b w:val="0"/>
          <w:bCs w:val="0"/>
          <w:iCs/>
          <w:sz w:val="24"/>
          <w:szCs w:val="24"/>
        </w:rPr>
      </w:pPr>
    </w:p>
    <w:p w:rsidR="00B92377" w:rsidRPr="008E489E" w:rsidP="006C2914" w14:paraId="33C550DA" w14:textId="6C732614">
      <w:pPr>
        <w:ind w:left="720"/>
        <w:rPr>
          <w:i/>
          <w:sz w:val="24"/>
          <w:szCs w:val="24"/>
        </w:rPr>
      </w:pPr>
      <w:r w:rsidRPr="008E489E">
        <w:rPr>
          <w:i/>
          <w:sz w:val="24"/>
          <w:szCs w:val="24"/>
        </w:rPr>
        <w:t>Notice to Par</w:t>
      </w:r>
      <w:r w:rsidRPr="008E489E" w:rsidR="00226C0B">
        <w:rPr>
          <w:i/>
          <w:sz w:val="24"/>
          <w:szCs w:val="24"/>
        </w:rPr>
        <w:t>ticipants of Non</w:t>
      </w:r>
      <w:r w:rsidRPr="008E489E" w:rsidR="00165F4E">
        <w:rPr>
          <w:i/>
          <w:sz w:val="24"/>
          <w:szCs w:val="24"/>
        </w:rPr>
        <w:t>c</w:t>
      </w:r>
      <w:r w:rsidRPr="008E489E" w:rsidR="00226C0B">
        <w:rPr>
          <w:i/>
          <w:sz w:val="24"/>
          <w:szCs w:val="24"/>
        </w:rPr>
        <w:t>ompliance</w:t>
      </w:r>
    </w:p>
    <w:p w:rsidR="00B92377" w:rsidP="006C2914" w14:paraId="25240F71" w14:textId="77777777">
      <w:pPr>
        <w:ind w:left="720"/>
        <w:rPr>
          <w:b w:val="0"/>
          <w:bCs w:val="0"/>
          <w:iCs/>
          <w:sz w:val="24"/>
          <w:szCs w:val="24"/>
        </w:rPr>
      </w:pPr>
    </w:p>
    <w:p w:rsidR="008E4911" w:rsidRPr="00D05D92" w:rsidP="00D05D92" w14:paraId="752CD8F9" w14:textId="17C850F3">
      <w:pPr>
        <w:ind w:left="720"/>
        <w:rPr>
          <w:b w:val="0"/>
          <w:iCs/>
          <w:sz w:val="24"/>
          <w:szCs w:val="24"/>
        </w:rPr>
      </w:pPr>
      <w:r>
        <w:rPr>
          <w:b w:val="0"/>
          <w:bCs w:val="0"/>
          <w:iCs/>
          <w:sz w:val="24"/>
          <w:szCs w:val="24"/>
        </w:rPr>
        <w:t>The CAA</w:t>
      </w:r>
      <w:r w:rsidR="00927E79">
        <w:rPr>
          <w:b w:val="0"/>
          <w:bCs w:val="0"/>
          <w:iCs/>
          <w:sz w:val="24"/>
          <w:szCs w:val="24"/>
        </w:rPr>
        <w:t>, 2021</w:t>
      </w:r>
      <w:r>
        <w:rPr>
          <w:b w:val="0"/>
          <w:bCs w:val="0"/>
          <w:iCs/>
          <w:sz w:val="24"/>
          <w:szCs w:val="24"/>
        </w:rPr>
        <w:t xml:space="preserve"> requires that if </w:t>
      </w:r>
      <w:r w:rsidR="00B01060">
        <w:rPr>
          <w:b w:val="0"/>
          <w:bCs w:val="0"/>
          <w:iCs/>
          <w:sz w:val="24"/>
          <w:szCs w:val="24"/>
        </w:rPr>
        <w:t>the Department</w:t>
      </w:r>
      <w:r w:rsidRPr="00B01060" w:rsidR="00B01060">
        <w:rPr>
          <w:b w:val="0"/>
          <w:bCs w:val="0"/>
          <w:iCs/>
          <w:sz w:val="24"/>
          <w:szCs w:val="24"/>
        </w:rPr>
        <w:t xml:space="preserve"> make</w:t>
      </w:r>
      <w:r w:rsidR="00C52796">
        <w:rPr>
          <w:b w:val="0"/>
          <w:bCs w:val="0"/>
          <w:iCs/>
          <w:sz w:val="24"/>
          <w:szCs w:val="24"/>
        </w:rPr>
        <w:t>s</w:t>
      </w:r>
      <w:r w:rsidRPr="00B01060" w:rsidR="00B01060">
        <w:rPr>
          <w:b w:val="0"/>
          <w:bCs w:val="0"/>
          <w:iCs/>
          <w:sz w:val="24"/>
          <w:szCs w:val="24"/>
        </w:rPr>
        <w:t xml:space="preserve"> a final determination that the plan or iss</w:t>
      </w:r>
      <w:r w:rsidR="00B01060">
        <w:rPr>
          <w:b w:val="0"/>
          <w:bCs w:val="0"/>
          <w:iCs/>
          <w:sz w:val="24"/>
          <w:szCs w:val="24"/>
        </w:rPr>
        <w:t>uer is still not in compliance</w:t>
      </w:r>
      <w:r w:rsidRPr="00C52796" w:rsidR="00C52796">
        <w:rPr>
          <w:b w:val="0"/>
          <w:bCs w:val="0"/>
          <w:iCs/>
          <w:sz w:val="24"/>
          <w:szCs w:val="24"/>
        </w:rPr>
        <w:t xml:space="preserve"> </w:t>
      </w:r>
      <w:r w:rsidR="00C52796">
        <w:rPr>
          <w:b w:val="0"/>
          <w:bCs w:val="0"/>
          <w:iCs/>
          <w:sz w:val="24"/>
          <w:szCs w:val="24"/>
        </w:rPr>
        <w:t>f</w:t>
      </w:r>
      <w:r w:rsidRPr="00B01060" w:rsidR="00C52796">
        <w:rPr>
          <w:b w:val="0"/>
          <w:bCs w:val="0"/>
          <w:iCs/>
          <w:sz w:val="24"/>
          <w:szCs w:val="24"/>
        </w:rPr>
        <w:t>ollowing the 45-day corrective a</w:t>
      </w:r>
      <w:r w:rsidR="00C52796">
        <w:rPr>
          <w:b w:val="0"/>
          <w:bCs w:val="0"/>
          <w:iCs/>
          <w:sz w:val="24"/>
          <w:szCs w:val="24"/>
        </w:rPr>
        <w:t>ction period</w:t>
      </w:r>
      <w:r w:rsidR="00B01060">
        <w:rPr>
          <w:b w:val="0"/>
          <w:bCs w:val="0"/>
          <w:iCs/>
          <w:sz w:val="24"/>
          <w:szCs w:val="24"/>
        </w:rPr>
        <w:t>,</w:t>
      </w:r>
      <w:r w:rsidR="00C52796">
        <w:rPr>
          <w:b w:val="0"/>
          <w:bCs w:val="0"/>
          <w:iCs/>
          <w:sz w:val="24"/>
          <w:szCs w:val="24"/>
        </w:rPr>
        <w:t xml:space="preserve"> the </w:t>
      </w:r>
      <w:r w:rsidRPr="00B01060" w:rsidR="00B01060">
        <w:rPr>
          <w:b w:val="0"/>
          <w:bCs w:val="0"/>
          <w:iCs/>
          <w:sz w:val="24"/>
          <w:szCs w:val="24"/>
        </w:rPr>
        <w:t>plan or issuer must notify all individuals enrolled in the plan or coverage</w:t>
      </w:r>
      <w:r w:rsidR="00B01060">
        <w:rPr>
          <w:b w:val="0"/>
          <w:bCs w:val="0"/>
          <w:iCs/>
          <w:sz w:val="24"/>
          <w:szCs w:val="24"/>
        </w:rPr>
        <w:t>,</w:t>
      </w:r>
      <w:r w:rsidRPr="00B01060" w:rsidR="00B01060">
        <w:rPr>
          <w:b w:val="0"/>
          <w:bCs w:val="0"/>
          <w:iCs/>
          <w:sz w:val="24"/>
          <w:szCs w:val="24"/>
        </w:rPr>
        <w:t xml:space="preserve"> </w:t>
      </w:r>
      <w:r w:rsidR="00C52796">
        <w:rPr>
          <w:b w:val="0"/>
          <w:bCs w:val="0"/>
          <w:iCs/>
          <w:sz w:val="24"/>
          <w:szCs w:val="24"/>
        </w:rPr>
        <w:t>not</w:t>
      </w:r>
      <w:r w:rsidRPr="00B01060" w:rsidR="00B01060">
        <w:rPr>
          <w:b w:val="0"/>
          <w:bCs w:val="0"/>
          <w:iCs/>
          <w:sz w:val="24"/>
          <w:szCs w:val="24"/>
        </w:rPr>
        <w:t xml:space="preserve"> later than 7 days after such determination</w:t>
      </w:r>
      <w:r w:rsidR="00B01060">
        <w:rPr>
          <w:b w:val="0"/>
          <w:bCs w:val="0"/>
          <w:iCs/>
          <w:sz w:val="24"/>
          <w:szCs w:val="24"/>
        </w:rPr>
        <w:t>,</w:t>
      </w:r>
      <w:r w:rsidRPr="00B01060" w:rsidR="00B01060">
        <w:rPr>
          <w:b w:val="0"/>
          <w:bCs w:val="0"/>
          <w:iCs/>
          <w:sz w:val="24"/>
          <w:szCs w:val="24"/>
        </w:rPr>
        <w:t xml:space="preserve"> that the coverage is determined to be noncompliant with MHPAEA</w:t>
      </w:r>
      <w:r w:rsidR="002A1A89">
        <w:rPr>
          <w:b w:val="0"/>
          <w:bCs w:val="0"/>
          <w:iCs/>
          <w:sz w:val="24"/>
          <w:szCs w:val="24"/>
        </w:rPr>
        <w:t xml:space="preserve">. </w:t>
      </w:r>
      <w:r w:rsidR="000E488F">
        <w:rPr>
          <w:b w:val="0"/>
          <w:bCs w:val="0"/>
          <w:iCs/>
          <w:sz w:val="24"/>
          <w:szCs w:val="24"/>
        </w:rPr>
        <w:t>The Department does not have a</w:t>
      </w:r>
      <w:r w:rsidR="00A82B56">
        <w:rPr>
          <w:b w:val="0"/>
          <w:bCs w:val="0"/>
          <w:iCs/>
          <w:sz w:val="24"/>
          <w:szCs w:val="24"/>
        </w:rPr>
        <w:t xml:space="preserve"> good</w:t>
      </w:r>
      <w:r w:rsidR="000E488F">
        <w:rPr>
          <w:b w:val="0"/>
          <w:bCs w:val="0"/>
          <w:iCs/>
          <w:sz w:val="24"/>
          <w:szCs w:val="24"/>
        </w:rPr>
        <w:t xml:space="preserve"> estimate for the number of plans what will </w:t>
      </w:r>
      <w:r w:rsidR="009F397E">
        <w:rPr>
          <w:b w:val="0"/>
          <w:bCs w:val="0"/>
          <w:iCs/>
          <w:sz w:val="24"/>
          <w:szCs w:val="24"/>
        </w:rPr>
        <w:t>receive a final determination of non</w:t>
      </w:r>
      <w:r w:rsidR="000E488F">
        <w:rPr>
          <w:b w:val="0"/>
          <w:bCs w:val="0"/>
          <w:iCs/>
          <w:sz w:val="24"/>
          <w:szCs w:val="24"/>
        </w:rPr>
        <w:t>compliance</w:t>
      </w:r>
      <w:r w:rsidR="00802D1C">
        <w:rPr>
          <w:b w:val="0"/>
          <w:bCs w:val="0"/>
          <w:iCs/>
          <w:sz w:val="24"/>
          <w:szCs w:val="24"/>
        </w:rPr>
        <w:t>.</w:t>
      </w:r>
      <w:r w:rsidR="000E488F">
        <w:rPr>
          <w:b w:val="0"/>
          <w:bCs w:val="0"/>
          <w:iCs/>
          <w:sz w:val="24"/>
          <w:szCs w:val="24"/>
        </w:rPr>
        <w:t xml:space="preserve"> </w:t>
      </w:r>
      <w:r w:rsidR="00BB2F8F">
        <w:rPr>
          <w:b w:val="0"/>
          <w:bCs w:val="0"/>
          <w:iCs/>
          <w:sz w:val="24"/>
          <w:szCs w:val="24"/>
        </w:rPr>
        <w:t>In order t</w:t>
      </w:r>
      <w:r w:rsidR="000E488F">
        <w:rPr>
          <w:b w:val="0"/>
          <w:bCs w:val="0"/>
          <w:iCs/>
          <w:sz w:val="24"/>
          <w:szCs w:val="24"/>
        </w:rPr>
        <w:t>o</w:t>
      </w:r>
      <w:r w:rsidR="000E488F">
        <w:rPr>
          <w:b w:val="0"/>
          <w:bCs w:val="0"/>
          <w:iCs/>
          <w:sz w:val="24"/>
          <w:szCs w:val="24"/>
        </w:rPr>
        <w:t xml:space="preserve"> </w:t>
      </w:r>
      <w:r w:rsidR="00002F0C">
        <w:rPr>
          <w:b w:val="0"/>
          <w:bCs w:val="0"/>
          <w:iCs/>
          <w:sz w:val="24"/>
          <w:szCs w:val="24"/>
        </w:rPr>
        <w:t>have a sense of the cost</w:t>
      </w:r>
      <w:r w:rsidR="00A7181E">
        <w:rPr>
          <w:b w:val="0"/>
          <w:bCs w:val="0"/>
          <w:iCs/>
          <w:sz w:val="24"/>
          <w:szCs w:val="24"/>
        </w:rPr>
        <w:t>,</w:t>
      </w:r>
      <w:r w:rsidR="000E488F">
        <w:rPr>
          <w:b w:val="0"/>
          <w:bCs w:val="0"/>
          <w:iCs/>
          <w:sz w:val="24"/>
          <w:szCs w:val="24"/>
        </w:rPr>
        <w:t xml:space="preserve"> the Department </w:t>
      </w:r>
      <w:r w:rsidR="00802D1C">
        <w:rPr>
          <w:b w:val="0"/>
          <w:bCs w:val="0"/>
          <w:iCs/>
          <w:sz w:val="24"/>
          <w:szCs w:val="24"/>
        </w:rPr>
        <w:t>assumes</w:t>
      </w:r>
      <w:r w:rsidR="000E488F">
        <w:rPr>
          <w:b w:val="0"/>
          <w:bCs w:val="0"/>
          <w:iCs/>
          <w:sz w:val="24"/>
          <w:szCs w:val="24"/>
        </w:rPr>
        <w:t xml:space="preserve"> </w:t>
      </w:r>
      <w:r w:rsidR="00563121">
        <w:rPr>
          <w:b w:val="0"/>
          <w:bCs w:val="0"/>
          <w:iCs/>
          <w:sz w:val="24"/>
          <w:szCs w:val="24"/>
        </w:rPr>
        <w:t>fiv</w:t>
      </w:r>
      <w:r w:rsidR="004C5DBB">
        <w:rPr>
          <w:b w:val="0"/>
          <w:bCs w:val="0"/>
          <w:iCs/>
          <w:sz w:val="24"/>
          <w:szCs w:val="24"/>
        </w:rPr>
        <w:t>e</w:t>
      </w:r>
      <w:r w:rsidR="000E488F">
        <w:rPr>
          <w:b w:val="0"/>
          <w:bCs w:val="0"/>
          <w:iCs/>
          <w:sz w:val="24"/>
          <w:szCs w:val="24"/>
        </w:rPr>
        <w:t xml:space="preserve"> plans that will not be in compliance. </w:t>
      </w:r>
      <w:r w:rsidRPr="00D05D92" w:rsidR="00D05D92">
        <w:rPr>
          <w:b w:val="0"/>
          <w:iCs/>
          <w:sz w:val="24"/>
          <w:szCs w:val="24"/>
        </w:rPr>
        <w:t xml:space="preserve">Please see Table </w:t>
      </w:r>
      <w:r w:rsidR="00175A69">
        <w:rPr>
          <w:b w:val="0"/>
          <w:iCs/>
          <w:sz w:val="24"/>
          <w:szCs w:val="24"/>
        </w:rPr>
        <w:t>2</w:t>
      </w:r>
      <w:r w:rsidRPr="00D05D92" w:rsidR="00D05D92">
        <w:rPr>
          <w:b w:val="0"/>
          <w:iCs/>
          <w:sz w:val="24"/>
          <w:szCs w:val="24"/>
        </w:rPr>
        <w:t xml:space="preserve"> for calculations and burden totals</w:t>
      </w:r>
      <w:r w:rsidR="00BF7D88">
        <w:rPr>
          <w:b w:val="0"/>
          <w:iCs/>
          <w:sz w:val="24"/>
          <w:szCs w:val="24"/>
        </w:rPr>
        <w:t>.</w:t>
      </w:r>
    </w:p>
    <w:p w:rsidR="000E488F" w:rsidP="00F0391B" w14:paraId="548CB374" w14:textId="77777777">
      <w:pPr>
        <w:ind w:firstLine="720"/>
        <w:rPr>
          <w:b w:val="0"/>
          <w:bCs w:val="0"/>
          <w:iCs/>
          <w:sz w:val="24"/>
          <w:szCs w:val="24"/>
        </w:rPr>
      </w:pPr>
    </w:p>
    <w:p w:rsidR="008E4911" w:rsidP="006C2914" w14:paraId="34CD51AB" w14:textId="18C194DA">
      <w:pPr>
        <w:ind w:left="720"/>
        <w:rPr>
          <w:b w:val="0"/>
          <w:bCs w:val="0"/>
          <w:iCs/>
          <w:sz w:val="24"/>
          <w:szCs w:val="24"/>
        </w:rPr>
      </w:pPr>
      <w:r>
        <w:rPr>
          <w:b w:val="0"/>
          <w:sz w:val="24"/>
          <w:szCs w:val="24"/>
        </w:rPr>
        <w:t>Lastly, p</w:t>
      </w:r>
      <w:r w:rsidRPr="00320F2B">
        <w:rPr>
          <w:b w:val="0"/>
          <w:sz w:val="24"/>
          <w:szCs w:val="24"/>
        </w:rPr>
        <w:t xml:space="preserve">lans and issuers </w:t>
      </w:r>
      <w:r>
        <w:rPr>
          <w:b w:val="0"/>
          <w:sz w:val="24"/>
          <w:szCs w:val="24"/>
        </w:rPr>
        <w:t>are required to</w:t>
      </w:r>
      <w:r w:rsidRPr="00320F2B">
        <w:rPr>
          <w:b w:val="0"/>
          <w:sz w:val="24"/>
          <w:szCs w:val="24"/>
        </w:rPr>
        <w:t xml:space="preserve"> make their comparative analyses of the design and application of NQTLs available to applicable State authorities upon request.</w:t>
      </w:r>
      <w:r>
        <w:rPr>
          <w:b w:val="0"/>
          <w:sz w:val="24"/>
          <w:szCs w:val="24"/>
        </w:rPr>
        <w:t xml:space="preserve"> The Department does not have information on how often such requests are likely to occur from State authorities; however, the Department </w:t>
      </w:r>
      <w:r w:rsidR="000B4879">
        <w:rPr>
          <w:b w:val="0"/>
          <w:sz w:val="24"/>
          <w:szCs w:val="24"/>
        </w:rPr>
        <w:t>expects</w:t>
      </w:r>
      <w:r>
        <w:rPr>
          <w:b w:val="0"/>
          <w:sz w:val="24"/>
          <w:szCs w:val="24"/>
        </w:rPr>
        <w:t xml:space="preserve"> that the comparative analyses </w:t>
      </w:r>
      <w:r>
        <w:rPr>
          <w:b w:val="0"/>
          <w:sz w:val="24"/>
          <w:szCs w:val="24"/>
        </w:rPr>
        <w:t xml:space="preserve">and associated documentation plans and issuers prepare for the Department will </w:t>
      </w:r>
      <w:r w:rsidR="000B4879">
        <w:rPr>
          <w:b w:val="0"/>
          <w:sz w:val="24"/>
          <w:szCs w:val="24"/>
        </w:rPr>
        <w:t xml:space="preserve">be </w:t>
      </w:r>
      <w:r w:rsidR="00995312">
        <w:rPr>
          <w:b w:val="0"/>
          <w:sz w:val="24"/>
          <w:szCs w:val="24"/>
        </w:rPr>
        <w:t>used</w:t>
      </w:r>
      <w:r w:rsidR="000B4879">
        <w:rPr>
          <w:b w:val="0"/>
          <w:sz w:val="24"/>
          <w:szCs w:val="24"/>
        </w:rPr>
        <w:t xml:space="preserve"> to comply with</w:t>
      </w:r>
      <w:r w:rsidR="006C3D15">
        <w:rPr>
          <w:b w:val="0"/>
          <w:sz w:val="24"/>
          <w:szCs w:val="24"/>
        </w:rPr>
        <w:t xml:space="preserve"> </w:t>
      </w:r>
      <w:r w:rsidR="000B4879">
        <w:rPr>
          <w:b w:val="0"/>
          <w:sz w:val="24"/>
          <w:szCs w:val="24"/>
        </w:rPr>
        <w:t>the</w:t>
      </w:r>
      <w:r w:rsidR="00F03E1C">
        <w:rPr>
          <w:b w:val="0"/>
          <w:sz w:val="24"/>
          <w:szCs w:val="24"/>
        </w:rPr>
        <w:t xml:space="preserve"> </w:t>
      </w:r>
      <w:r>
        <w:rPr>
          <w:b w:val="0"/>
          <w:sz w:val="24"/>
          <w:szCs w:val="24"/>
        </w:rPr>
        <w:t>requests from</w:t>
      </w:r>
      <w:r w:rsidR="00964D0F">
        <w:rPr>
          <w:b w:val="0"/>
          <w:sz w:val="24"/>
          <w:szCs w:val="24"/>
        </w:rPr>
        <w:t xml:space="preserve"> </w:t>
      </w:r>
      <w:r>
        <w:rPr>
          <w:b w:val="0"/>
          <w:sz w:val="24"/>
          <w:szCs w:val="24"/>
        </w:rPr>
        <w:t>State authorities</w:t>
      </w:r>
      <w:r w:rsidR="00D27148">
        <w:rPr>
          <w:b w:val="0"/>
          <w:sz w:val="24"/>
          <w:szCs w:val="24"/>
        </w:rPr>
        <w:t xml:space="preserve">. </w:t>
      </w:r>
      <w:r>
        <w:rPr>
          <w:b w:val="0"/>
          <w:bCs w:val="0"/>
          <w:iCs/>
          <w:sz w:val="24"/>
          <w:szCs w:val="24"/>
        </w:rPr>
        <w:t xml:space="preserve">To provide State authorities with their comparative analyses and associated documentation, the Department assumes that plans and issuers will incur a de minimis cost. </w:t>
      </w:r>
    </w:p>
    <w:p w:rsidR="002915C5" w:rsidP="002915C5" w14:paraId="6C0CD5D1" w14:textId="77777777">
      <w:pPr>
        <w:rPr>
          <w:b w:val="0"/>
          <w:bCs w:val="0"/>
          <w:iCs/>
          <w:sz w:val="24"/>
          <w:szCs w:val="24"/>
        </w:rPr>
      </w:pPr>
    </w:p>
    <w:p w:rsidR="002915C5" w:rsidRPr="00F538AF" w:rsidP="00E34575" w14:paraId="5273CA21" w14:textId="0830084A">
      <w:pPr>
        <w:pStyle w:val="Heading1"/>
        <w:ind w:left="720"/>
      </w:pPr>
      <w:r w:rsidRPr="00F538AF">
        <w:t xml:space="preserve">Table </w:t>
      </w:r>
      <w:r w:rsidR="00175A69">
        <w:t>2</w:t>
      </w:r>
      <w:r w:rsidRPr="00F538AF">
        <w:t>. Hour Burden of the Requirements under Consolidated Appropriations Act of 2021 and the MHPAEA FAQ 45</w:t>
      </w:r>
    </w:p>
    <w:p w:rsidR="0007101C" w:rsidP="006C2914" w14:paraId="66305475" w14:textId="77777777">
      <w:pPr>
        <w:ind w:left="720"/>
        <w:rPr>
          <w:b w:val="0"/>
          <w:bCs w:val="0"/>
          <w:iCs/>
          <w:sz w:val="24"/>
          <w:szCs w:val="24"/>
        </w:rPr>
      </w:pPr>
    </w:p>
    <w:tbl>
      <w:tblPr>
        <w:tblW w:w="9108"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999"/>
        <w:gridCol w:w="1080"/>
        <w:gridCol w:w="990"/>
        <w:gridCol w:w="999"/>
        <w:gridCol w:w="1260"/>
      </w:tblGrid>
      <w:tr w14:paraId="15049BBD" w14:textId="77777777" w:rsidTr="00BB6CCD">
        <w:tblPrEx>
          <w:tblW w:w="9108"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0"/>
        </w:trPr>
        <w:tc>
          <w:tcPr>
            <w:tcW w:w="3780" w:type="dxa"/>
            <w:shd w:val="clear" w:color="auto" w:fill="auto"/>
            <w:noWrap/>
            <w:vAlign w:val="bottom"/>
            <w:hideMark/>
          </w:tcPr>
          <w:p w:rsidR="0007101C" w:rsidRPr="0007101C" w:rsidP="0007101C" w14:paraId="0CEEBA7E" w14:textId="77777777">
            <w:pPr>
              <w:widowControl/>
              <w:autoSpaceDE/>
              <w:autoSpaceDN/>
              <w:adjustRightInd/>
              <w:rPr>
                <w:b w:val="0"/>
                <w:bCs w:val="0"/>
                <w:sz w:val="22"/>
                <w:szCs w:val="22"/>
              </w:rPr>
            </w:pPr>
            <w:r w:rsidRPr="0007101C">
              <w:rPr>
                <w:b w:val="0"/>
                <w:bCs w:val="0"/>
                <w:sz w:val="22"/>
                <w:szCs w:val="22"/>
              </w:rPr>
              <w:t> </w:t>
            </w:r>
          </w:p>
        </w:tc>
        <w:tc>
          <w:tcPr>
            <w:tcW w:w="999" w:type="dxa"/>
            <w:shd w:val="clear" w:color="auto" w:fill="auto"/>
            <w:vAlign w:val="bottom"/>
            <w:hideMark/>
          </w:tcPr>
          <w:p w:rsidR="0007101C" w:rsidRPr="0007101C" w:rsidP="0007101C" w14:paraId="3D753B7B" w14:textId="77777777">
            <w:pPr>
              <w:widowControl/>
              <w:autoSpaceDE/>
              <w:autoSpaceDN/>
              <w:adjustRightInd/>
              <w:jc w:val="center"/>
              <w:rPr>
                <w:sz w:val="22"/>
                <w:szCs w:val="22"/>
              </w:rPr>
            </w:pPr>
            <w:r w:rsidRPr="0007101C">
              <w:rPr>
                <w:sz w:val="22"/>
                <w:szCs w:val="22"/>
              </w:rPr>
              <w:t>Number of Entities</w:t>
            </w:r>
          </w:p>
        </w:tc>
        <w:tc>
          <w:tcPr>
            <w:tcW w:w="1080" w:type="dxa"/>
            <w:shd w:val="clear" w:color="auto" w:fill="auto"/>
            <w:vAlign w:val="bottom"/>
            <w:hideMark/>
          </w:tcPr>
          <w:p w:rsidR="0007101C" w:rsidRPr="0007101C" w:rsidP="0007101C" w14:paraId="5577B101" w14:textId="77777777">
            <w:pPr>
              <w:widowControl/>
              <w:autoSpaceDE/>
              <w:autoSpaceDN/>
              <w:adjustRightInd/>
              <w:jc w:val="center"/>
              <w:rPr>
                <w:sz w:val="22"/>
                <w:szCs w:val="22"/>
              </w:rPr>
            </w:pPr>
            <w:r w:rsidRPr="0007101C">
              <w:rPr>
                <w:sz w:val="22"/>
                <w:szCs w:val="22"/>
              </w:rPr>
              <w:t>Number of Hours per Entity</w:t>
            </w:r>
          </w:p>
        </w:tc>
        <w:tc>
          <w:tcPr>
            <w:tcW w:w="990" w:type="dxa"/>
            <w:shd w:val="clear" w:color="auto" w:fill="auto"/>
            <w:vAlign w:val="bottom"/>
            <w:hideMark/>
          </w:tcPr>
          <w:p w:rsidR="0007101C" w:rsidRPr="0007101C" w:rsidP="0007101C" w14:paraId="6BCE4C9A" w14:textId="77777777">
            <w:pPr>
              <w:widowControl/>
              <w:autoSpaceDE/>
              <w:autoSpaceDN/>
              <w:adjustRightInd/>
              <w:jc w:val="center"/>
              <w:rPr>
                <w:sz w:val="22"/>
                <w:szCs w:val="22"/>
              </w:rPr>
            </w:pPr>
            <w:r w:rsidRPr="0007101C">
              <w:rPr>
                <w:sz w:val="22"/>
                <w:szCs w:val="22"/>
              </w:rPr>
              <w:t>Total Hour Burden</w:t>
            </w:r>
          </w:p>
        </w:tc>
        <w:tc>
          <w:tcPr>
            <w:tcW w:w="999" w:type="dxa"/>
            <w:shd w:val="clear" w:color="auto" w:fill="auto"/>
            <w:vAlign w:val="bottom"/>
            <w:hideMark/>
          </w:tcPr>
          <w:p w:rsidR="0007101C" w:rsidRPr="0007101C" w:rsidP="0007101C" w14:paraId="645D9698" w14:textId="77777777">
            <w:pPr>
              <w:widowControl/>
              <w:autoSpaceDE/>
              <w:autoSpaceDN/>
              <w:adjustRightInd/>
              <w:jc w:val="center"/>
              <w:rPr>
                <w:sz w:val="22"/>
                <w:szCs w:val="22"/>
              </w:rPr>
            </w:pPr>
            <w:r w:rsidRPr="0007101C">
              <w:rPr>
                <w:sz w:val="22"/>
                <w:szCs w:val="22"/>
              </w:rPr>
              <w:t>Wage Rate</w:t>
            </w:r>
          </w:p>
        </w:tc>
        <w:tc>
          <w:tcPr>
            <w:tcW w:w="1260" w:type="dxa"/>
            <w:shd w:val="clear" w:color="auto" w:fill="auto"/>
            <w:vAlign w:val="bottom"/>
            <w:hideMark/>
          </w:tcPr>
          <w:p w:rsidR="0007101C" w:rsidRPr="0007101C" w:rsidP="0007101C" w14:paraId="75673FB9" w14:textId="77777777">
            <w:pPr>
              <w:widowControl/>
              <w:autoSpaceDE/>
              <w:autoSpaceDN/>
              <w:adjustRightInd/>
              <w:jc w:val="center"/>
              <w:rPr>
                <w:sz w:val="22"/>
                <w:szCs w:val="22"/>
              </w:rPr>
            </w:pPr>
            <w:r w:rsidRPr="0007101C">
              <w:rPr>
                <w:sz w:val="22"/>
                <w:szCs w:val="22"/>
              </w:rPr>
              <w:t>Hour Equivalent of Cost Burden</w:t>
            </w:r>
          </w:p>
        </w:tc>
      </w:tr>
      <w:tr w14:paraId="4180578A" w14:textId="77777777" w:rsidTr="00BB6CCD">
        <w:tblPrEx>
          <w:tblW w:w="9108" w:type="dxa"/>
          <w:tblInd w:w="710" w:type="dxa"/>
          <w:tblLook w:val="04A0"/>
        </w:tblPrEx>
        <w:trPr>
          <w:trHeight w:val="280"/>
        </w:trPr>
        <w:tc>
          <w:tcPr>
            <w:tcW w:w="3780" w:type="dxa"/>
            <w:shd w:val="clear" w:color="auto" w:fill="auto"/>
            <w:noWrap/>
            <w:vAlign w:val="bottom"/>
            <w:hideMark/>
          </w:tcPr>
          <w:p w:rsidR="0007101C" w:rsidRPr="0007101C" w:rsidP="0007101C" w14:paraId="6CD75B21" w14:textId="77777777">
            <w:pPr>
              <w:widowControl/>
              <w:autoSpaceDE/>
              <w:autoSpaceDN/>
              <w:adjustRightInd/>
              <w:rPr>
                <w:b w:val="0"/>
                <w:bCs w:val="0"/>
                <w:sz w:val="22"/>
                <w:szCs w:val="22"/>
              </w:rPr>
            </w:pPr>
            <w:r w:rsidRPr="0007101C">
              <w:rPr>
                <w:b w:val="0"/>
                <w:bCs w:val="0"/>
                <w:sz w:val="22"/>
                <w:szCs w:val="22"/>
              </w:rPr>
              <w:t> </w:t>
            </w:r>
          </w:p>
        </w:tc>
        <w:tc>
          <w:tcPr>
            <w:tcW w:w="999" w:type="dxa"/>
            <w:shd w:val="clear" w:color="auto" w:fill="auto"/>
            <w:vAlign w:val="bottom"/>
            <w:hideMark/>
          </w:tcPr>
          <w:p w:rsidR="0007101C" w:rsidRPr="0007101C" w:rsidP="0007101C" w14:paraId="1CCFE70B" w14:textId="77777777">
            <w:pPr>
              <w:widowControl/>
              <w:autoSpaceDE/>
              <w:autoSpaceDN/>
              <w:adjustRightInd/>
              <w:jc w:val="center"/>
              <w:rPr>
                <w:sz w:val="22"/>
                <w:szCs w:val="22"/>
              </w:rPr>
            </w:pPr>
            <w:r w:rsidRPr="0007101C">
              <w:rPr>
                <w:sz w:val="22"/>
                <w:szCs w:val="22"/>
              </w:rPr>
              <w:t>(A)</w:t>
            </w:r>
          </w:p>
        </w:tc>
        <w:tc>
          <w:tcPr>
            <w:tcW w:w="1080" w:type="dxa"/>
            <w:shd w:val="clear" w:color="auto" w:fill="auto"/>
            <w:vAlign w:val="bottom"/>
            <w:hideMark/>
          </w:tcPr>
          <w:p w:rsidR="0007101C" w:rsidRPr="0007101C" w:rsidP="0007101C" w14:paraId="6EDF53C1" w14:textId="77777777">
            <w:pPr>
              <w:widowControl/>
              <w:autoSpaceDE/>
              <w:autoSpaceDN/>
              <w:adjustRightInd/>
              <w:jc w:val="center"/>
              <w:rPr>
                <w:sz w:val="22"/>
                <w:szCs w:val="22"/>
              </w:rPr>
            </w:pPr>
            <w:r w:rsidRPr="0007101C">
              <w:rPr>
                <w:sz w:val="22"/>
                <w:szCs w:val="22"/>
              </w:rPr>
              <w:t>(B)</w:t>
            </w:r>
          </w:p>
        </w:tc>
        <w:tc>
          <w:tcPr>
            <w:tcW w:w="990" w:type="dxa"/>
            <w:shd w:val="clear" w:color="auto" w:fill="auto"/>
            <w:vAlign w:val="bottom"/>
            <w:hideMark/>
          </w:tcPr>
          <w:p w:rsidR="0007101C" w:rsidRPr="0007101C" w:rsidP="0007101C" w14:paraId="089D0D40" w14:textId="77777777">
            <w:pPr>
              <w:widowControl/>
              <w:autoSpaceDE/>
              <w:autoSpaceDN/>
              <w:adjustRightInd/>
              <w:jc w:val="center"/>
              <w:rPr>
                <w:sz w:val="22"/>
                <w:szCs w:val="22"/>
              </w:rPr>
            </w:pPr>
            <w:r w:rsidRPr="0007101C">
              <w:rPr>
                <w:sz w:val="22"/>
                <w:szCs w:val="22"/>
              </w:rPr>
              <w:t>(C)</w:t>
            </w:r>
          </w:p>
        </w:tc>
        <w:tc>
          <w:tcPr>
            <w:tcW w:w="999" w:type="dxa"/>
            <w:shd w:val="clear" w:color="auto" w:fill="auto"/>
            <w:vAlign w:val="bottom"/>
            <w:hideMark/>
          </w:tcPr>
          <w:p w:rsidR="0007101C" w:rsidRPr="0007101C" w:rsidP="0007101C" w14:paraId="0C1206BA" w14:textId="77777777">
            <w:pPr>
              <w:widowControl/>
              <w:autoSpaceDE/>
              <w:autoSpaceDN/>
              <w:adjustRightInd/>
              <w:jc w:val="center"/>
              <w:rPr>
                <w:sz w:val="22"/>
                <w:szCs w:val="22"/>
              </w:rPr>
            </w:pPr>
            <w:r w:rsidRPr="0007101C">
              <w:rPr>
                <w:sz w:val="22"/>
                <w:szCs w:val="22"/>
              </w:rPr>
              <w:t>(D)</w:t>
            </w:r>
          </w:p>
        </w:tc>
        <w:tc>
          <w:tcPr>
            <w:tcW w:w="1260" w:type="dxa"/>
            <w:shd w:val="clear" w:color="auto" w:fill="auto"/>
            <w:vAlign w:val="bottom"/>
            <w:hideMark/>
          </w:tcPr>
          <w:p w:rsidR="0007101C" w:rsidRPr="0007101C" w:rsidP="0007101C" w14:paraId="2A98C312" w14:textId="77777777">
            <w:pPr>
              <w:widowControl/>
              <w:autoSpaceDE/>
              <w:autoSpaceDN/>
              <w:adjustRightInd/>
              <w:jc w:val="center"/>
              <w:rPr>
                <w:sz w:val="22"/>
                <w:szCs w:val="22"/>
              </w:rPr>
            </w:pPr>
            <w:r w:rsidRPr="0007101C">
              <w:rPr>
                <w:sz w:val="22"/>
                <w:szCs w:val="22"/>
              </w:rPr>
              <w:t>(A x B x C x D)</w:t>
            </w:r>
          </w:p>
        </w:tc>
      </w:tr>
      <w:tr w14:paraId="449760E2" w14:textId="77777777" w:rsidTr="00BB6CCD">
        <w:tblPrEx>
          <w:tblW w:w="9108" w:type="dxa"/>
          <w:tblInd w:w="710" w:type="dxa"/>
          <w:tblLook w:val="04A0"/>
        </w:tblPrEx>
        <w:trPr>
          <w:trHeight w:val="560"/>
        </w:trPr>
        <w:tc>
          <w:tcPr>
            <w:tcW w:w="3780" w:type="dxa"/>
            <w:shd w:val="clear" w:color="auto" w:fill="auto"/>
            <w:vAlign w:val="bottom"/>
            <w:hideMark/>
          </w:tcPr>
          <w:p w:rsidR="0007101C" w:rsidRPr="0007101C" w:rsidP="0007101C" w14:paraId="73AB2657" w14:textId="77777777">
            <w:pPr>
              <w:widowControl/>
              <w:autoSpaceDE/>
              <w:autoSpaceDN/>
              <w:adjustRightInd/>
              <w:rPr>
                <w:b w:val="0"/>
                <w:bCs w:val="0"/>
                <w:sz w:val="22"/>
                <w:szCs w:val="22"/>
              </w:rPr>
            </w:pPr>
            <w:r w:rsidRPr="0007101C">
              <w:rPr>
                <w:b w:val="0"/>
                <w:bCs w:val="0"/>
                <w:sz w:val="22"/>
                <w:szCs w:val="22"/>
              </w:rPr>
              <w:t>General operation managers correcting incorrect comparative analyses</w:t>
            </w:r>
          </w:p>
        </w:tc>
        <w:tc>
          <w:tcPr>
            <w:tcW w:w="999" w:type="dxa"/>
            <w:shd w:val="clear" w:color="auto" w:fill="auto"/>
            <w:noWrap/>
            <w:vAlign w:val="bottom"/>
            <w:hideMark/>
          </w:tcPr>
          <w:p w:rsidR="0007101C" w:rsidRPr="0007101C" w:rsidP="0007101C" w14:paraId="07EAD650" w14:textId="77777777">
            <w:pPr>
              <w:widowControl/>
              <w:autoSpaceDE/>
              <w:autoSpaceDN/>
              <w:adjustRightInd/>
              <w:jc w:val="right"/>
              <w:rPr>
                <w:b w:val="0"/>
                <w:bCs w:val="0"/>
                <w:sz w:val="22"/>
                <w:szCs w:val="22"/>
              </w:rPr>
            </w:pPr>
            <w:r w:rsidRPr="0007101C">
              <w:rPr>
                <w:b w:val="0"/>
                <w:bCs w:val="0"/>
                <w:sz w:val="22"/>
                <w:szCs w:val="22"/>
              </w:rPr>
              <w:t>10</w:t>
            </w:r>
          </w:p>
        </w:tc>
        <w:tc>
          <w:tcPr>
            <w:tcW w:w="1080" w:type="dxa"/>
            <w:shd w:val="clear" w:color="auto" w:fill="auto"/>
            <w:noWrap/>
            <w:vAlign w:val="bottom"/>
            <w:hideMark/>
          </w:tcPr>
          <w:p w:rsidR="0007101C" w:rsidRPr="0007101C" w:rsidP="0007101C" w14:paraId="572C7488" w14:textId="77777777">
            <w:pPr>
              <w:widowControl/>
              <w:autoSpaceDE/>
              <w:autoSpaceDN/>
              <w:adjustRightInd/>
              <w:jc w:val="right"/>
              <w:rPr>
                <w:b w:val="0"/>
                <w:bCs w:val="0"/>
                <w:sz w:val="22"/>
                <w:szCs w:val="22"/>
              </w:rPr>
            </w:pPr>
            <w:r w:rsidRPr="0007101C">
              <w:rPr>
                <w:b w:val="0"/>
                <w:bCs w:val="0"/>
                <w:sz w:val="22"/>
                <w:szCs w:val="22"/>
              </w:rPr>
              <w:t>1</w:t>
            </w:r>
          </w:p>
        </w:tc>
        <w:tc>
          <w:tcPr>
            <w:tcW w:w="990" w:type="dxa"/>
            <w:shd w:val="clear" w:color="auto" w:fill="auto"/>
            <w:noWrap/>
            <w:vAlign w:val="bottom"/>
            <w:hideMark/>
          </w:tcPr>
          <w:p w:rsidR="0007101C" w:rsidRPr="0007101C" w:rsidP="0007101C" w14:paraId="5F7F6B75" w14:textId="77777777">
            <w:pPr>
              <w:widowControl/>
              <w:autoSpaceDE/>
              <w:autoSpaceDN/>
              <w:adjustRightInd/>
              <w:jc w:val="right"/>
              <w:rPr>
                <w:b w:val="0"/>
                <w:bCs w:val="0"/>
                <w:sz w:val="22"/>
                <w:szCs w:val="22"/>
              </w:rPr>
            </w:pPr>
            <w:r w:rsidRPr="0007101C">
              <w:rPr>
                <w:b w:val="0"/>
                <w:bCs w:val="0"/>
                <w:sz w:val="22"/>
                <w:szCs w:val="22"/>
              </w:rPr>
              <w:t>10</w:t>
            </w:r>
          </w:p>
        </w:tc>
        <w:tc>
          <w:tcPr>
            <w:tcW w:w="999" w:type="dxa"/>
            <w:shd w:val="clear" w:color="auto" w:fill="auto"/>
            <w:noWrap/>
            <w:vAlign w:val="bottom"/>
            <w:hideMark/>
          </w:tcPr>
          <w:p w:rsidR="0007101C" w:rsidRPr="0007101C" w:rsidP="0007101C" w14:paraId="364A507B" w14:textId="77777777">
            <w:pPr>
              <w:widowControl/>
              <w:autoSpaceDE/>
              <w:autoSpaceDN/>
              <w:adjustRightInd/>
              <w:jc w:val="right"/>
              <w:rPr>
                <w:b w:val="0"/>
                <w:bCs w:val="0"/>
                <w:sz w:val="22"/>
                <w:szCs w:val="22"/>
              </w:rPr>
            </w:pPr>
            <w:r w:rsidRPr="0007101C">
              <w:rPr>
                <w:b w:val="0"/>
                <w:bCs w:val="0"/>
                <w:sz w:val="22"/>
                <w:szCs w:val="22"/>
              </w:rPr>
              <w:t>$137.67</w:t>
            </w:r>
          </w:p>
        </w:tc>
        <w:tc>
          <w:tcPr>
            <w:tcW w:w="1260" w:type="dxa"/>
            <w:shd w:val="clear" w:color="auto" w:fill="auto"/>
            <w:noWrap/>
            <w:vAlign w:val="bottom"/>
            <w:hideMark/>
          </w:tcPr>
          <w:p w:rsidR="0007101C" w:rsidRPr="0007101C" w:rsidP="0007101C" w14:paraId="5BFE4484" w14:textId="77777777">
            <w:pPr>
              <w:widowControl/>
              <w:autoSpaceDE/>
              <w:autoSpaceDN/>
              <w:adjustRightInd/>
              <w:jc w:val="right"/>
              <w:rPr>
                <w:b w:val="0"/>
                <w:bCs w:val="0"/>
                <w:sz w:val="22"/>
                <w:szCs w:val="22"/>
              </w:rPr>
            </w:pPr>
            <w:r w:rsidRPr="0007101C">
              <w:rPr>
                <w:b w:val="0"/>
                <w:bCs w:val="0"/>
                <w:sz w:val="22"/>
                <w:szCs w:val="22"/>
              </w:rPr>
              <w:t>$1,377</w:t>
            </w:r>
          </w:p>
        </w:tc>
      </w:tr>
      <w:tr w14:paraId="02078BEC" w14:textId="77777777" w:rsidTr="00BB6CCD">
        <w:tblPrEx>
          <w:tblW w:w="9108" w:type="dxa"/>
          <w:tblInd w:w="710" w:type="dxa"/>
          <w:tblLook w:val="04A0"/>
        </w:tblPrEx>
        <w:trPr>
          <w:trHeight w:val="560"/>
        </w:trPr>
        <w:tc>
          <w:tcPr>
            <w:tcW w:w="3780" w:type="dxa"/>
            <w:shd w:val="clear" w:color="auto" w:fill="auto"/>
            <w:vAlign w:val="bottom"/>
            <w:hideMark/>
          </w:tcPr>
          <w:p w:rsidR="0007101C" w:rsidRPr="0007101C" w:rsidP="0007101C" w14:paraId="7E6C8B46" w14:textId="16F6A5B5">
            <w:pPr>
              <w:widowControl/>
              <w:autoSpaceDE/>
              <w:autoSpaceDN/>
              <w:adjustRightInd/>
              <w:rPr>
                <w:b w:val="0"/>
                <w:bCs w:val="0"/>
                <w:sz w:val="22"/>
                <w:szCs w:val="22"/>
              </w:rPr>
            </w:pPr>
            <w:r w:rsidRPr="0007101C">
              <w:rPr>
                <w:b w:val="0"/>
                <w:bCs w:val="0"/>
                <w:sz w:val="22"/>
                <w:szCs w:val="22"/>
              </w:rPr>
              <w:t>Business operation specialists correct incorrect comparative analyses</w:t>
            </w:r>
          </w:p>
        </w:tc>
        <w:tc>
          <w:tcPr>
            <w:tcW w:w="999" w:type="dxa"/>
            <w:shd w:val="clear" w:color="auto" w:fill="auto"/>
            <w:noWrap/>
            <w:vAlign w:val="bottom"/>
            <w:hideMark/>
          </w:tcPr>
          <w:p w:rsidR="0007101C" w:rsidRPr="0007101C" w:rsidP="0007101C" w14:paraId="25280015" w14:textId="77777777">
            <w:pPr>
              <w:widowControl/>
              <w:autoSpaceDE/>
              <w:autoSpaceDN/>
              <w:adjustRightInd/>
              <w:jc w:val="right"/>
              <w:rPr>
                <w:b w:val="0"/>
                <w:bCs w:val="0"/>
                <w:sz w:val="22"/>
                <w:szCs w:val="22"/>
              </w:rPr>
            </w:pPr>
            <w:r w:rsidRPr="0007101C">
              <w:rPr>
                <w:b w:val="0"/>
                <w:bCs w:val="0"/>
                <w:sz w:val="22"/>
                <w:szCs w:val="22"/>
              </w:rPr>
              <w:t>10</w:t>
            </w:r>
          </w:p>
        </w:tc>
        <w:tc>
          <w:tcPr>
            <w:tcW w:w="1080" w:type="dxa"/>
            <w:shd w:val="clear" w:color="auto" w:fill="auto"/>
            <w:noWrap/>
            <w:vAlign w:val="bottom"/>
            <w:hideMark/>
          </w:tcPr>
          <w:p w:rsidR="0007101C" w:rsidRPr="0007101C" w:rsidP="0007101C" w14:paraId="0A97DEA7" w14:textId="77777777">
            <w:pPr>
              <w:widowControl/>
              <w:autoSpaceDE/>
              <w:autoSpaceDN/>
              <w:adjustRightInd/>
              <w:jc w:val="right"/>
              <w:rPr>
                <w:b w:val="0"/>
                <w:bCs w:val="0"/>
                <w:sz w:val="22"/>
                <w:szCs w:val="22"/>
              </w:rPr>
            </w:pPr>
            <w:r w:rsidRPr="0007101C">
              <w:rPr>
                <w:b w:val="0"/>
                <w:bCs w:val="0"/>
                <w:sz w:val="22"/>
                <w:szCs w:val="22"/>
              </w:rPr>
              <w:t>4</w:t>
            </w:r>
          </w:p>
        </w:tc>
        <w:tc>
          <w:tcPr>
            <w:tcW w:w="990" w:type="dxa"/>
            <w:shd w:val="clear" w:color="auto" w:fill="auto"/>
            <w:noWrap/>
            <w:vAlign w:val="bottom"/>
            <w:hideMark/>
          </w:tcPr>
          <w:p w:rsidR="0007101C" w:rsidRPr="0007101C" w:rsidP="0007101C" w14:paraId="7F4568E8" w14:textId="77777777">
            <w:pPr>
              <w:widowControl/>
              <w:autoSpaceDE/>
              <w:autoSpaceDN/>
              <w:adjustRightInd/>
              <w:jc w:val="right"/>
              <w:rPr>
                <w:b w:val="0"/>
                <w:bCs w:val="0"/>
                <w:sz w:val="22"/>
                <w:szCs w:val="22"/>
              </w:rPr>
            </w:pPr>
            <w:r w:rsidRPr="0007101C">
              <w:rPr>
                <w:b w:val="0"/>
                <w:bCs w:val="0"/>
                <w:sz w:val="22"/>
                <w:szCs w:val="22"/>
              </w:rPr>
              <w:t>40</w:t>
            </w:r>
          </w:p>
        </w:tc>
        <w:tc>
          <w:tcPr>
            <w:tcW w:w="999" w:type="dxa"/>
            <w:shd w:val="clear" w:color="auto" w:fill="auto"/>
            <w:noWrap/>
            <w:vAlign w:val="bottom"/>
            <w:hideMark/>
          </w:tcPr>
          <w:p w:rsidR="0007101C" w:rsidRPr="0007101C" w:rsidP="0007101C" w14:paraId="24D68DFC" w14:textId="77777777">
            <w:pPr>
              <w:widowControl/>
              <w:autoSpaceDE/>
              <w:autoSpaceDN/>
              <w:adjustRightInd/>
              <w:jc w:val="right"/>
              <w:rPr>
                <w:b w:val="0"/>
                <w:bCs w:val="0"/>
                <w:sz w:val="22"/>
                <w:szCs w:val="22"/>
              </w:rPr>
            </w:pPr>
            <w:r w:rsidRPr="0007101C">
              <w:rPr>
                <w:b w:val="0"/>
                <w:bCs w:val="0"/>
                <w:sz w:val="22"/>
                <w:szCs w:val="22"/>
              </w:rPr>
              <w:t>$114.36</w:t>
            </w:r>
          </w:p>
        </w:tc>
        <w:tc>
          <w:tcPr>
            <w:tcW w:w="1260" w:type="dxa"/>
            <w:shd w:val="clear" w:color="auto" w:fill="auto"/>
            <w:noWrap/>
            <w:vAlign w:val="bottom"/>
            <w:hideMark/>
          </w:tcPr>
          <w:p w:rsidR="0007101C" w:rsidRPr="0007101C" w:rsidP="0007101C" w14:paraId="5611C035" w14:textId="77777777">
            <w:pPr>
              <w:widowControl/>
              <w:autoSpaceDE/>
              <w:autoSpaceDN/>
              <w:adjustRightInd/>
              <w:jc w:val="right"/>
              <w:rPr>
                <w:b w:val="0"/>
                <w:bCs w:val="0"/>
                <w:sz w:val="22"/>
                <w:szCs w:val="22"/>
              </w:rPr>
            </w:pPr>
            <w:r w:rsidRPr="0007101C">
              <w:rPr>
                <w:b w:val="0"/>
                <w:bCs w:val="0"/>
                <w:sz w:val="22"/>
                <w:szCs w:val="22"/>
              </w:rPr>
              <w:t>$4,574</w:t>
            </w:r>
          </w:p>
        </w:tc>
      </w:tr>
      <w:tr w14:paraId="72F6DA61" w14:textId="77777777" w:rsidTr="00BB6CCD">
        <w:tblPrEx>
          <w:tblW w:w="9108" w:type="dxa"/>
          <w:tblInd w:w="710" w:type="dxa"/>
          <w:tblLook w:val="04A0"/>
        </w:tblPrEx>
        <w:trPr>
          <w:trHeight w:val="560"/>
        </w:trPr>
        <w:tc>
          <w:tcPr>
            <w:tcW w:w="3780" w:type="dxa"/>
            <w:shd w:val="clear" w:color="auto" w:fill="auto"/>
            <w:vAlign w:val="bottom"/>
            <w:hideMark/>
          </w:tcPr>
          <w:p w:rsidR="0007101C" w:rsidRPr="0007101C" w:rsidP="0007101C" w14:paraId="768F87F7" w14:textId="5FA3BF5C">
            <w:pPr>
              <w:widowControl/>
              <w:autoSpaceDE/>
              <w:autoSpaceDN/>
              <w:adjustRightInd/>
              <w:rPr>
                <w:b w:val="0"/>
                <w:bCs w:val="0"/>
                <w:sz w:val="22"/>
                <w:szCs w:val="22"/>
              </w:rPr>
            </w:pPr>
            <w:r w:rsidRPr="0007101C">
              <w:rPr>
                <w:b w:val="0"/>
                <w:bCs w:val="0"/>
                <w:sz w:val="22"/>
                <w:szCs w:val="22"/>
              </w:rPr>
              <w:t>General operation</w:t>
            </w:r>
            <w:r>
              <w:rPr>
                <w:b w:val="0"/>
                <w:bCs w:val="0"/>
                <w:sz w:val="22"/>
                <w:szCs w:val="22"/>
              </w:rPr>
              <w:t xml:space="preserve"> </w:t>
            </w:r>
            <w:r w:rsidRPr="0007101C">
              <w:rPr>
                <w:b w:val="0"/>
                <w:bCs w:val="0"/>
                <w:sz w:val="22"/>
                <w:szCs w:val="22"/>
              </w:rPr>
              <w:t>managers submit additional comparative analyses</w:t>
            </w:r>
          </w:p>
        </w:tc>
        <w:tc>
          <w:tcPr>
            <w:tcW w:w="999" w:type="dxa"/>
            <w:shd w:val="clear" w:color="auto" w:fill="auto"/>
            <w:noWrap/>
            <w:vAlign w:val="bottom"/>
            <w:hideMark/>
          </w:tcPr>
          <w:p w:rsidR="0007101C" w:rsidRPr="0007101C" w:rsidP="0007101C" w14:paraId="7B600784" w14:textId="77777777">
            <w:pPr>
              <w:widowControl/>
              <w:autoSpaceDE/>
              <w:autoSpaceDN/>
              <w:adjustRightInd/>
              <w:jc w:val="right"/>
              <w:rPr>
                <w:b w:val="0"/>
                <w:bCs w:val="0"/>
                <w:sz w:val="22"/>
                <w:szCs w:val="22"/>
              </w:rPr>
            </w:pPr>
            <w:r w:rsidRPr="0007101C">
              <w:rPr>
                <w:b w:val="0"/>
                <w:bCs w:val="0"/>
                <w:sz w:val="22"/>
                <w:szCs w:val="22"/>
              </w:rPr>
              <w:t>8</w:t>
            </w:r>
          </w:p>
        </w:tc>
        <w:tc>
          <w:tcPr>
            <w:tcW w:w="1080" w:type="dxa"/>
            <w:shd w:val="clear" w:color="auto" w:fill="auto"/>
            <w:noWrap/>
            <w:vAlign w:val="bottom"/>
            <w:hideMark/>
          </w:tcPr>
          <w:p w:rsidR="0007101C" w:rsidRPr="0007101C" w:rsidP="0007101C" w14:paraId="2E0D3C61" w14:textId="77777777">
            <w:pPr>
              <w:widowControl/>
              <w:autoSpaceDE/>
              <w:autoSpaceDN/>
              <w:adjustRightInd/>
              <w:jc w:val="right"/>
              <w:rPr>
                <w:b w:val="0"/>
                <w:bCs w:val="0"/>
                <w:sz w:val="22"/>
                <w:szCs w:val="22"/>
              </w:rPr>
            </w:pPr>
            <w:r w:rsidRPr="0007101C">
              <w:rPr>
                <w:b w:val="0"/>
                <w:bCs w:val="0"/>
                <w:sz w:val="22"/>
                <w:szCs w:val="22"/>
              </w:rPr>
              <w:t>8</w:t>
            </w:r>
          </w:p>
        </w:tc>
        <w:tc>
          <w:tcPr>
            <w:tcW w:w="990" w:type="dxa"/>
            <w:shd w:val="clear" w:color="auto" w:fill="auto"/>
            <w:noWrap/>
            <w:vAlign w:val="bottom"/>
            <w:hideMark/>
          </w:tcPr>
          <w:p w:rsidR="0007101C" w:rsidRPr="0007101C" w:rsidP="0007101C" w14:paraId="4CD21E98" w14:textId="77777777">
            <w:pPr>
              <w:widowControl/>
              <w:autoSpaceDE/>
              <w:autoSpaceDN/>
              <w:adjustRightInd/>
              <w:jc w:val="right"/>
              <w:rPr>
                <w:b w:val="0"/>
                <w:bCs w:val="0"/>
                <w:sz w:val="22"/>
                <w:szCs w:val="22"/>
              </w:rPr>
            </w:pPr>
            <w:r w:rsidRPr="0007101C">
              <w:rPr>
                <w:b w:val="0"/>
                <w:bCs w:val="0"/>
                <w:sz w:val="22"/>
                <w:szCs w:val="22"/>
              </w:rPr>
              <w:t>64</w:t>
            </w:r>
          </w:p>
        </w:tc>
        <w:tc>
          <w:tcPr>
            <w:tcW w:w="999" w:type="dxa"/>
            <w:shd w:val="clear" w:color="auto" w:fill="auto"/>
            <w:noWrap/>
            <w:vAlign w:val="bottom"/>
            <w:hideMark/>
          </w:tcPr>
          <w:p w:rsidR="0007101C" w:rsidRPr="0007101C" w:rsidP="0007101C" w14:paraId="33EC8064" w14:textId="77777777">
            <w:pPr>
              <w:widowControl/>
              <w:autoSpaceDE/>
              <w:autoSpaceDN/>
              <w:adjustRightInd/>
              <w:jc w:val="right"/>
              <w:rPr>
                <w:b w:val="0"/>
                <w:bCs w:val="0"/>
                <w:sz w:val="22"/>
                <w:szCs w:val="22"/>
              </w:rPr>
            </w:pPr>
            <w:r w:rsidRPr="0007101C">
              <w:rPr>
                <w:b w:val="0"/>
                <w:bCs w:val="0"/>
                <w:sz w:val="22"/>
                <w:szCs w:val="22"/>
              </w:rPr>
              <w:t>$137.67</w:t>
            </w:r>
          </w:p>
        </w:tc>
        <w:tc>
          <w:tcPr>
            <w:tcW w:w="1260" w:type="dxa"/>
            <w:shd w:val="clear" w:color="auto" w:fill="auto"/>
            <w:noWrap/>
            <w:vAlign w:val="bottom"/>
            <w:hideMark/>
          </w:tcPr>
          <w:p w:rsidR="0007101C" w:rsidRPr="0007101C" w:rsidP="0007101C" w14:paraId="130647A2" w14:textId="77777777">
            <w:pPr>
              <w:widowControl/>
              <w:autoSpaceDE/>
              <w:autoSpaceDN/>
              <w:adjustRightInd/>
              <w:jc w:val="right"/>
              <w:rPr>
                <w:b w:val="0"/>
                <w:bCs w:val="0"/>
                <w:sz w:val="22"/>
                <w:szCs w:val="22"/>
              </w:rPr>
            </w:pPr>
            <w:r w:rsidRPr="0007101C">
              <w:rPr>
                <w:b w:val="0"/>
                <w:bCs w:val="0"/>
                <w:sz w:val="22"/>
                <w:szCs w:val="22"/>
              </w:rPr>
              <w:t>$8,811</w:t>
            </w:r>
          </w:p>
        </w:tc>
      </w:tr>
      <w:tr w14:paraId="2E3289FF" w14:textId="77777777" w:rsidTr="00BB6CCD">
        <w:tblPrEx>
          <w:tblW w:w="9108" w:type="dxa"/>
          <w:tblInd w:w="710" w:type="dxa"/>
          <w:tblLook w:val="04A0"/>
        </w:tblPrEx>
        <w:trPr>
          <w:trHeight w:val="560"/>
        </w:trPr>
        <w:tc>
          <w:tcPr>
            <w:tcW w:w="3780" w:type="dxa"/>
            <w:shd w:val="clear" w:color="auto" w:fill="auto"/>
            <w:vAlign w:val="bottom"/>
            <w:hideMark/>
          </w:tcPr>
          <w:p w:rsidR="0007101C" w:rsidRPr="0007101C" w:rsidP="0007101C" w14:paraId="0324B4DA" w14:textId="77777777">
            <w:pPr>
              <w:widowControl/>
              <w:autoSpaceDE/>
              <w:autoSpaceDN/>
              <w:adjustRightInd/>
              <w:rPr>
                <w:b w:val="0"/>
                <w:bCs w:val="0"/>
                <w:sz w:val="22"/>
                <w:szCs w:val="22"/>
              </w:rPr>
            </w:pPr>
            <w:r w:rsidRPr="0007101C">
              <w:rPr>
                <w:b w:val="0"/>
                <w:bCs w:val="0"/>
                <w:sz w:val="22"/>
                <w:szCs w:val="22"/>
              </w:rPr>
              <w:t>Business operation specialists submit additional comparative analyses</w:t>
            </w:r>
          </w:p>
        </w:tc>
        <w:tc>
          <w:tcPr>
            <w:tcW w:w="999" w:type="dxa"/>
            <w:shd w:val="clear" w:color="auto" w:fill="auto"/>
            <w:noWrap/>
            <w:vAlign w:val="bottom"/>
            <w:hideMark/>
          </w:tcPr>
          <w:p w:rsidR="0007101C" w:rsidRPr="0007101C" w:rsidP="0007101C" w14:paraId="323ABB2E" w14:textId="77777777">
            <w:pPr>
              <w:widowControl/>
              <w:autoSpaceDE/>
              <w:autoSpaceDN/>
              <w:adjustRightInd/>
              <w:jc w:val="right"/>
              <w:rPr>
                <w:b w:val="0"/>
                <w:bCs w:val="0"/>
                <w:sz w:val="22"/>
                <w:szCs w:val="22"/>
              </w:rPr>
            </w:pPr>
            <w:r w:rsidRPr="0007101C">
              <w:rPr>
                <w:b w:val="0"/>
                <w:bCs w:val="0"/>
                <w:sz w:val="22"/>
                <w:szCs w:val="22"/>
              </w:rPr>
              <w:t>8</w:t>
            </w:r>
          </w:p>
        </w:tc>
        <w:tc>
          <w:tcPr>
            <w:tcW w:w="1080" w:type="dxa"/>
            <w:shd w:val="clear" w:color="auto" w:fill="auto"/>
            <w:noWrap/>
            <w:vAlign w:val="bottom"/>
            <w:hideMark/>
          </w:tcPr>
          <w:p w:rsidR="0007101C" w:rsidRPr="0007101C" w:rsidP="0007101C" w14:paraId="122B9F18" w14:textId="77777777">
            <w:pPr>
              <w:widowControl/>
              <w:autoSpaceDE/>
              <w:autoSpaceDN/>
              <w:adjustRightInd/>
              <w:jc w:val="right"/>
              <w:rPr>
                <w:b w:val="0"/>
                <w:bCs w:val="0"/>
                <w:sz w:val="22"/>
                <w:szCs w:val="22"/>
              </w:rPr>
            </w:pPr>
            <w:r w:rsidRPr="0007101C">
              <w:rPr>
                <w:b w:val="0"/>
                <w:bCs w:val="0"/>
                <w:sz w:val="22"/>
                <w:szCs w:val="22"/>
              </w:rPr>
              <w:t>120</w:t>
            </w:r>
          </w:p>
        </w:tc>
        <w:tc>
          <w:tcPr>
            <w:tcW w:w="990" w:type="dxa"/>
            <w:shd w:val="clear" w:color="auto" w:fill="auto"/>
            <w:noWrap/>
            <w:vAlign w:val="bottom"/>
            <w:hideMark/>
          </w:tcPr>
          <w:p w:rsidR="0007101C" w:rsidRPr="0007101C" w:rsidP="0007101C" w14:paraId="2E831BDC" w14:textId="77777777">
            <w:pPr>
              <w:widowControl/>
              <w:autoSpaceDE/>
              <w:autoSpaceDN/>
              <w:adjustRightInd/>
              <w:jc w:val="right"/>
              <w:rPr>
                <w:b w:val="0"/>
                <w:bCs w:val="0"/>
                <w:sz w:val="22"/>
                <w:szCs w:val="22"/>
              </w:rPr>
            </w:pPr>
            <w:r w:rsidRPr="0007101C">
              <w:rPr>
                <w:b w:val="0"/>
                <w:bCs w:val="0"/>
                <w:sz w:val="22"/>
                <w:szCs w:val="22"/>
              </w:rPr>
              <w:t>960</w:t>
            </w:r>
          </w:p>
        </w:tc>
        <w:tc>
          <w:tcPr>
            <w:tcW w:w="999" w:type="dxa"/>
            <w:shd w:val="clear" w:color="auto" w:fill="auto"/>
            <w:noWrap/>
            <w:vAlign w:val="bottom"/>
            <w:hideMark/>
          </w:tcPr>
          <w:p w:rsidR="0007101C" w:rsidRPr="0007101C" w:rsidP="0007101C" w14:paraId="76D08CFA" w14:textId="77777777">
            <w:pPr>
              <w:widowControl/>
              <w:autoSpaceDE/>
              <w:autoSpaceDN/>
              <w:adjustRightInd/>
              <w:jc w:val="right"/>
              <w:rPr>
                <w:b w:val="0"/>
                <w:bCs w:val="0"/>
                <w:sz w:val="22"/>
                <w:szCs w:val="22"/>
              </w:rPr>
            </w:pPr>
            <w:r w:rsidRPr="0007101C">
              <w:rPr>
                <w:b w:val="0"/>
                <w:bCs w:val="0"/>
                <w:sz w:val="22"/>
                <w:szCs w:val="22"/>
              </w:rPr>
              <w:t>$114.36</w:t>
            </w:r>
          </w:p>
        </w:tc>
        <w:tc>
          <w:tcPr>
            <w:tcW w:w="1260" w:type="dxa"/>
            <w:shd w:val="clear" w:color="auto" w:fill="auto"/>
            <w:noWrap/>
            <w:vAlign w:val="bottom"/>
            <w:hideMark/>
          </w:tcPr>
          <w:p w:rsidR="0007101C" w:rsidRPr="0007101C" w:rsidP="0007101C" w14:paraId="39BD4CA8" w14:textId="77777777">
            <w:pPr>
              <w:widowControl/>
              <w:autoSpaceDE/>
              <w:autoSpaceDN/>
              <w:adjustRightInd/>
              <w:jc w:val="right"/>
              <w:rPr>
                <w:b w:val="0"/>
                <w:bCs w:val="0"/>
                <w:sz w:val="22"/>
                <w:szCs w:val="22"/>
              </w:rPr>
            </w:pPr>
            <w:r w:rsidRPr="0007101C">
              <w:rPr>
                <w:b w:val="0"/>
                <w:bCs w:val="0"/>
                <w:sz w:val="22"/>
                <w:szCs w:val="22"/>
              </w:rPr>
              <w:t>$109,786</w:t>
            </w:r>
          </w:p>
        </w:tc>
      </w:tr>
      <w:tr w14:paraId="1286183B" w14:textId="77777777" w:rsidTr="00BB6CCD">
        <w:tblPrEx>
          <w:tblW w:w="9108" w:type="dxa"/>
          <w:tblInd w:w="710" w:type="dxa"/>
          <w:tblLook w:val="04A0"/>
        </w:tblPrEx>
        <w:trPr>
          <w:trHeight w:val="280"/>
        </w:trPr>
        <w:tc>
          <w:tcPr>
            <w:tcW w:w="3780" w:type="dxa"/>
            <w:shd w:val="clear" w:color="auto" w:fill="auto"/>
            <w:vAlign w:val="bottom"/>
            <w:hideMark/>
          </w:tcPr>
          <w:p w:rsidR="0007101C" w:rsidRPr="0007101C" w:rsidP="0007101C" w14:paraId="63E4C19E" w14:textId="4989621B">
            <w:pPr>
              <w:widowControl/>
              <w:autoSpaceDE/>
              <w:autoSpaceDN/>
              <w:adjustRightInd/>
              <w:rPr>
                <w:b w:val="0"/>
                <w:bCs w:val="0"/>
                <w:sz w:val="22"/>
                <w:szCs w:val="22"/>
              </w:rPr>
            </w:pPr>
            <w:r w:rsidRPr="00FE2CF8">
              <w:rPr>
                <w:b w:val="0"/>
                <w:bCs w:val="0"/>
                <w:sz w:val="22"/>
                <w:szCs w:val="22"/>
              </w:rPr>
              <w:t>Lawyers draft notice that the coverage is determined to be noncompliant with MHPAEA</w:t>
            </w:r>
          </w:p>
        </w:tc>
        <w:tc>
          <w:tcPr>
            <w:tcW w:w="999" w:type="dxa"/>
            <w:tcBorders>
              <w:bottom w:val="double" w:sz="4" w:space="0" w:color="auto"/>
            </w:tcBorders>
            <w:shd w:val="clear" w:color="auto" w:fill="auto"/>
            <w:noWrap/>
            <w:vAlign w:val="bottom"/>
            <w:hideMark/>
          </w:tcPr>
          <w:p w:rsidR="0007101C" w:rsidRPr="0007101C" w:rsidP="0007101C" w14:paraId="59E4BD43" w14:textId="39165662">
            <w:pPr>
              <w:widowControl/>
              <w:autoSpaceDE/>
              <w:autoSpaceDN/>
              <w:adjustRightInd/>
              <w:jc w:val="right"/>
              <w:rPr>
                <w:b w:val="0"/>
                <w:bCs w:val="0"/>
                <w:sz w:val="22"/>
                <w:szCs w:val="22"/>
              </w:rPr>
            </w:pPr>
            <w:r>
              <w:rPr>
                <w:b w:val="0"/>
                <w:bCs w:val="0"/>
                <w:sz w:val="22"/>
                <w:szCs w:val="22"/>
              </w:rPr>
              <w:t>5</w:t>
            </w:r>
          </w:p>
        </w:tc>
        <w:tc>
          <w:tcPr>
            <w:tcW w:w="1080" w:type="dxa"/>
            <w:tcBorders>
              <w:bottom w:val="double" w:sz="4" w:space="0" w:color="auto"/>
            </w:tcBorders>
            <w:shd w:val="clear" w:color="auto" w:fill="auto"/>
            <w:noWrap/>
            <w:vAlign w:val="bottom"/>
            <w:hideMark/>
          </w:tcPr>
          <w:p w:rsidR="0007101C" w:rsidRPr="0007101C" w:rsidP="0007101C" w14:paraId="373D9EA3" w14:textId="77777777">
            <w:pPr>
              <w:widowControl/>
              <w:autoSpaceDE/>
              <w:autoSpaceDN/>
              <w:adjustRightInd/>
              <w:jc w:val="right"/>
              <w:rPr>
                <w:b w:val="0"/>
                <w:bCs w:val="0"/>
                <w:sz w:val="22"/>
                <w:szCs w:val="22"/>
              </w:rPr>
            </w:pPr>
            <w:r w:rsidRPr="0007101C">
              <w:rPr>
                <w:b w:val="0"/>
                <w:bCs w:val="0"/>
                <w:sz w:val="22"/>
                <w:szCs w:val="22"/>
              </w:rPr>
              <w:t>1</w:t>
            </w:r>
          </w:p>
        </w:tc>
        <w:tc>
          <w:tcPr>
            <w:tcW w:w="990" w:type="dxa"/>
            <w:tcBorders>
              <w:bottom w:val="double" w:sz="4" w:space="0" w:color="auto"/>
            </w:tcBorders>
            <w:shd w:val="clear" w:color="auto" w:fill="auto"/>
            <w:noWrap/>
            <w:vAlign w:val="bottom"/>
            <w:hideMark/>
          </w:tcPr>
          <w:p w:rsidR="0007101C" w:rsidRPr="0007101C" w:rsidP="0007101C" w14:paraId="51FBB140" w14:textId="6FCFC6F5">
            <w:pPr>
              <w:widowControl/>
              <w:autoSpaceDE/>
              <w:autoSpaceDN/>
              <w:adjustRightInd/>
              <w:jc w:val="right"/>
              <w:rPr>
                <w:b w:val="0"/>
                <w:bCs w:val="0"/>
                <w:sz w:val="22"/>
                <w:szCs w:val="22"/>
              </w:rPr>
            </w:pPr>
            <w:r>
              <w:rPr>
                <w:b w:val="0"/>
                <w:bCs w:val="0"/>
                <w:sz w:val="22"/>
                <w:szCs w:val="22"/>
              </w:rPr>
              <w:t>5</w:t>
            </w:r>
          </w:p>
        </w:tc>
        <w:tc>
          <w:tcPr>
            <w:tcW w:w="999" w:type="dxa"/>
            <w:tcBorders>
              <w:bottom w:val="double" w:sz="4" w:space="0" w:color="auto"/>
            </w:tcBorders>
            <w:shd w:val="clear" w:color="auto" w:fill="auto"/>
            <w:noWrap/>
            <w:vAlign w:val="bottom"/>
            <w:hideMark/>
          </w:tcPr>
          <w:p w:rsidR="0007101C" w:rsidRPr="0007101C" w:rsidP="0007101C" w14:paraId="3FCBBC84" w14:textId="77777777">
            <w:pPr>
              <w:widowControl/>
              <w:autoSpaceDE/>
              <w:autoSpaceDN/>
              <w:adjustRightInd/>
              <w:jc w:val="right"/>
              <w:rPr>
                <w:b w:val="0"/>
                <w:bCs w:val="0"/>
                <w:sz w:val="22"/>
                <w:szCs w:val="22"/>
              </w:rPr>
            </w:pPr>
            <w:r w:rsidRPr="0007101C">
              <w:rPr>
                <w:b w:val="0"/>
                <w:bCs w:val="0"/>
                <w:sz w:val="22"/>
                <w:szCs w:val="22"/>
              </w:rPr>
              <w:t>$165.71</w:t>
            </w:r>
          </w:p>
        </w:tc>
        <w:tc>
          <w:tcPr>
            <w:tcW w:w="1260" w:type="dxa"/>
            <w:tcBorders>
              <w:bottom w:val="double" w:sz="4" w:space="0" w:color="auto"/>
            </w:tcBorders>
            <w:shd w:val="clear" w:color="auto" w:fill="auto"/>
            <w:noWrap/>
            <w:vAlign w:val="bottom"/>
            <w:hideMark/>
          </w:tcPr>
          <w:p w:rsidR="0007101C" w:rsidRPr="0007101C" w:rsidP="0007101C" w14:paraId="060BECBF" w14:textId="1FC53C50">
            <w:pPr>
              <w:widowControl/>
              <w:autoSpaceDE/>
              <w:autoSpaceDN/>
              <w:adjustRightInd/>
              <w:jc w:val="right"/>
              <w:rPr>
                <w:b w:val="0"/>
                <w:bCs w:val="0"/>
                <w:sz w:val="22"/>
                <w:szCs w:val="22"/>
              </w:rPr>
            </w:pPr>
            <w:r w:rsidRPr="0007101C">
              <w:rPr>
                <w:b w:val="0"/>
                <w:bCs w:val="0"/>
                <w:sz w:val="22"/>
                <w:szCs w:val="22"/>
              </w:rPr>
              <w:t>$</w:t>
            </w:r>
            <w:r w:rsidR="005655F1">
              <w:rPr>
                <w:b w:val="0"/>
                <w:bCs w:val="0"/>
                <w:sz w:val="22"/>
                <w:szCs w:val="22"/>
              </w:rPr>
              <w:t>829</w:t>
            </w:r>
          </w:p>
        </w:tc>
      </w:tr>
      <w:tr w14:paraId="451D7E76" w14:textId="77777777" w:rsidTr="00BB6CCD">
        <w:tblPrEx>
          <w:tblW w:w="9108" w:type="dxa"/>
          <w:tblInd w:w="710" w:type="dxa"/>
          <w:tblLook w:val="04A0"/>
        </w:tblPrEx>
        <w:trPr>
          <w:trHeight w:val="280"/>
        </w:trPr>
        <w:tc>
          <w:tcPr>
            <w:tcW w:w="3780" w:type="dxa"/>
            <w:shd w:val="clear" w:color="auto" w:fill="auto"/>
            <w:noWrap/>
            <w:vAlign w:val="bottom"/>
            <w:hideMark/>
          </w:tcPr>
          <w:p w:rsidR="0007101C" w:rsidRPr="00F538AF" w:rsidP="0007101C" w14:paraId="3D5C55CB" w14:textId="77777777">
            <w:pPr>
              <w:widowControl/>
              <w:autoSpaceDE/>
              <w:autoSpaceDN/>
              <w:adjustRightInd/>
              <w:rPr>
                <w:sz w:val="22"/>
                <w:szCs w:val="22"/>
              </w:rPr>
            </w:pPr>
            <w:r w:rsidRPr="00F538AF">
              <w:rPr>
                <w:sz w:val="22"/>
                <w:szCs w:val="22"/>
              </w:rPr>
              <w:t>Total</w:t>
            </w:r>
          </w:p>
        </w:tc>
        <w:tc>
          <w:tcPr>
            <w:tcW w:w="999" w:type="dxa"/>
            <w:tcBorders>
              <w:top w:val="double" w:sz="4" w:space="0" w:color="auto"/>
            </w:tcBorders>
            <w:shd w:val="clear" w:color="auto" w:fill="auto"/>
            <w:noWrap/>
            <w:vAlign w:val="bottom"/>
            <w:hideMark/>
          </w:tcPr>
          <w:p w:rsidR="0007101C" w:rsidRPr="00F538AF" w:rsidP="0007101C" w14:paraId="1A5415BB" w14:textId="62E1FBDA">
            <w:pPr>
              <w:widowControl/>
              <w:autoSpaceDE/>
              <w:autoSpaceDN/>
              <w:adjustRightInd/>
              <w:jc w:val="right"/>
              <w:rPr>
                <w:sz w:val="22"/>
                <w:szCs w:val="22"/>
              </w:rPr>
            </w:pPr>
            <w:r w:rsidRPr="00F538AF">
              <w:rPr>
                <w:sz w:val="22"/>
                <w:szCs w:val="22"/>
              </w:rPr>
              <w:t>2</w:t>
            </w:r>
            <w:r w:rsidR="005655F1">
              <w:rPr>
                <w:sz w:val="22"/>
                <w:szCs w:val="22"/>
              </w:rPr>
              <w:t>3</w:t>
            </w:r>
          </w:p>
        </w:tc>
        <w:tc>
          <w:tcPr>
            <w:tcW w:w="1080" w:type="dxa"/>
            <w:tcBorders>
              <w:top w:val="double" w:sz="4" w:space="0" w:color="auto"/>
            </w:tcBorders>
            <w:shd w:val="clear" w:color="auto" w:fill="auto"/>
            <w:noWrap/>
            <w:vAlign w:val="bottom"/>
            <w:hideMark/>
          </w:tcPr>
          <w:p w:rsidR="0007101C" w:rsidRPr="00F538AF" w:rsidP="0007101C" w14:paraId="26D25744" w14:textId="77777777">
            <w:pPr>
              <w:widowControl/>
              <w:autoSpaceDE/>
              <w:autoSpaceDN/>
              <w:adjustRightInd/>
              <w:jc w:val="right"/>
              <w:rPr>
                <w:sz w:val="22"/>
                <w:szCs w:val="22"/>
              </w:rPr>
            </w:pPr>
            <w:r w:rsidRPr="00F538AF">
              <w:rPr>
                <w:sz w:val="22"/>
                <w:szCs w:val="22"/>
              </w:rPr>
              <w:t>-</w:t>
            </w:r>
          </w:p>
        </w:tc>
        <w:tc>
          <w:tcPr>
            <w:tcW w:w="990" w:type="dxa"/>
            <w:tcBorders>
              <w:top w:val="double" w:sz="4" w:space="0" w:color="auto"/>
            </w:tcBorders>
            <w:shd w:val="clear" w:color="auto" w:fill="auto"/>
            <w:noWrap/>
            <w:vAlign w:val="bottom"/>
            <w:hideMark/>
          </w:tcPr>
          <w:p w:rsidR="0007101C" w:rsidRPr="00F538AF" w:rsidP="0007101C" w14:paraId="6E6A853F" w14:textId="00D61F6B">
            <w:pPr>
              <w:widowControl/>
              <w:autoSpaceDE/>
              <w:autoSpaceDN/>
              <w:adjustRightInd/>
              <w:jc w:val="right"/>
              <w:rPr>
                <w:sz w:val="22"/>
                <w:szCs w:val="22"/>
              </w:rPr>
            </w:pPr>
            <w:r w:rsidRPr="00F538AF">
              <w:rPr>
                <w:sz w:val="22"/>
                <w:szCs w:val="22"/>
              </w:rPr>
              <w:t>1</w:t>
            </w:r>
            <w:r w:rsidR="002915C5">
              <w:rPr>
                <w:sz w:val="22"/>
                <w:szCs w:val="22"/>
              </w:rPr>
              <w:t>,</w:t>
            </w:r>
            <w:r w:rsidRPr="00F538AF">
              <w:rPr>
                <w:sz w:val="22"/>
                <w:szCs w:val="22"/>
              </w:rPr>
              <w:t>0</w:t>
            </w:r>
            <w:r w:rsidR="005655F1">
              <w:rPr>
                <w:sz w:val="22"/>
                <w:szCs w:val="22"/>
              </w:rPr>
              <w:t>79</w:t>
            </w:r>
          </w:p>
        </w:tc>
        <w:tc>
          <w:tcPr>
            <w:tcW w:w="999" w:type="dxa"/>
            <w:tcBorders>
              <w:top w:val="double" w:sz="4" w:space="0" w:color="auto"/>
            </w:tcBorders>
            <w:shd w:val="clear" w:color="auto" w:fill="auto"/>
            <w:noWrap/>
            <w:vAlign w:val="bottom"/>
            <w:hideMark/>
          </w:tcPr>
          <w:p w:rsidR="0007101C" w:rsidRPr="00F538AF" w:rsidP="0007101C" w14:paraId="0786AEE9" w14:textId="77777777">
            <w:pPr>
              <w:widowControl/>
              <w:autoSpaceDE/>
              <w:autoSpaceDN/>
              <w:adjustRightInd/>
              <w:jc w:val="right"/>
              <w:rPr>
                <w:sz w:val="22"/>
                <w:szCs w:val="22"/>
              </w:rPr>
            </w:pPr>
            <w:r w:rsidRPr="00F538AF">
              <w:rPr>
                <w:sz w:val="22"/>
                <w:szCs w:val="22"/>
              </w:rPr>
              <w:t>-</w:t>
            </w:r>
          </w:p>
        </w:tc>
        <w:tc>
          <w:tcPr>
            <w:tcW w:w="1260" w:type="dxa"/>
            <w:tcBorders>
              <w:top w:val="double" w:sz="4" w:space="0" w:color="auto"/>
            </w:tcBorders>
            <w:shd w:val="clear" w:color="auto" w:fill="auto"/>
            <w:noWrap/>
            <w:vAlign w:val="bottom"/>
            <w:hideMark/>
          </w:tcPr>
          <w:p w:rsidR="0007101C" w:rsidRPr="00F538AF" w:rsidP="0007101C" w14:paraId="54F0DF35" w14:textId="38DA742E">
            <w:pPr>
              <w:widowControl/>
              <w:autoSpaceDE/>
              <w:autoSpaceDN/>
              <w:adjustRightInd/>
              <w:jc w:val="right"/>
              <w:rPr>
                <w:sz w:val="22"/>
                <w:szCs w:val="22"/>
              </w:rPr>
            </w:pPr>
            <w:r w:rsidRPr="00F538AF">
              <w:rPr>
                <w:sz w:val="22"/>
                <w:szCs w:val="22"/>
              </w:rPr>
              <w:t>$</w:t>
            </w:r>
            <w:r w:rsidR="00E631BA">
              <w:rPr>
                <w:sz w:val="22"/>
                <w:szCs w:val="22"/>
              </w:rPr>
              <w:t>125,376</w:t>
            </w:r>
          </w:p>
        </w:tc>
      </w:tr>
    </w:tbl>
    <w:p w:rsidR="004A275B" w:rsidP="00B43F26" w14:paraId="39D20A3F" w14:textId="77777777">
      <w:pPr>
        <w:rPr>
          <w:b w:val="0"/>
          <w:bCs w:val="0"/>
          <w:iCs/>
          <w:sz w:val="24"/>
          <w:szCs w:val="24"/>
        </w:rPr>
      </w:pPr>
    </w:p>
    <w:p w:rsidR="00FD030F" w:rsidRPr="000D1EEF" w:rsidP="00FD030F" w14:paraId="5E0832ED" w14:textId="4A1B5A03">
      <w:pPr>
        <w:ind w:left="720"/>
        <w:rPr>
          <w:i/>
          <w:sz w:val="24"/>
          <w:szCs w:val="24"/>
          <w:u w:val="single"/>
        </w:rPr>
      </w:pPr>
      <w:r w:rsidRPr="000D1EEF">
        <w:rPr>
          <w:i/>
          <w:sz w:val="24"/>
          <w:szCs w:val="24"/>
          <w:u w:val="single"/>
        </w:rPr>
        <w:t>202</w:t>
      </w:r>
      <w:r w:rsidR="00A5417D">
        <w:rPr>
          <w:i/>
          <w:sz w:val="24"/>
          <w:szCs w:val="24"/>
          <w:u w:val="single"/>
        </w:rPr>
        <w:t>4</w:t>
      </w:r>
      <w:r w:rsidRPr="000D1EEF">
        <w:rPr>
          <w:i/>
          <w:sz w:val="24"/>
          <w:szCs w:val="24"/>
          <w:u w:val="single"/>
        </w:rPr>
        <w:t xml:space="preserve"> </w:t>
      </w:r>
      <w:r w:rsidR="00DA59B9">
        <w:rPr>
          <w:i/>
          <w:sz w:val="24"/>
          <w:szCs w:val="24"/>
          <w:u w:val="single"/>
        </w:rPr>
        <w:t>Final Rule</w:t>
      </w:r>
      <w:r w:rsidR="00DD2352">
        <w:rPr>
          <w:i/>
          <w:sz w:val="24"/>
          <w:szCs w:val="24"/>
          <w:u w:val="single"/>
        </w:rPr>
        <w:t>s</w:t>
      </w:r>
    </w:p>
    <w:p w:rsidR="000D1EEF" w:rsidP="001826B7" w14:paraId="5611B224" w14:textId="77777777">
      <w:pPr>
        <w:ind w:left="720"/>
        <w:rPr>
          <w:b w:val="0"/>
          <w:bCs w:val="0"/>
          <w:i/>
          <w:iCs/>
          <w:sz w:val="24"/>
          <w:szCs w:val="24"/>
        </w:rPr>
      </w:pPr>
    </w:p>
    <w:p w:rsidR="001826B7" w:rsidRPr="00F538AF" w:rsidP="001826B7" w14:paraId="60E63623" w14:textId="65521E4C">
      <w:pPr>
        <w:ind w:left="720"/>
        <w:rPr>
          <w:i/>
          <w:iCs/>
          <w:sz w:val="24"/>
          <w:szCs w:val="24"/>
        </w:rPr>
      </w:pPr>
      <w:r w:rsidRPr="00F538AF">
        <w:rPr>
          <w:i/>
          <w:iCs/>
          <w:sz w:val="24"/>
          <w:szCs w:val="24"/>
        </w:rPr>
        <w:t>Amendment to Existing MHPAEA Regulations</w:t>
      </w:r>
      <w:r w:rsidRPr="00F538AF" w:rsidR="00B34D31">
        <w:rPr>
          <w:i/>
          <w:iCs/>
          <w:sz w:val="24"/>
          <w:szCs w:val="24"/>
        </w:rPr>
        <w:t xml:space="preserve"> (29 CFR 2590.712</w:t>
      </w:r>
      <w:r w:rsidRPr="00F538AF" w:rsidR="004C4F3D">
        <w:rPr>
          <w:i/>
          <w:iCs/>
          <w:sz w:val="24"/>
          <w:szCs w:val="24"/>
        </w:rPr>
        <w:t>; 26 CFR</w:t>
      </w:r>
      <w:r w:rsidRPr="00F538AF" w:rsidR="004901E2">
        <w:rPr>
          <w:i/>
          <w:iCs/>
          <w:sz w:val="24"/>
          <w:szCs w:val="24"/>
        </w:rPr>
        <w:t xml:space="preserve"> 54.9812-</w:t>
      </w:r>
      <w:r w:rsidRPr="00F538AF" w:rsidR="006B180C">
        <w:rPr>
          <w:i/>
          <w:iCs/>
          <w:sz w:val="24"/>
          <w:szCs w:val="24"/>
        </w:rPr>
        <w:t>1)</w:t>
      </w:r>
    </w:p>
    <w:p w:rsidR="001826B7" w:rsidP="001826B7" w14:paraId="549B632C" w14:textId="77777777">
      <w:pPr>
        <w:ind w:left="720"/>
        <w:rPr>
          <w:b w:val="0"/>
          <w:bCs w:val="0"/>
          <w:sz w:val="24"/>
          <w:szCs w:val="24"/>
        </w:rPr>
      </w:pPr>
    </w:p>
    <w:p w:rsidR="00875EDA" w:rsidP="00FD030F" w14:paraId="119AFF84" w14:textId="1FB1462F">
      <w:pPr>
        <w:ind w:left="720"/>
        <w:rPr>
          <w:b w:val="0"/>
          <w:iCs/>
          <w:sz w:val="24"/>
          <w:szCs w:val="24"/>
        </w:rPr>
      </w:pPr>
      <w:r w:rsidRPr="003A05B8">
        <w:rPr>
          <w:b w:val="0"/>
          <w:iCs/>
          <w:sz w:val="24"/>
          <w:szCs w:val="24"/>
        </w:rPr>
        <w:t>These final rules amend existing definitions</w:t>
      </w:r>
      <w:r w:rsidR="00230F21">
        <w:rPr>
          <w:b w:val="0"/>
          <w:iCs/>
          <w:sz w:val="24"/>
          <w:szCs w:val="24"/>
        </w:rPr>
        <w:t xml:space="preserve"> and add </w:t>
      </w:r>
      <w:r w:rsidR="00AC1118">
        <w:rPr>
          <w:b w:val="0"/>
          <w:iCs/>
          <w:sz w:val="24"/>
          <w:szCs w:val="24"/>
        </w:rPr>
        <w:t xml:space="preserve">new definitions </w:t>
      </w:r>
      <w:r w:rsidRPr="00E96C36" w:rsidR="00BB29FF">
        <w:rPr>
          <w:b w:val="0"/>
          <w:iCs/>
          <w:sz w:val="24"/>
          <w:szCs w:val="24"/>
        </w:rPr>
        <w:t xml:space="preserve">of key terms, including “factors,” “processes,” “strategies,” and “evidentiary standards.” They </w:t>
      </w:r>
      <w:r w:rsidR="00BB29FF">
        <w:rPr>
          <w:b w:val="0"/>
          <w:iCs/>
          <w:sz w:val="24"/>
          <w:szCs w:val="24"/>
        </w:rPr>
        <w:t xml:space="preserve">as to what conditions or disorders plans and issuers must </w:t>
      </w:r>
      <w:r w:rsidRPr="003A05B8" w:rsidR="006E064B">
        <w:rPr>
          <w:b w:val="0"/>
          <w:iCs/>
          <w:sz w:val="24"/>
          <w:szCs w:val="24"/>
        </w:rPr>
        <w:t xml:space="preserve">also </w:t>
      </w:r>
      <w:r w:rsidR="006E064B">
        <w:rPr>
          <w:b w:val="0"/>
          <w:iCs/>
          <w:sz w:val="24"/>
          <w:szCs w:val="24"/>
        </w:rPr>
        <w:t xml:space="preserve">add more </w:t>
      </w:r>
      <w:r w:rsidRPr="003A05B8" w:rsidR="006E064B">
        <w:rPr>
          <w:b w:val="0"/>
          <w:iCs/>
          <w:sz w:val="24"/>
          <w:szCs w:val="24"/>
        </w:rPr>
        <w:t>specif</w:t>
      </w:r>
      <w:r w:rsidR="006E064B">
        <w:rPr>
          <w:b w:val="0"/>
          <w:iCs/>
          <w:sz w:val="24"/>
          <w:szCs w:val="24"/>
        </w:rPr>
        <w:t>icit</w:t>
      </w:r>
      <w:r w:rsidRPr="003A05B8" w:rsidR="006E064B">
        <w:rPr>
          <w:b w:val="0"/>
          <w:iCs/>
          <w:sz w:val="24"/>
          <w:szCs w:val="24"/>
        </w:rPr>
        <w:t xml:space="preserve">y </w:t>
      </w:r>
      <w:r w:rsidR="006E064B">
        <w:rPr>
          <w:b w:val="0"/>
          <w:iCs/>
          <w:sz w:val="24"/>
          <w:szCs w:val="24"/>
        </w:rPr>
        <w:t xml:space="preserve">as to what conditions or disorders plans and issuers must treat as MH conditions and </w:t>
      </w:r>
      <w:r w:rsidR="006E064B">
        <w:rPr>
          <w:b w:val="0"/>
          <w:iCs/>
          <w:sz w:val="24"/>
          <w:szCs w:val="24"/>
        </w:rPr>
        <w:t>SUDs, and</w:t>
      </w:r>
      <w:r w:rsidR="006E064B">
        <w:rPr>
          <w:b w:val="0"/>
          <w:iCs/>
          <w:sz w:val="24"/>
          <w:szCs w:val="24"/>
        </w:rPr>
        <w:t xml:space="preserve"> clarify </w:t>
      </w:r>
      <w:r w:rsidRPr="003A05B8" w:rsidR="006E064B">
        <w:rPr>
          <w:b w:val="0"/>
          <w:iCs/>
          <w:sz w:val="24"/>
          <w:szCs w:val="24"/>
        </w:rPr>
        <w:t xml:space="preserve">that the way a plan or issuer defines </w:t>
      </w:r>
      <w:r w:rsidR="006E064B">
        <w:rPr>
          <w:b w:val="0"/>
          <w:iCs/>
          <w:sz w:val="24"/>
          <w:szCs w:val="24"/>
        </w:rPr>
        <w:t xml:space="preserve">MH </w:t>
      </w:r>
      <w:r w:rsidRPr="003A05B8" w:rsidR="006E064B">
        <w:rPr>
          <w:b w:val="0"/>
          <w:iCs/>
          <w:sz w:val="24"/>
          <w:szCs w:val="24"/>
        </w:rPr>
        <w:t xml:space="preserve">benefits and </w:t>
      </w:r>
      <w:r w:rsidR="006E064B">
        <w:rPr>
          <w:b w:val="0"/>
          <w:iCs/>
          <w:sz w:val="24"/>
          <w:szCs w:val="24"/>
        </w:rPr>
        <w:t xml:space="preserve">SUD </w:t>
      </w:r>
      <w:r w:rsidRPr="003A05B8" w:rsidR="006E064B">
        <w:rPr>
          <w:b w:val="0"/>
          <w:iCs/>
          <w:sz w:val="24"/>
          <w:szCs w:val="24"/>
        </w:rPr>
        <w:t xml:space="preserve">benefits </w:t>
      </w:r>
      <w:r w:rsidR="006E064B">
        <w:rPr>
          <w:b w:val="0"/>
          <w:iCs/>
          <w:sz w:val="24"/>
          <w:szCs w:val="24"/>
        </w:rPr>
        <w:t xml:space="preserve">for purposes of MHPAEA </w:t>
      </w:r>
      <w:r w:rsidRPr="003A05B8" w:rsidR="006E064B">
        <w:rPr>
          <w:b w:val="0"/>
          <w:iCs/>
          <w:sz w:val="24"/>
          <w:szCs w:val="24"/>
        </w:rPr>
        <w:t xml:space="preserve">must be consistent with generally recognized independent standards of current medical practice. </w:t>
      </w:r>
      <w:r w:rsidR="006E064B">
        <w:rPr>
          <w:b w:val="0"/>
          <w:iCs/>
          <w:sz w:val="24"/>
          <w:szCs w:val="24"/>
        </w:rPr>
        <w:t xml:space="preserve">These final rules also clarify the way the parity </w:t>
      </w:r>
      <w:r w:rsidRPr="003A05B8">
        <w:rPr>
          <w:b w:val="0"/>
          <w:iCs/>
          <w:sz w:val="24"/>
          <w:szCs w:val="24"/>
        </w:rPr>
        <w:t xml:space="preserve">requirements </w:t>
      </w:r>
      <w:r w:rsidR="006E064B">
        <w:rPr>
          <w:b w:val="0"/>
          <w:iCs/>
          <w:sz w:val="24"/>
          <w:szCs w:val="24"/>
        </w:rPr>
        <w:t xml:space="preserve">apply </w:t>
      </w:r>
      <w:r w:rsidRPr="003A05B8">
        <w:rPr>
          <w:b w:val="0"/>
          <w:iCs/>
          <w:sz w:val="24"/>
          <w:szCs w:val="24"/>
        </w:rPr>
        <w:t xml:space="preserve">to NQTLs, including by prohibiting discriminatory factors and evidentiary standards, amend </w:t>
      </w:r>
      <w:r w:rsidR="004C7147">
        <w:rPr>
          <w:b w:val="0"/>
          <w:iCs/>
          <w:sz w:val="24"/>
          <w:szCs w:val="24"/>
        </w:rPr>
        <w:t xml:space="preserve">and provide additional </w:t>
      </w:r>
      <w:r w:rsidRPr="003A05B8">
        <w:rPr>
          <w:b w:val="0"/>
          <w:iCs/>
          <w:sz w:val="24"/>
          <w:szCs w:val="24"/>
        </w:rPr>
        <w:t xml:space="preserve">examples </w:t>
      </w:r>
      <w:r w:rsidR="004C7147">
        <w:rPr>
          <w:b w:val="0"/>
          <w:iCs/>
          <w:sz w:val="24"/>
          <w:szCs w:val="24"/>
        </w:rPr>
        <w:t xml:space="preserve">of the application of MHPAEA to </w:t>
      </w:r>
      <w:r w:rsidRPr="003A05B8">
        <w:rPr>
          <w:b w:val="0"/>
          <w:iCs/>
          <w:sz w:val="24"/>
          <w:szCs w:val="24"/>
        </w:rPr>
        <w:t xml:space="preserve">NQTLs, </w:t>
      </w:r>
      <w:r w:rsidR="004C7147">
        <w:rPr>
          <w:b w:val="0"/>
          <w:iCs/>
          <w:sz w:val="24"/>
          <w:szCs w:val="24"/>
        </w:rPr>
        <w:t xml:space="preserve">to improve </w:t>
      </w:r>
      <w:r w:rsidR="005A7BEA">
        <w:rPr>
          <w:b w:val="0"/>
          <w:iCs/>
          <w:sz w:val="24"/>
          <w:szCs w:val="24"/>
        </w:rPr>
        <w:t>the understanding and ability of the regulated community to comply with the law</w:t>
      </w:r>
      <w:r w:rsidRPr="003A05B8">
        <w:rPr>
          <w:b w:val="0"/>
          <w:iCs/>
          <w:sz w:val="24"/>
          <w:szCs w:val="24"/>
        </w:rPr>
        <w:t xml:space="preserve">. </w:t>
      </w:r>
      <w:r w:rsidR="005A7BEA">
        <w:rPr>
          <w:b w:val="0"/>
          <w:iCs/>
          <w:sz w:val="24"/>
          <w:szCs w:val="24"/>
        </w:rPr>
        <w:t>Additionally, t</w:t>
      </w:r>
      <w:r w:rsidRPr="003A05B8">
        <w:rPr>
          <w:b w:val="0"/>
          <w:iCs/>
          <w:sz w:val="24"/>
          <w:szCs w:val="24"/>
        </w:rPr>
        <w:t>he</w:t>
      </w:r>
      <w:r w:rsidR="005A7BEA">
        <w:rPr>
          <w:b w:val="0"/>
          <w:iCs/>
          <w:sz w:val="24"/>
          <w:szCs w:val="24"/>
        </w:rPr>
        <w:t>se</w:t>
      </w:r>
      <w:r w:rsidRPr="003A05B8">
        <w:rPr>
          <w:b w:val="0"/>
          <w:iCs/>
          <w:sz w:val="24"/>
          <w:szCs w:val="24"/>
        </w:rPr>
        <w:t xml:space="preserve"> final rules require that plans and issuers provide meaningful benefits for covered </w:t>
      </w:r>
      <w:r>
        <w:rPr>
          <w:b w:val="0"/>
          <w:iCs/>
          <w:sz w:val="24"/>
          <w:szCs w:val="24"/>
        </w:rPr>
        <w:t xml:space="preserve">MH </w:t>
      </w:r>
      <w:r w:rsidRPr="003A05B8">
        <w:rPr>
          <w:b w:val="0"/>
          <w:iCs/>
          <w:sz w:val="24"/>
          <w:szCs w:val="24"/>
        </w:rPr>
        <w:t xml:space="preserve">conditions or </w:t>
      </w:r>
      <w:r>
        <w:rPr>
          <w:b w:val="0"/>
          <w:iCs/>
          <w:sz w:val="24"/>
          <w:szCs w:val="24"/>
        </w:rPr>
        <w:t xml:space="preserve">SUDs </w:t>
      </w:r>
      <w:r w:rsidRPr="003A05B8">
        <w:rPr>
          <w:b w:val="0"/>
          <w:iCs/>
          <w:sz w:val="24"/>
          <w:szCs w:val="24"/>
        </w:rPr>
        <w:t>in each classification in which</w:t>
      </w:r>
      <w:r w:rsidR="00AE268C">
        <w:rPr>
          <w:b w:val="0"/>
          <w:iCs/>
          <w:sz w:val="24"/>
          <w:szCs w:val="24"/>
        </w:rPr>
        <w:t xml:space="preserve"> </w:t>
      </w:r>
      <w:r w:rsidR="006256C7">
        <w:rPr>
          <w:b w:val="0"/>
          <w:iCs/>
          <w:sz w:val="24"/>
          <w:szCs w:val="24"/>
        </w:rPr>
        <w:t xml:space="preserve">meaningful </w:t>
      </w:r>
      <w:r w:rsidRPr="00AE268C" w:rsidR="00AE268C">
        <w:rPr>
          <w:b w:val="0"/>
          <w:iCs/>
          <w:sz w:val="24"/>
          <w:szCs w:val="24"/>
        </w:rPr>
        <w:t>medical/surgical benefits are provided</w:t>
      </w:r>
      <w:r w:rsidRPr="003A05B8">
        <w:rPr>
          <w:b w:val="0"/>
          <w:iCs/>
          <w:sz w:val="24"/>
          <w:szCs w:val="24"/>
        </w:rPr>
        <w:t xml:space="preserve">. </w:t>
      </w:r>
    </w:p>
    <w:p w:rsidR="00875EDA" w:rsidP="00FD030F" w14:paraId="44EF1681" w14:textId="77777777">
      <w:pPr>
        <w:ind w:left="720"/>
        <w:rPr>
          <w:b w:val="0"/>
          <w:iCs/>
          <w:sz w:val="24"/>
          <w:szCs w:val="24"/>
        </w:rPr>
      </w:pPr>
    </w:p>
    <w:p w:rsidR="00F968FA" w:rsidP="00FD030F" w14:paraId="5C719419" w14:textId="4C7A929D">
      <w:pPr>
        <w:ind w:left="720"/>
        <w:rPr>
          <w:b w:val="0"/>
          <w:iCs/>
          <w:sz w:val="24"/>
          <w:szCs w:val="24"/>
        </w:rPr>
      </w:pPr>
      <w:r>
        <w:rPr>
          <w:b w:val="0"/>
          <w:iCs/>
          <w:sz w:val="24"/>
          <w:szCs w:val="24"/>
        </w:rPr>
        <w:t xml:space="preserve">Under </w:t>
      </w:r>
      <w:r w:rsidRPr="003A05B8" w:rsidR="003A05B8">
        <w:rPr>
          <w:b w:val="0"/>
          <w:iCs/>
          <w:sz w:val="24"/>
          <w:szCs w:val="24"/>
        </w:rPr>
        <w:t>these final rules</w:t>
      </w:r>
      <w:r>
        <w:rPr>
          <w:b w:val="0"/>
          <w:iCs/>
          <w:sz w:val="24"/>
          <w:szCs w:val="24"/>
        </w:rPr>
        <w:t>,</w:t>
      </w:r>
      <w:r w:rsidRPr="003A05B8" w:rsidR="003A05B8">
        <w:rPr>
          <w:b w:val="0"/>
          <w:iCs/>
          <w:sz w:val="24"/>
          <w:szCs w:val="24"/>
        </w:rPr>
        <w:t xml:space="preserve"> plans and issuers </w:t>
      </w:r>
      <w:r>
        <w:rPr>
          <w:b w:val="0"/>
          <w:iCs/>
          <w:sz w:val="24"/>
          <w:szCs w:val="24"/>
        </w:rPr>
        <w:t xml:space="preserve">will be required </w:t>
      </w:r>
      <w:r w:rsidRPr="003A05B8" w:rsidR="003A05B8">
        <w:rPr>
          <w:b w:val="0"/>
          <w:iCs/>
          <w:sz w:val="24"/>
          <w:szCs w:val="24"/>
        </w:rPr>
        <w:t xml:space="preserve">to collect and evaluate relevant data </w:t>
      </w:r>
      <w:r>
        <w:rPr>
          <w:b w:val="0"/>
          <w:iCs/>
          <w:sz w:val="24"/>
          <w:szCs w:val="24"/>
        </w:rPr>
        <w:t xml:space="preserve">in a manner </w:t>
      </w:r>
      <w:r w:rsidRPr="00E96C36" w:rsidR="00EE72C0">
        <w:rPr>
          <w:b w:val="0"/>
          <w:iCs/>
          <w:sz w:val="24"/>
          <w:szCs w:val="24"/>
        </w:rPr>
        <w:t xml:space="preserve">reasonably designed to assess the impact of the NQTL on </w:t>
      </w:r>
      <w:r w:rsidR="00EE72C0">
        <w:rPr>
          <w:b w:val="0"/>
          <w:iCs/>
          <w:sz w:val="24"/>
          <w:szCs w:val="24"/>
        </w:rPr>
        <w:t xml:space="preserve">relevant outcomes related to </w:t>
      </w:r>
      <w:r w:rsidRPr="00E96C36" w:rsidR="00EE72C0">
        <w:rPr>
          <w:b w:val="0"/>
          <w:iCs/>
          <w:sz w:val="24"/>
          <w:szCs w:val="24"/>
        </w:rPr>
        <w:t xml:space="preserve">access to </w:t>
      </w:r>
      <w:r w:rsidR="00EE72C0">
        <w:rPr>
          <w:b w:val="0"/>
          <w:iCs/>
          <w:sz w:val="24"/>
          <w:szCs w:val="24"/>
        </w:rPr>
        <w:t xml:space="preserve">MH/SUD </w:t>
      </w:r>
      <w:r w:rsidRPr="00E96C36" w:rsidR="00EE72C0">
        <w:rPr>
          <w:b w:val="0"/>
          <w:iCs/>
          <w:sz w:val="24"/>
          <w:szCs w:val="24"/>
        </w:rPr>
        <w:t>benefits and medical/surgical benefits</w:t>
      </w:r>
      <w:r w:rsidR="00EE72C0">
        <w:rPr>
          <w:b w:val="0"/>
          <w:iCs/>
          <w:sz w:val="24"/>
          <w:szCs w:val="24"/>
        </w:rPr>
        <w:t>. W</w:t>
      </w:r>
      <w:r w:rsidRPr="003A05B8" w:rsidR="003A05B8">
        <w:rPr>
          <w:b w:val="0"/>
          <w:iCs/>
          <w:sz w:val="24"/>
          <w:szCs w:val="24"/>
        </w:rPr>
        <w:t xml:space="preserve">here the relevant data </w:t>
      </w:r>
      <w:r w:rsidRPr="00AE268C" w:rsidR="00AE268C">
        <w:rPr>
          <w:rFonts w:eastAsiaTheme="minorHAnsi"/>
          <w:b w:val="0"/>
          <w:bCs w:val="0"/>
          <w:sz w:val="24"/>
          <w:szCs w:val="24"/>
        </w:rPr>
        <w:t xml:space="preserve">suggest that the </w:t>
      </w:r>
      <w:r w:rsidR="00AE268C">
        <w:rPr>
          <w:rFonts w:eastAsiaTheme="minorHAnsi"/>
          <w:b w:val="0"/>
          <w:bCs w:val="0"/>
          <w:sz w:val="24"/>
          <w:szCs w:val="24"/>
        </w:rPr>
        <w:t>NQTL</w:t>
      </w:r>
      <w:r w:rsidRPr="00AE268C" w:rsidR="00AE268C">
        <w:rPr>
          <w:rFonts w:eastAsiaTheme="minorHAnsi"/>
          <w:b w:val="0"/>
          <w:bCs w:val="0"/>
          <w:sz w:val="24"/>
          <w:szCs w:val="24"/>
        </w:rPr>
        <w:t xml:space="preserve"> contributes to material differences in access to </w:t>
      </w:r>
      <w:r w:rsidR="00FF6B04">
        <w:rPr>
          <w:rFonts w:eastAsiaTheme="minorHAnsi"/>
          <w:b w:val="0"/>
          <w:bCs w:val="0"/>
          <w:sz w:val="24"/>
          <w:szCs w:val="24"/>
        </w:rPr>
        <w:t xml:space="preserve">MH/SUD </w:t>
      </w:r>
      <w:r w:rsidRPr="00AE268C" w:rsidR="00AE268C">
        <w:rPr>
          <w:rFonts w:eastAsiaTheme="minorHAnsi"/>
          <w:b w:val="0"/>
          <w:bCs w:val="0"/>
          <w:sz w:val="24"/>
          <w:szCs w:val="24"/>
        </w:rPr>
        <w:t>benefits as compared to medical/surgical benefits in a classification</w:t>
      </w:r>
      <w:r w:rsidRPr="003A05B8" w:rsidR="003A05B8">
        <w:rPr>
          <w:b w:val="0"/>
          <w:iCs/>
          <w:sz w:val="24"/>
          <w:szCs w:val="24"/>
        </w:rPr>
        <w:t>,</w:t>
      </w:r>
      <w:r>
        <w:rPr>
          <w:b w:val="0"/>
          <w:iCs/>
          <w:sz w:val="24"/>
          <w:szCs w:val="24"/>
        </w:rPr>
        <w:t xml:space="preserve"> the plan or issuer must </w:t>
      </w:r>
      <w:r w:rsidRPr="003A05B8" w:rsidR="003A05B8">
        <w:rPr>
          <w:b w:val="0"/>
          <w:iCs/>
          <w:sz w:val="24"/>
          <w:szCs w:val="24"/>
        </w:rPr>
        <w:t xml:space="preserve">take reasonable action, as necessary, to address the material differences to ensure compliance, in operation, with </w:t>
      </w:r>
      <w:r w:rsidR="003D34CC">
        <w:rPr>
          <w:b w:val="0"/>
          <w:iCs/>
          <w:sz w:val="24"/>
          <w:szCs w:val="24"/>
        </w:rPr>
        <w:t>MHPAEA</w:t>
      </w:r>
      <w:r w:rsidRPr="003A05B8" w:rsidR="003A05B8">
        <w:rPr>
          <w:b w:val="0"/>
          <w:iCs/>
          <w:sz w:val="24"/>
          <w:szCs w:val="24"/>
        </w:rPr>
        <w:t xml:space="preserve">. </w:t>
      </w:r>
    </w:p>
    <w:p w:rsidR="00F968FA" w:rsidP="00FD030F" w14:paraId="684AAC80" w14:textId="77777777">
      <w:pPr>
        <w:ind w:left="720"/>
        <w:rPr>
          <w:b w:val="0"/>
          <w:iCs/>
          <w:sz w:val="24"/>
          <w:szCs w:val="24"/>
        </w:rPr>
      </w:pPr>
    </w:p>
    <w:p w:rsidR="00D741D6" w:rsidP="009850E7" w14:paraId="5672280E" w14:textId="093F0844">
      <w:pPr>
        <w:ind w:left="720"/>
        <w:rPr>
          <w:b w:val="0"/>
          <w:iCs/>
          <w:sz w:val="24"/>
          <w:szCs w:val="24"/>
        </w:rPr>
      </w:pPr>
      <w:r w:rsidRPr="00E96C36">
        <w:rPr>
          <w:b w:val="0"/>
          <w:iCs/>
          <w:sz w:val="24"/>
          <w:szCs w:val="24"/>
        </w:rPr>
        <w:t>These final rules provide guidance for how to comply with the relevant data evaluation requirements in limited circumstances where data is temporarily unavailable for new and newly imposed NQTLs</w:t>
      </w:r>
      <w:r w:rsidRPr="00E96C36">
        <w:rPr>
          <w:b w:val="0"/>
          <w:iCs/>
          <w:sz w:val="24"/>
          <w:szCs w:val="24"/>
        </w:rPr>
        <w:t xml:space="preserve"> </w:t>
      </w:r>
      <w:r w:rsidRPr="00E96C36">
        <w:rPr>
          <w:b w:val="0"/>
          <w:iCs/>
          <w:sz w:val="24"/>
          <w:szCs w:val="24"/>
        </w:rPr>
        <w:t xml:space="preserve">and where no data exists that can reasonably measure any relevant impact of </w:t>
      </w:r>
      <w:r>
        <w:rPr>
          <w:b w:val="0"/>
          <w:iCs/>
          <w:sz w:val="24"/>
          <w:szCs w:val="24"/>
        </w:rPr>
        <w:t xml:space="preserve">an </w:t>
      </w:r>
      <w:r w:rsidRPr="00E96C36">
        <w:rPr>
          <w:b w:val="0"/>
          <w:iCs/>
          <w:sz w:val="24"/>
          <w:szCs w:val="24"/>
        </w:rPr>
        <w:t>NQTL on access</w:t>
      </w:r>
      <w:r>
        <w:rPr>
          <w:b w:val="0"/>
          <w:iCs/>
          <w:sz w:val="24"/>
          <w:szCs w:val="24"/>
        </w:rPr>
        <w:t xml:space="preserve"> to MH/SUD benefits and medical/surgical benefits</w:t>
      </w:r>
      <w:r w:rsidRPr="00E96C36">
        <w:rPr>
          <w:b w:val="0"/>
          <w:iCs/>
          <w:sz w:val="24"/>
          <w:szCs w:val="24"/>
        </w:rPr>
        <w:t xml:space="preserve">. </w:t>
      </w:r>
      <w:r>
        <w:rPr>
          <w:b w:val="0"/>
          <w:iCs/>
          <w:sz w:val="24"/>
          <w:szCs w:val="24"/>
        </w:rPr>
        <w:t>W</w:t>
      </w:r>
      <w:r w:rsidRPr="003A05B8" w:rsidR="003A05B8">
        <w:rPr>
          <w:b w:val="0"/>
          <w:iCs/>
          <w:sz w:val="24"/>
          <w:szCs w:val="24"/>
        </w:rPr>
        <w:t xml:space="preserve">here relevant data is temporarily unavailable for a newly imposed NQTL, the comparative analysis must include a detailed explanation of the lack of relevant data, the basis for the </w:t>
      </w:r>
      <w:r w:rsidRPr="003A05B8" w:rsidR="003A05B8">
        <w:rPr>
          <w:b w:val="0"/>
          <w:iCs/>
          <w:sz w:val="24"/>
          <w:szCs w:val="24"/>
        </w:rPr>
        <w:t>plan’s</w:t>
      </w:r>
      <w:r w:rsidRPr="003A05B8" w:rsidR="003A05B8">
        <w:rPr>
          <w:b w:val="0"/>
          <w:iCs/>
          <w:sz w:val="24"/>
          <w:szCs w:val="24"/>
        </w:rPr>
        <w:t xml:space="preserve"> or issuer’s conclusion that there is a lack of relevant data, and when and how the data will become available and be collected and analyzed. </w:t>
      </w:r>
      <w:r w:rsidR="00BC1F54">
        <w:rPr>
          <w:b w:val="0"/>
          <w:iCs/>
          <w:sz w:val="24"/>
          <w:szCs w:val="24"/>
        </w:rPr>
        <w:t xml:space="preserve">For an NQTL for which </w:t>
      </w:r>
      <w:r w:rsidRPr="003A05B8" w:rsidR="003A05B8">
        <w:rPr>
          <w:b w:val="0"/>
          <w:iCs/>
          <w:sz w:val="24"/>
          <w:szCs w:val="24"/>
        </w:rPr>
        <w:t xml:space="preserve">no data exists that can reasonably assess any relevant impact on access to mental health and substance use disorder benefits and medical/surgical benefits, the plan or issuer must provide a reasoned justification as to the basis for the conclusion that there are no data that can reasonably assess the NQTL’s impact, why the nature of the NQTL prevents the plan or issuer from reasonably measuring its impact, an explanation of what data was considered and rejected, and document any additional safeguards or protocols used to ensure that the NQTL complies with MHPAEA. In the instances where there is a temporary data lag for a newly imposed NQTL or no data exists that can reasonably assess any relevant impact of an NQTL, providing this justification is likely to be less expensive than the estimated burden for doing an analysis when there is data. However, the Departments are of the view that nearly all NQTLs will have some relevant data to collect and evaluate; therefore, the Departments estimate the burden as if </w:t>
      </w:r>
      <w:r w:rsidRPr="003A05B8" w:rsidR="003A05B8">
        <w:rPr>
          <w:b w:val="0"/>
          <w:iCs/>
          <w:sz w:val="24"/>
          <w:szCs w:val="24"/>
        </w:rPr>
        <w:t>every plans and issuers</w:t>
      </w:r>
      <w:r w:rsidRPr="003A05B8" w:rsidR="003A05B8">
        <w:rPr>
          <w:b w:val="0"/>
          <w:iCs/>
          <w:sz w:val="24"/>
          <w:szCs w:val="24"/>
        </w:rPr>
        <w:t xml:space="preserve"> everyone performs the data analysis.</w:t>
      </w:r>
      <w:r w:rsidR="00244809">
        <w:rPr>
          <w:b w:val="0"/>
          <w:iCs/>
          <w:sz w:val="24"/>
          <w:szCs w:val="24"/>
        </w:rPr>
        <w:t xml:space="preserve"> </w:t>
      </w:r>
    </w:p>
    <w:p w:rsidR="00244809" w:rsidP="00FD030F" w14:paraId="39F07578" w14:textId="77777777">
      <w:pPr>
        <w:ind w:left="720"/>
        <w:rPr>
          <w:b w:val="0"/>
          <w:iCs/>
          <w:sz w:val="24"/>
          <w:szCs w:val="24"/>
        </w:rPr>
      </w:pPr>
    </w:p>
    <w:p w:rsidR="00244809" w:rsidRPr="00E96C36" w:rsidP="00244809" w14:paraId="1356D386" w14:textId="522CC403">
      <w:pPr>
        <w:ind w:left="720"/>
        <w:rPr>
          <w:b w:val="0"/>
          <w:iCs/>
          <w:sz w:val="24"/>
          <w:szCs w:val="24"/>
        </w:rPr>
      </w:pPr>
      <w:r>
        <w:rPr>
          <w:rFonts w:eastAsiaTheme="minorHAnsi"/>
          <w:b w:val="0"/>
          <w:bCs w:val="0"/>
          <w:sz w:val="24"/>
          <w:szCs w:val="24"/>
        </w:rPr>
        <w:t xml:space="preserve">Additionally, these final rules specify that if a plan or issuer receives a determination from the relevant Secretary that the plan or issuer is not in compliance with the rules for comparative analyses, the Secretary may direct the plan or issuer not to impose the NQTL with respect to </w:t>
      </w:r>
      <w:r w:rsidR="00EC040A">
        <w:rPr>
          <w:rFonts w:eastAsiaTheme="minorHAnsi"/>
          <w:b w:val="0"/>
          <w:bCs w:val="0"/>
          <w:sz w:val="24"/>
          <w:szCs w:val="24"/>
        </w:rPr>
        <w:t xml:space="preserve">MH/SUD </w:t>
      </w:r>
      <w:r>
        <w:rPr>
          <w:rFonts w:eastAsiaTheme="minorHAnsi"/>
          <w:b w:val="0"/>
          <w:bCs w:val="0"/>
          <w:sz w:val="24"/>
          <w:szCs w:val="24"/>
        </w:rPr>
        <w:t>benefits</w:t>
      </w:r>
      <w:r w:rsidR="00595E3E">
        <w:rPr>
          <w:rFonts w:eastAsiaTheme="minorHAnsi"/>
          <w:b w:val="0"/>
          <w:bCs w:val="0"/>
          <w:sz w:val="24"/>
          <w:szCs w:val="24"/>
        </w:rPr>
        <w:t>.</w:t>
      </w:r>
    </w:p>
    <w:p w:rsidR="003A05B8" w:rsidP="004E280F" w14:paraId="3A1D4949" w14:textId="77777777">
      <w:pPr>
        <w:rPr>
          <w:b w:val="0"/>
          <w:iCs/>
          <w:sz w:val="24"/>
          <w:szCs w:val="24"/>
        </w:rPr>
      </w:pPr>
    </w:p>
    <w:p w:rsidR="00C800C2" w:rsidRPr="00F538AF" w:rsidP="00FD030F" w14:paraId="57EF455F" w14:textId="0893A63D">
      <w:pPr>
        <w:ind w:left="720"/>
        <w:rPr>
          <w:bCs w:val="0"/>
          <w:i/>
          <w:sz w:val="24"/>
          <w:szCs w:val="24"/>
        </w:rPr>
      </w:pPr>
      <w:r w:rsidRPr="00F538AF">
        <w:rPr>
          <w:bCs w:val="0"/>
          <w:i/>
          <w:sz w:val="24"/>
          <w:szCs w:val="24"/>
        </w:rPr>
        <w:t xml:space="preserve">New Regulation </w:t>
      </w:r>
      <w:r w:rsidRPr="00F538AF" w:rsidR="00406FE5">
        <w:rPr>
          <w:bCs w:val="0"/>
          <w:i/>
          <w:sz w:val="24"/>
          <w:szCs w:val="24"/>
        </w:rPr>
        <w:t>(29 CFR 2590.712-1</w:t>
      </w:r>
      <w:r w:rsidRPr="00F538AF" w:rsidR="00E15E8D">
        <w:rPr>
          <w:bCs w:val="0"/>
          <w:i/>
          <w:sz w:val="24"/>
          <w:szCs w:val="24"/>
        </w:rPr>
        <w:t xml:space="preserve">; </w:t>
      </w:r>
      <w:r w:rsidRPr="00F538AF" w:rsidR="00E15E8D">
        <w:rPr>
          <w:bCs w:val="0"/>
          <w:i/>
          <w:iCs/>
          <w:sz w:val="24"/>
          <w:szCs w:val="24"/>
        </w:rPr>
        <w:t>26 CFR 54.9812-2)</w:t>
      </w:r>
    </w:p>
    <w:p w:rsidR="00322F4C" w:rsidP="00322F4C" w14:paraId="2DA785E0" w14:textId="77777777">
      <w:pPr>
        <w:ind w:left="720"/>
        <w:rPr>
          <w:b w:val="0"/>
          <w:iCs/>
          <w:sz w:val="24"/>
          <w:szCs w:val="24"/>
        </w:rPr>
      </w:pPr>
    </w:p>
    <w:p w:rsidR="00322F4C" w:rsidRPr="00322F4C" w:rsidP="00322F4C" w14:paraId="61CFC9B9" w14:textId="6C2E47A4">
      <w:pPr>
        <w:ind w:left="720"/>
        <w:rPr>
          <w:b w:val="0"/>
          <w:iCs/>
          <w:sz w:val="24"/>
          <w:szCs w:val="24"/>
        </w:rPr>
      </w:pPr>
      <w:r w:rsidRPr="00322F4C">
        <w:rPr>
          <w:b w:val="0"/>
          <w:iCs/>
          <w:sz w:val="24"/>
          <w:szCs w:val="24"/>
        </w:rPr>
        <w:t xml:space="preserve">These final rules set </w:t>
      </w:r>
      <w:r w:rsidR="00EC040A">
        <w:rPr>
          <w:b w:val="0"/>
          <w:iCs/>
          <w:sz w:val="24"/>
          <w:szCs w:val="24"/>
        </w:rPr>
        <w:t>forth</w:t>
      </w:r>
      <w:r w:rsidRPr="00322F4C" w:rsidR="00EC040A">
        <w:rPr>
          <w:b w:val="0"/>
          <w:iCs/>
          <w:sz w:val="24"/>
          <w:szCs w:val="24"/>
        </w:rPr>
        <w:t xml:space="preserve"> </w:t>
      </w:r>
      <w:r w:rsidRPr="00322F4C">
        <w:rPr>
          <w:b w:val="0"/>
          <w:iCs/>
          <w:sz w:val="24"/>
          <w:szCs w:val="24"/>
        </w:rPr>
        <w:t xml:space="preserve">specific content requirements for comparative analyses required by the CAA, 2021, and outline the process for plans and issuers to provide their comparative analyses to the Departments or </w:t>
      </w:r>
      <w:r w:rsidR="00EC040A">
        <w:rPr>
          <w:b w:val="0"/>
          <w:iCs/>
          <w:sz w:val="24"/>
          <w:szCs w:val="24"/>
        </w:rPr>
        <w:t xml:space="preserve">an </w:t>
      </w:r>
      <w:r w:rsidRPr="00322F4C">
        <w:rPr>
          <w:b w:val="0"/>
          <w:iCs/>
          <w:sz w:val="24"/>
          <w:szCs w:val="24"/>
        </w:rPr>
        <w:t xml:space="preserve">applicable State authority upon request. </w:t>
      </w:r>
    </w:p>
    <w:p w:rsidR="00322F4C" w:rsidP="00322F4C" w14:paraId="1B8D09B2" w14:textId="77777777">
      <w:pPr>
        <w:ind w:left="720"/>
        <w:rPr>
          <w:b w:val="0"/>
          <w:iCs/>
          <w:sz w:val="24"/>
          <w:szCs w:val="24"/>
        </w:rPr>
      </w:pPr>
    </w:p>
    <w:p w:rsidR="008E0F53" w:rsidP="00322F4C" w14:paraId="5920CFDE" w14:textId="0EC7A18B">
      <w:pPr>
        <w:ind w:left="720"/>
        <w:rPr>
          <w:b w:val="0"/>
          <w:iCs/>
          <w:sz w:val="24"/>
          <w:szCs w:val="24"/>
        </w:rPr>
      </w:pPr>
      <w:r w:rsidRPr="00322F4C">
        <w:rPr>
          <w:b w:val="0"/>
          <w:iCs/>
          <w:sz w:val="24"/>
          <w:szCs w:val="24"/>
        </w:rPr>
        <w:t>For the purpose of</w:t>
      </w:r>
      <w:r w:rsidRPr="00322F4C">
        <w:rPr>
          <w:b w:val="0"/>
          <w:iCs/>
          <w:sz w:val="24"/>
          <w:szCs w:val="24"/>
        </w:rPr>
        <w:t xml:space="preserve"> this analysis, it is assumed that health insurance companies will fulfill the data request for fully insured group health plans. This burden is accounted for under HHS’ OMB Control number 0938-1393 and is discussed later in this document. It is also assumed that TPAs and other service providers will fulfill the requirements for </w:t>
      </w:r>
      <w:r w:rsidRPr="00322F4C">
        <w:rPr>
          <w:b w:val="0"/>
          <w:iCs/>
          <w:sz w:val="24"/>
          <w:szCs w:val="24"/>
        </w:rPr>
        <w:t>the vast majority of</w:t>
      </w:r>
      <w:r w:rsidRPr="00322F4C">
        <w:rPr>
          <w:b w:val="0"/>
          <w:iCs/>
          <w:sz w:val="24"/>
          <w:szCs w:val="24"/>
        </w:rPr>
        <w:t xml:space="preserve"> self-funded group health plans.</w:t>
      </w:r>
    </w:p>
    <w:p w:rsidR="00322F4C" w:rsidRPr="00C9621C" w:rsidP="00322F4C" w14:paraId="4A54587D" w14:textId="77777777">
      <w:pPr>
        <w:ind w:left="720"/>
        <w:rPr>
          <w:b w:val="0"/>
          <w:i/>
          <w:iCs/>
          <w:sz w:val="24"/>
          <w:szCs w:val="24"/>
        </w:rPr>
      </w:pPr>
    </w:p>
    <w:p w:rsidR="00C9621C" w:rsidRPr="00F538AF" w:rsidP="006E4415" w14:paraId="17EDA3D0" w14:textId="224B53B4">
      <w:pPr>
        <w:ind w:left="720"/>
        <w:rPr>
          <w:bCs w:val="0"/>
          <w:i/>
          <w:iCs/>
          <w:sz w:val="24"/>
          <w:szCs w:val="24"/>
        </w:rPr>
      </w:pPr>
      <w:r w:rsidRPr="00F538AF">
        <w:rPr>
          <w:bCs w:val="0"/>
          <w:i/>
          <w:iCs/>
          <w:sz w:val="24"/>
          <w:szCs w:val="24"/>
        </w:rPr>
        <w:t xml:space="preserve">Burden Estimates for </w:t>
      </w:r>
      <w:r w:rsidRPr="00F538AF" w:rsidR="000747E2">
        <w:rPr>
          <w:bCs w:val="0"/>
          <w:i/>
          <w:iCs/>
          <w:sz w:val="24"/>
          <w:szCs w:val="24"/>
        </w:rPr>
        <w:t>Final</w:t>
      </w:r>
      <w:r w:rsidRPr="00F538AF">
        <w:rPr>
          <w:bCs w:val="0"/>
          <w:i/>
          <w:iCs/>
          <w:sz w:val="24"/>
          <w:szCs w:val="24"/>
        </w:rPr>
        <w:t xml:space="preserve"> Requirements</w:t>
      </w:r>
    </w:p>
    <w:p w:rsidR="00991226" w:rsidP="006B7E44" w14:paraId="409C77D9" w14:textId="77777777">
      <w:pPr>
        <w:rPr>
          <w:b w:val="0"/>
          <w:sz w:val="24"/>
          <w:szCs w:val="24"/>
        </w:rPr>
      </w:pPr>
    </w:p>
    <w:p w:rsidR="00D06FDF" w:rsidRPr="00D06FDF" w:rsidP="00D06FDF" w14:paraId="7742982B" w14:textId="77777777">
      <w:pPr>
        <w:ind w:left="720"/>
        <w:rPr>
          <w:b w:val="0"/>
          <w:sz w:val="24"/>
          <w:szCs w:val="24"/>
        </w:rPr>
      </w:pPr>
      <w:r w:rsidRPr="00D06FDF">
        <w:rPr>
          <w:b w:val="0"/>
          <w:sz w:val="24"/>
          <w:szCs w:val="24"/>
        </w:rPr>
        <w:t xml:space="preserve">The final rules will affect self-funded plans and MEWAs. The Departments estimate that 709 self-funded plans with 500 or more participants will prepare the comparative analysis and data themselves. The Departments also estimate that 4,076 self-funded plans with 500 or more participants </w:t>
      </w:r>
      <w:bookmarkStart w:id="5" w:name="_Hlk171523277"/>
      <w:r w:rsidRPr="00D06FDF">
        <w:rPr>
          <w:b w:val="0"/>
          <w:sz w:val="24"/>
          <w:szCs w:val="24"/>
        </w:rPr>
        <w:t>will receive a generic comparative analysis from their TPA or other service provider, which they will subsequently customize to suit their specific needs</w:t>
      </w:r>
      <w:bookmarkEnd w:id="5"/>
      <w:r w:rsidRPr="00D06FDF">
        <w:rPr>
          <w:b w:val="0"/>
          <w:sz w:val="24"/>
          <w:szCs w:val="24"/>
        </w:rPr>
        <w:t xml:space="preserve">. Finally, the Departments estimate that 132 plan MEWAs and 21 non-plan MEWAs that are not fully-insured will provide assistance to plans in collecting and analyzing the </w:t>
      </w:r>
      <w:r w:rsidRPr="00D06FDF">
        <w:rPr>
          <w:b w:val="0"/>
          <w:sz w:val="24"/>
          <w:szCs w:val="24"/>
        </w:rPr>
        <w:t>data, and</w:t>
      </w:r>
      <w:r w:rsidRPr="00D06FDF">
        <w:rPr>
          <w:b w:val="0"/>
          <w:sz w:val="24"/>
          <w:szCs w:val="24"/>
        </w:rPr>
        <w:t xml:space="preserve"> generating the comparative analyses. For more information on how the number of each type of entity is estimated, please refer to the Affected Entities, of the regulatory impact analysis.</w:t>
      </w:r>
    </w:p>
    <w:p w:rsidR="00D06FDF" w:rsidP="00D06FDF" w14:paraId="5FAF19BA" w14:textId="77777777">
      <w:pPr>
        <w:ind w:left="720"/>
        <w:rPr>
          <w:b w:val="0"/>
          <w:sz w:val="24"/>
          <w:szCs w:val="24"/>
        </w:rPr>
      </w:pPr>
    </w:p>
    <w:p w:rsidR="00D06FDF" w:rsidRPr="00D06FDF" w:rsidP="00D06FDF" w14:paraId="50D4AF11" w14:textId="17B6ED02">
      <w:pPr>
        <w:ind w:left="720"/>
        <w:rPr>
          <w:b w:val="0"/>
          <w:sz w:val="24"/>
          <w:szCs w:val="24"/>
        </w:rPr>
      </w:pPr>
      <w:r w:rsidRPr="00D06FDF">
        <w:rPr>
          <w:b w:val="0"/>
          <w:sz w:val="24"/>
          <w:szCs w:val="24"/>
        </w:rPr>
        <w:t xml:space="preserve">Non-grandfathered, fully insured ERISA plans with less than 50 participants that are subject to MHPAEA under the EHB requirements of the ACA are likely to have their issuers prepare their comparative analyses. Issuers can take advantage of economies of scale by preparing the required documents for those plans purchasing coverage. HHS has jurisdiction over issuers in States that substantially fail to enforce MHPAEA’s requirements and therefore is accounting for this portion of the burden in its analysis, in addition to the burden related to non-Federal governmental plans. Accordingly, this analysis considers only the burden associated with ERISA self-funded group health plans, which are under the jurisdiction of the DOL and the Treasury. </w:t>
      </w:r>
    </w:p>
    <w:p w:rsidR="00444D51" w:rsidRPr="00412E26" w:rsidP="00412E26" w14:paraId="7AB1DE9F" w14:textId="77777777">
      <w:pPr>
        <w:ind w:left="720"/>
        <w:rPr>
          <w:b w:val="0"/>
          <w:sz w:val="24"/>
          <w:szCs w:val="24"/>
        </w:rPr>
      </w:pPr>
    </w:p>
    <w:p w:rsidR="0044361F" w:rsidP="0044361F" w14:paraId="160970C1" w14:textId="1F63F55B">
      <w:pPr>
        <w:ind w:left="720"/>
        <w:rPr>
          <w:b w:val="0"/>
          <w:sz w:val="24"/>
          <w:szCs w:val="24"/>
        </w:rPr>
      </w:pPr>
      <w:bookmarkStart w:id="6" w:name="_Hlk135218650"/>
      <w:r w:rsidRPr="00481A51">
        <w:rPr>
          <w:b w:val="0"/>
          <w:bCs w:val="0"/>
          <w:sz w:val="24"/>
          <w:szCs w:val="24"/>
        </w:rPr>
        <w:t>These final rules</w:t>
      </w:r>
      <w:r w:rsidRPr="00481A51">
        <w:rPr>
          <w:b w:val="0"/>
          <w:sz w:val="24"/>
          <w:szCs w:val="24"/>
        </w:rPr>
        <w:t xml:space="preserve"> </w:t>
      </w:r>
      <w:r w:rsidRPr="00481A51">
        <w:rPr>
          <w:b w:val="0"/>
          <w:bCs w:val="0"/>
          <w:sz w:val="24"/>
          <w:szCs w:val="24"/>
        </w:rPr>
        <w:t xml:space="preserve">require that a plan or issuer discuss in its comparative analysis the actions that have been or are being taken by the plan or issuer to mitigate any material differences in access to mental health and substance use disorder benefits as compared to medical/surgical benefits, as required in the demonstration of comparability and stringency, in operation requirement of these final rules. In the proposed rules, the Departments estimated that, on average, plans </w:t>
      </w:r>
      <w:r w:rsidRPr="00481A51">
        <w:rPr>
          <w:b w:val="0"/>
          <w:bCs w:val="0"/>
          <w:sz w:val="24"/>
          <w:szCs w:val="24"/>
        </w:rPr>
        <w:t xml:space="preserve">would </w:t>
      </w:r>
      <w:r w:rsidRPr="00481A51">
        <w:rPr>
          <w:b w:val="0"/>
          <w:bCs w:val="0"/>
          <w:sz w:val="24"/>
          <w:szCs w:val="24"/>
        </w:rPr>
        <w:t xml:space="preserve">need to analyze four separate NQTLs and issuers </w:t>
      </w:r>
      <w:r w:rsidRPr="00481A51">
        <w:rPr>
          <w:b w:val="0"/>
          <w:bCs w:val="0"/>
          <w:sz w:val="24"/>
          <w:szCs w:val="24"/>
        </w:rPr>
        <w:t xml:space="preserve">would </w:t>
      </w:r>
      <w:r w:rsidRPr="00481A51">
        <w:rPr>
          <w:b w:val="0"/>
          <w:bCs w:val="0"/>
          <w:sz w:val="24"/>
          <w:szCs w:val="24"/>
        </w:rPr>
        <w:t xml:space="preserve">need to analyze eight NQTLs to satisfy their additional comparative analysis requirements. The Departments further estimated that plans and issuers preparing their own comparative analyses </w:t>
      </w:r>
      <w:r w:rsidRPr="00481A51">
        <w:rPr>
          <w:b w:val="0"/>
          <w:bCs w:val="0"/>
          <w:sz w:val="24"/>
          <w:szCs w:val="24"/>
        </w:rPr>
        <w:t xml:space="preserve">would </w:t>
      </w:r>
      <w:r w:rsidRPr="00481A51">
        <w:rPr>
          <w:b w:val="0"/>
          <w:bCs w:val="0"/>
          <w:sz w:val="24"/>
          <w:szCs w:val="24"/>
        </w:rPr>
        <w:t xml:space="preserve">incur a burden of 20 hours per NQTL in the first year, with 4 hours for a general or operations manager to review the requirements and outline the changes needed for the comparative analyses and 16 hours for a business operations specialist to prepare the comparative analyses. Once the comparative analyses are performed and documented, the Departments estimated that plans and issuers would need to update the analyses when making changes to the terms of </w:t>
      </w:r>
      <w:r w:rsidRPr="00481A51">
        <w:rPr>
          <w:b w:val="0"/>
          <w:bCs w:val="0"/>
          <w:sz w:val="24"/>
          <w:szCs w:val="24"/>
        </w:rPr>
        <w:t xml:space="preserve">the plan or coverage, including changes to the way NQTLs are applied to mental health and substance use disorder benefits. </w:t>
      </w:r>
      <w:r w:rsidRPr="0044361F">
        <w:rPr>
          <w:b w:val="0"/>
          <w:sz w:val="24"/>
          <w:szCs w:val="24"/>
        </w:rPr>
        <w:t xml:space="preserve">In subsequent years, the Departments estimated plans would incur a burden of 10 hours annually per NQTL to update the analyses, with </w:t>
      </w:r>
      <w:r w:rsidR="00767414">
        <w:rPr>
          <w:b w:val="0"/>
          <w:sz w:val="24"/>
          <w:szCs w:val="24"/>
        </w:rPr>
        <w:t>2</w:t>
      </w:r>
      <w:r w:rsidRPr="0044361F">
        <w:rPr>
          <w:b w:val="0"/>
          <w:sz w:val="24"/>
          <w:szCs w:val="24"/>
        </w:rPr>
        <w:t xml:space="preserve"> hours for a general or operations manager and </w:t>
      </w:r>
      <w:r w:rsidR="00767414">
        <w:rPr>
          <w:b w:val="0"/>
          <w:sz w:val="24"/>
          <w:szCs w:val="24"/>
        </w:rPr>
        <w:t>8</w:t>
      </w:r>
      <w:r w:rsidRPr="0044361F">
        <w:rPr>
          <w:b w:val="0"/>
          <w:sz w:val="24"/>
          <w:szCs w:val="24"/>
        </w:rPr>
        <w:t xml:space="preserve"> hours for a business operations specialist. </w:t>
      </w:r>
    </w:p>
    <w:p w:rsidR="0044361F" w:rsidRPr="0044361F" w:rsidP="0044361F" w14:paraId="053FA5D7" w14:textId="77777777">
      <w:pPr>
        <w:ind w:left="720"/>
        <w:rPr>
          <w:b w:val="0"/>
          <w:sz w:val="24"/>
          <w:szCs w:val="24"/>
        </w:rPr>
      </w:pPr>
    </w:p>
    <w:p w:rsidR="002754D7" w:rsidP="002754D7" w14:paraId="66B0E885" w14:textId="74B6AF02">
      <w:pPr>
        <w:ind w:left="720"/>
        <w:rPr>
          <w:b w:val="0"/>
          <w:sz w:val="24"/>
          <w:szCs w:val="24"/>
        </w:rPr>
      </w:pPr>
      <w:r w:rsidRPr="002754D7">
        <w:rPr>
          <w:b w:val="0"/>
          <w:sz w:val="24"/>
          <w:szCs w:val="24"/>
        </w:rPr>
        <w:t>In response to commenters’ concerns that the Departments underestimated the number of NQTLs that each plan or issuer would need to create comparative analyses for, and that plans and issuers would on average have the same number NQTLs, the Departments have revised their assumptions to 10 NQTLs for both plans and issuers. One commenter proposed the average number of NQTLs should be more than 15 at a minimum,</w:t>
      </w:r>
      <w:r w:rsidRPr="002754D7" w:rsidR="007206B8">
        <w:rPr>
          <w:b w:val="0"/>
          <w:sz w:val="24"/>
          <w:szCs w:val="24"/>
        </w:rPr>
        <w:t xml:space="preserve"> </w:t>
      </w:r>
      <w:r w:rsidRPr="002754D7">
        <w:rPr>
          <w:b w:val="0"/>
          <w:sz w:val="24"/>
          <w:szCs w:val="24"/>
        </w:rPr>
        <w:t>while another noted that there were at least 15 NQTLs referenced in the proposed rules and other guidance. However, given that the number of NQTLs vary by issuer and plan, that most plans will not have every NQTL identified in regulations and guidance (although some might have more), and that NQTLs can be counted as an umbrella group,</w:t>
      </w:r>
      <w:r w:rsidR="00FB7A58">
        <w:rPr>
          <w:b w:val="0"/>
          <w:sz w:val="24"/>
          <w:szCs w:val="24"/>
        </w:rPr>
        <w:t xml:space="preserve"> </w:t>
      </w:r>
      <w:r w:rsidRPr="002754D7">
        <w:rPr>
          <w:b w:val="0"/>
          <w:sz w:val="24"/>
          <w:szCs w:val="24"/>
        </w:rPr>
        <w:t>the Departments assume 10 NQTLs.</w:t>
      </w:r>
      <w:r w:rsidR="00FB7A58">
        <w:rPr>
          <w:b w:val="0"/>
          <w:sz w:val="24"/>
          <w:szCs w:val="24"/>
        </w:rPr>
        <w:t xml:space="preserve"> </w:t>
      </w:r>
    </w:p>
    <w:p w:rsidR="002754D7" w:rsidRPr="002754D7" w:rsidP="002754D7" w14:paraId="1CF79094" w14:textId="77777777">
      <w:pPr>
        <w:ind w:left="720"/>
        <w:rPr>
          <w:b w:val="0"/>
          <w:sz w:val="24"/>
          <w:szCs w:val="24"/>
        </w:rPr>
      </w:pPr>
    </w:p>
    <w:p w:rsidR="005C1EE3" w:rsidP="002754D7" w14:paraId="595B1D76" w14:textId="7961F258">
      <w:pPr>
        <w:ind w:left="720"/>
        <w:rPr>
          <w:b w:val="0"/>
          <w:sz w:val="24"/>
          <w:szCs w:val="24"/>
        </w:rPr>
      </w:pPr>
      <w:r w:rsidRPr="002754D7">
        <w:rPr>
          <w:b w:val="0"/>
          <w:sz w:val="24"/>
          <w:szCs w:val="24"/>
        </w:rPr>
        <w:t xml:space="preserve">The Departments assume that collecting the data, and reviewing and revising the comparative analyses would require 60 hours per NQTL in the first year and 12 hours per NQTL in subsequent years. While plans and issuers can use other professionals to fulfill their requirements, for purposes of developing the wage estimate, the Departments assume that it will take a team of data analysts, actuaries, and attorneys to collect the data and prepare the comparative </w:t>
      </w:r>
      <w:r w:rsidRPr="002754D7">
        <w:rPr>
          <w:b w:val="0"/>
          <w:sz w:val="24"/>
          <w:szCs w:val="24"/>
        </w:rPr>
        <w:t>analyses, and</w:t>
      </w:r>
      <w:r w:rsidRPr="002754D7">
        <w:rPr>
          <w:b w:val="0"/>
          <w:sz w:val="24"/>
          <w:szCs w:val="24"/>
        </w:rPr>
        <w:t xml:space="preserve"> have estimated a composite wage rate of $167.48.</w:t>
      </w:r>
      <w:r>
        <w:rPr>
          <w:b w:val="0"/>
          <w:sz w:val="24"/>
          <w:szCs w:val="24"/>
          <w:vertAlign w:val="superscript"/>
        </w:rPr>
        <w:footnoteReference w:id="23"/>
      </w:r>
      <w:r w:rsidRPr="002754D7">
        <w:rPr>
          <w:b w:val="0"/>
          <w:sz w:val="24"/>
          <w:szCs w:val="24"/>
        </w:rPr>
        <w:t xml:space="preserve"> </w:t>
      </w:r>
      <w:r w:rsidRPr="0044361F" w:rsidR="0044361F">
        <w:rPr>
          <w:b w:val="0"/>
          <w:sz w:val="24"/>
          <w:szCs w:val="24"/>
        </w:rPr>
        <w:t xml:space="preserve">Please see Table </w:t>
      </w:r>
      <w:r w:rsidR="00175A69">
        <w:rPr>
          <w:b w:val="0"/>
          <w:sz w:val="24"/>
          <w:szCs w:val="24"/>
        </w:rPr>
        <w:t xml:space="preserve">3 </w:t>
      </w:r>
      <w:r w:rsidRPr="0044361F" w:rsidR="0044361F">
        <w:rPr>
          <w:b w:val="0"/>
          <w:sz w:val="24"/>
          <w:szCs w:val="24"/>
        </w:rPr>
        <w:t xml:space="preserve">for calculations and burden totals. </w:t>
      </w:r>
      <w:bookmarkEnd w:id="6"/>
    </w:p>
    <w:p w:rsidR="0044361F" w:rsidP="0044361F" w14:paraId="50B61CC7" w14:textId="77777777">
      <w:pPr>
        <w:ind w:left="720"/>
        <w:rPr>
          <w:b w:val="0"/>
          <w:sz w:val="24"/>
          <w:szCs w:val="24"/>
        </w:rPr>
      </w:pPr>
    </w:p>
    <w:p w:rsidR="00175A69" w:rsidP="00E34575" w14:paraId="10522E3E" w14:textId="79BBAEA3">
      <w:pPr>
        <w:pStyle w:val="Heading1"/>
        <w:ind w:left="720"/>
      </w:pPr>
      <w:r w:rsidRPr="00F538AF">
        <w:t>Table</w:t>
      </w:r>
      <w:r>
        <w:t xml:space="preserve"> </w:t>
      </w:r>
      <w:r>
        <w:t>3</w:t>
      </w:r>
      <w:r w:rsidRPr="00F538AF">
        <w:t>. Hour Burden to Fulfill the Data Requirements and Prepare the Comparative Analyse</w:t>
      </w:r>
      <w:r w:rsidR="00561B42">
        <w:t>s</w:t>
      </w:r>
    </w:p>
    <w:p w:rsidR="0044361F" w:rsidP="00F538AF" w14:paraId="368B498A" w14:textId="77777777">
      <w:pPr>
        <w:rPr>
          <w:b w:val="0"/>
          <w:sz w:val="24"/>
          <w:szCs w:val="24"/>
        </w:rPr>
      </w:pPr>
    </w:p>
    <w:tbl>
      <w:tblPr>
        <w:tblStyle w:val="TableGrid"/>
        <w:tblpPr w:leftFromText="180" w:rightFromText="180" w:vertAnchor="text" w:tblpXSpec="center" w:tblpY="1"/>
        <w:tblOverlap w:val="never"/>
        <w:tblW w:w="9175" w:type="dxa"/>
        <w:tblLook w:val="04A0"/>
      </w:tblPr>
      <w:tblGrid>
        <w:gridCol w:w="1327"/>
        <w:gridCol w:w="970"/>
        <w:gridCol w:w="976"/>
        <w:gridCol w:w="1427"/>
        <w:gridCol w:w="1102"/>
        <w:gridCol w:w="934"/>
        <w:gridCol w:w="2439"/>
      </w:tblGrid>
      <w:tr w14:paraId="71424578" w14:textId="77777777" w:rsidTr="00925473">
        <w:tblPrEx>
          <w:tblW w:w="9175" w:type="dxa"/>
          <w:tblLook w:val="04A0"/>
        </w:tblPrEx>
        <w:trPr>
          <w:cantSplit/>
          <w:tblHeader/>
        </w:trPr>
        <w:tc>
          <w:tcPr>
            <w:tcW w:w="0" w:type="auto"/>
          </w:tcPr>
          <w:p w:rsidR="00B9216F" w:rsidP="00D06612" w14:paraId="61E667ED" w14:textId="77777777">
            <w:pPr>
              <w:rPr>
                <w:sz w:val="21"/>
                <w:szCs w:val="21"/>
              </w:rPr>
            </w:pPr>
          </w:p>
          <w:p w:rsidR="00B9216F" w:rsidRPr="00B96D11" w:rsidP="00D06612" w14:paraId="5F2DD692" w14:textId="77777777">
            <w:pPr>
              <w:rPr>
                <w:sz w:val="21"/>
                <w:szCs w:val="21"/>
              </w:rPr>
            </w:pPr>
          </w:p>
        </w:tc>
        <w:tc>
          <w:tcPr>
            <w:tcW w:w="0" w:type="auto"/>
            <w:vAlign w:val="center"/>
          </w:tcPr>
          <w:p w:rsidR="00B9216F" w:rsidRPr="00B96D11" w:rsidP="00D06612" w14:paraId="7C8D9952" w14:textId="77777777">
            <w:pPr>
              <w:jc w:val="center"/>
              <w:rPr>
                <w:sz w:val="21"/>
                <w:szCs w:val="21"/>
              </w:rPr>
            </w:pPr>
            <w:r>
              <w:rPr>
                <w:color w:val="000000"/>
                <w:sz w:val="21"/>
                <w:szCs w:val="21"/>
              </w:rPr>
              <w:t>Number of Entities</w:t>
            </w:r>
          </w:p>
        </w:tc>
        <w:tc>
          <w:tcPr>
            <w:tcW w:w="0" w:type="auto"/>
            <w:vAlign w:val="center"/>
          </w:tcPr>
          <w:p w:rsidR="00B9216F" w:rsidRPr="00B96D11" w:rsidP="00D06612" w14:paraId="5F3FC969" w14:textId="77777777">
            <w:pPr>
              <w:jc w:val="center"/>
              <w:rPr>
                <w:sz w:val="21"/>
                <w:szCs w:val="21"/>
              </w:rPr>
            </w:pPr>
            <w:r>
              <w:rPr>
                <w:color w:val="000000"/>
                <w:sz w:val="21"/>
                <w:szCs w:val="21"/>
              </w:rPr>
              <w:t xml:space="preserve">Number of </w:t>
            </w:r>
            <w:r w:rsidRPr="00B96D11">
              <w:rPr>
                <w:color w:val="000000"/>
                <w:sz w:val="21"/>
                <w:szCs w:val="21"/>
              </w:rPr>
              <w:t xml:space="preserve">NQTLs per </w:t>
            </w:r>
            <w:r>
              <w:rPr>
                <w:color w:val="000000"/>
                <w:sz w:val="21"/>
                <w:szCs w:val="21"/>
              </w:rPr>
              <w:t>Entity</w:t>
            </w:r>
          </w:p>
        </w:tc>
        <w:tc>
          <w:tcPr>
            <w:tcW w:w="0" w:type="auto"/>
            <w:vAlign w:val="center"/>
          </w:tcPr>
          <w:p w:rsidR="00B9216F" w:rsidRPr="00B96D11" w:rsidP="00D06612" w14:paraId="2D1EAD44" w14:textId="229DD7F7">
            <w:pPr>
              <w:jc w:val="center"/>
              <w:rPr>
                <w:sz w:val="21"/>
                <w:szCs w:val="21"/>
              </w:rPr>
            </w:pPr>
            <w:r>
              <w:rPr>
                <w:color w:val="000000"/>
                <w:sz w:val="21"/>
                <w:szCs w:val="21"/>
              </w:rPr>
              <w:t xml:space="preserve">Number of </w:t>
            </w:r>
            <w:r w:rsidRPr="00B96D11">
              <w:rPr>
                <w:color w:val="000000"/>
                <w:sz w:val="21"/>
                <w:szCs w:val="21"/>
              </w:rPr>
              <w:t xml:space="preserve">Hours per NQTL for </w:t>
            </w:r>
            <w:r>
              <w:rPr>
                <w:color w:val="000000"/>
                <w:sz w:val="21"/>
                <w:szCs w:val="21"/>
              </w:rPr>
              <w:t xml:space="preserve">Data and Comparative </w:t>
            </w:r>
            <w:r w:rsidRPr="00B96D11">
              <w:rPr>
                <w:color w:val="000000"/>
                <w:sz w:val="21"/>
                <w:szCs w:val="21"/>
              </w:rPr>
              <w:t xml:space="preserve">Analysis </w:t>
            </w:r>
          </w:p>
        </w:tc>
        <w:tc>
          <w:tcPr>
            <w:tcW w:w="0" w:type="auto"/>
            <w:vAlign w:val="center"/>
          </w:tcPr>
          <w:p w:rsidR="00B9216F" w:rsidRPr="00B96D11" w:rsidP="00D06612" w14:paraId="0469360F" w14:textId="77777777">
            <w:pPr>
              <w:jc w:val="center"/>
              <w:rPr>
                <w:sz w:val="21"/>
                <w:szCs w:val="21"/>
              </w:rPr>
            </w:pPr>
            <w:r w:rsidRPr="00B96D11">
              <w:rPr>
                <w:color w:val="000000"/>
                <w:sz w:val="21"/>
                <w:szCs w:val="21"/>
              </w:rPr>
              <w:t>Total Hour Burden</w:t>
            </w:r>
          </w:p>
        </w:tc>
        <w:tc>
          <w:tcPr>
            <w:tcW w:w="0" w:type="auto"/>
            <w:vAlign w:val="center"/>
          </w:tcPr>
          <w:p w:rsidR="00B9216F" w:rsidRPr="00B96D11" w:rsidP="00D06612" w14:paraId="534B93FF" w14:textId="77777777">
            <w:pPr>
              <w:jc w:val="center"/>
              <w:rPr>
                <w:sz w:val="21"/>
                <w:szCs w:val="21"/>
              </w:rPr>
            </w:pPr>
            <w:r w:rsidRPr="00B96D11">
              <w:rPr>
                <w:color w:val="000000"/>
                <w:sz w:val="21"/>
                <w:szCs w:val="21"/>
              </w:rPr>
              <w:t>Hourly Wage</w:t>
            </w:r>
          </w:p>
        </w:tc>
        <w:tc>
          <w:tcPr>
            <w:tcW w:w="2439" w:type="dxa"/>
            <w:vAlign w:val="center"/>
          </w:tcPr>
          <w:p w:rsidR="00B9216F" w:rsidRPr="00B96D11" w:rsidP="00D06612" w14:paraId="15798078" w14:textId="77777777">
            <w:pPr>
              <w:jc w:val="center"/>
              <w:rPr>
                <w:sz w:val="21"/>
                <w:szCs w:val="21"/>
              </w:rPr>
            </w:pPr>
            <w:r>
              <w:rPr>
                <w:color w:val="000000"/>
                <w:sz w:val="21"/>
                <w:szCs w:val="21"/>
              </w:rPr>
              <w:t>Equivalent Cost of Hour Burden</w:t>
            </w:r>
          </w:p>
        </w:tc>
      </w:tr>
      <w:tr w14:paraId="3E4E89FB" w14:textId="77777777" w:rsidTr="00925473">
        <w:tblPrEx>
          <w:tblW w:w="9175" w:type="dxa"/>
          <w:tblLook w:val="04A0"/>
        </w:tblPrEx>
        <w:trPr>
          <w:cantSplit/>
          <w:tblHeader/>
        </w:trPr>
        <w:tc>
          <w:tcPr>
            <w:tcW w:w="0" w:type="auto"/>
          </w:tcPr>
          <w:p w:rsidR="00AB3547" w:rsidP="00AB3547" w14:paraId="1670108C" w14:textId="77777777">
            <w:pPr>
              <w:rPr>
                <w:sz w:val="21"/>
                <w:szCs w:val="21"/>
              </w:rPr>
            </w:pPr>
          </w:p>
        </w:tc>
        <w:tc>
          <w:tcPr>
            <w:tcW w:w="0" w:type="auto"/>
            <w:vAlign w:val="center"/>
          </w:tcPr>
          <w:p w:rsidR="00AB3547" w:rsidP="00AB3547" w14:paraId="64377963" w14:textId="470DA56A">
            <w:pPr>
              <w:jc w:val="center"/>
              <w:rPr>
                <w:b w:val="0"/>
                <w:bCs w:val="0"/>
                <w:color w:val="000000"/>
                <w:sz w:val="21"/>
                <w:szCs w:val="21"/>
              </w:rPr>
            </w:pPr>
            <w:r w:rsidRPr="0076411D">
              <w:rPr>
                <w:color w:val="000000"/>
                <w:sz w:val="21"/>
                <w:szCs w:val="21"/>
              </w:rPr>
              <w:t>(A)</w:t>
            </w:r>
          </w:p>
        </w:tc>
        <w:tc>
          <w:tcPr>
            <w:tcW w:w="0" w:type="auto"/>
            <w:vAlign w:val="center"/>
          </w:tcPr>
          <w:p w:rsidR="00AB3547" w:rsidP="00AB3547" w14:paraId="3F38C373" w14:textId="30CBD790">
            <w:pPr>
              <w:jc w:val="center"/>
              <w:rPr>
                <w:b w:val="0"/>
                <w:bCs w:val="0"/>
                <w:color w:val="000000"/>
                <w:sz w:val="21"/>
                <w:szCs w:val="21"/>
              </w:rPr>
            </w:pPr>
            <w:r w:rsidRPr="0076411D">
              <w:rPr>
                <w:color w:val="000000"/>
                <w:sz w:val="21"/>
                <w:szCs w:val="21"/>
              </w:rPr>
              <w:t>(B)</w:t>
            </w:r>
          </w:p>
        </w:tc>
        <w:tc>
          <w:tcPr>
            <w:tcW w:w="0" w:type="auto"/>
            <w:vAlign w:val="center"/>
          </w:tcPr>
          <w:p w:rsidR="00AB3547" w:rsidP="00AB3547" w14:paraId="7FAEEF9C" w14:textId="4A89E503">
            <w:pPr>
              <w:jc w:val="center"/>
              <w:rPr>
                <w:b w:val="0"/>
                <w:bCs w:val="0"/>
                <w:color w:val="000000"/>
                <w:sz w:val="21"/>
                <w:szCs w:val="21"/>
              </w:rPr>
            </w:pPr>
            <w:r w:rsidRPr="0076411D">
              <w:rPr>
                <w:color w:val="000000"/>
                <w:sz w:val="21"/>
                <w:szCs w:val="21"/>
              </w:rPr>
              <w:t>(C)</w:t>
            </w:r>
          </w:p>
        </w:tc>
        <w:tc>
          <w:tcPr>
            <w:tcW w:w="0" w:type="auto"/>
            <w:vAlign w:val="center"/>
          </w:tcPr>
          <w:p w:rsidR="00AB3547" w:rsidRPr="00B96D11" w:rsidP="00AB3547" w14:paraId="15BF86B5" w14:textId="16A030C6">
            <w:pPr>
              <w:jc w:val="center"/>
              <w:rPr>
                <w:b w:val="0"/>
                <w:bCs w:val="0"/>
                <w:color w:val="000000"/>
                <w:sz w:val="21"/>
                <w:szCs w:val="21"/>
              </w:rPr>
            </w:pPr>
            <w:r w:rsidRPr="0076411D">
              <w:rPr>
                <w:color w:val="000000"/>
                <w:sz w:val="21"/>
                <w:szCs w:val="21"/>
              </w:rPr>
              <w:t xml:space="preserve">(A </w:t>
            </w:r>
            <w:r w:rsidRPr="00504499">
              <w:rPr>
                <w:color w:val="000000"/>
                <w:sz w:val="21"/>
                <w:szCs w:val="21"/>
              </w:rPr>
              <w:t>×</w:t>
            </w:r>
            <w:r w:rsidRPr="0076411D">
              <w:rPr>
                <w:color w:val="000000"/>
                <w:sz w:val="21"/>
                <w:szCs w:val="21"/>
              </w:rPr>
              <w:t xml:space="preserve"> B </w:t>
            </w:r>
            <w:r w:rsidRPr="00504499">
              <w:rPr>
                <w:color w:val="000000"/>
                <w:sz w:val="21"/>
                <w:szCs w:val="21"/>
              </w:rPr>
              <w:t>×</w:t>
            </w:r>
            <w:r w:rsidRPr="0076411D">
              <w:rPr>
                <w:color w:val="000000"/>
                <w:sz w:val="21"/>
                <w:szCs w:val="21"/>
              </w:rPr>
              <w:t xml:space="preserve"> C)</w:t>
            </w:r>
          </w:p>
        </w:tc>
        <w:tc>
          <w:tcPr>
            <w:tcW w:w="0" w:type="auto"/>
            <w:vAlign w:val="center"/>
          </w:tcPr>
          <w:p w:rsidR="00AB3547" w:rsidRPr="00B96D11" w:rsidP="00AB3547" w14:paraId="6F9F929C" w14:textId="1E966F01">
            <w:pPr>
              <w:jc w:val="center"/>
              <w:rPr>
                <w:b w:val="0"/>
                <w:bCs w:val="0"/>
                <w:color w:val="000000"/>
                <w:sz w:val="21"/>
                <w:szCs w:val="21"/>
              </w:rPr>
            </w:pPr>
            <w:r w:rsidRPr="0076411D">
              <w:rPr>
                <w:color w:val="000000"/>
                <w:sz w:val="21"/>
                <w:szCs w:val="21"/>
              </w:rPr>
              <w:t>(D)</w:t>
            </w:r>
          </w:p>
        </w:tc>
        <w:tc>
          <w:tcPr>
            <w:tcW w:w="2439" w:type="dxa"/>
            <w:vAlign w:val="center"/>
          </w:tcPr>
          <w:p w:rsidR="00AB3547" w:rsidP="00AB3547" w14:paraId="57C8681A" w14:textId="3B82CCC3">
            <w:pPr>
              <w:jc w:val="center"/>
              <w:rPr>
                <w:b w:val="0"/>
                <w:bCs w:val="0"/>
                <w:color w:val="000000"/>
                <w:sz w:val="21"/>
                <w:szCs w:val="21"/>
              </w:rPr>
            </w:pPr>
            <w:r w:rsidRPr="0076411D">
              <w:rPr>
                <w:color w:val="000000"/>
                <w:sz w:val="21"/>
                <w:szCs w:val="21"/>
              </w:rPr>
              <w:t xml:space="preserve">(A </w:t>
            </w:r>
            <w:r w:rsidRPr="00504499">
              <w:rPr>
                <w:color w:val="000000"/>
                <w:sz w:val="21"/>
                <w:szCs w:val="21"/>
              </w:rPr>
              <w:t>×</w:t>
            </w:r>
            <w:r w:rsidRPr="0076411D">
              <w:rPr>
                <w:color w:val="000000"/>
                <w:sz w:val="21"/>
                <w:szCs w:val="21"/>
              </w:rPr>
              <w:t xml:space="preserve"> B </w:t>
            </w:r>
            <w:r w:rsidRPr="00504499">
              <w:rPr>
                <w:color w:val="000000"/>
                <w:sz w:val="21"/>
                <w:szCs w:val="21"/>
              </w:rPr>
              <w:t>×</w:t>
            </w:r>
            <w:r w:rsidRPr="0076411D">
              <w:rPr>
                <w:color w:val="000000"/>
                <w:sz w:val="21"/>
                <w:szCs w:val="21"/>
              </w:rPr>
              <w:t xml:space="preserve"> C </w:t>
            </w:r>
            <w:r w:rsidRPr="00504499">
              <w:rPr>
                <w:color w:val="000000"/>
                <w:sz w:val="21"/>
                <w:szCs w:val="21"/>
              </w:rPr>
              <w:t>×</w:t>
            </w:r>
            <w:r w:rsidRPr="0076411D">
              <w:rPr>
                <w:color w:val="000000"/>
                <w:sz w:val="21"/>
                <w:szCs w:val="21"/>
              </w:rPr>
              <w:t xml:space="preserve"> D) </w:t>
            </w:r>
          </w:p>
        </w:tc>
      </w:tr>
      <w:tr w14:paraId="4B4D2F53" w14:textId="77777777" w:rsidTr="00925473">
        <w:tblPrEx>
          <w:tblW w:w="9175" w:type="dxa"/>
          <w:tblLook w:val="04A0"/>
        </w:tblPrEx>
        <w:trPr>
          <w:gridAfter w:val="6"/>
          <w:wAfter w:w="7848" w:type="dxa"/>
        </w:trPr>
        <w:tc>
          <w:tcPr>
            <w:tcW w:w="0" w:type="auto"/>
          </w:tcPr>
          <w:p w:rsidR="00B9216F" w:rsidRPr="00AC37AF" w:rsidP="00D06612" w14:paraId="66104889" w14:textId="77777777">
            <w:pPr>
              <w:rPr>
                <w:sz w:val="21"/>
                <w:szCs w:val="21"/>
              </w:rPr>
            </w:pPr>
            <w:r w:rsidRPr="00AC37AF">
              <w:rPr>
                <w:i/>
                <w:iCs/>
                <w:sz w:val="21"/>
                <w:szCs w:val="21"/>
                <w:u w:val="single"/>
              </w:rPr>
              <w:t>First Year</w:t>
            </w:r>
          </w:p>
        </w:tc>
      </w:tr>
      <w:tr w14:paraId="38D850E8" w14:textId="77777777" w:rsidTr="00925473">
        <w:tblPrEx>
          <w:tblW w:w="9175" w:type="dxa"/>
          <w:tblLook w:val="04A0"/>
        </w:tblPrEx>
        <w:tc>
          <w:tcPr>
            <w:tcW w:w="0" w:type="auto"/>
          </w:tcPr>
          <w:p w:rsidR="00C01177" w:rsidRPr="00F538AF" w:rsidP="00C01177" w14:paraId="65D8A3EA" w14:textId="33B3E3FD">
            <w:pPr>
              <w:rPr>
                <w:b w:val="0"/>
                <w:bCs w:val="0"/>
                <w:sz w:val="21"/>
                <w:szCs w:val="21"/>
              </w:rPr>
            </w:pPr>
            <w:r>
              <w:rPr>
                <w:b w:val="0"/>
                <w:bCs w:val="0"/>
                <w:sz w:val="21"/>
                <w:szCs w:val="21"/>
              </w:rPr>
              <w:t>TPAs</w:t>
            </w:r>
          </w:p>
        </w:tc>
        <w:tc>
          <w:tcPr>
            <w:tcW w:w="0" w:type="auto"/>
            <w:shd w:val="clear" w:color="auto" w:fill="auto"/>
            <w:vAlign w:val="center"/>
          </w:tcPr>
          <w:p w:rsidR="00C01177" w:rsidRPr="00C01177" w:rsidP="00C01177" w14:paraId="43154464" w14:textId="463E83DC">
            <w:pPr>
              <w:jc w:val="right"/>
              <w:rPr>
                <w:b w:val="0"/>
                <w:bCs w:val="0"/>
                <w:color w:val="000000"/>
                <w:sz w:val="22"/>
                <w:szCs w:val="22"/>
              </w:rPr>
            </w:pPr>
            <w:r w:rsidRPr="00C01177">
              <w:rPr>
                <w:b w:val="0"/>
                <w:bCs w:val="0"/>
                <w:color w:val="000000"/>
                <w:sz w:val="22"/>
                <w:szCs w:val="22"/>
              </w:rPr>
              <w:t>103</w:t>
            </w:r>
          </w:p>
        </w:tc>
        <w:tc>
          <w:tcPr>
            <w:tcW w:w="0" w:type="auto"/>
            <w:shd w:val="clear" w:color="auto" w:fill="auto"/>
            <w:vAlign w:val="bottom"/>
          </w:tcPr>
          <w:p w:rsidR="00C01177" w:rsidRPr="00C01177" w:rsidP="00C01177" w14:paraId="21ED77E3" w14:textId="55867125">
            <w:pPr>
              <w:jc w:val="right"/>
              <w:rPr>
                <w:b w:val="0"/>
                <w:bCs w:val="0"/>
                <w:color w:val="000000"/>
                <w:sz w:val="22"/>
                <w:szCs w:val="22"/>
              </w:rPr>
            </w:pPr>
            <w:r w:rsidRPr="00C01177">
              <w:rPr>
                <w:b w:val="0"/>
                <w:bCs w:val="0"/>
                <w:color w:val="000000"/>
                <w:sz w:val="22"/>
                <w:szCs w:val="22"/>
              </w:rPr>
              <w:t>10</w:t>
            </w:r>
          </w:p>
        </w:tc>
        <w:tc>
          <w:tcPr>
            <w:tcW w:w="0" w:type="auto"/>
            <w:shd w:val="clear" w:color="auto" w:fill="auto"/>
            <w:vAlign w:val="bottom"/>
          </w:tcPr>
          <w:p w:rsidR="00C01177" w:rsidRPr="00C01177" w:rsidP="00C01177" w14:paraId="2E1D04DA" w14:textId="645273B8">
            <w:pPr>
              <w:jc w:val="right"/>
              <w:rPr>
                <w:b w:val="0"/>
                <w:bCs w:val="0"/>
                <w:color w:val="000000"/>
                <w:sz w:val="22"/>
                <w:szCs w:val="22"/>
              </w:rPr>
            </w:pPr>
            <w:r w:rsidRPr="00C01177">
              <w:rPr>
                <w:b w:val="0"/>
                <w:bCs w:val="0"/>
                <w:color w:val="000000"/>
                <w:sz w:val="22"/>
                <w:szCs w:val="22"/>
              </w:rPr>
              <w:t>60</w:t>
            </w:r>
          </w:p>
        </w:tc>
        <w:tc>
          <w:tcPr>
            <w:tcW w:w="0" w:type="auto"/>
            <w:shd w:val="clear" w:color="auto" w:fill="auto"/>
            <w:vAlign w:val="bottom"/>
          </w:tcPr>
          <w:p w:rsidR="00C01177" w:rsidRPr="00C01177" w:rsidP="00C01177" w14:paraId="547714F7" w14:textId="6EF69364">
            <w:pPr>
              <w:jc w:val="right"/>
              <w:rPr>
                <w:b w:val="0"/>
                <w:bCs w:val="0"/>
                <w:color w:val="000000"/>
                <w:sz w:val="22"/>
                <w:szCs w:val="22"/>
              </w:rPr>
            </w:pPr>
            <w:r w:rsidRPr="00C01177">
              <w:rPr>
                <w:b w:val="0"/>
                <w:bCs w:val="0"/>
                <w:color w:val="000000"/>
                <w:sz w:val="22"/>
                <w:szCs w:val="22"/>
              </w:rPr>
              <w:t>61,800</w:t>
            </w:r>
          </w:p>
        </w:tc>
        <w:tc>
          <w:tcPr>
            <w:tcW w:w="0" w:type="auto"/>
            <w:shd w:val="clear" w:color="auto" w:fill="auto"/>
            <w:vAlign w:val="bottom"/>
          </w:tcPr>
          <w:p w:rsidR="00C01177" w:rsidRPr="00C01177" w:rsidP="00C01177" w14:paraId="776C22C4" w14:textId="719238A3">
            <w:pPr>
              <w:jc w:val="right"/>
              <w:rPr>
                <w:b w:val="0"/>
                <w:bCs w:val="0"/>
                <w:color w:val="000000"/>
                <w:sz w:val="22"/>
                <w:szCs w:val="22"/>
              </w:rPr>
            </w:pPr>
            <w:r w:rsidRPr="00C01177">
              <w:rPr>
                <w:b w:val="0"/>
                <w:bCs w:val="0"/>
                <w:color w:val="000000"/>
                <w:sz w:val="22"/>
                <w:szCs w:val="22"/>
              </w:rPr>
              <w:t xml:space="preserve">$167.48 </w:t>
            </w:r>
          </w:p>
        </w:tc>
        <w:tc>
          <w:tcPr>
            <w:tcW w:w="2439" w:type="dxa"/>
            <w:shd w:val="clear" w:color="auto" w:fill="auto"/>
            <w:vAlign w:val="bottom"/>
          </w:tcPr>
          <w:p w:rsidR="00C01177" w:rsidRPr="00C01177" w:rsidP="00C01177" w14:paraId="0A7EADA5" w14:textId="6871C096">
            <w:pPr>
              <w:jc w:val="right"/>
              <w:rPr>
                <w:b w:val="0"/>
                <w:bCs w:val="0"/>
                <w:color w:val="000000"/>
                <w:sz w:val="22"/>
                <w:szCs w:val="22"/>
              </w:rPr>
            </w:pPr>
            <w:r w:rsidRPr="00C01177">
              <w:rPr>
                <w:b w:val="0"/>
                <w:bCs w:val="0"/>
                <w:color w:val="000000"/>
                <w:sz w:val="22"/>
                <w:szCs w:val="22"/>
              </w:rPr>
              <w:t>$10,350,264</w:t>
            </w:r>
          </w:p>
        </w:tc>
      </w:tr>
      <w:tr w14:paraId="1B66DE83" w14:textId="77777777" w:rsidTr="00925473">
        <w:tblPrEx>
          <w:tblW w:w="9175" w:type="dxa"/>
          <w:tblLook w:val="04A0"/>
        </w:tblPrEx>
        <w:tc>
          <w:tcPr>
            <w:tcW w:w="0" w:type="auto"/>
          </w:tcPr>
          <w:p w:rsidR="00C01177" w:rsidRPr="00F538AF" w:rsidP="00C01177" w14:paraId="6B1D6994" w14:textId="4690B6DC">
            <w:pPr>
              <w:rPr>
                <w:b w:val="0"/>
                <w:bCs w:val="0"/>
                <w:sz w:val="21"/>
                <w:szCs w:val="21"/>
              </w:rPr>
            </w:pPr>
            <w:r>
              <w:rPr>
                <w:b w:val="0"/>
                <w:bCs w:val="0"/>
                <w:sz w:val="21"/>
                <w:szCs w:val="21"/>
              </w:rPr>
              <w:t>Self-funded</w:t>
            </w:r>
            <w:r w:rsidRPr="00F538AF">
              <w:rPr>
                <w:b w:val="0"/>
                <w:bCs w:val="0"/>
                <w:sz w:val="21"/>
                <w:szCs w:val="21"/>
              </w:rPr>
              <w:t xml:space="preserve"> plans with more than 500 participants that will conduct the comparative analysis themselves</w:t>
            </w:r>
          </w:p>
        </w:tc>
        <w:tc>
          <w:tcPr>
            <w:tcW w:w="0" w:type="auto"/>
            <w:shd w:val="clear" w:color="auto" w:fill="auto"/>
            <w:vAlign w:val="bottom"/>
          </w:tcPr>
          <w:p w:rsidR="00C01177" w:rsidRPr="00C01177" w:rsidP="00C01177" w14:paraId="62683837" w14:textId="731D5F89">
            <w:pPr>
              <w:jc w:val="right"/>
              <w:rPr>
                <w:b w:val="0"/>
                <w:bCs w:val="0"/>
                <w:sz w:val="21"/>
                <w:szCs w:val="21"/>
              </w:rPr>
            </w:pPr>
            <w:r w:rsidRPr="00C01177">
              <w:rPr>
                <w:b w:val="0"/>
                <w:bCs w:val="0"/>
                <w:color w:val="000000"/>
                <w:sz w:val="22"/>
                <w:szCs w:val="22"/>
              </w:rPr>
              <w:t>709</w:t>
            </w:r>
          </w:p>
        </w:tc>
        <w:tc>
          <w:tcPr>
            <w:tcW w:w="0" w:type="auto"/>
            <w:shd w:val="clear" w:color="auto" w:fill="auto"/>
            <w:vAlign w:val="bottom"/>
          </w:tcPr>
          <w:p w:rsidR="00C01177" w:rsidRPr="00C01177" w:rsidP="00C01177" w14:paraId="53419415" w14:textId="63C1F703">
            <w:pPr>
              <w:jc w:val="right"/>
              <w:rPr>
                <w:b w:val="0"/>
                <w:bCs w:val="0"/>
                <w:sz w:val="21"/>
                <w:szCs w:val="21"/>
              </w:rPr>
            </w:pPr>
            <w:r w:rsidRPr="00C01177">
              <w:rPr>
                <w:b w:val="0"/>
                <w:bCs w:val="0"/>
                <w:color w:val="000000"/>
                <w:sz w:val="22"/>
                <w:szCs w:val="22"/>
              </w:rPr>
              <w:t>10</w:t>
            </w:r>
          </w:p>
        </w:tc>
        <w:tc>
          <w:tcPr>
            <w:tcW w:w="0" w:type="auto"/>
            <w:shd w:val="clear" w:color="auto" w:fill="auto"/>
            <w:vAlign w:val="bottom"/>
          </w:tcPr>
          <w:p w:rsidR="00C01177" w:rsidRPr="00C01177" w:rsidP="00C01177" w14:paraId="15DADE5F" w14:textId="392C5909">
            <w:pPr>
              <w:jc w:val="right"/>
              <w:rPr>
                <w:b w:val="0"/>
                <w:bCs w:val="0"/>
                <w:sz w:val="21"/>
                <w:szCs w:val="21"/>
              </w:rPr>
            </w:pPr>
            <w:r w:rsidRPr="00C01177">
              <w:rPr>
                <w:b w:val="0"/>
                <w:bCs w:val="0"/>
                <w:color w:val="000000"/>
                <w:sz w:val="22"/>
                <w:szCs w:val="22"/>
              </w:rPr>
              <w:t>60</w:t>
            </w:r>
          </w:p>
        </w:tc>
        <w:tc>
          <w:tcPr>
            <w:tcW w:w="0" w:type="auto"/>
            <w:shd w:val="clear" w:color="auto" w:fill="auto"/>
            <w:vAlign w:val="bottom"/>
          </w:tcPr>
          <w:p w:rsidR="00C01177" w:rsidRPr="00C01177" w:rsidP="00C01177" w14:paraId="542E1CD7" w14:textId="14ED795A">
            <w:pPr>
              <w:jc w:val="right"/>
              <w:rPr>
                <w:b w:val="0"/>
                <w:bCs w:val="0"/>
                <w:sz w:val="21"/>
                <w:szCs w:val="21"/>
              </w:rPr>
            </w:pPr>
            <w:r w:rsidRPr="00C01177">
              <w:rPr>
                <w:b w:val="0"/>
                <w:bCs w:val="0"/>
                <w:color w:val="000000"/>
                <w:sz w:val="22"/>
                <w:szCs w:val="22"/>
              </w:rPr>
              <w:t>425,400</w:t>
            </w:r>
          </w:p>
        </w:tc>
        <w:tc>
          <w:tcPr>
            <w:tcW w:w="0" w:type="auto"/>
            <w:shd w:val="clear" w:color="auto" w:fill="auto"/>
            <w:vAlign w:val="bottom"/>
          </w:tcPr>
          <w:p w:rsidR="00C01177" w:rsidRPr="00C01177" w:rsidP="00C01177" w14:paraId="081545BE" w14:textId="621D7103">
            <w:pPr>
              <w:jc w:val="right"/>
              <w:rPr>
                <w:b w:val="0"/>
                <w:bCs w:val="0"/>
                <w:sz w:val="21"/>
                <w:szCs w:val="21"/>
              </w:rPr>
            </w:pPr>
            <w:r w:rsidRPr="00C01177">
              <w:rPr>
                <w:b w:val="0"/>
                <w:bCs w:val="0"/>
                <w:color w:val="000000"/>
                <w:sz w:val="22"/>
                <w:szCs w:val="22"/>
              </w:rPr>
              <w:t xml:space="preserve">$167.48 </w:t>
            </w:r>
          </w:p>
        </w:tc>
        <w:tc>
          <w:tcPr>
            <w:tcW w:w="2439" w:type="dxa"/>
            <w:shd w:val="clear" w:color="auto" w:fill="auto"/>
            <w:vAlign w:val="bottom"/>
          </w:tcPr>
          <w:p w:rsidR="00C01177" w:rsidRPr="00C01177" w:rsidP="00C01177" w14:paraId="33213123" w14:textId="7F2236BF">
            <w:pPr>
              <w:jc w:val="right"/>
              <w:rPr>
                <w:b w:val="0"/>
                <w:bCs w:val="0"/>
                <w:sz w:val="21"/>
                <w:szCs w:val="21"/>
              </w:rPr>
            </w:pPr>
            <w:r w:rsidRPr="00C01177">
              <w:rPr>
                <w:b w:val="0"/>
                <w:bCs w:val="0"/>
                <w:color w:val="000000"/>
                <w:sz w:val="22"/>
                <w:szCs w:val="22"/>
              </w:rPr>
              <w:t>$71,245,992</w:t>
            </w:r>
          </w:p>
        </w:tc>
      </w:tr>
      <w:tr w14:paraId="228DA653" w14:textId="77777777" w:rsidTr="00925473">
        <w:tblPrEx>
          <w:tblW w:w="9175" w:type="dxa"/>
          <w:tblLook w:val="04A0"/>
        </w:tblPrEx>
        <w:tc>
          <w:tcPr>
            <w:tcW w:w="0" w:type="auto"/>
          </w:tcPr>
          <w:p w:rsidR="00C01177" w:rsidRPr="00F538AF" w:rsidP="00C01177" w14:paraId="5473166A" w14:textId="73A44899">
            <w:pPr>
              <w:rPr>
                <w:b w:val="0"/>
                <w:bCs w:val="0"/>
                <w:sz w:val="21"/>
                <w:szCs w:val="21"/>
              </w:rPr>
            </w:pPr>
            <w:r>
              <w:rPr>
                <w:b w:val="0"/>
                <w:bCs w:val="0"/>
                <w:sz w:val="21"/>
                <w:szCs w:val="21"/>
              </w:rPr>
              <w:t>Self-funded</w:t>
            </w:r>
            <w:r w:rsidRPr="00F538AF">
              <w:rPr>
                <w:b w:val="0"/>
                <w:bCs w:val="0"/>
                <w:sz w:val="21"/>
                <w:szCs w:val="21"/>
              </w:rPr>
              <w:t xml:space="preserve"> plans with more than 500 participants that will receive generic comparative analyses from</w:t>
            </w:r>
            <w:r w:rsidR="00C042A7">
              <w:rPr>
                <w:b w:val="0"/>
                <w:bCs w:val="0"/>
                <w:sz w:val="21"/>
                <w:szCs w:val="21"/>
              </w:rPr>
              <w:t xml:space="preserve"> the</w:t>
            </w:r>
            <w:r w:rsidRPr="00F538AF">
              <w:rPr>
                <w:b w:val="0"/>
                <w:bCs w:val="0"/>
                <w:sz w:val="21"/>
                <w:szCs w:val="21"/>
              </w:rPr>
              <w:t xml:space="preserve"> </w:t>
            </w:r>
            <w:r w:rsidR="00C042A7">
              <w:rPr>
                <w:b w:val="0"/>
                <w:bCs w:val="0"/>
                <w:sz w:val="21"/>
                <w:szCs w:val="21"/>
              </w:rPr>
              <w:t>TPA</w:t>
            </w:r>
            <w:r w:rsidRPr="00F538AF">
              <w:rPr>
                <w:b w:val="0"/>
                <w:bCs w:val="0"/>
                <w:sz w:val="21"/>
                <w:szCs w:val="21"/>
              </w:rPr>
              <w:t>, and will then customize it</w:t>
            </w:r>
          </w:p>
        </w:tc>
        <w:tc>
          <w:tcPr>
            <w:tcW w:w="0" w:type="auto"/>
            <w:shd w:val="clear" w:color="auto" w:fill="auto"/>
            <w:vAlign w:val="bottom"/>
          </w:tcPr>
          <w:p w:rsidR="00C01177" w:rsidRPr="00C01177" w:rsidP="00C01177" w14:paraId="5E2FBDA4" w14:textId="0503D6B1">
            <w:pPr>
              <w:jc w:val="right"/>
              <w:rPr>
                <w:b w:val="0"/>
                <w:bCs w:val="0"/>
                <w:sz w:val="21"/>
                <w:szCs w:val="21"/>
              </w:rPr>
            </w:pPr>
            <w:r w:rsidRPr="00C01177">
              <w:rPr>
                <w:b w:val="0"/>
                <w:bCs w:val="0"/>
                <w:color w:val="000000"/>
                <w:sz w:val="22"/>
                <w:szCs w:val="22"/>
              </w:rPr>
              <w:t>4,076</w:t>
            </w:r>
          </w:p>
        </w:tc>
        <w:tc>
          <w:tcPr>
            <w:tcW w:w="0" w:type="auto"/>
            <w:shd w:val="clear" w:color="auto" w:fill="auto"/>
            <w:vAlign w:val="bottom"/>
          </w:tcPr>
          <w:p w:rsidR="00C01177" w:rsidRPr="00C01177" w:rsidP="00C01177" w14:paraId="688B3450" w14:textId="3A62B925">
            <w:pPr>
              <w:jc w:val="right"/>
              <w:rPr>
                <w:b w:val="0"/>
                <w:bCs w:val="0"/>
                <w:sz w:val="21"/>
                <w:szCs w:val="21"/>
              </w:rPr>
            </w:pPr>
            <w:r w:rsidRPr="00C01177">
              <w:rPr>
                <w:b w:val="0"/>
                <w:bCs w:val="0"/>
                <w:color w:val="000000"/>
                <w:sz w:val="22"/>
                <w:szCs w:val="22"/>
              </w:rPr>
              <w:t>10</w:t>
            </w:r>
          </w:p>
        </w:tc>
        <w:tc>
          <w:tcPr>
            <w:tcW w:w="0" w:type="auto"/>
            <w:shd w:val="clear" w:color="auto" w:fill="auto"/>
            <w:vAlign w:val="bottom"/>
          </w:tcPr>
          <w:p w:rsidR="00C01177" w:rsidRPr="00C01177" w:rsidP="00C01177" w14:paraId="3F62C4F1" w14:textId="6DC2837B">
            <w:pPr>
              <w:jc w:val="right"/>
              <w:rPr>
                <w:b w:val="0"/>
                <w:bCs w:val="0"/>
                <w:sz w:val="21"/>
                <w:szCs w:val="21"/>
              </w:rPr>
            </w:pPr>
            <w:r w:rsidRPr="00C01177">
              <w:rPr>
                <w:b w:val="0"/>
                <w:bCs w:val="0"/>
                <w:color w:val="000000"/>
                <w:sz w:val="22"/>
                <w:szCs w:val="22"/>
              </w:rPr>
              <w:t>30</w:t>
            </w:r>
          </w:p>
        </w:tc>
        <w:tc>
          <w:tcPr>
            <w:tcW w:w="0" w:type="auto"/>
            <w:shd w:val="clear" w:color="auto" w:fill="auto"/>
            <w:vAlign w:val="bottom"/>
          </w:tcPr>
          <w:p w:rsidR="00C01177" w:rsidRPr="00C01177" w:rsidP="00C01177" w14:paraId="2C8A4498" w14:textId="21E84F0C">
            <w:pPr>
              <w:jc w:val="right"/>
              <w:rPr>
                <w:b w:val="0"/>
                <w:bCs w:val="0"/>
                <w:sz w:val="21"/>
                <w:szCs w:val="21"/>
              </w:rPr>
            </w:pPr>
            <w:r w:rsidRPr="00C01177">
              <w:rPr>
                <w:b w:val="0"/>
                <w:bCs w:val="0"/>
                <w:color w:val="000000"/>
                <w:sz w:val="22"/>
                <w:szCs w:val="22"/>
              </w:rPr>
              <w:t>1,222,800</w:t>
            </w:r>
          </w:p>
        </w:tc>
        <w:tc>
          <w:tcPr>
            <w:tcW w:w="0" w:type="auto"/>
            <w:shd w:val="clear" w:color="auto" w:fill="auto"/>
            <w:vAlign w:val="bottom"/>
          </w:tcPr>
          <w:p w:rsidR="00C01177" w:rsidRPr="00C01177" w:rsidP="00C01177" w14:paraId="4F765548" w14:textId="2A7C9C79">
            <w:pPr>
              <w:jc w:val="right"/>
              <w:rPr>
                <w:b w:val="0"/>
                <w:bCs w:val="0"/>
                <w:sz w:val="21"/>
                <w:szCs w:val="21"/>
              </w:rPr>
            </w:pPr>
            <w:r w:rsidRPr="00C01177">
              <w:rPr>
                <w:b w:val="0"/>
                <w:bCs w:val="0"/>
                <w:color w:val="000000"/>
                <w:sz w:val="22"/>
                <w:szCs w:val="22"/>
              </w:rPr>
              <w:t xml:space="preserve">$167.48 </w:t>
            </w:r>
          </w:p>
        </w:tc>
        <w:tc>
          <w:tcPr>
            <w:tcW w:w="2439" w:type="dxa"/>
            <w:shd w:val="clear" w:color="auto" w:fill="auto"/>
            <w:vAlign w:val="bottom"/>
          </w:tcPr>
          <w:p w:rsidR="00C01177" w:rsidRPr="00C01177" w:rsidP="00C01177" w14:paraId="09B291BD" w14:textId="4D357457">
            <w:pPr>
              <w:jc w:val="right"/>
              <w:rPr>
                <w:b w:val="0"/>
                <w:bCs w:val="0"/>
                <w:sz w:val="21"/>
                <w:szCs w:val="21"/>
              </w:rPr>
            </w:pPr>
            <w:r w:rsidRPr="00C01177">
              <w:rPr>
                <w:b w:val="0"/>
                <w:bCs w:val="0"/>
                <w:color w:val="000000"/>
                <w:sz w:val="22"/>
                <w:szCs w:val="22"/>
              </w:rPr>
              <w:t>$204,794,544</w:t>
            </w:r>
          </w:p>
        </w:tc>
      </w:tr>
      <w:tr w14:paraId="139DDF6B" w14:textId="77777777" w:rsidTr="00925473">
        <w:tblPrEx>
          <w:tblW w:w="9175" w:type="dxa"/>
          <w:tblLook w:val="04A0"/>
        </w:tblPrEx>
        <w:tc>
          <w:tcPr>
            <w:tcW w:w="0" w:type="auto"/>
            <w:vAlign w:val="bottom"/>
          </w:tcPr>
          <w:p w:rsidR="00C01177" w:rsidRPr="00F538AF" w:rsidP="00C01177" w14:paraId="2F328D81" w14:textId="77777777">
            <w:pPr>
              <w:rPr>
                <w:b w:val="0"/>
                <w:bCs w:val="0"/>
                <w:sz w:val="21"/>
                <w:szCs w:val="21"/>
              </w:rPr>
            </w:pPr>
            <w:r w:rsidRPr="00F538AF">
              <w:rPr>
                <w:b w:val="0"/>
                <w:bCs w:val="0"/>
                <w:sz w:val="21"/>
                <w:szCs w:val="21"/>
              </w:rPr>
              <w:t xml:space="preserve">Plan MEWAs that are not fully insured </w:t>
            </w:r>
          </w:p>
        </w:tc>
        <w:tc>
          <w:tcPr>
            <w:tcW w:w="0" w:type="auto"/>
            <w:shd w:val="clear" w:color="auto" w:fill="auto"/>
            <w:vAlign w:val="bottom"/>
          </w:tcPr>
          <w:p w:rsidR="00C01177" w:rsidRPr="00C01177" w:rsidP="00C01177" w14:paraId="416B4F0D" w14:textId="705169DD">
            <w:pPr>
              <w:jc w:val="right"/>
              <w:rPr>
                <w:b w:val="0"/>
                <w:bCs w:val="0"/>
                <w:sz w:val="21"/>
                <w:szCs w:val="21"/>
              </w:rPr>
            </w:pPr>
            <w:r w:rsidRPr="00C01177">
              <w:rPr>
                <w:b w:val="0"/>
                <w:bCs w:val="0"/>
                <w:color w:val="000000"/>
                <w:sz w:val="22"/>
                <w:szCs w:val="22"/>
              </w:rPr>
              <w:t>132</w:t>
            </w:r>
          </w:p>
        </w:tc>
        <w:tc>
          <w:tcPr>
            <w:tcW w:w="0" w:type="auto"/>
            <w:shd w:val="clear" w:color="auto" w:fill="auto"/>
            <w:vAlign w:val="bottom"/>
          </w:tcPr>
          <w:p w:rsidR="00C01177" w:rsidRPr="00C01177" w:rsidP="00C01177" w14:paraId="4CC4809C" w14:textId="725ADFE2">
            <w:pPr>
              <w:jc w:val="right"/>
              <w:rPr>
                <w:b w:val="0"/>
                <w:bCs w:val="0"/>
                <w:sz w:val="21"/>
                <w:szCs w:val="21"/>
              </w:rPr>
            </w:pPr>
            <w:r w:rsidRPr="00C01177">
              <w:rPr>
                <w:b w:val="0"/>
                <w:bCs w:val="0"/>
                <w:color w:val="000000"/>
                <w:sz w:val="22"/>
                <w:szCs w:val="22"/>
              </w:rPr>
              <w:t>10</w:t>
            </w:r>
          </w:p>
        </w:tc>
        <w:tc>
          <w:tcPr>
            <w:tcW w:w="0" w:type="auto"/>
            <w:shd w:val="clear" w:color="auto" w:fill="auto"/>
            <w:vAlign w:val="bottom"/>
          </w:tcPr>
          <w:p w:rsidR="00C01177" w:rsidRPr="00C01177" w:rsidP="00C01177" w14:paraId="2986C72D" w14:textId="318DB965">
            <w:pPr>
              <w:jc w:val="right"/>
              <w:rPr>
                <w:b w:val="0"/>
                <w:bCs w:val="0"/>
                <w:sz w:val="21"/>
                <w:szCs w:val="21"/>
              </w:rPr>
            </w:pPr>
            <w:r w:rsidRPr="00C01177">
              <w:rPr>
                <w:b w:val="0"/>
                <w:bCs w:val="0"/>
                <w:color w:val="000000"/>
                <w:sz w:val="22"/>
                <w:szCs w:val="22"/>
              </w:rPr>
              <w:t>60</w:t>
            </w:r>
          </w:p>
        </w:tc>
        <w:tc>
          <w:tcPr>
            <w:tcW w:w="0" w:type="auto"/>
            <w:shd w:val="clear" w:color="auto" w:fill="auto"/>
            <w:vAlign w:val="bottom"/>
          </w:tcPr>
          <w:p w:rsidR="00C01177" w:rsidRPr="00C01177" w:rsidP="00C01177" w14:paraId="6B889C40" w14:textId="295BC4F0">
            <w:pPr>
              <w:jc w:val="right"/>
              <w:rPr>
                <w:b w:val="0"/>
                <w:bCs w:val="0"/>
                <w:sz w:val="21"/>
                <w:szCs w:val="21"/>
              </w:rPr>
            </w:pPr>
            <w:r w:rsidRPr="00C01177">
              <w:rPr>
                <w:b w:val="0"/>
                <w:bCs w:val="0"/>
                <w:color w:val="000000"/>
                <w:sz w:val="22"/>
                <w:szCs w:val="22"/>
              </w:rPr>
              <w:t>79,200</w:t>
            </w:r>
          </w:p>
        </w:tc>
        <w:tc>
          <w:tcPr>
            <w:tcW w:w="0" w:type="auto"/>
            <w:shd w:val="clear" w:color="auto" w:fill="auto"/>
            <w:vAlign w:val="bottom"/>
          </w:tcPr>
          <w:p w:rsidR="00C01177" w:rsidRPr="00C01177" w:rsidP="00C01177" w14:paraId="72DF2A6C" w14:textId="2D492978">
            <w:pPr>
              <w:jc w:val="right"/>
              <w:rPr>
                <w:b w:val="0"/>
                <w:bCs w:val="0"/>
                <w:sz w:val="21"/>
                <w:szCs w:val="21"/>
              </w:rPr>
            </w:pPr>
            <w:r w:rsidRPr="00C01177">
              <w:rPr>
                <w:b w:val="0"/>
                <w:bCs w:val="0"/>
                <w:color w:val="000000"/>
                <w:sz w:val="22"/>
                <w:szCs w:val="22"/>
              </w:rPr>
              <w:t xml:space="preserve">$167.48 </w:t>
            </w:r>
          </w:p>
        </w:tc>
        <w:tc>
          <w:tcPr>
            <w:tcW w:w="2439" w:type="dxa"/>
            <w:shd w:val="clear" w:color="auto" w:fill="auto"/>
            <w:vAlign w:val="bottom"/>
          </w:tcPr>
          <w:p w:rsidR="00C01177" w:rsidRPr="00C01177" w:rsidP="00C01177" w14:paraId="766B7614" w14:textId="30773394">
            <w:pPr>
              <w:jc w:val="right"/>
              <w:rPr>
                <w:b w:val="0"/>
                <w:bCs w:val="0"/>
                <w:sz w:val="21"/>
                <w:szCs w:val="21"/>
              </w:rPr>
            </w:pPr>
            <w:r w:rsidRPr="00C01177">
              <w:rPr>
                <w:b w:val="0"/>
                <w:bCs w:val="0"/>
                <w:color w:val="000000"/>
                <w:sz w:val="22"/>
                <w:szCs w:val="22"/>
              </w:rPr>
              <w:t>$13,264,416</w:t>
            </w:r>
          </w:p>
        </w:tc>
      </w:tr>
      <w:tr w14:paraId="5C3D0D99" w14:textId="77777777" w:rsidTr="00925473">
        <w:tblPrEx>
          <w:tblW w:w="9175" w:type="dxa"/>
          <w:tblLook w:val="04A0"/>
        </w:tblPrEx>
        <w:tc>
          <w:tcPr>
            <w:tcW w:w="0" w:type="auto"/>
            <w:vAlign w:val="bottom"/>
          </w:tcPr>
          <w:p w:rsidR="00C01177" w:rsidRPr="00F538AF" w:rsidP="00C01177" w14:paraId="2A90D2FB" w14:textId="77777777">
            <w:pPr>
              <w:rPr>
                <w:b w:val="0"/>
                <w:bCs w:val="0"/>
                <w:sz w:val="21"/>
                <w:szCs w:val="21"/>
              </w:rPr>
            </w:pPr>
            <w:r w:rsidRPr="00F538AF">
              <w:rPr>
                <w:b w:val="0"/>
                <w:bCs w:val="0"/>
                <w:sz w:val="21"/>
                <w:szCs w:val="21"/>
              </w:rPr>
              <w:t>Non-Plan MEWAs that are not fully insured</w:t>
            </w:r>
          </w:p>
        </w:tc>
        <w:tc>
          <w:tcPr>
            <w:tcW w:w="0" w:type="auto"/>
            <w:shd w:val="clear" w:color="auto" w:fill="auto"/>
            <w:vAlign w:val="bottom"/>
          </w:tcPr>
          <w:p w:rsidR="00C01177" w:rsidRPr="00C01177" w:rsidP="00C01177" w14:paraId="10FAA920" w14:textId="40F29259">
            <w:pPr>
              <w:jc w:val="right"/>
              <w:rPr>
                <w:b w:val="0"/>
                <w:bCs w:val="0"/>
                <w:sz w:val="21"/>
                <w:szCs w:val="21"/>
              </w:rPr>
            </w:pPr>
            <w:r w:rsidRPr="00C01177">
              <w:rPr>
                <w:b w:val="0"/>
                <w:bCs w:val="0"/>
                <w:color w:val="000000"/>
                <w:sz w:val="22"/>
                <w:szCs w:val="22"/>
              </w:rPr>
              <w:t>21</w:t>
            </w:r>
          </w:p>
        </w:tc>
        <w:tc>
          <w:tcPr>
            <w:tcW w:w="0" w:type="auto"/>
            <w:shd w:val="clear" w:color="auto" w:fill="auto"/>
            <w:vAlign w:val="bottom"/>
          </w:tcPr>
          <w:p w:rsidR="00C01177" w:rsidRPr="00C01177" w:rsidP="00C01177" w14:paraId="7B36DE1A" w14:textId="59E6F0CB">
            <w:pPr>
              <w:jc w:val="right"/>
              <w:rPr>
                <w:b w:val="0"/>
                <w:bCs w:val="0"/>
                <w:sz w:val="21"/>
                <w:szCs w:val="21"/>
              </w:rPr>
            </w:pPr>
            <w:r w:rsidRPr="00C01177">
              <w:rPr>
                <w:b w:val="0"/>
                <w:bCs w:val="0"/>
                <w:color w:val="000000"/>
                <w:sz w:val="22"/>
                <w:szCs w:val="22"/>
              </w:rPr>
              <w:t>10</w:t>
            </w:r>
          </w:p>
        </w:tc>
        <w:tc>
          <w:tcPr>
            <w:tcW w:w="0" w:type="auto"/>
            <w:shd w:val="clear" w:color="auto" w:fill="auto"/>
            <w:vAlign w:val="bottom"/>
          </w:tcPr>
          <w:p w:rsidR="00C01177" w:rsidRPr="00C01177" w:rsidP="00C01177" w14:paraId="02F39578" w14:textId="0B680F7F">
            <w:pPr>
              <w:jc w:val="right"/>
              <w:rPr>
                <w:b w:val="0"/>
                <w:bCs w:val="0"/>
                <w:sz w:val="21"/>
                <w:szCs w:val="21"/>
              </w:rPr>
            </w:pPr>
            <w:r w:rsidRPr="00C01177">
              <w:rPr>
                <w:b w:val="0"/>
                <w:bCs w:val="0"/>
                <w:color w:val="000000"/>
                <w:sz w:val="22"/>
                <w:szCs w:val="22"/>
              </w:rPr>
              <w:t>60</w:t>
            </w:r>
          </w:p>
        </w:tc>
        <w:tc>
          <w:tcPr>
            <w:tcW w:w="0" w:type="auto"/>
            <w:shd w:val="clear" w:color="auto" w:fill="auto"/>
            <w:vAlign w:val="bottom"/>
          </w:tcPr>
          <w:p w:rsidR="00C01177" w:rsidRPr="00C01177" w:rsidP="00C01177" w14:paraId="520EAFA1" w14:textId="23C113E2">
            <w:pPr>
              <w:jc w:val="right"/>
              <w:rPr>
                <w:b w:val="0"/>
                <w:bCs w:val="0"/>
                <w:sz w:val="21"/>
                <w:szCs w:val="21"/>
              </w:rPr>
            </w:pPr>
            <w:r w:rsidRPr="00C01177">
              <w:rPr>
                <w:b w:val="0"/>
                <w:bCs w:val="0"/>
                <w:color w:val="000000"/>
                <w:sz w:val="22"/>
                <w:szCs w:val="22"/>
              </w:rPr>
              <w:t>12,600</w:t>
            </w:r>
          </w:p>
        </w:tc>
        <w:tc>
          <w:tcPr>
            <w:tcW w:w="0" w:type="auto"/>
            <w:shd w:val="clear" w:color="auto" w:fill="auto"/>
            <w:vAlign w:val="bottom"/>
          </w:tcPr>
          <w:p w:rsidR="00C01177" w:rsidRPr="00C01177" w:rsidP="00C01177" w14:paraId="18749B31" w14:textId="30D6448F">
            <w:pPr>
              <w:jc w:val="right"/>
              <w:rPr>
                <w:b w:val="0"/>
                <w:bCs w:val="0"/>
                <w:sz w:val="21"/>
                <w:szCs w:val="21"/>
              </w:rPr>
            </w:pPr>
            <w:r w:rsidRPr="00C01177">
              <w:rPr>
                <w:b w:val="0"/>
                <w:bCs w:val="0"/>
                <w:color w:val="000000"/>
                <w:sz w:val="22"/>
                <w:szCs w:val="22"/>
              </w:rPr>
              <w:t xml:space="preserve">$167.48 </w:t>
            </w:r>
          </w:p>
        </w:tc>
        <w:tc>
          <w:tcPr>
            <w:tcW w:w="2439" w:type="dxa"/>
            <w:shd w:val="clear" w:color="auto" w:fill="auto"/>
            <w:vAlign w:val="bottom"/>
          </w:tcPr>
          <w:p w:rsidR="00C01177" w:rsidRPr="00C01177" w:rsidP="00C01177" w14:paraId="4C726943" w14:textId="4D98F418">
            <w:pPr>
              <w:jc w:val="right"/>
              <w:rPr>
                <w:b w:val="0"/>
                <w:bCs w:val="0"/>
                <w:sz w:val="21"/>
                <w:szCs w:val="21"/>
              </w:rPr>
            </w:pPr>
            <w:r w:rsidRPr="00C01177">
              <w:rPr>
                <w:b w:val="0"/>
                <w:bCs w:val="0"/>
                <w:color w:val="000000"/>
                <w:sz w:val="22"/>
                <w:szCs w:val="22"/>
              </w:rPr>
              <w:t>$2,110,248</w:t>
            </w:r>
          </w:p>
        </w:tc>
      </w:tr>
      <w:tr w14:paraId="06E78319" w14:textId="77777777" w:rsidTr="00925473">
        <w:tblPrEx>
          <w:tblW w:w="9175" w:type="dxa"/>
          <w:tblLook w:val="04A0"/>
        </w:tblPrEx>
        <w:trPr>
          <w:trHeight w:val="306"/>
        </w:trPr>
        <w:tc>
          <w:tcPr>
            <w:tcW w:w="0" w:type="auto"/>
            <w:vAlign w:val="bottom"/>
          </w:tcPr>
          <w:p w:rsidR="00C01177" w:rsidRPr="00F538AF" w:rsidP="00C01177" w14:paraId="2D3F93C1" w14:textId="77777777">
            <w:pPr>
              <w:rPr>
                <w:sz w:val="21"/>
                <w:szCs w:val="21"/>
              </w:rPr>
            </w:pPr>
            <w:r w:rsidRPr="00BD538E">
              <w:rPr>
                <w:sz w:val="21"/>
                <w:szCs w:val="21"/>
              </w:rPr>
              <w:t xml:space="preserve">First-year Total </w:t>
            </w:r>
          </w:p>
        </w:tc>
        <w:tc>
          <w:tcPr>
            <w:tcW w:w="0" w:type="auto"/>
            <w:shd w:val="clear" w:color="auto" w:fill="auto"/>
            <w:vAlign w:val="bottom"/>
          </w:tcPr>
          <w:p w:rsidR="00C01177" w:rsidRPr="00C01177" w:rsidP="00C01177" w14:paraId="7B141F89" w14:textId="47966E5C">
            <w:pPr>
              <w:jc w:val="right"/>
              <w:rPr>
                <w:sz w:val="21"/>
                <w:szCs w:val="21"/>
              </w:rPr>
            </w:pPr>
            <w:r w:rsidRPr="00C01177">
              <w:rPr>
                <w:color w:val="000000"/>
                <w:sz w:val="22"/>
                <w:szCs w:val="22"/>
              </w:rPr>
              <w:t>5,041</w:t>
            </w:r>
          </w:p>
        </w:tc>
        <w:tc>
          <w:tcPr>
            <w:tcW w:w="0" w:type="auto"/>
            <w:shd w:val="clear" w:color="auto" w:fill="auto"/>
            <w:vAlign w:val="bottom"/>
          </w:tcPr>
          <w:p w:rsidR="00C01177" w:rsidRPr="00C01177" w:rsidP="00C01177" w14:paraId="4E0AD576" w14:textId="40145C52">
            <w:pPr>
              <w:jc w:val="right"/>
              <w:rPr>
                <w:sz w:val="21"/>
                <w:szCs w:val="21"/>
              </w:rPr>
            </w:pPr>
            <w:r w:rsidRPr="00C01177">
              <w:rPr>
                <w:color w:val="000000"/>
                <w:sz w:val="22"/>
                <w:szCs w:val="22"/>
              </w:rPr>
              <w:t>-</w:t>
            </w:r>
          </w:p>
        </w:tc>
        <w:tc>
          <w:tcPr>
            <w:tcW w:w="0" w:type="auto"/>
            <w:shd w:val="clear" w:color="auto" w:fill="auto"/>
            <w:vAlign w:val="bottom"/>
          </w:tcPr>
          <w:p w:rsidR="00C01177" w:rsidRPr="00C01177" w:rsidP="00C01177" w14:paraId="10ABF21A" w14:textId="29417218">
            <w:pPr>
              <w:jc w:val="right"/>
              <w:rPr>
                <w:sz w:val="21"/>
                <w:szCs w:val="21"/>
              </w:rPr>
            </w:pPr>
            <w:r w:rsidRPr="00C01177">
              <w:rPr>
                <w:color w:val="000000"/>
                <w:sz w:val="22"/>
                <w:szCs w:val="22"/>
              </w:rPr>
              <w:t>-</w:t>
            </w:r>
          </w:p>
        </w:tc>
        <w:tc>
          <w:tcPr>
            <w:tcW w:w="0" w:type="auto"/>
            <w:shd w:val="clear" w:color="auto" w:fill="auto"/>
            <w:vAlign w:val="bottom"/>
          </w:tcPr>
          <w:p w:rsidR="00C01177" w:rsidRPr="00C01177" w:rsidP="00BB6CCD" w14:paraId="7E3300BD" w14:textId="023844ED">
            <w:pPr>
              <w:jc w:val="center"/>
              <w:rPr>
                <w:sz w:val="21"/>
                <w:szCs w:val="21"/>
              </w:rPr>
            </w:pPr>
            <w:r>
              <w:rPr>
                <w:color w:val="000000"/>
                <w:sz w:val="22"/>
                <w:szCs w:val="22"/>
              </w:rPr>
              <w:t xml:space="preserve"> </w:t>
            </w:r>
            <w:r w:rsidRPr="00C01177">
              <w:rPr>
                <w:color w:val="000000"/>
                <w:sz w:val="22"/>
                <w:szCs w:val="22"/>
              </w:rPr>
              <w:t>1,801,800</w:t>
            </w:r>
          </w:p>
        </w:tc>
        <w:tc>
          <w:tcPr>
            <w:tcW w:w="0" w:type="auto"/>
            <w:shd w:val="clear" w:color="auto" w:fill="auto"/>
            <w:vAlign w:val="bottom"/>
          </w:tcPr>
          <w:p w:rsidR="00C01177" w:rsidRPr="00C01177" w:rsidP="00BB6CCD" w14:paraId="05B04AD9" w14:textId="53050669">
            <w:pPr>
              <w:jc w:val="center"/>
              <w:rPr>
                <w:sz w:val="21"/>
                <w:szCs w:val="21"/>
              </w:rPr>
            </w:pPr>
            <w:r w:rsidRPr="00C01177">
              <w:rPr>
                <w:color w:val="000000"/>
                <w:sz w:val="22"/>
                <w:szCs w:val="22"/>
              </w:rPr>
              <w:t>-</w:t>
            </w:r>
          </w:p>
        </w:tc>
        <w:tc>
          <w:tcPr>
            <w:tcW w:w="2439" w:type="dxa"/>
            <w:shd w:val="clear" w:color="auto" w:fill="auto"/>
            <w:vAlign w:val="bottom"/>
          </w:tcPr>
          <w:p w:rsidR="00C01177" w:rsidRPr="00C01177" w:rsidP="00BB6CCD" w14:paraId="573427CB" w14:textId="2C987671">
            <w:pPr>
              <w:jc w:val="center"/>
              <w:rPr>
                <w:sz w:val="21"/>
                <w:szCs w:val="21"/>
              </w:rPr>
            </w:pPr>
            <w:r>
              <w:rPr>
                <w:color w:val="000000"/>
                <w:sz w:val="22"/>
                <w:szCs w:val="22"/>
              </w:rPr>
              <w:t xml:space="preserve"> </w:t>
            </w:r>
            <w:r w:rsidR="00BB6CCD">
              <w:rPr>
                <w:color w:val="000000"/>
                <w:sz w:val="22"/>
                <w:szCs w:val="22"/>
              </w:rPr>
              <w:t xml:space="preserve"> </w:t>
            </w:r>
            <w:r w:rsidRPr="00C01177">
              <w:rPr>
                <w:color w:val="000000"/>
                <w:sz w:val="22"/>
                <w:szCs w:val="22"/>
              </w:rPr>
              <w:t>$301,765,464</w:t>
            </w:r>
          </w:p>
        </w:tc>
      </w:tr>
      <w:tr w14:paraId="52D5CD33" w14:textId="77777777" w:rsidTr="00925473">
        <w:tblPrEx>
          <w:tblW w:w="9175" w:type="dxa"/>
          <w:tblLook w:val="04A0"/>
        </w:tblPrEx>
        <w:tc>
          <w:tcPr>
            <w:tcW w:w="9175" w:type="dxa"/>
            <w:gridSpan w:val="7"/>
            <w:vAlign w:val="bottom"/>
          </w:tcPr>
          <w:p w:rsidR="004B6EA0" w:rsidRPr="00925473" w:rsidP="00925473" w14:paraId="1C21AC25" w14:textId="4E22E058">
            <w:pPr>
              <w:rPr>
                <w:i/>
                <w:iCs/>
                <w:color w:val="000000"/>
                <w:sz w:val="22"/>
                <w:szCs w:val="22"/>
                <w:u w:val="single"/>
              </w:rPr>
            </w:pPr>
            <w:r w:rsidRPr="00925473">
              <w:rPr>
                <w:i/>
                <w:iCs/>
                <w:color w:val="000000"/>
                <w:sz w:val="22"/>
                <w:szCs w:val="22"/>
                <w:u w:val="single"/>
              </w:rPr>
              <w:t>Subsequent Years</w:t>
            </w:r>
          </w:p>
        </w:tc>
      </w:tr>
      <w:tr w14:paraId="5D283F93" w14:textId="77777777" w:rsidTr="00925473">
        <w:tblPrEx>
          <w:tblW w:w="9175" w:type="dxa"/>
          <w:tblLook w:val="04A0"/>
        </w:tblPrEx>
        <w:tc>
          <w:tcPr>
            <w:tcW w:w="0" w:type="auto"/>
            <w:vAlign w:val="bottom"/>
          </w:tcPr>
          <w:p w:rsidR="00FD5BD8" w:rsidRPr="00F538AF" w:rsidP="00FD5BD8" w14:paraId="38A7595C" w14:textId="4957B028">
            <w:pPr>
              <w:rPr>
                <w:b w:val="0"/>
                <w:bCs w:val="0"/>
                <w:sz w:val="21"/>
                <w:szCs w:val="21"/>
              </w:rPr>
            </w:pPr>
            <w:r>
              <w:rPr>
                <w:b w:val="0"/>
                <w:bCs w:val="0"/>
                <w:sz w:val="21"/>
                <w:szCs w:val="21"/>
              </w:rPr>
              <w:t>TPAs</w:t>
            </w:r>
          </w:p>
        </w:tc>
        <w:tc>
          <w:tcPr>
            <w:tcW w:w="0" w:type="auto"/>
            <w:shd w:val="clear" w:color="auto" w:fill="auto"/>
            <w:vAlign w:val="bottom"/>
          </w:tcPr>
          <w:p w:rsidR="00FD5BD8" w:rsidRPr="00A40257" w:rsidP="00FD5BD8" w14:paraId="071BE65B" w14:textId="1EF96FA4">
            <w:pPr>
              <w:jc w:val="right"/>
              <w:rPr>
                <w:b w:val="0"/>
                <w:bCs w:val="0"/>
                <w:color w:val="000000"/>
                <w:sz w:val="22"/>
                <w:szCs w:val="22"/>
              </w:rPr>
            </w:pPr>
            <w:r w:rsidRPr="00A40257">
              <w:rPr>
                <w:b w:val="0"/>
                <w:bCs w:val="0"/>
                <w:color w:val="000000"/>
                <w:sz w:val="22"/>
                <w:szCs w:val="22"/>
              </w:rPr>
              <w:t>103</w:t>
            </w:r>
          </w:p>
        </w:tc>
        <w:tc>
          <w:tcPr>
            <w:tcW w:w="0" w:type="auto"/>
            <w:shd w:val="clear" w:color="auto" w:fill="auto"/>
            <w:vAlign w:val="bottom"/>
          </w:tcPr>
          <w:p w:rsidR="00FD5BD8" w:rsidRPr="00A40257" w:rsidP="00FD5BD8" w14:paraId="5460F2EB" w14:textId="49D4FDEC">
            <w:pPr>
              <w:jc w:val="right"/>
              <w:rPr>
                <w:b w:val="0"/>
                <w:bCs w:val="0"/>
                <w:color w:val="000000"/>
                <w:sz w:val="22"/>
                <w:szCs w:val="22"/>
              </w:rPr>
            </w:pPr>
            <w:r w:rsidRPr="00A40257">
              <w:rPr>
                <w:b w:val="0"/>
                <w:bCs w:val="0"/>
                <w:color w:val="000000"/>
                <w:sz w:val="22"/>
                <w:szCs w:val="22"/>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D5BD8" w:rsidRPr="00FD5BD8" w:rsidP="00FD5BD8" w14:paraId="2654149D" w14:textId="61492E1A">
            <w:pPr>
              <w:jc w:val="right"/>
              <w:rPr>
                <w:b w:val="0"/>
                <w:bCs w:val="0"/>
                <w:color w:val="000000"/>
                <w:sz w:val="22"/>
                <w:szCs w:val="22"/>
              </w:rPr>
            </w:pPr>
            <w:r w:rsidRPr="00FD5BD8">
              <w:rPr>
                <w:b w:val="0"/>
                <w:bCs w:val="0"/>
                <w:color w:val="000000"/>
                <w:sz w:val="22"/>
                <w:szCs w:val="22"/>
              </w:rPr>
              <w:t>12</w:t>
            </w:r>
          </w:p>
        </w:tc>
        <w:tc>
          <w:tcPr>
            <w:tcW w:w="0" w:type="auto"/>
            <w:tcBorders>
              <w:top w:val="single" w:sz="4" w:space="0" w:color="auto"/>
              <w:left w:val="nil"/>
              <w:bottom w:val="single" w:sz="4" w:space="0" w:color="auto"/>
              <w:right w:val="single" w:sz="4" w:space="0" w:color="auto"/>
            </w:tcBorders>
            <w:shd w:val="clear" w:color="auto" w:fill="auto"/>
            <w:vAlign w:val="bottom"/>
          </w:tcPr>
          <w:p w:rsidR="00FD5BD8" w:rsidRPr="00FD5BD8" w:rsidP="00FD5BD8" w14:paraId="70C3E134" w14:textId="28D2791B">
            <w:pPr>
              <w:jc w:val="right"/>
              <w:rPr>
                <w:b w:val="0"/>
                <w:bCs w:val="0"/>
                <w:color w:val="000000"/>
                <w:sz w:val="22"/>
                <w:szCs w:val="22"/>
              </w:rPr>
            </w:pPr>
            <w:r w:rsidRPr="00FD5BD8">
              <w:rPr>
                <w:b w:val="0"/>
                <w:bCs w:val="0"/>
                <w:color w:val="000000"/>
                <w:sz w:val="22"/>
                <w:szCs w:val="22"/>
              </w:rPr>
              <w:t>12,360</w:t>
            </w:r>
          </w:p>
        </w:tc>
        <w:tc>
          <w:tcPr>
            <w:tcW w:w="0" w:type="auto"/>
            <w:tcBorders>
              <w:top w:val="single" w:sz="4" w:space="0" w:color="auto"/>
              <w:left w:val="nil"/>
              <w:bottom w:val="single" w:sz="4" w:space="0" w:color="auto"/>
              <w:right w:val="nil"/>
            </w:tcBorders>
            <w:shd w:val="clear" w:color="auto" w:fill="auto"/>
            <w:vAlign w:val="bottom"/>
          </w:tcPr>
          <w:p w:rsidR="00FD5BD8" w:rsidRPr="00FD5BD8" w:rsidP="00FD5BD8" w14:paraId="25A38866" w14:textId="279DFDD8">
            <w:pPr>
              <w:jc w:val="right"/>
              <w:rPr>
                <w:b w:val="0"/>
                <w:bCs w:val="0"/>
                <w:color w:val="000000"/>
                <w:sz w:val="22"/>
                <w:szCs w:val="22"/>
              </w:rPr>
            </w:pPr>
            <w:r w:rsidRPr="00FD5BD8">
              <w:rPr>
                <w:b w:val="0"/>
                <w:bCs w:val="0"/>
                <w:color w:val="000000"/>
                <w:sz w:val="22"/>
                <w:szCs w:val="22"/>
              </w:rPr>
              <w:t xml:space="preserve">$167.48 </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bottom"/>
          </w:tcPr>
          <w:p w:rsidR="00FD5BD8" w:rsidRPr="00FD5BD8" w:rsidP="00FD5BD8" w14:paraId="0DB468E1" w14:textId="2FA2884A">
            <w:pPr>
              <w:jc w:val="right"/>
              <w:rPr>
                <w:b w:val="0"/>
                <w:bCs w:val="0"/>
                <w:color w:val="000000"/>
                <w:sz w:val="22"/>
                <w:szCs w:val="22"/>
              </w:rPr>
            </w:pPr>
            <w:r w:rsidRPr="00FD5BD8">
              <w:rPr>
                <w:b w:val="0"/>
                <w:bCs w:val="0"/>
                <w:color w:val="000000"/>
                <w:sz w:val="22"/>
                <w:szCs w:val="22"/>
              </w:rPr>
              <w:t>$2,070,053</w:t>
            </w:r>
          </w:p>
        </w:tc>
      </w:tr>
      <w:tr w14:paraId="3505BD58" w14:textId="77777777" w:rsidTr="00925473">
        <w:tblPrEx>
          <w:tblW w:w="9175" w:type="dxa"/>
          <w:tblLook w:val="04A0"/>
        </w:tblPrEx>
        <w:tc>
          <w:tcPr>
            <w:tcW w:w="0" w:type="auto"/>
          </w:tcPr>
          <w:p w:rsidR="00FD5BD8" w:rsidRPr="00F538AF" w:rsidP="00FD5BD8" w14:paraId="34835F60" w14:textId="7029A5FA">
            <w:pPr>
              <w:rPr>
                <w:b w:val="0"/>
                <w:bCs w:val="0"/>
                <w:sz w:val="21"/>
                <w:szCs w:val="21"/>
              </w:rPr>
            </w:pPr>
            <w:r>
              <w:rPr>
                <w:b w:val="0"/>
                <w:bCs w:val="0"/>
                <w:sz w:val="21"/>
                <w:szCs w:val="21"/>
              </w:rPr>
              <w:t>Self-funded</w:t>
            </w:r>
            <w:r w:rsidRPr="00F538AF">
              <w:rPr>
                <w:b w:val="0"/>
                <w:bCs w:val="0"/>
                <w:sz w:val="21"/>
                <w:szCs w:val="21"/>
              </w:rPr>
              <w:t xml:space="preserve"> plans with more than </w:t>
            </w:r>
            <w:r w:rsidRPr="00F538AF">
              <w:rPr>
                <w:b w:val="0"/>
                <w:bCs w:val="0"/>
                <w:sz w:val="21"/>
                <w:szCs w:val="21"/>
              </w:rPr>
              <w:t>500 participants that will conduct the comparative analysis themselves</w:t>
            </w:r>
          </w:p>
        </w:tc>
        <w:tc>
          <w:tcPr>
            <w:tcW w:w="0" w:type="auto"/>
            <w:shd w:val="clear" w:color="auto" w:fill="auto"/>
            <w:vAlign w:val="bottom"/>
          </w:tcPr>
          <w:p w:rsidR="00FD5BD8" w:rsidRPr="00A40257" w:rsidP="00FD5BD8" w14:paraId="2EEEC5A2" w14:textId="55FD2585">
            <w:pPr>
              <w:jc w:val="right"/>
              <w:rPr>
                <w:b w:val="0"/>
                <w:bCs w:val="0"/>
                <w:sz w:val="21"/>
                <w:szCs w:val="21"/>
              </w:rPr>
            </w:pPr>
            <w:r w:rsidRPr="00A40257">
              <w:rPr>
                <w:b w:val="0"/>
                <w:bCs w:val="0"/>
                <w:color w:val="000000"/>
                <w:sz w:val="22"/>
                <w:szCs w:val="22"/>
              </w:rPr>
              <w:t>709</w:t>
            </w:r>
          </w:p>
        </w:tc>
        <w:tc>
          <w:tcPr>
            <w:tcW w:w="0" w:type="auto"/>
            <w:shd w:val="clear" w:color="auto" w:fill="auto"/>
            <w:vAlign w:val="bottom"/>
          </w:tcPr>
          <w:p w:rsidR="00FD5BD8" w:rsidRPr="00A40257" w:rsidP="00FD5BD8" w14:paraId="1920B6F0" w14:textId="5585334C">
            <w:pPr>
              <w:jc w:val="right"/>
              <w:rPr>
                <w:b w:val="0"/>
                <w:bCs w:val="0"/>
                <w:sz w:val="21"/>
                <w:szCs w:val="21"/>
              </w:rPr>
            </w:pPr>
            <w:r w:rsidRPr="00A40257">
              <w:rPr>
                <w:b w:val="0"/>
                <w:bCs w:val="0"/>
                <w:color w:val="000000"/>
                <w:sz w:val="22"/>
                <w:szCs w:val="22"/>
              </w:rPr>
              <w:t>10</w:t>
            </w:r>
          </w:p>
        </w:tc>
        <w:tc>
          <w:tcPr>
            <w:tcW w:w="0" w:type="auto"/>
            <w:tcBorders>
              <w:top w:val="nil"/>
              <w:left w:val="single" w:sz="4" w:space="0" w:color="auto"/>
              <w:bottom w:val="single" w:sz="4" w:space="0" w:color="auto"/>
              <w:right w:val="single" w:sz="4" w:space="0" w:color="auto"/>
            </w:tcBorders>
            <w:shd w:val="clear" w:color="auto" w:fill="auto"/>
            <w:vAlign w:val="bottom"/>
          </w:tcPr>
          <w:p w:rsidR="00FD5BD8" w:rsidRPr="00FD5BD8" w:rsidP="00FD5BD8" w14:paraId="1716DBEC" w14:textId="5D740365">
            <w:pPr>
              <w:jc w:val="right"/>
              <w:rPr>
                <w:b w:val="0"/>
                <w:bCs w:val="0"/>
                <w:sz w:val="21"/>
                <w:szCs w:val="21"/>
              </w:rPr>
            </w:pPr>
            <w:r w:rsidRPr="00FD5BD8">
              <w:rPr>
                <w:b w:val="0"/>
                <w:bCs w:val="0"/>
                <w:color w:val="000000"/>
                <w:sz w:val="22"/>
                <w:szCs w:val="22"/>
              </w:rPr>
              <w:t>12</w:t>
            </w:r>
          </w:p>
        </w:tc>
        <w:tc>
          <w:tcPr>
            <w:tcW w:w="0" w:type="auto"/>
            <w:tcBorders>
              <w:top w:val="nil"/>
              <w:left w:val="nil"/>
              <w:bottom w:val="single" w:sz="4" w:space="0" w:color="auto"/>
              <w:right w:val="single" w:sz="4" w:space="0" w:color="auto"/>
            </w:tcBorders>
            <w:shd w:val="clear" w:color="auto" w:fill="auto"/>
            <w:vAlign w:val="bottom"/>
          </w:tcPr>
          <w:p w:rsidR="00FD5BD8" w:rsidRPr="00FD5BD8" w:rsidP="00FD5BD8" w14:paraId="0663EA41" w14:textId="61683E67">
            <w:pPr>
              <w:jc w:val="right"/>
              <w:rPr>
                <w:b w:val="0"/>
                <w:bCs w:val="0"/>
                <w:sz w:val="21"/>
                <w:szCs w:val="21"/>
              </w:rPr>
            </w:pPr>
            <w:r w:rsidRPr="00FD5BD8">
              <w:rPr>
                <w:b w:val="0"/>
                <w:bCs w:val="0"/>
                <w:color w:val="000000"/>
                <w:sz w:val="22"/>
                <w:szCs w:val="22"/>
              </w:rPr>
              <w:t>85,080</w:t>
            </w:r>
          </w:p>
        </w:tc>
        <w:tc>
          <w:tcPr>
            <w:tcW w:w="0" w:type="auto"/>
            <w:tcBorders>
              <w:top w:val="nil"/>
              <w:left w:val="nil"/>
              <w:bottom w:val="single" w:sz="4" w:space="0" w:color="auto"/>
              <w:right w:val="nil"/>
            </w:tcBorders>
            <w:shd w:val="clear" w:color="auto" w:fill="auto"/>
            <w:vAlign w:val="bottom"/>
          </w:tcPr>
          <w:p w:rsidR="00FD5BD8" w:rsidRPr="00FD5BD8" w:rsidP="00FD5BD8" w14:paraId="421E7B08" w14:textId="59D1E8A6">
            <w:pPr>
              <w:jc w:val="right"/>
              <w:rPr>
                <w:b w:val="0"/>
                <w:bCs w:val="0"/>
                <w:sz w:val="21"/>
                <w:szCs w:val="21"/>
              </w:rPr>
            </w:pPr>
            <w:r w:rsidRPr="00FD5BD8">
              <w:rPr>
                <w:b w:val="0"/>
                <w:bCs w:val="0"/>
                <w:color w:val="000000"/>
                <w:sz w:val="22"/>
                <w:szCs w:val="22"/>
              </w:rPr>
              <w:t xml:space="preserve">$167.48 </w:t>
            </w:r>
          </w:p>
        </w:tc>
        <w:tc>
          <w:tcPr>
            <w:tcW w:w="2439" w:type="dxa"/>
            <w:tcBorders>
              <w:top w:val="nil"/>
              <w:left w:val="single" w:sz="4" w:space="0" w:color="auto"/>
              <w:bottom w:val="single" w:sz="4" w:space="0" w:color="auto"/>
              <w:right w:val="single" w:sz="4" w:space="0" w:color="auto"/>
            </w:tcBorders>
            <w:shd w:val="clear" w:color="auto" w:fill="auto"/>
            <w:vAlign w:val="bottom"/>
          </w:tcPr>
          <w:p w:rsidR="00FD5BD8" w:rsidRPr="00FD5BD8" w:rsidP="00FD5BD8" w14:paraId="2662BD52" w14:textId="276E97A2">
            <w:pPr>
              <w:jc w:val="right"/>
              <w:rPr>
                <w:b w:val="0"/>
                <w:bCs w:val="0"/>
                <w:sz w:val="21"/>
                <w:szCs w:val="21"/>
              </w:rPr>
            </w:pPr>
            <w:r w:rsidRPr="00FD5BD8">
              <w:rPr>
                <w:b w:val="0"/>
                <w:bCs w:val="0"/>
                <w:color w:val="000000"/>
                <w:sz w:val="22"/>
                <w:szCs w:val="22"/>
              </w:rPr>
              <w:t>$14,249,198</w:t>
            </w:r>
          </w:p>
        </w:tc>
      </w:tr>
      <w:tr w14:paraId="052A77C6" w14:textId="77777777" w:rsidTr="00925473">
        <w:tblPrEx>
          <w:tblW w:w="9175" w:type="dxa"/>
          <w:tblLook w:val="04A0"/>
        </w:tblPrEx>
        <w:tc>
          <w:tcPr>
            <w:tcW w:w="0" w:type="auto"/>
            <w:vAlign w:val="bottom"/>
          </w:tcPr>
          <w:p w:rsidR="00FD5BD8" w:rsidRPr="00F538AF" w:rsidP="00FD5BD8" w14:paraId="383DA88B" w14:textId="6ED49E0B">
            <w:pPr>
              <w:rPr>
                <w:b w:val="0"/>
                <w:bCs w:val="0"/>
                <w:sz w:val="21"/>
                <w:szCs w:val="21"/>
              </w:rPr>
            </w:pPr>
            <w:r>
              <w:rPr>
                <w:b w:val="0"/>
                <w:bCs w:val="0"/>
                <w:sz w:val="21"/>
                <w:szCs w:val="21"/>
              </w:rPr>
              <w:t>Self-funded</w:t>
            </w:r>
            <w:r w:rsidRPr="00F538AF">
              <w:rPr>
                <w:b w:val="0"/>
                <w:bCs w:val="0"/>
                <w:sz w:val="21"/>
                <w:szCs w:val="21"/>
              </w:rPr>
              <w:t xml:space="preserve"> plans with more than 500 participants that will receive generic comparative analyses from </w:t>
            </w:r>
            <w:r>
              <w:rPr>
                <w:b w:val="0"/>
                <w:bCs w:val="0"/>
                <w:sz w:val="21"/>
                <w:szCs w:val="21"/>
              </w:rPr>
              <w:t>the TPA</w:t>
            </w:r>
            <w:r w:rsidRPr="00F538AF">
              <w:rPr>
                <w:b w:val="0"/>
                <w:bCs w:val="0"/>
                <w:sz w:val="21"/>
                <w:szCs w:val="21"/>
              </w:rPr>
              <w:t>, and will then customize it</w:t>
            </w:r>
          </w:p>
        </w:tc>
        <w:tc>
          <w:tcPr>
            <w:tcW w:w="0" w:type="auto"/>
            <w:shd w:val="clear" w:color="auto" w:fill="auto"/>
            <w:vAlign w:val="bottom"/>
          </w:tcPr>
          <w:p w:rsidR="00FD5BD8" w:rsidRPr="00A40257" w:rsidP="00FD5BD8" w14:paraId="3077B297" w14:textId="130C7B07">
            <w:pPr>
              <w:jc w:val="right"/>
              <w:rPr>
                <w:b w:val="0"/>
                <w:bCs w:val="0"/>
                <w:sz w:val="21"/>
                <w:szCs w:val="21"/>
              </w:rPr>
            </w:pPr>
            <w:r w:rsidRPr="00A40257">
              <w:rPr>
                <w:b w:val="0"/>
                <w:bCs w:val="0"/>
                <w:color w:val="000000"/>
                <w:sz w:val="22"/>
                <w:szCs w:val="22"/>
              </w:rPr>
              <w:t>4,076</w:t>
            </w:r>
          </w:p>
        </w:tc>
        <w:tc>
          <w:tcPr>
            <w:tcW w:w="0" w:type="auto"/>
            <w:shd w:val="clear" w:color="auto" w:fill="auto"/>
            <w:vAlign w:val="bottom"/>
          </w:tcPr>
          <w:p w:rsidR="00FD5BD8" w:rsidRPr="00A40257" w:rsidP="00FD5BD8" w14:paraId="7B0B1961" w14:textId="6C94C88D">
            <w:pPr>
              <w:jc w:val="right"/>
              <w:rPr>
                <w:b w:val="0"/>
                <w:bCs w:val="0"/>
                <w:sz w:val="21"/>
                <w:szCs w:val="21"/>
              </w:rPr>
            </w:pPr>
            <w:r w:rsidRPr="00A40257">
              <w:rPr>
                <w:b w:val="0"/>
                <w:bCs w:val="0"/>
                <w:color w:val="000000"/>
                <w:sz w:val="22"/>
                <w:szCs w:val="22"/>
              </w:rPr>
              <w:t>10</w:t>
            </w:r>
          </w:p>
        </w:tc>
        <w:tc>
          <w:tcPr>
            <w:tcW w:w="0" w:type="auto"/>
            <w:tcBorders>
              <w:top w:val="nil"/>
              <w:left w:val="single" w:sz="4" w:space="0" w:color="auto"/>
              <w:bottom w:val="single" w:sz="4" w:space="0" w:color="auto"/>
              <w:right w:val="single" w:sz="4" w:space="0" w:color="auto"/>
            </w:tcBorders>
            <w:shd w:val="clear" w:color="auto" w:fill="auto"/>
            <w:vAlign w:val="bottom"/>
          </w:tcPr>
          <w:p w:rsidR="00FD5BD8" w:rsidRPr="00FD5BD8" w:rsidP="00FD5BD8" w14:paraId="73D985DC" w14:textId="3B5AED83">
            <w:pPr>
              <w:jc w:val="right"/>
              <w:rPr>
                <w:b w:val="0"/>
                <w:bCs w:val="0"/>
                <w:sz w:val="21"/>
                <w:szCs w:val="21"/>
              </w:rPr>
            </w:pPr>
            <w:r w:rsidRPr="00FD5BD8">
              <w:rPr>
                <w:b w:val="0"/>
                <w:bCs w:val="0"/>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tcPr>
          <w:p w:rsidR="00FD5BD8" w:rsidRPr="00FD5BD8" w:rsidP="00FD5BD8" w14:paraId="16C59468" w14:textId="568911A2">
            <w:pPr>
              <w:jc w:val="right"/>
              <w:rPr>
                <w:b w:val="0"/>
                <w:bCs w:val="0"/>
                <w:sz w:val="21"/>
                <w:szCs w:val="21"/>
              </w:rPr>
            </w:pPr>
            <w:r w:rsidRPr="00FD5BD8">
              <w:rPr>
                <w:b w:val="0"/>
                <w:bCs w:val="0"/>
                <w:color w:val="000000"/>
                <w:sz w:val="22"/>
                <w:szCs w:val="22"/>
              </w:rPr>
              <w:t>244,560</w:t>
            </w:r>
          </w:p>
        </w:tc>
        <w:tc>
          <w:tcPr>
            <w:tcW w:w="0" w:type="auto"/>
            <w:tcBorders>
              <w:top w:val="nil"/>
              <w:left w:val="nil"/>
              <w:bottom w:val="single" w:sz="4" w:space="0" w:color="auto"/>
              <w:right w:val="nil"/>
            </w:tcBorders>
            <w:shd w:val="clear" w:color="auto" w:fill="auto"/>
            <w:vAlign w:val="bottom"/>
          </w:tcPr>
          <w:p w:rsidR="00FD5BD8" w:rsidRPr="00FD5BD8" w:rsidP="00FD5BD8" w14:paraId="34DB2323" w14:textId="4C7E11C0">
            <w:pPr>
              <w:jc w:val="right"/>
              <w:rPr>
                <w:b w:val="0"/>
                <w:bCs w:val="0"/>
                <w:sz w:val="21"/>
                <w:szCs w:val="21"/>
              </w:rPr>
            </w:pPr>
            <w:r w:rsidRPr="00FD5BD8">
              <w:rPr>
                <w:b w:val="0"/>
                <w:bCs w:val="0"/>
                <w:color w:val="000000"/>
                <w:sz w:val="22"/>
                <w:szCs w:val="22"/>
              </w:rPr>
              <w:t xml:space="preserve">$167.48 </w:t>
            </w:r>
          </w:p>
        </w:tc>
        <w:tc>
          <w:tcPr>
            <w:tcW w:w="2439" w:type="dxa"/>
            <w:tcBorders>
              <w:top w:val="nil"/>
              <w:left w:val="single" w:sz="4" w:space="0" w:color="auto"/>
              <w:bottom w:val="single" w:sz="4" w:space="0" w:color="auto"/>
              <w:right w:val="single" w:sz="4" w:space="0" w:color="auto"/>
            </w:tcBorders>
            <w:shd w:val="clear" w:color="auto" w:fill="auto"/>
            <w:vAlign w:val="bottom"/>
          </w:tcPr>
          <w:p w:rsidR="00FD5BD8" w:rsidRPr="00FD5BD8" w:rsidP="00FD5BD8" w14:paraId="55DFC8E2" w14:textId="754826D6">
            <w:pPr>
              <w:jc w:val="right"/>
              <w:rPr>
                <w:b w:val="0"/>
                <w:bCs w:val="0"/>
                <w:sz w:val="21"/>
                <w:szCs w:val="21"/>
              </w:rPr>
            </w:pPr>
            <w:r w:rsidRPr="00FD5BD8">
              <w:rPr>
                <w:b w:val="0"/>
                <w:bCs w:val="0"/>
                <w:color w:val="000000"/>
                <w:sz w:val="22"/>
                <w:szCs w:val="22"/>
              </w:rPr>
              <w:t>$40,958,909</w:t>
            </w:r>
          </w:p>
        </w:tc>
      </w:tr>
      <w:tr w14:paraId="35B5CA59" w14:textId="77777777" w:rsidTr="00925473">
        <w:tblPrEx>
          <w:tblW w:w="9175" w:type="dxa"/>
          <w:tblLook w:val="04A0"/>
        </w:tblPrEx>
        <w:tc>
          <w:tcPr>
            <w:tcW w:w="0" w:type="auto"/>
            <w:vAlign w:val="bottom"/>
          </w:tcPr>
          <w:p w:rsidR="00FD5BD8" w:rsidRPr="00F538AF" w:rsidP="00FD5BD8" w14:paraId="49418919" w14:textId="77777777">
            <w:pPr>
              <w:rPr>
                <w:b w:val="0"/>
                <w:bCs w:val="0"/>
                <w:sz w:val="21"/>
                <w:szCs w:val="21"/>
              </w:rPr>
            </w:pPr>
            <w:r w:rsidRPr="00F538AF">
              <w:rPr>
                <w:b w:val="0"/>
                <w:bCs w:val="0"/>
                <w:sz w:val="21"/>
                <w:szCs w:val="21"/>
              </w:rPr>
              <w:t>Plan MEWAs that are not fully insured</w:t>
            </w:r>
          </w:p>
        </w:tc>
        <w:tc>
          <w:tcPr>
            <w:tcW w:w="0" w:type="auto"/>
            <w:shd w:val="clear" w:color="auto" w:fill="auto"/>
            <w:vAlign w:val="bottom"/>
          </w:tcPr>
          <w:p w:rsidR="00FD5BD8" w:rsidRPr="00A40257" w:rsidP="00FD5BD8" w14:paraId="72355753" w14:textId="12EEB9AD">
            <w:pPr>
              <w:jc w:val="right"/>
              <w:rPr>
                <w:b w:val="0"/>
                <w:bCs w:val="0"/>
                <w:sz w:val="21"/>
                <w:szCs w:val="21"/>
              </w:rPr>
            </w:pPr>
            <w:r w:rsidRPr="00A40257">
              <w:rPr>
                <w:b w:val="0"/>
                <w:bCs w:val="0"/>
                <w:color w:val="000000"/>
                <w:sz w:val="22"/>
                <w:szCs w:val="22"/>
              </w:rPr>
              <w:t>132</w:t>
            </w:r>
          </w:p>
        </w:tc>
        <w:tc>
          <w:tcPr>
            <w:tcW w:w="0" w:type="auto"/>
            <w:shd w:val="clear" w:color="auto" w:fill="auto"/>
            <w:vAlign w:val="bottom"/>
          </w:tcPr>
          <w:p w:rsidR="00FD5BD8" w:rsidRPr="00A40257" w:rsidP="00FD5BD8" w14:paraId="036403CA" w14:textId="57F3D6AB">
            <w:pPr>
              <w:jc w:val="right"/>
              <w:rPr>
                <w:b w:val="0"/>
                <w:bCs w:val="0"/>
                <w:sz w:val="21"/>
                <w:szCs w:val="21"/>
              </w:rPr>
            </w:pPr>
            <w:r w:rsidRPr="00A40257">
              <w:rPr>
                <w:b w:val="0"/>
                <w:bCs w:val="0"/>
                <w:color w:val="000000"/>
                <w:sz w:val="22"/>
                <w:szCs w:val="22"/>
              </w:rPr>
              <w:t>10</w:t>
            </w:r>
          </w:p>
        </w:tc>
        <w:tc>
          <w:tcPr>
            <w:tcW w:w="0" w:type="auto"/>
            <w:tcBorders>
              <w:top w:val="nil"/>
              <w:left w:val="single" w:sz="4" w:space="0" w:color="auto"/>
              <w:bottom w:val="single" w:sz="4" w:space="0" w:color="auto"/>
              <w:right w:val="single" w:sz="4" w:space="0" w:color="auto"/>
            </w:tcBorders>
            <w:shd w:val="clear" w:color="auto" w:fill="auto"/>
            <w:vAlign w:val="bottom"/>
          </w:tcPr>
          <w:p w:rsidR="00FD5BD8" w:rsidRPr="00FD5BD8" w:rsidP="00FD5BD8" w14:paraId="2EF220F2" w14:textId="5FD84C81">
            <w:pPr>
              <w:jc w:val="right"/>
              <w:rPr>
                <w:b w:val="0"/>
                <w:bCs w:val="0"/>
                <w:sz w:val="21"/>
                <w:szCs w:val="21"/>
              </w:rPr>
            </w:pPr>
            <w:r w:rsidRPr="00FD5BD8">
              <w:rPr>
                <w:b w:val="0"/>
                <w:bCs w:val="0"/>
                <w:color w:val="000000"/>
                <w:sz w:val="22"/>
                <w:szCs w:val="22"/>
              </w:rPr>
              <w:t>12</w:t>
            </w:r>
          </w:p>
        </w:tc>
        <w:tc>
          <w:tcPr>
            <w:tcW w:w="0" w:type="auto"/>
            <w:tcBorders>
              <w:top w:val="nil"/>
              <w:left w:val="nil"/>
              <w:bottom w:val="single" w:sz="4" w:space="0" w:color="auto"/>
              <w:right w:val="single" w:sz="4" w:space="0" w:color="auto"/>
            </w:tcBorders>
            <w:shd w:val="clear" w:color="auto" w:fill="auto"/>
            <w:vAlign w:val="bottom"/>
          </w:tcPr>
          <w:p w:rsidR="00FD5BD8" w:rsidRPr="00FD5BD8" w:rsidP="00FD5BD8" w14:paraId="3F72BBAE" w14:textId="62096825">
            <w:pPr>
              <w:jc w:val="right"/>
              <w:rPr>
                <w:b w:val="0"/>
                <w:bCs w:val="0"/>
                <w:sz w:val="21"/>
                <w:szCs w:val="21"/>
              </w:rPr>
            </w:pPr>
            <w:r w:rsidRPr="00FD5BD8">
              <w:rPr>
                <w:b w:val="0"/>
                <w:bCs w:val="0"/>
                <w:color w:val="000000"/>
                <w:sz w:val="22"/>
                <w:szCs w:val="22"/>
              </w:rPr>
              <w:t>15,840</w:t>
            </w:r>
          </w:p>
        </w:tc>
        <w:tc>
          <w:tcPr>
            <w:tcW w:w="0" w:type="auto"/>
            <w:tcBorders>
              <w:top w:val="nil"/>
              <w:left w:val="nil"/>
              <w:bottom w:val="single" w:sz="4" w:space="0" w:color="auto"/>
              <w:right w:val="nil"/>
            </w:tcBorders>
            <w:shd w:val="clear" w:color="auto" w:fill="auto"/>
            <w:vAlign w:val="bottom"/>
          </w:tcPr>
          <w:p w:rsidR="00FD5BD8" w:rsidRPr="00FD5BD8" w:rsidP="00FD5BD8" w14:paraId="2F96D921" w14:textId="3424B8D2">
            <w:pPr>
              <w:jc w:val="right"/>
              <w:rPr>
                <w:b w:val="0"/>
                <w:bCs w:val="0"/>
                <w:sz w:val="21"/>
                <w:szCs w:val="21"/>
              </w:rPr>
            </w:pPr>
            <w:r w:rsidRPr="00FD5BD8">
              <w:rPr>
                <w:b w:val="0"/>
                <w:bCs w:val="0"/>
                <w:color w:val="000000"/>
                <w:sz w:val="22"/>
                <w:szCs w:val="22"/>
              </w:rPr>
              <w:t xml:space="preserve">$167.48 </w:t>
            </w:r>
          </w:p>
        </w:tc>
        <w:tc>
          <w:tcPr>
            <w:tcW w:w="2439" w:type="dxa"/>
            <w:tcBorders>
              <w:top w:val="nil"/>
              <w:left w:val="single" w:sz="4" w:space="0" w:color="auto"/>
              <w:bottom w:val="single" w:sz="4" w:space="0" w:color="auto"/>
              <w:right w:val="single" w:sz="4" w:space="0" w:color="auto"/>
            </w:tcBorders>
            <w:shd w:val="clear" w:color="auto" w:fill="auto"/>
            <w:vAlign w:val="bottom"/>
          </w:tcPr>
          <w:p w:rsidR="00FD5BD8" w:rsidRPr="00FD5BD8" w:rsidP="00FD5BD8" w14:paraId="49149570" w14:textId="63D8BC17">
            <w:pPr>
              <w:jc w:val="right"/>
              <w:rPr>
                <w:b w:val="0"/>
                <w:bCs w:val="0"/>
                <w:sz w:val="21"/>
                <w:szCs w:val="21"/>
              </w:rPr>
            </w:pPr>
            <w:r w:rsidRPr="00FD5BD8">
              <w:rPr>
                <w:b w:val="0"/>
                <w:bCs w:val="0"/>
                <w:color w:val="000000"/>
                <w:sz w:val="22"/>
                <w:szCs w:val="22"/>
              </w:rPr>
              <w:t>$2,652,883</w:t>
            </w:r>
          </w:p>
        </w:tc>
      </w:tr>
      <w:tr w14:paraId="2E25BBDC" w14:textId="77777777" w:rsidTr="00925473">
        <w:tblPrEx>
          <w:tblW w:w="9175" w:type="dxa"/>
          <w:tblLook w:val="04A0"/>
        </w:tblPrEx>
        <w:tc>
          <w:tcPr>
            <w:tcW w:w="0" w:type="auto"/>
            <w:vAlign w:val="bottom"/>
          </w:tcPr>
          <w:p w:rsidR="00FD5BD8" w:rsidRPr="00F538AF" w:rsidP="00FD5BD8" w14:paraId="1A2077F3" w14:textId="77777777">
            <w:pPr>
              <w:rPr>
                <w:b w:val="0"/>
                <w:bCs w:val="0"/>
                <w:sz w:val="21"/>
                <w:szCs w:val="21"/>
              </w:rPr>
            </w:pPr>
            <w:r w:rsidRPr="00F538AF">
              <w:rPr>
                <w:b w:val="0"/>
                <w:bCs w:val="0"/>
                <w:sz w:val="21"/>
                <w:szCs w:val="21"/>
              </w:rPr>
              <w:t xml:space="preserve">Non-Plan MEWAs that are not fully insured </w:t>
            </w:r>
          </w:p>
        </w:tc>
        <w:tc>
          <w:tcPr>
            <w:tcW w:w="0" w:type="auto"/>
            <w:tcBorders>
              <w:bottom w:val="double" w:sz="4" w:space="0" w:color="auto"/>
            </w:tcBorders>
            <w:shd w:val="clear" w:color="auto" w:fill="auto"/>
            <w:vAlign w:val="bottom"/>
          </w:tcPr>
          <w:p w:rsidR="00FD5BD8" w:rsidRPr="00A40257" w:rsidP="00FD5BD8" w14:paraId="6AA660EB" w14:textId="7E88BD52">
            <w:pPr>
              <w:jc w:val="right"/>
              <w:rPr>
                <w:b w:val="0"/>
                <w:bCs w:val="0"/>
                <w:sz w:val="21"/>
                <w:szCs w:val="21"/>
              </w:rPr>
            </w:pPr>
            <w:r w:rsidRPr="00A40257">
              <w:rPr>
                <w:b w:val="0"/>
                <w:bCs w:val="0"/>
                <w:color w:val="000000"/>
                <w:sz w:val="22"/>
                <w:szCs w:val="22"/>
              </w:rPr>
              <w:t>21</w:t>
            </w:r>
          </w:p>
        </w:tc>
        <w:tc>
          <w:tcPr>
            <w:tcW w:w="0" w:type="auto"/>
            <w:tcBorders>
              <w:bottom w:val="double" w:sz="4" w:space="0" w:color="auto"/>
            </w:tcBorders>
            <w:shd w:val="clear" w:color="auto" w:fill="auto"/>
            <w:vAlign w:val="bottom"/>
          </w:tcPr>
          <w:p w:rsidR="00FD5BD8" w:rsidRPr="00A40257" w:rsidP="00FD5BD8" w14:paraId="0BE107B1" w14:textId="0476E817">
            <w:pPr>
              <w:jc w:val="right"/>
              <w:rPr>
                <w:b w:val="0"/>
                <w:bCs w:val="0"/>
                <w:sz w:val="21"/>
                <w:szCs w:val="21"/>
              </w:rPr>
            </w:pPr>
            <w:r w:rsidRPr="00A40257">
              <w:rPr>
                <w:b w:val="0"/>
                <w:bCs w:val="0"/>
                <w:color w:val="000000"/>
                <w:sz w:val="22"/>
                <w:szCs w:val="22"/>
              </w:rPr>
              <w:t>10</w:t>
            </w:r>
          </w:p>
        </w:tc>
        <w:tc>
          <w:tcPr>
            <w:tcW w:w="0" w:type="auto"/>
            <w:tcBorders>
              <w:top w:val="nil"/>
              <w:left w:val="single" w:sz="4" w:space="0" w:color="auto"/>
              <w:bottom w:val="double" w:sz="6" w:space="0" w:color="auto"/>
              <w:right w:val="single" w:sz="4" w:space="0" w:color="auto"/>
            </w:tcBorders>
            <w:shd w:val="clear" w:color="auto" w:fill="auto"/>
            <w:vAlign w:val="bottom"/>
          </w:tcPr>
          <w:p w:rsidR="00FD5BD8" w:rsidRPr="00FD5BD8" w:rsidP="00FD5BD8" w14:paraId="52F0CF7E" w14:textId="07790541">
            <w:pPr>
              <w:jc w:val="right"/>
              <w:rPr>
                <w:b w:val="0"/>
                <w:bCs w:val="0"/>
                <w:sz w:val="21"/>
                <w:szCs w:val="21"/>
              </w:rPr>
            </w:pPr>
            <w:r w:rsidRPr="00FD5BD8">
              <w:rPr>
                <w:b w:val="0"/>
                <w:bCs w:val="0"/>
                <w:color w:val="000000"/>
                <w:sz w:val="22"/>
                <w:szCs w:val="22"/>
              </w:rPr>
              <w:t>12</w:t>
            </w:r>
          </w:p>
        </w:tc>
        <w:tc>
          <w:tcPr>
            <w:tcW w:w="0" w:type="auto"/>
            <w:tcBorders>
              <w:top w:val="nil"/>
              <w:left w:val="nil"/>
              <w:bottom w:val="double" w:sz="6" w:space="0" w:color="auto"/>
              <w:right w:val="single" w:sz="4" w:space="0" w:color="auto"/>
            </w:tcBorders>
            <w:shd w:val="clear" w:color="auto" w:fill="auto"/>
            <w:vAlign w:val="bottom"/>
          </w:tcPr>
          <w:p w:rsidR="00FD5BD8" w:rsidRPr="00FD5BD8" w:rsidP="00FD5BD8" w14:paraId="02F41E7D" w14:textId="37C788A2">
            <w:pPr>
              <w:jc w:val="right"/>
              <w:rPr>
                <w:b w:val="0"/>
                <w:bCs w:val="0"/>
                <w:sz w:val="21"/>
                <w:szCs w:val="21"/>
              </w:rPr>
            </w:pPr>
            <w:r w:rsidRPr="00FD5BD8">
              <w:rPr>
                <w:b w:val="0"/>
                <w:bCs w:val="0"/>
                <w:color w:val="000000"/>
                <w:sz w:val="22"/>
                <w:szCs w:val="22"/>
              </w:rPr>
              <w:t>2,520</w:t>
            </w:r>
          </w:p>
        </w:tc>
        <w:tc>
          <w:tcPr>
            <w:tcW w:w="0" w:type="auto"/>
            <w:tcBorders>
              <w:top w:val="nil"/>
              <w:left w:val="nil"/>
              <w:bottom w:val="double" w:sz="6" w:space="0" w:color="auto"/>
              <w:right w:val="single" w:sz="4" w:space="0" w:color="auto"/>
            </w:tcBorders>
            <w:shd w:val="clear" w:color="auto" w:fill="auto"/>
            <w:vAlign w:val="bottom"/>
          </w:tcPr>
          <w:p w:rsidR="00FD5BD8" w:rsidRPr="00FD5BD8" w:rsidP="00FD5BD8" w14:paraId="6A42587B" w14:textId="0C4ACD6D">
            <w:pPr>
              <w:jc w:val="right"/>
              <w:rPr>
                <w:b w:val="0"/>
                <w:bCs w:val="0"/>
                <w:sz w:val="21"/>
                <w:szCs w:val="21"/>
              </w:rPr>
            </w:pPr>
            <w:r w:rsidRPr="00FD5BD8">
              <w:rPr>
                <w:b w:val="0"/>
                <w:bCs w:val="0"/>
                <w:color w:val="000000"/>
                <w:sz w:val="22"/>
                <w:szCs w:val="22"/>
              </w:rPr>
              <w:t xml:space="preserve">$167.48 </w:t>
            </w:r>
          </w:p>
        </w:tc>
        <w:tc>
          <w:tcPr>
            <w:tcW w:w="2439" w:type="dxa"/>
            <w:tcBorders>
              <w:top w:val="nil"/>
              <w:left w:val="nil"/>
              <w:bottom w:val="double" w:sz="6" w:space="0" w:color="auto"/>
              <w:right w:val="single" w:sz="4" w:space="0" w:color="auto"/>
            </w:tcBorders>
            <w:shd w:val="clear" w:color="auto" w:fill="auto"/>
            <w:vAlign w:val="bottom"/>
          </w:tcPr>
          <w:p w:rsidR="00FD5BD8" w:rsidRPr="00FD5BD8" w:rsidP="00FD5BD8" w14:paraId="0E4953EF" w14:textId="17F759B7">
            <w:pPr>
              <w:jc w:val="right"/>
              <w:rPr>
                <w:b w:val="0"/>
                <w:bCs w:val="0"/>
                <w:sz w:val="21"/>
                <w:szCs w:val="21"/>
              </w:rPr>
            </w:pPr>
            <w:r w:rsidRPr="00FD5BD8">
              <w:rPr>
                <w:b w:val="0"/>
                <w:bCs w:val="0"/>
                <w:color w:val="000000"/>
                <w:sz w:val="22"/>
                <w:szCs w:val="22"/>
              </w:rPr>
              <w:t>$422,050</w:t>
            </w:r>
          </w:p>
        </w:tc>
      </w:tr>
      <w:tr w14:paraId="7D7D06D9" w14:textId="77777777" w:rsidTr="00925473">
        <w:tblPrEx>
          <w:tblW w:w="9175" w:type="dxa"/>
          <w:tblLook w:val="04A0"/>
        </w:tblPrEx>
        <w:tc>
          <w:tcPr>
            <w:tcW w:w="0" w:type="auto"/>
            <w:vAlign w:val="bottom"/>
          </w:tcPr>
          <w:p w:rsidR="00FD5BD8" w:rsidRPr="00A135A3" w:rsidP="00FD5BD8" w14:paraId="78A4BE0F" w14:textId="77777777">
            <w:pPr>
              <w:rPr>
                <w:sz w:val="21"/>
                <w:szCs w:val="21"/>
              </w:rPr>
            </w:pPr>
            <w:r w:rsidRPr="00A135A3">
              <w:rPr>
                <w:sz w:val="21"/>
                <w:szCs w:val="21"/>
              </w:rPr>
              <w:t xml:space="preserve">Subsequent Years Total </w:t>
            </w:r>
          </w:p>
        </w:tc>
        <w:tc>
          <w:tcPr>
            <w:tcW w:w="0" w:type="auto"/>
            <w:tcBorders>
              <w:top w:val="double" w:sz="4" w:space="0" w:color="auto"/>
            </w:tcBorders>
            <w:shd w:val="clear" w:color="auto" w:fill="auto"/>
            <w:vAlign w:val="bottom"/>
          </w:tcPr>
          <w:p w:rsidR="00FD5BD8" w:rsidRPr="00A40257" w:rsidP="00FD5BD8" w14:paraId="631C4F2A" w14:textId="65CD36E8">
            <w:pPr>
              <w:jc w:val="right"/>
              <w:rPr>
                <w:sz w:val="21"/>
                <w:szCs w:val="21"/>
              </w:rPr>
            </w:pPr>
            <w:r w:rsidRPr="00A40257">
              <w:rPr>
                <w:color w:val="000000"/>
                <w:sz w:val="22"/>
                <w:szCs w:val="22"/>
              </w:rPr>
              <w:t>5,041</w:t>
            </w:r>
          </w:p>
        </w:tc>
        <w:tc>
          <w:tcPr>
            <w:tcW w:w="0" w:type="auto"/>
            <w:tcBorders>
              <w:top w:val="double" w:sz="4" w:space="0" w:color="auto"/>
            </w:tcBorders>
            <w:shd w:val="clear" w:color="auto" w:fill="auto"/>
            <w:vAlign w:val="bottom"/>
          </w:tcPr>
          <w:p w:rsidR="00FD5BD8" w:rsidRPr="00A40257" w:rsidP="00FD5BD8" w14:paraId="5015F911" w14:textId="4A2D70A0">
            <w:pPr>
              <w:jc w:val="right"/>
              <w:rPr>
                <w:sz w:val="21"/>
                <w:szCs w:val="21"/>
              </w:rPr>
            </w:pPr>
            <w:r w:rsidRPr="00A40257">
              <w:rPr>
                <w:color w:val="000000"/>
                <w:sz w:val="22"/>
                <w:szCs w:val="22"/>
              </w:rPr>
              <w:t>-</w:t>
            </w:r>
          </w:p>
        </w:tc>
        <w:tc>
          <w:tcPr>
            <w:tcW w:w="0" w:type="auto"/>
            <w:tcBorders>
              <w:top w:val="nil"/>
              <w:left w:val="nil"/>
              <w:bottom w:val="single" w:sz="4" w:space="0" w:color="auto"/>
              <w:right w:val="single" w:sz="4" w:space="0" w:color="auto"/>
            </w:tcBorders>
            <w:shd w:val="clear" w:color="auto" w:fill="auto"/>
            <w:vAlign w:val="bottom"/>
          </w:tcPr>
          <w:p w:rsidR="00FD5BD8" w:rsidRPr="00FD5BD8" w:rsidP="00FD5BD8" w14:paraId="7600CFD9" w14:textId="4214EF01">
            <w:pPr>
              <w:jc w:val="right"/>
              <w:rPr>
                <w:b w:val="0"/>
                <w:bCs w:val="0"/>
                <w:sz w:val="21"/>
                <w:szCs w:val="21"/>
              </w:rPr>
            </w:pPr>
            <w:r w:rsidRPr="00FD5BD8">
              <w:rPr>
                <w:b w:val="0"/>
                <w:bCs w:val="0"/>
                <w:color w:val="000000"/>
                <w:sz w:val="22"/>
                <w:szCs w:val="22"/>
              </w:rPr>
              <w:t>-</w:t>
            </w:r>
          </w:p>
        </w:tc>
        <w:tc>
          <w:tcPr>
            <w:tcW w:w="0" w:type="auto"/>
            <w:tcBorders>
              <w:top w:val="nil"/>
              <w:left w:val="nil"/>
              <w:bottom w:val="single" w:sz="4" w:space="0" w:color="auto"/>
              <w:right w:val="single" w:sz="4" w:space="0" w:color="auto"/>
            </w:tcBorders>
            <w:shd w:val="clear" w:color="auto" w:fill="auto"/>
            <w:vAlign w:val="bottom"/>
          </w:tcPr>
          <w:p w:rsidR="00FD5BD8" w:rsidRPr="00FD5BD8" w:rsidP="00FD5BD8" w14:paraId="6B32D561" w14:textId="043D48BD">
            <w:pPr>
              <w:jc w:val="right"/>
              <w:rPr>
                <w:sz w:val="21"/>
                <w:szCs w:val="21"/>
              </w:rPr>
            </w:pPr>
            <w:r w:rsidRPr="00FD5BD8">
              <w:rPr>
                <w:color w:val="000000"/>
                <w:sz w:val="22"/>
                <w:szCs w:val="22"/>
              </w:rPr>
              <w:t>360,360</w:t>
            </w:r>
          </w:p>
        </w:tc>
        <w:tc>
          <w:tcPr>
            <w:tcW w:w="0" w:type="auto"/>
            <w:tcBorders>
              <w:top w:val="nil"/>
              <w:left w:val="nil"/>
              <w:bottom w:val="single" w:sz="4" w:space="0" w:color="auto"/>
              <w:right w:val="single" w:sz="4" w:space="0" w:color="auto"/>
            </w:tcBorders>
            <w:shd w:val="clear" w:color="auto" w:fill="auto"/>
            <w:vAlign w:val="bottom"/>
          </w:tcPr>
          <w:p w:rsidR="00FD5BD8" w:rsidRPr="00FD5BD8" w:rsidP="00FD5BD8" w14:paraId="1830D457" w14:textId="5BC67381">
            <w:pPr>
              <w:jc w:val="right"/>
              <w:rPr>
                <w:sz w:val="21"/>
                <w:szCs w:val="21"/>
              </w:rPr>
            </w:pPr>
            <w:r w:rsidRPr="00FD5BD8">
              <w:rPr>
                <w:color w:val="000000"/>
                <w:sz w:val="22"/>
                <w:szCs w:val="22"/>
              </w:rPr>
              <w:t>-</w:t>
            </w:r>
          </w:p>
        </w:tc>
        <w:tc>
          <w:tcPr>
            <w:tcW w:w="2439" w:type="dxa"/>
            <w:tcBorders>
              <w:top w:val="nil"/>
              <w:left w:val="nil"/>
              <w:bottom w:val="single" w:sz="4" w:space="0" w:color="auto"/>
              <w:right w:val="single" w:sz="4" w:space="0" w:color="auto"/>
            </w:tcBorders>
            <w:shd w:val="clear" w:color="auto" w:fill="auto"/>
            <w:vAlign w:val="bottom"/>
          </w:tcPr>
          <w:p w:rsidR="00FD5BD8" w:rsidRPr="00FD5BD8" w:rsidP="00FD5BD8" w14:paraId="244EC8E0" w14:textId="1D2437E4">
            <w:pPr>
              <w:jc w:val="right"/>
              <w:rPr>
                <w:sz w:val="21"/>
                <w:szCs w:val="21"/>
              </w:rPr>
            </w:pPr>
            <w:r w:rsidRPr="00FD5BD8">
              <w:rPr>
                <w:color w:val="000000"/>
                <w:sz w:val="22"/>
                <w:szCs w:val="22"/>
              </w:rPr>
              <w:t>$60,353,093</w:t>
            </w:r>
          </w:p>
        </w:tc>
      </w:tr>
      <w:tr w14:paraId="619B4103" w14:textId="77777777" w:rsidTr="00925473">
        <w:tblPrEx>
          <w:tblW w:w="9175" w:type="dxa"/>
          <w:tblLook w:val="04A0"/>
        </w:tblPrEx>
        <w:tc>
          <w:tcPr>
            <w:tcW w:w="0" w:type="auto"/>
            <w:vAlign w:val="bottom"/>
          </w:tcPr>
          <w:p w:rsidR="00FD5BD8" w:rsidRPr="00453FB8" w:rsidP="00FD5BD8" w14:paraId="407CABFE" w14:textId="77777777">
            <w:pPr>
              <w:rPr>
                <w:b w:val="0"/>
                <w:bCs w:val="0"/>
                <w:sz w:val="21"/>
                <w:szCs w:val="21"/>
              </w:rPr>
            </w:pPr>
            <w:r w:rsidRPr="00453FB8">
              <w:rPr>
                <w:sz w:val="21"/>
                <w:szCs w:val="21"/>
              </w:rPr>
              <w:t>Total (Three-year average)</w:t>
            </w:r>
          </w:p>
        </w:tc>
        <w:tc>
          <w:tcPr>
            <w:tcW w:w="0" w:type="auto"/>
            <w:shd w:val="clear" w:color="auto" w:fill="auto"/>
            <w:vAlign w:val="bottom"/>
          </w:tcPr>
          <w:p w:rsidR="00FD5BD8" w:rsidRPr="00A40257" w:rsidP="00FD5BD8" w14:paraId="09DEFE2D" w14:textId="2499F428">
            <w:pPr>
              <w:jc w:val="right"/>
              <w:rPr>
                <w:sz w:val="21"/>
                <w:szCs w:val="21"/>
              </w:rPr>
            </w:pPr>
            <w:r w:rsidRPr="00A40257">
              <w:rPr>
                <w:color w:val="000000"/>
                <w:sz w:val="22"/>
                <w:szCs w:val="22"/>
              </w:rPr>
              <w:t>5,041</w:t>
            </w:r>
          </w:p>
        </w:tc>
        <w:tc>
          <w:tcPr>
            <w:tcW w:w="0" w:type="auto"/>
            <w:shd w:val="clear" w:color="auto" w:fill="auto"/>
            <w:vAlign w:val="bottom"/>
          </w:tcPr>
          <w:p w:rsidR="00FD5BD8" w:rsidRPr="00A40257" w:rsidP="00FD5BD8" w14:paraId="4AC9C217" w14:textId="2D2AEFA7">
            <w:pPr>
              <w:jc w:val="right"/>
              <w:rPr>
                <w:sz w:val="21"/>
                <w:szCs w:val="21"/>
              </w:rPr>
            </w:pPr>
            <w:r w:rsidRPr="00A40257">
              <w:rPr>
                <w:color w:val="000000"/>
                <w:sz w:val="22"/>
                <w:szCs w:val="22"/>
              </w:rPr>
              <w:t>-</w:t>
            </w:r>
          </w:p>
        </w:tc>
        <w:tc>
          <w:tcPr>
            <w:tcW w:w="0" w:type="auto"/>
            <w:tcBorders>
              <w:top w:val="nil"/>
              <w:left w:val="single" w:sz="4" w:space="0" w:color="auto"/>
              <w:bottom w:val="single" w:sz="4" w:space="0" w:color="auto"/>
              <w:right w:val="single" w:sz="4" w:space="0" w:color="auto"/>
            </w:tcBorders>
            <w:shd w:val="clear" w:color="auto" w:fill="auto"/>
            <w:vAlign w:val="bottom"/>
          </w:tcPr>
          <w:p w:rsidR="00FD5BD8" w:rsidRPr="00FD5BD8" w:rsidP="00FD5BD8" w14:paraId="3927B99B" w14:textId="187087C0">
            <w:pPr>
              <w:jc w:val="right"/>
              <w:rPr>
                <w:b w:val="0"/>
                <w:bCs w:val="0"/>
                <w:sz w:val="21"/>
                <w:szCs w:val="21"/>
              </w:rPr>
            </w:pPr>
            <w:r w:rsidRPr="00FD5BD8">
              <w:rPr>
                <w:b w:val="0"/>
                <w:bCs w:val="0"/>
                <w:color w:val="000000"/>
                <w:sz w:val="22"/>
                <w:szCs w:val="22"/>
              </w:rPr>
              <w:t>-</w:t>
            </w:r>
          </w:p>
        </w:tc>
        <w:tc>
          <w:tcPr>
            <w:tcW w:w="0" w:type="auto"/>
            <w:tcBorders>
              <w:top w:val="nil"/>
              <w:left w:val="nil"/>
              <w:bottom w:val="single" w:sz="4" w:space="0" w:color="auto"/>
              <w:right w:val="single" w:sz="4" w:space="0" w:color="auto"/>
            </w:tcBorders>
            <w:shd w:val="clear" w:color="auto" w:fill="auto"/>
            <w:vAlign w:val="bottom"/>
          </w:tcPr>
          <w:p w:rsidR="00FD5BD8" w:rsidRPr="00FD5BD8" w:rsidP="00FD5BD8" w14:paraId="0E7A9681" w14:textId="1FED620D">
            <w:pPr>
              <w:jc w:val="right"/>
              <w:rPr>
                <w:sz w:val="21"/>
                <w:szCs w:val="21"/>
              </w:rPr>
            </w:pPr>
            <w:r w:rsidRPr="00FD5BD8">
              <w:rPr>
                <w:color w:val="000000"/>
                <w:sz w:val="22"/>
                <w:szCs w:val="22"/>
              </w:rPr>
              <w:t>840,840</w:t>
            </w:r>
          </w:p>
        </w:tc>
        <w:tc>
          <w:tcPr>
            <w:tcW w:w="0" w:type="auto"/>
            <w:tcBorders>
              <w:top w:val="nil"/>
              <w:left w:val="nil"/>
              <w:bottom w:val="single" w:sz="4" w:space="0" w:color="auto"/>
              <w:right w:val="single" w:sz="4" w:space="0" w:color="auto"/>
            </w:tcBorders>
            <w:shd w:val="clear" w:color="auto" w:fill="auto"/>
            <w:vAlign w:val="bottom"/>
          </w:tcPr>
          <w:p w:rsidR="00FD5BD8" w:rsidRPr="00FD5BD8" w:rsidP="00FD5BD8" w14:paraId="0FEC8884" w14:textId="1161412E">
            <w:pPr>
              <w:jc w:val="right"/>
              <w:rPr>
                <w:sz w:val="21"/>
                <w:szCs w:val="21"/>
              </w:rPr>
            </w:pPr>
            <w:r w:rsidRPr="00FD5BD8">
              <w:rPr>
                <w:color w:val="000000"/>
                <w:sz w:val="22"/>
                <w:szCs w:val="22"/>
              </w:rPr>
              <w:t>-</w:t>
            </w:r>
          </w:p>
        </w:tc>
        <w:tc>
          <w:tcPr>
            <w:tcW w:w="2439" w:type="dxa"/>
            <w:tcBorders>
              <w:top w:val="nil"/>
              <w:left w:val="nil"/>
              <w:bottom w:val="single" w:sz="4" w:space="0" w:color="auto"/>
              <w:right w:val="single" w:sz="4" w:space="0" w:color="auto"/>
            </w:tcBorders>
            <w:shd w:val="clear" w:color="auto" w:fill="auto"/>
            <w:vAlign w:val="bottom"/>
          </w:tcPr>
          <w:p w:rsidR="00FD5BD8" w:rsidRPr="00FD5BD8" w:rsidP="00FD5BD8" w14:paraId="003DE588" w14:textId="4ACAC7BB">
            <w:pPr>
              <w:jc w:val="right"/>
              <w:rPr>
                <w:sz w:val="21"/>
                <w:szCs w:val="21"/>
              </w:rPr>
            </w:pPr>
            <w:r w:rsidRPr="00FD5BD8">
              <w:rPr>
                <w:color w:val="000000"/>
                <w:sz w:val="22"/>
                <w:szCs w:val="22"/>
              </w:rPr>
              <w:t>$140,823,883</w:t>
            </w:r>
          </w:p>
        </w:tc>
      </w:tr>
    </w:tbl>
    <w:p w:rsidR="006E1F5E" w:rsidP="00102C62" w14:paraId="641B14A8" w14:textId="2918739F">
      <w:pPr>
        <w:rPr>
          <w:b w:val="0"/>
          <w:sz w:val="24"/>
          <w:szCs w:val="24"/>
        </w:rPr>
      </w:pPr>
    </w:p>
    <w:p w:rsidR="006E1F5E" w:rsidP="006E1F5E" w14:paraId="737C0FD3" w14:textId="32A4BCD6">
      <w:pPr>
        <w:ind w:left="720"/>
        <w:rPr>
          <w:b w:val="0"/>
          <w:iCs/>
          <w:sz w:val="24"/>
          <w:szCs w:val="24"/>
        </w:rPr>
      </w:pPr>
      <w:r w:rsidRPr="00E42759">
        <w:rPr>
          <w:b w:val="0"/>
          <w:iCs/>
          <w:sz w:val="24"/>
          <w:szCs w:val="24"/>
        </w:rPr>
        <w:t xml:space="preserve">These final rules also require that group health plans offering group health insurance coverage must make a comparative analysis available upon request by DOL. The CAA, 2021 requires </w:t>
      </w:r>
      <w:r w:rsidR="009D0E73">
        <w:rPr>
          <w:b w:val="0"/>
          <w:iCs/>
          <w:sz w:val="24"/>
          <w:szCs w:val="24"/>
        </w:rPr>
        <w:t>the Departments</w:t>
      </w:r>
      <w:r w:rsidRPr="00E42759">
        <w:rPr>
          <w:b w:val="0"/>
          <w:iCs/>
          <w:sz w:val="24"/>
          <w:szCs w:val="24"/>
        </w:rPr>
        <w:t xml:space="preserve"> to collect no fewer than 20 comparative analyses per year, but it also provides that </w:t>
      </w:r>
      <w:r w:rsidR="009D0E73">
        <w:rPr>
          <w:b w:val="0"/>
          <w:iCs/>
          <w:sz w:val="24"/>
          <w:szCs w:val="24"/>
        </w:rPr>
        <w:t>the Department</w:t>
      </w:r>
      <w:r w:rsidR="00E64A0B">
        <w:rPr>
          <w:b w:val="0"/>
          <w:iCs/>
          <w:sz w:val="24"/>
          <w:szCs w:val="24"/>
        </w:rPr>
        <w:t>s</w:t>
      </w:r>
      <w:r w:rsidRPr="00E42759">
        <w:rPr>
          <w:b w:val="0"/>
          <w:iCs/>
          <w:sz w:val="24"/>
          <w:szCs w:val="24"/>
        </w:rPr>
        <w:t xml:space="preserve"> shall request that a group health plan or issuer </w:t>
      </w:r>
      <w:r w:rsidRPr="00E42759">
        <w:rPr>
          <w:b w:val="0"/>
          <w:iCs/>
          <w:sz w:val="24"/>
          <w:szCs w:val="24"/>
        </w:rPr>
        <w:t xml:space="preserve">submit the comparative analyses for plans that involve potential MHPAEA violations or complaints regarding noncompliance with MHPAEA that concern NQTLs, and any other instances in which the </w:t>
      </w:r>
      <w:r w:rsidR="009D0E73">
        <w:rPr>
          <w:b w:val="0"/>
          <w:iCs/>
          <w:sz w:val="24"/>
          <w:szCs w:val="24"/>
        </w:rPr>
        <w:t>Department</w:t>
      </w:r>
      <w:r w:rsidR="00E64A0B">
        <w:rPr>
          <w:b w:val="0"/>
          <w:iCs/>
          <w:sz w:val="24"/>
          <w:szCs w:val="24"/>
        </w:rPr>
        <w:t>s</w:t>
      </w:r>
      <w:r w:rsidRPr="00E42759">
        <w:rPr>
          <w:b w:val="0"/>
          <w:iCs/>
          <w:sz w:val="24"/>
          <w:szCs w:val="24"/>
        </w:rPr>
        <w:t xml:space="preserve"> determines appropriate. </w:t>
      </w:r>
      <w:r w:rsidRPr="00B320AE" w:rsidR="001F098D">
        <w:rPr>
          <w:b w:val="0"/>
          <w:bCs w:val="0"/>
          <w:iCs/>
          <w:sz w:val="24"/>
          <w:szCs w:val="24"/>
        </w:rPr>
        <w:t>Based on its prior experience</w:t>
      </w:r>
      <w:r w:rsidR="0043670F">
        <w:rPr>
          <w:b w:val="0"/>
          <w:bCs w:val="0"/>
          <w:iCs/>
          <w:sz w:val="24"/>
          <w:szCs w:val="24"/>
        </w:rPr>
        <w:t xml:space="preserve"> and current funding</w:t>
      </w:r>
      <w:r w:rsidRPr="00B320AE" w:rsidR="001F098D">
        <w:rPr>
          <w:b w:val="0"/>
          <w:bCs w:val="0"/>
          <w:iCs/>
          <w:sz w:val="24"/>
          <w:szCs w:val="24"/>
        </w:rPr>
        <w:t xml:space="preserve">, DOL expects to request </w:t>
      </w:r>
      <w:r w:rsidR="00FD5BD8">
        <w:rPr>
          <w:b w:val="0"/>
          <w:bCs w:val="0"/>
          <w:iCs/>
          <w:sz w:val="24"/>
          <w:szCs w:val="24"/>
        </w:rPr>
        <w:t>2</w:t>
      </w:r>
      <w:r w:rsidR="00925473">
        <w:rPr>
          <w:b w:val="0"/>
          <w:bCs w:val="0"/>
          <w:iCs/>
          <w:sz w:val="24"/>
          <w:szCs w:val="24"/>
        </w:rPr>
        <w:t>0</w:t>
      </w:r>
      <w:r w:rsidRPr="00B320AE" w:rsidR="001F098D">
        <w:rPr>
          <w:b w:val="0"/>
          <w:bCs w:val="0"/>
          <w:iCs/>
          <w:sz w:val="24"/>
          <w:szCs w:val="24"/>
        </w:rPr>
        <w:t xml:space="preserve"> comparative analyses each year. To provide the Department with their comparative analyses and associated documentation, DOL </w:t>
      </w:r>
      <w:r w:rsidRPr="00B320AE" w:rsidR="001F098D">
        <w:rPr>
          <w:b w:val="0"/>
          <w:iCs/>
          <w:sz w:val="24"/>
          <w:szCs w:val="24"/>
        </w:rPr>
        <w:t xml:space="preserve">estimates, based on internal discussion, it will take a total of five hours for plans, one of a general or operations manager and four of a business operations specialist. </w:t>
      </w:r>
      <w:r w:rsidRPr="000D7B8D" w:rsidR="000D7B8D">
        <w:rPr>
          <w:b w:val="0"/>
          <w:iCs/>
          <w:sz w:val="24"/>
          <w:szCs w:val="24"/>
        </w:rPr>
        <w:t>Please see Table</w:t>
      </w:r>
      <w:r w:rsidR="00155D13">
        <w:rPr>
          <w:b w:val="0"/>
          <w:iCs/>
          <w:sz w:val="24"/>
          <w:szCs w:val="24"/>
        </w:rPr>
        <w:t xml:space="preserve"> 4</w:t>
      </w:r>
      <w:r w:rsidRPr="000D7B8D" w:rsidR="000D7B8D">
        <w:rPr>
          <w:b w:val="0"/>
          <w:iCs/>
          <w:sz w:val="24"/>
          <w:szCs w:val="24"/>
        </w:rPr>
        <w:t xml:space="preserve"> for calculations and burden totals.</w:t>
      </w:r>
    </w:p>
    <w:p w:rsidR="00AE5739" w:rsidP="006E1F5E" w14:paraId="2114C539" w14:textId="77777777">
      <w:pPr>
        <w:ind w:left="720"/>
        <w:rPr>
          <w:b w:val="0"/>
          <w:iCs/>
          <w:sz w:val="24"/>
          <w:szCs w:val="24"/>
        </w:rPr>
      </w:pPr>
    </w:p>
    <w:p w:rsidR="000D7B8D" w:rsidRPr="000D7B8D" w:rsidP="000D7B8D" w14:paraId="3DA85A28" w14:textId="1D8C859D">
      <w:pPr>
        <w:ind w:left="720"/>
        <w:rPr>
          <w:b w:val="0"/>
          <w:iCs/>
          <w:sz w:val="24"/>
          <w:szCs w:val="24"/>
        </w:rPr>
      </w:pPr>
      <w:bookmarkStart w:id="7" w:name="_Hlk140045727"/>
      <w:bookmarkStart w:id="8" w:name="_Hlk140045909"/>
      <w:r w:rsidRPr="007A3C6A">
        <w:rPr>
          <w:b w:val="0"/>
          <w:iCs/>
          <w:sz w:val="24"/>
          <w:szCs w:val="24"/>
        </w:rPr>
        <w:t xml:space="preserve">These final rules also require plans and issuers to make the comparative analyses and other applicable information required by the CAA, 2021 available upon request to ERISA and to participants, beneficiaries, and enrollees in all non-grandfathered group health plans and non-grandfathered group or individual health insurance coverage </w:t>
      </w:r>
      <w:r w:rsidRPr="00DD00A9" w:rsidR="00DD00A9">
        <w:rPr>
          <w:b w:val="0"/>
          <w:iCs/>
          <w:sz w:val="24"/>
          <w:szCs w:val="24"/>
        </w:rPr>
        <w:t xml:space="preserve">(including a provider or other person acting as a participant’s, beneficiary’s, or enrollee’s authorized representative) </w:t>
      </w:r>
      <w:r w:rsidRPr="007A3C6A">
        <w:rPr>
          <w:b w:val="0"/>
          <w:iCs/>
          <w:sz w:val="24"/>
          <w:szCs w:val="24"/>
        </w:rPr>
        <w:t>in connection with an adverse benefit determination</w:t>
      </w:r>
      <w:r w:rsidRPr="007A424E" w:rsidR="007A424E">
        <w:rPr>
          <w:b w:val="0"/>
          <w:iCs/>
          <w:sz w:val="24"/>
          <w:szCs w:val="24"/>
        </w:rPr>
        <w:t>, as well as to participants and beneficiaries in plans subject to ERISA</w:t>
      </w:r>
      <w:r w:rsidRPr="007A3C6A">
        <w:rPr>
          <w:b w:val="0"/>
          <w:iCs/>
          <w:sz w:val="24"/>
          <w:szCs w:val="24"/>
        </w:rPr>
        <w:t>. The Departments estimate that each plan will receive one request per covered health plan annually and that plans will annually incur a burden of 5 minutes for a clerical worker to prepare and send the comparative analyses to each requesting participant or beneficiary</w:t>
      </w:r>
      <w:bookmarkEnd w:id="7"/>
      <w:r>
        <w:rPr>
          <w:b w:val="0"/>
          <w:iCs/>
          <w:sz w:val="24"/>
          <w:szCs w:val="24"/>
        </w:rPr>
        <w:t xml:space="preserve">. </w:t>
      </w:r>
      <w:r w:rsidRPr="000D7B8D">
        <w:rPr>
          <w:b w:val="0"/>
          <w:iCs/>
          <w:sz w:val="24"/>
          <w:szCs w:val="24"/>
        </w:rPr>
        <w:t>Please see Table</w:t>
      </w:r>
      <w:r w:rsidR="00155D13">
        <w:rPr>
          <w:b w:val="0"/>
          <w:iCs/>
          <w:sz w:val="24"/>
          <w:szCs w:val="24"/>
        </w:rPr>
        <w:t xml:space="preserve"> 4</w:t>
      </w:r>
      <w:r w:rsidRPr="000D7B8D">
        <w:rPr>
          <w:b w:val="0"/>
          <w:iCs/>
          <w:sz w:val="24"/>
          <w:szCs w:val="24"/>
        </w:rPr>
        <w:t xml:space="preserve"> for calculations and burden totals.</w:t>
      </w:r>
    </w:p>
    <w:bookmarkEnd w:id="8"/>
    <w:p w:rsidR="00F57732" w:rsidRPr="00F538AF" w:rsidP="000D7B8D" w14:paraId="5D752C42" w14:textId="395370C3">
      <w:pPr>
        <w:ind w:left="720"/>
        <w:rPr>
          <w:bCs w:val="0"/>
          <w:iCs/>
          <w:sz w:val="24"/>
          <w:szCs w:val="24"/>
        </w:rPr>
      </w:pPr>
    </w:p>
    <w:p w:rsidR="00F57732" w:rsidRPr="00F538AF" w:rsidP="00437EC9" w14:paraId="5CCDD7DA" w14:textId="26F9EFE7">
      <w:pPr>
        <w:ind w:left="720"/>
        <w:rPr>
          <w:rFonts w:eastAsia="Calibri"/>
          <w:bCs w:val="0"/>
          <w:i/>
          <w:iCs/>
          <w:sz w:val="24"/>
          <w:szCs w:val="24"/>
        </w:rPr>
      </w:pPr>
      <w:r w:rsidRPr="00F538AF">
        <w:rPr>
          <w:rFonts w:eastAsia="Calibri"/>
          <w:bCs w:val="0"/>
          <w:i/>
          <w:iCs/>
          <w:sz w:val="24"/>
          <w:szCs w:val="24"/>
        </w:rPr>
        <w:t>Recordkeeping Requirement</w:t>
      </w:r>
    </w:p>
    <w:p w:rsidR="00437EC9" w:rsidRPr="00E82412" w:rsidP="00E82412" w14:paraId="2BF2E72A" w14:textId="77777777">
      <w:pPr>
        <w:ind w:left="720"/>
        <w:rPr>
          <w:rFonts w:eastAsia="Calibri"/>
          <w:b w:val="0"/>
          <w:bCs w:val="0"/>
          <w:i/>
          <w:iCs/>
          <w:sz w:val="24"/>
          <w:szCs w:val="24"/>
        </w:rPr>
      </w:pPr>
    </w:p>
    <w:p w:rsidR="003A1D78" w:rsidP="003A1D78" w14:paraId="174155BE" w14:textId="57B41583">
      <w:pPr>
        <w:ind w:left="720"/>
        <w:rPr>
          <w:rFonts w:eastAsia="Calibri"/>
          <w:b w:val="0"/>
          <w:iCs/>
          <w:sz w:val="24"/>
          <w:szCs w:val="24"/>
        </w:rPr>
      </w:pPr>
      <w:r w:rsidRPr="00F85A02">
        <w:rPr>
          <w:rFonts w:eastAsia="Calibri"/>
          <w:b w:val="0"/>
          <w:bCs w:val="0"/>
          <w:sz w:val="24"/>
          <w:szCs w:val="24"/>
        </w:rPr>
        <w:t>The Departments posit that plans and issuers already maintain records as part of their regular business practices. Further, ERISA section 107 includes a general 6-year retention requirement. For these reasons, the Departments estimate a minimal additional burden. The Departments estimate that, on average, any additional recordkeeping requirements will take clerical personnel 5 minutes annually</w:t>
      </w:r>
      <w:r w:rsidRPr="00E83D10" w:rsidR="00E83D10">
        <w:rPr>
          <w:rFonts w:eastAsia="Calibri"/>
          <w:b w:val="0"/>
          <w:bCs w:val="0"/>
          <w:sz w:val="24"/>
          <w:szCs w:val="24"/>
        </w:rPr>
        <w:t xml:space="preserve">. </w:t>
      </w:r>
      <w:r w:rsidRPr="003A1D78">
        <w:rPr>
          <w:rFonts w:eastAsia="Calibri"/>
          <w:b w:val="0"/>
          <w:iCs/>
          <w:sz w:val="24"/>
          <w:szCs w:val="24"/>
        </w:rPr>
        <w:t xml:space="preserve">Please see Table </w:t>
      </w:r>
      <w:r w:rsidR="00561B42">
        <w:rPr>
          <w:rFonts w:eastAsia="Calibri"/>
          <w:b w:val="0"/>
          <w:iCs/>
          <w:sz w:val="24"/>
          <w:szCs w:val="24"/>
        </w:rPr>
        <w:t xml:space="preserve">4 </w:t>
      </w:r>
      <w:r w:rsidRPr="003A1D78">
        <w:rPr>
          <w:rFonts w:eastAsia="Calibri"/>
          <w:b w:val="0"/>
          <w:iCs/>
          <w:sz w:val="24"/>
          <w:szCs w:val="24"/>
        </w:rPr>
        <w:t>for calculations and burden totals.</w:t>
      </w:r>
    </w:p>
    <w:p w:rsidR="0053109A" w:rsidP="0053109A" w14:paraId="5997D6DB" w14:textId="77777777">
      <w:pPr>
        <w:rPr>
          <w:rFonts w:eastAsia="Calibri"/>
          <w:b w:val="0"/>
          <w:iCs/>
          <w:sz w:val="24"/>
          <w:szCs w:val="24"/>
        </w:rPr>
      </w:pPr>
    </w:p>
    <w:p w:rsidR="0053109A" w:rsidRPr="00F538AF" w:rsidP="00EC0E6C" w14:paraId="345AB406" w14:textId="5125DAD7">
      <w:pPr>
        <w:pStyle w:val="Heading1"/>
        <w:ind w:firstLine="720"/>
        <w:rPr>
          <w:rFonts w:eastAsia="Calibri"/>
        </w:rPr>
      </w:pPr>
      <w:r w:rsidRPr="0053109A">
        <w:rPr>
          <w:rFonts w:eastAsia="Calibri"/>
        </w:rPr>
        <w:t xml:space="preserve">Table </w:t>
      </w:r>
      <w:r w:rsidR="00561B42">
        <w:rPr>
          <w:rFonts w:eastAsia="Calibri"/>
        </w:rPr>
        <w:t>4</w:t>
      </w:r>
      <w:r w:rsidRPr="0053109A">
        <w:rPr>
          <w:rFonts w:eastAsia="Calibri"/>
        </w:rPr>
        <w:t>. Hour Burden of Other Requirements</w:t>
      </w:r>
    </w:p>
    <w:tbl>
      <w:tblPr>
        <w:tblpPr w:leftFromText="180" w:rightFromText="180" w:vertAnchor="text" w:horzAnchor="margin" w:tblpXSpec="center" w:tblpY="107"/>
        <w:tblW w:w="8190" w:type="dxa"/>
        <w:tblLayout w:type="fixed"/>
        <w:tblLook w:val="04A0"/>
      </w:tblPr>
      <w:tblGrid>
        <w:gridCol w:w="2160"/>
        <w:gridCol w:w="1440"/>
        <w:gridCol w:w="1170"/>
        <w:gridCol w:w="1080"/>
        <w:gridCol w:w="990"/>
        <w:gridCol w:w="1350"/>
      </w:tblGrid>
      <w:tr w14:paraId="644D4635" w14:textId="77777777" w:rsidTr="002E6891">
        <w:tblPrEx>
          <w:tblW w:w="8190" w:type="dxa"/>
          <w:tblLayout w:type="fixed"/>
          <w:tblLook w:val="04A0"/>
        </w:tblPrEx>
        <w:trPr>
          <w:cantSplit/>
          <w:trHeight w:val="20"/>
          <w:tblHead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0A397F" w:rsidP="002E6891" w14:paraId="5B76BE7B" w14:textId="77777777">
            <w:pPr>
              <w:rPr>
                <w:b w:val="0"/>
                <w:sz w:val="22"/>
                <w:szCs w:val="22"/>
              </w:rPr>
            </w:pPr>
            <w:r w:rsidRPr="000A397F">
              <w:rPr>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891" w:rsidRPr="000A397F" w:rsidP="002E6891" w14:paraId="75765F9A" w14:textId="77777777">
            <w:pPr>
              <w:jc w:val="center"/>
              <w:rPr>
                <w:b w:val="0"/>
                <w:sz w:val="22"/>
                <w:szCs w:val="22"/>
              </w:rPr>
            </w:pPr>
            <w:r w:rsidRPr="000A397F">
              <w:rPr>
                <w:sz w:val="22"/>
                <w:szCs w:val="22"/>
              </w:rPr>
              <w:t xml:space="preserve">Number of </w:t>
            </w:r>
            <w:r>
              <w:rPr>
                <w:sz w:val="22"/>
                <w:szCs w:val="22"/>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891" w:rsidRPr="000A397F" w:rsidP="002E6891" w14:paraId="593E9EDD" w14:textId="77777777">
            <w:pPr>
              <w:jc w:val="center"/>
              <w:rPr>
                <w:b w:val="0"/>
                <w:sz w:val="22"/>
                <w:szCs w:val="22"/>
              </w:rPr>
            </w:pPr>
            <w:r>
              <w:rPr>
                <w:sz w:val="22"/>
                <w:szCs w:val="22"/>
              </w:rPr>
              <w:t xml:space="preserve">Number of </w:t>
            </w:r>
            <w:r w:rsidRPr="000A397F">
              <w:rPr>
                <w:sz w:val="22"/>
                <w:szCs w:val="22"/>
              </w:rPr>
              <w:t xml:space="preserve">Hours per </w:t>
            </w:r>
            <w:r>
              <w:rPr>
                <w:sz w:val="22"/>
                <w:szCs w:val="22"/>
              </w:rPr>
              <w:t>Response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891" w:rsidRPr="000A397F" w:rsidP="002E6891" w14:paraId="5261714E" w14:textId="77777777">
            <w:pPr>
              <w:jc w:val="center"/>
              <w:rPr>
                <w:b w:val="0"/>
                <w:sz w:val="22"/>
                <w:szCs w:val="22"/>
              </w:rPr>
            </w:pPr>
            <w:r w:rsidRPr="000A397F">
              <w:rPr>
                <w:sz w:val="22"/>
                <w:szCs w:val="22"/>
              </w:rPr>
              <w:t>Total Hour Burden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891" w:rsidRPr="000A397F" w:rsidP="002E6891" w14:paraId="7F44A230" w14:textId="77777777">
            <w:pPr>
              <w:jc w:val="center"/>
              <w:rPr>
                <w:b w:val="0"/>
                <w:sz w:val="22"/>
                <w:szCs w:val="22"/>
              </w:rPr>
            </w:pPr>
            <w:r w:rsidRPr="000A397F">
              <w:rPr>
                <w:sz w:val="22"/>
                <w:szCs w:val="22"/>
              </w:rPr>
              <w:t>Wage Rate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891" w:rsidRPr="000A397F" w:rsidP="002E6891" w14:paraId="070EF803" w14:textId="77777777">
            <w:pPr>
              <w:jc w:val="center"/>
              <w:rPr>
                <w:b w:val="0"/>
                <w:sz w:val="22"/>
                <w:szCs w:val="22"/>
              </w:rPr>
            </w:pPr>
            <w:r w:rsidRPr="000A397F">
              <w:rPr>
                <w:sz w:val="22"/>
                <w:szCs w:val="22"/>
              </w:rPr>
              <w:t>Hour Equivalent of Cost Burden</w:t>
            </w:r>
          </w:p>
        </w:tc>
      </w:tr>
      <w:tr w14:paraId="5453F475" w14:textId="77777777" w:rsidTr="002E6891">
        <w:tblPrEx>
          <w:tblW w:w="8190" w:type="dxa"/>
          <w:tblLayout w:type="fixed"/>
          <w:tblLook w:val="04A0"/>
        </w:tblPrEx>
        <w:trPr>
          <w:cantSplit/>
          <w:trHeight w:val="20"/>
          <w:tblHead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891" w:rsidRPr="000A397F" w:rsidP="002E6891" w14:paraId="038B4529" w14:textId="77777777">
            <w:pPr>
              <w:rPr>
                <w:b w:val="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2E6891" w:rsidRPr="000A397F" w:rsidP="002E6891" w14:paraId="10E8EA93" w14:textId="77777777">
            <w:pPr>
              <w:jc w:val="center"/>
              <w:rPr>
                <w:b w:val="0"/>
                <w:sz w:val="22"/>
                <w:szCs w:val="22"/>
              </w:rPr>
            </w:pPr>
            <w:r w:rsidRPr="0076411D">
              <w:rPr>
                <w:sz w:val="22"/>
                <w:szCs w:val="22"/>
              </w:rPr>
              <w:t>(A)</w:t>
            </w:r>
          </w:p>
        </w:tc>
        <w:tc>
          <w:tcPr>
            <w:tcW w:w="1170" w:type="dxa"/>
            <w:tcBorders>
              <w:top w:val="single" w:sz="4" w:space="0" w:color="auto"/>
              <w:left w:val="nil"/>
              <w:bottom w:val="single" w:sz="4" w:space="0" w:color="auto"/>
              <w:right w:val="single" w:sz="4" w:space="0" w:color="auto"/>
            </w:tcBorders>
            <w:shd w:val="clear" w:color="auto" w:fill="auto"/>
            <w:vAlign w:val="center"/>
          </w:tcPr>
          <w:p w:rsidR="002E6891" w:rsidP="002E6891" w14:paraId="527BB11D" w14:textId="77777777">
            <w:pPr>
              <w:jc w:val="center"/>
              <w:rPr>
                <w:b w:val="0"/>
                <w:sz w:val="22"/>
                <w:szCs w:val="22"/>
              </w:rPr>
            </w:pPr>
            <w:r w:rsidRPr="0076411D">
              <w:rPr>
                <w:sz w:val="22"/>
                <w:szCs w:val="22"/>
              </w:rPr>
              <w:t>(B)</w:t>
            </w:r>
          </w:p>
        </w:tc>
        <w:tc>
          <w:tcPr>
            <w:tcW w:w="1080" w:type="dxa"/>
            <w:tcBorders>
              <w:top w:val="single" w:sz="4" w:space="0" w:color="auto"/>
              <w:left w:val="nil"/>
              <w:bottom w:val="single" w:sz="4" w:space="0" w:color="auto"/>
              <w:right w:val="single" w:sz="4" w:space="0" w:color="auto"/>
            </w:tcBorders>
            <w:shd w:val="clear" w:color="auto" w:fill="auto"/>
            <w:vAlign w:val="center"/>
          </w:tcPr>
          <w:p w:rsidR="002E6891" w:rsidRPr="000A397F" w:rsidP="002E6891" w14:paraId="6E4689B6" w14:textId="77777777">
            <w:pPr>
              <w:jc w:val="center"/>
              <w:rPr>
                <w:b w:val="0"/>
                <w:sz w:val="22"/>
                <w:szCs w:val="22"/>
              </w:rPr>
            </w:pPr>
            <w:r w:rsidRPr="0076411D">
              <w:rPr>
                <w:sz w:val="22"/>
                <w:szCs w:val="22"/>
              </w:rPr>
              <w:t xml:space="preserve">(A </w:t>
            </w:r>
            <w:r w:rsidRPr="003509A7">
              <w:rPr>
                <w:sz w:val="22"/>
                <w:szCs w:val="22"/>
              </w:rPr>
              <w:t>×</w:t>
            </w:r>
            <w:r w:rsidRPr="0076411D">
              <w:rPr>
                <w:sz w:val="22"/>
                <w:szCs w:val="22"/>
              </w:rPr>
              <w:t xml:space="preserve"> B)</w:t>
            </w:r>
          </w:p>
        </w:tc>
        <w:tc>
          <w:tcPr>
            <w:tcW w:w="990" w:type="dxa"/>
            <w:tcBorders>
              <w:top w:val="single" w:sz="4" w:space="0" w:color="auto"/>
              <w:left w:val="nil"/>
              <w:bottom w:val="single" w:sz="4" w:space="0" w:color="auto"/>
              <w:right w:val="single" w:sz="4" w:space="0" w:color="auto"/>
            </w:tcBorders>
            <w:shd w:val="clear" w:color="auto" w:fill="auto"/>
            <w:vAlign w:val="center"/>
          </w:tcPr>
          <w:p w:rsidR="002E6891" w:rsidRPr="000A397F" w:rsidP="002E6891" w14:paraId="231E05B4" w14:textId="77777777">
            <w:pPr>
              <w:jc w:val="center"/>
              <w:rPr>
                <w:b w:val="0"/>
                <w:sz w:val="22"/>
                <w:szCs w:val="22"/>
              </w:rPr>
            </w:pPr>
            <w:r w:rsidRPr="0076411D">
              <w:rPr>
                <w:sz w:val="22"/>
                <w:szCs w:val="22"/>
              </w:rPr>
              <w:t>(C)</w:t>
            </w:r>
          </w:p>
        </w:tc>
        <w:tc>
          <w:tcPr>
            <w:tcW w:w="1350" w:type="dxa"/>
            <w:tcBorders>
              <w:top w:val="single" w:sz="4" w:space="0" w:color="auto"/>
              <w:left w:val="nil"/>
              <w:bottom w:val="single" w:sz="4" w:space="0" w:color="auto"/>
              <w:right w:val="single" w:sz="4" w:space="0" w:color="auto"/>
            </w:tcBorders>
            <w:shd w:val="clear" w:color="auto" w:fill="auto"/>
            <w:vAlign w:val="center"/>
          </w:tcPr>
          <w:p w:rsidR="002E6891" w:rsidRPr="000A397F" w:rsidP="002E6891" w14:paraId="51CD8429" w14:textId="77777777">
            <w:pPr>
              <w:jc w:val="center"/>
              <w:rPr>
                <w:b w:val="0"/>
                <w:sz w:val="22"/>
                <w:szCs w:val="22"/>
              </w:rPr>
            </w:pPr>
            <w:r w:rsidRPr="0076411D">
              <w:rPr>
                <w:sz w:val="22"/>
                <w:szCs w:val="22"/>
              </w:rPr>
              <w:t xml:space="preserve">(A </w:t>
            </w:r>
            <w:r w:rsidRPr="003509A7">
              <w:rPr>
                <w:sz w:val="22"/>
                <w:szCs w:val="22"/>
              </w:rPr>
              <w:t>×</w:t>
            </w:r>
            <w:r w:rsidRPr="0076411D">
              <w:rPr>
                <w:sz w:val="22"/>
                <w:szCs w:val="22"/>
              </w:rPr>
              <w:t xml:space="preserve"> B </w:t>
            </w:r>
            <w:r w:rsidRPr="003509A7">
              <w:rPr>
                <w:sz w:val="22"/>
                <w:szCs w:val="22"/>
              </w:rPr>
              <w:t>×</w:t>
            </w:r>
            <w:r w:rsidRPr="0076411D">
              <w:rPr>
                <w:sz w:val="22"/>
                <w:szCs w:val="22"/>
              </w:rPr>
              <w:t xml:space="preserve"> C)</w:t>
            </w:r>
          </w:p>
        </w:tc>
      </w:tr>
      <w:tr w14:paraId="6523A40F" w14:textId="77777777" w:rsidTr="002E6891">
        <w:tblPrEx>
          <w:tblW w:w="8190" w:type="dxa"/>
          <w:tblLayout w:type="fixed"/>
          <w:tblLook w:val="04A0"/>
        </w:tblPrEx>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891" w:rsidRPr="00ED0154" w:rsidP="002E6891" w14:paraId="33D604FF" w14:textId="77777777">
            <w:pPr>
              <w:rPr>
                <w:b w:val="0"/>
                <w:bCs w:val="0"/>
                <w:sz w:val="22"/>
                <w:szCs w:val="22"/>
              </w:rPr>
            </w:pPr>
            <w:r w:rsidRPr="00ED0154">
              <w:rPr>
                <w:b w:val="0"/>
                <w:bCs w:val="0"/>
                <w:sz w:val="22"/>
                <w:szCs w:val="22"/>
              </w:rPr>
              <w:t xml:space="preserve">Business operations specialists prepare comparative analysis for audits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348A71F8" w14:textId="77777777">
            <w:pPr>
              <w:jc w:val="right"/>
              <w:rPr>
                <w:b w:val="0"/>
                <w:bCs w:val="0"/>
                <w:sz w:val="22"/>
                <w:szCs w:val="22"/>
              </w:rPr>
            </w:pPr>
            <w:r w:rsidRPr="00ED0154">
              <w:rPr>
                <w:b w:val="0"/>
                <w:bCs w:val="0"/>
                <w:sz w:val="22"/>
                <w:szCs w:val="22"/>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3E430DF0" w14:textId="77777777">
            <w:pPr>
              <w:jc w:val="right"/>
              <w:rPr>
                <w:b w:val="0"/>
                <w:bCs w:val="0"/>
                <w:sz w:val="22"/>
                <w:szCs w:val="22"/>
              </w:rPr>
            </w:pPr>
            <w:r w:rsidRPr="00ED0154">
              <w:rPr>
                <w:b w:val="0"/>
                <w:bCs w:val="0"/>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2D7A77AC" w14:textId="77777777">
            <w:pPr>
              <w:jc w:val="right"/>
              <w:rPr>
                <w:b w:val="0"/>
                <w:bCs w:val="0"/>
                <w:sz w:val="22"/>
                <w:szCs w:val="22"/>
              </w:rPr>
            </w:pPr>
            <w:r w:rsidRPr="00ED0154">
              <w:rPr>
                <w:b w:val="0"/>
                <w:bCs w:val="0"/>
                <w:sz w:val="22"/>
                <w:szCs w:val="22"/>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4E4DBFE6" w14:textId="77777777">
            <w:pPr>
              <w:jc w:val="right"/>
              <w:rPr>
                <w:b w:val="0"/>
                <w:bCs w:val="0"/>
                <w:sz w:val="22"/>
                <w:szCs w:val="22"/>
              </w:rPr>
            </w:pPr>
            <w:r w:rsidRPr="00ED0154">
              <w:rPr>
                <w:b w:val="0"/>
                <w:bCs w:val="0"/>
                <w:sz w:val="22"/>
                <w:szCs w:val="22"/>
              </w:rPr>
              <w:t>$137.67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17C7C029" w14:textId="77777777">
            <w:pPr>
              <w:jc w:val="right"/>
              <w:rPr>
                <w:b w:val="0"/>
                <w:bCs w:val="0"/>
                <w:sz w:val="22"/>
                <w:szCs w:val="22"/>
              </w:rPr>
            </w:pPr>
            <w:r w:rsidRPr="00ED0154">
              <w:rPr>
                <w:b w:val="0"/>
                <w:bCs w:val="0"/>
                <w:sz w:val="22"/>
                <w:szCs w:val="22"/>
              </w:rPr>
              <w:t>$2,753</w:t>
            </w:r>
          </w:p>
        </w:tc>
      </w:tr>
      <w:tr w14:paraId="45EE5E47" w14:textId="77777777" w:rsidTr="002E6891">
        <w:tblPrEx>
          <w:tblW w:w="8190" w:type="dxa"/>
          <w:tblLayout w:type="fixed"/>
          <w:tblLook w:val="04A0"/>
        </w:tblPrEx>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891" w:rsidRPr="00ED0154" w:rsidP="002E6891" w14:paraId="2359B203" w14:textId="77777777">
            <w:pPr>
              <w:rPr>
                <w:b w:val="0"/>
                <w:bCs w:val="0"/>
                <w:sz w:val="22"/>
                <w:szCs w:val="22"/>
              </w:rPr>
            </w:pPr>
            <w:r w:rsidRPr="00ED0154">
              <w:rPr>
                <w:b w:val="0"/>
                <w:bCs w:val="0"/>
                <w:sz w:val="22"/>
                <w:szCs w:val="22"/>
              </w:rPr>
              <w:t xml:space="preserve">General operation managers prepare comparative analysis </w:t>
            </w:r>
            <w:r w:rsidRPr="00ED0154">
              <w:rPr>
                <w:b w:val="0"/>
                <w:bCs w:val="0"/>
                <w:sz w:val="22"/>
                <w:szCs w:val="22"/>
              </w:rPr>
              <w:t xml:space="preserve">for audits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430ED968" w14:textId="77777777">
            <w:pPr>
              <w:jc w:val="right"/>
              <w:rPr>
                <w:b w:val="0"/>
                <w:bCs w:val="0"/>
                <w:sz w:val="22"/>
                <w:szCs w:val="22"/>
              </w:rPr>
            </w:pPr>
            <w:r w:rsidRPr="00ED0154">
              <w:rPr>
                <w:b w:val="0"/>
                <w:bCs w:val="0"/>
                <w:sz w:val="22"/>
                <w:szCs w:val="22"/>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2BB74D17" w14:textId="77777777">
            <w:pPr>
              <w:jc w:val="right"/>
              <w:rPr>
                <w:b w:val="0"/>
                <w:bCs w:val="0"/>
                <w:sz w:val="22"/>
                <w:szCs w:val="22"/>
              </w:rPr>
            </w:pPr>
            <w:r w:rsidRPr="00ED0154">
              <w:rPr>
                <w:b w:val="0"/>
                <w:bCs w:val="0"/>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32152AD2" w14:textId="77777777">
            <w:pPr>
              <w:jc w:val="right"/>
              <w:rPr>
                <w:b w:val="0"/>
                <w:bCs w:val="0"/>
                <w:sz w:val="22"/>
                <w:szCs w:val="22"/>
              </w:rPr>
            </w:pPr>
            <w:r w:rsidRPr="00ED0154">
              <w:rPr>
                <w:b w:val="0"/>
                <w:bCs w:val="0"/>
                <w:sz w:val="22"/>
                <w:szCs w:val="22"/>
              </w:rPr>
              <w:t>80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71188E5B" w14:textId="77777777">
            <w:pPr>
              <w:jc w:val="right"/>
              <w:rPr>
                <w:b w:val="0"/>
                <w:bCs w:val="0"/>
                <w:sz w:val="22"/>
                <w:szCs w:val="22"/>
              </w:rPr>
            </w:pPr>
            <w:r w:rsidRPr="00ED0154">
              <w:rPr>
                <w:b w:val="0"/>
                <w:bCs w:val="0"/>
                <w:sz w:val="22"/>
                <w:szCs w:val="22"/>
              </w:rPr>
              <w:t>$114.36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ED0154" w:rsidP="002E6891" w14:paraId="561A319E" w14:textId="77777777">
            <w:pPr>
              <w:jc w:val="right"/>
              <w:rPr>
                <w:b w:val="0"/>
                <w:bCs w:val="0"/>
                <w:sz w:val="22"/>
                <w:szCs w:val="22"/>
              </w:rPr>
            </w:pPr>
            <w:r w:rsidRPr="00ED0154">
              <w:rPr>
                <w:b w:val="0"/>
                <w:bCs w:val="0"/>
                <w:sz w:val="22"/>
                <w:szCs w:val="22"/>
              </w:rPr>
              <w:t>$9,149</w:t>
            </w:r>
          </w:p>
        </w:tc>
      </w:tr>
      <w:tr w14:paraId="56CECD40" w14:textId="77777777" w:rsidTr="002E6891">
        <w:tblPrEx>
          <w:tblW w:w="8190" w:type="dxa"/>
          <w:tblLayout w:type="fixed"/>
          <w:tblLook w:val="04A0"/>
        </w:tblPrEx>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2E6891" w:rsidRPr="00ED0154" w:rsidP="002E6891" w14:paraId="64A3A880" w14:textId="77777777">
            <w:pPr>
              <w:rPr>
                <w:b w:val="0"/>
                <w:bCs w:val="0"/>
                <w:sz w:val="22"/>
                <w:szCs w:val="22"/>
              </w:rPr>
            </w:pPr>
            <w:r w:rsidRPr="00ED0154">
              <w:rPr>
                <w:b w:val="0"/>
                <w:bCs w:val="0"/>
                <w:sz w:val="22"/>
                <w:szCs w:val="22"/>
              </w:rPr>
              <w:t xml:space="preserve">Clerical workers prepare comparative analyses upon participant request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891" w:rsidRPr="00ED0154" w:rsidP="002E6891" w14:paraId="7584271D" w14:textId="77777777">
            <w:pPr>
              <w:jc w:val="right"/>
              <w:rPr>
                <w:b w:val="0"/>
                <w:bCs w:val="0"/>
                <w:sz w:val="22"/>
                <w:szCs w:val="22"/>
              </w:rPr>
            </w:pPr>
            <w:r w:rsidRPr="00ED0154">
              <w:rPr>
                <w:b w:val="0"/>
                <w:bCs w:val="0"/>
                <w:sz w:val="22"/>
                <w:szCs w:val="22"/>
              </w:rPr>
              <w:t>2,129,516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891" w:rsidRPr="00ED0154" w:rsidP="002E6891" w14:paraId="69DD83F6" w14:textId="77777777">
            <w:pPr>
              <w:jc w:val="right"/>
              <w:rPr>
                <w:b w:val="0"/>
                <w:bCs w:val="0"/>
                <w:sz w:val="22"/>
                <w:szCs w:val="22"/>
              </w:rPr>
            </w:pPr>
            <w:r w:rsidRPr="00ED0154">
              <w:rPr>
                <w:b w:val="0"/>
                <w:bCs w:val="0"/>
                <w:sz w:val="22"/>
                <w:szCs w:val="22"/>
              </w:rPr>
              <w:t>0.083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891" w:rsidRPr="00ED0154" w:rsidP="002E6891" w14:paraId="721C5B17" w14:textId="77777777">
            <w:pPr>
              <w:jc w:val="right"/>
              <w:rPr>
                <w:b w:val="0"/>
                <w:bCs w:val="0"/>
                <w:sz w:val="22"/>
                <w:szCs w:val="22"/>
              </w:rPr>
            </w:pPr>
            <w:r w:rsidRPr="00ED0154">
              <w:rPr>
                <w:b w:val="0"/>
                <w:bCs w:val="0"/>
                <w:sz w:val="22"/>
                <w:szCs w:val="22"/>
              </w:rPr>
              <w:t>177,460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891" w:rsidRPr="00ED0154" w:rsidP="002E6891" w14:paraId="44DF82AF" w14:textId="77777777">
            <w:pPr>
              <w:jc w:val="right"/>
              <w:rPr>
                <w:b w:val="0"/>
                <w:bCs w:val="0"/>
                <w:sz w:val="22"/>
                <w:szCs w:val="22"/>
              </w:rPr>
            </w:pPr>
            <w:r w:rsidRPr="00ED0154">
              <w:rPr>
                <w:b w:val="0"/>
                <w:bCs w:val="0"/>
                <w:sz w:val="22"/>
                <w:szCs w:val="22"/>
              </w:rPr>
              <w:t>$65.99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891" w:rsidRPr="00ED0154" w:rsidP="002E6891" w14:paraId="4DA53AD5" w14:textId="77777777">
            <w:pPr>
              <w:jc w:val="right"/>
              <w:rPr>
                <w:b w:val="0"/>
                <w:bCs w:val="0"/>
                <w:sz w:val="22"/>
                <w:szCs w:val="22"/>
              </w:rPr>
            </w:pPr>
            <w:r w:rsidRPr="00ED0154">
              <w:rPr>
                <w:b w:val="0"/>
                <w:bCs w:val="0"/>
                <w:sz w:val="22"/>
                <w:szCs w:val="22"/>
              </w:rPr>
              <w:t>$11,710,585</w:t>
            </w:r>
          </w:p>
        </w:tc>
      </w:tr>
      <w:tr w14:paraId="3EBA1A02" w14:textId="77777777" w:rsidTr="002E6891">
        <w:tblPrEx>
          <w:tblW w:w="8190" w:type="dxa"/>
          <w:tblLayout w:type="fixed"/>
          <w:tblLook w:val="04A0"/>
        </w:tblPrEx>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2E6891" w:rsidRPr="00ED0154" w:rsidP="002E6891" w14:paraId="56A50237" w14:textId="77777777">
            <w:pPr>
              <w:rPr>
                <w:b w:val="0"/>
                <w:bCs w:val="0"/>
                <w:sz w:val="22"/>
                <w:szCs w:val="22"/>
              </w:rPr>
            </w:pPr>
            <w:r w:rsidRPr="00ED0154">
              <w:rPr>
                <w:b w:val="0"/>
                <w:bCs w:val="0"/>
                <w:sz w:val="22"/>
                <w:szCs w:val="22"/>
              </w:rPr>
              <w:t>Clerical workers maintain recordkeeping</w:t>
            </w:r>
          </w:p>
        </w:tc>
        <w:tc>
          <w:tcPr>
            <w:tcW w:w="1440" w:type="dxa"/>
            <w:tcBorders>
              <w:top w:val="single" w:sz="4" w:space="0" w:color="auto"/>
              <w:left w:val="single" w:sz="4" w:space="0" w:color="auto"/>
              <w:bottom w:val="double" w:sz="4" w:space="0" w:color="auto"/>
              <w:right w:val="single" w:sz="4" w:space="0" w:color="auto"/>
            </w:tcBorders>
            <w:shd w:val="clear" w:color="auto" w:fill="auto"/>
            <w:noWrap/>
            <w:vAlign w:val="bottom"/>
          </w:tcPr>
          <w:p w:rsidR="002E6891" w:rsidRPr="00ED0154" w:rsidP="002E6891" w14:paraId="1352DC63" w14:textId="77777777">
            <w:pPr>
              <w:jc w:val="right"/>
              <w:rPr>
                <w:b w:val="0"/>
                <w:bCs w:val="0"/>
                <w:sz w:val="22"/>
                <w:szCs w:val="22"/>
              </w:rPr>
            </w:pPr>
            <w:r w:rsidRPr="00ED0154">
              <w:rPr>
                <w:b w:val="0"/>
                <w:bCs w:val="0"/>
                <w:sz w:val="22"/>
                <w:szCs w:val="22"/>
              </w:rPr>
              <w:t>2,129,516</w:t>
            </w:r>
          </w:p>
        </w:tc>
        <w:tc>
          <w:tcPr>
            <w:tcW w:w="1170" w:type="dxa"/>
            <w:tcBorders>
              <w:top w:val="single" w:sz="4" w:space="0" w:color="auto"/>
              <w:left w:val="single" w:sz="4" w:space="0" w:color="auto"/>
              <w:bottom w:val="double" w:sz="4" w:space="0" w:color="auto"/>
              <w:right w:val="single" w:sz="4" w:space="0" w:color="auto"/>
            </w:tcBorders>
            <w:shd w:val="clear" w:color="auto" w:fill="auto"/>
            <w:noWrap/>
            <w:vAlign w:val="bottom"/>
          </w:tcPr>
          <w:p w:rsidR="002E6891" w:rsidRPr="00ED0154" w:rsidP="002E6891" w14:paraId="6CDD84B9" w14:textId="77777777">
            <w:pPr>
              <w:jc w:val="right"/>
              <w:rPr>
                <w:b w:val="0"/>
                <w:bCs w:val="0"/>
                <w:sz w:val="22"/>
                <w:szCs w:val="22"/>
              </w:rPr>
            </w:pPr>
            <w:r w:rsidRPr="00ED0154">
              <w:rPr>
                <w:b w:val="0"/>
                <w:bCs w:val="0"/>
                <w:sz w:val="22"/>
                <w:szCs w:val="22"/>
              </w:rPr>
              <w:t>0.083</w:t>
            </w:r>
          </w:p>
        </w:tc>
        <w:tc>
          <w:tcPr>
            <w:tcW w:w="1080" w:type="dxa"/>
            <w:tcBorders>
              <w:top w:val="single" w:sz="4" w:space="0" w:color="auto"/>
              <w:left w:val="single" w:sz="4" w:space="0" w:color="auto"/>
              <w:bottom w:val="double" w:sz="4" w:space="0" w:color="auto"/>
              <w:right w:val="single" w:sz="4" w:space="0" w:color="auto"/>
            </w:tcBorders>
            <w:shd w:val="clear" w:color="auto" w:fill="auto"/>
            <w:noWrap/>
            <w:vAlign w:val="bottom"/>
          </w:tcPr>
          <w:p w:rsidR="002E6891" w:rsidRPr="00ED0154" w:rsidP="002E6891" w14:paraId="0939A758" w14:textId="77777777">
            <w:pPr>
              <w:jc w:val="right"/>
              <w:rPr>
                <w:b w:val="0"/>
                <w:bCs w:val="0"/>
                <w:sz w:val="22"/>
                <w:szCs w:val="22"/>
              </w:rPr>
            </w:pPr>
            <w:r w:rsidRPr="00ED0154">
              <w:rPr>
                <w:b w:val="0"/>
                <w:bCs w:val="0"/>
                <w:sz w:val="22"/>
                <w:szCs w:val="22"/>
              </w:rPr>
              <w:t>177,460</w:t>
            </w:r>
          </w:p>
        </w:tc>
        <w:tc>
          <w:tcPr>
            <w:tcW w:w="990" w:type="dxa"/>
            <w:tcBorders>
              <w:top w:val="single" w:sz="4" w:space="0" w:color="auto"/>
              <w:left w:val="single" w:sz="4" w:space="0" w:color="auto"/>
              <w:bottom w:val="double" w:sz="4" w:space="0" w:color="auto"/>
              <w:right w:val="single" w:sz="4" w:space="0" w:color="auto"/>
            </w:tcBorders>
            <w:shd w:val="clear" w:color="auto" w:fill="auto"/>
            <w:noWrap/>
            <w:vAlign w:val="bottom"/>
          </w:tcPr>
          <w:p w:rsidR="002E6891" w:rsidRPr="00ED0154" w:rsidP="002E6891" w14:paraId="03D59172" w14:textId="77777777">
            <w:pPr>
              <w:jc w:val="right"/>
              <w:rPr>
                <w:b w:val="0"/>
                <w:bCs w:val="0"/>
                <w:sz w:val="22"/>
                <w:szCs w:val="22"/>
              </w:rPr>
            </w:pPr>
            <w:r w:rsidRPr="00ED0154">
              <w:rPr>
                <w:b w:val="0"/>
                <w:bCs w:val="0"/>
                <w:sz w:val="22"/>
                <w:szCs w:val="22"/>
              </w:rPr>
              <w:t>$65.99</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tcPr>
          <w:p w:rsidR="002E6891" w:rsidRPr="00ED0154" w:rsidP="002E6891" w14:paraId="333977EA" w14:textId="77777777">
            <w:pPr>
              <w:jc w:val="right"/>
              <w:rPr>
                <w:b w:val="0"/>
                <w:bCs w:val="0"/>
                <w:sz w:val="22"/>
                <w:szCs w:val="22"/>
              </w:rPr>
            </w:pPr>
            <w:r w:rsidRPr="00ED0154">
              <w:rPr>
                <w:b w:val="0"/>
                <w:bCs w:val="0"/>
                <w:sz w:val="22"/>
                <w:szCs w:val="22"/>
              </w:rPr>
              <w:t>$11,710,585</w:t>
            </w:r>
          </w:p>
        </w:tc>
      </w:tr>
      <w:tr w14:paraId="514F25C3" w14:textId="77777777" w:rsidTr="002E6891">
        <w:tblPrEx>
          <w:tblW w:w="8190" w:type="dxa"/>
          <w:tblLayout w:type="fixed"/>
          <w:tblLook w:val="04A0"/>
        </w:tblPrEx>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891" w:rsidRPr="000A397F" w:rsidP="002E6891" w14:paraId="04849BF1" w14:textId="77777777">
            <w:pPr>
              <w:rPr>
                <w:b w:val="0"/>
                <w:sz w:val="22"/>
                <w:szCs w:val="22"/>
              </w:rPr>
            </w:pPr>
            <w:r w:rsidRPr="000A397F">
              <w:rPr>
                <w:sz w:val="22"/>
                <w:szCs w:val="22"/>
              </w:rPr>
              <w:t>Total</w:t>
            </w:r>
          </w:p>
        </w:tc>
        <w:tc>
          <w:tcPr>
            <w:tcW w:w="144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2E6891" w:rsidRPr="00737B63" w:rsidP="002E6891" w14:paraId="6E5F1E87" w14:textId="77777777">
            <w:pPr>
              <w:jc w:val="right"/>
              <w:rPr>
                <w:b w:val="0"/>
                <w:bCs w:val="0"/>
                <w:sz w:val="22"/>
                <w:szCs w:val="22"/>
              </w:rPr>
            </w:pPr>
            <w:r w:rsidRPr="005B7D2A">
              <w:rPr>
                <w:sz w:val="22"/>
                <w:szCs w:val="22"/>
              </w:rPr>
              <w:t>2,129,536</w:t>
            </w:r>
          </w:p>
        </w:tc>
        <w:tc>
          <w:tcPr>
            <w:tcW w:w="117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2E6891" w:rsidRPr="00737B63" w:rsidP="002E6891" w14:paraId="522300CD" w14:textId="77777777">
            <w:pPr>
              <w:jc w:val="right"/>
              <w:rPr>
                <w:b w:val="0"/>
                <w:bCs w:val="0"/>
                <w:sz w:val="22"/>
                <w:szCs w:val="22"/>
              </w:rPr>
            </w:pPr>
            <w:r>
              <w:rPr>
                <w:sz w:val="22"/>
                <w:szCs w:val="22"/>
              </w:rPr>
              <w:t>-</w:t>
            </w:r>
          </w:p>
        </w:tc>
        <w:tc>
          <w:tcPr>
            <w:tcW w:w="108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2E6891" w:rsidRPr="00737B63" w:rsidP="002E6891" w14:paraId="23E297B5" w14:textId="77777777">
            <w:pPr>
              <w:jc w:val="right"/>
              <w:rPr>
                <w:b w:val="0"/>
                <w:bCs w:val="0"/>
                <w:sz w:val="22"/>
                <w:szCs w:val="22"/>
              </w:rPr>
            </w:pPr>
            <w:r>
              <w:rPr>
                <w:sz w:val="22"/>
                <w:szCs w:val="22"/>
              </w:rPr>
              <w:t>355,020</w:t>
            </w:r>
          </w:p>
        </w:tc>
        <w:tc>
          <w:tcPr>
            <w:tcW w:w="99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2E6891" w:rsidRPr="00737B63" w:rsidP="002E6891" w14:paraId="46E2CF6C" w14:textId="77777777">
            <w:pPr>
              <w:jc w:val="right"/>
              <w:rPr>
                <w:b w:val="0"/>
                <w:bCs w:val="0"/>
                <w:sz w:val="22"/>
                <w:szCs w:val="22"/>
              </w:rPr>
            </w:pPr>
            <w:r>
              <w:rPr>
                <w:sz w:val="22"/>
                <w:szCs w:val="22"/>
              </w:rPr>
              <w:t>-</w:t>
            </w:r>
          </w:p>
        </w:tc>
        <w:tc>
          <w:tcPr>
            <w:tcW w:w="135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2E6891" w:rsidRPr="00737B63" w:rsidP="002E6891" w14:paraId="063C45D1" w14:textId="77777777">
            <w:pPr>
              <w:jc w:val="right"/>
              <w:rPr>
                <w:b w:val="0"/>
                <w:bCs w:val="0"/>
                <w:sz w:val="22"/>
                <w:szCs w:val="22"/>
              </w:rPr>
            </w:pPr>
            <w:r w:rsidRPr="00737B63">
              <w:rPr>
                <w:sz w:val="22"/>
                <w:szCs w:val="22"/>
              </w:rPr>
              <w:t>$</w:t>
            </w:r>
            <w:r>
              <w:rPr>
                <w:sz w:val="22"/>
                <w:szCs w:val="22"/>
              </w:rPr>
              <w:t>23,433,073</w:t>
            </w:r>
          </w:p>
        </w:tc>
      </w:tr>
    </w:tbl>
    <w:p w:rsidR="0095256D" w:rsidP="00E82412" w14:paraId="5E57F323" w14:textId="408311D8">
      <w:pPr>
        <w:ind w:left="720"/>
        <w:rPr>
          <w:rFonts w:eastAsia="Calibri"/>
          <w:b w:val="0"/>
          <w:bCs w:val="0"/>
          <w:sz w:val="24"/>
          <w:szCs w:val="24"/>
        </w:rPr>
      </w:pPr>
    </w:p>
    <w:p w:rsidR="00651228" w:rsidRPr="0032273F" w:rsidP="00F85A02" w14:paraId="167BCF33" w14:textId="77777777">
      <w:pPr>
        <w:rPr>
          <w:b w:val="0"/>
          <w:sz w:val="24"/>
          <w:szCs w:val="24"/>
        </w:rPr>
      </w:pPr>
    </w:p>
    <w:p w:rsidR="009A34C0" w:rsidP="00774868" w14:paraId="2E1E23DC" w14:textId="77777777">
      <w:pPr>
        <w:ind w:firstLine="720"/>
        <w:rPr>
          <w:bCs w:val="0"/>
          <w:i/>
          <w:sz w:val="24"/>
          <w:szCs w:val="24"/>
          <w:u w:val="single"/>
        </w:rPr>
      </w:pPr>
    </w:p>
    <w:p w:rsidR="004A275B" w:rsidRPr="00DB308A" w:rsidP="00774868" w14:paraId="49DFDEF0" w14:textId="433D9F89">
      <w:pPr>
        <w:ind w:firstLine="720"/>
        <w:rPr>
          <w:bCs w:val="0"/>
          <w:i/>
          <w:sz w:val="24"/>
          <w:szCs w:val="24"/>
          <w:u w:val="single"/>
        </w:rPr>
      </w:pPr>
      <w:r w:rsidRPr="00DB308A">
        <w:rPr>
          <w:bCs w:val="0"/>
          <w:i/>
          <w:sz w:val="24"/>
          <w:szCs w:val="24"/>
          <w:u w:val="single"/>
        </w:rPr>
        <w:t>Overall Summary</w:t>
      </w:r>
    </w:p>
    <w:p w:rsidR="0085457D" w:rsidP="007759AF" w14:paraId="5A6E4770" w14:textId="77777777">
      <w:pPr>
        <w:rPr>
          <w:b w:val="0"/>
          <w:sz w:val="24"/>
          <w:szCs w:val="24"/>
        </w:rPr>
      </w:pPr>
    </w:p>
    <w:p w:rsidR="00917C48" w:rsidP="00B62DF9" w14:paraId="129759F4" w14:textId="664366E8">
      <w:pPr>
        <w:ind w:left="720"/>
        <w:rPr>
          <w:b w:val="0"/>
          <w:iCs/>
          <w:sz w:val="24"/>
          <w:szCs w:val="24"/>
        </w:rPr>
      </w:pPr>
      <w:r w:rsidRPr="00917C48">
        <w:rPr>
          <w:b w:val="0"/>
          <w:iCs/>
          <w:sz w:val="24"/>
          <w:szCs w:val="24"/>
        </w:rPr>
        <w:t xml:space="preserve">Because the Department of Labor and the Department of the Treasury share enforcement jurisdiction with respect to group health plans and employers under the MHPAEA provisions (see section 712 of ERISA and section 9812 of the Internal Revenue Code), the aggregate paperwork burden of this information collection is divided equally between those two Departments. </w:t>
      </w:r>
      <w:r w:rsidR="00FA169B">
        <w:rPr>
          <w:b w:val="0"/>
          <w:iCs/>
          <w:sz w:val="24"/>
          <w:szCs w:val="24"/>
        </w:rPr>
        <w:t xml:space="preserve">Please see Table 5 for burden totals. </w:t>
      </w:r>
    </w:p>
    <w:p w:rsidR="00C61FBD" w:rsidP="00EB2284" w14:paraId="22F27F60" w14:textId="0A2CAD05">
      <w:pPr>
        <w:rPr>
          <w:iCs/>
          <w:sz w:val="22"/>
          <w:szCs w:val="22"/>
        </w:rPr>
      </w:pPr>
    </w:p>
    <w:p w:rsidR="005B6F47" w:rsidRPr="007C58DD" w:rsidP="00EC0E6C" w14:paraId="6E7D0190" w14:textId="02E0EF25">
      <w:pPr>
        <w:pStyle w:val="Heading1"/>
        <w:ind w:firstLine="720"/>
        <w:rPr>
          <w:iCs/>
          <w:sz w:val="22"/>
          <w:szCs w:val="22"/>
        </w:rPr>
      </w:pPr>
      <w:r w:rsidRPr="007C58DD">
        <w:t>T</w:t>
      </w:r>
      <w:r w:rsidR="0008045B">
        <w:t>able</w:t>
      </w:r>
      <w:r w:rsidRPr="007C58DD">
        <w:t xml:space="preserve"> 5. </w:t>
      </w:r>
      <w:r w:rsidRPr="007C58DD" w:rsidR="007C58DD">
        <w:t xml:space="preserve">Total Hour Burden </w:t>
      </w:r>
      <w:r w:rsidRPr="007C58DD">
        <w:rPr>
          <w:iCs/>
          <w:sz w:val="22"/>
          <w:szCs w:val="22"/>
        </w:rPr>
        <w:tab/>
      </w:r>
    </w:p>
    <w:p w:rsidR="005B6F47" w:rsidP="005B6F47" w14:paraId="02F827AF" w14:textId="77777777">
      <w:pPr>
        <w:rPr>
          <w:iCs/>
          <w:sz w:val="22"/>
          <w:szCs w:val="22"/>
        </w:rPr>
      </w:pPr>
    </w:p>
    <w:tbl>
      <w:tblPr>
        <w:tblW w:w="95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2520"/>
        <w:gridCol w:w="1800"/>
      </w:tblGrid>
      <w:tr w14:paraId="1097FE9F" w14:textId="77777777" w:rsidTr="00BB6CCD">
        <w:tblPrEx>
          <w:tblW w:w="95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0"/>
        </w:trPr>
        <w:tc>
          <w:tcPr>
            <w:tcW w:w="5220" w:type="dxa"/>
            <w:shd w:val="clear" w:color="auto" w:fill="auto"/>
            <w:noWrap/>
            <w:vAlign w:val="bottom"/>
            <w:hideMark/>
          </w:tcPr>
          <w:p w:rsidR="005B6F47" w:rsidRPr="005B6F47" w:rsidP="005B6F47" w14:paraId="4CB1DA70" w14:textId="77777777">
            <w:pPr>
              <w:widowControl/>
              <w:autoSpaceDE/>
              <w:autoSpaceDN/>
              <w:adjustRightInd/>
              <w:rPr>
                <w:b w:val="0"/>
                <w:bCs w:val="0"/>
                <w:sz w:val="22"/>
                <w:szCs w:val="22"/>
              </w:rPr>
            </w:pPr>
            <w:r w:rsidRPr="005B6F47">
              <w:rPr>
                <w:b w:val="0"/>
                <w:bCs w:val="0"/>
                <w:sz w:val="22"/>
                <w:szCs w:val="22"/>
              </w:rPr>
              <w:t> </w:t>
            </w:r>
          </w:p>
        </w:tc>
        <w:tc>
          <w:tcPr>
            <w:tcW w:w="2520" w:type="dxa"/>
            <w:shd w:val="clear" w:color="auto" w:fill="auto"/>
            <w:vAlign w:val="bottom"/>
            <w:hideMark/>
          </w:tcPr>
          <w:p w:rsidR="005B6F47" w:rsidRPr="005B6F47" w:rsidP="005B6F47" w14:paraId="5E15CE88" w14:textId="77777777">
            <w:pPr>
              <w:widowControl/>
              <w:autoSpaceDE/>
              <w:autoSpaceDN/>
              <w:adjustRightInd/>
              <w:jc w:val="center"/>
              <w:rPr>
                <w:sz w:val="22"/>
                <w:szCs w:val="22"/>
              </w:rPr>
            </w:pPr>
            <w:r w:rsidRPr="005B6F47">
              <w:rPr>
                <w:sz w:val="22"/>
                <w:szCs w:val="22"/>
              </w:rPr>
              <w:t>Total for All Agencies</w:t>
            </w:r>
          </w:p>
        </w:tc>
        <w:tc>
          <w:tcPr>
            <w:tcW w:w="1800" w:type="dxa"/>
            <w:shd w:val="clear" w:color="auto" w:fill="auto"/>
            <w:vAlign w:val="bottom"/>
            <w:hideMark/>
          </w:tcPr>
          <w:p w:rsidR="005B6F47" w:rsidRPr="005B6F47" w:rsidP="005B6F47" w14:paraId="05A11B11" w14:textId="77777777">
            <w:pPr>
              <w:widowControl/>
              <w:autoSpaceDE/>
              <w:autoSpaceDN/>
              <w:adjustRightInd/>
              <w:jc w:val="center"/>
              <w:rPr>
                <w:sz w:val="22"/>
                <w:szCs w:val="22"/>
              </w:rPr>
            </w:pPr>
            <w:r w:rsidRPr="005B6F47">
              <w:rPr>
                <w:sz w:val="22"/>
                <w:szCs w:val="22"/>
              </w:rPr>
              <w:t xml:space="preserve">DOL Total </w:t>
            </w:r>
          </w:p>
        </w:tc>
      </w:tr>
      <w:tr w14:paraId="20496D13" w14:textId="77777777" w:rsidTr="00BB6CCD">
        <w:tblPrEx>
          <w:tblW w:w="9540" w:type="dxa"/>
          <w:tblInd w:w="170" w:type="dxa"/>
          <w:tblLook w:val="04A0"/>
        </w:tblPrEx>
        <w:trPr>
          <w:trHeight w:val="280"/>
        </w:trPr>
        <w:tc>
          <w:tcPr>
            <w:tcW w:w="5220" w:type="dxa"/>
            <w:shd w:val="clear" w:color="auto" w:fill="auto"/>
            <w:noWrap/>
            <w:vAlign w:val="bottom"/>
            <w:hideMark/>
          </w:tcPr>
          <w:p w:rsidR="005B6F47" w:rsidRPr="005B6F47" w:rsidP="005B6F47" w14:paraId="320FCA04" w14:textId="77777777">
            <w:pPr>
              <w:widowControl/>
              <w:autoSpaceDE/>
              <w:autoSpaceDN/>
              <w:adjustRightInd/>
              <w:rPr>
                <w:b w:val="0"/>
                <w:bCs w:val="0"/>
                <w:sz w:val="22"/>
                <w:szCs w:val="22"/>
              </w:rPr>
            </w:pPr>
            <w:r w:rsidRPr="005B6F47">
              <w:rPr>
                <w:b w:val="0"/>
                <w:bCs w:val="0"/>
                <w:sz w:val="22"/>
                <w:szCs w:val="22"/>
              </w:rPr>
              <w:t> </w:t>
            </w:r>
          </w:p>
        </w:tc>
        <w:tc>
          <w:tcPr>
            <w:tcW w:w="2520" w:type="dxa"/>
            <w:shd w:val="clear" w:color="auto" w:fill="auto"/>
            <w:vAlign w:val="bottom"/>
            <w:hideMark/>
          </w:tcPr>
          <w:p w:rsidR="005B6F47" w:rsidRPr="005B6F47" w:rsidP="005B6F47" w14:paraId="22C5D465" w14:textId="77777777">
            <w:pPr>
              <w:widowControl/>
              <w:autoSpaceDE/>
              <w:autoSpaceDN/>
              <w:adjustRightInd/>
              <w:jc w:val="center"/>
              <w:rPr>
                <w:sz w:val="22"/>
                <w:szCs w:val="22"/>
              </w:rPr>
            </w:pPr>
            <w:r w:rsidRPr="005B6F47">
              <w:rPr>
                <w:sz w:val="22"/>
                <w:szCs w:val="22"/>
              </w:rPr>
              <w:t>(A)</w:t>
            </w:r>
          </w:p>
        </w:tc>
        <w:tc>
          <w:tcPr>
            <w:tcW w:w="1800" w:type="dxa"/>
            <w:shd w:val="clear" w:color="auto" w:fill="auto"/>
            <w:vAlign w:val="bottom"/>
            <w:hideMark/>
          </w:tcPr>
          <w:p w:rsidR="005B6F47" w:rsidRPr="005B6F47" w:rsidP="005B6F47" w14:paraId="1A71F179" w14:textId="77777777">
            <w:pPr>
              <w:widowControl/>
              <w:autoSpaceDE/>
              <w:autoSpaceDN/>
              <w:adjustRightInd/>
              <w:jc w:val="center"/>
              <w:rPr>
                <w:sz w:val="22"/>
                <w:szCs w:val="22"/>
              </w:rPr>
            </w:pPr>
            <w:r w:rsidRPr="005B6F47">
              <w:rPr>
                <w:sz w:val="22"/>
                <w:szCs w:val="22"/>
              </w:rPr>
              <w:t>(B)</w:t>
            </w:r>
          </w:p>
        </w:tc>
      </w:tr>
      <w:tr w14:paraId="1D6FCAB8" w14:textId="77777777" w:rsidTr="00934397">
        <w:tblPrEx>
          <w:tblW w:w="9540" w:type="dxa"/>
          <w:tblInd w:w="170" w:type="dxa"/>
          <w:tblLook w:val="04A0"/>
        </w:tblPrEx>
        <w:trPr>
          <w:trHeight w:val="280"/>
        </w:trPr>
        <w:tc>
          <w:tcPr>
            <w:tcW w:w="5220" w:type="dxa"/>
            <w:shd w:val="clear" w:color="auto" w:fill="auto"/>
            <w:vAlign w:val="bottom"/>
            <w:hideMark/>
          </w:tcPr>
          <w:p w:rsidR="001E1311" w:rsidRPr="005B6F47" w:rsidP="001E1311" w14:paraId="3BEA3BA2" w14:textId="77777777">
            <w:pPr>
              <w:widowControl/>
              <w:autoSpaceDE/>
              <w:autoSpaceDN/>
              <w:adjustRightInd/>
              <w:rPr>
                <w:b w:val="0"/>
                <w:bCs w:val="0"/>
                <w:sz w:val="22"/>
                <w:szCs w:val="22"/>
              </w:rPr>
            </w:pPr>
            <w:r w:rsidRPr="005B6F47">
              <w:rPr>
                <w:b w:val="0"/>
                <w:bCs w:val="0"/>
                <w:sz w:val="22"/>
                <w:szCs w:val="22"/>
              </w:rPr>
              <w:t>Total Hour Burden (First Year)</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311" w:rsidRPr="001E1311" w:rsidP="001E1311" w14:paraId="23FE8581" w14:textId="7995C1CF">
            <w:pPr>
              <w:widowControl/>
              <w:autoSpaceDE/>
              <w:autoSpaceDN/>
              <w:adjustRightInd/>
              <w:jc w:val="right"/>
              <w:rPr>
                <w:b w:val="0"/>
                <w:bCs w:val="0"/>
                <w:sz w:val="22"/>
                <w:szCs w:val="22"/>
              </w:rPr>
            </w:pPr>
            <w:r w:rsidRPr="001E1311">
              <w:rPr>
                <w:b w:val="0"/>
                <w:bCs w:val="0"/>
                <w:sz w:val="22"/>
                <w:szCs w:val="22"/>
              </w:rPr>
              <w:t>2,376,862</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E1311" w:rsidRPr="001E1311" w:rsidP="001E1311" w14:paraId="76545C8F" w14:textId="0423C69F">
            <w:pPr>
              <w:widowControl/>
              <w:autoSpaceDE/>
              <w:autoSpaceDN/>
              <w:adjustRightInd/>
              <w:jc w:val="right"/>
              <w:rPr>
                <w:b w:val="0"/>
                <w:bCs w:val="0"/>
                <w:sz w:val="22"/>
                <w:szCs w:val="22"/>
              </w:rPr>
            </w:pPr>
            <w:r w:rsidRPr="001E1311">
              <w:rPr>
                <w:b w:val="0"/>
                <w:bCs w:val="0"/>
                <w:sz w:val="22"/>
                <w:szCs w:val="22"/>
              </w:rPr>
              <w:t>1,188,431</w:t>
            </w:r>
          </w:p>
        </w:tc>
      </w:tr>
      <w:tr w14:paraId="57AA1BBA" w14:textId="77777777" w:rsidTr="00934397">
        <w:tblPrEx>
          <w:tblW w:w="9540" w:type="dxa"/>
          <w:tblInd w:w="170" w:type="dxa"/>
          <w:tblLook w:val="04A0"/>
        </w:tblPrEx>
        <w:trPr>
          <w:trHeight w:val="295"/>
        </w:trPr>
        <w:tc>
          <w:tcPr>
            <w:tcW w:w="5220" w:type="dxa"/>
            <w:shd w:val="clear" w:color="auto" w:fill="auto"/>
            <w:vAlign w:val="bottom"/>
            <w:hideMark/>
          </w:tcPr>
          <w:p w:rsidR="001E1311" w:rsidRPr="005B6F47" w:rsidP="001E1311" w14:paraId="64C0B68E" w14:textId="77777777">
            <w:pPr>
              <w:widowControl/>
              <w:autoSpaceDE/>
              <w:autoSpaceDN/>
              <w:adjustRightInd/>
              <w:rPr>
                <w:b w:val="0"/>
                <w:bCs w:val="0"/>
                <w:sz w:val="22"/>
                <w:szCs w:val="22"/>
              </w:rPr>
            </w:pPr>
            <w:r w:rsidRPr="005B6F47">
              <w:rPr>
                <w:b w:val="0"/>
                <w:bCs w:val="0"/>
                <w:sz w:val="22"/>
                <w:szCs w:val="22"/>
              </w:rPr>
              <w:t>Total Equivalent Cost of Hour Burden (First Year)</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311" w:rsidRPr="001E1311" w:rsidP="001E1311" w14:paraId="50284AE3" w14:textId="482D90DF">
            <w:pPr>
              <w:widowControl/>
              <w:autoSpaceDE/>
              <w:autoSpaceDN/>
              <w:adjustRightInd/>
              <w:jc w:val="right"/>
              <w:rPr>
                <w:b w:val="0"/>
                <w:bCs w:val="0"/>
                <w:sz w:val="22"/>
                <w:szCs w:val="22"/>
              </w:rPr>
            </w:pPr>
            <w:r w:rsidRPr="001E1311">
              <w:rPr>
                <w:b w:val="0"/>
                <w:bCs w:val="0"/>
                <w:sz w:val="22"/>
                <w:szCs w:val="22"/>
              </w:rPr>
              <w:t>$344,437,316</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E1311" w:rsidRPr="001E1311" w:rsidP="001E1311" w14:paraId="34CDD67C" w14:textId="16475699">
            <w:pPr>
              <w:widowControl/>
              <w:autoSpaceDE/>
              <w:autoSpaceDN/>
              <w:adjustRightInd/>
              <w:jc w:val="right"/>
              <w:rPr>
                <w:b w:val="0"/>
                <w:bCs w:val="0"/>
                <w:sz w:val="22"/>
                <w:szCs w:val="22"/>
              </w:rPr>
            </w:pPr>
            <w:r w:rsidRPr="001E1311">
              <w:rPr>
                <w:b w:val="0"/>
                <w:bCs w:val="0"/>
                <w:sz w:val="22"/>
                <w:szCs w:val="22"/>
              </w:rPr>
              <w:t>$172,218,658</w:t>
            </w:r>
          </w:p>
        </w:tc>
      </w:tr>
      <w:tr w14:paraId="1251A186" w14:textId="77777777" w:rsidTr="00934397">
        <w:tblPrEx>
          <w:tblW w:w="9540" w:type="dxa"/>
          <w:tblInd w:w="170" w:type="dxa"/>
          <w:tblLook w:val="04A0"/>
        </w:tblPrEx>
        <w:trPr>
          <w:trHeight w:val="280"/>
        </w:trPr>
        <w:tc>
          <w:tcPr>
            <w:tcW w:w="5220" w:type="dxa"/>
            <w:shd w:val="clear" w:color="auto" w:fill="auto"/>
            <w:vAlign w:val="bottom"/>
            <w:hideMark/>
          </w:tcPr>
          <w:p w:rsidR="001E1311" w:rsidRPr="005B6F47" w:rsidP="001E1311" w14:paraId="33F68FC1" w14:textId="77777777">
            <w:pPr>
              <w:widowControl/>
              <w:autoSpaceDE/>
              <w:autoSpaceDN/>
              <w:adjustRightInd/>
              <w:rPr>
                <w:b w:val="0"/>
                <w:bCs w:val="0"/>
                <w:sz w:val="22"/>
                <w:szCs w:val="22"/>
              </w:rPr>
            </w:pPr>
            <w:r w:rsidRPr="005B6F47">
              <w:rPr>
                <w:b w:val="0"/>
                <w:bCs w:val="0"/>
                <w:sz w:val="22"/>
                <w:szCs w:val="22"/>
              </w:rPr>
              <w:t>Total Hour Burden (Subsequent Years)</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311" w:rsidRPr="001E1311" w:rsidP="001E1311" w14:paraId="14F5A925" w14:textId="139AD1CC">
            <w:pPr>
              <w:widowControl/>
              <w:autoSpaceDE/>
              <w:autoSpaceDN/>
              <w:adjustRightInd/>
              <w:jc w:val="right"/>
              <w:rPr>
                <w:b w:val="0"/>
                <w:bCs w:val="0"/>
                <w:sz w:val="22"/>
                <w:szCs w:val="22"/>
              </w:rPr>
            </w:pPr>
            <w:r w:rsidRPr="001E1311">
              <w:rPr>
                <w:b w:val="0"/>
                <w:bCs w:val="0"/>
                <w:sz w:val="22"/>
                <w:szCs w:val="22"/>
              </w:rPr>
              <w:t>1,175,662</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E1311" w:rsidRPr="001E1311" w:rsidP="001E1311" w14:paraId="2F66B59A" w14:textId="0644F28C">
            <w:pPr>
              <w:widowControl/>
              <w:autoSpaceDE/>
              <w:autoSpaceDN/>
              <w:adjustRightInd/>
              <w:jc w:val="right"/>
              <w:rPr>
                <w:b w:val="0"/>
                <w:bCs w:val="0"/>
                <w:sz w:val="22"/>
                <w:szCs w:val="22"/>
              </w:rPr>
            </w:pPr>
            <w:r w:rsidRPr="001E1311">
              <w:rPr>
                <w:b w:val="0"/>
                <w:bCs w:val="0"/>
                <w:sz w:val="22"/>
                <w:szCs w:val="22"/>
              </w:rPr>
              <w:t>467,711</w:t>
            </w:r>
          </w:p>
        </w:tc>
      </w:tr>
      <w:tr w14:paraId="72C1F77B" w14:textId="77777777" w:rsidTr="00934397">
        <w:tblPrEx>
          <w:tblW w:w="9540" w:type="dxa"/>
          <w:tblInd w:w="170" w:type="dxa"/>
          <w:tblLook w:val="04A0"/>
        </w:tblPrEx>
        <w:trPr>
          <w:trHeight w:val="560"/>
        </w:trPr>
        <w:tc>
          <w:tcPr>
            <w:tcW w:w="5220" w:type="dxa"/>
            <w:shd w:val="clear" w:color="auto" w:fill="auto"/>
            <w:vAlign w:val="bottom"/>
            <w:hideMark/>
          </w:tcPr>
          <w:p w:rsidR="001E1311" w:rsidRPr="005B6F47" w:rsidP="001E1311" w14:paraId="60AE5D95" w14:textId="77777777">
            <w:pPr>
              <w:widowControl/>
              <w:autoSpaceDE/>
              <w:autoSpaceDN/>
              <w:adjustRightInd/>
              <w:rPr>
                <w:b w:val="0"/>
                <w:bCs w:val="0"/>
                <w:sz w:val="22"/>
                <w:szCs w:val="22"/>
              </w:rPr>
            </w:pPr>
            <w:r w:rsidRPr="005B6F47">
              <w:rPr>
                <w:b w:val="0"/>
                <w:bCs w:val="0"/>
                <w:sz w:val="22"/>
                <w:szCs w:val="22"/>
              </w:rPr>
              <w:t>Total Equivalent Cost of Hour Burden (Subsequent Years)</w:t>
            </w:r>
          </w:p>
        </w:tc>
        <w:tc>
          <w:tcPr>
            <w:tcW w:w="252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1E1311" w:rsidRPr="001E1311" w:rsidP="001E1311" w14:paraId="1C48F70C" w14:textId="56D92E35">
            <w:pPr>
              <w:widowControl/>
              <w:autoSpaceDE/>
              <w:autoSpaceDN/>
              <w:adjustRightInd/>
              <w:jc w:val="right"/>
              <w:rPr>
                <w:b w:val="0"/>
                <w:bCs w:val="0"/>
                <w:sz w:val="22"/>
                <w:szCs w:val="22"/>
              </w:rPr>
            </w:pPr>
            <w:r w:rsidRPr="001E1311">
              <w:rPr>
                <w:b w:val="0"/>
                <w:bCs w:val="0"/>
                <w:sz w:val="22"/>
                <w:szCs w:val="22"/>
              </w:rPr>
              <w:t>$143,260,339</w:t>
            </w:r>
          </w:p>
        </w:tc>
        <w:tc>
          <w:tcPr>
            <w:tcW w:w="1800" w:type="dxa"/>
            <w:tcBorders>
              <w:top w:val="single" w:sz="4" w:space="0" w:color="auto"/>
              <w:left w:val="nil"/>
              <w:bottom w:val="double" w:sz="6" w:space="0" w:color="auto"/>
              <w:right w:val="single" w:sz="4" w:space="0" w:color="auto"/>
            </w:tcBorders>
            <w:shd w:val="clear" w:color="auto" w:fill="auto"/>
            <w:noWrap/>
            <w:vAlign w:val="bottom"/>
            <w:hideMark/>
          </w:tcPr>
          <w:p w:rsidR="001E1311" w:rsidRPr="001E1311" w:rsidP="001E1311" w14:paraId="363A39A3" w14:textId="61974340">
            <w:pPr>
              <w:widowControl/>
              <w:autoSpaceDE/>
              <w:autoSpaceDN/>
              <w:adjustRightInd/>
              <w:jc w:val="right"/>
              <w:rPr>
                <w:b w:val="0"/>
                <w:bCs w:val="0"/>
                <w:sz w:val="22"/>
                <w:szCs w:val="22"/>
              </w:rPr>
            </w:pPr>
            <w:r w:rsidRPr="001E1311">
              <w:rPr>
                <w:b w:val="0"/>
                <w:bCs w:val="0"/>
                <w:sz w:val="22"/>
                <w:szCs w:val="22"/>
              </w:rPr>
              <w:t>$51,512,472</w:t>
            </w:r>
          </w:p>
        </w:tc>
      </w:tr>
      <w:tr w14:paraId="0FCFD083" w14:textId="77777777">
        <w:tblPrEx>
          <w:tblW w:w="9540" w:type="dxa"/>
          <w:tblInd w:w="170" w:type="dxa"/>
          <w:tblLook w:val="04A0"/>
        </w:tblPrEx>
        <w:trPr>
          <w:trHeight w:val="280"/>
        </w:trPr>
        <w:tc>
          <w:tcPr>
            <w:tcW w:w="5220" w:type="dxa"/>
            <w:shd w:val="clear" w:color="auto" w:fill="auto"/>
            <w:vAlign w:val="bottom"/>
            <w:hideMark/>
          </w:tcPr>
          <w:p w:rsidR="001E1311" w:rsidRPr="00073807" w:rsidP="001E1311" w14:paraId="16401EA6" w14:textId="77777777">
            <w:pPr>
              <w:widowControl/>
              <w:autoSpaceDE/>
              <w:autoSpaceDN/>
              <w:adjustRightInd/>
              <w:rPr>
                <w:sz w:val="22"/>
                <w:szCs w:val="22"/>
              </w:rPr>
            </w:pPr>
            <w:r w:rsidRPr="00073807">
              <w:rPr>
                <w:sz w:val="22"/>
                <w:szCs w:val="22"/>
              </w:rPr>
              <w:t>Total Hour Burden (Three-Year Average)</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1E1311" w:rsidRPr="001E1311" w:rsidP="001E1311" w14:paraId="34E48E9D" w14:textId="1362878F">
            <w:pPr>
              <w:widowControl/>
              <w:autoSpaceDE/>
              <w:autoSpaceDN/>
              <w:adjustRightInd/>
              <w:jc w:val="right"/>
              <w:rPr>
                <w:sz w:val="22"/>
                <w:szCs w:val="22"/>
              </w:rPr>
            </w:pPr>
            <w:r w:rsidRPr="001E1311">
              <w:rPr>
                <w:sz w:val="22"/>
                <w:szCs w:val="22"/>
              </w:rPr>
              <w:t>1,415,902</w:t>
            </w:r>
          </w:p>
        </w:tc>
        <w:tc>
          <w:tcPr>
            <w:tcW w:w="1800" w:type="dxa"/>
            <w:tcBorders>
              <w:top w:val="nil"/>
              <w:left w:val="nil"/>
              <w:bottom w:val="single" w:sz="4" w:space="0" w:color="auto"/>
              <w:right w:val="single" w:sz="4" w:space="0" w:color="auto"/>
            </w:tcBorders>
            <w:shd w:val="clear" w:color="auto" w:fill="auto"/>
            <w:noWrap/>
            <w:vAlign w:val="bottom"/>
            <w:hideMark/>
          </w:tcPr>
          <w:p w:rsidR="001E1311" w:rsidRPr="001E1311" w:rsidP="001E1311" w14:paraId="3F3FDB60" w14:textId="3A6F8C3C">
            <w:pPr>
              <w:widowControl/>
              <w:autoSpaceDE/>
              <w:autoSpaceDN/>
              <w:adjustRightInd/>
              <w:jc w:val="right"/>
              <w:rPr>
                <w:sz w:val="22"/>
                <w:szCs w:val="22"/>
              </w:rPr>
            </w:pPr>
            <w:r w:rsidRPr="001E1311">
              <w:rPr>
                <w:sz w:val="22"/>
                <w:szCs w:val="22"/>
              </w:rPr>
              <w:t>707,951</w:t>
            </w:r>
          </w:p>
        </w:tc>
      </w:tr>
      <w:tr w14:paraId="468617B7" w14:textId="77777777">
        <w:tblPrEx>
          <w:tblW w:w="9540" w:type="dxa"/>
          <w:tblInd w:w="170" w:type="dxa"/>
          <w:tblLook w:val="04A0"/>
        </w:tblPrEx>
        <w:trPr>
          <w:trHeight w:val="560"/>
        </w:trPr>
        <w:tc>
          <w:tcPr>
            <w:tcW w:w="5220" w:type="dxa"/>
            <w:shd w:val="clear" w:color="auto" w:fill="auto"/>
            <w:vAlign w:val="bottom"/>
            <w:hideMark/>
          </w:tcPr>
          <w:p w:rsidR="001E1311" w:rsidRPr="00073807" w:rsidP="001E1311" w14:paraId="327EF4E0" w14:textId="77777777">
            <w:pPr>
              <w:widowControl/>
              <w:autoSpaceDE/>
              <w:autoSpaceDN/>
              <w:adjustRightInd/>
              <w:rPr>
                <w:sz w:val="22"/>
                <w:szCs w:val="22"/>
              </w:rPr>
            </w:pPr>
            <w:r w:rsidRPr="00073807">
              <w:rPr>
                <w:sz w:val="22"/>
                <w:szCs w:val="22"/>
              </w:rPr>
              <w:t>Total Equivalent Cost of Hour Burden (Three-Year Average)</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1E1311" w:rsidRPr="001E1311" w:rsidP="001E1311" w14:paraId="4B85138F" w14:textId="5D1DC659">
            <w:pPr>
              <w:widowControl/>
              <w:autoSpaceDE/>
              <w:autoSpaceDN/>
              <w:adjustRightInd/>
              <w:jc w:val="right"/>
              <w:rPr>
                <w:sz w:val="22"/>
                <w:szCs w:val="22"/>
              </w:rPr>
            </w:pPr>
            <w:r w:rsidRPr="001E1311">
              <w:rPr>
                <w:sz w:val="22"/>
                <w:szCs w:val="22"/>
              </w:rPr>
              <w:t>$183,495,735</w:t>
            </w:r>
          </w:p>
        </w:tc>
        <w:tc>
          <w:tcPr>
            <w:tcW w:w="1800" w:type="dxa"/>
            <w:tcBorders>
              <w:top w:val="nil"/>
              <w:left w:val="nil"/>
              <w:bottom w:val="single" w:sz="4" w:space="0" w:color="auto"/>
              <w:right w:val="single" w:sz="4" w:space="0" w:color="auto"/>
            </w:tcBorders>
            <w:shd w:val="clear" w:color="auto" w:fill="auto"/>
            <w:noWrap/>
            <w:vAlign w:val="bottom"/>
            <w:hideMark/>
          </w:tcPr>
          <w:p w:rsidR="001E1311" w:rsidRPr="001E1311" w:rsidP="001E1311" w14:paraId="4B4C3B27" w14:textId="27FD72E4">
            <w:pPr>
              <w:widowControl/>
              <w:autoSpaceDE/>
              <w:autoSpaceDN/>
              <w:adjustRightInd/>
              <w:jc w:val="right"/>
              <w:rPr>
                <w:sz w:val="22"/>
                <w:szCs w:val="22"/>
              </w:rPr>
            </w:pPr>
            <w:r w:rsidRPr="001E1311">
              <w:rPr>
                <w:sz w:val="22"/>
                <w:szCs w:val="22"/>
              </w:rPr>
              <w:t>$91,747,867</w:t>
            </w:r>
          </w:p>
        </w:tc>
      </w:tr>
    </w:tbl>
    <w:p w:rsidR="005B6F47" w:rsidP="005B6F47" w14:paraId="17EC2BCD" w14:textId="77777777">
      <w:pPr>
        <w:rPr>
          <w:iCs/>
          <w:sz w:val="22"/>
          <w:szCs w:val="22"/>
        </w:rPr>
      </w:pPr>
    </w:p>
    <w:p w:rsidR="00AF7AC7" w:rsidP="005B6F47" w14:paraId="5C23204E" w14:textId="77777777">
      <w:pPr>
        <w:rPr>
          <w:iCs/>
          <w:sz w:val="22"/>
          <w:szCs w:val="22"/>
        </w:rPr>
      </w:pPr>
    </w:p>
    <w:p w:rsidR="00AF7AC7" w:rsidP="005B6F47" w14:paraId="3DEFEF0C" w14:textId="77777777">
      <w:pPr>
        <w:rPr>
          <w:iCs/>
          <w:sz w:val="22"/>
          <w:szCs w:val="22"/>
        </w:rPr>
      </w:pPr>
    </w:p>
    <w:p w:rsidR="00AF7AC7" w:rsidP="005B6F47" w14:paraId="2F1A6B25" w14:textId="77777777">
      <w:pPr>
        <w:rPr>
          <w:iCs/>
          <w:sz w:val="22"/>
          <w:szCs w:val="22"/>
        </w:rPr>
      </w:pPr>
    </w:p>
    <w:p w:rsidR="00AF7AC7" w:rsidP="005B6F47" w14:paraId="7AC10F82" w14:textId="77777777">
      <w:pPr>
        <w:rPr>
          <w:iCs/>
          <w:sz w:val="22"/>
          <w:szCs w:val="22"/>
        </w:rPr>
      </w:pPr>
    </w:p>
    <w:p w:rsidR="00EC0E6C" w:rsidP="005B6F47" w14:paraId="40759D36" w14:textId="77777777">
      <w:pPr>
        <w:rPr>
          <w:iCs/>
          <w:sz w:val="22"/>
          <w:szCs w:val="22"/>
        </w:rPr>
      </w:pPr>
    </w:p>
    <w:p w:rsidR="00F15B68" w:rsidP="00EC0E6C" w14:paraId="0C8D33A8" w14:textId="0B58046A">
      <w:pPr>
        <w:pStyle w:val="Heading1"/>
        <w:ind w:left="720" w:firstLine="720"/>
      </w:pPr>
      <w:r>
        <w:t xml:space="preserve">Table </w:t>
      </w:r>
      <w:r w:rsidR="004C154D">
        <w:t>6</w:t>
      </w:r>
      <w:r>
        <w:t xml:space="preserve">. </w:t>
      </w:r>
      <w:r w:rsidRPr="00C61FBD" w:rsidR="001F098D">
        <w:t>Estimated Annualized Respondent Cost and Hour Burden</w:t>
      </w:r>
    </w:p>
    <w:p w:rsidR="00335C62" w:rsidP="00335C62" w14:paraId="65214C37" w14:textId="77777777">
      <w:pPr>
        <w:rPr>
          <w:iCs/>
          <w:sz w:val="24"/>
          <w:szCs w:val="24"/>
        </w:rPr>
      </w:pPr>
    </w:p>
    <w:tbl>
      <w:tblPr>
        <w:tblW w:w="10018" w:type="dxa"/>
        <w:tblLook w:val="04A0"/>
      </w:tblPr>
      <w:tblGrid>
        <w:gridCol w:w="1646"/>
        <w:gridCol w:w="1306"/>
        <w:gridCol w:w="1228"/>
        <w:gridCol w:w="1094"/>
        <w:gridCol w:w="1038"/>
        <w:gridCol w:w="1024"/>
        <w:gridCol w:w="1366"/>
        <w:gridCol w:w="1316"/>
      </w:tblGrid>
      <w:tr w14:paraId="5FF2F998" w14:textId="77777777" w:rsidTr="00907466">
        <w:tblPrEx>
          <w:tblW w:w="10018" w:type="dxa"/>
          <w:tblLook w:val="04A0"/>
        </w:tblPrEx>
        <w:trPr>
          <w:trHeight w:val="523"/>
        </w:trPr>
        <w:tc>
          <w:tcPr>
            <w:tcW w:w="1646"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3497E6A1" w14:textId="77777777">
            <w:pPr>
              <w:widowControl/>
              <w:autoSpaceDE/>
              <w:autoSpaceDN/>
              <w:adjustRightInd/>
              <w:jc w:val="center"/>
              <w:rPr>
                <w:color w:val="000000"/>
              </w:rPr>
            </w:pPr>
            <w:r w:rsidRPr="00335C62">
              <w:rPr>
                <w:color w:val="000000"/>
              </w:rPr>
              <w:t>Activity</w:t>
            </w:r>
            <w:r w:rsidRPr="00335C62">
              <w:rPr>
                <w:b w:val="0"/>
                <w:bCs w:val="0"/>
                <w:color w:val="000000"/>
              </w:rPr>
              <w:t> </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427774B2" w14:textId="77777777">
            <w:pPr>
              <w:widowControl/>
              <w:autoSpaceDE/>
              <w:autoSpaceDN/>
              <w:adjustRightInd/>
              <w:jc w:val="center"/>
              <w:rPr>
                <w:color w:val="000000"/>
              </w:rPr>
            </w:pPr>
            <w:r w:rsidRPr="00335C62">
              <w:rPr>
                <w:color w:val="000000"/>
              </w:rPr>
              <w:t>Number of Respondents</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7BC4B211" w14:textId="77777777">
            <w:pPr>
              <w:widowControl/>
              <w:autoSpaceDE/>
              <w:autoSpaceDN/>
              <w:adjustRightInd/>
              <w:jc w:val="center"/>
              <w:rPr>
                <w:color w:val="000000"/>
              </w:rPr>
            </w:pPr>
            <w:r w:rsidRPr="00335C62">
              <w:rPr>
                <w:color w:val="000000"/>
              </w:rPr>
              <w:t>Number of Responses</w:t>
            </w:r>
            <w:r w:rsidRPr="00335C62">
              <w:rPr>
                <w:b w:val="0"/>
                <w:bCs w:val="0"/>
                <w:color w:val="000000"/>
              </w:rPr>
              <w:t xml:space="preserve"> </w:t>
            </w:r>
            <w:r w:rsidRPr="00335C62">
              <w:rPr>
                <w:color w:val="000000"/>
              </w:rPr>
              <w:t>per Respondent</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43F03B79" w14:textId="77777777">
            <w:pPr>
              <w:widowControl/>
              <w:autoSpaceDE/>
              <w:autoSpaceDN/>
              <w:adjustRightInd/>
              <w:jc w:val="center"/>
              <w:rPr>
                <w:color w:val="000000"/>
              </w:rPr>
            </w:pPr>
            <w:r w:rsidRPr="00335C62">
              <w:rPr>
                <w:color w:val="000000"/>
              </w:rPr>
              <w:t>Total Responses</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72267030" w14:textId="77777777">
            <w:pPr>
              <w:widowControl/>
              <w:autoSpaceDE/>
              <w:autoSpaceDN/>
              <w:adjustRightInd/>
              <w:jc w:val="center"/>
              <w:rPr>
                <w:color w:val="000000"/>
              </w:rPr>
            </w:pPr>
            <w:r w:rsidRPr="00335C62">
              <w:rPr>
                <w:color w:val="000000"/>
              </w:rPr>
              <w:t>Average Burden (Hours)</w:t>
            </w:r>
            <w:r w:rsidRPr="00335C62">
              <w:rPr>
                <w:b w:val="0"/>
                <w:bCs w:val="0"/>
                <w:color w:val="000000"/>
              </w:rPr>
              <w:t> </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47AADC78" w14:textId="77777777">
            <w:pPr>
              <w:widowControl/>
              <w:autoSpaceDE/>
              <w:autoSpaceDN/>
              <w:adjustRightInd/>
              <w:jc w:val="center"/>
              <w:rPr>
                <w:color w:val="000000"/>
              </w:rPr>
            </w:pPr>
            <w:r w:rsidRPr="00335C62">
              <w:rPr>
                <w:color w:val="000000"/>
              </w:rPr>
              <w:t>Total Burden (Hours)</w:t>
            </w:r>
            <w:r w:rsidRPr="00335C62">
              <w:rPr>
                <w:b w:val="0"/>
                <w:bCs w:val="0"/>
                <w:color w:val="000000"/>
              </w:rPr>
              <w:t> </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00D8CB54" w14:textId="77777777">
            <w:pPr>
              <w:widowControl/>
              <w:autoSpaceDE/>
              <w:autoSpaceDN/>
              <w:adjustRightInd/>
              <w:jc w:val="center"/>
              <w:rPr>
                <w:color w:val="000000"/>
              </w:rPr>
            </w:pPr>
            <w:r w:rsidRPr="00335C62">
              <w:rPr>
                <w:color w:val="000000"/>
              </w:rPr>
              <w:t>Hourly</w:t>
            </w:r>
            <w:r w:rsidRPr="00335C62">
              <w:rPr>
                <w:b w:val="0"/>
                <w:bCs w:val="0"/>
                <w:color w:val="000000"/>
              </w:rPr>
              <w:t> </w:t>
            </w:r>
            <w:r w:rsidRPr="00335C62">
              <w:rPr>
                <w:color w:val="000000"/>
              </w:rPr>
              <w:t>Wage Rate</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17FCFFEE" w14:textId="77777777">
            <w:pPr>
              <w:widowControl/>
              <w:autoSpaceDE/>
              <w:autoSpaceDN/>
              <w:adjustRightInd/>
              <w:jc w:val="center"/>
              <w:rPr>
                <w:color w:val="000000"/>
              </w:rPr>
            </w:pPr>
            <w:r w:rsidRPr="00335C62">
              <w:rPr>
                <w:color w:val="000000"/>
              </w:rPr>
              <w:t>Equivalent Cost of Hour Burden</w:t>
            </w:r>
          </w:p>
        </w:tc>
      </w:tr>
      <w:tr w14:paraId="3432F329" w14:textId="77777777" w:rsidTr="00907466">
        <w:tblPrEx>
          <w:tblW w:w="10018" w:type="dxa"/>
          <w:tblLook w:val="04A0"/>
        </w:tblPrEx>
        <w:trPr>
          <w:trHeight w:val="250"/>
        </w:trPr>
        <w:tc>
          <w:tcPr>
            <w:tcW w:w="164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075E210A" w14:textId="77777777">
            <w:pPr>
              <w:widowControl/>
              <w:autoSpaceDE/>
              <w:autoSpaceDN/>
              <w:adjustRightInd/>
              <w:rPr>
                <w:color w:val="000000"/>
              </w:rPr>
            </w:pPr>
          </w:p>
        </w:tc>
        <w:tc>
          <w:tcPr>
            <w:tcW w:w="130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41262C23" w14:textId="77777777">
            <w:pPr>
              <w:widowControl/>
              <w:autoSpaceDE/>
              <w:autoSpaceDN/>
              <w:adjustRightInd/>
              <w:rPr>
                <w:color w:val="000000"/>
              </w:rPr>
            </w:pPr>
          </w:p>
        </w:tc>
        <w:tc>
          <w:tcPr>
            <w:tcW w:w="1228"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70781AB2" w14:textId="77777777">
            <w:pPr>
              <w:widowControl/>
              <w:autoSpaceDE/>
              <w:autoSpaceDN/>
              <w:adjustRightInd/>
              <w:rPr>
                <w:color w:val="000000"/>
              </w:rPr>
            </w:pPr>
          </w:p>
        </w:tc>
        <w:tc>
          <w:tcPr>
            <w:tcW w:w="1094"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4AA512A7" w14:textId="77777777">
            <w:pPr>
              <w:widowControl/>
              <w:autoSpaceDE/>
              <w:autoSpaceDN/>
              <w:adjustRightInd/>
              <w:rPr>
                <w:color w:val="000000"/>
              </w:rPr>
            </w:pPr>
          </w:p>
        </w:tc>
        <w:tc>
          <w:tcPr>
            <w:tcW w:w="1038"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39C97167" w14:textId="77777777">
            <w:pPr>
              <w:widowControl/>
              <w:autoSpaceDE/>
              <w:autoSpaceDN/>
              <w:adjustRightInd/>
              <w:rPr>
                <w:color w:val="000000"/>
              </w:rPr>
            </w:pPr>
          </w:p>
        </w:tc>
        <w:tc>
          <w:tcPr>
            <w:tcW w:w="1024"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00104301" w14:textId="77777777">
            <w:pPr>
              <w:widowControl/>
              <w:autoSpaceDE/>
              <w:autoSpaceDN/>
              <w:adjustRightInd/>
              <w:rPr>
                <w:color w:val="000000"/>
              </w:rPr>
            </w:pPr>
          </w:p>
        </w:tc>
        <w:tc>
          <w:tcPr>
            <w:tcW w:w="136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0AE734E4" w14:textId="77777777">
            <w:pPr>
              <w:widowControl/>
              <w:autoSpaceDE/>
              <w:autoSpaceDN/>
              <w:adjustRightInd/>
              <w:rPr>
                <w:color w:val="000000"/>
              </w:rPr>
            </w:pPr>
          </w:p>
        </w:tc>
        <w:tc>
          <w:tcPr>
            <w:tcW w:w="131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62E4B2CB" w14:textId="77777777">
            <w:pPr>
              <w:widowControl/>
              <w:autoSpaceDE/>
              <w:autoSpaceDN/>
              <w:adjustRightInd/>
              <w:rPr>
                <w:color w:val="000000"/>
              </w:rPr>
            </w:pPr>
          </w:p>
        </w:tc>
      </w:tr>
      <w:tr w14:paraId="02515EDD" w14:textId="77777777" w:rsidTr="00907466">
        <w:tblPrEx>
          <w:tblW w:w="10018" w:type="dxa"/>
          <w:tblLook w:val="04A0"/>
        </w:tblPrEx>
        <w:trPr>
          <w:trHeight w:val="250"/>
        </w:trPr>
        <w:tc>
          <w:tcPr>
            <w:tcW w:w="164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21A747D5" w14:textId="77777777">
            <w:pPr>
              <w:widowControl/>
              <w:autoSpaceDE/>
              <w:autoSpaceDN/>
              <w:adjustRightInd/>
              <w:rPr>
                <w:color w:val="000000"/>
              </w:rPr>
            </w:pPr>
          </w:p>
        </w:tc>
        <w:tc>
          <w:tcPr>
            <w:tcW w:w="130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297B8B59" w14:textId="77777777">
            <w:pPr>
              <w:widowControl/>
              <w:autoSpaceDE/>
              <w:autoSpaceDN/>
              <w:adjustRightInd/>
              <w:rPr>
                <w:color w:val="000000"/>
              </w:rPr>
            </w:pPr>
          </w:p>
        </w:tc>
        <w:tc>
          <w:tcPr>
            <w:tcW w:w="1228"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039DAE6D" w14:textId="77777777">
            <w:pPr>
              <w:widowControl/>
              <w:autoSpaceDE/>
              <w:autoSpaceDN/>
              <w:adjustRightInd/>
              <w:rPr>
                <w:color w:val="000000"/>
              </w:rPr>
            </w:pPr>
          </w:p>
        </w:tc>
        <w:tc>
          <w:tcPr>
            <w:tcW w:w="1094"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53393DF3" w14:textId="77777777">
            <w:pPr>
              <w:widowControl/>
              <w:autoSpaceDE/>
              <w:autoSpaceDN/>
              <w:adjustRightInd/>
              <w:rPr>
                <w:color w:val="000000"/>
              </w:rPr>
            </w:pPr>
          </w:p>
        </w:tc>
        <w:tc>
          <w:tcPr>
            <w:tcW w:w="1038"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560A6F83" w14:textId="77777777">
            <w:pPr>
              <w:widowControl/>
              <w:autoSpaceDE/>
              <w:autoSpaceDN/>
              <w:adjustRightInd/>
              <w:rPr>
                <w:color w:val="000000"/>
              </w:rPr>
            </w:pPr>
          </w:p>
        </w:tc>
        <w:tc>
          <w:tcPr>
            <w:tcW w:w="1024"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6964E56E" w14:textId="77777777">
            <w:pPr>
              <w:widowControl/>
              <w:autoSpaceDE/>
              <w:autoSpaceDN/>
              <w:adjustRightInd/>
              <w:rPr>
                <w:color w:val="000000"/>
              </w:rPr>
            </w:pPr>
          </w:p>
        </w:tc>
        <w:tc>
          <w:tcPr>
            <w:tcW w:w="136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5EC29BEE" w14:textId="77777777">
            <w:pPr>
              <w:widowControl/>
              <w:autoSpaceDE/>
              <w:autoSpaceDN/>
              <w:adjustRightInd/>
              <w:rPr>
                <w:color w:val="000000"/>
              </w:rPr>
            </w:pPr>
          </w:p>
        </w:tc>
        <w:tc>
          <w:tcPr>
            <w:tcW w:w="131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6AE4D3AC" w14:textId="77777777">
            <w:pPr>
              <w:widowControl/>
              <w:autoSpaceDE/>
              <w:autoSpaceDN/>
              <w:adjustRightInd/>
              <w:rPr>
                <w:color w:val="000000"/>
              </w:rPr>
            </w:pPr>
          </w:p>
        </w:tc>
      </w:tr>
      <w:tr w14:paraId="54D7FA98" w14:textId="77777777" w:rsidTr="00907466">
        <w:tblPrEx>
          <w:tblW w:w="10018" w:type="dxa"/>
          <w:tblLook w:val="04A0"/>
        </w:tblPrEx>
        <w:trPr>
          <w:trHeight w:val="470"/>
        </w:trPr>
        <w:tc>
          <w:tcPr>
            <w:tcW w:w="164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06B0F4FE" w14:textId="77777777">
            <w:pPr>
              <w:widowControl/>
              <w:autoSpaceDE/>
              <w:autoSpaceDN/>
              <w:adjustRightInd/>
              <w:rPr>
                <w:color w:val="000000"/>
              </w:rPr>
            </w:pPr>
          </w:p>
        </w:tc>
        <w:tc>
          <w:tcPr>
            <w:tcW w:w="130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4DB36A4C" w14:textId="77777777">
            <w:pPr>
              <w:widowControl/>
              <w:autoSpaceDE/>
              <w:autoSpaceDN/>
              <w:adjustRightInd/>
              <w:rPr>
                <w:color w:val="000000"/>
              </w:rPr>
            </w:pPr>
          </w:p>
        </w:tc>
        <w:tc>
          <w:tcPr>
            <w:tcW w:w="1228"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7701D504" w14:textId="77777777">
            <w:pPr>
              <w:widowControl/>
              <w:autoSpaceDE/>
              <w:autoSpaceDN/>
              <w:adjustRightInd/>
              <w:rPr>
                <w:color w:val="000000"/>
              </w:rPr>
            </w:pPr>
          </w:p>
        </w:tc>
        <w:tc>
          <w:tcPr>
            <w:tcW w:w="1094"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1C55EF32" w14:textId="77777777">
            <w:pPr>
              <w:widowControl/>
              <w:autoSpaceDE/>
              <w:autoSpaceDN/>
              <w:adjustRightInd/>
              <w:rPr>
                <w:color w:val="000000"/>
              </w:rPr>
            </w:pPr>
          </w:p>
        </w:tc>
        <w:tc>
          <w:tcPr>
            <w:tcW w:w="1038"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27C604A4" w14:textId="77777777">
            <w:pPr>
              <w:widowControl/>
              <w:autoSpaceDE/>
              <w:autoSpaceDN/>
              <w:adjustRightInd/>
              <w:rPr>
                <w:color w:val="000000"/>
              </w:rPr>
            </w:pPr>
          </w:p>
        </w:tc>
        <w:tc>
          <w:tcPr>
            <w:tcW w:w="1024"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72ACD93F" w14:textId="77777777">
            <w:pPr>
              <w:widowControl/>
              <w:autoSpaceDE/>
              <w:autoSpaceDN/>
              <w:adjustRightInd/>
              <w:rPr>
                <w:color w:val="000000"/>
              </w:rPr>
            </w:pPr>
          </w:p>
        </w:tc>
        <w:tc>
          <w:tcPr>
            <w:tcW w:w="136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6C1745A3" w14:textId="77777777">
            <w:pPr>
              <w:widowControl/>
              <w:autoSpaceDE/>
              <w:autoSpaceDN/>
              <w:adjustRightInd/>
              <w:rPr>
                <w:color w:val="000000"/>
              </w:rPr>
            </w:pPr>
          </w:p>
        </w:tc>
        <w:tc>
          <w:tcPr>
            <w:tcW w:w="131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25423" w:rsidRPr="00335C62" w:rsidP="00335C62" w14:paraId="53D772E1" w14:textId="77777777">
            <w:pPr>
              <w:widowControl/>
              <w:autoSpaceDE/>
              <w:autoSpaceDN/>
              <w:adjustRightInd/>
              <w:rPr>
                <w:color w:val="000000"/>
              </w:rPr>
            </w:pPr>
          </w:p>
        </w:tc>
      </w:tr>
      <w:tr w14:paraId="4D8929FD" w14:textId="77777777" w:rsidTr="00BB6CCD">
        <w:tblPrEx>
          <w:tblW w:w="10018" w:type="dxa"/>
          <w:tblLook w:val="04A0"/>
        </w:tblPrEx>
        <w:trPr>
          <w:trHeight w:val="270"/>
        </w:trPr>
        <w:tc>
          <w:tcPr>
            <w:tcW w:w="1001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7CB5765A" w14:textId="77777777">
            <w:pPr>
              <w:widowControl/>
              <w:autoSpaceDE/>
              <w:autoSpaceDN/>
              <w:adjustRightInd/>
              <w:jc w:val="center"/>
            </w:pPr>
            <w:r w:rsidRPr="00335C62">
              <w:t>Notices under the Mental Health Parity and Addiction Equity Act of 2008</w:t>
            </w:r>
          </w:p>
        </w:tc>
      </w:tr>
      <w:tr w14:paraId="04A2EFDA" w14:textId="77777777" w:rsidTr="00BB6CCD">
        <w:tblPrEx>
          <w:tblW w:w="10018" w:type="dxa"/>
          <w:tblLook w:val="04A0"/>
        </w:tblPrEx>
        <w:trPr>
          <w:trHeight w:val="780"/>
        </w:trPr>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F419AF" w:rsidRPr="00F419AF" w:rsidP="00F419AF" w14:paraId="221CBB8F" w14:textId="6F8AE864">
            <w:pPr>
              <w:widowControl/>
              <w:autoSpaceDE/>
              <w:autoSpaceDN/>
              <w:adjustRightInd/>
              <w:rPr>
                <w:b w:val="0"/>
                <w:bCs w:val="0"/>
              </w:rPr>
            </w:pPr>
            <w:r w:rsidRPr="00F419AF">
              <w:rPr>
                <w:b w:val="0"/>
                <w:bCs w:val="0"/>
              </w:rPr>
              <w:t xml:space="preserve">Medical secretaries prepare Medical Necessity Criteria Disclosures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43541EF6" w14:textId="77777777">
            <w:pPr>
              <w:widowControl/>
              <w:autoSpaceDE/>
              <w:autoSpaceDN/>
              <w:adjustRightInd/>
              <w:jc w:val="center"/>
              <w:rPr>
                <w:b w:val="0"/>
                <w:bCs w:val="0"/>
              </w:rPr>
            </w:pPr>
            <w:bookmarkStart w:id="9" w:name="RANGE!B6"/>
            <w:r w:rsidRPr="00335C62">
              <w:rPr>
                <w:b w:val="0"/>
                <w:bCs w:val="0"/>
              </w:rPr>
              <w:t>2,129,516</w:t>
            </w:r>
            <w:bookmarkEnd w:id="9"/>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0D349E2F" w14:textId="77777777">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36A52A3F" w14:textId="77777777">
            <w:pPr>
              <w:widowControl/>
              <w:autoSpaceDE/>
              <w:autoSpaceDN/>
              <w:adjustRightInd/>
              <w:jc w:val="center"/>
              <w:rPr>
                <w:b w:val="0"/>
                <w:bCs w:val="0"/>
              </w:rPr>
            </w:pPr>
            <w:r w:rsidRPr="00335C62">
              <w:rPr>
                <w:b w:val="0"/>
                <w:bCs w:val="0"/>
              </w:rPr>
              <w:t>2,129,516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79527D10" w14:textId="77777777">
            <w:pPr>
              <w:widowControl/>
              <w:autoSpaceDE/>
              <w:autoSpaceDN/>
              <w:adjustRightInd/>
              <w:jc w:val="center"/>
              <w:rPr>
                <w:b w:val="0"/>
                <w:bCs w:val="0"/>
              </w:rPr>
            </w:pPr>
            <w:r w:rsidRPr="00335C62">
              <w:rPr>
                <w:b w:val="0"/>
                <w:bCs w:val="0"/>
              </w:rPr>
              <w:t>0.08</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6C94C845" w14:textId="77777777">
            <w:pPr>
              <w:widowControl/>
              <w:autoSpaceDE/>
              <w:autoSpaceDN/>
              <w:adjustRightInd/>
              <w:jc w:val="center"/>
              <w:rPr>
                <w:b w:val="0"/>
                <w:bCs w:val="0"/>
              </w:rPr>
            </w:pPr>
            <w:r w:rsidRPr="00335C62">
              <w:rPr>
                <w:b w:val="0"/>
                <w:bCs w:val="0"/>
              </w:rPr>
              <w:t>177,460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22D3E9D7" w14:textId="77777777">
            <w:pPr>
              <w:widowControl/>
              <w:autoSpaceDE/>
              <w:autoSpaceDN/>
              <w:adjustRightInd/>
              <w:jc w:val="center"/>
              <w:rPr>
                <w:b w:val="0"/>
                <w:bCs w:val="0"/>
              </w:rPr>
            </w:pPr>
            <w:r w:rsidRPr="00335C62">
              <w:rPr>
                <w:b w:val="0"/>
                <w:bCs w:val="0"/>
              </w:rPr>
              <w:t>$57.10</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36BEB0CD" w14:textId="77777777">
            <w:pPr>
              <w:widowControl/>
              <w:autoSpaceDE/>
              <w:autoSpaceDN/>
              <w:adjustRightInd/>
              <w:jc w:val="center"/>
              <w:rPr>
                <w:b w:val="0"/>
                <w:bCs w:val="0"/>
              </w:rPr>
            </w:pPr>
            <w:r w:rsidRPr="00335C62">
              <w:rPr>
                <w:b w:val="0"/>
                <w:bCs w:val="0"/>
              </w:rPr>
              <w:t xml:space="preserve">$10,132,946 </w:t>
            </w:r>
          </w:p>
        </w:tc>
      </w:tr>
      <w:tr w14:paraId="1333CD8B" w14:textId="77777777" w:rsidTr="00BB6CCD">
        <w:tblPrEx>
          <w:tblW w:w="10018" w:type="dxa"/>
          <w:tblLook w:val="04A0"/>
        </w:tblPrEx>
        <w:trPr>
          <w:trHeight w:val="930"/>
        </w:trPr>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F419AF" w:rsidRPr="00F419AF" w:rsidP="00F419AF" w14:paraId="79D82DB2" w14:textId="58240F36">
            <w:pPr>
              <w:widowControl/>
              <w:autoSpaceDE/>
              <w:autoSpaceDN/>
              <w:adjustRightInd/>
              <w:rPr>
                <w:b w:val="0"/>
                <w:bCs w:val="0"/>
              </w:rPr>
            </w:pPr>
            <w:r w:rsidRPr="00F419AF">
              <w:rPr>
                <w:b w:val="0"/>
                <w:bCs w:val="0"/>
              </w:rPr>
              <w:t>Medical providers review and complete Model Disclosure Request Form</w:t>
            </w:r>
            <w:r w:rsidR="00A00F5B">
              <w:rPr>
                <w:b w:val="0"/>
                <w:bCs w:val="0"/>
              </w:rPr>
              <w:t>s</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755E0C02" w14:textId="77777777">
            <w:pPr>
              <w:widowControl/>
              <w:autoSpaceDE/>
              <w:autoSpaceDN/>
              <w:adjustRightInd/>
              <w:jc w:val="center"/>
              <w:rPr>
                <w:b w:val="0"/>
                <w:bCs w:val="0"/>
              </w:rPr>
            </w:pPr>
            <w:r w:rsidRPr="00335C62">
              <w:rPr>
                <w:b w:val="0"/>
                <w:bCs w:val="0"/>
              </w:rPr>
              <w:t>498,015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33FF9CCB" w14:textId="77777777">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702ED928" w14:textId="77777777">
            <w:pPr>
              <w:widowControl/>
              <w:autoSpaceDE/>
              <w:autoSpaceDN/>
              <w:adjustRightInd/>
              <w:jc w:val="center"/>
              <w:rPr>
                <w:b w:val="0"/>
                <w:bCs w:val="0"/>
              </w:rPr>
            </w:pPr>
            <w:r w:rsidRPr="00335C62">
              <w:rPr>
                <w:b w:val="0"/>
                <w:bCs w:val="0"/>
              </w:rPr>
              <w:t>498,015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504DC353" w14:textId="77777777">
            <w:pPr>
              <w:widowControl/>
              <w:autoSpaceDE/>
              <w:autoSpaceDN/>
              <w:adjustRightInd/>
              <w:jc w:val="center"/>
              <w:rPr>
                <w:b w:val="0"/>
                <w:bCs w:val="0"/>
              </w:rPr>
            </w:pPr>
            <w:r w:rsidRPr="00335C62">
              <w:rPr>
                <w:b w:val="0"/>
                <w:bCs w:val="0"/>
              </w:rPr>
              <w:t>0.08</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524B214A" w14:textId="77777777">
            <w:pPr>
              <w:widowControl/>
              <w:autoSpaceDE/>
              <w:autoSpaceDN/>
              <w:adjustRightInd/>
              <w:jc w:val="center"/>
              <w:rPr>
                <w:b w:val="0"/>
                <w:bCs w:val="0"/>
              </w:rPr>
            </w:pPr>
            <w:r w:rsidRPr="00335C62">
              <w:rPr>
                <w:b w:val="0"/>
                <w:bCs w:val="0"/>
              </w:rPr>
              <w:t>41,501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2749016E" w14:textId="77777777">
            <w:pPr>
              <w:widowControl/>
              <w:autoSpaceDE/>
              <w:autoSpaceDN/>
              <w:adjustRightInd/>
              <w:jc w:val="center"/>
              <w:rPr>
                <w:b w:val="0"/>
                <w:bCs w:val="0"/>
              </w:rPr>
            </w:pPr>
            <w:r w:rsidRPr="00335C62">
              <w:rPr>
                <w:b w:val="0"/>
                <w:bCs w:val="0"/>
              </w:rPr>
              <w:t>$216.39</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9AF" w:rsidRPr="00335C62" w:rsidP="00F419AF" w14:paraId="36C8A1DE" w14:textId="77777777">
            <w:pPr>
              <w:widowControl/>
              <w:autoSpaceDE/>
              <w:autoSpaceDN/>
              <w:adjustRightInd/>
              <w:jc w:val="center"/>
              <w:rPr>
                <w:b w:val="0"/>
                <w:bCs w:val="0"/>
              </w:rPr>
            </w:pPr>
            <w:r w:rsidRPr="00335C62">
              <w:rPr>
                <w:b w:val="0"/>
                <w:bCs w:val="0"/>
              </w:rPr>
              <w:t xml:space="preserve">$8,980,455 </w:t>
            </w:r>
          </w:p>
        </w:tc>
      </w:tr>
      <w:tr w14:paraId="2286F7F0" w14:textId="77777777" w:rsidTr="00BB6CCD">
        <w:tblPrEx>
          <w:tblW w:w="10018" w:type="dxa"/>
          <w:tblLook w:val="04A0"/>
        </w:tblPrEx>
        <w:trPr>
          <w:trHeight w:val="350"/>
        </w:trPr>
        <w:tc>
          <w:tcPr>
            <w:tcW w:w="1001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456113C7" w14:textId="77777777">
            <w:pPr>
              <w:widowControl/>
              <w:autoSpaceDE/>
              <w:autoSpaceDN/>
              <w:adjustRightInd/>
              <w:jc w:val="center"/>
            </w:pPr>
            <w:r w:rsidRPr="00335C62">
              <w:t>Requirements under the Consolidated Appropriations Act of 2021 and the MHPAEA FAQ 45</w:t>
            </w:r>
          </w:p>
        </w:tc>
      </w:tr>
      <w:tr w14:paraId="22AE3D39" w14:textId="77777777" w:rsidTr="00BB6CCD">
        <w:tblPrEx>
          <w:tblW w:w="10018" w:type="dxa"/>
          <w:tblLook w:val="04A0"/>
        </w:tblPrEx>
        <w:trPr>
          <w:trHeight w:val="77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EE26B5C" w14:textId="77777777">
            <w:pPr>
              <w:widowControl/>
              <w:autoSpaceDE/>
              <w:autoSpaceDN/>
              <w:adjustRightInd/>
              <w:rPr>
                <w:b w:val="0"/>
                <w:bCs w:val="0"/>
              </w:rPr>
            </w:pPr>
            <w:r w:rsidRPr="00335C62">
              <w:rPr>
                <w:b w:val="0"/>
                <w:bCs w:val="0"/>
              </w:rPr>
              <w:t xml:space="preserve">Managers provide correction incorrect for comparative analyses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3F3D729A" w14:textId="77777777">
            <w:pPr>
              <w:widowControl/>
              <w:autoSpaceDE/>
              <w:autoSpaceDN/>
              <w:adjustRightInd/>
              <w:jc w:val="center"/>
              <w:rPr>
                <w:b w:val="0"/>
                <w:bCs w:val="0"/>
              </w:rPr>
            </w:pPr>
            <w:r w:rsidRPr="00335C62">
              <w:rPr>
                <w:b w:val="0"/>
                <w:bCs w:val="0"/>
              </w:rPr>
              <w:t>10</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3362510B" w14:textId="77777777">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5DCBD754" w14:textId="77777777">
            <w:pPr>
              <w:widowControl/>
              <w:autoSpaceDE/>
              <w:autoSpaceDN/>
              <w:adjustRightInd/>
              <w:jc w:val="center"/>
              <w:rPr>
                <w:b w:val="0"/>
                <w:bCs w:val="0"/>
              </w:rPr>
            </w:pPr>
            <w:r w:rsidRPr="00335C62">
              <w:rPr>
                <w:b w:val="0"/>
                <w:bCs w:val="0"/>
              </w:rPr>
              <w:t>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7010A487" w14:textId="77777777">
            <w:pPr>
              <w:widowControl/>
              <w:autoSpaceDE/>
              <w:autoSpaceDN/>
              <w:adjustRightInd/>
              <w:jc w:val="center"/>
              <w:rPr>
                <w:b w:val="0"/>
                <w:bCs w:val="0"/>
              </w:rPr>
            </w:pPr>
            <w:r w:rsidRPr="00335C62">
              <w:rPr>
                <w:b w:val="0"/>
                <w:bCs w:val="0"/>
              </w:rPr>
              <w:t>1</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4984C847" w14:textId="77777777">
            <w:pPr>
              <w:widowControl/>
              <w:autoSpaceDE/>
              <w:autoSpaceDN/>
              <w:adjustRightInd/>
              <w:jc w:val="center"/>
              <w:rPr>
                <w:b w:val="0"/>
                <w:bCs w:val="0"/>
              </w:rPr>
            </w:pPr>
            <w:r w:rsidRPr="00335C62">
              <w:rPr>
                <w:b w:val="0"/>
                <w:bCs w:val="0"/>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060421BD" w14:textId="77777777">
            <w:pPr>
              <w:widowControl/>
              <w:autoSpaceDE/>
              <w:autoSpaceDN/>
              <w:adjustRightInd/>
              <w:jc w:val="center"/>
              <w:rPr>
                <w:b w:val="0"/>
                <w:bCs w:val="0"/>
              </w:rPr>
            </w:pPr>
            <w:r w:rsidRPr="00335C62">
              <w:rPr>
                <w:b w:val="0"/>
                <w:bCs w:val="0"/>
              </w:rPr>
              <w:t>$137.67</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678F103F" w14:textId="77777777">
            <w:pPr>
              <w:widowControl/>
              <w:autoSpaceDE/>
              <w:autoSpaceDN/>
              <w:adjustRightInd/>
              <w:jc w:val="center"/>
              <w:rPr>
                <w:b w:val="0"/>
                <w:bCs w:val="0"/>
              </w:rPr>
            </w:pPr>
            <w:r w:rsidRPr="00335C62">
              <w:rPr>
                <w:b w:val="0"/>
                <w:bCs w:val="0"/>
              </w:rPr>
              <w:t xml:space="preserve">$1,377 </w:t>
            </w:r>
          </w:p>
        </w:tc>
      </w:tr>
      <w:tr w14:paraId="4109919C" w14:textId="77777777" w:rsidTr="00BB6CCD">
        <w:tblPrEx>
          <w:tblW w:w="10018" w:type="dxa"/>
          <w:tblLook w:val="04A0"/>
        </w:tblPrEx>
        <w:trPr>
          <w:trHeight w:val="592"/>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116F76C5" w14:textId="77777777">
            <w:pPr>
              <w:widowControl/>
              <w:autoSpaceDE/>
              <w:autoSpaceDN/>
              <w:adjustRightInd/>
              <w:rPr>
                <w:b w:val="0"/>
                <w:bCs w:val="0"/>
              </w:rPr>
            </w:pPr>
            <w:r w:rsidRPr="00335C62">
              <w:rPr>
                <w:b w:val="0"/>
                <w:bCs w:val="0"/>
              </w:rPr>
              <w:t>Business Operation Specialists provide correction for incorrect comparative analyses</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7C2C2CD8" w14:textId="77777777">
            <w:pPr>
              <w:widowControl/>
              <w:autoSpaceDE/>
              <w:autoSpaceDN/>
              <w:adjustRightInd/>
              <w:jc w:val="center"/>
              <w:rPr>
                <w:b w:val="0"/>
                <w:bCs w:val="0"/>
              </w:rPr>
            </w:pPr>
            <w:r w:rsidRPr="00335C62">
              <w:rPr>
                <w:b w:val="0"/>
                <w:bCs w:val="0"/>
              </w:rPr>
              <w:t>10</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45C14D09" w14:textId="77777777">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3B521C5" w14:textId="77777777">
            <w:pPr>
              <w:widowControl/>
              <w:autoSpaceDE/>
              <w:autoSpaceDN/>
              <w:adjustRightInd/>
              <w:jc w:val="center"/>
              <w:rPr>
                <w:b w:val="0"/>
                <w:bCs w:val="0"/>
              </w:rPr>
            </w:pPr>
            <w:r w:rsidRPr="00335C62">
              <w:rPr>
                <w:b w:val="0"/>
                <w:bCs w:val="0"/>
              </w:rPr>
              <w:t>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76DD51B0" w14:textId="77777777">
            <w:pPr>
              <w:widowControl/>
              <w:autoSpaceDE/>
              <w:autoSpaceDN/>
              <w:adjustRightInd/>
              <w:jc w:val="center"/>
              <w:rPr>
                <w:b w:val="0"/>
                <w:bCs w:val="0"/>
              </w:rPr>
            </w:pPr>
            <w:r w:rsidRPr="00335C62">
              <w:rPr>
                <w:b w:val="0"/>
                <w:bCs w:val="0"/>
              </w:rPr>
              <w:t>4</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393C5F3" w14:textId="77777777">
            <w:pPr>
              <w:widowControl/>
              <w:autoSpaceDE/>
              <w:autoSpaceDN/>
              <w:adjustRightInd/>
              <w:jc w:val="center"/>
              <w:rPr>
                <w:b w:val="0"/>
                <w:bCs w:val="0"/>
              </w:rPr>
            </w:pPr>
            <w:r w:rsidRPr="00335C62">
              <w:rPr>
                <w:b w:val="0"/>
                <w:bCs w:val="0"/>
              </w:rPr>
              <w:t>40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771DBC3D" w14:textId="77777777">
            <w:pPr>
              <w:widowControl/>
              <w:autoSpaceDE/>
              <w:autoSpaceDN/>
              <w:adjustRightInd/>
              <w:jc w:val="center"/>
              <w:rPr>
                <w:b w:val="0"/>
                <w:bCs w:val="0"/>
              </w:rPr>
            </w:pPr>
            <w:r w:rsidRPr="00335C62">
              <w:rPr>
                <w:b w:val="0"/>
                <w:bCs w:val="0"/>
              </w:rPr>
              <w:t>$114.36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4ACB5C82" w14:textId="77777777">
            <w:pPr>
              <w:widowControl/>
              <w:autoSpaceDE/>
              <w:autoSpaceDN/>
              <w:adjustRightInd/>
              <w:jc w:val="center"/>
              <w:rPr>
                <w:b w:val="0"/>
                <w:bCs w:val="0"/>
              </w:rPr>
            </w:pPr>
            <w:r w:rsidRPr="00335C62">
              <w:rPr>
                <w:b w:val="0"/>
                <w:bCs w:val="0"/>
              </w:rPr>
              <w:t xml:space="preserve">$4,574 </w:t>
            </w:r>
          </w:p>
        </w:tc>
      </w:tr>
      <w:tr w14:paraId="19F8764A" w14:textId="77777777" w:rsidTr="00BB6CCD">
        <w:tblPrEx>
          <w:tblW w:w="10018" w:type="dxa"/>
          <w:tblLook w:val="04A0"/>
        </w:tblPrEx>
        <w:trPr>
          <w:trHeight w:val="109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723E39E" w14:textId="77777777">
            <w:pPr>
              <w:widowControl/>
              <w:autoSpaceDE/>
              <w:autoSpaceDN/>
              <w:adjustRightInd/>
              <w:rPr>
                <w:b w:val="0"/>
                <w:bCs w:val="0"/>
              </w:rPr>
            </w:pPr>
            <w:r w:rsidRPr="00335C62">
              <w:rPr>
                <w:b w:val="0"/>
                <w:bCs w:val="0"/>
              </w:rPr>
              <w:t>Managers submit additional comparative analyses that demonstrate compliance</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423" w:rsidRPr="00335C62" w:rsidP="00335C62" w14:paraId="26DFE4FD" w14:textId="77777777">
            <w:pPr>
              <w:widowControl/>
              <w:autoSpaceDE/>
              <w:autoSpaceDN/>
              <w:adjustRightInd/>
              <w:jc w:val="center"/>
              <w:rPr>
                <w:b w:val="0"/>
                <w:bCs w:val="0"/>
              </w:rPr>
            </w:pPr>
            <w:r w:rsidRPr="00335C62">
              <w:rPr>
                <w:b w:val="0"/>
                <w:bCs w:val="0"/>
              </w:rPr>
              <w:t>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76608769" w14:textId="77777777">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7037CE9D" w14:textId="77777777">
            <w:pPr>
              <w:widowControl/>
              <w:autoSpaceDE/>
              <w:autoSpaceDN/>
              <w:adjustRightInd/>
              <w:jc w:val="center"/>
              <w:rPr>
                <w:b w:val="0"/>
                <w:bCs w:val="0"/>
              </w:rPr>
            </w:pPr>
            <w:r w:rsidRPr="00335C62">
              <w:rPr>
                <w:b w:val="0"/>
                <w:bCs w:val="0"/>
              </w:rPr>
              <w:t>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7FE4676" w14:textId="77777777">
            <w:pPr>
              <w:widowControl/>
              <w:autoSpaceDE/>
              <w:autoSpaceDN/>
              <w:adjustRightInd/>
              <w:jc w:val="center"/>
              <w:rPr>
                <w:b w:val="0"/>
                <w:bCs w:val="0"/>
              </w:rPr>
            </w:pPr>
            <w:r w:rsidRPr="00335C62">
              <w:rPr>
                <w:b w:val="0"/>
                <w:bCs w:val="0"/>
              </w:rPr>
              <w:t>8</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60E1E638" w14:textId="77777777">
            <w:pPr>
              <w:widowControl/>
              <w:autoSpaceDE/>
              <w:autoSpaceDN/>
              <w:adjustRightInd/>
              <w:jc w:val="center"/>
              <w:rPr>
                <w:b w:val="0"/>
                <w:bCs w:val="0"/>
              </w:rPr>
            </w:pPr>
            <w:r w:rsidRPr="00335C62">
              <w:rPr>
                <w:b w:val="0"/>
                <w:bCs w:val="0"/>
              </w:rPr>
              <w:t>64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5549EBE0" w14:textId="77777777">
            <w:pPr>
              <w:widowControl/>
              <w:autoSpaceDE/>
              <w:autoSpaceDN/>
              <w:adjustRightInd/>
              <w:jc w:val="center"/>
              <w:rPr>
                <w:b w:val="0"/>
                <w:bCs w:val="0"/>
              </w:rPr>
            </w:pPr>
            <w:r w:rsidRPr="00335C62">
              <w:rPr>
                <w:b w:val="0"/>
                <w:bCs w:val="0"/>
              </w:rPr>
              <w:t>$137.67</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0FEAE20B" w14:textId="77777777">
            <w:pPr>
              <w:widowControl/>
              <w:autoSpaceDE/>
              <w:autoSpaceDN/>
              <w:adjustRightInd/>
              <w:jc w:val="center"/>
              <w:rPr>
                <w:b w:val="0"/>
                <w:bCs w:val="0"/>
              </w:rPr>
            </w:pPr>
            <w:r w:rsidRPr="00335C62">
              <w:rPr>
                <w:b w:val="0"/>
                <w:bCs w:val="0"/>
              </w:rPr>
              <w:t xml:space="preserve">$8,811 </w:t>
            </w:r>
          </w:p>
        </w:tc>
      </w:tr>
      <w:tr w14:paraId="67B21DEA" w14:textId="77777777" w:rsidTr="00BB6CCD">
        <w:tblPrEx>
          <w:tblW w:w="10018" w:type="dxa"/>
          <w:tblLook w:val="04A0"/>
        </w:tblPrEx>
        <w:trPr>
          <w:trHeight w:val="124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6BDEC727" w14:textId="77777777">
            <w:pPr>
              <w:widowControl/>
              <w:autoSpaceDE/>
              <w:autoSpaceDN/>
              <w:adjustRightInd/>
              <w:rPr>
                <w:b w:val="0"/>
                <w:bCs w:val="0"/>
              </w:rPr>
            </w:pPr>
            <w:r w:rsidRPr="00335C62">
              <w:rPr>
                <w:b w:val="0"/>
                <w:bCs w:val="0"/>
              </w:rPr>
              <w:t xml:space="preserve">Business Operation Specialists submit additional comparative analyses that demonstrate compliance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5C8B0DF0" w14:textId="77777777">
            <w:pPr>
              <w:widowControl/>
              <w:autoSpaceDE/>
              <w:autoSpaceDN/>
              <w:adjustRightInd/>
              <w:jc w:val="center"/>
              <w:rPr>
                <w:b w:val="0"/>
                <w:bCs w:val="0"/>
              </w:rPr>
            </w:pPr>
            <w:r w:rsidRPr="00335C62">
              <w:rPr>
                <w:b w:val="0"/>
                <w:bCs w:val="0"/>
              </w:rPr>
              <w:t>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5DA2AA3F" w14:textId="77777777">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446A089B" w14:textId="77777777">
            <w:pPr>
              <w:widowControl/>
              <w:autoSpaceDE/>
              <w:autoSpaceDN/>
              <w:adjustRightInd/>
              <w:jc w:val="center"/>
              <w:rPr>
                <w:b w:val="0"/>
                <w:bCs w:val="0"/>
              </w:rPr>
            </w:pPr>
            <w:r w:rsidRPr="00335C62">
              <w:rPr>
                <w:b w:val="0"/>
                <w:bCs w:val="0"/>
              </w:rPr>
              <w:t>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32D8F45B" w14:textId="77777777">
            <w:pPr>
              <w:widowControl/>
              <w:autoSpaceDE/>
              <w:autoSpaceDN/>
              <w:adjustRightInd/>
              <w:jc w:val="center"/>
              <w:rPr>
                <w:b w:val="0"/>
                <w:bCs w:val="0"/>
              </w:rPr>
            </w:pPr>
            <w:r w:rsidRPr="00335C62">
              <w:rPr>
                <w:b w:val="0"/>
                <w:bCs w:val="0"/>
              </w:rPr>
              <w:t>120</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48231CED" w14:textId="77777777">
            <w:pPr>
              <w:widowControl/>
              <w:autoSpaceDE/>
              <w:autoSpaceDN/>
              <w:adjustRightInd/>
              <w:jc w:val="center"/>
              <w:rPr>
                <w:b w:val="0"/>
                <w:bCs w:val="0"/>
              </w:rPr>
            </w:pPr>
            <w:r w:rsidRPr="00335C62">
              <w:rPr>
                <w:b w:val="0"/>
                <w:bCs w:val="0"/>
              </w:rPr>
              <w:t>960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06199016" w14:textId="77777777">
            <w:pPr>
              <w:widowControl/>
              <w:autoSpaceDE/>
              <w:autoSpaceDN/>
              <w:adjustRightInd/>
              <w:jc w:val="center"/>
              <w:rPr>
                <w:b w:val="0"/>
                <w:bCs w:val="0"/>
              </w:rPr>
            </w:pPr>
            <w:r w:rsidRPr="00335C62">
              <w:rPr>
                <w:b w:val="0"/>
                <w:bCs w:val="0"/>
              </w:rPr>
              <w:t>$114.36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1DB94342" w14:textId="77777777">
            <w:pPr>
              <w:widowControl/>
              <w:autoSpaceDE/>
              <w:autoSpaceDN/>
              <w:adjustRightInd/>
              <w:jc w:val="center"/>
              <w:rPr>
                <w:b w:val="0"/>
                <w:bCs w:val="0"/>
              </w:rPr>
            </w:pPr>
            <w:r w:rsidRPr="00335C62">
              <w:rPr>
                <w:b w:val="0"/>
                <w:bCs w:val="0"/>
              </w:rPr>
              <w:t xml:space="preserve">$109,786 </w:t>
            </w:r>
          </w:p>
        </w:tc>
      </w:tr>
      <w:tr w14:paraId="54F9DF61" w14:textId="77777777" w:rsidTr="00BB6CCD">
        <w:tblPrEx>
          <w:tblW w:w="10018" w:type="dxa"/>
          <w:tblLook w:val="04A0"/>
        </w:tblPrEx>
        <w:trPr>
          <w:trHeight w:val="144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373277E5" w14:textId="77777777">
            <w:pPr>
              <w:widowControl/>
              <w:autoSpaceDE/>
              <w:autoSpaceDN/>
              <w:adjustRightInd/>
              <w:rPr>
                <w:b w:val="0"/>
                <w:bCs w:val="0"/>
              </w:rPr>
            </w:pPr>
            <w:r w:rsidRPr="00335C62">
              <w:rPr>
                <w:b w:val="0"/>
                <w:bCs w:val="0"/>
              </w:rPr>
              <w:t>Lawyers draft notice that the coverage is determined to be noncompliant with MHPAEA</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62E5686" w14:textId="77777777">
            <w:pPr>
              <w:widowControl/>
              <w:autoSpaceDE/>
              <w:autoSpaceDN/>
              <w:adjustRightInd/>
              <w:jc w:val="center"/>
              <w:rPr>
                <w:b w:val="0"/>
                <w:bCs w:val="0"/>
              </w:rPr>
            </w:pPr>
            <w:r w:rsidRPr="00335C62">
              <w:rPr>
                <w:b w:val="0"/>
                <w:bCs w:val="0"/>
              </w:rPr>
              <w:t>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5ABA0D59" w14:textId="77777777">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E9EF1CA" w14:textId="77777777">
            <w:pPr>
              <w:widowControl/>
              <w:autoSpaceDE/>
              <w:autoSpaceDN/>
              <w:adjustRightInd/>
              <w:jc w:val="center"/>
              <w:rPr>
                <w:b w:val="0"/>
                <w:bCs w:val="0"/>
              </w:rPr>
            </w:pPr>
            <w:r w:rsidRPr="00335C62">
              <w:rPr>
                <w:b w:val="0"/>
                <w:bCs w:val="0"/>
              </w:rPr>
              <w:t>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2AE9FC9" w14:textId="77777777">
            <w:pPr>
              <w:widowControl/>
              <w:autoSpaceDE/>
              <w:autoSpaceDN/>
              <w:adjustRightInd/>
              <w:jc w:val="center"/>
              <w:rPr>
                <w:b w:val="0"/>
                <w:bCs w:val="0"/>
              </w:rPr>
            </w:pPr>
            <w:r w:rsidRPr="00335C62">
              <w:rPr>
                <w:b w:val="0"/>
                <w:bCs w:val="0"/>
              </w:rPr>
              <w:t>1</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2034ADD9" w14:textId="77777777">
            <w:pPr>
              <w:widowControl/>
              <w:autoSpaceDE/>
              <w:autoSpaceDN/>
              <w:adjustRightInd/>
              <w:jc w:val="center"/>
              <w:rPr>
                <w:b w:val="0"/>
                <w:bCs w:val="0"/>
              </w:rPr>
            </w:pPr>
            <w:r w:rsidRPr="00335C62">
              <w:rPr>
                <w:b w:val="0"/>
                <w:bCs w:val="0"/>
              </w:rPr>
              <w:t>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1FFE30C8" w14:textId="77777777">
            <w:pPr>
              <w:widowControl/>
              <w:autoSpaceDE/>
              <w:autoSpaceDN/>
              <w:adjustRightInd/>
              <w:jc w:val="center"/>
              <w:rPr>
                <w:b w:val="0"/>
                <w:bCs w:val="0"/>
              </w:rPr>
            </w:pPr>
            <w:r w:rsidRPr="00335C62">
              <w:rPr>
                <w:b w:val="0"/>
                <w:bCs w:val="0"/>
              </w:rPr>
              <w:t>$165.71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75A21F0D" w14:textId="77777777">
            <w:pPr>
              <w:widowControl/>
              <w:autoSpaceDE/>
              <w:autoSpaceDN/>
              <w:adjustRightInd/>
              <w:jc w:val="center"/>
              <w:rPr>
                <w:b w:val="0"/>
                <w:bCs w:val="0"/>
              </w:rPr>
            </w:pPr>
            <w:r w:rsidRPr="00335C62">
              <w:rPr>
                <w:b w:val="0"/>
                <w:bCs w:val="0"/>
              </w:rPr>
              <w:t xml:space="preserve">$829 </w:t>
            </w:r>
          </w:p>
        </w:tc>
      </w:tr>
      <w:tr w14:paraId="1D157A0A" w14:textId="77777777" w:rsidTr="00BB6CCD">
        <w:tblPrEx>
          <w:tblW w:w="10018" w:type="dxa"/>
          <w:tblLook w:val="04A0"/>
        </w:tblPrEx>
        <w:trPr>
          <w:trHeight w:val="270"/>
        </w:trPr>
        <w:tc>
          <w:tcPr>
            <w:tcW w:w="1001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5423" w:rsidRPr="00335C62" w:rsidP="00335C62" w14:paraId="10FB700C" w14:textId="77777777">
            <w:pPr>
              <w:widowControl/>
              <w:autoSpaceDE/>
              <w:autoSpaceDN/>
              <w:adjustRightInd/>
              <w:jc w:val="center"/>
            </w:pPr>
            <w:r w:rsidRPr="00335C62">
              <w:t>2024 Final Rules</w:t>
            </w:r>
          </w:p>
        </w:tc>
      </w:tr>
      <w:tr w14:paraId="6E1A931A" w14:textId="77777777" w:rsidTr="00BB6CCD">
        <w:tblPrEx>
          <w:tblW w:w="10018" w:type="dxa"/>
          <w:tblLook w:val="04A0"/>
        </w:tblPrEx>
        <w:trPr>
          <w:trHeight w:val="421"/>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991506" w:rsidRPr="00E40C30" w:rsidP="00991506" w14:paraId="0DC02195" w14:textId="77777777">
            <w:pPr>
              <w:widowControl/>
              <w:autoSpaceDE/>
              <w:autoSpaceDN/>
              <w:adjustRightInd/>
              <w:rPr>
                <w:b w:val="0"/>
                <w:bCs w:val="0"/>
              </w:rPr>
            </w:pPr>
            <w:r w:rsidRPr="00E40C30">
              <w:rPr>
                <w:b w:val="0"/>
                <w:bCs w:val="0"/>
              </w:rPr>
              <w:t>TPAs (first year)</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991506" w:rsidRPr="00991506" w:rsidP="00991506" w14:paraId="1ED4FC37" w14:textId="643E041F">
            <w:pPr>
              <w:widowControl/>
              <w:autoSpaceDE/>
              <w:autoSpaceDN/>
              <w:adjustRightInd/>
              <w:jc w:val="center"/>
              <w:rPr>
                <w:b w:val="0"/>
                <w:bCs w:val="0"/>
              </w:rPr>
            </w:pPr>
            <w:r w:rsidRPr="00991506">
              <w:rPr>
                <w:b w:val="0"/>
                <w:bCs w:val="0"/>
              </w:rPr>
              <w:t>103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991506" w:rsidRPr="00991506" w:rsidP="00991506" w14:paraId="6BDC8E76" w14:textId="049FEA77">
            <w:pPr>
              <w:widowControl/>
              <w:autoSpaceDE/>
              <w:autoSpaceDN/>
              <w:adjustRightInd/>
              <w:jc w:val="center"/>
              <w:rPr>
                <w:b w:val="0"/>
                <w:bCs w:val="0"/>
              </w:rPr>
            </w:pPr>
            <w:r w:rsidRPr="00991506">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991506" w:rsidRPr="00991506" w:rsidP="00991506" w14:paraId="075245D3" w14:textId="42CBE9EE">
            <w:pPr>
              <w:widowControl/>
              <w:autoSpaceDE/>
              <w:autoSpaceDN/>
              <w:adjustRightInd/>
              <w:jc w:val="center"/>
              <w:rPr>
                <w:b w:val="0"/>
                <w:bCs w:val="0"/>
              </w:rPr>
            </w:pPr>
            <w:r w:rsidRPr="00991506">
              <w:rPr>
                <w:b w:val="0"/>
                <w:bCs w:val="0"/>
              </w:rPr>
              <w:t>103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1506" w:rsidRPr="00991506" w:rsidP="00991506" w14:paraId="7A4D53FD" w14:textId="0197D5DC">
            <w:pPr>
              <w:widowControl/>
              <w:autoSpaceDE/>
              <w:autoSpaceDN/>
              <w:adjustRightInd/>
              <w:jc w:val="center"/>
              <w:rPr>
                <w:b w:val="0"/>
                <w:bCs w:val="0"/>
              </w:rPr>
            </w:pPr>
            <w:r w:rsidRPr="00991506">
              <w:rPr>
                <w:b w:val="0"/>
                <w:bCs w:val="0"/>
              </w:rPr>
              <w:t>60</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991506" w:rsidRPr="00991506" w:rsidP="00991506" w14:paraId="039C14CA" w14:textId="0347D0DB">
            <w:pPr>
              <w:widowControl/>
              <w:autoSpaceDE/>
              <w:autoSpaceDN/>
              <w:adjustRightInd/>
              <w:jc w:val="center"/>
              <w:rPr>
                <w:b w:val="0"/>
                <w:bCs w:val="0"/>
              </w:rPr>
            </w:pPr>
            <w:r w:rsidRPr="00991506">
              <w:rPr>
                <w:b w:val="0"/>
                <w:bCs w:val="0"/>
              </w:rPr>
              <w:t>61,800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991506" w:rsidRPr="00991506" w:rsidP="00991506" w14:paraId="15D630DF" w14:textId="0433ACDA">
            <w:pPr>
              <w:widowControl/>
              <w:autoSpaceDE/>
              <w:autoSpaceDN/>
              <w:adjustRightInd/>
              <w:jc w:val="center"/>
              <w:rPr>
                <w:b w:val="0"/>
                <w:bCs w:val="0"/>
              </w:rPr>
            </w:pPr>
            <w:r w:rsidRPr="00991506">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991506" w:rsidRPr="00991506" w:rsidP="00991506" w14:paraId="551DAA49" w14:textId="7F17F3A6">
            <w:pPr>
              <w:widowControl/>
              <w:autoSpaceDE/>
              <w:autoSpaceDN/>
              <w:adjustRightInd/>
              <w:jc w:val="center"/>
              <w:rPr>
                <w:b w:val="0"/>
                <w:bCs w:val="0"/>
              </w:rPr>
            </w:pPr>
            <w:r w:rsidRPr="00991506">
              <w:rPr>
                <w:b w:val="0"/>
                <w:bCs w:val="0"/>
              </w:rPr>
              <w:t>$10,350,264</w:t>
            </w:r>
          </w:p>
        </w:tc>
      </w:tr>
      <w:tr w14:paraId="7FE4A677" w14:textId="77777777" w:rsidTr="00BB6CCD">
        <w:tblPrEx>
          <w:tblW w:w="10018" w:type="dxa"/>
          <w:tblLook w:val="04A0"/>
        </w:tblPrEx>
        <w:trPr>
          <w:trHeight w:val="164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BF784F5" w14:textId="459E99EE">
            <w:pPr>
              <w:widowControl/>
              <w:autoSpaceDE/>
              <w:autoSpaceDN/>
              <w:adjustRightInd/>
              <w:rPr>
                <w:b w:val="0"/>
                <w:bCs w:val="0"/>
              </w:rPr>
            </w:pPr>
            <w:r>
              <w:rPr>
                <w:b w:val="0"/>
                <w:bCs w:val="0"/>
              </w:rPr>
              <w:t>Self-funded</w:t>
            </w:r>
            <w:r w:rsidRPr="00335C62">
              <w:rPr>
                <w:b w:val="0"/>
                <w:bCs w:val="0"/>
              </w:rPr>
              <w:t xml:space="preserve"> plans with more than 500 participants that will conduct the comparative analysis themselves (first year)</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41B4951A" w14:textId="220171BC">
            <w:pPr>
              <w:widowControl/>
              <w:autoSpaceDE/>
              <w:autoSpaceDN/>
              <w:adjustRightInd/>
              <w:jc w:val="center"/>
              <w:rPr>
                <w:b w:val="0"/>
                <w:bCs w:val="0"/>
              </w:rPr>
            </w:pPr>
            <w:r w:rsidRPr="00335C62">
              <w:rPr>
                <w:b w:val="0"/>
                <w:bCs w:val="0"/>
              </w:rPr>
              <w:t>709</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47C8E814" w14:textId="1CB4D937">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17C14BF" w14:textId="06877C14">
            <w:pPr>
              <w:widowControl/>
              <w:autoSpaceDE/>
              <w:autoSpaceDN/>
              <w:adjustRightInd/>
              <w:jc w:val="center"/>
              <w:rPr>
                <w:b w:val="0"/>
                <w:bCs w:val="0"/>
              </w:rPr>
            </w:pPr>
            <w:r w:rsidRPr="00335C62">
              <w:rPr>
                <w:b w:val="0"/>
                <w:bCs w:val="0"/>
              </w:rPr>
              <w:t>709</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10348FD3" w14:textId="71435907">
            <w:pPr>
              <w:widowControl/>
              <w:autoSpaceDE/>
              <w:autoSpaceDN/>
              <w:adjustRightInd/>
              <w:jc w:val="center"/>
              <w:rPr>
                <w:b w:val="0"/>
                <w:bCs w:val="0"/>
              </w:rPr>
            </w:pPr>
            <w:r w:rsidRPr="00335C62">
              <w:rPr>
                <w:b w:val="0"/>
                <w:bCs w:val="0"/>
              </w:rPr>
              <w:t>60</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4B7E3A1D" w14:textId="0EC7BA6C">
            <w:pPr>
              <w:widowControl/>
              <w:autoSpaceDE/>
              <w:autoSpaceDN/>
              <w:adjustRightInd/>
              <w:jc w:val="center"/>
              <w:rPr>
                <w:b w:val="0"/>
                <w:bCs w:val="0"/>
              </w:rPr>
            </w:pPr>
            <w:r w:rsidRPr="00335C62">
              <w:rPr>
                <w:b w:val="0"/>
                <w:bCs w:val="0"/>
              </w:rPr>
              <w:t>425,400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4488532C" w14:textId="1260E6C9">
            <w:pPr>
              <w:widowControl/>
              <w:autoSpaceDE/>
              <w:autoSpaceDN/>
              <w:adjustRightInd/>
              <w:jc w:val="center"/>
              <w:rPr>
                <w:b w:val="0"/>
                <w:bCs w:val="0"/>
              </w:rPr>
            </w:pPr>
            <w:r w:rsidRPr="00335C62">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CEB9F0B" w14:textId="676C11EB">
            <w:pPr>
              <w:widowControl/>
              <w:autoSpaceDE/>
              <w:autoSpaceDN/>
              <w:adjustRightInd/>
              <w:jc w:val="center"/>
              <w:rPr>
                <w:b w:val="0"/>
                <w:bCs w:val="0"/>
              </w:rPr>
            </w:pPr>
            <w:r w:rsidRPr="00335C62">
              <w:rPr>
                <w:b w:val="0"/>
                <w:bCs w:val="0"/>
              </w:rPr>
              <w:t>$71,245,992</w:t>
            </w:r>
          </w:p>
        </w:tc>
      </w:tr>
      <w:tr w14:paraId="2527974A" w14:textId="77777777" w:rsidTr="00B93A0D">
        <w:tblPrEx>
          <w:tblW w:w="10018" w:type="dxa"/>
          <w:tblLook w:val="04A0"/>
        </w:tblPrEx>
        <w:trPr>
          <w:trHeight w:val="673"/>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1D3108E" w14:textId="61EB4D95">
            <w:pPr>
              <w:widowControl/>
              <w:autoSpaceDE/>
              <w:autoSpaceDN/>
              <w:adjustRightInd/>
              <w:rPr>
                <w:b w:val="0"/>
                <w:bCs w:val="0"/>
              </w:rPr>
            </w:pPr>
            <w:r>
              <w:rPr>
                <w:b w:val="0"/>
                <w:bCs w:val="0"/>
              </w:rPr>
              <w:t>Self-funded</w:t>
            </w:r>
            <w:r w:rsidRPr="00335C62">
              <w:rPr>
                <w:b w:val="0"/>
                <w:bCs w:val="0"/>
              </w:rPr>
              <w:t xml:space="preserve"> plans with more than 500 participants that will initially receive generic comparative analyses from </w:t>
            </w:r>
            <w:r>
              <w:rPr>
                <w:b w:val="0"/>
                <w:bCs w:val="0"/>
              </w:rPr>
              <w:t>the TPA</w:t>
            </w:r>
            <w:r w:rsidRPr="00335C62">
              <w:rPr>
                <w:b w:val="0"/>
                <w:bCs w:val="0"/>
              </w:rPr>
              <w:t>, and will then customize it (first year)</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92ECBAA" w14:textId="4BF87273">
            <w:pPr>
              <w:widowControl/>
              <w:autoSpaceDE/>
              <w:autoSpaceDN/>
              <w:adjustRightInd/>
              <w:jc w:val="center"/>
              <w:rPr>
                <w:b w:val="0"/>
                <w:bCs w:val="0"/>
              </w:rPr>
            </w:pPr>
            <w:r w:rsidRPr="00335C62">
              <w:rPr>
                <w:b w:val="0"/>
                <w:bCs w:val="0"/>
              </w:rPr>
              <w:t>4,076</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347F574" w14:textId="0C9C7FE0">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6AA03290" w14:textId="0BA57D23">
            <w:pPr>
              <w:widowControl/>
              <w:autoSpaceDE/>
              <w:autoSpaceDN/>
              <w:adjustRightInd/>
              <w:jc w:val="center"/>
              <w:rPr>
                <w:b w:val="0"/>
                <w:bCs w:val="0"/>
              </w:rPr>
            </w:pPr>
            <w:r w:rsidRPr="00335C62">
              <w:rPr>
                <w:b w:val="0"/>
                <w:bCs w:val="0"/>
              </w:rPr>
              <w:t>4,076</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1EC0ACD6" w14:textId="302A738F">
            <w:pPr>
              <w:widowControl/>
              <w:autoSpaceDE/>
              <w:autoSpaceDN/>
              <w:adjustRightInd/>
              <w:jc w:val="center"/>
              <w:rPr>
                <w:b w:val="0"/>
                <w:bCs w:val="0"/>
              </w:rPr>
            </w:pPr>
            <w:r w:rsidRPr="00335C62">
              <w:rPr>
                <w:b w:val="0"/>
                <w:bCs w:val="0"/>
              </w:rPr>
              <w:t>60</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60B33E25" w14:textId="01DA3344">
            <w:pPr>
              <w:widowControl/>
              <w:autoSpaceDE/>
              <w:autoSpaceDN/>
              <w:adjustRightInd/>
              <w:jc w:val="center"/>
              <w:rPr>
                <w:b w:val="0"/>
                <w:bCs w:val="0"/>
              </w:rPr>
            </w:pPr>
            <w:r w:rsidRPr="00335C62">
              <w:rPr>
                <w:b w:val="0"/>
                <w:bCs w:val="0"/>
              </w:rPr>
              <w:t>2,445,600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763F851" w14:textId="720A4BD0">
            <w:pPr>
              <w:widowControl/>
              <w:autoSpaceDE/>
              <w:autoSpaceDN/>
              <w:adjustRightInd/>
              <w:jc w:val="center"/>
              <w:rPr>
                <w:b w:val="0"/>
                <w:bCs w:val="0"/>
              </w:rPr>
            </w:pPr>
            <w:r w:rsidRPr="00335C62">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13A2454" w14:textId="1EF7EAF4">
            <w:pPr>
              <w:widowControl/>
              <w:autoSpaceDE/>
              <w:autoSpaceDN/>
              <w:adjustRightInd/>
              <w:jc w:val="center"/>
              <w:rPr>
                <w:b w:val="0"/>
                <w:bCs w:val="0"/>
              </w:rPr>
            </w:pPr>
            <w:r w:rsidRPr="00335C62">
              <w:rPr>
                <w:b w:val="0"/>
                <w:bCs w:val="0"/>
              </w:rPr>
              <w:t>$409,589,088</w:t>
            </w:r>
          </w:p>
        </w:tc>
      </w:tr>
      <w:tr w14:paraId="4D9CAB49" w14:textId="77777777" w:rsidTr="00BB6CCD">
        <w:tblPrEx>
          <w:tblW w:w="10018" w:type="dxa"/>
          <w:tblLook w:val="04A0"/>
        </w:tblPrEx>
        <w:trPr>
          <w:trHeight w:val="80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AE3BEAE" w14:textId="77777777">
            <w:pPr>
              <w:widowControl/>
              <w:autoSpaceDE/>
              <w:autoSpaceDN/>
              <w:adjustRightInd/>
              <w:rPr>
                <w:b w:val="0"/>
                <w:bCs w:val="0"/>
              </w:rPr>
            </w:pPr>
            <w:r w:rsidRPr="00335C62">
              <w:rPr>
                <w:b w:val="0"/>
                <w:bCs w:val="0"/>
              </w:rPr>
              <w:t>Plan MEWAs that are not fully insured (first year)</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E172063" w14:textId="3BC24FB3">
            <w:pPr>
              <w:widowControl/>
              <w:autoSpaceDE/>
              <w:autoSpaceDN/>
              <w:adjustRightInd/>
              <w:jc w:val="center"/>
              <w:rPr>
                <w:b w:val="0"/>
                <w:bCs w:val="0"/>
              </w:rPr>
            </w:pPr>
            <w:r w:rsidRPr="00335C62">
              <w:rPr>
                <w:b w:val="0"/>
                <w:bCs w:val="0"/>
              </w:rPr>
              <w:t>132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28421D27" w14:textId="2AE91181">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B653AF0" w14:textId="2EA7F505">
            <w:pPr>
              <w:widowControl/>
              <w:autoSpaceDE/>
              <w:autoSpaceDN/>
              <w:adjustRightInd/>
              <w:jc w:val="center"/>
              <w:rPr>
                <w:b w:val="0"/>
                <w:bCs w:val="0"/>
              </w:rPr>
            </w:pPr>
            <w:r w:rsidRPr="00335C62">
              <w:rPr>
                <w:b w:val="0"/>
                <w:bCs w:val="0"/>
              </w:rPr>
              <w:t>132</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4592AD87" w14:textId="5F64DE06">
            <w:pPr>
              <w:widowControl/>
              <w:autoSpaceDE/>
              <w:autoSpaceDN/>
              <w:adjustRightInd/>
              <w:jc w:val="center"/>
              <w:rPr>
                <w:b w:val="0"/>
                <w:bCs w:val="0"/>
              </w:rPr>
            </w:pPr>
            <w:r w:rsidRPr="00335C62">
              <w:rPr>
                <w:b w:val="0"/>
                <w:bCs w:val="0"/>
              </w:rPr>
              <w:t>60</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2717F18E" w14:textId="79F51BDD">
            <w:pPr>
              <w:widowControl/>
              <w:autoSpaceDE/>
              <w:autoSpaceDN/>
              <w:adjustRightInd/>
              <w:jc w:val="center"/>
              <w:rPr>
                <w:b w:val="0"/>
                <w:bCs w:val="0"/>
              </w:rPr>
            </w:pPr>
            <w:r w:rsidRPr="00335C62">
              <w:rPr>
                <w:b w:val="0"/>
                <w:bCs w:val="0"/>
              </w:rPr>
              <w:t>79,200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C9AA26F" w14:textId="2E98E774">
            <w:pPr>
              <w:widowControl/>
              <w:autoSpaceDE/>
              <w:autoSpaceDN/>
              <w:adjustRightInd/>
              <w:jc w:val="center"/>
              <w:rPr>
                <w:b w:val="0"/>
                <w:bCs w:val="0"/>
              </w:rPr>
            </w:pPr>
            <w:r w:rsidRPr="00335C62">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35671F6" w14:textId="3F2FCEE8">
            <w:pPr>
              <w:widowControl/>
              <w:autoSpaceDE/>
              <w:autoSpaceDN/>
              <w:adjustRightInd/>
              <w:jc w:val="center"/>
              <w:rPr>
                <w:b w:val="0"/>
                <w:bCs w:val="0"/>
              </w:rPr>
            </w:pPr>
            <w:r w:rsidRPr="00335C62">
              <w:rPr>
                <w:b w:val="0"/>
                <w:bCs w:val="0"/>
              </w:rPr>
              <w:t>$13,264,416</w:t>
            </w:r>
          </w:p>
        </w:tc>
      </w:tr>
      <w:tr w14:paraId="0ED9BBF0" w14:textId="77777777" w:rsidTr="00BB6CCD">
        <w:tblPrEx>
          <w:tblW w:w="10018" w:type="dxa"/>
          <w:tblLook w:val="04A0"/>
        </w:tblPrEx>
        <w:trPr>
          <w:trHeight w:val="80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E63F5A6" w14:textId="77777777">
            <w:pPr>
              <w:widowControl/>
              <w:autoSpaceDE/>
              <w:autoSpaceDN/>
              <w:adjustRightInd/>
              <w:rPr>
                <w:b w:val="0"/>
                <w:bCs w:val="0"/>
              </w:rPr>
            </w:pPr>
            <w:r w:rsidRPr="00335C62">
              <w:rPr>
                <w:b w:val="0"/>
                <w:bCs w:val="0"/>
              </w:rPr>
              <w:t>Non-Plan MEWAs that are not fully insured (first year)</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2BD3AAE3" w14:textId="23E9D809">
            <w:pPr>
              <w:widowControl/>
              <w:autoSpaceDE/>
              <w:autoSpaceDN/>
              <w:adjustRightInd/>
              <w:jc w:val="center"/>
              <w:rPr>
                <w:b w:val="0"/>
                <w:bCs w:val="0"/>
              </w:rPr>
            </w:pPr>
            <w:r w:rsidRPr="00335C62">
              <w:rPr>
                <w:b w:val="0"/>
                <w:bCs w:val="0"/>
              </w:rPr>
              <w:t>21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24F882D" w14:textId="05073A96">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0280BA6" w14:textId="3FCC6BC1">
            <w:pPr>
              <w:widowControl/>
              <w:autoSpaceDE/>
              <w:autoSpaceDN/>
              <w:adjustRightInd/>
              <w:jc w:val="center"/>
              <w:rPr>
                <w:b w:val="0"/>
                <w:bCs w:val="0"/>
              </w:rPr>
            </w:pPr>
            <w:r w:rsidRPr="00335C62">
              <w:rPr>
                <w:b w:val="0"/>
                <w:bCs w:val="0"/>
              </w:rPr>
              <w:t>21</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4B53CF52" w14:textId="053D54B8">
            <w:pPr>
              <w:widowControl/>
              <w:autoSpaceDE/>
              <w:autoSpaceDN/>
              <w:adjustRightInd/>
              <w:jc w:val="center"/>
              <w:rPr>
                <w:b w:val="0"/>
                <w:bCs w:val="0"/>
              </w:rPr>
            </w:pPr>
            <w:r w:rsidRPr="00335C62">
              <w:rPr>
                <w:b w:val="0"/>
                <w:bCs w:val="0"/>
              </w:rPr>
              <w:t>60</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69456BE8" w14:textId="02E2021F">
            <w:pPr>
              <w:widowControl/>
              <w:autoSpaceDE/>
              <w:autoSpaceDN/>
              <w:adjustRightInd/>
              <w:jc w:val="center"/>
              <w:rPr>
                <w:b w:val="0"/>
                <w:bCs w:val="0"/>
              </w:rPr>
            </w:pPr>
            <w:r w:rsidRPr="00335C62">
              <w:rPr>
                <w:b w:val="0"/>
                <w:bCs w:val="0"/>
              </w:rPr>
              <w:t>12,600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27498B6F" w14:textId="1F9EF7E8">
            <w:pPr>
              <w:widowControl/>
              <w:autoSpaceDE/>
              <w:autoSpaceDN/>
              <w:adjustRightInd/>
              <w:jc w:val="center"/>
              <w:rPr>
                <w:b w:val="0"/>
                <w:bCs w:val="0"/>
              </w:rPr>
            </w:pPr>
            <w:r w:rsidRPr="00335C62">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4B76E73B" w14:textId="03538A96">
            <w:pPr>
              <w:widowControl/>
              <w:autoSpaceDE/>
              <w:autoSpaceDN/>
              <w:adjustRightInd/>
              <w:jc w:val="center"/>
              <w:rPr>
                <w:b w:val="0"/>
                <w:bCs w:val="0"/>
              </w:rPr>
            </w:pPr>
            <w:r w:rsidRPr="00335C62">
              <w:rPr>
                <w:b w:val="0"/>
                <w:bCs w:val="0"/>
              </w:rPr>
              <w:t>$2,110,248</w:t>
            </w:r>
          </w:p>
        </w:tc>
      </w:tr>
      <w:tr w14:paraId="548F9D45" w14:textId="77777777" w:rsidTr="00B93A0D">
        <w:tblPrEx>
          <w:tblW w:w="10018" w:type="dxa"/>
          <w:tblLook w:val="04A0"/>
        </w:tblPrEx>
        <w:trPr>
          <w:trHeight w:val="872"/>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7772B0" w:rsidRPr="000956AD" w:rsidP="007772B0" w14:paraId="18B0F5EA" w14:textId="77777777">
            <w:pPr>
              <w:widowControl/>
              <w:autoSpaceDE/>
              <w:autoSpaceDN/>
              <w:adjustRightInd/>
              <w:rPr>
                <w:b w:val="0"/>
                <w:bCs w:val="0"/>
              </w:rPr>
            </w:pPr>
            <w:r w:rsidRPr="000956AD">
              <w:rPr>
                <w:b w:val="0"/>
                <w:bCs w:val="0"/>
              </w:rPr>
              <w:t>TPAs (subsequent years)</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772B0" w:rsidRPr="007772B0" w:rsidP="007772B0" w14:paraId="57D6D092" w14:textId="5798B97C">
            <w:pPr>
              <w:widowControl/>
              <w:autoSpaceDE/>
              <w:autoSpaceDN/>
              <w:adjustRightInd/>
              <w:jc w:val="center"/>
              <w:rPr>
                <w:b w:val="0"/>
                <w:bCs w:val="0"/>
              </w:rPr>
            </w:pPr>
            <w:r w:rsidRPr="007772B0">
              <w:rPr>
                <w:b w:val="0"/>
                <w:bCs w:val="0"/>
              </w:rPr>
              <w:t>103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772B0" w:rsidRPr="007772B0" w:rsidP="007772B0" w14:paraId="670C6494" w14:textId="2F0D05E5">
            <w:pPr>
              <w:widowControl/>
              <w:autoSpaceDE/>
              <w:autoSpaceDN/>
              <w:adjustRightInd/>
              <w:jc w:val="center"/>
              <w:rPr>
                <w:b w:val="0"/>
                <w:bCs w:val="0"/>
              </w:rPr>
            </w:pPr>
            <w:r w:rsidRPr="007772B0">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772B0" w:rsidRPr="007772B0" w:rsidP="007772B0" w14:paraId="617B5F0D" w14:textId="44545264">
            <w:pPr>
              <w:widowControl/>
              <w:autoSpaceDE/>
              <w:autoSpaceDN/>
              <w:adjustRightInd/>
              <w:jc w:val="center"/>
              <w:rPr>
                <w:b w:val="0"/>
                <w:bCs w:val="0"/>
              </w:rPr>
            </w:pPr>
            <w:r w:rsidRPr="007772B0">
              <w:rPr>
                <w:b w:val="0"/>
                <w:bCs w:val="0"/>
              </w:rPr>
              <w:t>103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2B0" w:rsidRPr="007772B0" w:rsidP="007772B0" w14:paraId="54FA5508" w14:textId="27C704EB">
            <w:pPr>
              <w:widowControl/>
              <w:autoSpaceDE/>
              <w:autoSpaceDN/>
              <w:adjustRightInd/>
              <w:jc w:val="center"/>
              <w:rPr>
                <w:b w:val="0"/>
                <w:bCs w:val="0"/>
              </w:rPr>
            </w:pPr>
            <w:r w:rsidRPr="007772B0">
              <w:rPr>
                <w:b w:val="0"/>
                <w:bCs w:val="0"/>
              </w:rPr>
              <w:t>12</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7772B0" w:rsidRPr="007772B0" w:rsidP="007772B0" w14:paraId="229CEF8C" w14:textId="42D43F76">
            <w:pPr>
              <w:widowControl/>
              <w:autoSpaceDE/>
              <w:autoSpaceDN/>
              <w:adjustRightInd/>
              <w:jc w:val="center"/>
              <w:rPr>
                <w:b w:val="0"/>
                <w:bCs w:val="0"/>
              </w:rPr>
            </w:pPr>
            <w:r w:rsidRPr="007772B0">
              <w:rPr>
                <w:b w:val="0"/>
                <w:bCs w:val="0"/>
              </w:rPr>
              <w:t>12,360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7772B0" w:rsidRPr="007772B0" w:rsidP="007772B0" w14:paraId="799E86F4" w14:textId="2B3B7D8C">
            <w:pPr>
              <w:widowControl/>
              <w:autoSpaceDE/>
              <w:autoSpaceDN/>
              <w:adjustRightInd/>
              <w:jc w:val="center"/>
              <w:rPr>
                <w:b w:val="0"/>
                <w:bCs w:val="0"/>
              </w:rPr>
            </w:pPr>
            <w:r w:rsidRPr="007772B0">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7772B0" w:rsidRPr="007772B0" w:rsidP="007772B0" w14:paraId="51AC2837" w14:textId="17E87BBE">
            <w:pPr>
              <w:widowControl/>
              <w:autoSpaceDE/>
              <w:autoSpaceDN/>
              <w:adjustRightInd/>
              <w:jc w:val="center"/>
              <w:rPr>
                <w:b w:val="0"/>
                <w:bCs w:val="0"/>
              </w:rPr>
            </w:pPr>
            <w:r w:rsidRPr="007772B0">
              <w:rPr>
                <w:b w:val="0"/>
                <w:bCs w:val="0"/>
              </w:rPr>
              <w:t>$2,070,053</w:t>
            </w:r>
          </w:p>
        </w:tc>
      </w:tr>
      <w:tr w14:paraId="799FE8CC" w14:textId="77777777" w:rsidTr="00B93A0D">
        <w:tblPrEx>
          <w:tblW w:w="10018" w:type="dxa"/>
          <w:tblLook w:val="04A0"/>
        </w:tblPrEx>
        <w:trPr>
          <w:trHeight w:val="188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2B0" w:rsidRPr="00335C62" w:rsidP="007772B0" w14:paraId="520B9D7C" w14:textId="16B471AF">
            <w:pPr>
              <w:widowControl/>
              <w:autoSpaceDE/>
              <w:autoSpaceDN/>
              <w:adjustRightInd/>
              <w:rPr>
                <w:b w:val="0"/>
                <w:bCs w:val="0"/>
              </w:rPr>
            </w:pPr>
            <w:r>
              <w:rPr>
                <w:b w:val="0"/>
                <w:bCs w:val="0"/>
              </w:rPr>
              <w:t>Self-funded</w:t>
            </w:r>
            <w:r w:rsidRPr="00335C62">
              <w:rPr>
                <w:b w:val="0"/>
                <w:bCs w:val="0"/>
              </w:rPr>
              <w:t xml:space="preserve"> plans with more than 500 participants that will conduct the comparative analysis themselves (subsequent years)</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2B0" w:rsidRPr="007772B0" w:rsidP="007772B0" w14:paraId="22A579D6" w14:textId="4447BFE9">
            <w:pPr>
              <w:widowControl/>
              <w:autoSpaceDE/>
              <w:autoSpaceDN/>
              <w:adjustRightInd/>
              <w:jc w:val="center"/>
              <w:rPr>
                <w:b w:val="0"/>
                <w:bCs w:val="0"/>
              </w:rPr>
            </w:pPr>
            <w:r w:rsidRPr="007772B0">
              <w:rPr>
                <w:b w:val="0"/>
                <w:bCs w:val="0"/>
              </w:rPr>
              <w:t>709</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2B0" w:rsidRPr="007772B0" w:rsidP="007772B0" w14:paraId="413FCDC6" w14:textId="29B57D07">
            <w:pPr>
              <w:widowControl/>
              <w:autoSpaceDE/>
              <w:autoSpaceDN/>
              <w:adjustRightInd/>
              <w:jc w:val="center"/>
              <w:rPr>
                <w:b w:val="0"/>
                <w:bCs w:val="0"/>
              </w:rPr>
            </w:pPr>
            <w:r w:rsidRPr="007772B0">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2B0" w:rsidRPr="007772B0" w:rsidP="007772B0" w14:paraId="47C60643" w14:textId="7DEF0176">
            <w:pPr>
              <w:widowControl/>
              <w:autoSpaceDE/>
              <w:autoSpaceDN/>
              <w:adjustRightInd/>
              <w:jc w:val="center"/>
              <w:rPr>
                <w:b w:val="0"/>
                <w:bCs w:val="0"/>
              </w:rPr>
            </w:pPr>
            <w:r w:rsidRPr="007772B0">
              <w:rPr>
                <w:b w:val="0"/>
                <w:bCs w:val="0"/>
              </w:rPr>
              <w:t>709</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2B0" w:rsidRPr="007772B0" w:rsidP="007772B0" w14:paraId="12EB104F" w14:textId="164363E9">
            <w:pPr>
              <w:widowControl/>
              <w:autoSpaceDE/>
              <w:autoSpaceDN/>
              <w:adjustRightInd/>
              <w:jc w:val="center"/>
              <w:rPr>
                <w:b w:val="0"/>
                <w:bCs w:val="0"/>
              </w:rPr>
            </w:pPr>
            <w:r w:rsidRPr="007772B0">
              <w:rPr>
                <w:b w:val="0"/>
                <w:bCs w:val="0"/>
              </w:rPr>
              <w:t>12</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2B0" w:rsidRPr="007772B0" w:rsidP="007772B0" w14:paraId="5EDD639D" w14:textId="25D72C2B">
            <w:pPr>
              <w:widowControl/>
              <w:autoSpaceDE/>
              <w:autoSpaceDN/>
              <w:adjustRightInd/>
              <w:jc w:val="center"/>
              <w:rPr>
                <w:b w:val="0"/>
                <w:bCs w:val="0"/>
              </w:rPr>
            </w:pPr>
            <w:r w:rsidRPr="007772B0">
              <w:rPr>
                <w:b w:val="0"/>
                <w:bCs w:val="0"/>
              </w:rPr>
              <w:t>85,080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2B0" w:rsidRPr="007772B0" w:rsidP="007772B0" w14:paraId="6E4371B9" w14:textId="2F29DFA9">
            <w:pPr>
              <w:widowControl/>
              <w:autoSpaceDE/>
              <w:autoSpaceDN/>
              <w:adjustRightInd/>
              <w:jc w:val="center"/>
              <w:rPr>
                <w:b w:val="0"/>
                <w:bCs w:val="0"/>
              </w:rPr>
            </w:pPr>
            <w:r w:rsidRPr="007772B0">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2B0" w:rsidRPr="007772B0" w:rsidP="007772B0" w14:paraId="2C6EB16E" w14:textId="71008F30">
            <w:pPr>
              <w:widowControl/>
              <w:autoSpaceDE/>
              <w:autoSpaceDN/>
              <w:adjustRightInd/>
              <w:jc w:val="center"/>
              <w:rPr>
                <w:b w:val="0"/>
                <w:bCs w:val="0"/>
              </w:rPr>
            </w:pPr>
            <w:r w:rsidRPr="007772B0">
              <w:rPr>
                <w:b w:val="0"/>
                <w:bCs w:val="0"/>
              </w:rPr>
              <w:t>$14,249,198</w:t>
            </w:r>
          </w:p>
        </w:tc>
      </w:tr>
      <w:tr w14:paraId="4D56385B" w14:textId="77777777" w:rsidTr="00B93A0D">
        <w:tblPrEx>
          <w:tblW w:w="10018" w:type="dxa"/>
          <w:tblLook w:val="04A0"/>
        </w:tblPrEx>
        <w:trPr>
          <w:trHeight w:val="673"/>
        </w:trPr>
        <w:tc>
          <w:tcPr>
            <w:tcW w:w="16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6B2D4C5" w14:textId="7FF61FD5">
            <w:pPr>
              <w:widowControl/>
              <w:autoSpaceDE/>
              <w:autoSpaceDN/>
              <w:adjustRightInd/>
              <w:rPr>
                <w:b w:val="0"/>
                <w:bCs w:val="0"/>
              </w:rPr>
            </w:pPr>
            <w:r>
              <w:rPr>
                <w:b w:val="0"/>
                <w:bCs w:val="0"/>
              </w:rPr>
              <w:t>Self-funded</w:t>
            </w:r>
            <w:r w:rsidRPr="00335C62">
              <w:rPr>
                <w:b w:val="0"/>
                <w:bCs w:val="0"/>
              </w:rPr>
              <w:t xml:space="preserve"> plans with more than </w:t>
            </w:r>
            <w:r w:rsidRPr="00335C62">
              <w:rPr>
                <w:b w:val="0"/>
                <w:bCs w:val="0"/>
              </w:rPr>
              <w:t xml:space="preserve">500 participants that will initially receive generic comparative analyses from </w:t>
            </w:r>
            <w:r>
              <w:rPr>
                <w:b w:val="0"/>
                <w:bCs w:val="0"/>
              </w:rPr>
              <w:t>the TPA</w:t>
            </w:r>
            <w:r w:rsidRPr="00335C62">
              <w:rPr>
                <w:b w:val="0"/>
                <w:bCs w:val="0"/>
              </w:rPr>
              <w:t>, and will then customize it (subsequent years)</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5994A62" w14:textId="0D9417D3">
            <w:pPr>
              <w:widowControl/>
              <w:autoSpaceDE/>
              <w:autoSpaceDN/>
              <w:adjustRightInd/>
              <w:jc w:val="center"/>
              <w:rPr>
                <w:b w:val="0"/>
                <w:bCs w:val="0"/>
              </w:rPr>
            </w:pPr>
            <w:r w:rsidRPr="00335C62">
              <w:rPr>
                <w:b w:val="0"/>
                <w:bCs w:val="0"/>
              </w:rPr>
              <w:t>4,076</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4C749A6" w14:textId="38759BAF">
            <w:pPr>
              <w:widowControl/>
              <w:autoSpaceDE/>
              <w:autoSpaceDN/>
              <w:adjustRightInd/>
              <w:jc w:val="center"/>
              <w:rPr>
                <w:b w:val="0"/>
                <w:bCs w:val="0"/>
              </w:rPr>
            </w:pPr>
            <w:r w:rsidRPr="00335C62">
              <w:rPr>
                <w:b w:val="0"/>
                <w:bCs w:val="0"/>
              </w:rPr>
              <w:t>1</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C613A0C" w14:textId="0F9348F4">
            <w:pPr>
              <w:widowControl/>
              <w:autoSpaceDE/>
              <w:autoSpaceDN/>
              <w:adjustRightInd/>
              <w:jc w:val="center"/>
              <w:rPr>
                <w:b w:val="0"/>
                <w:bCs w:val="0"/>
              </w:rPr>
            </w:pPr>
            <w:r w:rsidRPr="00335C62">
              <w:rPr>
                <w:b w:val="0"/>
                <w:bCs w:val="0"/>
              </w:rPr>
              <w:t>4,076</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18FCC8E9" w14:textId="2FC5B3DE">
            <w:pPr>
              <w:widowControl/>
              <w:autoSpaceDE/>
              <w:autoSpaceDN/>
              <w:adjustRightInd/>
              <w:jc w:val="center"/>
              <w:rPr>
                <w:b w:val="0"/>
                <w:bCs w:val="0"/>
              </w:rPr>
            </w:pPr>
            <w:r w:rsidRPr="00335C62">
              <w:rPr>
                <w:b w:val="0"/>
                <w:bCs w:val="0"/>
              </w:rPr>
              <w:t>1</w:t>
            </w:r>
            <w:r w:rsidR="00D7651C">
              <w:rPr>
                <w:b w:val="0"/>
                <w:bCs w:val="0"/>
              </w:rPr>
              <w:t>2</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4B4515C" w14:textId="567CABF3">
            <w:pPr>
              <w:widowControl/>
              <w:autoSpaceDE/>
              <w:autoSpaceDN/>
              <w:adjustRightInd/>
              <w:jc w:val="center"/>
              <w:rPr>
                <w:b w:val="0"/>
                <w:bCs w:val="0"/>
              </w:rPr>
            </w:pPr>
            <w:r>
              <w:rPr>
                <w:b w:val="0"/>
                <w:bCs w:val="0"/>
              </w:rPr>
              <w:t>244,560</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4A2118A" w14:textId="40342305">
            <w:pPr>
              <w:widowControl/>
              <w:autoSpaceDE/>
              <w:autoSpaceDN/>
              <w:adjustRightInd/>
              <w:jc w:val="center"/>
              <w:rPr>
                <w:b w:val="0"/>
                <w:bCs w:val="0"/>
              </w:rPr>
            </w:pPr>
            <w:r w:rsidRPr="00335C62">
              <w:rPr>
                <w:b w:val="0"/>
                <w:bCs w:val="0"/>
              </w:rPr>
              <w:t xml:space="preserve">$167.48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88789D0" w14:textId="56474A21">
            <w:pPr>
              <w:widowControl/>
              <w:autoSpaceDE/>
              <w:autoSpaceDN/>
              <w:adjustRightInd/>
              <w:jc w:val="center"/>
              <w:rPr>
                <w:b w:val="0"/>
                <w:bCs w:val="0"/>
              </w:rPr>
            </w:pPr>
            <w:r w:rsidRPr="00335C62">
              <w:rPr>
                <w:b w:val="0"/>
                <w:bCs w:val="0"/>
              </w:rPr>
              <w:t>$</w:t>
            </w:r>
            <w:r w:rsidR="00F67C79">
              <w:rPr>
                <w:b w:val="0"/>
                <w:bCs w:val="0"/>
              </w:rPr>
              <w:t>40,958,909</w:t>
            </w:r>
          </w:p>
        </w:tc>
      </w:tr>
      <w:tr w14:paraId="2DF1137F" w14:textId="77777777" w:rsidTr="00BB6CCD">
        <w:tblPrEx>
          <w:tblW w:w="10018" w:type="dxa"/>
          <w:tblLook w:val="04A0"/>
        </w:tblPrEx>
        <w:trPr>
          <w:trHeight w:val="830"/>
        </w:trPr>
        <w:tc>
          <w:tcPr>
            <w:tcW w:w="1646" w:type="dxa"/>
            <w:vMerge/>
            <w:tcBorders>
              <w:top w:val="single" w:sz="4" w:space="0" w:color="auto"/>
              <w:left w:val="single" w:sz="4" w:space="0" w:color="auto"/>
              <w:bottom w:val="single" w:sz="4" w:space="0" w:color="auto"/>
              <w:right w:val="single" w:sz="4" w:space="0" w:color="auto"/>
            </w:tcBorders>
            <w:vAlign w:val="center"/>
            <w:hideMark/>
          </w:tcPr>
          <w:p w:rsidR="00980BC0" w:rsidRPr="00335C62" w:rsidP="00980BC0" w14:paraId="7FBCD7AB" w14:textId="77777777">
            <w:pPr>
              <w:widowControl/>
              <w:autoSpaceDE/>
              <w:autoSpaceDN/>
              <w:adjustRightInd/>
              <w:rPr>
                <w:b w:val="0"/>
                <w:bCs w:val="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980BC0" w:rsidRPr="00335C62" w:rsidP="00980BC0" w14:paraId="0AAAA872" w14:textId="77777777">
            <w:pPr>
              <w:widowControl/>
              <w:autoSpaceDE/>
              <w:autoSpaceDN/>
              <w:adjustRightInd/>
              <w:rPr>
                <w:b w:val="0"/>
                <w:bCs w:val="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980BC0" w:rsidRPr="00335C62" w:rsidP="00980BC0" w14:paraId="500CD17D" w14:textId="77777777">
            <w:pPr>
              <w:widowControl/>
              <w:autoSpaceDE/>
              <w:autoSpaceDN/>
              <w:adjustRightInd/>
              <w:rPr>
                <w:b w:val="0"/>
                <w:bCs w:val="0"/>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980BC0" w:rsidRPr="00335C62" w:rsidP="00980BC0" w14:paraId="16CD8B78" w14:textId="77777777">
            <w:pPr>
              <w:widowControl/>
              <w:autoSpaceDE/>
              <w:autoSpaceDN/>
              <w:adjustRightInd/>
              <w:rPr>
                <w:b w:val="0"/>
                <w:bCs w:val="0"/>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980BC0" w:rsidRPr="00335C62" w:rsidP="00980BC0" w14:paraId="666C3303" w14:textId="77777777">
            <w:pPr>
              <w:widowControl/>
              <w:autoSpaceDE/>
              <w:autoSpaceDN/>
              <w:adjustRightInd/>
              <w:rPr>
                <w:b w:val="0"/>
                <w:bCs w:val="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980BC0" w:rsidRPr="00335C62" w:rsidP="00980BC0" w14:paraId="5FEDF1AC" w14:textId="77777777">
            <w:pPr>
              <w:widowControl/>
              <w:autoSpaceDE/>
              <w:autoSpaceDN/>
              <w:adjustRightInd/>
              <w:rPr>
                <w:b w:val="0"/>
                <w:bCs w:val="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980BC0" w:rsidRPr="00335C62" w:rsidP="00980BC0" w14:paraId="465D4FCA" w14:textId="77777777">
            <w:pPr>
              <w:widowControl/>
              <w:autoSpaceDE/>
              <w:autoSpaceDN/>
              <w:adjustRightInd/>
              <w:rPr>
                <w:b w:val="0"/>
                <w:bCs w:val="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980BC0" w:rsidRPr="00335C62" w:rsidP="00980BC0" w14:paraId="04CADF57" w14:textId="77777777">
            <w:pPr>
              <w:widowControl/>
              <w:autoSpaceDE/>
              <w:autoSpaceDN/>
              <w:adjustRightInd/>
              <w:rPr>
                <w:b w:val="0"/>
                <w:bCs w:val="0"/>
              </w:rPr>
            </w:pPr>
          </w:p>
        </w:tc>
      </w:tr>
      <w:tr w14:paraId="16011639" w14:textId="77777777" w:rsidTr="00BB6CCD">
        <w:tblPrEx>
          <w:tblW w:w="10018" w:type="dxa"/>
          <w:tblLook w:val="04A0"/>
        </w:tblPrEx>
        <w:trPr>
          <w:trHeight w:val="79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485B233" w14:textId="77777777">
            <w:pPr>
              <w:widowControl/>
              <w:autoSpaceDE/>
              <w:autoSpaceDN/>
              <w:adjustRightInd/>
              <w:rPr>
                <w:b w:val="0"/>
                <w:bCs w:val="0"/>
              </w:rPr>
            </w:pPr>
            <w:r w:rsidRPr="00335C62">
              <w:rPr>
                <w:b w:val="0"/>
                <w:bCs w:val="0"/>
              </w:rPr>
              <w:t>Plan MEWAs that are not fully insured (subsequent years)</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681217CE" w14:textId="73E5CA25">
            <w:pPr>
              <w:widowControl/>
              <w:autoSpaceDE/>
              <w:autoSpaceDN/>
              <w:adjustRightInd/>
              <w:jc w:val="center"/>
              <w:rPr>
                <w:b w:val="0"/>
                <w:bCs w:val="0"/>
              </w:rPr>
            </w:pPr>
            <w:r w:rsidRPr="00335C62">
              <w:rPr>
                <w:b w:val="0"/>
                <w:bCs w:val="0"/>
              </w:rPr>
              <w:t>132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9282C67" w14:textId="09E9F47F">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53C3AD8" w14:textId="3A197202">
            <w:pPr>
              <w:widowControl/>
              <w:autoSpaceDE/>
              <w:autoSpaceDN/>
              <w:adjustRightInd/>
              <w:jc w:val="center"/>
              <w:rPr>
                <w:b w:val="0"/>
                <w:bCs w:val="0"/>
              </w:rPr>
            </w:pPr>
            <w:r w:rsidRPr="00335C62">
              <w:rPr>
                <w:b w:val="0"/>
                <w:bCs w:val="0"/>
              </w:rPr>
              <w:t>132</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62AA389F" w14:textId="6730D251">
            <w:pPr>
              <w:widowControl/>
              <w:autoSpaceDE/>
              <w:autoSpaceDN/>
              <w:adjustRightInd/>
              <w:jc w:val="center"/>
              <w:rPr>
                <w:b w:val="0"/>
                <w:bCs w:val="0"/>
              </w:rPr>
            </w:pPr>
            <w:r w:rsidRPr="00335C62">
              <w:rPr>
                <w:b w:val="0"/>
                <w:bCs w:val="0"/>
              </w:rPr>
              <w:t>1</w:t>
            </w:r>
            <w:r w:rsidR="000A4712">
              <w:rPr>
                <w:b w:val="0"/>
                <w:bCs w:val="0"/>
              </w:rPr>
              <w:t>2</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74B28E5" w14:textId="3AF3AAA0">
            <w:pPr>
              <w:widowControl/>
              <w:autoSpaceDE/>
              <w:autoSpaceDN/>
              <w:adjustRightInd/>
              <w:jc w:val="center"/>
              <w:rPr>
                <w:b w:val="0"/>
                <w:bCs w:val="0"/>
              </w:rPr>
            </w:pPr>
            <w:r>
              <w:rPr>
                <w:b w:val="0"/>
                <w:bCs w:val="0"/>
              </w:rPr>
              <w:t>15,840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96C99B4" w14:textId="0DF0646D">
            <w:pPr>
              <w:widowControl/>
              <w:autoSpaceDE/>
              <w:autoSpaceDN/>
              <w:adjustRightInd/>
              <w:jc w:val="center"/>
              <w:rPr>
                <w:b w:val="0"/>
                <w:bCs w:val="0"/>
              </w:rPr>
            </w:pPr>
            <w:r w:rsidRPr="00335C62">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651774B" w14:textId="0211A448">
            <w:pPr>
              <w:widowControl/>
              <w:autoSpaceDE/>
              <w:autoSpaceDN/>
              <w:adjustRightInd/>
              <w:jc w:val="center"/>
              <w:rPr>
                <w:b w:val="0"/>
                <w:bCs w:val="0"/>
              </w:rPr>
            </w:pPr>
            <w:r w:rsidRPr="00335C62">
              <w:rPr>
                <w:b w:val="0"/>
                <w:bCs w:val="0"/>
              </w:rPr>
              <w:t>$</w:t>
            </w:r>
            <w:r w:rsidR="000A4712">
              <w:rPr>
                <w:b w:val="0"/>
                <w:bCs w:val="0"/>
              </w:rPr>
              <w:t>2,652,883</w:t>
            </w:r>
          </w:p>
        </w:tc>
      </w:tr>
      <w:tr w14:paraId="12E11895" w14:textId="77777777" w:rsidTr="00BB6CCD">
        <w:tblPrEx>
          <w:tblW w:w="10018" w:type="dxa"/>
          <w:tblLook w:val="04A0"/>
        </w:tblPrEx>
        <w:trPr>
          <w:trHeight w:val="79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42BE55A9" w14:textId="77777777">
            <w:pPr>
              <w:widowControl/>
              <w:autoSpaceDE/>
              <w:autoSpaceDN/>
              <w:adjustRightInd/>
              <w:rPr>
                <w:b w:val="0"/>
                <w:bCs w:val="0"/>
              </w:rPr>
            </w:pPr>
            <w:r w:rsidRPr="00335C62">
              <w:rPr>
                <w:b w:val="0"/>
                <w:bCs w:val="0"/>
              </w:rPr>
              <w:t>Non-Plan MEWAs that are not fully insured (subsequent years)</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AE8FCC7" w14:textId="78DFDB4F">
            <w:pPr>
              <w:widowControl/>
              <w:autoSpaceDE/>
              <w:autoSpaceDN/>
              <w:adjustRightInd/>
              <w:jc w:val="center"/>
              <w:rPr>
                <w:b w:val="0"/>
                <w:bCs w:val="0"/>
              </w:rPr>
            </w:pPr>
            <w:r w:rsidRPr="00335C62">
              <w:rPr>
                <w:b w:val="0"/>
                <w:bCs w:val="0"/>
              </w:rPr>
              <w:t>21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7362399" w14:textId="34991E99">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300A575" w14:textId="7CDD1E3E">
            <w:pPr>
              <w:widowControl/>
              <w:autoSpaceDE/>
              <w:autoSpaceDN/>
              <w:adjustRightInd/>
              <w:jc w:val="center"/>
              <w:rPr>
                <w:b w:val="0"/>
                <w:bCs w:val="0"/>
              </w:rPr>
            </w:pPr>
            <w:r w:rsidRPr="00335C62">
              <w:rPr>
                <w:b w:val="0"/>
                <w:bCs w:val="0"/>
              </w:rPr>
              <w:t>21</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7AD86386" w14:textId="54B5C2CE">
            <w:pPr>
              <w:widowControl/>
              <w:autoSpaceDE/>
              <w:autoSpaceDN/>
              <w:adjustRightInd/>
              <w:jc w:val="center"/>
              <w:rPr>
                <w:b w:val="0"/>
                <w:bCs w:val="0"/>
              </w:rPr>
            </w:pPr>
            <w:r w:rsidRPr="00335C62">
              <w:rPr>
                <w:b w:val="0"/>
                <w:bCs w:val="0"/>
              </w:rPr>
              <w:t>1</w:t>
            </w:r>
            <w:r w:rsidR="000A4712">
              <w:rPr>
                <w:b w:val="0"/>
                <w:bCs w:val="0"/>
              </w:rPr>
              <w:t>2</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A6F0CC8" w14:textId="185E7D8C">
            <w:pPr>
              <w:widowControl/>
              <w:autoSpaceDE/>
              <w:autoSpaceDN/>
              <w:adjustRightInd/>
              <w:jc w:val="center"/>
              <w:rPr>
                <w:b w:val="0"/>
                <w:bCs w:val="0"/>
              </w:rPr>
            </w:pPr>
            <w:r>
              <w:rPr>
                <w:b w:val="0"/>
                <w:bCs w:val="0"/>
              </w:rPr>
              <w:t>2,520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14A2D4B" w14:textId="3ED80626">
            <w:pPr>
              <w:widowControl/>
              <w:autoSpaceDE/>
              <w:autoSpaceDN/>
              <w:adjustRightInd/>
              <w:jc w:val="center"/>
              <w:rPr>
                <w:b w:val="0"/>
                <w:bCs w:val="0"/>
              </w:rPr>
            </w:pPr>
            <w:r w:rsidRPr="00335C62">
              <w:rPr>
                <w:b w:val="0"/>
                <w:bCs w:val="0"/>
              </w:rPr>
              <w:t xml:space="preserve">$167.48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45B891E1" w14:textId="3AF06D34">
            <w:pPr>
              <w:widowControl/>
              <w:autoSpaceDE/>
              <w:autoSpaceDN/>
              <w:adjustRightInd/>
              <w:jc w:val="center"/>
              <w:rPr>
                <w:b w:val="0"/>
                <w:bCs w:val="0"/>
              </w:rPr>
            </w:pPr>
            <w:r w:rsidRPr="00335C62">
              <w:rPr>
                <w:b w:val="0"/>
                <w:bCs w:val="0"/>
              </w:rPr>
              <w:t>$</w:t>
            </w:r>
            <w:r w:rsidR="000A4712">
              <w:rPr>
                <w:b w:val="0"/>
                <w:bCs w:val="0"/>
              </w:rPr>
              <w:t>422,050</w:t>
            </w:r>
          </w:p>
        </w:tc>
      </w:tr>
      <w:tr w14:paraId="54956F27" w14:textId="77777777" w:rsidTr="00B93A0D">
        <w:tblPrEx>
          <w:tblW w:w="10018" w:type="dxa"/>
          <w:tblLook w:val="04A0"/>
        </w:tblPrEx>
        <w:trPr>
          <w:trHeight w:val="1050"/>
        </w:trPr>
        <w:tc>
          <w:tcPr>
            <w:tcW w:w="1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0BC0" w:rsidRPr="00335C62" w:rsidP="00980BC0" w14:paraId="6078BB42" w14:textId="77777777">
            <w:pPr>
              <w:widowControl/>
              <w:autoSpaceDE/>
              <w:autoSpaceDN/>
              <w:adjustRightInd/>
              <w:rPr>
                <w:b w:val="0"/>
                <w:bCs w:val="0"/>
              </w:rPr>
            </w:pPr>
            <w:r w:rsidRPr="00335C62">
              <w:rPr>
                <w:b w:val="0"/>
                <w:bCs w:val="0"/>
              </w:rPr>
              <w:t xml:space="preserve">Business operations specialists prepare comparative analysis for audits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2B4B67C" w14:textId="6DAB639E">
            <w:pPr>
              <w:widowControl/>
              <w:autoSpaceDE/>
              <w:autoSpaceDN/>
              <w:adjustRightInd/>
              <w:jc w:val="center"/>
              <w:rPr>
                <w:b w:val="0"/>
                <w:bCs w:val="0"/>
              </w:rPr>
            </w:pPr>
            <w:r w:rsidRPr="00335C62">
              <w:rPr>
                <w:b w:val="0"/>
                <w:bCs w:val="0"/>
              </w:rPr>
              <w:t>20</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9C96EEA" w14:textId="67F22F1B">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FB0E5DD" w14:textId="6D90E4EE">
            <w:pPr>
              <w:widowControl/>
              <w:autoSpaceDE/>
              <w:autoSpaceDN/>
              <w:adjustRightInd/>
              <w:jc w:val="center"/>
              <w:rPr>
                <w:b w:val="0"/>
                <w:bCs w:val="0"/>
              </w:rPr>
            </w:pPr>
            <w:r w:rsidRPr="00335C62">
              <w:rPr>
                <w:b w:val="0"/>
                <w:bCs w:val="0"/>
              </w:rPr>
              <w:t>20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406F4DD7" w14:textId="4EFEFEC0">
            <w:pPr>
              <w:widowControl/>
              <w:autoSpaceDE/>
              <w:autoSpaceDN/>
              <w:adjustRightInd/>
              <w:jc w:val="center"/>
              <w:rPr>
                <w:b w:val="0"/>
                <w:bCs w:val="0"/>
              </w:rPr>
            </w:pPr>
            <w:r w:rsidRPr="00335C62">
              <w:rPr>
                <w:b w:val="0"/>
                <w:bCs w:val="0"/>
              </w:rPr>
              <w:t>1</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90A0301" w14:textId="70E54008">
            <w:pPr>
              <w:widowControl/>
              <w:autoSpaceDE/>
              <w:autoSpaceDN/>
              <w:adjustRightInd/>
              <w:jc w:val="center"/>
              <w:rPr>
                <w:b w:val="0"/>
                <w:bCs w:val="0"/>
              </w:rPr>
            </w:pPr>
            <w:r w:rsidRPr="00335C62">
              <w:rPr>
                <w:b w:val="0"/>
                <w:bCs w:val="0"/>
              </w:rPr>
              <w:t>20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6022054B" w14:textId="2F8C2506">
            <w:pPr>
              <w:widowControl/>
              <w:autoSpaceDE/>
              <w:autoSpaceDN/>
              <w:adjustRightInd/>
              <w:jc w:val="center"/>
              <w:rPr>
                <w:b w:val="0"/>
                <w:bCs w:val="0"/>
              </w:rPr>
            </w:pPr>
            <w:r w:rsidRPr="00335C62">
              <w:rPr>
                <w:b w:val="0"/>
                <w:bCs w:val="0"/>
              </w:rPr>
              <w:t xml:space="preserve">$137.67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431F679" w14:textId="61C97445">
            <w:pPr>
              <w:widowControl/>
              <w:autoSpaceDE/>
              <w:autoSpaceDN/>
              <w:adjustRightInd/>
              <w:jc w:val="center"/>
              <w:rPr>
                <w:b w:val="0"/>
                <w:bCs w:val="0"/>
              </w:rPr>
            </w:pPr>
            <w:r w:rsidRPr="00335C62">
              <w:rPr>
                <w:b w:val="0"/>
                <w:bCs w:val="0"/>
              </w:rPr>
              <w:t>$2,753</w:t>
            </w:r>
          </w:p>
        </w:tc>
      </w:tr>
      <w:tr w14:paraId="15BF097D" w14:textId="77777777" w:rsidTr="00B93A0D">
        <w:tblPrEx>
          <w:tblW w:w="10018" w:type="dxa"/>
          <w:tblLook w:val="04A0"/>
        </w:tblPrEx>
        <w:trPr>
          <w:trHeight w:val="502"/>
        </w:trPr>
        <w:tc>
          <w:tcPr>
            <w:tcW w:w="1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0BC0" w:rsidRPr="00335C62" w:rsidP="00980BC0" w14:paraId="03D61AF7" w14:textId="77777777">
            <w:pPr>
              <w:widowControl/>
              <w:autoSpaceDE/>
              <w:autoSpaceDN/>
              <w:adjustRightInd/>
              <w:rPr>
                <w:b w:val="0"/>
                <w:bCs w:val="0"/>
              </w:rPr>
            </w:pPr>
            <w:r w:rsidRPr="00335C62">
              <w:rPr>
                <w:b w:val="0"/>
                <w:bCs w:val="0"/>
              </w:rPr>
              <w:t xml:space="preserve">General operation managers prepare comparative analysis for audits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47D52981" w14:textId="746ED8B7">
            <w:pPr>
              <w:widowControl/>
              <w:autoSpaceDE/>
              <w:autoSpaceDN/>
              <w:adjustRightInd/>
              <w:jc w:val="center"/>
              <w:rPr>
                <w:b w:val="0"/>
                <w:bCs w:val="0"/>
              </w:rPr>
            </w:pPr>
            <w:r w:rsidRPr="00335C62">
              <w:rPr>
                <w:b w:val="0"/>
                <w:bCs w:val="0"/>
              </w:rPr>
              <w:t>20</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7A62768" w14:textId="5DCEA864">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C42B00D" w14:textId="2990EE86">
            <w:pPr>
              <w:widowControl/>
              <w:autoSpaceDE/>
              <w:autoSpaceDN/>
              <w:adjustRightInd/>
              <w:jc w:val="center"/>
              <w:rPr>
                <w:b w:val="0"/>
                <w:bCs w:val="0"/>
              </w:rPr>
            </w:pPr>
            <w:r w:rsidRPr="00335C62">
              <w:rPr>
                <w:b w:val="0"/>
                <w:bCs w:val="0"/>
              </w:rPr>
              <w:t>20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4568B272" w14:textId="0C7F046B">
            <w:pPr>
              <w:widowControl/>
              <w:autoSpaceDE/>
              <w:autoSpaceDN/>
              <w:adjustRightInd/>
              <w:jc w:val="center"/>
              <w:rPr>
                <w:b w:val="0"/>
                <w:bCs w:val="0"/>
              </w:rPr>
            </w:pPr>
            <w:r w:rsidRPr="00335C62">
              <w:rPr>
                <w:b w:val="0"/>
                <w:bCs w:val="0"/>
              </w:rPr>
              <w:t>4</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5C92A371" w14:textId="48015072">
            <w:pPr>
              <w:widowControl/>
              <w:autoSpaceDE/>
              <w:autoSpaceDN/>
              <w:adjustRightInd/>
              <w:jc w:val="center"/>
              <w:rPr>
                <w:b w:val="0"/>
                <w:bCs w:val="0"/>
              </w:rPr>
            </w:pPr>
            <w:r w:rsidRPr="00335C62">
              <w:rPr>
                <w:b w:val="0"/>
                <w:bCs w:val="0"/>
              </w:rPr>
              <w:t>80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09512B3" w14:textId="19375EE4">
            <w:pPr>
              <w:widowControl/>
              <w:autoSpaceDE/>
              <w:autoSpaceDN/>
              <w:adjustRightInd/>
              <w:jc w:val="center"/>
              <w:rPr>
                <w:b w:val="0"/>
                <w:bCs w:val="0"/>
              </w:rPr>
            </w:pPr>
            <w:r w:rsidRPr="00335C62">
              <w:rPr>
                <w:b w:val="0"/>
                <w:bCs w:val="0"/>
              </w:rPr>
              <w:t xml:space="preserve">$114.36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1FB1F09" w14:textId="3E39FE49">
            <w:pPr>
              <w:widowControl/>
              <w:autoSpaceDE/>
              <w:autoSpaceDN/>
              <w:adjustRightInd/>
              <w:jc w:val="center"/>
              <w:rPr>
                <w:b w:val="0"/>
                <w:bCs w:val="0"/>
              </w:rPr>
            </w:pPr>
            <w:r w:rsidRPr="00335C62">
              <w:rPr>
                <w:b w:val="0"/>
                <w:bCs w:val="0"/>
              </w:rPr>
              <w:t>$9,149</w:t>
            </w:r>
          </w:p>
        </w:tc>
      </w:tr>
      <w:tr w14:paraId="26C1F6F5" w14:textId="77777777" w:rsidTr="00B93A0D">
        <w:tblPrEx>
          <w:tblW w:w="10018" w:type="dxa"/>
          <w:tblLook w:val="04A0"/>
        </w:tblPrEx>
        <w:trPr>
          <w:trHeight w:val="412"/>
        </w:trPr>
        <w:tc>
          <w:tcPr>
            <w:tcW w:w="1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0BC0" w:rsidRPr="00335C62" w:rsidP="00980BC0" w14:paraId="5CDBC98A" w14:textId="77777777">
            <w:pPr>
              <w:widowControl/>
              <w:autoSpaceDE/>
              <w:autoSpaceDN/>
              <w:adjustRightInd/>
              <w:rPr>
                <w:b w:val="0"/>
                <w:bCs w:val="0"/>
              </w:rPr>
            </w:pPr>
            <w:r w:rsidRPr="00335C62">
              <w:rPr>
                <w:b w:val="0"/>
                <w:bCs w:val="0"/>
              </w:rPr>
              <w:t xml:space="preserve">Clerical workers prepare and distribute comparative analyses upon participant request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76CF97C2" w14:textId="2805F3E4">
            <w:pPr>
              <w:widowControl/>
              <w:autoSpaceDE/>
              <w:autoSpaceDN/>
              <w:adjustRightInd/>
              <w:jc w:val="center"/>
              <w:rPr>
                <w:b w:val="0"/>
                <w:bCs w:val="0"/>
              </w:rPr>
            </w:pPr>
            <w:r w:rsidRPr="00335C62">
              <w:rPr>
                <w:b w:val="0"/>
                <w:bCs w:val="0"/>
              </w:rPr>
              <w:t>2,129,516</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4FDEB82" w14:textId="0FD51F9D">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6C40A1C8" w14:textId="3E65E48A">
            <w:pPr>
              <w:widowControl/>
              <w:autoSpaceDE/>
              <w:autoSpaceDN/>
              <w:adjustRightInd/>
              <w:jc w:val="center"/>
              <w:rPr>
                <w:b w:val="0"/>
                <w:bCs w:val="0"/>
              </w:rPr>
            </w:pPr>
            <w:r w:rsidRPr="00335C62">
              <w:rPr>
                <w:b w:val="0"/>
                <w:bCs w:val="0"/>
              </w:rPr>
              <w:t>2,129,516</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068B6168" w14:textId="42FAB9EC">
            <w:pPr>
              <w:widowControl/>
              <w:autoSpaceDE/>
              <w:autoSpaceDN/>
              <w:adjustRightInd/>
              <w:jc w:val="center"/>
              <w:rPr>
                <w:b w:val="0"/>
                <w:bCs w:val="0"/>
              </w:rPr>
            </w:pPr>
            <w:r w:rsidRPr="00335C62">
              <w:rPr>
                <w:b w:val="0"/>
                <w:bCs w:val="0"/>
              </w:rPr>
              <w:t>0.083</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2C248E0D" w14:textId="5DF041AC">
            <w:pPr>
              <w:widowControl/>
              <w:autoSpaceDE/>
              <w:autoSpaceDN/>
              <w:adjustRightInd/>
              <w:jc w:val="center"/>
              <w:rPr>
                <w:b w:val="0"/>
                <w:bCs w:val="0"/>
              </w:rPr>
            </w:pPr>
            <w:r w:rsidRPr="00335C62">
              <w:rPr>
                <w:b w:val="0"/>
                <w:bCs w:val="0"/>
              </w:rPr>
              <w:t>177,460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16A5634" w14:textId="598930E3">
            <w:pPr>
              <w:widowControl/>
              <w:autoSpaceDE/>
              <w:autoSpaceDN/>
              <w:adjustRightInd/>
              <w:jc w:val="center"/>
              <w:rPr>
                <w:b w:val="0"/>
                <w:bCs w:val="0"/>
              </w:rPr>
            </w:pPr>
            <w:r w:rsidRPr="00335C62">
              <w:rPr>
                <w:b w:val="0"/>
                <w:bCs w:val="0"/>
              </w:rPr>
              <w:t xml:space="preserve">$65.99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3779B553" w14:textId="5470A10F">
            <w:pPr>
              <w:widowControl/>
              <w:autoSpaceDE/>
              <w:autoSpaceDN/>
              <w:adjustRightInd/>
              <w:jc w:val="center"/>
              <w:rPr>
                <w:b w:val="0"/>
                <w:bCs w:val="0"/>
              </w:rPr>
            </w:pPr>
            <w:r w:rsidRPr="00335C62">
              <w:rPr>
                <w:b w:val="0"/>
                <w:bCs w:val="0"/>
              </w:rPr>
              <w:t>$11,710,585</w:t>
            </w:r>
          </w:p>
        </w:tc>
      </w:tr>
      <w:tr w14:paraId="5B7F48D4" w14:textId="77777777" w:rsidTr="00B93A0D">
        <w:tblPrEx>
          <w:tblW w:w="10018" w:type="dxa"/>
          <w:tblLook w:val="04A0"/>
        </w:tblPrEx>
        <w:trPr>
          <w:trHeight w:val="530"/>
        </w:trPr>
        <w:tc>
          <w:tcPr>
            <w:tcW w:w="1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0BC0" w:rsidRPr="00335C62" w:rsidP="00980BC0" w14:paraId="7A2BE65F" w14:textId="77777777">
            <w:pPr>
              <w:widowControl/>
              <w:autoSpaceDE/>
              <w:autoSpaceDN/>
              <w:adjustRightInd/>
              <w:rPr>
                <w:b w:val="0"/>
                <w:bCs w:val="0"/>
              </w:rPr>
            </w:pPr>
            <w:r w:rsidRPr="00335C62">
              <w:rPr>
                <w:b w:val="0"/>
                <w:bCs w:val="0"/>
              </w:rPr>
              <w:t>Clerical workers maintain recordkeeping</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0131D4C2" w14:textId="4280C4EE">
            <w:pPr>
              <w:widowControl/>
              <w:autoSpaceDE/>
              <w:autoSpaceDN/>
              <w:adjustRightInd/>
              <w:jc w:val="center"/>
              <w:rPr>
                <w:b w:val="0"/>
                <w:bCs w:val="0"/>
              </w:rPr>
            </w:pPr>
            <w:r w:rsidRPr="00335C62">
              <w:rPr>
                <w:b w:val="0"/>
                <w:bCs w:val="0"/>
              </w:rPr>
              <w:t>2,129,516</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6FBBCEE5" w14:textId="337A2F82">
            <w:pPr>
              <w:widowControl/>
              <w:autoSpaceDE/>
              <w:autoSpaceDN/>
              <w:adjustRightInd/>
              <w:jc w:val="center"/>
              <w:rPr>
                <w:b w:val="0"/>
                <w:bCs w:val="0"/>
              </w:rPr>
            </w:pPr>
            <w:r w:rsidRPr="00335C62">
              <w:rPr>
                <w:b w:val="0"/>
                <w:bCs w:val="0"/>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2FD1EC8" w14:textId="70790397">
            <w:pPr>
              <w:widowControl/>
              <w:autoSpaceDE/>
              <w:autoSpaceDN/>
              <w:adjustRightInd/>
              <w:jc w:val="center"/>
              <w:rPr>
                <w:b w:val="0"/>
                <w:bCs w:val="0"/>
              </w:rPr>
            </w:pPr>
            <w:r w:rsidRPr="00335C62">
              <w:rPr>
                <w:b w:val="0"/>
                <w:bCs w:val="0"/>
              </w:rPr>
              <w:t>2,129,516</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C0" w:rsidRPr="00335C62" w:rsidP="00980BC0" w14:paraId="139299C7" w14:textId="22607D5F">
            <w:pPr>
              <w:widowControl/>
              <w:autoSpaceDE/>
              <w:autoSpaceDN/>
              <w:adjustRightInd/>
              <w:jc w:val="center"/>
              <w:rPr>
                <w:b w:val="0"/>
                <w:bCs w:val="0"/>
              </w:rPr>
            </w:pPr>
            <w:r w:rsidRPr="00335C62">
              <w:rPr>
                <w:b w:val="0"/>
                <w:bCs w:val="0"/>
              </w:rPr>
              <w:t>0.083</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7A2226D4" w14:textId="75D8F605">
            <w:pPr>
              <w:widowControl/>
              <w:autoSpaceDE/>
              <w:autoSpaceDN/>
              <w:adjustRightInd/>
              <w:jc w:val="center"/>
              <w:rPr>
                <w:b w:val="0"/>
                <w:bCs w:val="0"/>
              </w:rPr>
            </w:pPr>
            <w:r w:rsidRPr="00335C62">
              <w:rPr>
                <w:b w:val="0"/>
                <w:bCs w:val="0"/>
              </w:rPr>
              <w:t>177,460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0B38946C" w14:textId="37AEC122">
            <w:pPr>
              <w:widowControl/>
              <w:autoSpaceDE/>
              <w:autoSpaceDN/>
              <w:adjustRightInd/>
              <w:jc w:val="center"/>
              <w:rPr>
                <w:b w:val="0"/>
                <w:bCs w:val="0"/>
              </w:rPr>
            </w:pPr>
            <w:r w:rsidRPr="00335C62">
              <w:rPr>
                <w:b w:val="0"/>
                <w:bCs w:val="0"/>
              </w:rPr>
              <w:t xml:space="preserve">$65.99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BC0" w:rsidRPr="00335C62" w:rsidP="00980BC0" w14:paraId="14A29B06" w14:textId="56E6F495">
            <w:pPr>
              <w:widowControl/>
              <w:autoSpaceDE/>
              <w:autoSpaceDN/>
              <w:adjustRightInd/>
              <w:jc w:val="center"/>
              <w:rPr>
                <w:b w:val="0"/>
                <w:bCs w:val="0"/>
              </w:rPr>
            </w:pPr>
            <w:r w:rsidRPr="00335C62">
              <w:rPr>
                <w:b w:val="0"/>
                <w:bCs w:val="0"/>
              </w:rPr>
              <w:t>$11,710,585</w:t>
            </w:r>
          </w:p>
        </w:tc>
      </w:tr>
      <w:tr w14:paraId="70A8F6ED" w14:textId="77777777" w:rsidTr="00B93A0D">
        <w:tblPrEx>
          <w:tblW w:w="10018" w:type="dxa"/>
          <w:tblLook w:val="04A0"/>
        </w:tblPrEx>
        <w:trPr>
          <w:trHeight w:val="27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BBF" w:rsidRPr="00335C62" w:rsidP="00006BBF" w14:paraId="3D19CD86" w14:textId="77777777">
            <w:pPr>
              <w:widowControl/>
              <w:autoSpaceDE/>
              <w:autoSpaceDN/>
              <w:adjustRightInd/>
            </w:pPr>
            <w:r w:rsidRPr="00335C62">
              <w:t xml:space="preserve">Total (3-year </w:t>
            </w:r>
            <w:r w:rsidRPr="00335C62">
              <w:t>average)*</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7841B9" w:rsidP="00006BBF" w14:paraId="21EE65B9" w14:textId="38E105F7">
            <w:pPr>
              <w:widowControl/>
              <w:autoSpaceDE/>
              <w:autoSpaceDN/>
              <w:adjustRightInd/>
              <w:jc w:val="center"/>
            </w:pPr>
            <w:r w:rsidRPr="007841B9">
              <w:t>2,873,882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7841B9" w:rsidP="00006BBF" w14:paraId="51C12E17" w14:textId="673DEAC7">
            <w:pPr>
              <w:widowControl/>
              <w:autoSpaceDE/>
              <w:autoSpaceDN/>
              <w:adjustRightInd/>
              <w:jc w:val="center"/>
            </w:pPr>
            <w:r w:rsidRPr="007841B9">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7841B9" w:rsidP="00006BBF" w14:paraId="7B1217EC" w14:textId="2E89B135">
            <w:pPr>
              <w:widowControl/>
              <w:autoSpaceDE/>
              <w:autoSpaceDN/>
              <w:adjustRightInd/>
              <w:jc w:val="center"/>
            </w:pPr>
            <w:r w:rsidRPr="007841B9">
              <w:t>2,873,882</w:t>
            </w:r>
          </w:p>
        </w:tc>
        <w:tc>
          <w:tcPr>
            <w:tcW w:w="1038" w:type="dxa"/>
            <w:tcBorders>
              <w:top w:val="single" w:sz="4" w:space="0" w:color="auto"/>
              <w:left w:val="single" w:sz="4" w:space="0" w:color="auto"/>
              <w:bottom w:val="single" w:sz="4" w:space="0" w:color="auto"/>
              <w:right w:val="single" w:sz="4" w:space="0" w:color="auto"/>
            </w:tcBorders>
            <w:shd w:val="clear" w:color="000000" w:fill="000000"/>
            <w:vAlign w:val="center"/>
          </w:tcPr>
          <w:p w:rsidR="00006BBF" w:rsidRPr="007841B9" w:rsidP="00006BBF" w14:paraId="002CA456" w14:textId="491E9BAA">
            <w:pPr>
              <w:widowControl/>
              <w:autoSpaceDE/>
              <w:autoSpaceDN/>
              <w:adjustRightInd/>
              <w:jc w:val="center"/>
            </w:pPr>
            <w:r w:rsidRPr="007841B9">
              <w:t> </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C43C47" w:rsidP="00006BBF" w14:paraId="4BA9246C" w14:textId="3C8607E8">
            <w:pPr>
              <w:widowControl/>
              <w:autoSpaceDE/>
              <w:autoSpaceDN/>
              <w:adjustRightInd/>
              <w:jc w:val="center"/>
            </w:pPr>
            <w:r w:rsidRPr="00C43C47">
              <w:t>1,415,902</w:t>
            </w:r>
          </w:p>
        </w:tc>
        <w:tc>
          <w:tcPr>
            <w:tcW w:w="1366" w:type="dxa"/>
            <w:tcBorders>
              <w:top w:val="single" w:sz="4" w:space="0" w:color="auto"/>
              <w:left w:val="single" w:sz="4" w:space="0" w:color="auto"/>
              <w:bottom w:val="single" w:sz="4" w:space="0" w:color="auto"/>
              <w:right w:val="single" w:sz="4" w:space="0" w:color="auto"/>
            </w:tcBorders>
            <w:shd w:val="clear" w:color="000000" w:fill="000000"/>
            <w:vAlign w:val="center"/>
          </w:tcPr>
          <w:p w:rsidR="00006BBF" w:rsidRPr="007841B9" w:rsidP="00006BBF" w14:paraId="32E73162" w14:textId="72B21AC3">
            <w:pPr>
              <w:widowControl/>
              <w:autoSpaceDE/>
              <w:autoSpaceDN/>
              <w:adjustRightInd/>
              <w:jc w:val="center"/>
            </w:pPr>
            <w:r w:rsidRPr="007841B9">
              <w:t>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006BBF" w:rsidP="00006BBF" w14:paraId="6A5E3EE9" w14:textId="654ADF55">
            <w:pPr>
              <w:widowControl/>
              <w:autoSpaceDE/>
              <w:autoSpaceDN/>
              <w:adjustRightInd/>
              <w:jc w:val="center"/>
            </w:pPr>
            <w:r w:rsidRPr="00006BBF">
              <w:t xml:space="preserve">$183,495,735 </w:t>
            </w:r>
          </w:p>
        </w:tc>
      </w:tr>
      <w:tr w14:paraId="330071F6" w14:textId="77777777" w:rsidTr="00B93A0D">
        <w:tblPrEx>
          <w:tblW w:w="10018" w:type="dxa"/>
          <w:tblLook w:val="04A0"/>
        </w:tblPrEx>
        <w:trPr>
          <w:trHeight w:val="53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BBF" w:rsidRPr="00335C62" w:rsidP="00006BBF" w14:paraId="1D15D424" w14:textId="77777777">
            <w:pPr>
              <w:widowControl/>
              <w:autoSpaceDE/>
              <w:autoSpaceDN/>
              <w:adjustRightInd/>
            </w:pPr>
            <w:r w:rsidRPr="00335C62">
              <w:t xml:space="preserve">DOL Total (3-year </w:t>
            </w:r>
            <w:r w:rsidRPr="00335C62">
              <w:t>average)*</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7841B9" w:rsidP="00006BBF" w14:paraId="69782E3C" w14:textId="526BA4DA">
            <w:pPr>
              <w:widowControl/>
              <w:autoSpaceDE/>
              <w:autoSpaceDN/>
              <w:adjustRightInd/>
              <w:jc w:val="center"/>
            </w:pPr>
            <w:r w:rsidRPr="007841B9">
              <w:t>1,436,941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7841B9" w:rsidP="00006BBF" w14:paraId="4292A6BD" w14:textId="48B08BA3">
            <w:pPr>
              <w:widowControl/>
              <w:autoSpaceDE/>
              <w:autoSpaceDN/>
              <w:adjustRightInd/>
              <w:jc w:val="center"/>
            </w:pPr>
            <w:r w:rsidRPr="007841B9">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7841B9" w:rsidP="00006BBF" w14:paraId="0F136C91" w14:textId="1F14F09D">
            <w:pPr>
              <w:widowControl/>
              <w:autoSpaceDE/>
              <w:autoSpaceDN/>
              <w:adjustRightInd/>
              <w:jc w:val="center"/>
            </w:pPr>
            <w:r w:rsidRPr="007841B9">
              <w:t>1,436,941</w:t>
            </w:r>
          </w:p>
        </w:tc>
        <w:tc>
          <w:tcPr>
            <w:tcW w:w="1038" w:type="dxa"/>
            <w:tcBorders>
              <w:top w:val="single" w:sz="4" w:space="0" w:color="auto"/>
              <w:left w:val="single" w:sz="4" w:space="0" w:color="auto"/>
              <w:bottom w:val="single" w:sz="4" w:space="0" w:color="auto"/>
              <w:right w:val="single" w:sz="4" w:space="0" w:color="auto"/>
            </w:tcBorders>
            <w:shd w:val="clear" w:color="000000" w:fill="000000"/>
            <w:vAlign w:val="center"/>
          </w:tcPr>
          <w:p w:rsidR="00006BBF" w:rsidRPr="007841B9" w:rsidP="00006BBF" w14:paraId="7738AA39" w14:textId="45CAC6A6">
            <w:pPr>
              <w:widowControl/>
              <w:autoSpaceDE/>
              <w:autoSpaceDN/>
              <w:adjustRightInd/>
              <w:jc w:val="center"/>
            </w:pPr>
            <w:r w:rsidRPr="007841B9">
              <w:t> </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C43C47" w:rsidP="00006BBF" w14:paraId="53E74BB6" w14:textId="3C47124F">
            <w:pPr>
              <w:widowControl/>
              <w:autoSpaceDE/>
              <w:autoSpaceDN/>
              <w:adjustRightInd/>
              <w:jc w:val="center"/>
            </w:pPr>
            <w:r w:rsidRPr="00C43C47">
              <w:t>707,951</w:t>
            </w:r>
          </w:p>
        </w:tc>
        <w:tc>
          <w:tcPr>
            <w:tcW w:w="1366" w:type="dxa"/>
            <w:tcBorders>
              <w:top w:val="single" w:sz="4" w:space="0" w:color="auto"/>
              <w:left w:val="single" w:sz="4" w:space="0" w:color="auto"/>
              <w:bottom w:val="single" w:sz="4" w:space="0" w:color="auto"/>
              <w:right w:val="single" w:sz="4" w:space="0" w:color="auto"/>
            </w:tcBorders>
            <w:shd w:val="clear" w:color="000000" w:fill="000000"/>
            <w:vAlign w:val="center"/>
          </w:tcPr>
          <w:p w:rsidR="00006BBF" w:rsidRPr="007841B9" w:rsidP="00006BBF" w14:paraId="6B505A75" w14:textId="3A2C95FB">
            <w:pPr>
              <w:widowControl/>
              <w:autoSpaceDE/>
              <w:autoSpaceDN/>
              <w:adjustRightInd/>
              <w:jc w:val="center"/>
            </w:pPr>
            <w:r w:rsidRPr="007841B9">
              <w:t>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006BBF" w:rsidRPr="00006BBF" w:rsidP="00006BBF" w14:paraId="04AB3670" w14:textId="7082B533">
            <w:pPr>
              <w:widowControl/>
              <w:autoSpaceDE/>
              <w:autoSpaceDN/>
              <w:adjustRightInd/>
              <w:jc w:val="center"/>
            </w:pPr>
            <w:r w:rsidRPr="00006BBF">
              <w:t xml:space="preserve">$91,747,867 </w:t>
            </w:r>
          </w:p>
        </w:tc>
      </w:tr>
    </w:tbl>
    <w:p w:rsidR="00082D74" w:rsidRPr="00917C48" w:rsidP="003158CA" w14:paraId="3A174626" w14:textId="42492455">
      <w:pPr>
        <w:widowControl/>
        <w:tabs>
          <w:tab w:val="left" w:pos="-1440"/>
        </w:tabs>
        <w:rPr>
          <w:b w:val="0"/>
          <w:bCs w:val="0"/>
          <w:iCs/>
          <w:color w:val="000000"/>
        </w:rPr>
      </w:pPr>
      <w:r w:rsidRPr="00917C48">
        <w:rPr>
          <w:b w:val="0"/>
          <w:bCs w:val="0"/>
          <w:iCs/>
          <w:color w:val="000000"/>
        </w:rPr>
        <w:t xml:space="preserve">Note: </w:t>
      </w:r>
    </w:p>
    <w:p w:rsidR="0094607B" w:rsidRPr="00917C48" w:rsidP="003158CA" w14:paraId="2BF97252" w14:textId="44C5E12F">
      <w:pPr>
        <w:widowControl/>
        <w:tabs>
          <w:tab w:val="left" w:pos="-1440"/>
        </w:tabs>
        <w:rPr>
          <w:b w:val="0"/>
          <w:bCs w:val="0"/>
          <w:iCs/>
          <w:color w:val="000000"/>
        </w:rPr>
      </w:pPr>
      <w:r w:rsidRPr="00917C48">
        <w:rPr>
          <w:b w:val="0"/>
          <w:bCs w:val="0"/>
          <w:iCs/>
          <w:color w:val="000000"/>
        </w:rPr>
        <w:t>*</w:t>
      </w:r>
      <w:r w:rsidRPr="00917C48" w:rsidR="00AF2482">
        <w:rPr>
          <w:b w:val="0"/>
          <w:bCs w:val="0"/>
          <w:iCs/>
          <w:color w:val="000000"/>
        </w:rPr>
        <w:t xml:space="preserve">The total </w:t>
      </w:r>
      <w:r w:rsidRPr="00917C48" w:rsidR="0083540C">
        <w:rPr>
          <w:b w:val="0"/>
          <w:bCs w:val="0"/>
          <w:iCs/>
          <w:color w:val="000000"/>
        </w:rPr>
        <w:t>estimates</w:t>
      </w:r>
      <w:r w:rsidRPr="00917C48" w:rsidR="00CC28C9">
        <w:rPr>
          <w:b w:val="0"/>
          <w:bCs w:val="0"/>
          <w:iCs/>
          <w:color w:val="000000"/>
        </w:rPr>
        <w:t xml:space="preserve"> </w:t>
      </w:r>
      <w:r w:rsidRPr="00917C48" w:rsidR="0083540C">
        <w:rPr>
          <w:b w:val="0"/>
          <w:bCs w:val="0"/>
          <w:iCs/>
          <w:color w:val="000000"/>
        </w:rPr>
        <w:t xml:space="preserve">reflect the three-year average burden. </w:t>
      </w:r>
    </w:p>
    <w:p w:rsidR="005954F9" w:rsidRPr="00917C48" w:rsidP="003158CA" w14:paraId="765C9386" w14:textId="3B7160E1">
      <w:pPr>
        <w:widowControl/>
        <w:tabs>
          <w:tab w:val="left" w:pos="-1440"/>
        </w:tabs>
        <w:rPr>
          <w:b w:val="0"/>
          <w:bCs w:val="0"/>
          <w:iCs/>
          <w:color w:val="000000"/>
        </w:rPr>
      </w:pPr>
      <w:r w:rsidRPr="00917C48">
        <w:rPr>
          <w:b w:val="0"/>
          <w:bCs w:val="0"/>
          <w:iCs/>
          <w:color w:val="000000"/>
        </w:rPr>
        <w:t xml:space="preserve">**The total number of </w:t>
      </w:r>
      <w:r w:rsidRPr="00917C48" w:rsidR="001A38A6">
        <w:rPr>
          <w:b w:val="0"/>
          <w:bCs w:val="0"/>
          <w:iCs/>
          <w:color w:val="000000"/>
        </w:rPr>
        <w:t xml:space="preserve">responses and </w:t>
      </w:r>
      <w:r w:rsidRPr="00917C48">
        <w:rPr>
          <w:b w:val="0"/>
          <w:bCs w:val="0"/>
          <w:iCs/>
          <w:color w:val="000000"/>
        </w:rPr>
        <w:t xml:space="preserve">respondents is calculated in the following manner: </w:t>
      </w:r>
      <w:r w:rsidRPr="00917C48" w:rsidR="001305A2">
        <w:rPr>
          <w:b w:val="0"/>
          <w:bCs w:val="0"/>
          <w:iCs/>
          <w:color w:val="000000"/>
        </w:rPr>
        <w:t xml:space="preserve">498,016 </w:t>
      </w:r>
      <w:r w:rsidRPr="00917C48" w:rsidR="005F0C4C">
        <w:rPr>
          <w:b w:val="0"/>
          <w:bCs w:val="0"/>
          <w:iCs/>
          <w:color w:val="000000"/>
        </w:rPr>
        <w:t xml:space="preserve">(Model Disclosure Request Form) + </w:t>
      </w:r>
      <w:r w:rsidR="000E4D69">
        <w:rPr>
          <w:b w:val="0"/>
          <w:bCs w:val="0"/>
          <w:iCs/>
          <w:color w:val="000000"/>
        </w:rPr>
        <w:t>2,129</w:t>
      </w:r>
      <w:r w:rsidR="00D754F0">
        <w:rPr>
          <w:b w:val="0"/>
          <w:bCs w:val="0"/>
          <w:iCs/>
          <w:color w:val="000000"/>
        </w:rPr>
        <w:t>,</w:t>
      </w:r>
      <w:r w:rsidR="000E4D69">
        <w:rPr>
          <w:b w:val="0"/>
          <w:bCs w:val="0"/>
          <w:iCs/>
          <w:color w:val="000000"/>
        </w:rPr>
        <w:t>5</w:t>
      </w:r>
      <w:r w:rsidR="00640DD5">
        <w:rPr>
          <w:b w:val="0"/>
          <w:bCs w:val="0"/>
          <w:iCs/>
          <w:color w:val="000000"/>
        </w:rPr>
        <w:t>1</w:t>
      </w:r>
      <w:r w:rsidR="000E4D69">
        <w:rPr>
          <w:b w:val="0"/>
          <w:bCs w:val="0"/>
          <w:iCs/>
          <w:color w:val="000000"/>
        </w:rPr>
        <w:t>6</w:t>
      </w:r>
      <w:r w:rsidRPr="00917C48" w:rsidR="00EA0920">
        <w:rPr>
          <w:b w:val="0"/>
          <w:bCs w:val="0"/>
          <w:iCs/>
          <w:color w:val="000000"/>
        </w:rPr>
        <w:t xml:space="preserve"> </w:t>
      </w:r>
      <w:r w:rsidRPr="00917C48" w:rsidR="00517C14">
        <w:rPr>
          <w:b w:val="0"/>
          <w:bCs w:val="0"/>
          <w:iCs/>
          <w:color w:val="000000"/>
        </w:rPr>
        <w:t>(</w:t>
      </w:r>
      <w:r w:rsidRPr="00917C48" w:rsidR="00747B69">
        <w:rPr>
          <w:b w:val="0"/>
          <w:bCs w:val="0"/>
          <w:iCs/>
          <w:color w:val="000000"/>
        </w:rPr>
        <w:t>Medical Necessity Notices)</w:t>
      </w:r>
      <w:r w:rsidRPr="00917C48" w:rsidR="005F0C4C">
        <w:rPr>
          <w:b w:val="0"/>
          <w:bCs w:val="0"/>
          <w:iCs/>
          <w:color w:val="000000"/>
        </w:rPr>
        <w:t xml:space="preserve"> + </w:t>
      </w:r>
      <w:r w:rsidR="00225D5B">
        <w:rPr>
          <w:b w:val="0"/>
          <w:bCs w:val="0"/>
          <w:iCs/>
          <w:color w:val="000000"/>
        </w:rPr>
        <w:t>246,</w:t>
      </w:r>
      <w:r w:rsidR="000E4D69">
        <w:rPr>
          <w:b w:val="0"/>
          <w:bCs w:val="0"/>
          <w:iCs/>
          <w:color w:val="000000"/>
        </w:rPr>
        <w:t>350</w:t>
      </w:r>
      <w:r w:rsidRPr="00917C48" w:rsidR="00D91E15">
        <w:rPr>
          <w:b w:val="0"/>
          <w:bCs w:val="0"/>
          <w:iCs/>
          <w:color w:val="000000"/>
        </w:rPr>
        <w:t xml:space="preserve"> (</w:t>
      </w:r>
      <w:r w:rsidR="00F40841">
        <w:rPr>
          <w:b w:val="0"/>
          <w:bCs w:val="0"/>
          <w:iCs/>
          <w:color w:val="000000"/>
        </w:rPr>
        <w:t>CAA, 202</w:t>
      </w:r>
      <w:r w:rsidR="002D2CBF">
        <w:rPr>
          <w:b w:val="0"/>
          <w:bCs w:val="0"/>
          <w:iCs/>
          <w:color w:val="000000"/>
        </w:rPr>
        <w:t>1</w:t>
      </w:r>
      <w:r w:rsidRPr="00917C48" w:rsidR="00D91E15">
        <w:rPr>
          <w:b w:val="0"/>
          <w:bCs w:val="0"/>
          <w:iCs/>
          <w:color w:val="000000"/>
        </w:rPr>
        <w:t>)</w:t>
      </w:r>
      <w:r w:rsidRPr="00917C48" w:rsidR="00085DE9">
        <w:rPr>
          <w:b w:val="0"/>
          <w:bCs w:val="0"/>
          <w:iCs/>
          <w:color w:val="000000"/>
        </w:rPr>
        <w:t xml:space="preserve"> = </w:t>
      </w:r>
      <w:r w:rsidR="000E4D69">
        <w:rPr>
          <w:b w:val="0"/>
          <w:bCs w:val="0"/>
          <w:iCs/>
          <w:color w:val="000000"/>
        </w:rPr>
        <w:t>2,873,882</w:t>
      </w:r>
      <w:r w:rsidR="00DB72EE">
        <w:rPr>
          <w:b w:val="0"/>
          <w:bCs w:val="0"/>
          <w:iCs/>
          <w:color w:val="000000"/>
        </w:rPr>
        <w:t>.</w:t>
      </w:r>
    </w:p>
    <w:p w:rsidR="0085457D" w:rsidRPr="00917C48" w:rsidP="003158CA" w14:paraId="29C0F6CF" w14:textId="0CDB208F">
      <w:pPr>
        <w:widowControl/>
        <w:tabs>
          <w:tab w:val="left" w:pos="-1440"/>
        </w:tabs>
        <w:rPr>
          <w:b w:val="0"/>
          <w:bCs w:val="0"/>
          <w:iCs/>
          <w:color w:val="000000"/>
        </w:rPr>
      </w:pPr>
      <w:r w:rsidRPr="00917C48">
        <w:rPr>
          <w:b w:val="0"/>
          <w:bCs w:val="0"/>
          <w:iCs/>
          <w:color w:val="000000"/>
        </w:rPr>
        <w:t>***</w:t>
      </w:r>
      <w:r w:rsidRPr="00917C48">
        <w:t xml:space="preserve"> </w:t>
      </w:r>
      <w:r w:rsidRPr="00917C48" w:rsidR="00917C48">
        <w:rPr>
          <w:b w:val="0"/>
          <w:bCs w:val="0"/>
          <w:iCs/>
        </w:rPr>
        <w:t xml:space="preserve">Because the Department of Labor and the Department of the Treasury share enforcement jurisdiction with respect to group health plans and employers under the MHPAEA provisions (see section 712 of ERISA and section 9812 of the Internal Revenue Code), the aggregate paperwork burden of this information collection is divided equally between those two Departments. </w:t>
      </w:r>
    </w:p>
    <w:p w:rsidR="0083540C" w:rsidRPr="00A92375" w:rsidP="003158CA" w14:paraId="3746F74D" w14:textId="77777777">
      <w:pPr>
        <w:widowControl/>
        <w:tabs>
          <w:tab w:val="left" w:pos="-1440"/>
        </w:tabs>
        <w:rPr>
          <w:b w:val="0"/>
          <w:bCs w:val="0"/>
          <w:i/>
          <w:iCs/>
          <w:color w:val="000000"/>
          <w:sz w:val="24"/>
          <w:szCs w:val="24"/>
        </w:rPr>
      </w:pPr>
    </w:p>
    <w:p w:rsidR="0089109B" w:rsidP="00EC0E6C" w14:paraId="388A288E" w14:textId="5A2A5473">
      <w:pPr>
        <w:pStyle w:val="Heading1"/>
        <w:rPr>
          <w:iCs/>
          <w:color w:val="000000"/>
          <w:szCs w:val="24"/>
        </w:rPr>
      </w:pPr>
      <w:r w:rsidRPr="00BE4E63">
        <w:t>13.</w:t>
      </w:r>
      <w:r w:rsidR="00FB7A58">
        <w:t xml:space="preserve"> </w:t>
      </w:r>
      <w:r w:rsidR="009A34C0">
        <w:t xml:space="preserve">  </w:t>
      </w:r>
      <w:r w:rsidR="00FB7A58">
        <w:t xml:space="preserve"> </w:t>
      </w:r>
      <w:r w:rsidRPr="00BE4E63" w:rsidR="00EB5A4E">
        <w:rPr>
          <w:color w:val="000000"/>
          <w:szCs w:val="24"/>
        </w:rPr>
        <w:t xml:space="preserve">Provide an estimate of the total annual cost burden to respondents or record-keepers </w:t>
      </w:r>
    </w:p>
    <w:p w:rsidR="0089109B" w:rsidP="0089109B" w14:paraId="2742926C" w14:textId="6F45C5A0">
      <w:pPr>
        <w:ind w:left="540"/>
        <w:rPr>
          <w:iCs/>
          <w:color w:val="000000"/>
          <w:sz w:val="24"/>
          <w:szCs w:val="24"/>
        </w:rPr>
      </w:pPr>
      <w:r w:rsidRPr="00BE4E63">
        <w:rPr>
          <w:color w:val="000000"/>
          <w:sz w:val="24"/>
          <w:szCs w:val="24"/>
        </w:rPr>
        <w:t>resulting from the collection of information. </w:t>
      </w:r>
      <w:r w:rsidRPr="00BE4E63">
        <w:rPr>
          <w:iCs/>
          <w:color w:val="000000"/>
          <w:sz w:val="24"/>
          <w:szCs w:val="24"/>
        </w:rPr>
        <w:t>(Do not include the cost of any hour burden shown in Items 12.)</w:t>
      </w:r>
    </w:p>
    <w:p w:rsidR="0089109B" w:rsidRPr="00355DC5" w:rsidP="00355DC5" w14:paraId="2B231006" w14:textId="0AB4987E">
      <w:pPr>
        <w:numPr>
          <w:ilvl w:val="0"/>
          <w:numId w:val="31"/>
        </w:numPr>
        <w:ind w:left="1260" w:hanging="270"/>
        <w:rPr>
          <w:color w:val="000000"/>
          <w:sz w:val="24"/>
          <w:szCs w:val="24"/>
        </w:rPr>
      </w:pPr>
      <w:r w:rsidRPr="002B7154">
        <w:rPr>
          <w:color w:val="000000"/>
          <w:sz w:val="24"/>
          <w:szCs w:val="24"/>
        </w:rPr>
        <w:t>The cost estimate should be split into two components: (a) a total capital</w:t>
      </w:r>
      <w:r>
        <w:rPr>
          <w:color w:val="000000"/>
          <w:sz w:val="24"/>
          <w:szCs w:val="24"/>
        </w:rPr>
        <w:t xml:space="preserve"> </w:t>
      </w:r>
      <w:r w:rsidRPr="002B7154">
        <w:rPr>
          <w:color w:val="000000"/>
          <w:sz w:val="24"/>
          <w:szCs w:val="24"/>
        </w:rPr>
        <w:t xml:space="preserve">and </w:t>
      </w:r>
      <w:r w:rsidRPr="002B7154">
        <w:rPr>
          <w:color w:val="000000"/>
          <w:sz w:val="24"/>
          <w:szCs w:val="24"/>
        </w:rPr>
        <w:t>start up</w:t>
      </w:r>
      <w:r w:rsidRPr="002B7154">
        <w:rPr>
          <w:color w:val="000000"/>
          <w:sz w:val="24"/>
          <w:szCs w:val="24"/>
        </w:rPr>
        <w:t xml:space="preserve"> cost component (annualized over its expected useful life); and (b) a</w:t>
      </w:r>
      <w:r w:rsidR="00AC3EE8">
        <w:rPr>
          <w:color w:val="000000"/>
          <w:sz w:val="24"/>
          <w:szCs w:val="24"/>
        </w:rPr>
        <w:t xml:space="preserve"> </w:t>
      </w:r>
      <w:r w:rsidRPr="002B7154">
        <w:rPr>
          <w:color w:val="000000"/>
          <w:sz w:val="24"/>
          <w:szCs w:val="24"/>
        </w:rPr>
        <w:t>total operation and maintenance and purchase of service component</w:t>
      </w:r>
      <w:r w:rsidRPr="002B7154" w:rsidR="000F4C95">
        <w:rPr>
          <w:color w:val="000000"/>
          <w:sz w:val="24"/>
          <w:szCs w:val="24"/>
        </w:rPr>
        <w:t xml:space="preserve">. </w:t>
      </w:r>
      <w:r w:rsidRPr="002B7154">
        <w:rPr>
          <w:color w:val="000000"/>
          <w:sz w:val="24"/>
          <w:szCs w:val="24"/>
        </w:rPr>
        <w:t xml:space="preserve">The estimates should </w:t>
      </w:r>
      <w:r w:rsidRPr="002B7154">
        <w:rPr>
          <w:color w:val="000000"/>
          <w:sz w:val="24"/>
          <w:szCs w:val="24"/>
        </w:rPr>
        <w:t>take into account</w:t>
      </w:r>
      <w:r w:rsidRPr="002B7154">
        <w:rPr>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B7154">
        <w:rPr>
          <w:color w:val="000000"/>
          <w:sz w:val="24"/>
          <w:szCs w:val="24"/>
        </w:rPr>
        <w:t>time period</w:t>
      </w:r>
      <w:r w:rsidRPr="002B7154">
        <w:rPr>
          <w:color w:val="000000"/>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89109B" w:rsidRPr="00355DC5" w:rsidP="0089109B" w14:paraId="29293568" w14:textId="4B490F8F">
      <w:pPr>
        <w:numPr>
          <w:ilvl w:val="0"/>
          <w:numId w:val="31"/>
        </w:numPr>
        <w:ind w:left="1260" w:hanging="270"/>
        <w:rPr>
          <w:color w:val="000000"/>
          <w:sz w:val="24"/>
          <w:szCs w:val="24"/>
        </w:rPr>
      </w:pPr>
      <w:r w:rsidRPr="007919A7">
        <w:rPr>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9109B" w:rsidRPr="007919A7" w:rsidP="0089109B" w14:paraId="2CF29EA4" w14:textId="77777777">
      <w:pPr>
        <w:numPr>
          <w:ilvl w:val="0"/>
          <w:numId w:val="31"/>
        </w:numPr>
        <w:ind w:left="1260" w:hanging="270"/>
        <w:rPr>
          <w:color w:val="000000"/>
          <w:sz w:val="24"/>
          <w:szCs w:val="24"/>
        </w:rPr>
      </w:pPr>
      <w:r w:rsidRPr="007919A7">
        <w:rPr>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B5A4E" w:rsidRPr="00A92375" w:rsidP="00857404" w14:paraId="72BCB478" w14:textId="77777777">
      <w:pPr>
        <w:widowControl/>
        <w:tabs>
          <w:tab w:val="left" w:pos="-1440"/>
        </w:tabs>
        <w:rPr>
          <w:b w:val="0"/>
          <w:bCs w:val="0"/>
          <w:iCs/>
          <w:sz w:val="24"/>
          <w:szCs w:val="24"/>
        </w:rPr>
      </w:pPr>
    </w:p>
    <w:p w:rsidR="003318F6" w:rsidRPr="000D1EEF" w:rsidP="003318F6" w14:paraId="4C6456F4" w14:textId="13DEB32D">
      <w:pPr>
        <w:widowControl/>
        <w:tabs>
          <w:tab w:val="left" w:pos="-1440"/>
        </w:tabs>
        <w:rPr>
          <w:bCs w:val="0"/>
          <w:i/>
          <w:sz w:val="24"/>
          <w:szCs w:val="24"/>
          <w:u w:val="single"/>
        </w:rPr>
      </w:pPr>
      <w:r w:rsidRPr="006805A0">
        <w:rPr>
          <w:b w:val="0"/>
          <w:i/>
          <w:sz w:val="24"/>
          <w:szCs w:val="24"/>
        </w:rPr>
        <w:tab/>
      </w:r>
      <w:r w:rsidRPr="000D1EEF">
        <w:rPr>
          <w:bCs w:val="0"/>
          <w:i/>
          <w:sz w:val="24"/>
          <w:szCs w:val="24"/>
          <w:u w:val="single"/>
        </w:rPr>
        <w:t>Notices under the Mental Health Parity and Addiction Equity Act of 2008</w:t>
      </w:r>
    </w:p>
    <w:p w:rsidR="00B62EB4" w:rsidRPr="00A92375" w:rsidP="003A6436" w14:paraId="2D37EC8D" w14:textId="77777777">
      <w:pPr>
        <w:widowControl/>
        <w:tabs>
          <w:tab w:val="left" w:pos="-1440"/>
        </w:tabs>
        <w:rPr>
          <w:b w:val="0"/>
          <w:bCs w:val="0"/>
          <w:iCs/>
          <w:sz w:val="24"/>
          <w:szCs w:val="24"/>
        </w:rPr>
      </w:pPr>
    </w:p>
    <w:p w:rsidR="00B62EB4" w:rsidRPr="00A92375" w:rsidP="00DB6012" w14:paraId="5CC87546" w14:textId="0C0C688E">
      <w:pPr>
        <w:widowControl/>
        <w:tabs>
          <w:tab w:val="left" w:pos="-1440"/>
        </w:tabs>
        <w:ind w:left="720"/>
        <w:rPr>
          <w:b w:val="0"/>
          <w:bCs w:val="0"/>
          <w:iCs/>
          <w:sz w:val="24"/>
          <w:szCs w:val="24"/>
        </w:rPr>
      </w:pPr>
      <w:r w:rsidRPr="00A92375">
        <w:rPr>
          <w:b w:val="0"/>
          <w:bCs w:val="0"/>
          <w:iCs/>
          <w:sz w:val="24"/>
          <w:szCs w:val="24"/>
        </w:rPr>
        <w:t>The Department calculated the cost to deliver the requested medical necessity criteria disclosures. Many insurers and plans already may have the information prepared in electronic form, and the Department assume</w:t>
      </w:r>
      <w:r w:rsidR="006F23F7">
        <w:rPr>
          <w:b w:val="0"/>
          <w:bCs w:val="0"/>
          <w:iCs/>
          <w:sz w:val="24"/>
          <w:szCs w:val="24"/>
        </w:rPr>
        <w:t>s</w:t>
      </w:r>
      <w:r w:rsidRPr="00A92375">
        <w:rPr>
          <w:b w:val="0"/>
          <w:bCs w:val="0"/>
          <w:iCs/>
          <w:sz w:val="24"/>
          <w:szCs w:val="24"/>
        </w:rPr>
        <w:t xml:space="preserve"> that </w:t>
      </w:r>
      <w:r w:rsidR="00DB4CE0">
        <w:rPr>
          <w:b w:val="0"/>
          <w:bCs w:val="0"/>
          <w:iCs/>
          <w:sz w:val="24"/>
          <w:szCs w:val="24"/>
        </w:rPr>
        <w:t>58.</w:t>
      </w:r>
      <w:r w:rsidR="00EE7206">
        <w:rPr>
          <w:b w:val="0"/>
          <w:bCs w:val="0"/>
          <w:iCs/>
          <w:sz w:val="24"/>
          <w:szCs w:val="24"/>
        </w:rPr>
        <w:t>3</w:t>
      </w:r>
      <w:r w:rsidRPr="00A92375" w:rsidR="00373FF5">
        <w:rPr>
          <w:b w:val="0"/>
          <w:bCs w:val="0"/>
          <w:iCs/>
          <w:sz w:val="24"/>
          <w:szCs w:val="24"/>
        </w:rPr>
        <w:t xml:space="preserve"> </w:t>
      </w:r>
      <w:r w:rsidRPr="00A92375">
        <w:rPr>
          <w:b w:val="0"/>
          <w:bCs w:val="0"/>
          <w:iCs/>
          <w:sz w:val="24"/>
          <w:szCs w:val="24"/>
        </w:rPr>
        <w:t>percent of requests will be delivered electronically</w:t>
      </w:r>
      <w:r w:rsidR="00E726BB">
        <w:rPr>
          <w:b w:val="0"/>
          <w:bCs w:val="0"/>
          <w:iCs/>
          <w:sz w:val="24"/>
          <w:szCs w:val="24"/>
        </w:rPr>
        <w:t>,</w:t>
      </w:r>
      <w:r w:rsidRPr="00A92375">
        <w:rPr>
          <w:b w:val="0"/>
          <w:bCs w:val="0"/>
          <w:iCs/>
          <w:sz w:val="24"/>
          <w:szCs w:val="24"/>
        </w:rPr>
        <w:t xml:space="preserve"> resulting </w:t>
      </w:r>
      <w:r w:rsidRPr="00A92375" w:rsidR="00C4012C">
        <w:rPr>
          <w:b w:val="0"/>
          <w:bCs w:val="0"/>
          <w:iCs/>
          <w:sz w:val="24"/>
          <w:szCs w:val="24"/>
        </w:rPr>
        <w:t xml:space="preserve">in </w:t>
      </w:r>
      <w:r w:rsidRPr="00A92375">
        <w:rPr>
          <w:b w:val="0"/>
          <w:bCs w:val="0"/>
          <w:iCs/>
          <w:sz w:val="24"/>
          <w:szCs w:val="24"/>
        </w:rPr>
        <w:t>a de minimis cost.</w:t>
      </w:r>
      <w:r>
        <w:rPr>
          <w:rStyle w:val="FootnoteReference"/>
          <w:b w:val="0"/>
          <w:bCs w:val="0"/>
          <w:iCs/>
          <w:sz w:val="24"/>
          <w:szCs w:val="24"/>
          <w:vertAlign w:val="superscript"/>
        </w:rPr>
        <w:footnoteReference w:id="24"/>
      </w:r>
      <w:r w:rsidRPr="00A92375">
        <w:rPr>
          <w:b w:val="0"/>
          <w:bCs w:val="0"/>
          <w:iCs/>
          <w:sz w:val="24"/>
          <w:szCs w:val="24"/>
        </w:rPr>
        <w:t xml:space="preserve"> </w:t>
      </w:r>
      <w:r w:rsidR="00FF6381">
        <w:rPr>
          <w:b w:val="0"/>
          <w:bCs w:val="0"/>
          <w:iCs/>
          <w:sz w:val="24"/>
          <w:szCs w:val="24"/>
        </w:rPr>
        <w:t xml:space="preserve">The Department assumes that </w:t>
      </w:r>
      <w:r w:rsidR="00FF6381">
        <w:rPr>
          <w:b w:val="0"/>
          <w:bCs w:val="0"/>
          <w:iCs/>
          <w:sz w:val="24"/>
          <w:szCs w:val="24"/>
        </w:rPr>
        <w:t xml:space="preserve">each medical necessity criteria is approximately four pages, </w:t>
      </w:r>
      <w:r w:rsidRPr="00A92375" w:rsidR="00FF6381">
        <w:rPr>
          <w:b w:val="0"/>
          <w:bCs w:val="0"/>
          <w:iCs/>
          <w:sz w:val="24"/>
          <w:szCs w:val="24"/>
        </w:rPr>
        <w:t>an</w:t>
      </w:r>
      <w:r w:rsidR="00FF6381">
        <w:rPr>
          <w:b w:val="0"/>
          <w:bCs w:val="0"/>
          <w:iCs/>
          <w:sz w:val="24"/>
          <w:szCs w:val="24"/>
        </w:rPr>
        <w:t>d an</w:t>
      </w:r>
      <w:r w:rsidRPr="00A92375" w:rsidR="00FF6381">
        <w:rPr>
          <w:b w:val="0"/>
          <w:bCs w:val="0"/>
          <w:iCs/>
          <w:sz w:val="24"/>
          <w:szCs w:val="24"/>
        </w:rPr>
        <w:t xml:space="preserve"> average document size of four pages</w:t>
      </w:r>
      <w:r w:rsidR="00FF6381">
        <w:rPr>
          <w:b w:val="0"/>
          <w:bCs w:val="0"/>
          <w:iCs/>
          <w:sz w:val="24"/>
          <w:szCs w:val="24"/>
        </w:rPr>
        <w:t xml:space="preserve">. </w:t>
      </w:r>
      <w:r w:rsidRPr="008538A9" w:rsidR="008538A9">
        <w:rPr>
          <w:b w:val="0"/>
          <w:bCs w:val="0"/>
          <w:iCs/>
          <w:sz w:val="24"/>
          <w:szCs w:val="24"/>
        </w:rPr>
        <w:t>The Department estimates that the cost of postage is $</w:t>
      </w:r>
      <w:r w:rsidR="00B14841">
        <w:rPr>
          <w:b w:val="0"/>
          <w:bCs w:val="0"/>
          <w:iCs/>
          <w:sz w:val="24"/>
          <w:szCs w:val="24"/>
        </w:rPr>
        <w:t>0.73</w:t>
      </w:r>
      <w:r w:rsidRPr="008538A9" w:rsidR="008538A9">
        <w:rPr>
          <w:b w:val="0"/>
          <w:bCs w:val="0"/>
          <w:iCs/>
          <w:sz w:val="24"/>
          <w:szCs w:val="24"/>
        </w:rPr>
        <w:t xml:space="preserve"> and the material costs per page is $0.05</w:t>
      </w:r>
      <w:r w:rsidR="00FF6381">
        <w:rPr>
          <w:b w:val="0"/>
          <w:bCs w:val="0"/>
          <w:iCs/>
          <w:sz w:val="24"/>
          <w:szCs w:val="24"/>
        </w:rPr>
        <w:t>, resulting in a mailing cost of $0.</w:t>
      </w:r>
      <w:r w:rsidR="00FE0DCA">
        <w:rPr>
          <w:b w:val="0"/>
          <w:bCs w:val="0"/>
          <w:iCs/>
          <w:sz w:val="24"/>
          <w:szCs w:val="24"/>
        </w:rPr>
        <w:t>93</w:t>
      </w:r>
      <w:r w:rsidR="00FF6381">
        <w:rPr>
          <w:b w:val="0"/>
          <w:bCs w:val="0"/>
          <w:iCs/>
          <w:sz w:val="24"/>
          <w:szCs w:val="24"/>
        </w:rPr>
        <w:t>.</w:t>
      </w:r>
      <w:r>
        <w:rPr>
          <w:rStyle w:val="FootnoteReference"/>
          <w:b w:val="0"/>
          <w:bCs w:val="0"/>
          <w:iCs/>
          <w:sz w:val="24"/>
          <w:szCs w:val="24"/>
          <w:vertAlign w:val="superscript"/>
        </w:rPr>
        <w:footnoteReference w:id="25"/>
      </w:r>
      <w:r w:rsidR="00FF6381">
        <w:rPr>
          <w:b w:val="0"/>
          <w:bCs w:val="0"/>
          <w:iCs/>
          <w:sz w:val="24"/>
          <w:szCs w:val="24"/>
        </w:rPr>
        <w:t xml:space="preserve"> </w:t>
      </w:r>
      <w:r w:rsidRPr="00FE2DB6" w:rsidR="00FE2DB6">
        <w:rPr>
          <w:b w:val="0"/>
          <w:bCs w:val="0"/>
          <w:iCs/>
          <w:sz w:val="24"/>
          <w:szCs w:val="24"/>
        </w:rPr>
        <w:t xml:space="preserve">Please see Table </w:t>
      </w:r>
      <w:r w:rsidR="00EC0E6C">
        <w:rPr>
          <w:b w:val="0"/>
          <w:bCs w:val="0"/>
          <w:iCs/>
          <w:sz w:val="24"/>
          <w:szCs w:val="24"/>
        </w:rPr>
        <w:t>7</w:t>
      </w:r>
      <w:r w:rsidRPr="00FE2DB6" w:rsidR="00FE2DB6">
        <w:rPr>
          <w:b w:val="0"/>
          <w:bCs w:val="0"/>
          <w:iCs/>
          <w:sz w:val="24"/>
          <w:szCs w:val="24"/>
        </w:rPr>
        <w:t xml:space="preserve"> for calculations and burden totals.</w:t>
      </w:r>
    </w:p>
    <w:p w:rsidR="00F11BB5" w:rsidP="00865A07" w14:paraId="4F510204" w14:textId="58A7EC9C">
      <w:pPr>
        <w:rPr>
          <w:bCs w:val="0"/>
          <w:iCs/>
          <w:sz w:val="24"/>
          <w:szCs w:val="24"/>
        </w:rPr>
      </w:pPr>
      <w:r>
        <w:rPr>
          <w:bCs w:val="0"/>
          <w:iCs/>
          <w:sz w:val="24"/>
          <w:szCs w:val="24"/>
        </w:rPr>
        <w:tab/>
      </w:r>
    </w:p>
    <w:p w:rsidR="00FB219B" w:rsidRPr="000D1EEF" w:rsidP="006C2914" w14:paraId="3C28E480" w14:textId="386B6BC5">
      <w:pPr>
        <w:ind w:left="720"/>
        <w:rPr>
          <w:bCs w:val="0"/>
          <w:i/>
          <w:iCs/>
          <w:sz w:val="24"/>
          <w:szCs w:val="24"/>
          <w:u w:val="single"/>
        </w:rPr>
      </w:pPr>
      <w:r w:rsidRPr="000D1EEF">
        <w:rPr>
          <w:bCs w:val="0"/>
          <w:i/>
          <w:sz w:val="24"/>
          <w:szCs w:val="24"/>
          <w:u w:val="single"/>
        </w:rPr>
        <w:t>Requirements under the Consolidated Appropriations Act</w:t>
      </w:r>
      <w:r w:rsidR="004218C0">
        <w:rPr>
          <w:bCs w:val="0"/>
          <w:i/>
          <w:sz w:val="24"/>
          <w:szCs w:val="24"/>
          <w:u w:val="single"/>
        </w:rPr>
        <w:t xml:space="preserve">, </w:t>
      </w:r>
      <w:r w:rsidRPr="000D1EEF">
        <w:rPr>
          <w:bCs w:val="0"/>
          <w:i/>
          <w:sz w:val="24"/>
          <w:szCs w:val="24"/>
          <w:u w:val="single"/>
        </w:rPr>
        <w:t xml:space="preserve">2021 </w:t>
      </w:r>
    </w:p>
    <w:p w:rsidR="003318F6" w:rsidRPr="00A92375" w:rsidP="00865A07" w14:paraId="07D2E0FD" w14:textId="77777777">
      <w:pPr>
        <w:rPr>
          <w:b w:val="0"/>
          <w:bCs w:val="0"/>
          <w:iCs/>
          <w:sz w:val="24"/>
          <w:szCs w:val="24"/>
        </w:rPr>
      </w:pPr>
    </w:p>
    <w:p w:rsidR="0088255E" w:rsidP="006C2914" w14:paraId="400DFF42" w14:textId="31671F2C">
      <w:pPr>
        <w:widowControl/>
        <w:tabs>
          <w:tab w:val="left" w:pos="-1440"/>
        </w:tabs>
        <w:ind w:left="720"/>
        <w:rPr>
          <w:b w:val="0"/>
          <w:bCs w:val="0"/>
          <w:iCs/>
          <w:sz w:val="24"/>
          <w:szCs w:val="24"/>
        </w:rPr>
      </w:pPr>
      <w:r>
        <w:rPr>
          <w:b w:val="0"/>
          <w:bCs w:val="0"/>
          <w:iCs/>
          <w:sz w:val="24"/>
          <w:szCs w:val="24"/>
        </w:rPr>
        <w:t>P</w:t>
      </w:r>
      <w:r w:rsidRPr="00A92375" w:rsidR="001F098D">
        <w:rPr>
          <w:b w:val="0"/>
          <w:bCs w:val="0"/>
          <w:iCs/>
          <w:sz w:val="24"/>
          <w:szCs w:val="24"/>
        </w:rPr>
        <w:t xml:space="preserve">lans </w:t>
      </w:r>
      <w:r>
        <w:rPr>
          <w:b w:val="0"/>
          <w:bCs w:val="0"/>
          <w:iCs/>
          <w:sz w:val="24"/>
          <w:szCs w:val="24"/>
        </w:rPr>
        <w:t xml:space="preserve">and issuers </w:t>
      </w:r>
      <w:r w:rsidR="001F098D">
        <w:rPr>
          <w:b w:val="0"/>
          <w:bCs w:val="0"/>
          <w:iCs/>
          <w:sz w:val="24"/>
          <w:szCs w:val="24"/>
        </w:rPr>
        <w:t xml:space="preserve">are likely to </w:t>
      </w:r>
      <w:r w:rsidR="006637C2">
        <w:rPr>
          <w:b w:val="0"/>
          <w:bCs w:val="0"/>
          <w:iCs/>
          <w:sz w:val="24"/>
          <w:szCs w:val="24"/>
        </w:rPr>
        <w:t xml:space="preserve">store </w:t>
      </w:r>
      <w:r w:rsidR="001F098D">
        <w:rPr>
          <w:b w:val="0"/>
          <w:bCs w:val="0"/>
          <w:iCs/>
          <w:sz w:val="24"/>
          <w:szCs w:val="24"/>
        </w:rPr>
        <w:t xml:space="preserve">Comparative Analyses </w:t>
      </w:r>
      <w:r w:rsidRPr="00A92375" w:rsidR="001F098D">
        <w:rPr>
          <w:b w:val="0"/>
          <w:bCs w:val="0"/>
          <w:iCs/>
          <w:sz w:val="24"/>
          <w:szCs w:val="24"/>
        </w:rPr>
        <w:t>in electronic form and</w:t>
      </w:r>
      <w:r w:rsidR="001F098D">
        <w:rPr>
          <w:b w:val="0"/>
          <w:bCs w:val="0"/>
          <w:iCs/>
          <w:sz w:val="24"/>
          <w:szCs w:val="24"/>
        </w:rPr>
        <w:t>, likewise, to deliver Comparative Analyses and documentation</w:t>
      </w:r>
      <w:r w:rsidRPr="00A92375" w:rsidR="001F098D">
        <w:rPr>
          <w:b w:val="0"/>
          <w:bCs w:val="0"/>
          <w:iCs/>
          <w:sz w:val="24"/>
          <w:szCs w:val="24"/>
        </w:rPr>
        <w:t xml:space="preserve"> electronically</w:t>
      </w:r>
      <w:r w:rsidR="001F098D">
        <w:rPr>
          <w:b w:val="0"/>
          <w:bCs w:val="0"/>
          <w:iCs/>
          <w:sz w:val="24"/>
          <w:szCs w:val="24"/>
        </w:rPr>
        <w:t xml:space="preserve"> to requesting parties</w:t>
      </w:r>
      <w:r w:rsidR="006B7E44">
        <w:rPr>
          <w:b w:val="0"/>
          <w:bCs w:val="0"/>
          <w:iCs/>
          <w:sz w:val="24"/>
          <w:szCs w:val="24"/>
        </w:rPr>
        <w:t xml:space="preserve"> and the Departments</w:t>
      </w:r>
      <w:r w:rsidR="001F098D">
        <w:rPr>
          <w:b w:val="0"/>
          <w:bCs w:val="0"/>
          <w:iCs/>
          <w:sz w:val="24"/>
          <w:szCs w:val="24"/>
        </w:rPr>
        <w:t>.</w:t>
      </w:r>
      <w:r w:rsidRPr="00A92375" w:rsidR="001F098D">
        <w:rPr>
          <w:b w:val="0"/>
          <w:bCs w:val="0"/>
          <w:iCs/>
          <w:sz w:val="24"/>
          <w:szCs w:val="24"/>
        </w:rPr>
        <w:t xml:space="preserve"> </w:t>
      </w:r>
      <w:r w:rsidR="001F098D">
        <w:rPr>
          <w:b w:val="0"/>
          <w:bCs w:val="0"/>
          <w:iCs/>
          <w:sz w:val="24"/>
          <w:szCs w:val="24"/>
        </w:rPr>
        <w:t>Accordingly, the Department estimates that th</w:t>
      </w:r>
      <w:r w:rsidR="006B7E44">
        <w:rPr>
          <w:b w:val="0"/>
          <w:bCs w:val="0"/>
          <w:iCs/>
          <w:sz w:val="24"/>
          <w:szCs w:val="24"/>
        </w:rPr>
        <w:t>ese</w:t>
      </w:r>
      <w:r w:rsidR="001F098D">
        <w:rPr>
          <w:b w:val="0"/>
          <w:bCs w:val="0"/>
          <w:iCs/>
          <w:sz w:val="24"/>
          <w:szCs w:val="24"/>
        </w:rPr>
        <w:t xml:space="preserve"> requirement</w:t>
      </w:r>
      <w:r w:rsidR="006B7E44">
        <w:rPr>
          <w:b w:val="0"/>
          <w:bCs w:val="0"/>
          <w:iCs/>
          <w:sz w:val="24"/>
          <w:szCs w:val="24"/>
        </w:rPr>
        <w:t>s</w:t>
      </w:r>
      <w:r w:rsidR="001F098D">
        <w:rPr>
          <w:b w:val="0"/>
          <w:bCs w:val="0"/>
          <w:iCs/>
          <w:sz w:val="24"/>
          <w:szCs w:val="24"/>
        </w:rPr>
        <w:t xml:space="preserve"> ha</w:t>
      </w:r>
      <w:r w:rsidR="006B7E44">
        <w:rPr>
          <w:b w:val="0"/>
          <w:bCs w:val="0"/>
          <w:iCs/>
          <w:sz w:val="24"/>
          <w:szCs w:val="24"/>
        </w:rPr>
        <w:t>ve</w:t>
      </w:r>
      <w:r w:rsidRPr="00A92375" w:rsidR="001F098D">
        <w:rPr>
          <w:b w:val="0"/>
          <w:bCs w:val="0"/>
          <w:iCs/>
          <w:sz w:val="24"/>
          <w:szCs w:val="24"/>
        </w:rPr>
        <w:t xml:space="preserve"> a de minimis cost</w:t>
      </w:r>
      <w:r w:rsidR="001F098D">
        <w:rPr>
          <w:b w:val="0"/>
          <w:bCs w:val="0"/>
          <w:iCs/>
          <w:sz w:val="24"/>
          <w:szCs w:val="24"/>
        </w:rPr>
        <w:t xml:space="preserve"> burden</w:t>
      </w:r>
      <w:r w:rsidRPr="00A92375" w:rsidR="001F098D">
        <w:rPr>
          <w:b w:val="0"/>
          <w:bCs w:val="0"/>
          <w:iCs/>
          <w:sz w:val="24"/>
          <w:szCs w:val="24"/>
        </w:rPr>
        <w:t xml:space="preserve">. </w:t>
      </w:r>
    </w:p>
    <w:p w:rsidR="00407570" w:rsidP="004D650A" w14:paraId="0955C495" w14:textId="341CDC88">
      <w:pPr>
        <w:widowControl/>
        <w:tabs>
          <w:tab w:val="left" w:pos="-1440"/>
        </w:tabs>
        <w:rPr>
          <w:b w:val="0"/>
          <w:bCs w:val="0"/>
          <w:iCs/>
          <w:sz w:val="24"/>
          <w:szCs w:val="24"/>
        </w:rPr>
      </w:pPr>
    </w:p>
    <w:p w:rsidR="00407570" w:rsidRPr="000D1EEF" w:rsidP="006C2914" w14:paraId="52451B2E" w14:textId="632B9AE6">
      <w:pPr>
        <w:widowControl/>
        <w:tabs>
          <w:tab w:val="left" w:pos="-1440"/>
        </w:tabs>
        <w:ind w:left="720"/>
        <w:rPr>
          <w:i/>
          <w:sz w:val="24"/>
          <w:szCs w:val="24"/>
          <w:u w:val="single"/>
        </w:rPr>
      </w:pPr>
      <w:r w:rsidRPr="000D1EEF">
        <w:rPr>
          <w:i/>
          <w:sz w:val="24"/>
          <w:szCs w:val="24"/>
          <w:u w:val="single"/>
        </w:rPr>
        <w:t>202</w:t>
      </w:r>
      <w:r w:rsidR="00DD2352">
        <w:rPr>
          <w:i/>
          <w:sz w:val="24"/>
          <w:szCs w:val="24"/>
          <w:u w:val="single"/>
        </w:rPr>
        <w:t>4</w:t>
      </w:r>
      <w:r w:rsidRPr="000D1EEF">
        <w:rPr>
          <w:i/>
          <w:sz w:val="24"/>
          <w:szCs w:val="24"/>
          <w:u w:val="single"/>
        </w:rPr>
        <w:t xml:space="preserve"> </w:t>
      </w:r>
      <w:r w:rsidR="002D21BF">
        <w:rPr>
          <w:i/>
          <w:sz w:val="24"/>
          <w:szCs w:val="24"/>
          <w:u w:val="single"/>
        </w:rPr>
        <w:t>Final Rule</w:t>
      </w:r>
      <w:r w:rsidR="00DD2352">
        <w:rPr>
          <w:i/>
          <w:sz w:val="24"/>
          <w:szCs w:val="24"/>
          <w:u w:val="single"/>
        </w:rPr>
        <w:t>s</w:t>
      </w:r>
    </w:p>
    <w:p w:rsidR="00407570" w:rsidP="00407570" w14:paraId="2C55DBC7" w14:textId="2B6DC63E">
      <w:pPr>
        <w:widowControl/>
        <w:tabs>
          <w:tab w:val="left" w:pos="-1440"/>
        </w:tabs>
        <w:rPr>
          <w:b w:val="0"/>
          <w:bCs w:val="0"/>
          <w:iCs/>
          <w:sz w:val="24"/>
          <w:szCs w:val="24"/>
        </w:rPr>
      </w:pPr>
    </w:p>
    <w:p w:rsidR="00407570" w:rsidP="0046798E" w14:paraId="2D5AF5AB" w14:textId="0741D80E">
      <w:pPr>
        <w:widowControl/>
        <w:tabs>
          <w:tab w:val="left" w:pos="-1440"/>
        </w:tabs>
        <w:ind w:left="720"/>
        <w:rPr>
          <w:b w:val="0"/>
          <w:iCs/>
          <w:sz w:val="24"/>
          <w:szCs w:val="24"/>
        </w:rPr>
      </w:pPr>
      <w:bookmarkStart w:id="10" w:name="_Hlk140045923"/>
      <w:r w:rsidRPr="0016546E">
        <w:rPr>
          <w:b w:val="0"/>
          <w:bCs w:val="0"/>
          <w:iCs/>
          <w:sz w:val="24"/>
          <w:szCs w:val="24"/>
        </w:rPr>
        <w:t xml:space="preserve">These final rules also require plans and issuers to make the comparative analyses and other applicable information required by the CAA, 2021 available upon request to participants, beneficiaries, and enrollees in all non-grandfathered group health plans and non-grandfathered group or individual health insurance coverage </w:t>
      </w:r>
      <w:r w:rsidRPr="00DE13F2" w:rsidR="00DE13F2">
        <w:rPr>
          <w:b w:val="0"/>
          <w:bCs w:val="0"/>
          <w:iCs/>
          <w:sz w:val="24"/>
          <w:szCs w:val="24"/>
        </w:rPr>
        <w:t xml:space="preserve">(including a provider or other person acting as a participant’s, beneficiary’s, or enrollee’s authorized representative) </w:t>
      </w:r>
      <w:r w:rsidRPr="0016546E">
        <w:rPr>
          <w:b w:val="0"/>
          <w:bCs w:val="0"/>
          <w:iCs/>
          <w:sz w:val="24"/>
          <w:szCs w:val="24"/>
        </w:rPr>
        <w:t>in connection with an adverse benefit determination</w:t>
      </w:r>
      <w:r w:rsidRPr="00CA77DF" w:rsidR="00CA77DF">
        <w:rPr>
          <w:b w:val="0"/>
          <w:bCs w:val="0"/>
          <w:iCs/>
          <w:sz w:val="24"/>
          <w:szCs w:val="24"/>
        </w:rPr>
        <w:t>, as well as to participants and beneficiaries in plans subject to ERISA</w:t>
      </w:r>
      <w:r w:rsidRPr="0016546E">
        <w:rPr>
          <w:b w:val="0"/>
          <w:bCs w:val="0"/>
          <w:iCs/>
          <w:sz w:val="24"/>
          <w:szCs w:val="24"/>
        </w:rPr>
        <w:t>. The Departments estimate that each plan will receive one request per covered health plan annually</w:t>
      </w:r>
      <w:r>
        <w:rPr>
          <w:b w:val="0"/>
          <w:bCs w:val="0"/>
          <w:iCs/>
          <w:sz w:val="24"/>
          <w:szCs w:val="24"/>
        </w:rPr>
        <w:t>.</w:t>
      </w:r>
      <w:r w:rsidR="00896E7D">
        <w:rPr>
          <w:b w:val="0"/>
          <w:bCs w:val="0"/>
          <w:iCs/>
          <w:sz w:val="24"/>
          <w:szCs w:val="24"/>
        </w:rPr>
        <w:t xml:space="preserve"> </w:t>
      </w:r>
      <w:r>
        <w:rPr>
          <w:b w:val="0"/>
          <w:bCs w:val="0"/>
          <w:iCs/>
          <w:sz w:val="24"/>
          <w:szCs w:val="24"/>
        </w:rPr>
        <w:t>The Department</w:t>
      </w:r>
      <w:r w:rsidRPr="0016546E">
        <w:rPr>
          <w:b w:val="0"/>
          <w:bCs w:val="0"/>
          <w:iCs/>
          <w:sz w:val="24"/>
          <w:szCs w:val="24"/>
        </w:rPr>
        <w:t xml:space="preserve"> also assumes that 58.3 percent of requests will be delivered electronically, resulting in a de minimis cost. The remaining 41.7 percent of requests will be mailed, at a cost of $</w:t>
      </w:r>
      <w:r w:rsidR="007600DB">
        <w:rPr>
          <w:b w:val="0"/>
          <w:bCs w:val="0"/>
          <w:iCs/>
          <w:sz w:val="24"/>
          <w:szCs w:val="24"/>
        </w:rPr>
        <w:t>2.79</w:t>
      </w:r>
      <w:r w:rsidRPr="0016546E">
        <w:rPr>
          <w:b w:val="0"/>
          <w:bCs w:val="0"/>
          <w:iCs/>
          <w:sz w:val="24"/>
          <w:szCs w:val="24"/>
        </w:rPr>
        <w:t>.</w:t>
      </w:r>
      <w:r>
        <w:rPr>
          <w:b w:val="0"/>
          <w:bCs w:val="0"/>
          <w:iCs/>
          <w:sz w:val="24"/>
          <w:szCs w:val="24"/>
          <w:vertAlign w:val="superscript"/>
        </w:rPr>
        <w:footnoteReference w:id="26"/>
      </w:r>
      <w:r w:rsidRPr="0016546E">
        <w:rPr>
          <w:b w:val="0"/>
          <w:bCs w:val="0"/>
          <w:iCs/>
          <w:sz w:val="24"/>
          <w:szCs w:val="24"/>
        </w:rPr>
        <w:t xml:space="preserve"> </w:t>
      </w:r>
      <w:r w:rsidRPr="00555007" w:rsidR="00555007">
        <w:rPr>
          <w:b w:val="0"/>
          <w:iCs/>
          <w:sz w:val="24"/>
          <w:szCs w:val="24"/>
        </w:rPr>
        <w:t>Please see Table</w:t>
      </w:r>
      <w:r w:rsidR="00FF6381">
        <w:rPr>
          <w:b w:val="0"/>
          <w:iCs/>
          <w:sz w:val="24"/>
          <w:szCs w:val="24"/>
        </w:rPr>
        <w:t xml:space="preserve"> </w:t>
      </w:r>
      <w:r w:rsidR="00EC0E6C">
        <w:rPr>
          <w:b w:val="0"/>
          <w:iCs/>
          <w:sz w:val="24"/>
          <w:szCs w:val="24"/>
        </w:rPr>
        <w:t>7</w:t>
      </w:r>
      <w:r w:rsidRPr="00555007" w:rsidR="00555007">
        <w:rPr>
          <w:b w:val="0"/>
          <w:iCs/>
          <w:sz w:val="24"/>
          <w:szCs w:val="24"/>
        </w:rPr>
        <w:t xml:space="preserve"> for calculations and burden totals. </w:t>
      </w:r>
      <w:bookmarkEnd w:id="10"/>
    </w:p>
    <w:p w:rsidR="00585A66" w:rsidP="00AF7890" w14:paraId="3E767D20" w14:textId="77777777">
      <w:pPr>
        <w:widowControl/>
        <w:rPr>
          <w:i/>
          <w:sz w:val="24"/>
          <w:szCs w:val="24"/>
          <w:u w:val="single"/>
        </w:rPr>
      </w:pPr>
    </w:p>
    <w:p w:rsidR="0062736F" w:rsidRPr="000D1EEF" w:rsidP="006C2914" w14:paraId="584DC97D" w14:textId="710DEE29">
      <w:pPr>
        <w:widowControl/>
        <w:ind w:firstLine="720"/>
        <w:rPr>
          <w:i/>
          <w:sz w:val="24"/>
          <w:szCs w:val="24"/>
          <w:u w:val="single"/>
        </w:rPr>
      </w:pPr>
      <w:r w:rsidRPr="000D1EEF">
        <w:rPr>
          <w:i/>
          <w:sz w:val="24"/>
          <w:szCs w:val="24"/>
          <w:u w:val="single"/>
        </w:rPr>
        <w:t>Overall Summary</w:t>
      </w:r>
      <w:r w:rsidRPr="000D1EEF" w:rsidR="005630FD">
        <w:rPr>
          <w:i/>
          <w:sz w:val="24"/>
          <w:szCs w:val="24"/>
          <w:u w:val="single"/>
        </w:rPr>
        <w:t xml:space="preserve"> of Cost Burden</w:t>
      </w:r>
    </w:p>
    <w:p w:rsidR="00AA1E33" w:rsidP="0062736F" w14:paraId="5A911557" w14:textId="77777777">
      <w:pPr>
        <w:widowControl/>
        <w:rPr>
          <w:b w:val="0"/>
          <w:bCs w:val="0"/>
          <w:sz w:val="24"/>
          <w:szCs w:val="24"/>
        </w:rPr>
      </w:pPr>
    </w:p>
    <w:p w:rsidR="00C034D4" w:rsidP="00C034D4" w14:paraId="353501B6" w14:textId="6BE3E12C">
      <w:pPr>
        <w:widowControl/>
        <w:ind w:left="720"/>
        <w:rPr>
          <w:b w:val="0"/>
          <w:bCs w:val="0"/>
          <w:iCs/>
          <w:sz w:val="24"/>
          <w:szCs w:val="24"/>
        </w:rPr>
      </w:pPr>
      <w:bookmarkStart w:id="11" w:name="_Hlk140740374"/>
      <w:r w:rsidRPr="00C034D4">
        <w:rPr>
          <w:b w:val="0"/>
          <w:bCs w:val="0"/>
          <w:iCs/>
          <w:sz w:val="24"/>
          <w:szCs w:val="24"/>
        </w:rPr>
        <w:t xml:space="preserve">Because the Department of Labor and the Department of the Treasury share enforcement jurisdiction with respect to group health plans and employers under the MHPAEA provisions (see section 712 of ERISA and section 9812 of the Internal Revenue Code), the aggregate paperwork burden of this information collection is divided equally between those two Departments. </w:t>
      </w:r>
      <w:bookmarkEnd w:id="11"/>
      <w:r w:rsidRPr="00AF7890" w:rsidR="00AF7890">
        <w:rPr>
          <w:b w:val="0"/>
          <w:bCs w:val="0"/>
          <w:iCs/>
          <w:sz w:val="24"/>
          <w:szCs w:val="24"/>
        </w:rPr>
        <w:t xml:space="preserve">Please see Table </w:t>
      </w:r>
      <w:r w:rsidR="00EC0E6C">
        <w:rPr>
          <w:b w:val="0"/>
          <w:bCs w:val="0"/>
          <w:iCs/>
          <w:sz w:val="24"/>
          <w:szCs w:val="24"/>
        </w:rPr>
        <w:t>7</w:t>
      </w:r>
      <w:r w:rsidRPr="00AF7890" w:rsidR="00AF7890">
        <w:rPr>
          <w:b w:val="0"/>
          <w:bCs w:val="0"/>
          <w:iCs/>
          <w:sz w:val="24"/>
          <w:szCs w:val="24"/>
        </w:rPr>
        <w:t xml:space="preserve"> for burden totals.</w:t>
      </w:r>
    </w:p>
    <w:p w:rsidR="00AF7890" w:rsidP="00C034D4" w14:paraId="215463E2" w14:textId="77777777">
      <w:pPr>
        <w:widowControl/>
        <w:ind w:left="720"/>
        <w:rPr>
          <w:b w:val="0"/>
          <w:bCs w:val="0"/>
          <w:iCs/>
          <w:sz w:val="24"/>
          <w:szCs w:val="24"/>
        </w:rPr>
      </w:pPr>
    </w:p>
    <w:p w:rsidR="006708ED" w:rsidRPr="006708ED" w:rsidP="00EC0E6C" w14:paraId="34FC1403" w14:textId="1D9D7071">
      <w:pPr>
        <w:pStyle w:val="Heading1"/>
        <w:ind w:firstLine="720"/>
      </w:pPr>
      <w:r w:rsidRPr="006708ED">
        <w:t xml:space="preserve">Table </w:t>
      </w:r>
      <w:r w:rsidR="00EC0E6C">
        <w:t>7</w:t>
      </w:r>
      <w:r w:rsidRPr="006708ED">
        <w:t xml:space="preserve">. Total Cost Burden </w:t>
      </w:r>
    </w:p>
    <w:p w:rsidR="006708ED" w:rsidP="00C034D4" w14:paraId="720CD811" w14:textId="77777777">
      <w:pPr>
        <w:widowControl/>
        <w:ind w:left="720"/>
        <w:rPr>
          <w:b w:val="0"/>
          <w:bCs w:val="0"/>
          <w:iCs/>
          <w:sz w:val="24"/>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1651"/>
        <w:gridCol w:w="1814"/>
        <w:gridCol w:w="1665"/>
      </w:tblGrid>
      <w:tr w14:paraId="1AE4AD0B" w14:textId="77777777" w:rsidTr="00BB6CCD">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0"/>
        </w:trPr>
        <w:tc>
          <w:tcPr>
            <w:tcW w:w="3595" w:type="dxa"/>
            <w:shd w:val="clear" w:color="auto" w:fill="auto"/>
            <w:noWrap/>
            <w:vAlign w:val="bottom"/>
            <w:hideMark/>
          </w:tcPr>
          <w:p w:rsidR="00D00552" w:rsidRPr="00D00552" w:rsidP="00D00552" w14:paraId="00F1A3FD" w14:textId="77777777">
            <w:pPr>
              <w:widowControl/>
              <w:autoSpaceDE/>
              <w:autoSpaceDN/>
              <w:adjustRightInd/>
              <w:rPr>
                <w:b w:val="0"/>
                <w:bCs w:val="0"/>
                <w:sz w:val="22"/>
                <w:szCs w:val="22"/>
              </w:rPr>
            </w:pPr>
            <w:r w:rsidRPr="00D00552">
              <w:rPr>
                <w:b w:val="0"/>
                <w:bCs w:val="0"/>
                <w:sz w:val="22"/>
                <w:szCs w:val="22"/>
              </w:rPr>
              <w:t> </w:t>
            </w:r>
          </w:p>
        </w:tc>
        <w:tc>
          <w:tcPr>
            <w:tcW w:w="0" w:type="auto"/>
            <w:shd w:val="clear" w:color="auto" w:fill="auto"/>
            <w:vAlign w:val="bottom"/>
            <w:hideMark/>
          </w:tcPr>
          <w:p w:rsidR="00D00552" w:rsidRPr="00D00552" w:rsidP="00D00552" w14:paraId="512CC866" w14:textId="63682496">
            <w:pPr>
              <w:widowControl/>
              <w:autoSpaceDE/>
              <w:autoSpaceDN/>
              <w:adjustRightInd/>
              <w:jc w:val="center"/>
              <w:rPr>
                <w:sz w:val="22"/>
                <w:szCs w:val="22"/>
              </w:rPr>
            </w:pPr>
            <w:r w:rsidRPr="00D00552">
              <w:rPr>
                <w:sz w:val="22"/>
                <w:szCs w:val="22"/>
              </w:rPr>
              <w:t xml:space="preserve">Number of </w:t>
            </w:r>
            <w:r w:rsidR="00DF5547">
              <w:rPr>
                <w:sz w:val="22"/>
                <w:szCs w:val="22"/>
              </w:rPr>
              <w:t>Responses</w:t>
            </w:r>
          </w:p>
        </w:tc>
        <w:tc>
          <w:tcPr>
            <w:tcW w:w="0" w:type="auto"/>
            <w:shd w:val="clear" w:color="auto" w:fill="auto"/>
            <w:vAlign w:val="bottom"/>
            <w:hideMark/>
          </w:tcPr>
          <w:p w:rsidR="00D00552" w:rsidRPr="00D00552" w:rsidP="00D00552" w14:paraId="3E10C055" w14:textId="5C011892">
            <w:pPr>
              <w:widowControl/>
              <w:autoSpaceDE/>
              <w:autoSpaceDN/>
              <w:adjustRightInd/>
              <w:jc w:val="center"/>
              <w:rPr>
                <w:sz w:val="22"/>
                <w:szCs w:val="22"/>
              </w:rPr>
            </w:pPr>
            <w:r w:rsidRPr="00D00552">
              <w:rPr>
                <w:sz w:val="22"/>
                <w:szCs w:val="22"/>
              </w:rPr>
              <w:t xml:space="preserve">Mailing Cost per </w:t>
            </w:r>
            <w:r w:rsidR="00DF5547">
              <w:rPr>
                <w:sz w:val="22"/>
                <w:szCs w:val="22"/>
              </w:rPr>
              <w:t>Response</w:t>
            </w:r>
          </w:p>
        </w:tc>
        <w:tc>
          <w:tcPr>
            <w:tcW w:w="0" w:type="auto"/>
            <w:shd w:val="clear" w:color="auto" w:fill="auto"/>
            <w:vAlign w:val="bottom"/>
            <w:hideMark/>
          </w:tcPr>
          <w:p w:rsidR="00D00552" w:rsidRPr="00D00552" w:rsidP="00D00552" w14:paraId="23AF4290" w14:textId="77777777">
            <w:pPr>
              <w:widowControl/>
              <w:autoSpaceDE/>
              <w:autoSpaceDN/>
              <w:adjustRightInd/>
              <w:jc w:val="center"/>
              <w:rPr>
                <w:sz w:val="22"/>
                <w:szCs w:val="22"/>
              </w:rPr>
            </w:pPr>
            <w:r w:rsidRPr="00D00552">
              <w:rPr>
                <w:sz w:val="22"/>
                <w:szCs w:val="22"/>
              </w:rPr>
              <w:t>Cost Burden</w:t>
            </w:r>
          </w:p>
        </w:tc>
      </w:tr>
      <w:tr w14:paraId="5E48B23A" w14:textId="77777777" w:rsidTr="00BB6CCD">
        <w:tblPrEx>
          <w:tblW w:w="0" w:type="auto"/>
          <w:tblInd w:w="625" w:type="dxa"/>
          <w:tblLook w:val="04A0"/>
        </w:tblPrEx>
        <w:trPr>
          <w:trHeight w:val="560"/>
        </w:trPr>
        <w:tc>
          <w:tcPr>
            <w:tcW w:w="3595" w:type="dxa"/>
            <w:shd w:val="clear" w:color="auto" w:fill="auto"/>
            <w:noWrap/>
            <w:vAlign w:val="bottom"/>
            <w:hideMark/>
          </w:tcPr>
          <w:p w:rsidR="00D00552" w:rsidRPr="00D00552" w:rsidP="00D00552" w14:paraId="51CF5131" w14:textId="77777777">
            <w:pPr>
              <w:widowControl/>
              <w:autoSpaceDE/>
              <w:autoSpaceDN/>
              <w:adjustRightInd/>
              <w:rPr>
                <w:b w:val="0"/>
                <w:bCs w:val="0"/>
                <w:sz w:val="22"/>
                <w:szCs w:val="22"/>
              </w:rPr>
            </w:pPr>
            <w:r w:rsidRPr="00D00552">
              <w:rPr>
                <w:b w:val="0"/>
                <w:bCs w:val="0"/>
                <w:sz w:val="22"/>
                <w:szCs w:val="22"/>
              </w:rPr>
              <w:t> </w:t>
            </w:r>
          </w:p>
        </w:tc>
        <w:tc>
          <w:tcPr>
            <w:tcW w:w="0" w:type="auto"/>
            <w:shd w:val="clear" w:color="auto" w:fill="auto"/>
            <w:vAlign w:val="bottom"/>
            <w:hideMark/>
          </w:tcPr>
          <w:p w:rsidR="00D00552" w:rsidRPr="00D00552" w:rsidP="00D00552" w14:paraId="196AA89C" w14:textId="77777777">
            <w:pPr>
              <w:widowControl/>
              <w:autoSpaceDE/>
              <w:autoSpaceDN/>
              <w:adjustRightInd/>
              <w:jc w:val="center"/>
              <w:rPr>
                <w:sz w:val="22"/>
                <w:szCs w:val="22"/>
              </w:rPr>
            </w:pPr>
            <w:r w:rsidRPr="00D00552">
              <w:rPr>
                <w:sz w:val="22"/>
                <w:szCs w:val="22"/>
              </w:rPr>
              <w:t>(A)</w:t>
            </w:r>
          </w:p>
        </w:tc>
        <w:tc>
          <w:tcPr>
            <w:tcW w:w="0" w:type="auto"/>
            <w:shd w:val="clear" w:color="auto" w:fill="auto"/>
            <w:vAlign w:val="bottom"/>
            <w:hideMark/>
          </w:tcPr>
          <w:p w:rsidR="00D00552" w:rsidRPr="00D00552" w:rsidP="00D00552" w14:paraId="2BD31A0D" w14:textId="77777777">
            <w:pPr>
              <w:widowControl/>
              <w:autoSpaceDE/>
              <w:autoSpaceDN/>
              <w:adjustRightInd/>
              <w:jc w:val="center"/>
              <w:rPr>
                <w:sz w:val="22"/>
                <w:szCs w:val="22"/>
              </w:rPr>
            </w:pPr>
            <w:r w:rsidRPr="00D00552">
              <w:rPr>
                <w:sz w:val="22"/>
                <w:szCs w:val="22"/>
              </w:rPr>
              <w:t>(B)</w:t>
            </w:r>
          </w:p>
        </w:tc>
        <w:tc>
          <w:tcPr>
            <w:tcW w:w="0" w:type="auto"/>
            <w:shd w:val="clear" w:color="auto" w:fill="auto"/>
            <w:vAlign w:val="bottom"/>
            <w:hideMark/>
          </w:tcPr>
          <w:p w:rsidR="00D00552" w:rsidRPr="00D00552" w:rsidP="00D00552" w14:paraId="5C9B3319" w14:textId="77777777">
            <w:pPr>
              <w:widowControl/>
              <w:autoSpaceDE/>
              <w:autoSpaceDN/>
              <w:adjustRightInd/>
              <w:jc w:val="center"/>
              <w:rPr>
                <w:sz w:val="22"/>
                <w:szCs w:val="22"/>
              </w:rPr>
            </w:pPr>
            <w:r w:rsidRPr="00D00552">
              <w:rPr>
                <w:sz w:val="22"/>
                <w:szCs w:val="22"/>
              </w:rPr>
              <w:t>(A x B x 41.7 percent)</w:t>
            </w:r>
          </w:p>
        </w:tc>
      </w:tr>
      <w:tr w14:paraId="57DF71C7" w14:textId="77777777">
        <w:tblPrEx>
          <w:tblW w:w="0" w:type="auto"/>
          <w:tblInd w:w="625" w:type="dxa"/>
          <w:tblLook w:val="04A0"/>
        </w:tblPrEx>
        <w:trPr>
          <w:trHeight w:val="560"/>
        </w:trPr>
        <w:tc>
          <w:tcPr>
            <w:tcW w:w="3595" w:type="dxa"/>
            <w:shd w:val="clear" w:color="auto" w:fill="auto"/>
            <w:vAlign w:val="bottom"/>
            <w:hideMark/>
          </w:tcPr>
          <w:p w:rsidR="00354C44" w:rsidRPr="00D00552" w:rsidP="00354C44" w14:paraId="25EA4E76" w14:textId="77777777">
            <w:pPr>
              <w:widowControl/>
              <w:autoSpaceDE/>
              <w:autoSpaceDN/>
              <w:adjustRightInd/>
              <w:rPr>
                <w:b w:val="0"/>
                <w:bCs w:val="0"/>
                <w:sz w:val="22"/>
                <w:szCs w:val="22"/>
              </w:rPr>
            </w:pPr>
            <w:r w:rsidRPr="00D00552">
              <w:rPr>
                <w:b w:val="0"/>
                <w:bCs w:val="0"/>
                <w:sz w:val="22"/>
                <w:szCs w:val="22"/>
              </w:rPr>
              <w:t xml:space="preserve">Clerical worker distributes Medical Necessity Criteria disclosures </w:t>
            </w:r>
          </w:p>
        </w:tc>
        <w:tc>
          <w:tcPr>
            <w:tcW w:w="0" w:type="auto"/>
            <w:tcBorders>
              <w:top w:val="single" w:sz="4" w:space="0" w:color="auto"/>
              <w:left w:val="single" w:sz="4" w:space="0" w:color="auto"/>
              <w:bottom w:val="nil"/>
              <w:right w:val="nil"/>
            </w:tcBorders>
            <w:shd w:val="clear" w:color="auto" w:fill="auto"/>
            <w:noWrap/>
            <w:vAlign w:val="bottom"/>
            <w:hideMark/>
          </w:tcPr>
          <w:p w:rsidR="00354C44" w:rsidRPr="002E3BEC" w:rsidP="00354C44" w14:paraId="28D0D438" w14:textId="512F0FD5">
            <w:pPr>
              <w:widowControl/>
              <w:autoSpaceDE/>
              <w:autoSpaceDN/>
              <w:adjustRightInd/>
              <w:jc w:val="right"/>
              <w:rPr>
                <w:b w:val="0"/>
                <w:bCs w:val="0"/>
                <w:sz w:val="22"/>
                <w:szCs w:val="22"/>
              </w:rPr>
            </w:pPr>
            <w:r w:rsidRPr="00E611DC">
              <w:rPr>
                <w:b w:val="0"/>
                <w:bCs w:val="0"/>
                <w:sz w:val="22"/>
                <w:szCs w:val="22"/>
              </w:rPr>
              <w:t>2,129,516</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54C44" w:rsidRPr="002E3BEC" w:rsidP="00354C44" w14:paraId="6E6A2987" w14:textId="4C9C8E04">
            <w:pPr>
              <w:widowControl/>
              <w:autoSpaceDE/>
              <w:autoSpaceDN/>
              <w:adjustRightInd/>
              <w:jc w:val="right"/>
              <w:rPr>
                <w:b w:val="0"/>
                <w:bCs w:val="0"/>
                <w:sz w:val="22"/>
                <w:szCs w:val="22"/>
              </w:rPr>
            </w:pPr>
            <w:r w:rsidRPr="00E611DC">
              <w:rPr>
                <w:b w:val="0"/>
                <w:bCs w:val="0"/>
                <w:sz w:val="22"/>
                <w:szCs w:val="22"/>
              </w:rPr>
              <w:t>$0.93</w:t>
            </w:r>
          </w:p>
        </w:tc>
        <w:tc>
          <w:tcPr>
            <w:tcW w:w="0" w:type="auto"/>
            <w:tcBorders>
              <w:top w:val="single" w:sz="4" w:space="0" w:color="auto"/>
              <w:left w:val="nil"/>
              <w:bottom w:val="nil"/>
              <w:right w:val="single" w:sz="4" w:space="0" w:color="auto"/>
            </w:tcBorders>
            <w:shd w:val="clear" w:color="auto" w:fill="auto"/>
            <w:noWrap/>
            <w:vAlign w:val="bottom"/>
            <w:hideMark/>
          </w:tcPr>
          <w:p w:rsidR="00354C44" w:rsidRPr="002E3BEC" w:rsidP="00354C44" w14:paraId="79C8214B" w14:textId="1BBD14B2">
            <w:pPr>
              <w:widowControl/>
              <w:autoSpaceDE/>
              <w:autoSpaceDN/>
              <w:adjustRightInd/>
              <w:jc w:val="right"/>
              <w:rPr>
                <w:b w:val="0"/>
                <w:bCs w:val="0"/>
                <w:sz w:val="22"/>
                <w:szCs w:val="22"/>
              </w:rPr>
            </w:pPr>
            <w:r w:rsidRPr="00E611DC">
              <w:rPr>
                <w:b w:val="0"/>
                <w:bCs w:val="0"/>
                <w:sz w:val="22"/>
                <w:szCs w:val="22"/>
              </w:rPr>
              <w:t>825,848</w:t>
            </w:r>
          </w:p>
        </w:tc>
      </w:tr>
      <w:tr w14:paraId="162FD0BC" w14:textId="77777777">
        <w:tblPrEx>
          <w:tblW w:w="0" w:type="auto"/>
          <w:tblInd w:w="625" w:type="dxa"/>
          <w:tblLook w:val="04A0"/>
        </w:tblPrEx>
        <w:trPr>
          <w:trHeight w:val="570"/>
        </w:trPr>
        <w:tc>
          <w:tcPr>
            <w:tcW w:w="3595" w:type="dxa"/>
            <w:shd w:val="clear" w:color="auto" w:fill="auto"/>
            <w:vAlign w:val="bottom"/>
            <w:hideMark/>
          </w:tcPr>
          <w:p w:rsidR="00354C44" w:rsidRPr="00D00552" w:rsidP="00354C44" w14:paraId="321CB0F7" w14:textId="77777777">
            <w:pPr>
              <w:widowControl/>
              <w:autoSpaceDE/>
              <w:autoSpaceDN/>
              <w:adjustRightInd/>
              <w:rPr>
                <w:b w:val="0"/>
                <w:bCs w:val="0"/>
                <w:sz w:val="22"/>
                <w:szCs w:val="22"/>
              </w:rPr>
            </w:pPr>
            <w:r w:rsidRPr="00D00552">
              <w:rPr>
                <w:b w:val="0"/>
                <w:bCs w:val="0"/>
                <w:sz w:val="22"/>
                <w:szCs w:val="22"/>
              </w:rPr>
              <w:t>Clerical workers distribute comparative analyses upon participant request</w:t>
            </w:r>
          </w:p>
        </w:tc>
        <w:tc>
          <w:tcPr>
            <w:tcW w:w="0" w:type="auto"/>
            <w:tcBorders>
              <w:top w:val="single" w:sz="4" w:space="0" w:color="auto"/>
              <w:left w:val="single" w:sz="4" w:space="0" w:color="auto"/>
              <w:bottom w:val="double" w:sz="6" w:space="0" w:color="auto"/>
              <w:right w:val="single" w:sz="4" w:space="0" w:color="auto"/>
            </w:tcBorders>
            <w:shd w:val="clear" w:color="auto" w:fill="auto"/>
            <w:noWrap/>
            <w:vAlign w:val="bottom"/>
            <w:hideMark/>
          </w:tcPr>
          <w:p w:rsidR="00354C44" w:rsidRPr="002E3BEC" w:rsidP="00354C44" w14:paraId="11BDCD20" w14:textId="1F7C20DA">
            <w:pPr>
              <w:widowControl/>
              <w:autoSpaceDE/>
              <w:autoSpaceDN/>
              <w:adjustRightInd/>
              <w:jc w:val="right"/>
              <w:rPr>
                <w:b w:val="0"/>
                <w:bCs w:val="0"/>
                <w:sz w:val="22"/>
                <w:szCs w:val="22"/>
              </w:rPr>
            </w:pPr>
            <w:r w:rsidRPr="00E611DC">
              <w:rPr>
                <w:b w:val="0"/>
                <w:bCs w:val="0"/>
                <w:sz w:val="22"/>
                <w:szCs w:val="22"/>
              </w:rPr>
              <w:t>2,129,516</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rsidR="00354C44" w:rsidRPr="002E3BEC" w:rsidP="00354C44" w14:paraId="3972EC7D" w14:textId="73B911FF">
            <w:pPr>
              <w:widowControl/>
              <w:autoSpaceDE/>
              <w:autoSpaceDN/>
              <w:adjustRightInd/>
              <w:jc w:val="right"/>
              <w:rPr>
                <w:b w:val="0"/>
                <w:bCs w:val="0"/>
                <w:sz w:val="22"/>
                <w:szCs w:val="22"/>
              </w:rPr>
            </w:pPr>
            <w:r w:rsidRPr="00E611DC">
              <w:rPr>
                <w:b w:val="0"/>
                <w:bCs w:val="0"/>
                <w:sz w:val="22"/>
                <w:szCs w:val="22"/>
              </w:rPr>
              <w:t>$2.79</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rsidR="00354C44" w:rsidRPr="002E3BEC" w:rsidP="00354C44" w14:paraId="08E7432B" w14:textId="43060818">
            <w:pPr>
              <w:widowControl/>
              <w:autoSpaceDE/>
              <w:autoSpaceDN/>
              <w:adjustRightInd/>
              <w:jc w:val="right"/>
              <w:rPr>
                <w:b w:val="0"/>
                <w:bCs w:val="0"/>
                <w:sz w:val="22"/>
                <w:szCs w:val="22"/>
              </w:rPr>
            </w:pPr>
            <w:r w:rsidRPr="00E611DC">
              <w:rPr>
                <w:b w:val="0"/>
                <w:bCs w:val="0"/>
                <w:sz w:val="22"/>
                <w:szCs w:val="22"/>
              </w:rPr>
              <w:t>$2,477,543</w:t>
            </w:r>
          </w:p>
        </w:tc>
      </w:tr>
      <w:tr w14:paraId="1E8351D2" w14:textId="77777777">
        <w:tblPrEx>
          <w:tblW w:w="0" w:type="auto"/>
          <w:tblInd w:w="625" w:type="dxa"/>
          <w:tblLook w:val="04A0"/>
        </w:tblPrEx>
        <w:trPr>
          <w:trHeight w:val="290"/>
        </w:trPr>
        <w:tc>
          <w:tcPr>
            <w:tcW w:w="3595" w:type="dxa"/>
            <w:shd w:val="clear" w:color="auto" w:fill="auto"/>
            <w:noWrap/>
            <w:vAlign w:val="bottom"/>
            <w:hideMark/>
          </w:tcPr>
          <w:p w:rsidR="00354C44" w:rsidRPr="00D00552" w:rsidP="00354C44" w14:paraId="436783DA" w14:textId="77777777">
            <w:pPr>
              <w:widowControl/>
              <w:autoSpaceDE/>
              <w:autoSpaceDN/>
              <w:adjustRightInd/>
              <w:rPr>
                <w:sz w:val="22"/>
                <w:szCs w:val="22"/>
              </w:rPr>
            </w:pPr>
            <w:r w:rsidRPr="00D00552">
              <w:rPr>
                <w:sz w:val="22"/>
                <w:szCs w:val="22"/>
              </w:rPr>
              <w:t>Total</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4C44" w:rsidRPr="002E3BEC" w:rsidP="00354C44" w14:paraId="753A2DF0" w14:textId="6DBD0555">
            <w:pPr>
              <w:widowControl/>
              <w:autoSpaceDE/>
              <w:autoSpaceDN/>
              <w:adjustRightInd/>
              <w:jc w:val="right"/>
              <w:rPr>
                <w:sz w:val="22"/>
                <w:szCs w:val="22"/>
              </w:rPr>
            </w:pPr>
            <w:r w:rsidRPr="00E611DC">
              <w:rPr>
                <w:sz w:val="22"/>
                <w:szCs w:val="22"/>
              </w:rPr>
              <w:t>2,129,516</w:t>
            </w:r>
          </w:p>
        </w:tc>
        <w:tc>
          <w:tcPr>
            <w:tcW w:w="0" w:type="auto"/>
            <w:tcBorders>
              <w:top w:val="nil"/>
              <w:left w:val="nil"/>
              <w:bottom w:val="single" w:sz="4" w:space="0" w:color="auto"/>
              <w:right w:val="single" w:sz="4" w:space="0" w:color="auto"/>
            </w:tcBorders>
            <w:shd w:val="clear" w:color="auto" w:fill="auto"/>
            <w:noWrap/>
            <w:vAlign w:val="bottom"/>
            <w:hideMark/>
          </w:tcPr>
          <w:p w:rsidR="00354C44" w:rsidRPr="002E3BEC" w:rsidP="00354C44" w14:paraId="54015808" w14:textId="35527BA8">
            <w:pPr>
              <w:widowControl/>
              <w:autoSpaceDE/>
              <w:autoSpaceDN/>
              <w:adjustRightInd/>
              <w:jc w:val="right"/>
              <w:rPr>
                <w:sz w:val="22"/>
                <w:szCs w:val="22"/>
              </w:rPr>
            </w:pPr>
            <w:r w:rsidRPr="00E611DC">
              <w:rPr>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354C44" w:rsidRPr="002E3BEC" w:rsidP="00354C44" w14:paraId="529B10E2" w14:textId="23F2A381">
            <w:pPr>
              <w:widowControl/>
              <w:autoSpaceDE/>
              <w:autoSpaceDN/>
              <w:adjustRightInd/>
              <w:jc w:val="right"/>
              <w:rPr>
                <w:sz w:val="22"/>
                <w:szCs w:val="22"/>
              </w:rPr>
            </w:pPr>
            <w:r w:rsidRPr="00E611DC">
              <w:rPr>
                <w:sz w:val="22"/>
                <w:szCs w:val="22"/>
              </w:rPr>
              <w:t>$3,303,390</w:t>
            </w:r>
          </w:p>
        </w:tc>
      </w:tr>
      <w:tr w14:paraId="45B0BAD8" w14:textId="77777777">
        <w:tblPrEx>
          <w:tblW w:w="0" w:type="auto"/>
          <w:tblInd w:w="625" w:type="dxa"/>
          <w:tblLook w:val="04A0"/>
        </w:tblPrEx>
        <w:trPr>
          <w:trHeight w:val="280"/>
        </w:trPr>
        <w:tc>
          <w:tcPr>
            <w:tcW w:w="3595" w:type="dxa"/>
            <w:shd w:val="clear" w:color="auto" w:fill="auto"/>
            <w:noWrap/>
            <w:vAlign w:val="bottom"/>
            <w:hideMark/>
          </w:tcPr>
          <w:p w:rsidR="00354C44" w:rsidRPr="00D00552" w:rsidP="00354C44" w14:paraId="2EE699BE" w14:textId="77777777">
            <w:pPr>
              <w:widowControl/>
              <w:autoSpaceDE/>
              <w:autoSpaceDN/>
              <w:adjustRightInd/>
              <w:rPr>
                <w:sz w:val="22"/>
                <w:szCs w:val="22"/>
              </w:rPr>
            </w:pPr>
            <w:r w:rsidRPr="00D00552">
              <w:rPr>
                <w:sz w:val="22"/>
                <w:szCs w:val="22"/>
              </w:rPr>
              <w:t xml:space="preserve">DOL Total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4C44" w:rsidRPr="002E3BEC" w:rsidP="00354C44" w14:paraId="5FA4C731" w14:textId="347FE7D5">
            <w:pPr>
              <w:widowControl/>
              <w:autoSpaceDE/>
              <w:autoSpaceDN/>
              <w:adjustRightInd/>
              <w:jc w:val="right"/>
              <w:rPr>
                <w:sz w:val="22"/>
                <w:szCs w:val="22"/>
              </w:rPr>
            </w:pPr>
            <w:r w:rsidRPr="00E611DC">
              <w:rPr>
                <w:sz w:val="22"/>
                <w:szCs w:val="22"/>
              </w:rPr>
              <w:t>1,064,758</w:t>
            </w:r>
          </w:p>
        </w:tc>
        <w:tc>
          <w:tcPr>
            <w:tcW w:w="0" w:type="auto"/>
            <w:tcBorders>
              <w:top w:val="nil"/>
              <w:left w:val="nil"/>
              <w:bottom w:val="single" w:sz="4" w:space="0" w:color="auto"/>
              <w:right w:val="single" w:sz="4" w:space="0" w:color="auto"/>
            </w:tcBorders>
            <w:shd w:val="clear" w:color="auto" w:fill="auto"/>
            <w:noWrap/>
            <w:vAlign w:val="bottom"/>
            <w:hideMark/>
          </w:tcPr>
          <w:p w:rsidR="00354C44" w:rsidRPr="002E3BEC" w:rsidP="00354C44" w14:paraId="4F7A9358" w14:textId="1D3255AB">
            <w:pPr>
              <w:widowControl/>
              <w:autoSpaceDE/>
              <w:autoSpaceDN/>
              <w:adjustRightInd/>
              <w:jc w:val="right"/>
              <w:rPr>
                <w:sz w:val="22"/>
                <w:szCs w:val="22"/>
              </w:rPr>
            </w:pPr>
            <w:r w:rsidRPr="00E611DC">
              <w:rPr>
                <w:sz w:val="22"/>
                <w:szCs w:val="22"/>
              </w:rPr>
              <w:t> </w:t>
            </w:r>
            <w:r>
              <w:rPr>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354C44" w:rsidRPr="002E3BEC" w:rsidP="00354C44" w14:paraId="2C736A11" w14:textId="28938429">
            <w:pPr>
              <w:widowControl/>
              <w:autoSpaceDE/>
              <w:autoSpaceDN/>
              <w:adjustRightInd/>
              <w:jc w:val="right"/>
              <w:rPr>
                <w:sz w:val="22"/>
                <w:szCs w:val="22"/>
              </w:rPr>
            </w:pPr>
            <w:r w:rsidRPr="00E611DC">
              <w:rPr>
                <w:sz w:val="22"/>
                <w:szCs w:val="22"/>
              </w:rPr>
              <w:t>$1,651,695</w:t>
            </w:r>
          </w:p>
        </w:tc>
      </w:tr>
    </w:tbl>
    <w:p w:rsidR="00C034D4" w:rsidRPr="00A92375" w:rsidP="0062736F" w14:paraId="77F476BD" w14:textId="77777777">
      <w:pPr>
        <w:widowControl/>
        <w:rPr>
          <w:b w:val="0"/>
          <w:bCs w:val="0"/>
          <w:sz w:val="24"/>
          <w:szCs w:val="24"/>
        </w:rPr>
      </w:pPr>
    </w:p>
    <w:p w:rsidR="00BE1236" w:rsidRPr="00BE4E63" w:rsidP="00EC0E6C" w14:paraId="0AEC9E73" w14:textId="0D8FA9EA">
      <w:pPr>
        <w:pStyle w:val="Heading1"/>
        <w:ind w:left="720" w:hanging="720"/>
      </w:pPr>
      <w:r w:rsidRPr="00BE4E63">
        <w:t xml:space="preserve">14. </w:t>
      </w:r>
      <w:r>
        <w:tab/>
      </w:r>
      <w:r w:rsidRPr="00BE4E63" w:rsidR="00AA1E33">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BE4E63" w:rsidR="00A96D34">
        <w:t>.</w:t>
      </w:r>
    </w:p>
    <w:p w:rsidR="00AA1E33" w:rsidRPr="00096513" w:rsidP="0006528F" w14:paraId="32874E36" w14:textId="77777777">
      <w:pPr>
        <w:widowControl/>
        <w:rPr>
          <w:b w:val="0"/>
          <w:bCs w:val="0"/>
          <w:sz w:val="24"/>
          <w:szCs w:val="24"/>
        </w:rPr>
      </w:pPr>
    </w:p>
    <w:p w:rsidR="00096513" w:rsidRPr="0017698D" w:rsidP="006C2914" w14:paraId="0BD03C72" w14:textId="227F3CCD">
      <w:pPr>
        <w:ind w:left="720"/>
        <w:rPr>
          <w:b w:val="0"/>
          <w:bCs w:val="0"/>
          <w:sz w:val="24"/>
          <w:szCs w:val="24"/>
          <w:u w:val="single"/>
        </w:rPr>
      </w:pPr>
      <w:bookmarkStart w:id="12" w:name="OLE_LINK1"/>
      <w:bookmarkStart w:id="13" w:name="OLE_LINK2"/>
      <w:r w:rsidRPr="0017698D">
        <w:rPr>
          <w:b w:val="0"/>
          <w:sz w:val="24"/>
          <w:szCs w:val="24"/>
        </w:rPr>
        <w:t xml:space="preserve">The statute requires the Department to request and review comparative analyses </w:t>
      </w:r>
      <w:r w:rsidR="00147D77">
        <w:rPr>
          <w:b w:val="0"/>
          <w:sz w:val="24"/>
          <w:szCs w:val="24"/>
        </w:rPr>
        <w:t>for plans that involve</w:t>
      </w:r>
      <w:r w:rsidRPr="0017698D">
        <w:rPr>
          <w:b w:val="0"/>
          <w:sz w:val="24"/>
          <w:szCs w:val="24"/>
        </w:rPr>
        <w:t xml:space="preserve"> a potential NQTL violation or complaint and any other instances in which the Secretary deems appropriate. The statutory floor for the number of such analyses is 20 per year, </w:t>
      </w:r>
      <w:r w:rsidR="00156E26">
        <w:rPr>
          <w:b w:val="0"/>
          <w:sz w:val="24"/>
          <w:szCs w:val="24"/>
        </w:rPr>
        <w:t>and</w:t>
      </w:r>
      <w:r w:rsidRPr="0017698D" w:rsidR="00156E26">
        <w:rPr>
          <w:b w:val="0"/>
          <w:sz w:val="24"/>
          <w:szCs w:val="24"/>
        </w:rPr>
        <w:t xml:space="preserve"> </w:t>
      </w:r>
      <w:r w:rsidRPr="0017698D">
        <w:rPr>
          <w:b w:val="0"/>
          <w:sz w:val="24"/>
          <w:szCs w:val="24"/>
        </w:rPr>
        <w:t xml:space="preserve">the Department anticipates the number to be </w:t>
      </w:r>
      <w:r w:rsidR="00156E26">
        <w:rPr>
          <w:b w:val="0"/>
          <w:sz w:val="24"/>
          <w:szCs w:val="24"/>
        </w:rPr>
        <w:t>20 based on prior experience and current funding levels</w:t>
      </w:r>
      <w:r w:rsidRPr="0017698D">
        <w:rPr>
          <w:b w:val="0"/>
          <w:sz w:val="24"/>
          <w:szCs w:val="24"/>
        </w:rPr>
        <w:t xml:space="preserve">. It is estimated that </w:t>
      </w:r>
      <w:r w:rsidR="00B1187A">
        <w:rPr>
          <w:b w:val="0"/>
          <w:sz w:val="24"/>
          <w:szCs w:val="24"/>
        </w:rPr>
        <w:t>the DOL</w:t>
      </w:r>
      <w:r w:rsidRPr="0017698D">
        <w:rPr>
          <w:b w:val="0"/>
          <w:sz w:val="24"/>
          <w:szCs w:val="24"/>
        </w:rPr>
        <w:t xml:space="preserve"> will require a total of </w:t>
      </w:r>
      <w:r w:rsidRPr="00194D54" w:rsidR="00194D54">
        <w:rPr>
          <w:b w:val="0"/>
          <w:sz w:val="24"/>
          <w:szCs w:val="24"/>
        </w:rPr>
        <w:t>$98,392,320</w:t>
      </w:r>
      <w:r w:rsidR="00C96D21">
        <w:rPr>
          <w:b w:val="0"/>
          <w:sz w:val="24"/>
          <w:szCs w:val="24"/>
        </w:rPr>
        <w:t xml:space="preserve"> </w:t>
      </w:r>
      <w:r w:rsidRPr="0017698D">
        <w:rPr>
          <w:b w:val="0"/>
          <w:sz w:val="24"/>
          <w:szCs w:val="24"/>
        </w:rPr>
        <w:t>spread across four years for an</w:t>
      </w:r>
      <w:r w:rsidRPr="00322F10">
        <w:rPr>
          <w:b w:val="0"/>
          <w:sz w:val="24"/>
          <w:szCs w:val="24"/>
        </w:rPr>
        <w:t xml:space="preserve"> </w:t>
      </w:r>
      <w:r w:rsidRPr="00322F10">
        <w:rPr>
          <w:b w:val="0"/>
          <w:bCs w:val="0"/>
          <w:sz w:val="24"/>
          <w:szCs w:val="24"/>
        </w:rPr>
        <w:t xml:space="preserve">average </w:t>
      </w:r>
      <w:r w:rsidRPr="00D440E3">
        <w:rPr>
          <w:b w:val="0"/>
          <w:bCs w:val="0"/>
          <w:sz w:val="24"/>
          <w:szCs w:val="24"/>
        </w:rPr>
        <w:t>annual cost of $2</w:t>
      </w:r>
      <w:r w:rsidRPr="00D440E3" w:rsidR="00134CC1">
        <w:rPr>
          <w:b w:val="0"/>
          <w:bCs w:val="0"/>
          <w:sz w:val="24"/>
          <w:szCs w:val="24"/>
        </w:rPr>
        <w:t>4</w:t>
      </w:r>
      <w:r w:rsidRPr="00D440E3">
        <w:rPr>
          <w:b w:val="0"/>
          <w:bCs w:val="0"/>
          <w:sz w:val="24"/>
          <w:szCs w:val="24"/>
        </w:rPr>
        <w:t>,</w:t>
      </w:r>
      <w:r w:rsidRPr="00D440E3" w:rsidR="00134CC1">
        <w:rPr>
          <w:b w:val="0"/>
          <w:bCs w:val="0"/>
          <w:sz w:val="24"/>
          <w:szCs w:val="24"/>
        </w:rPr>
        <w:t>598</w:t>
      </w:r>
      <w:r w:rsidRPr="00D440E3">
        <w:rPr>
          <w:b w:val="0"/>
          <w:bCs w:val="0"/>
          <w:sz w:val="24"/>
          <w:szCs w:val="24"/>
        </w:rPr>
        <w:t>,</w:t>
      </w:r>
      <w:r w:rsidRPr="00D440E3" w:rsidR="00134CC1">
        <w:rPr>
          <w:b w:val="0"/>
          <w:bCs w:val="0"/>
          <w:sz w:val="24"/>
          <w:szCs w:val="24"/>
        </w:rPr>
        <w:t>080</w:t>
      </w:r>
      <w:r w:rsidRPr="0017698D">
        <w:rPr>
          <w:b w:val="0"/>
          <w:sz w:val="24"/>
          <w:szCs w:val="24"/>
        </w:rPr>
        <w:t xml:space="preserve"> to request, review, and make a compliance determination for 200 comparative analyses spread across four years (or 50 comparative analyses per year). These costs include 648 FTEs (average 162 FTEs/year) and $9,260,000 in additional expenses (average of $2,315,000/year), which include contracts with subject matter experts and costs to amend EBSA electronic case management system </w:t>
      </w:r>
      <w:r w:rsidRPr="0017698D">
        <w:rPr>
          <w:b w:val="0"/>
          <w:sz w:val="24"/>
          <w:szCs w:val="24"/>
        </w:rPr>
        <w:t>in order to</w:t>
      </w:r>
      <w:r w:rsidRPr="0017698D">
        <w:rPr>
          <w:b w:val="0"/>
          <w:sz w:val="24"/>
          <w:szCs w:val="24"/>
        </w:rPr>
        <w:t xml:space="preserve"> track the requests and their review. The number of FTEs estimated were based on review of resources required to review NQTL analyses in prior investigations. </w:t>
      </w:r>
    </w:p>
    <w:bookmarkEnd w:id="12"/>
    <w:bookmarkEnd w:id="13"/>
    <w:p w:rsidR="00FF59F5" w:rsidRPr="00096513" w:rsidP="00917C25" w14:paraId="4EAB9830" w14:textId="77777777">
      <w:pPr>
        <w:widowControl/>
        <w:ind w:left="720"/>
        <w:rPr>
          <w:b w:val="0"/>
          <w:bCs w:val="0"/>
          <w:sz w:val="24"/>
          <w:szCs w:val="24"/>
        </w:rPr>
      </w:pPr>
    </w:p>
    <w:p w:rsidR="00BE1236" w:rsidRPr="00BE4E63" w:rsidP="00EC0E6C" w14:paraId="27FA3AD0" w14:textId="482E24CA">
      <w:pPr>
        <w:pStyle w:val="Heading1"/>
      </w:pPr>
      <w:r w:rsidRPr="00BE4E63">
        <w:t xml:space="preserve">15. </w:t>
      </w:r>
      <w:r>
        <w:tab/>
      </w:r>
      <w:r w:rsidRPr="00BE4E63">
        <w:t>Explain the reasons for any</w:t>
      </w:r>
      <w:r>
        <w:t xml:space="preserve"> program changes or adjustments.</w:t>
      </w:r>
    </w:p>
    <w:p w:rsidR="003D5E7E" w:rsidRPr="00C34578" w:rsidP="00F67132" w14:paraId="714C502A" w14:textId="77777777">
      <w:pPr>
        <w:widowControl/>
        <w:tabs>
          <w:tab w:val="left" w:pos="-1440"/>
        </w:tabs>
        <w:ind w:left="720"/>
        <w:rPr>
          <w:b w:val="0"/>
          <w:bCs w:val="0"/>
          <w:iCs/>
          <w:sz w:val="24"/>
          <w:szCs w:val="24"/>
        </w:rPr>
      </w:pPr>
    </w:p>
    <w:p w:rsidR="003D5E7E" w:rsidP="007D3D5A" w14:paraId="47EA8A4F" w14:textId="4758AFAD">
      <w:pPr>
        <w:widowControl/>
        <w:tabs>
          <w:tab w:val="left" w:pos="-1440"/>
        </w:tabs>
        <w:ind w:left="720"/>
        <w:rPr>
          <w:rFonts w:eastAsiaTheme="minorHAnsi"/>
          <w:b w:val="0"/>
          <w:bCs w:val="0"/>
          <w:sz w:val="24"/>
          <w:szCs w:val="24"/>
        </w:rPr>
      </w:pPr>
      <w:bookmarkStart w:id="14" w:name="OLE_LINK6"/>
      <w:r w:rsidRPr="00645D41">
        <w:rPr>
          <w:rFonts w:eastAsiaTheme="minorHAnsi"/>
          <w:b w:val="0"/>
          <w:bCs w:val="0"/>
          <w:sz w:val="24"/>
          <w:szCs w:val="24"/>
        </w:rPr>
        <w:t xml:space="preserve">These final rules amend the regulations implementing </w:t>
      </w:r>
      <w:r>
        <w:rPr>
          <w:rFonts w:eastAsiaTheme="minorHAnsi"/>
          <w:b w:val="0"/>
          <w:bCs w:val="0"/>
          <w:sz w:val="24"/>
          <w:szCs w:val="24"/>
        </w:rPr>
        <w:t>M</w:t>
      </w:r>
      <w:r w:rsidRPr="00645D41">
        <w:rPr>
          <w:rFonts w:eastAsiaTheme="minorHAnsi"/>
          <w:b w:val="0"/>
          <w:bCs w:val="0"/>
          <w:sz w:val="24"/>
          <w:szCs w:val="24"/>
        </w:rPr>
        <w:t>HPAEA and add new regulations implementing the NQTL comparative analyses requirements under MHPAEA, as amended by the Consolidated Appropriations Act, 2021 (CAA, 2021).</w:t>
      </w:r>
      <w:r w:rsidR="00833FE1">
        <w:rPr>
          <w:rFonts w:eastAsiaTheme="minorHAnsi"/>
          <w:b w:val="0"/>
          <w:bCs w:val="0"/>
          <w:sz w:val="24"/>
          <w:szCs w:val="24"/>
        </w:rPr>
        <w:t xml:space="preserve"> </w:t>
      </w:r>
      <w:r w:rsidRPr="0090022A" w:rsidR="00833FE1">
        <w:rPr>
          <w:rFonts w:eastAsiaTheme="minorHAnsi"/>
          <w:b w:val="0"/>
          <w:bCs w:val="0"/>
          <w:sz w:val="24"/>
          <w:szCs w:val="24"/>
        </w:rPr>
        <w:t xml:space="preserve">Specifically, these final rules amend the existing NQTL standard to prohibit plans and </w:t>
      </w:r>
      <w:r w:rsidRPr="0090022A" w:rsidR="00833FE1">
        <w:rPr>
          <w:rFonts w:eastAsiaTheme="minorHAnsi"/>
          <w:b w:val="0"/>
          <w:bCs w:val="0"/>
          <w:sz w:val="24"/>
          <w:szCs w:val="24"/>
        </w:rPr>
        <w:t xml:space="preserve">issuers from using NQTLs to place greater restrictions on access to mental health and substance use disorder benefits as compared to medical/surgical benefits. </w:t>
      </w:r>
    </w:p>
    <w:p w:rsidR="00833FE1" w:rsidRPr="00C34578" w:rsidP="00833FE1" w14:paraId="20A32B1F" w14:textId="77777777">
      <w:pPr>
        <w:widowControl/>
        <w:tabs>
          <w:tab w:val="left" w:pos="-1440"/>
        </w:tabs>
        <w:ind w:left="720"/>
        <w:rPr>
          <w:b w:val="0"/>
          <w:bCs w:val="0"/>
          <w:iCs/>
          <w:sz w:val="24"/>
          <w:szCs w:val="24"/>
        </w:rPr>
      </w:pPr>
    </w:p>
    <w:p w:rsidR="00E25857" w:rsidP="00E25857" w14:paraId="5974B4DC" w14:textId="7541ACB2">
      <w:pPr>
        <w:widowControl/>
        <w:tabs>
          <w:tab w:val="left" w:pos="-1440"/>
        </w:tabs>
        <w:ind w:left="720"/>
        <w:rPr>
          <w:b w:val="0"/>
          <w:bCs w:val="0"/>
          <w:iCs/>
          <w:sz w:val="24"/>
          <w:szCs w:val="24"/>
        </w:rPr>
      </w:pPr>
      <w:r w:rsidRPr="00E25857">
        <w:rPr>
          <w:b w:val="0"/>
          <w:bCs w:val="0"/>
          <w:iCs/>
          <w:sz w:val="24"/>
          <w:szCs w:val="24"/>
        </w:rPr>
        <w:t xml:space="preserve">In addition, the data inputs, mailing costs, and wage rates have been updated. </w:t>
      </w:r>
      <w:r w:rsidRPr="00A43912" w:rsidR="00A43912">
        <w:rPr>
          <w:b w:val="0"/>
          <w:bCs w:val="0"/>
          <w:iCs/>
          <w:sz w:val="24"/>
          <w:szCs w:val="24"/>
        </w:rPr>
        <w:t xml:space="preserve">As a result, the number of responses has decreased by 23,521, the hour burden has decreased by </w:t>
      </w:r>
      <w:r w:rsidRPr="007C7F7A" w:rsidR="007C7F7A">
        <w:rPr>
          <w:b w:val="0"/>
          <w:bCs w:val="0"/>
          <w:iCs/>
          <w:sz w:val="24"/>
          <w:szCs w:val="24"/>
        </w:rPr>
        <w:t>2,419,726</w:t>
      </w:r>
      <w:r w:rsidR="007C7F7A">
        <w:rPr>
          <w:b w:val="0"/>
          <w:bCs w:val="0"/>
          <w:iCs/>
          <w:sz w:val="24"/>
          <w:szCs w:val="24"/>
        </w:rPr>
        <w:t xml:space="preserve"> </w:t>
      </w:r>
      <w:r w:rsidRPr="007C4E7B" w:rsidR="007C4E7B">
        <w:rPr>
          <w:b w:val="0"/>
          <w:bCs w:val="0"/>
          <w:iCs/>
          <w:sz w:val="24"/>
          <w:szCs w:val="24"/>
        </w:rPr>
        <w:t>hours, and the cost burden has increased by $1,223,236</w:t>
      </w:r>
      <w:r w:rsidRPr="00A43912" w:rsidR="00A43912">
        <w:rPr>
          <w:b w:val="0"/>
          <w:bCs w:val="0"/>
          <w:iCs/>
          <w:sz w:val="24"/>
          <w:szCs w:val="24"/>
        </w:rPr>
        <w:t>.</w:t>
      </w:r>
    </w:p>
    <w:bookmarkEnd w:id="14"/>
    <w:p w:rsidR="00A43912" w:rsidRPr="00A92375" w:rsidP="00E25857" w14:paraId="662907C6" w14:textId="77777777">
      <w:pPr>
        <w:widowControl/>
        <w:tabs>
          <w:tab w:val="left" w:pos="-1440"/>
        </w:tabs>
        <w:ind w:left="720"/>
        <w:rPr>
          <w:b w:val="0"/>
          <w:bCs w:val="0"/>
          <w:sz w:val="24"/>
          <w:szCs w:val="24"/>
        </w:rPr>
      </w:pPr>
    </w:p>
    <w:p w:rsidR="00BE1236" w:rsidRPr="00BE4E63" w:rsidP="00EC0E6C" w14:paraId="3C17BBF7" w14:textId="3886F970">
      <w:pPr>
        <w:pStyle w:val="Heading1"/>
        <w:ind w:left="720" w:hanging="720"/>
      </w:pPr>
      <w:r w:rsidRPr="00BE4E63">
        <w:t xml:space="preserve">16. </w:t>
      </w:r>
      <w:r>
        <w:tab/>
      </w:r>
      <w:r w:rsidRPr="00BE4E63" w:rsidR="00AA1E33">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Pr="00A92375" w:rsidP="0006528F" w14:paraId="7592D974" w14:textId="77777777">
      <w:pPr>
        <w:widowControl/>
        <w:rPr>
          <w:b w:val="0"/>
          <w:bCs w:val="0"/>
          <w:sz w:val="24"/>
          <w:szCs w:val="24"/>
        </w:rPr>
      </w:pPr>
    </w:p>
    <w:p w:rsidR="003E7F13" w:rsidRPr="003251D4" w:rsidP="00562B11" w14:paraId="2F1FE88D" w14:textId="1B59A22C">
      <w:pPr>
        <w:widowControl/>
        <w:autoSpaceDE/>
        <w:autoSpaceDN/>
        <w:adjustRightInd/>
        <w:ind w:left="720"/>
        <w:rPr>
          <w:rFonts w:eastAsiaTheme="minorHAnsi"/>
          <w:b w:val="0"/>
          <w:bCs w:val="0"/>
          <w:sz w:val="24"/>
          <w:szCs w:val="24"/>
        </w:rPr>
      </w:pPr>
      <w:r>
        <w:rPr>
          <w:rFonts w:eastAsiaTheme="minorHAnsi"/>
          <w:b w:val="0"/>
          <w:bCs w:val="0"/>
          <w:sz w:val="24"/>
          <w:szCs w:val="24"/>
        </w:rPr>
        <w:t>T</w:t>
      </w:r>
      <w:r w:rsidR="00997F7B">
        <w:rPr>
          <w:rFonts w:eastAsiaTheme="minorHAnsi"/>
          <w:b w:val="0"/>
          <w:bCs w:val="0"/>
          <w:sz w:val="24"/>
          <w:szCs w:val="24"/>
        </w:rPr>
        <w:t>he</w:t>
      </w:r>
      <w:r w:rsidRPr="003251D4">
        <w:rPr>
          <w:rFonts w:eastAsiaTheme="minorHAnsi"/>
          <w:b w:val="0"/>
          <w:bCs w:val="0"/>
          <w:sz w:val="24"/>
          <w:szCs w:val="24"/>
        </w:rPr>
        <w:t xml:space="preserve"> </w:t>
      </w:r>
      <w:r>
        <w:rPr>
          <w:rFonts w:eastAsiaTheme="minorHAnsi"/>
          <w:b w:val="0"/>
          <w:bCs w:val="0"/>
          <w:sz w:val="24"/>
          <w:szCs w:val="24"/>
        </w:rPr>
        <w:t xml:space="preserve">CAA, 2021, required </w:t>
      </w:r>
      <w:r w:rsidRPr="003251D4">
        <w:rPr>
          <w:rFonts w:eastAsiaTheme="minorHAnsi"/>
          <w:b w:val="0"/>
          <w:bCs w:val="0"/>
          <w:sz w:val="24"/>
          <w:szCs w:val="24"/>
        </w:rPr>
        <w:t>the Departments</w:t>
      </w:r>
      <w:r w:rsidR="002218B0">
        <w:rPr>
          <w:rFonts w:eastAsiaTheme="minorHAnsi"/>
          <w:b w:val="0"/>
          <w:bCs w:val="0"/>
          <w:sz w:val="24"/>
          <w:szCs w:val="24"/>
        </w:rPr>
        <w:t xml:space="preserve"> </w:t>
      </w:r>
      <w:r w:rsidR="00EB7B05">
        <w:rPr>
          <w:rFonts w:eastAsiaTheme="minorHAnsi"/>
          <w:b w:val="0"/>
          <w:bCs w:val="0"/>
          <w:sz w:val="24"/>
          <w:szCs w:val="24"/>
        </w:rPr>
        <w:t xml:space="preserve">to annually </w:t>
      </w:r>
      <w:r w:rsidRPr="003251D4">
        <w:rPr>
          <w:rFonts w:eastAsiaTheme="minorHAnsi"/>
          <w:b w:val="0"/>
          <w:bCs w:val="0"/>
          <w:sz w:val="24"/>
          <w:szCs w:val="24"/>
        </w:rPr>
        <w:t>submit to Congress and make publicly available a report</w:t>
      </w:r>
      <w:r w:rsidR="00282618">
        <w:rPr>
          <w:rFonts w:eastAsiaTheme="minorHAnsi"/>
          <w:b w:val="0"/>
          <w:bCs w:val="0"/>
          <w:sz w:val="24"/>
          <w:szCs w:val="24"/>
        </w:rPr>
        <w:t xml:space="preserve">. </w:t>
      </w:r>
      <w:r w:rsidRPr="00562B11" w:rsidR="00282618">
        <w:rPr>
          <w:b w:val="0"/>
          <w:sz w:val="24"/>
          <w:szCs w:val="24"/>
        </w:rPr>
        <w:t xml:space="preserve">This </w:t>
      </w:r>
      <w:r w:rsidR="002218B0">
        <w:rPr>
          <w:b w:val="0"/>
          <w:bCs w:val="0"/>
          <w:sz w:val="24"/>
          <w:szCs w:val="24"/>
        </w:rPr>
        <w:t>information collection</w:t>
      </w:r>
      <w:r w:rsidRPr="00562B11" w:rsidR="00282618">
        <w:rPr>
          <w:b w:val="0"/>
          <w:sz w:val="24"/>
          <w:szCs w:val="24"/>
        </w:rPr>
        <w:t xml:space="preserve"> is used in preparing that report</w:t>
      </w:r>
      <w:r w:rsidR="002218B0">
        <w:rPr>
          <w:b w:val="0"/>
          <w:bCs w:val="0"/>
          <w:sz w:val="24"/>
          <w:szCs w:val="24"/>
        </w:rPr>
        <w:t xml:space="preserve"> </w:t>
      </w:r>
      <w:r w:rsidRPr="003251D4">
        <w:rPr>
          <w:rFonts w:eastAsiaTheme="minorHAnsi"/>
          <w:b w:val="0"/>
          <w:bCs w:val="0"/>
          <w:sz w:val="24"/>
          <w:szCs w:val="24"/>
        </w:rPr>
        <w:t>that contains:</w:t>
      </w:r>
    </w:p>
    <w:p w:rsidR="003E7F13" w:rsidRPr="003251D4" w:rsidP="00A135A3" w14:paraId="76293413" w14:textId="77777777">
      <w:pPr>
        <w:widowControl/>
        <w:numPr>
          <w:ilvl w:val="0"/>
          <w:numId w:val="29"/>
        </w:numPr>
        <w:autoSpaceDE/>
        <w:autoSpaceDN/>
        <w:adjustRightInd/>
        <w:ind w:left="1440"/>
        <w:contextualSpacing/>
        <w:rPr>
          <w:rFonts w:eastAsiaTheme="minorHAnsi"/>
          <w:b w:val="0"/>
          <w:bCs w:val="0"/>
          <w:sz w:val="24"/>
          <w:szCs w:val="24"/>
        </w:rPr>
      </w:pPr>
      <w:r w:rsidRPr="003251D4">
        <w:rPr>
          <w:rFonts w:eastAsiaTheme="minorHAnsi"/>
          <w:b w:val="0"/>
          <w:bCs w:val="0"/>
          <w:sz w:val="24"/>
          <w:szCs w:val="24"/>
        </w:rPr>
        <w:t xml:space="preserve">A summary of the comparative analyses requested, including the identity of each plan or issuer that is determined not to be in compliance after a final </w:t>
      </w:r>
      <w:r w:rsidRPr="003251D4">
        <w:rPr>
          <w:rFonts w:eastAsiaTheme="minorHAnsi"/>
          <w:b w:val="0"/>
          <w:bCs w:val="0"/>
          <w:sz w:val="24"/>
          <w:szCs w:val="24"/>
        </w:rPr>
        <w:t>determination;</w:t>
      </w:r>
    </w:p>
    <w:p w:rsidR="003E7F13" w:rsidRPr="003251D4" w:rsidP="00A135A3" w14:paraId="25BFA85A" w14:textId="77777777">
      <w:pPr>
        <w:widowControl/>
        <w:numPr>
          <w:ilvl w:val="0"/>
          <w:numId w:val="29"/>
        </w:numPr>
        <w:autoSpaceDE/>
        <w:autoSpaceDN/>
        <w:adjustRightInd/>
        <w:ind w:left="1440"/>
        <w:contextualSpacing/>
        <w:rPr>
          <w:rFonts w:eastAsiaTheme="minorHAnsi"/>
          <w:b w:val="0"/>
          <w:bCs w:val="0"/>
          <w:sz w:val="24"/>
          <w:szCs w:val="24"/>
        </w:rPr>
      </w:pPr>
      <w:r w:rsidRPr="003251D4">
        <w:rPr>
          <w:rFonts w:eastAsiaTheme="minorHAnsi"/>
          <w:b w:val="0"/>
          <w:bCs w:val="0"/>
          <w:sz w:val="24"/>
          <w:szCs w:val="24"/>
        </w:rPr>
        <w:t xml:space="preserve">The Departments’ conclusions as to whether each plan or issuer submitted sufficient information for the Departments to review the comparative analyses </w:t>
      </w:r>
      <w:r w:rsidRPr="003251D4">
        <w:rPr>
          <w:rFonts w:eastAsiaTheme="minorHAnsi"/>
          <w:b w:val="0"/>
          <w:bCs w:val="0"/>
          <w:sz w:val="24"/>
          <w:szCs w:val="24"/>
        </w:rPr>
        <w:t>requested;</w:t>
      </w:r>
    </w:p>
    <w:p w:rsidR="003E7F13" w:rsidRPr="003251D4" w:rsidP="00A135A3" w14:paraId="44AA4A74" w14:textId="77777777">
      <w:pPr>
        <w:widowControl/>
        <w:numPr>
          <w:ilvl w:val="0"/>
          <w:numId w:val="29"/>
        </w:numPr>
        <w:autoSpaceDE/>
        <w:autoSpaceDN/>
        <w:adjustRightInd/>
        <w:spacing w:after="200"/>
        <w:ind w:left="1440"/>
        <w:contextualSpacing/>
        <w:rPr>
          <w:rFonts w:eastAsiaTheme="minorHAnsi"/>
          <w:b w:val="0"/>
          <w:bCs w:val="0"/>
          <w:sz w:val="24"/>
          <w:szCs w:val="24"/>
        </w:rPr>
      </w:pPr>
      <w:r w:rsidRPr="003251D4">
        <w:rPr>
          <w:rFonts w:eastAsiaTheme="minorHAnsi"/>
          <w:b w:val="0"/>
          <w:bCs w:val="0"/>
          <w:sz w:val="24"/>
          <w:szCs w:val="24"/>
        </w:rPr>
        <w:t xml:space="preserve">For each plan or issuer that submitted sufficient information for the Secretary to review the comparative analyses requested, the Departments’ conclusion as to whether and why the plan or issuer is in compliance with the disclosure requirements of </w:t>
      </w:r>
      <w:r w:rsidRPr="003251D4">
        <w:rPr>
          <w:rFonts w:eastAsiaTheme="minorHAnsi"/>
          <w:b w:val="0"/>
          <w:bCs w:val="0"/>
          <w:sz w:val="24"/>
          <w:szCs w:val="24"/>
        </w:rPr>
        <w:t>MHPAEA;</w:t>
      </w:r>
    </w:p>
    <w:p w:rsidR="003E7F13" w:rsidRPr="003251D4" w:rsidP="00A135A3" w14:paraId="53F7221A" w14:textId="77777777">
      <w:pPr>
        <w:widowControl/>
        <w:numPr>
          <w:ilvl w:val="0"/>
          <w:numId w:val="29"/>
        </w:numPr>
        <w:autoSpaceDE/>
        <w:autoSpaceDN/>
        <w:adjustRightInd/>
        <w:spacing w:after="200"/>
        <w:ind w:left="1440"/>
        <w:contextualSpacing/>
        <w:rPr>
          <w:rFonts w:eastAsiaTheme="minorHAnsi"/>
          <w:b w:val="0"/>
          <w:bCs w:val="0"/>
          <w:sz w:val="24"/>
          <w:szCs w:val="24"/>
        </w:rPr>
      </w:pPr>
      <w:r w:rsidRPr="003251D4">
        <w:rPr>
          <w:rFonts w:eastAsiaTheme="minorHAnsi"/>
          <w:b w:val="0"/>
          <w:bCs w:val="0"/>
          <w:sz w:val="24"/>
          <w:szCs w:val="24"/>
        </w:rPr>
        <w:t>The Departments’ specifications for each plan or issuer that did not submit sufficient information for the Departments to review the comparative analyses for compliance; and</w:t>
      </w:r>
    </w:p>
    <w:p w:rsidR="003E7F13" w:rsidP="00A135A3" w14:paraId="4AE410BE" w14:textId="77777777">
      <w:pPr>
        <w:widowControl/>
        <w:numPr>
          <w:ilvl w:val="0"/>
          <w:numId w:val="29"/>
        </w:numPr>
        <w:autoSpaceDE/>
        <w:autoSpaceDN/>
        <w:adjustRightInd/>
        <w:spacing w:after="200"/>
        <w:ind w:left="1440"/>
        <w:contextualSpacing/>
        <w:rPr>
          <w:rFonts w:eastAsiaTheme="minorHAnsi"/>
          <w:b w:val="0"/>
          <w:bCs w:val="0"/>
          <w:sz w:val="24"/>
          <w:szCs w:val="24"/>
        </w:rPr>
      </w:pPr>
      <w:r w:rsidRPr="003251D4">
        <w:rPr>
          <w:rFonts w:eastAsiaTheme="minorHAnsi"/>
          <w:b w:val="0"/>
          <w:bCs w:val="0"/>
          <w:sz w:val="24"/>
          <w:szCs w:val="24"/>
        </w:rPr>
        <w:t xml:space="preserve">The Departments’ specifications of the actions each plan or issuer that the Secretary determined is not in compliance must take to </w:t>
      </w:r>
      <w:r w:rsidRPr="003251D4">
        <w:rPr>
          <w:rFonts w:eastAsiaTheme="minorHAnsi"/>
          <w:b w:val="0"/>
          <w:bCs w:val="0"/>
          <w:sz w:val="24"/>
          <w:szCs w:val="24"/>
        </w:rPr>
        <w:t>be in compliance with</w:t>
      </w:r>
      <w:r w:rsidRPr="003251D4">
        <w:rPr>
          <w:rFonts w:eastAsiaTheme="minorHAnsi"/>
          <w:b w:val="0"/>
          <w:bCs w:val="0"/>
          <w:sz w:val="24"/>
          <w:szCs w:val="24"/>
        </w:rPr>
        <w:t xml:space="preserve"> MHPAEA, including the reason the Departments determined the plan or </w:t>
      </w:r>
      <w:r w:rsidRPr="00594B94">
        <w:rPr>
          <w:rFonts w:eastAsiaTheme="minorHAnsi"/>
          <w:b w:val="0"/>
          <w:bCs w:val="0"/>
          <w:sz w:val="24"/>
          <w:szCs w:val="24"/>
        </w:rPr>
        <w:t>issuer was not in compliance</w:t>
      </w:r>
      <w:r>
        <w:rPr>
          <w:rFonts w:eastAsiaTheme="minorHAnsi"/>
          <w:b w:val="0"/>
          <w:bCs w:val="0"/>
          <w:sz w:val="24"/>
          <w:szCs w:val="24"/>
        </w:rPr>
        <w:t>.</w:t>
      </w:r>
    </w:p>
    <w:p w:rsidR="00BE1236" w:rsidRPr="00BE4E63" w:rsidP="00BE1236" w14:paraId="195C1ADA" w14:textId="77777777">
      <w:pPr>
        <w:widowControl/>
        <w:rPr>
          <w:bCs w:val="0"/>
          <w:i/>
          <w:sz w:val="24"/>
          <w:szCs w:val="24"/>
        </w:rPr>
      </w:pPr>
    </w:p>
    <w:p w:rsidR="00BE1236" w:rsidRPr="00BE4E63" w:rsidP="00EC0E6C" w14:paraId="7D7EED11" w14:textId="29076FFE">
      <w:pPr>
        <w:pStyle w:val="Heading1"/>
        <w:ind w:left="720" w:hanging="720"/>
      </w:pPr>
      <w:r w:rsidRPr="00BE4E63">
        <w:t xml:space="preserve">17. </w:t>
      </w:r>
      <w:r>
        <w:tab/>
      </w:r>
      <w:r w:rsidRPr="00BE4E63">
        <w:t>If seeking approval to not display the expiration date for OMB approval of the information collection, explain the reasons that display would be inappropriate.</w:t>
      </w:r>
    </w:p>
    <w:p w:rsidR="00A7230A" w:rsidRPr="00A92375" w:rsidP="0006528F" w14:paraId="09599725" w14:textId="77777777">
      <w:pPr>
        <w:widowControl/>
        <w:tabs>
          <w:tab w:val="left" w:pos="-1440"/>
        </w:tabs>
        <w:rPr>
          <w:b w:val="0"/>
          <w:bCs w:val="0"/>
          <w:sz w:val="24"/>
          <w:szCs w:val="24"/>
        </w:rPr>
      </w:pPr>
    </w:p>
    <w:p w:rsidR="00A7230A" w:rsidRPr="00A92375" w:rsidP="00456895" w14:paraId="4D08248E" w14:textId="7FDC9F5A">
      <w:pPr>
        <w:pStyle w:val="BodyText"/>
        <w:ind w:left="720"/>
        <w:rPr>
          <w:szCs w:val="24"/>
        </w:rPr>
      </w:pPr>
      <w:r>
        <w:rPr>
          <w:szCs w:val="24"/>
        </w:rPr>
        <w:t xml:space="preserve">This information collection will display the </w:t>
      </w:r>
      <w:r w:rsidR="00934FC5">
        <w:rPr>
          <w:szCs w:val="24"/>
        </w:rPr>
        <w:t xml:space="preserve">expiration date for OMB approval. </w:t>
      </w:r>
    </w:p>
    <w:p w:rsidR="00A7230A" w:rsidRPr="00A92375" w:rsidP="00456895" w14:paraId="4C6F4BAE" w14:textId="77777777">
      <w:pPr>
        <w:widowControl/>
        <w:tabs>
          <w:tab w:val="left" w:pos="-1440"/>
        </w:tabs>
        <w:ind w:left="720"/>
        <w:rPr>
          <w:b w:val="0"/>
          <w:bCs w:val="0"/>
          <w:sz w:val="24"/>
          <w:szCs w:val="24"/>
        </w:rPr>
      </w:pPr>
    </w:p>
    <w:p w:rsidR="00BE1236" w:rsidRPr="00BE4E63" w:rsidP="00EC0E6C" w14:paraId="64B721DC" w14:textId="0F4C1C43">
      <w:pPr>
        <w:pStyle w:val="Heading1"/>
      </w:pPr>
      <w:r w:rsidRPr="00BE4E63">
        <w:t xml:space="preserve">18. </w:t>
      </w:r>
      <w:r>
        <w:tab/>
      </w:r>
      <w:r w:rsidRPr="00BE4E63">
        <w:t>Explain each exception to the certification statement identified in Item 19</w:t>
      </w:r>
      <w:r>
        <w:t>.</w:t>
      </w:r>
    </w:p>
    <w:p w:rsidR="00AA1E33" w:rsidRPr="00A92375" w:rsidP="0006528F" w14:paraId="609AD1FB" w14:textId="77777777">
      <w:pPr>
        <w:widowControl/>
        <w:rPr>
          <w:sz w:val="24"/>
          <w:szCs w:val="24"/>
        </w:rPr>
      </w:pPr>
    </w:p>
    <w:p w:rsidR="00AA1E33" w:rsidRPr="00A92375" w:rsidP="00EC0E6C" w14:paraId="2E767AF4" w14:textId="29F0639E">
      <w:pPr>
        <w:ind w:firstLine="720"/>
        <w:rPr>
          <w:b w:val="0"/>
          <w:bCs w:val="0"/>
          <w:sz w:val="24"/>
          <w:szCs w:val="24"/>
        </w:rPr>
      </w:pPr>
      <w:r>
        <w:rPr>
          <w:b w:val="0"/>
          <w:bCs w:val="0"/>
          <w:sz w:val="24"/>
          <w:szCs w:val="24"/>
        </w:rPr>
        <w:t xml:space="preserve">There are no exceptions to the certification statement identified in Item 19. </w:t>
      </w:r>
    </w:p>
    <w:p w:rsidR="00AA1E33" w:rsidRPr="00A92375" w:rsidP="00456895" w14:paraId="1257A448" w14:textId="77777777">
      <w:pPr>
        <w:widowControl/>
        <w:ind w:left="720"/>
        <w:rPr>
          <w:b w:val="0"/>
          <w:bCs w:val="0"/>
          <w:sz w:val="24"/>
          <w:szCs w:val="24"/>
        </w:rPr>
      </w:pPr>
    </w:p>
    <w:p w:rsidR="00BE1236" w:rsidP="00EC0E6C" w14:paraId="47461621" w14:textId="77777777">
      <w:pPr>
        <w:pStyle w:val="Heading1"/>
      </w:pPr>
      <w:r>
        <w:t>B.</w:t>
      </w:r>
      <w:r>
        <w:tab/>
        <w:t>COLLECTIONS OF INFORMATION EMPLOYING STATISTICAL METHODS</w:t>
      </w:r>
    </w:p>
    <w:p w:rsidR="00AA1E33" w:rsidRPr="005348B9" w:rsidP="005348B9" w14:paraId="66CBBDC3" w14:textId="77777777"/>
    <w:p w:rsidR="00AA1E33" w:rsidRPr="00A92375" w:rsidP="00456895" w14:paraId="313BD083" w14:textId="69F8ED39">
      <w:pPr>
        <w:widowControl/>
        <w:ind w:left="720"/>
        <w:rPr>
          <w:b w:val="0"/>
          <w:bCs w:val="0"/>
          <w:sz w:val="24"/>
          <w:szCs w:val="24"/>
        </w:rPr>
      </w:pPr>
      <w:r>
        <w:rPr>
          <w:b w:val="0"/>
          <w:bCs w:val="0"/>
          <w:sz w:val="24"/>
          <w:szCs w:val="24"/>
        </w:rPr>
        <w:t>Th</w:t>
      </w:r>
      <w:r w:rsidR="00080210">
        <w:rPr>
          <w:b w:val="0"/>
          <w:bCs w:val="0"/>
          <w:sz w:val="24"/>
          <w:szCs w:val="24"/>
        </w:rPr>
        <w:t xml:space="preserve">ere are no statistical methods used in this information </w:t>
      </w:r>
      <w:r w:rsidR="00FE6578">
        <w:rPr>
          <w:b w:val="0"/>
          <w:bCs w:val="0"/>
          <w:sz w:val="24"/>
          <w:szCs w:val="24"/>
        </w:rPr>
        <w:t>collection</w:t>
      </w:r>
      <w:r w:rsidR="00A74343">
        <w:rPr>
          <w:b w:val="0"/>
          <w:bCs w:val="0"/>
          <w:sz w:val="24"/>
          <w:szCs w:val="24"/>
        </w:rPr>
        <w:t>.</w:t>
      </w:r>
    </w:p>
    <w:sectPr>
      <w:headerReference w:type="default" r:id="rId10"/>
      <w:footerReference w:type="even" r:id="rId11"/>
      <w:footerReference w:type="default" r:id="rId12"/>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14:paraId="37F94D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C15C13" w14:paraId="72106B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rsidRPr="00FF362D" w:rsidP="00FF362D" w14:paraId="292B6171" w14:textId="20A62578">
    <w:pPr>
      <w:pStyle w:val="Footer"/>
      <w:framePr w:wrap="around" w:vAnchor="text" w:hAnchor="page" w:x="6001" w:y="126"/>
      <w:rPr>
        <w:rStyle w:val="PageNumber"/>
        <w:b w:val="0"/>
        <w:bCs w:val="0"/>
        <w:sz w:val="24"/>
        <w:szCs w:val="24"/>
      </w:rPr>
    </w:pPr>
    <w:r w:rsidRPr="00FF362D">
      <w:rPr>
        <w:rStyle w:val="PageNumber"/>
        <w:b w:val="0"/>
        <w:bCs w:val="0"/>
        <w:sz w:val="24"/>
        <w:szCs w:val="24"/>
      </w:rPr>
      <w:fldChar w:fldCharType="begin"/>
    </w:r>
    <w:r w:rsidRPr="00FF362D">
      <w:rPr>
        <w:rStyle w:val="PageNumber"/>
        <w:b w:val="0"/>
        <w:bCs w:val="0"/>
        <w:sz w:val="24"/>
        <w:szCs w:val="24"/>
      </w:rPr>
      <w:instrText xml:space="preserve">PAGE  </w:instrText>
    </w:r>
    <w:r w:rsidRPr="00FF362D">
      <w:rPr>
        <w:rStyle w:val="PageNumber"/>
        <w:b w:val="0"/>
        <w:bCs w:val="0"/>
        <w:sz w:val="24"/>
        <w:szCs w:val="24"/>
      </w:rPr>
      <w:fldChar w:fldCharType="separate"/>
    </w:r>
    <w:r w:rsidRPr="00FF362D" w:rsidR="00D83A6D">
      <w:rPr>
        <w:rStyle w:val="PageNumber"/>
        <w:b w:val="0"/>
        <w:bCs w:val="0"/>
        <w:noProof/>
        <w:sz w:val="24"/>
        <w:szCs w:val="24"/>
      </w:rPr>
      <w:t>11</w:t>
    </w:r>
    <w:r w:rsidRPr="00FF362D">
      <w:rPr>
        <w:rStyle w:val="PageNumber"/>
        <w:b w:val="0"/>
        <w:bCs w:val="0"/>
        <w:sz w:val="24"/>
        <w:szCs w:val="24"/>
      </w:rPr>
      <w:fldChar w:fldCharType="end"/>
    </w:r>
  </w:p>
  <w:p w:rsidR="00C15C13" w14:paraId="0045E2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1A39" w14:paraId="45F66A02" w14:textId="77777777">
      <w:r>
        <w:separator/>
      </w:r>
    </w:p>
  </w:footnote>
  <w:footnote w:type="continuationSeparator" w:id="1">
    <w:p w:rsidR="00961A39" w14:paraId="54E681B9" w14:textId="77777777">
      <w:r>
        <w:continuationSeparator/>
      </w:r>
    </w:p>
  </w:footnote>
  <w:footnote w:type="continuationNotice" w:id="2">
    <w:p w:rsidR="00961A39" w14:paraId="16D2EBA2" w14:textId="77777777"/>
  </w:footnote>
  <w:footnote w:id="3">
    <w:p w:rsidR="0004729A" w:rsidRPr="00861812" w14:paraId="1127BD4B" w14:textId="744D3C56">
      <w:pPr>
        <w:pStyle w:val="FootnoteText"/>
        <w:rPr>
          <w:b w:val="0"/>
          <w:bCs w:val="0"/>
        </w:rPr>
      </w:pPr>
      <w:r w:rsidRPr="009F3B9A">
        <w:rPr>
          <w:rStyle w:val="FootnoteReference"/>
          <w:b w:val="0"/>
          <w:sz w:val="20"/>
          <w:vertAlign w:val="superscript"/>
        </w:rPr>
        <w:footnoteRef/>
      </w:r>
      <w:r w:rsidRPr="004C3B30">
        <w:rPr>
          <w:b w:val="0"/>
          <w:bCs w:val="0"/>
        </w:rPr>
        <w:t xml:space="preserve"> </w:t>
      </w:r>
      <w:r w:rsidRPr="009F3B9A">
        <w:rPr>
          <w:b w:val="0"/>
          <w:sz w:val="20"/>
        </w:rPr>
        <w:t>The Patient Protection and Affordable Care Act</w:t>
      </w:r>
      <w:r w:rsidRPr="009F3B9A" w:rsidR="00813E37">
        <w:rPr>
          <w:b w:val="0"/>
          <w:sz w:val="20"/>
        </w:rPr>
        <w:t xml:space="preserve"> extended MHPAEA to apply to individual health insurance </w:t>
      </w:r>
      <w:r w:rsidRPr="00861812" w:rsidR="00813E37">
        <w:rPr>
          <w:b w:val="0"/>
          <w:sz w:val="20"/>
        </w:rPr>
        <w:t>coverage and redesignated MHPAEA in the PHS Act as section 2726.</w:t>
      </w:r>
    </w:p>
  </w:footnote>
  <w:footnote w:id="4">
    <w:p w:rsidR="009A3673" w:rsidRPr="004C3B30" w14:paraId="3C147289" w14:textId="17B64626">
      <w:pPr>
        <w:pStyle w:val="FootnoteText"/>
        <w:rPr>
          <w:b w:val="0"/>
          <w:bCs w:val="0"/>
        </w:rPr>
      </w:pPr>
      <w:r w:rsidRPr="009F3B9A">
        <w:rPr>
          <w:rStyle w:val="FootnoteReference"/>
          <w:b w:val="0"/>
          <w:sz w:val="20"/>
          <w:vertAlign w:val="superscript"/>
        </w:rPr>
        <w:footnoteRef/>
      </w:r>
      <w:r w:rsidRPr="009F3B9A">
        <w:rPr>
          <w:b w:val="0"/>
          <w:sz w:val="20"/>
          <w:vertAlign w:val="superscript"/>
        </w:rPr>
        <w:t xml:space="preserve"> </w:t>
      </w:r>
      <w:r w:rsidRPr="009F3B9A">
        <w:rPr>
          <w:b w:val="0"/>
          <w:sz w:val="20"/>
        </w:rPr>
        <w:t>75 FR 5410 (Feb. 2, 2010).</w:t>
      </w:r>
    </w:p>
  </w:footnote>
  <w:footnote w:id="5">
    <w:p w:rsidR="009A3673" w:rsidRPr="004C3B30" w14:paraId="385993C7" w14:textId="790875A3">
      <w:pPr>
        <w:pStyle w:val="FootnoteText"/>
        <w:rPr>
          <w:b w:val="0"/>
          <w:bCs w:val="0"/>
        </w:rPr>
      </w:pPr>
      <w:r w:rsidRPr="009F3B9A">
        <w:rPr>
          <w:rStyle w:val="FootnoteReference"/>
          <w:b w:val="0"/>
          <w:sz w:val="20"/>
          <w:vertAlign w:val="superscript"/>
        </w:rPr>
        <w:footnoteRef/>
      </w:r>
      <w:r w:rsidRPr="009F3B9A">
        <w:rPr>
          <w:b w:val="0"/>
          <w:sz w:val="20"/>
          <w:vertAlign w:val="superscript"/>
        </w:rPr>
        <w:t xml:space="preserve"> </w:t>
      </w:r>
      <w:r w:rsidRPr="009F3B9A">
        <w:rPr>
          <w:b w:val="0"/>
          <w:sz w:val="20"/>
        </w:rPr>
        <w:t>78 FR 682</w:t>
      </w:r>
      <w:r w:rsidR="003A7493">
        <w:rPr>
          <w:b w:val="0"/>
          <w:bCs w:val="0"/>
          <w:sz w:val="20"/>
        </w:rPr>
        <w:t>40</w:t>
      </w:r>
      <w:r w:rsidRPr="0033513D">
        <w:rPr>
          <w:b w:val="0"/>
          <w:bCs w:val="0"/>
          <w:sz w:val="20"/>
        </w:rPr>
        <w:t xml:space="preserve"> (Nov. 13, 2013).</w:t>
      </w:r>
    </w:p>
  </w:footnote>
  <w:footnote w:id="6">
    <w:p w:rsidR="00F9515C" w:rsidRPr="00140C23" w:rsidP="00F9515C" w14:paraId="6828B5ED" w14:textId="77777777">
      <w:pPr>
        <w:pStyle w:val="FootnoteText"/>
        <w:rPr>
          <w:rStyle w:val="FootnoteReference"/>
          <w:b w:val="0"/>
          <w:sz w:val="20"/>
        </w:rPr>
      </w:pPr>
      <w:r w:rsidRPr="00140C23">
        <w:rPr>
          <w:rStyle w:val="FootnoteReference"/>
          <w:b w:val="0"/>
          <w:sz w:val="20"/>
          <w:vertAlign w:val="superscript"/>
        </w:rPr>
        <w:footnoteRef/>
      </w:r>
      <w:r w:rsidRPr="00456895">
        <w:rPr>
          <w:sz w:val="20"/>
        </w:rPr>
        <w:t xml:space="preserve"> </w:t>
      </w:r>
      <w:r w:rsidRPr="00140C23">
        <w:rPr>
          <w:b w:val="0"/>
          <w:sz w:val="20"/>
        </w:rPr>
        <w:t>See 45 CFR 147.150 and 156.115 (78 FR 12834, February 25, 2013).</w:t>
      </w:r>
    </w:p>
  </w:footnote>
  <w:footnote w:id="7">
    <w:p w:rsidR="00C15C13" w:rsidRPr="00C50CAE" w:rsidP="00D16FB7" w14:paraId="5DF7F2E4" w14:textId="77777777">
      <w:pPr>
        <w:pStyle w:val="FootnoteText"/>
        <w:rPr>
          <w:b w:val="0"/>
          <w:sz w:val="20"/>
        </w:rPr>
      </w:pPr>
      <w:r w:rsidRPr="00355DC5">
        <w:rPr>
          <w:rStyle w:val="FootnoteReference"/>
          <w:b w:val="0"/>
          <w:bCs w:val="0"/>
          <w:sz w:val="20"/>
          <w:vertAlign w:val="superscript"/>
        </w:rPr>
        <w:footnoteRef/>
      </w:r>
      <w:r w:rsidRPr="00355DC5">
        <w:rPr>
          <w:b w:val="0"/>
          <w:bCs w:val="0"/>
          <w:sz w:val="20"/>
          <w:vertAlign w:val="superscript"/>
        </w:rPr>
        <w:t xml:space="preserve"> </w:t>
      </w:r>
      <w:r w:rsidRPr="00C50CAE">
        <w:rPr>
          <w:b w:val="0"/>
          <w:sz w:val="20"/>
        </w:rPr>
        <w:t>Cures Act section 13001(c)(1).</w:t>
      </w:r>
    </w:p>
  </w:footnote>
  <w:footnote w:id="8">
    <w:p w:rsidR="00C15C13" w:rsidRPr="00C50CAE" w:rsidP="00D16FB7" w14:paraId="0C2E05C0" w14:textId="580FE0CA">
      <w:pPr>
        <w:pStyle w:val="FootnoteText"/>
        <w:rPr>
          <w:b w:val="0"/>
          <w:sz w:val="20"/>
        </w:rPr>
      </w:pPr>
      <w:r w:rsidRPr="00C50CAE">
        <w:rPr>
          <w:rStyle w:val="FootnoteReference"/>
          <w:b w:val="0"/>
          <w:sz w:val="20"/>
          <w:vertAlign w:val="superscript"/>
        </w:rPr>
        <w:footnoteRef/>
      </w:r>
      <w:r w:rsidRPr="00C50CAE">
        <w:rPr>
          <w:b w:val="0"/>
          <w:sz w:val="20"/>
          <w:vertAlign w:val="superscript"/>
        </w:rPr>
        <w:t xml:space="preserve"> </w:t>
      </w:r>
      <w:r w:rsidRPr="00C50CAE">
        <w:rPr>
          <w:b w:val="0"/>
          <w:sz w:val="20"/>
        </w:rPr>
        <w:t xml:space="preserve">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w:t>
      </w:r>
      <w:r w:rsidRPr="00C50CAE">
        <w:rPr>
          <w:b w:val="0"/>
          <w:sz w:val="20"/>
          <w:u w:val="single"/>
        </w:rPr>
        <w:t>See</w:t>
      </w:r>
      <w:r w:rsidRPr="00C50CAE">
        <w:rPr>
          <w:b w:val="0"/>
          <w:sz w:val="20"/>
        </w:rPr>
        <w:t xml:space="preserve"> Cures Act section 13001(c)(3). </w:t>
      </w:r>
    </w:p>
  </w:footnote>
  <w:footnote w:id="9">
    <w:p w:rsidR="00C15C13" w:rsidRPr="00C50CAE" w:rsidP="00237EEB" w14:paraId="5C9F56F6" w14:textId="612FD156">
      <w:pPr>
        <w:pStyle w:val="FootnoteText"/>
        <w:rPr>
          <w:b w:val="0"/>
          <w:bCs w:val="0"/>
          <w:sz w:val="20"/>
        </w:rPr>
      </w:pPr>
      <w:r w:rsidRPr="00C50CAE">
        <w:rPr>
          <w:rStyle w:val="FootnoteReference"/>
          <w:b w:val="0"/>
          <w:bCs w:val="0"/>
          <w:sz w:val="20"/>
          <w:vertAlign w:val="superscript"/>
        </w:rPr>
        <w:footnoteRef/>
      </w:r>
      <w:r w:rsidRPr="00C50CAE">
        <w:rPr>
          <w:b w:val="0"/>
          <w:bCs w:val="0"/>
          <w:sz w:val="20"/>
          <w:vertAlign w:val="superscript"/>
        </w:rPr>
        <w:t xml:space="preserve"> </w:t>
      </w:r>
      <w:r w:rsidRPr="00C50CAE">
        <w:rPr>
          <w:b w:val="0"/>
          <w:bCs w:val="0"/>
          <w:sz w:val="20"/>
        </w:rPr>
        <w:t>Pub. L. 116-260 (Dec. 27, 2020).</w:t>
      </w:r>
    </w:p>
  </w:footnote>
  <w:footnote w:id="10">
    <w:p w:rsidR="00C15C13" w:rsidRPr="00C50CAE" w:rsidP="00237EEB" w14:paraId="67D80EC1" w14:textId="77777777">
      <w:pPr>
        <w:pStyle w:val="FootnoteText"/>
        <w:rPr>
          <w:b w:val="0"/>
          <w:bCs w:val="0"/>
          <w:sz w:val="20"/>
        </w:rPr>
      </w:pPr>
      <w:r w:rsidRPr="00C50CAE">
        <w:rPr>
          <w:rStyle w:val="FootnoteReference"/>
          <w:b w:val="0"/>
          <w:bCs w:val="0"/>
          <w:sz w:val="20"/>
          <w:vertAlign w:val="superscript"/>
        </w:rPr>
        <w:footnoteRef/>
      </w:r>
      <w:r w:rsidRPr="00C50CAE">
        <w:rPr>
          <w:b w:val="0"/>
          <w:bCs w:val="0"/>
          <w:sz w:val="20"/>
          <w:vertAlign w:val="superscript"/>
        </w:rPr>
        <w:t xml:space="preserve"> </w:t>
      </w:r>
      <w:r w:rsidRPr="00C50CAE">
        <w:rPr>
          <w:b w:val="0"/>
          <w:bCs w:val="0"/>
          <w:sz w:val="20"/>
        </w:rPr>
        <w:t>Internal Revenue Code (Code) section 9812(a)(8)(A)(</w:t>
      </w:r>
      <w:r w:rsidRPr="00C50CAE">
        <w:rPr>
          <w:b w:val="0"/>
          <w:bCs w:val="0"/>
          <w:sz w:val="20"/>
        </w:rPr>
        <w:t>i</w:t>
      </w:r>
      <w:r w:rsidRPr="00C50CAE">
        <w:rPr>
          <w:b w:val="0"/>
          <w:bCs w:val="0"/>
          <w:sz w:val="20"/>
        </w:rPr>
        <w:t>)-(</w:t>
      </w:r>
      <w:r w:rsidRPr="00C50CAE">
        <w:rPr>
          <w:b w:val="0"/>
          <w:bCs w:val="0"/>
          <w:sz w:val="20"/>
        </w:rPr>
        <w:t>iv), ERISA Section 712(a)(8)(A)(</w:t>
      </w:r>
      <w:r w:rsidRPr="00C50CAE">
        <w:rPr>
          <w:b w:val="0"/>
          <w:bCs w:val="0"/>
          <w:sz w:val="20"/>
        </w:rPr>
        <w:t>i</w:t>
      </w:r>
      <w:r w:rsidRPr="00C50CAE">
        <w:rPr>
          <w:b w:val="0"/>
          <w:bCs w:val="0"/>
          <w:sz w:val="20"/>
        </w:rPr>
        <w:t>)-(iv) and PHS Act section 2726(a)(8)(A)(</w:t>
      </w:r>
      <w:r w:rsidRPr="00C50CAE">
        <w:rPr>
          <w:b w:val="0"/>
          <w:bCs w:val="0"/>
          <w:sz w:val="20"/>
        </w:rPr>
        <w:t>i</w:t>
      </w:r>
      <w:r w:rsidRPr="00C50CAE">
        <w:rPr>
          <w:b w:val="0"/>
          <w:bCs w:val="0"/>
          <w:sz w:val="20"/>
        </w:rPr>
        <w:t>)-(iv).</w:t>
      </w:r>
    </w:p>
  </w:footnote>
  <w:footnote w:id="11">
    <w:p w:rsidR="00BB2059" w:rsidRPr="00AB3547" w:rsidP="00BB2059" w14:paraId="72606AE5" w14:textId="77777777">
      <w:pPr>
        <w:pStyle w:val="FootnoteText"/>
        <w:rPr>
          <w:b w:val="0"/>
          <w:bCs w:val="0"/>
          <w:sz w:val="20"/>
        </w:rPr>
      </w:pPr>
      <w:r w:rsidRPr="00AB3547">
        <w:rPr>
          <w:rStyle w:val="FootnoteReference"/>
          <w:b w:val="0"/>
          <w:bCs w:val="0"/>
          <w:sz w:val="20"/>
          <w:vertAlign w:val="superscript"/>
        </w:rPr>
        <w:footnoteRef/>
      </w:r>
      <w:r w:rsidRPr="00AB3547">
        <w:rPr>
          <w:b w:val="0"/>
          <w:bCs w:val="0"/>
          <w:sz w:val="20"/>
          <w:vertAlign w:val="superscript"/>
        </w:rPr>
        <w:t xml:space="preserve"> </w:t>
      </w:r>
      <w:r w:rsidRPr="00AB3547">
        <w:rPr>
          <w:b w:val="0"/>
          <w:bCs w:val="0"/>
          <w:i/>
          <w:iCs/>
          <w:sz w:val="20"/>
        </w:rPr>
        <w:t>See</w:t>
      </w:r>
      <w:r w:rsidRPr="00AB3547">
        <w:rPr>
          <w:b w:val="0"/>
          <w:bCs w:val="0"/>
          <w:sz w:val="20"/>
        </w:rPr>
        <w:t xml:space="preserve"> comment from ABHW (Oct. 17, 2023), last accessed at </w:t>
      </w:r>
      <w:hyperlink r:id="rId1" w:history="1">
        <w:r w:rsidRPr="00AB3547">
          <w:rPr>
            <w:rStyle w:val="Hyperlink"/>
            <w:b w:val="0"/>
            <w:bCs w:val="0"/>
            <w:sz w:val="20"/>
          </w:rPr>
          <w:t>https://www.regulations.gov/comment/EBSA-2023-0010-0236</w:t>
        </w:r>
      </w:hyperlink>
      <w:r w:rsidRPr="00AB3547">
        <w:rPr>
          <w:b w:val="0"/>
          <w:bCs w:val="0"/>
          <w:sz w:val="20"/>
        </w:rPr>
        <w:t>.</w:t>
      </w:r>
    </w:p>
  </w:footnote>
  <w:footnote w:id="12">
    <w:p w:rsidR="00BB2059" w:rsidP="00BB2059" w14:paraId="77F1BA71" w14:textId="77777777">
      <w:pPr>
        <w:pStyle w:val="FootnoteText"/>
      </w:pPr>
      <w:r w:rsidRPr="00AB3547">
        <w:rPr>
          <w:rStyle w:val="FootnoteReference"/>
          <w:b w:val="0"/>
          <w:bCs w:val="0"/>
          <w:sz w:val="20"/>
          <w:vertAlign w:val="superscript"/>
        </w:rPr>
        <w:footnoteRef/>
      </w:r>
      <w:r w:rsidRPr="00AB3547">
        <w:rPr>
          <w:b w:val="0"/>
          <w:bCs w:val="0"/>
          <w:sz w:val="20"/>
        </w:rPr>
        <w:t xml:space="preserve"> </w:t>
      </w:r>
      <w:r w:rsidRPr="00AB3547">
        <w:rPr>
          <w:b w:val="0"/>
          <w:bCs w:val="0"/>
          <w:i/>
          <w:sz w:val="20"/>
        </w:rPr>
        <w:t>See</w:t>
      </w:r>
      <w:r w:rsidRPr="00AB3547">
        <w:rPr>
          <w:b w:val="0"/>
          <w:bCs w:val="0"/>
          <w:sz w:val="20"/>
        </w:rPr>
        <w:t xml:space="preserve"> comment from BCBSA (Oct. 17, 2023), last accessed at </w:t>
      </w:r>
      <w:hyperlink r:id="rId2" w:history="1">
        <w:r w:rsidRPr="00AB3547">
          <w:rPr>
            <w:rStyle w:val="Hyperlink"/>
            <w:b w:val="0"/>
            <w:bCs w:val="0"/>
            <w:sz w:val="20"/>
          </w:rPr>
          <w:t>https://www.regulations.gov/comment/EBSA-2023-0010-0237</w:t>
        </w:r>
      </w:hyperlink>
      <w:r w:rsidRPr="00AB3547">
        <w:rPr>
          <w:b w:val="0"/>
          <w:bCs w:val="0"/>
          <w:sz w:val="20"/>
        </w:rPr>
        <w:t>.</w:t>
      </w:r>
    </w:p>
  </w:footnote>
  <w:footnote w:id="13">
    <w:p w:rsidR="00BB2059" w:rsidRPr="00C407AA" w:rsidP="00BB2059" w14:paraId="0F8A6695" w14:textId="6E99CC61">
      <w:pPr>
        <w:pStyle w:val="FootnoteText"/>
        <w:rPr>
          <w:b w:val="0"/>
          <w:bCs w:val="0"/>
          <w:sz w:val="20"/>
        </w:rPr>
      </w:pPr>
      <w:r w:rsidRPr="00AB3547">
        <w:rPr>
          <w:rStyle w:val="FootnoteReference"/>
          <w:b w:val="0"/>
          <w:bCs w:val="0"/>
          <w:sz w:val="20"/>
          <w:vertAlign w:val="superscript"/>
        </w:rPr>
        <w:footnoteRef/>
      </w:r>
      <w:r w:rsidRPr="00AB3547">
        <w:rPr>
          <w:b w:val="0"/>
          <w:bCs w:val="0"/>
          <w:sz w:val="20"/>
          <w:vertAlign w:val="superscript"/>
        </w:rPr>
        <w:t xml:space="preserve"> </w:t>
      </w:r>
      <w:r w:rsidRPr="00AB3547">
        <w:rPr>
          <w:b w:val="0"/>
          <w:bCs w:val="0"/>
          <w:sz w:val="20"/>
        </w:rPr>
        <w:t xml:space="preserve">The wage rate of an attorney, actuary, and data analyst is, respectively, $165.71, $177.11, and $159.61. (Internal DOL calculation based on 2024 labor cost data. For a description of DOL’s methodology for calculating wage rates, see EBSA, </w:t>
      </w:r>
      <w:r w:rsidRPr="00AB3547">
        <w:rPr>
          <w:b w:val="0"/>
          <w:bCs w:val="0"/>
          <w:i/>
          <w:iCs/>
          <w:sz w:val="20"/>
        </w:rPr>
        <w:t>Labor Cost Inputs Used in the Employee Benefits Security Administration, Office of Policy and Research’s Regulatory Impact Analyses and Paperwork Reduction Act Burden Calculations</w:t>
      </w:r>
      <w:r w:rsidRPr="00AB3547">
        <w:rPr>
          <w:b w:val="0"/>
          <w:bCs w:val="0"/>
          <w:sz w:val="20"/>
        </w:rPr>
        <w:t xml:space="preserve"> (June 2019), </w:t>
      </w:r>
      <w:hyperlink r:id="rId3" w:history="1">
        <w:r w:rsidRPr="00AB3547">
          <w:rPr>
            <w:rStyle w:val="Hyperlink"/>
            <w:b w:val="0"/>
            <w:bCs w:val="0"/>
            <w:sz w:val="20"/>
          </w:rPr>
          <w:t>https://www.dol.gov/sites/dolgov/files/EBSA/laws-and-regulations/rules-and-regulations/technical-appendices/labor-cost-inputs-used-in-ebsa-opr-ria-and-pra-burden-calculations-june-2019.pdf</w:t>
        </w:r>
      </w:hyperlink>
      <w:r w:rsidRPr="00AB3547">
        <w:rPr>
          <w:b w:val="0"/>
          <w:bCs w:val="0"/>
          <w:sz w:val="20"/>
        </w:rPr>
        <w:t xml:space="preserve">.) The composite wage </w:t>
      </w:r>
      <w:r w:rsidRPr="00C407AA">
        <w:rPr>
          <w:b w:val="0"/>
          <w:bCs w:val="0"/>
          <w:sz w:val="20"/>
        </w:rPr>
        <w:t>rate is estimated in the following manner: [$165.71 × (1</w:t>
      </w:r>
      <w:r w:rsidRPr="00C407AA" w:rsidR="00C407AA">
        <w:rPr>
          <w:b w:val="0"/>
          <w:bCs w:val="0"/>
          <w:sz w:val="20"/>
        </w:rPr>
        <w:t xml:space="preserve"> </w:t>
      </w:r>
      <w:r w:rsidRPr="00C407AA" w:rsidR="00CD68C1">
        <w:rPr>
          <w:rFonts w:ascii="Symbol" w:hAnsi="Symbol"/>
          <w:b w:val="0"/>
          <w:bCs w:val="0"/>
          <w:sz w:val="20"/>
        </w:rPr>
        <w:sym w:font="Symbol" w:char="F0B8"/>
      </w:r>
      <w:r w:rsidRPr="00C407AA" w:rsidR="00C407AA">
        <w:rPr>
          <w:b w:val="0"/>
          <w:bCs w:val="0"/>
          <w:sz w:val="20"/>
        </w:rPr>
        <w:t xml:space="preserve"> </w:t>
      </w:r>
      <w:r w:rsidRPr="00C407AA">
        <w:rPr>
          <w:b w:val="0"/>
          <w:bCs w:val="0"/>
          <w:sz w:val="20"/>
        </w:rPr>
        <w:t>3) + $159.61 × (1</w:t>
      </w:r>
      <w:r w:rsidRPr="00C407AA" w:rsidR="00C407AA">
        <w:rPr>
          <w:b w:val="0"/>
          <w:bCs w:val="0"/>
          <w:sz w:val="20"/>
        </w:rPr>
        <w:t xml:space="preserve"> </w:t>
      </w:r>
      <w:r w:rsidRPr="00C407AA" w:rsidR="00CD68C1">
        <w:rPr>
          <w:rFonts w:ascii="Symbol" w:hAnsi="Symbol"/>
          <w:b w:val="0"/>
          <w:bCs w:val="0"/>
          <w:sz w:val="20"/>
        </w:rPr>
        <w:sym w:font="Symbol" w:char="F0B8"/>
      </w:r>
      <w:r w:rsidRPr="00C407AA" w:rsidR="00C407AA">
        <w:rPr>
          <w:b w:val="0"/>
          <w:bCs w:val="0"/>
          <w:sz w:val="20"/>
        </w:rPr>
        <w:t xml:space="preserve"> </w:t>
      </w:r>
      <w:r w:rsidRPr="00C407AA">
        <w:rPr>
          <w:b w:val="0"/>
          <w:bCs w:val="0"/>
          <w:sz w:val="20"/>
        </w:rPr>
        <w:t>3) × $177.61 × (1</w:t>
      </w:r>
      <w:r w:rsidRPr="00C407AA" w:rsidR="00C407AA">
        <w:rPr>
          <w:b w:val="0"/>
          <w:bCs w:val="0"/>
          <w:sz w:val="20"/>
        </w:rPr>
        <w:t xml:space="preserve"> </w:t>
      </w:r>
      <w:r w:rsidRPr="00C407AA" w:rsidR="00CD68C1">
        <w:rPr>
          <w:rFonts w:ascii="Symbol" w:hAnsi="Symbol"/>
          <w:b w:val="0"/>
          <w:bCs w:val="0"/>
          <w:sz w:val="20"/>
        </w:rPr>
        <w:sym w:font="Symbol" w:char="F0B8"/>
      </w:r>
      <w:r w:rsidRPr="00C407AA" w:rsidR="00C407AA">
        <w:rPr>
          <w:b w:val="0"/>
          <w:bCs w:val="0"/>
          <w:sz w:val="20"/>
        </w:rPr>
        <w:t xml:space="preserve"> </w:t>
      </w:r>
      <w:r w:rsidRPr="00C407AA">
        <w:rPr>
          <w:b w:val="0"/>
          <w:bCs w:val="0"/>
          <w:sz w:val="20"/>
        </w:rPr>
        <w:t>3) = $167.48].</w:t>
      </w:r>
    </w:p>
  </w:footnote>
  <w:footnote w:id="14">
    <w:p w:rsidR="00B11E7A" w:rsidRPr="00B11E7A" w:rsidP="00B11E7A" w14:paraId="74F9975E" w14:textId="549F87A4">
      <w:pPr>
        <w:pStyle w:val="FootnoteText"/>
        <w:rPr>
          <w:b w:val="0"/>
          <w:bCs w:val="0"/>
          <w:sz w:val="20"/>
        </w:rPr>
      </w:pPr>
      <w:r w:rsidRPr="00B11E7A">
        <w:rPr>
          <w:rStyle w:val="FootnoteReference"/>
          <w:b w:val="0"/>
          <w:bCs w:val="0"/>
          <w:sz w:val="20"/>
          <w:vertAlign w:val="superscript"/>
        </w:rPr>
        <w:footnoteRef/>
      </w:r>
      <w:r w:rsidRPr="00B11E7A">
        <w:rPr>
          <w:b w:val="0"/>
          <w:bCs w:val="0"/>
          <w:sz w:val="20"/>
          <w:vertAlign w:val="superscript"/>
        </w:rPr>
        <w:t xml:space="preserve"> </w:t>
      </w:r>
      <w:r w:rsidRPr="00B11E7A">
        <w:rPr>
          <w:b w:val="0"/>
          <w:bCs w:val="0"/>
          <w:sz w:val="20"/>
        </w:rPr>
        <w:t xml:space="preserve">Dominic Hodgkin, Constance M. Horgan, Maureen T. Stewart, Amity E. Quinn, Timothy B. Creedon, Sharon Reif, &amp; Deborah W. Garnick, </w:t>
      </w:r>
      <w:r w:rsidRPr="00B11E7A">
        <w:rPr>
          <w:b w:val="0"/>
          <w:bCs w:val="0"/>
          <w:i/>
          <w:iCs/>
          <w:sz w:val="20"/>
        </w:rPr>
        <w:t xml:space="preserve">Federal Parity and Access to Behavioral Health Care in Private Health Plans, </w:t>
      </w:r>
      <w:r w:rsidRPr="00B11E7A">
        <w:rPr>
          <w:b w:val="0"/>
          <w:bCs w:val="0"/>
          <w:sz w:val="20"/>
        </w:rPr>
        <w:t xml:space="preserve">69(4) Psychiatric Services pp. 396-402 (2018), </w:t>
      </w:r>
      <w:hyperlink r:id="rId4" w:history="1">
        <w:r w:rsidRPr="00B11E7A">
          <w:rPr>
            <w:rStyle w:val="Hyperlink"/>
            <w:b w:val="0"/>
            <w:bCs w:val="0"/>
            <w:sz w:val="20"/>
          </w:rPr>
          <w:t>https://ps.psychiatryonline.org/doi/pdf/10.1176/appi.ps.201700203</w:t>
        </w:r>
      </w:hyperlink>
      <w:r w:rsidRPr="00B11E7A">
        <w:rPr>
          <w:b w:val="0"/>
          <w:bCs w:val="0"/>
          <w:sz w:val="20"/>
        </w:rPr>
        <w:t xml:space="preserve">; Department of Labor, </w:t>
      </w:r>
      <w:r w:rsidRPr="00B11E7A">
        <w:rPr>
          <w:b w:val="0"/>
          <w:bCs w:val="0"/>
          <w:i/>
          <w:iCs/>
          <w:sz w:val="20"/>
        </w:rPr>
        <w:t>Selected Medical Benefits: A Report from the Department of Labor to the Department of Health and Human Services,</w:t>
      </w:r>
      <w:r w:rsidRPr="00B11E7A">
        <w:rPr>
          <w:b w:val="0"/>
          <w:bCs w:val="0"/>
          <w:sz w:val="20"/>
        </w:rPr>
        <w:t xml:space="preserve"> (April 15, 2011), </w:t>
      </w:r>
      <w:hyperlink r:id="rId5" w:history="1">
        <w:r w:rsidRPr="00B11E7A">
          <w:rPr>
            <w:rStyle w:val="Hyperlink"/>
            <w:b w:val="0"/>
            <w:bCs w:val="0"/>
            <w:sz w:val="20"/>
          </w:rPr>
          <w:t>https://www.bls.gov/ebs/additional-resources/selected-medical-benefits-a-report-from-dol-to-hhs.pdf</w:t>
        </w:r>
      </w:hyperlink>
      <w:r w:rsidRPr="00B11E7A">
        <w:rPr>
          <w:b w:val="0"/>
          <w:bCs w:val="0"/>
          <w:sz w:val="20"/>
        </w:rPr>
        <w:t xml:space="preserve">; </w:t>
      </w:r>
      <w:r w:rsidR="005348B9">
        <w:rPr>
          <w:b w:val="0"/>
          <w:bCs w:val="0"/>
          <w:sz w:val="20"/>
        </w:rPr>
        <w:t xml:space="preserve">&amp; </w:t>
      </w:r>
      <w:r w:rsidRPr="00B11E7A">
        <w:rPr>
          <w:b w:val="0"/>
          <w:bCs w:val="0"/>
          <w:sz w:val="20"/>
        </w:rPr>
        <w:t xml:space="preserve">Constance Horgan, Dominic Hodgkin, Maureen T. Stewart, Amity Quinn, Elizabeth L. Merrick, Sharon Reif, Deborah W. Garnick, &amp; Timothy B. Creedon, </w:t>
      </w:r>
      <w:r w:rsidRPr="00B11E7A">
        <w:rPr>
          <w:b w:val="0"/>
          <w:bCs w:val="0"/>
          <w:i/>
          <w:iCs/>
          <w:sz w:val="20"/>
        </w:rPr>
        <w:t xml:space="preserve">Health Plans’ Early Response to Federal Parity Legislation for Mental Health and Addiction Services, </w:t>
      </w:r>
      <w:r w:rsidRPr="00B11E7A">
        <w:rPr>
          <w:b w:val="0"/>
          <w:bCs w:val="0"/>
          <w:sz w:val="20"/>
        </w:rPr>
        <w:t xml:space="preserve">Psychiatric Services 67(2), (February 1, 2016), </w:t>
      </w:r>
      <w:hyperlink r:id="rId6" w:history="1">
        <w:r w:rsidRPr="00B11E7A">
          <w:rPr>
            <w:rStyle w:val="Hyperlink"/>
            <w:b w:val="0"/>
            <w:bCs w:val="0"/>
            <w:sz w:val="20"/>
          </w:rPr>
          <w:t>https://www.ncbi.nlm.nih.gov/pmc/articles/PMC4738051/pdf/nihms737198.pdf</w:t>
        </w:r>
      </w:hyperlink>
      <w:r w:rsidRPr="00B11E7A">
        <w:rPr>
          <w:b w:val="0"/>
          <w:bCs w:val="0"/>
          <w:sz w:val="20"/>
        </w:rPr>
        <w:t xml:space="preserve">. </w:t>
      </w:r>
    </w:p>
  </w:footnote>
  <w:footnote w:id="15">
    <w:p w:rsidR="00DA28D6" w:rsidRPr="00545F04" w:rsidP="00DA28D6" w14:paraId="20A8A0D7" w14:textId="77777777">
      <w:pPr>
        <w:pStyle w:val="FootnoteText"/>
        <w:rPr>
          <w:b w:val="0"/>
          <w:bCs w:val="0"/>
          <w:sz w:val="20"/>
        </w:rPr>
      </w:pPr>
      <w:r w:rsidRPr="00545F04">
        <w:rPr>
          <w:rStyle w:val="FootnoteReference"/>
          <w:b w:val="0"/>
          <w:bCs w:val="0"/>
          <w:sz w:val="20"/>
          <w:vertAlign w:val="superscript"/>
        </w:rPr>
        <w:footnoteRef/>
      </w:r>
      <w:r w:rsidRPr="00545F04">
        <w:rPr>
          <w:b w:val="0"/>
          <w:bCs w:val="0"/>
          <w:sz w:val="20"/>
          <w:vertAlign w:val="superscript"/>
        </w:rPr>
        <w:t xml:space="preserve"> </w:t>
      </w:r>
      <w:r w:rsidRPr="00545F04">
        <w:rPr>
          <w:b w:val="0"/>
          <w:bCs w:val="0"/>
          <w:sz w:val="20"/>
        </w:rPr>
        <w:t>Internal DOL calculation based on 202</w:t>
      </w:r>
      <w:r>
        <w:rPr>
          <w:b w:val="0"/>
          <w:bCs w:val="0"/>
          <w:sz w:val="20"/>
        </w:rPr>
        <w:t>4</w:t>
      </w:r>
      <w:r w:rsidRPr="00545F04">
        <w:rPr>
          <w:b w:val="0"/>
          <w:bCs w:val="0"/>
          <w:sz w:val="20"/>
        </w:rPr>
        <w:t xml:space="preserve"> labor cost data. For a description of DOL’s methodology for calculating wage rates, see </w:t>
      </w:r>
      <w:hyperlink r:id="rId3" w:history="1">
        <w:r w:rsidRPr="000B38BB">
          <w:rPr>
            <w:rStyle w:val="Hyperlink"/>
            <w:b w:val="0"/>
            <w:bCs w:val="0"/>
            <w:sz w:val="20"/>
          </w:rPr>
          <w:t>https://www.dol.gov/sites/dolgov/files/EBSA/laws-and-regulations/rules-and-regulations/technical-appendices/labor-cost-inputs-used-in-ebsa-opr-ria-and-pra-burden-calculations-june-2019.pdf</w:t>
        </w:r>
      </w:hyperlink>
      <w:r w:rsidRPr="00545F04">
        <w:rPr>
          <w:b w:val="0"/>
          <w:bCs w:val="0"/>
          <w:sz w:val="20"/>
        </w:rPr>
        <w:t>.</w:t>
      </w:r>
    </w:p>
  </w:footnote>
  <w:footnote w:id="16">
    <w:p w:rsidR="00F00427" w:rsidRPr="00F00427" w14:paraId="03DF9EF6" w14:textId="593C17F0">
      <w:pPr>
        <w:pStyle w:val="FootnoteText"/>
      </w:pPr>
      <w:r w:rsidRPr="00DE3B64">
        <w:rPr>
          <w:rStyle w:val="FootnoteReference"/>
          <w:b w:val="0"/>
          <w:bCs w:val="0"/>
          <w:sz w:val="20"/>
          <w:szCs w:val="24"/>
          <w:vertAlign w:val="superscript"/>
        </w:rPr>
        <w:footnoteRef/>
      </w:r>
      <w:r w:rsidRPr="009F3B9A">
        <w:rPr>
          <w:sz w:val="20"/>
          <w:szCs w:val="24"/>
          <w:vertAlign w:val="superscript"/>
        </w:rPr>
        <w:t xml:space="preserve"> </w:t>
      </w:r>
      <w:r w:rsidRPr="009F3B9A" w:rsidR="008328E6">
        <w:rPr>
          <w:b w:val="0"/>
          <w:sz w:val="20"/>
          <w:szCs w:val="24"/>
        </w:rPr>
        <w:t>78 FR 68240</w:t>
      </w:r>
      <w:r w:rsidR="00EB6763">
        <w:rPr>
          <w:b w:val="0"/>
          <w:bCs w:val="0"/>
          <w:sz w:val="20"/>
          <w:szCs w:val="24"/>
        </w:rPr>
        <w:t xml:space="preserve"> (</w:t>
      </w:r>
      <w:r w:rsidRPr="009F3B9A" w:rsidR="00EB6763">
        <w:rPr>
          <w:b w:val="0"/>
          <w:sz w:val="20"/>
          <w:szCs w:val="24"/>
        </w:rPr>
        <w:t>11/13/2013</w:t>
      </w:r>
      <w:r w:rsidR="00EB6763">
        <w:rPr>
          <w:b w:val="0"/>
          <w:bCs w:val="0"/>
          <w:sz w:val="20"/>
          <w:szCs w:val="24"/>
        </w:rPr>
        <w:t>)</w:t>
      </w:r>
    </w:p>
  </w:footnote>
  <w:footnote w:id="17">
    <w:p w:rsidR="006953DF" w:rsidRPr="004D2C8C" w14:paraId="35AA8862" w14:textId="11F924B0">
      <w:pPr>
        <w:pStyle w:val="FootnoteText"/>
        <w:rPr>
          <w:b w:val="0"/>
          <w:bCs w:val="0"/>
          <w:sz w:val="20"/>
        </w:rPr>
      </w:pPr>
      <w:r w:rsidRPr="004D2C8C">
        <w:rPr>
          <w:rStyle w:val="FootnoteReference"/>
          <w:b w:val="0"/>
          <w:bCs w:val="0"/>
          <w:sz w:val="20"/>
          <w:vertAlign w:val="superscript"/>
        </w:rPr>
        <w:footnoteRef/>
      </w:r>
      <w:r w:rsidRPr="004D2C8C">
        <w:rPr>
          <w:b w:val="0"/>
          <w:bCs w:val="0"/>
          <w:sz w:val="20"/>
          <w:vertAlign w:val="superscript"/>
        </w:rPr>
        <w:t xml:space="preserve"> </w:t>
      </w:r>
      <w:r w:rsidRPr="004D2C8C">
        <w:rPr>
          <w:b w:val="0"/>
          <w:bCs w:val="0"/>
          <w:sz w:val="20"/>
        </w:rPr>
        <w:t>Estimates are based on data from the 202</w:t>
      </w:r>
      <w:r w:rsidR="00A17399">
        <w:rPr>
          <w:b w:val="0"/>
          <w:bCs w:val="0"/>
          <w:sz w:val="20"/>
        </w:rPr>
        <w:t>2</w:t>
      </w:r>
      <w:r w:rsidRPr="004D2C8C">
        <w:rPr>
          <w:b w:val="0"/>
          <w:bCs w:val="0"/>
          <w:sz w:val="20"/>
        </w:rPr>
        <w:t xml:space="preserve"> Medical Expenditure Survey Insurance Component</w:t>
      </w:r>
      <w:r w:rsidR="00355DC5">
        <w:rPr>
          <w:b w:val="0"/>
          <w:bCs w:val="0"/>
          <w:sz w:val="20"/>
        </w:rPr>
        <w:t>.</w:t>
      </w:r>
    </w:p>
  </w:footnote>
  <w:footnote w:id="18">
    <w:p w:rsidR="005878F5" w:rsidRPr="004D2C8C" w14:paraId="03B0D31E" w14:textId="573AE2F3">
      <w:pPr>
        <w:pStyle w:val="FootnoteText"/>
        <w:rPr>
          <w:b w:val="0"/>
          <w:bCs w:val="0"/>
        </w:rPr>
      </w:pPr>
      <w:r w:rsidRPr="000E5FF9">
        <w:rPr>
          <w:rStyle w:val="FootnoteReference"/>
          <w:b w:val="0"/>
          <w:bCs w:val="0"/>
          <w:sz w:val="20"/>
          <w:vertAlign w:val="superscript"/>
        </w:rPr>
        <w:footnoteRef/>
      </w:r>
      <w:r w:rsidRPr="005878F5">
        <w:rPr>
          <w:b w:val="0"/>
          <w:bCs w:val="0"/>
          <w:vertAlign w:val="superscript"/>
        </w:rPr>
        <w:t xml:space="preserve"> </w:t>
      </w:r>
      <w:bookmarkStart w:id="1" w:name="_Hlk135816116"/>
      <w:r w:rsidRPr="00DE19E2" w:rsidR="00DE19E2">
        <w:rPr>
          <w:b w:val="0"/>
          <w:bCs w:val="0"/>
          <w:sz w:val="20"/>
        </w:rPr>
        <w:t>The Departments estimate that there are 2,465,483 ERISA-covered group health plans with less than 50 participants based on data from the 2022 Medical Expenditure Panel Survey – Insurance Component and the 2020 County Business Patterns from the Census Bureau. The Departments also estimate that 83 percent of group health plans with less than 50 participants are fully insured based on data from the 2022 Medical Expenditure Panel Survey Insurance Component (MEPS-IC) and the 2020 County Business Patterns from the Census Bureau. The 2020 Kaiser Employer Health Benefits Survey reported that in 2020, 16 percent of firms offering health benefits offered at least one grandfathered health plan (Kaiser Employer Health Benefits Survey (</w:t>
      </w:r>
      <w:r w:rsidRPr="00DE19E2" w:rsidR="00DE19E2">
        <w:rPr>
          <w:b w:val="0"/>
          <w:bCs w:val="0"/>
          <w:i/>
          <w:iCs/>
          <w:sz w:val="20"/>
        </w:rPr>
        <w:t>Source</w:t>
      </w:r>
      <w:r w:rsidRPr="00DE19E2" w:rsidR="00DE19E2">
        <w:rPr>
          <w:b w:val="0"/>
          <w:bCs w:val="0"/>
          <w:sz w:val="20"/>
        </w:rPr>
        <w:t xml:space="preserve">: KFF, </w:t>
      </w:r>
      <w:r w:rsidRPr="00DE19E2" w:rsidR="00DE19E2">
        <w:rPr>
          <w:b w:val="0"/>
          <w:bCs w:val="0"/>
          <w:i/>
          <w:iCs/>
          <w:sz w:val="20"/>
        </w:rPr>
        <w:t>2020 Kaiser Employer Health Benefits Survey</w:t>
      </w:r>
      <w:r w:rsidRPr="00DE19E2" w:rsidR="00DE19E2">
        <w:rPr>
          <w:b w:val="0"/>
          <w:bCs w:val="0"/>
          <w:sz w:val="20"/>
        </w:rPr>
        <w:t xml:space="preserve">, </w:t>
      </w:r>
      <w:hyperlink r:id="rId7" w:history="1">
        <w:r w:rsidRPr="00DE19E2" w:rsidR="00DE19E2">
          <w:rPr>
            <w:rStyle w:val="Hyperlink"/>
            <w:b w:val="0"/>
            <w:bCs w:val="0"/>
            <w:sz w:val="20"/>
          </w:rPr>
          <w:t>https://files.kff.org/attachment/Report-Employer-Health-Benefits-2020-Annual-Survey.pdf</w:t>
        </w:r>
      </w:hyperlink>
      <w:r w:rsidRPr="00DE19E2" w:rsidR="00DE19E2">
        <w:rPr>
          <w:b w:val="0"/>
          <w:bCs w:val="0"/>
          <w:sz w:val="20"/>
        </w:rPr>
        <w:t>)). Thus, the Departments have calculated the number of fully insured, non-grandfathered plans with less than 50 participants in the following manner: 2,465,483 small ERISA-covered group health plans x 83% x (100% minus 16%) = 1,718,935</w:t>
      </w:r>
      <w:bookmarkEnd w:id="1"/>
    </w:p>
  </w:footnote>
  <w:footnote w:id="19">
    <w:p w:rsidR="00C15C13" w:rsidRPr="00161CCF" w14:paraId="66BAF7D3" w14:textId="381E43DD">
      <w:pPr>
        <w:pStyle w:val="FootnoteText"/>
        <w:rPr>
          <w:b w:val="0"/>
          <w:sz w:val="20"/>
        </w:rPr>
      </w:pPr>
      <w:r w:rsidRPr="00A77EA2">
        <w:rPr>
          <w:rStyle w:val="FootnoteReference"/>
          <w:b w:val="0"/>
          <w:sz w:val="20"/>
          <w:vertAlign w:val="superscript"/>
        </w:rPr>
        <w:footnoteRef/>
      </w:r>
      <w:r w:rsidRPr="00A77EA2">
        <w:rPr>
          <w:b w:val="0"/>
          <w:sz w:val="20"/>
          <w:vertAlign w:val="superscript"/>
        </w:rPr>
        <w:t xml:space="preserve"> </w:t>
      </w:r>
      <w:r w:rsidRPr="00F538AF" w:rsidR="00D75238">
        <w:rPr>
          <w:b w:val="0"/>
          <w:sz w:val="20"/>
        </w:rPr>
        <w:t>410,581</w:t>
      </w:r>
      <w:r w:rsidR="00D75238">
        <w:rPr>
          <w:b w:val="0"/>
          <w:sz w:val="20"/>
          <w:vertAlign w:val="superscript"/>
        </w:rPr>
        <w:t xml:space="preserve"> </w:t>
      </w:r>
      <w:r w:rsidRPr="006953DF" w:rsidR="006953DF">
        <w:rPr>
          <w:b w:val="0"/>
          <w:sz w:val="20"/>
        </w:rPr>
        <w:t>large ERISA-covered health plans with 50 or more participants</w:t>
      </w:r>
      <w:r w:rsidR="006953DF">
        <w:rPr>
          <w:b w:val="0"/>
          <w:sz w:val="20"/>
        </w:rPr>
        <w:t xml:space="preserve"> +</w:t>
      </w:r>
      <w:r w:rsidRPr="006953DF" w:rsidR="006953DF">
        <w:rPr>
          <w:b w:val="0"/>
          <w:sz w:val="20"/>
        </w:rPr>
        <w:t xml:space="preserve"> </w:t>
      </w:r>
      <w:r w:rsidRPr="00D75238" w:rsidR="00D75238">
        <w:rPr>
          <w:b w:val="0"/>
          <w:sz w:val="20"/>
        </w:rPr>
        <w:t>1,718,935</w:t>
      </w:r>
      <w:r w:rsidR="00D75238">
        <w:rPr>
          <w:b w:val="0"/>
          <w:sz w:val="20"/>
        </w:rPr>
        <w:t xml:space="preserve"> </w:t>
      </w:r>
      <w:r w:rsidRPr="006953DF" w:rsidR="006953DF">
        <w:rPr>
          <w:b w:val="0"/>
          <w:sz w:val="20"/>
        </w:rPr>
        <w:t>ERISA-covered health plans with less than 50 participants</w:t>
      </w:r>
      <w:r w:rsidR="006953DF">
        <w:rPr>
          <w:b w:val="0"/>
          <w:sz w:val="20"/>
        </w:rPr>
        <w:t xml:space="preserve"> = </w:t>
      </w:r>
      <w:bookmarkStart w:id="2" w:name="OLE_LINK5"/>
      <w:r w:rsidRPr="00175A69" w:rsidR="00175A69">
        <w:rPr>
          <w:b w:val="0"/>
          <w:sz w:val="20"/>
        </w:rPr>
        <w:t>2,129,516</w:t>
      </w:r>
      <w:r w:rsidR="00175A69">
        <w:rPr>
          <w:b w:val="0"/>
          <w:sz w:val="20"/>
        </w:rPr>
        <w:t xml:space="preserve"> </w:t>
      </w:r>
      <w:bookmarkEnd w:id="2"/>
      <w:r w:rsidR="006953DF">
        <w:rPr>
          <w:b w:val="0"/>
          <w:sz w:val="20"/>
        </w:rPr>
        <w:t>requests</w:t>
      </w:r>
      <w:r w:rsidR="009F3B9A">
        <w:rPr>
          <w:b w:val="0"/>
          <w:sz w:val="20"/>
        </w:rPr>
        <w:t>.</w:t>
      </w:r>
    </w:p>
  </w:footnote>
  <w:footnote w:id="20">
    <w:p w:rsidR="00376F32" w:rsidRPr="00676B18" w14:paraId="5412266F" w14:textId="1F1492E1">
      <w:pPr>
        <w:pStyle w:val="FootnoteText"/>
        <w:rPr>
          <w:b w:val="0"/>
          <w:bCs w:val="0"/>
          <w:sz w:val="20"/>
        </w:rPr>
      </w:pPr>
      <w:r w:rsidRPr="00376F32">
        <w:rPr>
          <w:rStyle w:val="FootnoteReference"/>
          <w:b w:val="0"/>
          <w:bCs w:val="0"/>
          <w:sz w:val="20"/>
          <w:vertAlign w:val="superscript"/>
        </w:rPr>
        <w:footnoteRef/>
      </w:r>
      <w:r w:rsidRPr="00376F32">
        <w:rPr>
          <w:b w:val="0"/>
          <w:bCs w:val="0"/>
          <w:sz w:val="20"/>
          <w:vertAlign w:val="superscript"/>
        </w:rPr>
        <w:t xml:space="preserve"> </w:t>
      </w:r>
      <w:r w:rsidR="002454BA">
        <w:rPr>
          <w:b w:val="0"/>
          <w:bCs w:val="0"/>
          <w:sz w:val="20"/>
        </w:rPr>
        <w:t xml:space="preserve">The Department estimates that the total number of health claims denied is </w:t>
      </w:r>
      <w:r w:rsidR="00947F68">
        <w:rPr>
          <w:b w:val="0"/>
          <w:bCs w:val="0"/>
          <w:sz w:val="20"/>
        </w:rPr>
        <w:t xml:space="preserve">199,206,000. </w:t>
      </w:r>
      <w:r w:rsidR="008D309E">
        <w:rPr>
          <w:b w:val="0"/>
          <w:bCs w:val="0"/>
          <w:sz w:val="20"/>
        </w:rPr>
        <w:t xml:space="preserve">The Department assumes that the percent of total claims that are MH/SUD </w:t>
      </w:r>
      <w:r w:rsidR="00BE238B">
        <w:rPr>
          <w:b w:val="0"/>
          <w:bCs w:val="0"/>
          <w:sz w:val="20"/>
        </w:rPr>
        <w:t xml:space="preserve">claims is 10 percent. The Department also assumes that the </w:t>
      </w:r>
      <w:r w:rsidRPr="00BE238B" w:rsidR="00BE238B">
        <w:rPr>
          <w:b w:val="0"/>
          <w:bCs w:val="0"/>
          <w:sz w:val="20"/>
        </w:rPr>
        <w:t>percent of denials resulting in a request for explanation</w:t>
      </w:r>
      <w:r w:rsidR="00BE238B">
        <w:rPr>
          <w:b w:val="0"/>
          <w:bCs w:val="0"/>
          <w:sz w:val="20"/>
        </w:rPr>
        <w:t xml:space="preserve"> is 10 percent. </w:t>
      </w:r>
      <w:r w:rsidR="00676B18">
        <w:rPr>
          <w:b w:val="0"/>
          <w:bCs w:val="0"/>
          <w:sz w:val="20"/>
        </w:rPr>
        <w:t xml:space="preserve">Finally, </w:t>
      </w:r>
      <w:r w:rsidRPr="00676B18" w:rsidR="00676B18">
        <w:rPr>
          <w:b w:val="0"/>
          <w:bCs w:val="0"/>
          <w:sz w:val="20"/>
        </w:rPr>
        <w:t>the Department assumes that 25 percent of group health plan participants, beneficiaries, and covered individuals in the individual market will request disclosures from plans and that providers will complete the form as authorized representatives and submit the form electronically, at minimal cost, to the plan.</w:t>
      </w:r>
      <w:r w:rsidR="00676B18">
        <w:rPr>
          <w:b w:val="0"/>
          <w:bCs w:val="0"/>
          <w:sz w:val="20"/>
        </w:rPr>
        <w:t xml:space="preserve"> Thus, the </w:t>
      </w:r>
      <w:r w:rsidRPr="00676B18" w:rsidR="00676B18">
        <w:rPr>
          <w:b w:val="0"/>
          <w:bCs w:val="0"/>
          <w:sz w:val="20"/>
        </w:rPr>
        <w:t xml:space="preserve">number of </w:t>
      </w:r>
      <w:r w:rsidRPr="00676B18" w:rsidR="00676B18">
        <w:rPr>
          <w:b w:val="0"/>
          <w:sz w:val="20"/>
        </w:rPr>
        <w:t>requests will be made using the model form</w:t>
      </w:r>
      <w:r w:rsidR="00676B18">
        <w:rPr>
          <w:b w:val="0"/>
          <w:sz w:val="20"/>
        </w:rPr>
        <w:t xml:space="preserve"> is calculated in the following manner: 199,206,000 health claims x </w:t>
      </w:r>
      <w:r w:rsidR="0020155B">
        <w:rPr>
          <w:b w:val="0"/>
          <w:sz w:val="20"/>
        </w:rPr>
        <w:t xml:space="preserve">10 percent x 10 percent x 25 percent = 498,015. </w:t>
      </w:r>
    </w:p>
  </w:footnote>
  <w:footnote w:id="21">
    <w:p w:rsidR="00181055" w:rsidRPr="004C5DBB" w:rsidP="00181055" w14:paraId="061A77E8" w14:textId="0B7AA12E">
      <w:pPr>
        <w:pStyle w:val="FootnoteText"/>
        <w:rPr>
          <w:b w:val="0"/>
          <w:bCs w:val="0"/>
          <w:sz w:val="20"/>
        </w:rPr>
      </w:pPr>
      <w:r w:rsidRPr="004C5DBB">
        <w:rPr>
          <w:rStyle w:val="FootnoteReference"/>
          <w:rFonts w:eastAsia="Calibri"/>
          <w:b w:val="0"/>
          <w:bCs w:val="0"/>
          <w:sz w:val="20"/>
          <w:vertAlign w:val="superscript"/>
        </w:rPr>
        <w:footnoteRef/>
      </w:r>
      <w:r w:rsidRPr="00EE45A3">
        <w:rPr>
          <w:b w:val="0"/>
          <w:bCs w:val="0"/>
          <w:sz w:val="20"/>
          <w:vertAlign w:val="superscript"/>
        </w:rPr>
        <w:t xml:space="preserve"> </w:t>
      </w:r>
      <w:r w:rsidRPr="00EE45A3">
        <w:rPr>
          <w:b w:val="0"/>
          <w:bCs w:val="0"/>
          <w:i/>
          <w:iCs/>
          <w:sz w:val="20"/>
        </w:rPr>
        <w:t>2022 MHPAEA Report to Congress</w:t>
      </w:r>
      <w:r w:rsidRPr="00EE45A3">
        <w:rPr>
          <w:b w:val="0"/>
          <w:bCs w:val="0"/>
          <w:sz w:val="20"/>
        </w:rPr>
        <w:t xml:space="preserve">, </w:t>
      </w:r>
      <w:r w:rsidRPr="004C5DBB">
        <w:rPr>
          <w:b w:val="0"/>
          <w:bCs w:val="0"/>
          <w:sz w:val="20"/>
        </w:rPr>
        <w:t>https://www.dol.gov/sites/dolgov/files/EBSA/laws-and-regulations/laws/mental-health-parity/report-to-congress-2022-realizing-parity-reducing-stigma-and-raising-awareness.pdf.</w:t>
      </w:r>
    </w:p>
  </w:footnote>
  <w:footnote w:id="22">
    <w:p w:rsidR="00181055" w:rsidP="00181055" w14:paraId="4076AAD1" w14:textId="7A8622BF">
      <w:pPr>
        <w:pStyle w:val="FootnoteText"/>
      </w:pPr>
      <w:r w:rsidRPr="004C5DBB">
        <w:rPr>
          <w:rStyle w:val="FootnoteReference"/>
          <w:b w:val="0"/>
          <w:bCs w:val="0"/>
          <w:sz w:val="20"/>
          <w:vertAlign w:val="superscript"/>
        </w:rPr>
        <w:footnoteRef/>
      </w:r>
      <w:r w:rsidRPr="004C5DBB">
        <w:rPr>
          <w:b w:val="0"/>
          <w:bCs w:val="0"/>
          <w:sz w:val="20"/>
          <w:vertAlign w:val="superscript"/>
        </w:rPr>
        <w:t xml:space="preserve"> </w:t>
      </w:r>
      <w:r w:rsidRPr="004C5DBB">
        <w:rPr>
          <w:b w:val="0"/>
          <w:bCs w:val="0"/>
          <w:i/>
          <w:iCs/>
          <w:sz w:val="20"/>
          <w:vertAlign w:val="superscript"/>
        </w:rPr>
        <w:t>2</w:t>
      </w:r>
      <w:r w:rsidRPr="00EE45A3">
        <w:rPr>
          <w:b w:val="0"/>
          <w:bCs w:val="0"/>
          <w:i/>
          <w:iCs/>
          <w:sz w:val="20"/>
        </w:rPr>
        <w:t>023 MHPAEA Comparative Analysis Report to Congress</w:t>
      </w:r>
      <w:r w:rsidRPr="00EE45A3">
        <w:rPr>
          <w:b w:val="0"/>
          <w:bCs w:val="0"/>
          <w:sz w:val="20"/>
        </w:rPr>
        <w:t>, www.dol.gov/sites/dolgov/files/EBSA/laws-and-regulations/laws/mental-health-parity/report-to-congress-2023-mhpaea-comparative-analysis.pdf.</w:t>
      </w:r>
    </w:p>
  </w:footnote>
  <w:footnote w:id="23">
    <w:p w:rsidR="002754D7" w:rsidRPr="00AB3547" w:rsidP="002754D7" w14:paraId="3E269B06" w14:textId="63A317AA">
      <w:pPr>
        <w:pStyle w:val="FootnoteText"/>
        <w:rPr>
          <w:b w:val="0"/>
          <w:bCs w:val="0"/>
          <w:sz w:val="20"/>
        </w:rPr>
      </w:pPr>
      <w:r w:rsidRPr="00AB3547">
        <w:rPr>
          <w:rStyle w:val="FootnoteReference"/>
          <w:b w:val="0"/>
          <w:bCs w:val="0"/>
          <w:sz w:val="20"/>
          <w:vertAlign w:val="superscript"/>
        </w:rPr>
        <w:footnoteRef/>
      </w:r>
      <w:r w:rsidRPr="00AB3547">
        <w:rPr>
          <w:b w:val="0"/>
          <w:bCs w:val="0"/>
          <w:sz w:val="20"/>
          <w:vertAlign w:val="superscript"/>
        </w:rPr>
        <w:t xml:space="preserve"> </w:t>
      </w:r>
      <w:r w:rsidRPr="00AB3547">
        <w:rPr>
          <w:b w:val="0"/>
          <w:bCs w:val="0"/>
          <w:sz w:val="20"/>
        </w:rPr>
        <w:t xml:space="preserve">The wage rate of an attorney, actuary, and data analyst is, respectively, $165.71, $177.11, and $159.61. (Internal DOL calculation based on 2024 labor cost data. For a description of DOL’s methodology for calculating wage rates, see EBSA, </w:t>
      </w:r>
      <w:r w:rsidRPr="00AB3547">
        <w:rPr>
          <w:b w:val="0"/>
          <w:bCs w:val="0"/>
          <w:i/>
          <w:iCs/>
          <w:sz w:val="20"/>
        </w:rPr>
        <w:t>Labor Cost Inputs Used in the Employee Benefits Security Administration, Office of Policy and Research’s Regulatory Impact Analyses and Paperwork Reduction Act Burden Calculations</w:t>
      </w:r>
      <w:r w:rsidRPr="00AB3547">
        <w:rPr>
          <w:b w:val="0"/>
          <w:bCs w:val="0"/>
          <w:sz w:val="20"/>
        </w:rPr>
        <w:t xml:space="preserve"> (June 2019), </w:t>
      </w:r>
      <w:hyperlink r:id="rId3" w:history="1">
        <w:r w:rsidRPr="00AB3547">
          <w:rPr>
            <w:rStyle w:val="Hyperlink"/>
            <w:b w:val="0"/>
            <w:bCs w:val="0"/>
            <w:sz w:val="20"/>
          </w:rPr>
          <w:t>https://www.dol.gov/sites/dolgov/files/EBSA/laws-and-regulations/rules-and-regulations/technical-appendices/labor-cost-inputs-used-in-ebsa-opr-ria-and-pra-burden-calculations-june-2019.pdf</w:t>
        </w:r>
      </w:hyperlink>
      <w:r w:rsidRPr="00AB3547">
        <w:rPr>
          <w:b w:val="0"/>
          <w:bCs w:val="0"/>
          <w:sz w:val="20"/>
        </w:rPr>
        <w:t xml:space="preserve">.) The composite wage rate is estimated in the </w:t>
      </w:r>
      <w:r w:rsidRPr="009A2619">
        <w:rPr>
          <w:b w:val="0"/>
          <w:bCs w:val="0"/>
          <w:sz w:val="20"/>
        </w:rPr>
        <w:t>following manner: [$165.71 × (1</w:t>
      </w:r>
      <w:r w:rsidRPr="009A2619" w:rsidR="009A2619">
        <w:rPr>
          <w:b w:val="0"/>
          <w:bCs w:val="0"/>
          <w:sz w:val="20"/>
        </w:rPr>
        <w:t xml:space="preserve"> </w:t>
      </w:r>
      <w:r w:rsidRPr="009A2619" w:rsidR="00CD68C1">
        <w:rPr>
          <w:rFonts w:ascii="Symbol" w:hAnsi="Symbol"/>
          <w:b w:val="0"/>
          <w:bCs w:val="0"/>
          <w:sz w:val="20"/>
        </w:rPr>
        <w:sym w:font="Symbol" w:char="F0B8"/>
      </w:r>
      <w:r w:rsidRPr="009A2619" w:rsidR="009A2619">
        <w:rPr>
          <w:b w:val="0"/>
          <w:bCs w:val="0"/>
          <w:sz w:val="20"/>
        </w:rPr>
        <w:t xml:space="preserve"> </w:t>
      </w:r>
      <w:r w:rsidRPr="009A2619">
        <w:rPr>
          <w:b w:val="0"/>
          <w:bCs w:val="0"/>
          <w:sz w:val="20"/>
        </w:rPr>
        <w:t>3) + $159.61 × (1</w:t>
      </w:r>
      <w:r w:rsidRPr="009A2619" w:rsidR="009A2619">
        <w:rPr>
          <w:b w:val="0"/>
          <w:bCs w:val="0"/>
          <w:sz w:val="20"/>
        </w:rPr>
        <w:t xml:space="preserve"> </w:t>
      </w:r>
      <w:r w:rsidRPr="009A2619" w:rsidR="00CD68C1">
        <w:rPr>
          <w:rFonts w:ascii="Symbol" w:hAnsi="Symbol"/>
          <w:b w:val="0"/>
          <w:bCs w:val="0"/>
          <w:sz w:val="20"/>
        </w:rPr>
        <w:sym w:font="Symbol" w:char="F0B8"/>
      </w:r>
      <w:r w:rsidRPr="009A2619" w:rsidR="009A2619">
        <w:rPr>
          <w:b w:val="0"/>
          <w:bCs w:val="0"/>
          <w:sz w:val="20"/>
        </w:rPr>
        <w:t xml:space="preserve"> </w:t>
      </w:r>
      <w:r w:rsidRPr="009A2619">
        <w:rPr>
          <w:b w:val="0"/>
          <w:bCs w:val="0"/>
          <w:sz w:val="20"/>
        </w:rPr>
        <w:t>3) × $177.61 × (1</w:t>
      </w:r>
      <w:r w:rsidRPr="009A2619" w:rsidR="009A2619">
        <w:rPr>
          <w:b w:val="0"/>
          <w:bCs w:val="0"/>
          <w:sz w:val="20"/>
        </w:rPr>
        <w:t xml:space="preserve"> </w:t>
      </w:r>
      <w:r w:rsidRPr="009A2619" w:rsidR="00CD68C1">
        <w:rPr>
          <w:rFonts w:ascii="Symbol" w:hAnsi="Symbol"/>
          <w:b w:val="0"/>
          <w:bCs w:val="0"/>
          <w:sz w:val="20"/>
        </w:rPr>
        <w:sym w:font="Symbol" w:char="F0B8"/>
      </w:r>
      <w:r w:rsidRPr="009A2619" w:rsidR="009A2619">
        <w:rPr>
          <w:b w:val="0"/>
          <w:bCs w:val="0"/>
          <w:sz w:val="20"/>
        </w:rPr>
        <w:t xml:space="preserve"> </w:t>
      </w:r>
      <w:r w:rsidRPr="009A2619">
        <w:rPr>
          <w:b w:val="0"/>
          <w:bCs w:val="0"/>
          <w:sz w:val="20"/>
        </w:rPr>
        <w:t>3) = $</w:t>
      </w:r>
      <w:r w:rsidRPr="00AB3547">
        <w:rPr>
          <w:b w:val="0"/>
          <w:bCs w:val="0"/>
          <w:sz w:val="20"/>
        </w:rPr>
        <w:t>167.48].</w:t>
      </w:r>
    </w:p>
  </w:footnote>
  <w:footnote w:id="24">
    <w:p w:rsidR="00C15C13" w:rsidRPr="004642F6" w14:paraId="598D7433" w14:textId="39FC4D34">
      <w:pPr>
        <w:pStyle w:val="FootnoteText"/>
        <w:contextualSpacing/>
        <w:rPr>
          <w:sz w:val="20"/>
        </w:rPr>
      </w:pPr>
      <w:r w:rsidRPr="00CB6F1E">
        <w:rPr>
          <w:rStyle w:val="FootnoteReference"/>
          <w:b w:val="0"/>
          <w:sz w:val="20"/>
          <w:vertAlign w:val="superscript"/>
        </w:rPr>
        <w:footnoteRef/>
      </w:r>
      <w:r w:rsidRPr="004642F6">
        <w:rPr>
          <w:sz w:val="20"/>
        </w:rPr>
        <w:t xml:space="preserve"> </w:t>
      </w:r>
      <w:r w:rsidRPr="00BE4576" w:rsidR="00BE4576">
        <w:rPr>
          <w:b w:val="0"/>
          <w:bCs w:val="0"/>
          <w:sz w:val="20"/>
        </w:rPr>
        <w:t>According to data from NTIA, 37.4 percent of individuals aged 25 and over have access to the internet at work. According to a Greenwald &amp; Associates survey, 84 percent of plan participants find it acceptable to make electronic delivery the default option, which is used as the proxy for the number of participants who will not opt out of electronic disclosure that are automatically enrolled (for a total of 31.4 percent receiving electronic disclosure at work). Additionally, the NTIA reports that 44.1 percent of individuals aged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26.9 percent receiving electronic disclosure outside of work). Combining the 31.4 percent who will receive electronic disclosure at work with the 26.9 percent who will receive electronic disclosure outside of work produces a total of 58.3 percent who will receive electronic disclosure overall.</w:t>
      </w:r>
    </w:p>
  </w:footnote>
  <w:footnote w:id="25">
    <w:p w:rsidR="00FF6381" w:rsidRPr="00F538AF" w14:paraId="1602A664" w14:textId="76509A90">
      <w:pPr>
        <w:pStyle w:val="FootnoteText"/>
        <w:rPr>
          <w:b w:val="0"/>
          <w:bCs w:val="0"/>
        </w:rPr>
      </w:pPr>
      <w:r w:rsidRPr="00F538AF">
        <w:rPr>
          <w:rStyle w:val="FootnoteReference"/>
          <w:b w:val="0"/>
          <w:bCs w:val="0"/>
          <w:sz w:val="20"/>
          <w:vertAlign w:val="superscript"/>
        </w:rPr>
        <w:footnoteRef/>
      </w:r>
      <w:r w:rsidRPr="00F538AF">
        <w:rPr>
          <w:b w:val="0"/>
          <w:bCs w:val="0"/>
        </w:rPr>
        <w:t xml:space="preserve"> </w:t>
      </w:r>
      <w:r w:rsidRPr="00F538AF">
        <w:rPr>
          <w:b w:val="0"/>
          <w:bCs w:val="0"/>
          <w:sz w:val="20"/>
        </w:rPr>
        <w:t xml:space="preserve">The mailing cost is </w:t>
      </w:r>
      <w:r w:rsidRPr="00CF475A">
        <w:rPr>
          <w:b w:val="0"/>
          <w:bCs w:val="0"/>
          <w:sz w:val="20"/>
        </w:rPr>
        <w:t xml:space="preserve">calculated in the following manner: </w:t>
      </w:r>
      <w:r w:rsidRPr="00705136" w:rsidR="00CF475A">
        <w:rPr>
          <w:b w:val="0"/>
          <w:bCs w:val="0"/>
          <w:sz w:val="20"/>
        </w:rPr>
        <w:t>$0.73 + ($0.05 × 4 pages) = $0.93.</w:t>
      </w:r>
    </w:p>
  </w:footnote>
  <w:footnote w:id="26">
    <w:p w:rsidR="0016546E" w:rsidP="0016546E" w14:paraId="3888BB70" w14:textId="69F54054">
      <w:pPr>
        <w:pStyle w:val="FootnoteText"/>
      </w:pPr>
      <w:r w:rsidRPr="0016546E">
        <w:rPr>
          <w:rStyle w:val="FootnoteReference"/>
          <w:b w:val="0"/>
          <w:bCs w:val="0"/>
          <w:sz w:val="20"/>
          <w:vertAlign w:val="superscript"/>
        </w:rPr>
        <w:footnoteRef/>
      </w:r>
      <w:r w:rsidRPr="0016546E">
        <w:rPr>
          <w:b w:val="0"/>
          <w:bCs w:val="0"/>
          <w:sz w:val="20"/>
        </w:rPr>
        <w:t xml:space="preserve"> The postage for a first-class mail large envelope letter is $</w:t>
      </w:r>
      <w:r w:rsidR="00E2652D">
        <w:rPr>
          <w:b w:val="0"/>
          <w:bCs w:val="0"/>
          <w:sz w:val="20"/>
        </w:rPr>
        <w:t>2.04</w:t>
      </w:r>
      <w:r w:rsidRPr="0016546E">
        <w:rPr>
          <w:b w:val="0"/>
          <w:bCs w:val="0"/>
          <w:sz w:val="20"/>
        </w:rPr>
        <w:t xml:space="preserve"> and the material cost is $0.05 per page. Thus, $</w:t>
      </w:r>
      <w:r w:rsidR="006B1857">
        <w:rPr>
          <w:b w:val="0"/>
          <w:bCs w:val="0"/>
          <w:sz w:val="20"/>
        </w:rPr>
        <w:t>2.04</w:t>
      </w:r>
      <w:r w:rsidRPr="0016546E">
        <w:rPr>
          <w:b w:val="0"/>
          <w:bCs w:val="0"/>
          <w:sz w:val="20"/>
        </w:rPr>
        <w:t xml:space="preserve"> + ($0.05 </w:t>
      </w:r>
      <w:r w:rsidRPr="00BB2059" w:rsidR="00BB2059">
        <w:rPr>
          <w:b w:val="0"/>
          <w:bCs w:val="0"/>
          <w:sz w:val="20"/>
        </w:rPr>
        <w:t>×</w:t>
      </w:r>
      <w:r w:rsidRPr="0016546E">
        <w:rPr>
          <w:b w:val="0"/>
          <w:bCs w:val="0"/>
          <w:sz w:val="20"/>
        </w:rPr>
        <w:t xml:space="preserve"> 15 pages) = $</w:t>
      </w:r>
      <w:r w:rsidR="006B1857">
        <w:rPr>
          <w:b w:val="0"/>
          <w:bCs w:val="0"/>
          <w:sz w:val="20"/>
        </w:rPr>
        <w:t>2.79</w:t>
      </w:r>
      <w:r w:rsidRPr="0016546E">
        <w:rPr>
          <w:b w:val="0"/>
          <w:bCs w:val="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8AA" w:rsidP="00F0391B" w14:paraId="2F693F83" w14:textId="77777777">
    <w:pPr>
      <w:pStyle w:val="Header"/>
      <w:rPr>
        <w:b w:val="0"/>
        <w:bCs w:val="0"/>
      </w:rPr>
    </w:pPr>
    <w:r w:rsidRPr="00D468AA">
      <w:rPr>
        <w:b w:val="0"/>
        <w:bCs w:val="0"/>
      </w:rPr>
      <w:t>Mental Health Parity and Addiction Equity Act of 2008 Notices</w:t>
    </w:r>
  </w:p>
  <w:p w:rsidR="00C15C13" w:rsidP="00F0391B" w14:paraId="177EF0BA" w14:textId="60476E8F">
    <w:pPr>
      <w:pStyle w:val="Header"/>
      <w:rPr>
        <w:b w:val="0"/>
        <w:bCs w:val="0"/>
      </w:rPr>
    </w:pPr>
    <w:r>
      <w:rPr>
        <w:b w:val="0"/>
        <w:bCs w:val="0"/>
      </w:rPr>
      <w:t>OMB Control Number 1210-0138</w:t>
    </w:r>
  </w:p>
  <w:p w:rsidR="001772CB" w:rsidP="00F0391B" w14:paraId="7BE5BE06" w14:textId="4B365B22">
    <w:pPr>
      <w:pStyle w:val="Header"/>
      <w:rPr>
        <w:b w:val="0"/>
        <w:bCs w:val="0"/>
      </w:rPr>
    </w:pPr>
    <w:r>
      <w:rPr>
        <w:b w:val="0"/>
        <w:bCs w:val="0"/>
      </w:rPr>
      <w:t>Expiration Date: 10/31/</w:t>
    </w:r>
    <w:r w:rsidR="004E4D16">
      <w:rPr>
        <w:b w:val="0"/>
        <w:bCs w:val="0"/>
      </w:rPr>
      <w:t>2024</w:t>
    </w:r>
  </w:p>
  <w:p w:rsidR="00C15C13" w:rsidP="00F0391B" w14:paraId="37B7DD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7F3223"/>
    <w:multiLevelType w:val="multilevel"/>
    <w:tmpl w:val="74BA6A46"/>
    <w:lvl w:ilvl="0">
      <w:start w:val="1"/>
      <w:numFmt w:val="decimal"/>
      <w:lvlText w:val="%1."/>
      <w:lvlJc w:val="left"/>
      <w:pPr>
        <w:ind w:left="360" w:hanging="360"/>
      </w:pPr>
    </w:lvl>
    <w:lvl w:ilvl="1">
      <w:start w:val="1"/>
      <w:numFmt w:val="decimal"/>
      <w:lvlText w:val="%1.%2."/>
      <w:lvlJc w:val="left"/>
      <w:pPr>
        <w:ind w:left="792" w:hanging="432"/>
      </w:pPr>
      <w:rPr>
        <w:b w:val="0"/>
        <w:bCs/>
        <w:i w:val="0"/>
        <w:iCs/>
        <w:vertAlign w:val="baseline"/>
      </w:rPr>
    </w:lvl>
    <w:lvl w:ilvl="2">
      <w:start w:val="1"/>
      <w:numFmt w:val="decimal"/>
      <w:lvlText w:val="%1.%2.%3."/>
      <w:lvlJc w:val="left"/>
      <w:pPr>
        <w:ind w:left="1224" w:hanging="504"/>
      </w:pPr>
      <w:rPr>
        <w:b w:val="0"/>
        <w:bCs w:val="0"/>
        <w:i/>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905F54"/>
    <w:multiLevelType w:val="hybridMultilevel"/>
    <w:tmpl w:val="154C56D2"/>
    <w:lvl w:ilvl="0">
      <w:start w:val="1"/>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D52C5C"/>
    <w:multiLevelType w:val="hybridMultilevel"/>
    <w:tmpl w:val="FD9E36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407F7C"/>
    <w:multiLevelType w:val="hybridMultilevel"/>
    <w:tmpl w:val="F9D607C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046665"/>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31B7955"/>
    <w:multiLevelType w:val="hybridMultilevel"/>
    <w:tmpl w:val="EE445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7651808"/>
    <w:multiLevelType w:val="hybridMultilevel"/>
    <w:tmpl w:val="7D50D0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3">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9F9564E"/>
    <w:multiLevelType w:val="hybridMultilevel"/>
    <w:tmpl w:val="825A3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34D2F16"/>
    <w:multiLevelType w:val="hybridMultilevel"/>
    <w:tmpl w:val="51D015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45D5E05"/>
    <w:multiLevelType w:val="hybridMultilevel"/>
    <w:tmpl w:val="6074BA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6532FA9"/>
    <w:multiLevelType w:val="hybridMultilevel"/>
    <w:tmpl w:val="4A1A303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8D54706"/>
    <w:multiLevelType w:val="hybridMultilevel"/>
    <w:tmpl w:val="0198A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5A3AA1"/>
    <w:multiLevelType w:val="hybridMultilevel"/>
    <w:tmpl w:val="58425808"/>
    <w:lvl w:ilvl="0">
      <w:start w:val="4"/>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613C92"/>
    <w:multiLevelType w:val="hybridMultilevel"/>
    <w:tmpl w:val="D2CE9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65843FC"/>
    <w:multiLevelType w:val="hybridMultilevel"/>
    <w:tmpl w:val="96223948"/>
    <w:lvl w:ilvl="0">
      <w:start w:val="2022"/>
      <w:numFmt w:val="decimal"/>
      <w:lvlText w:val="%1"/>
      <w:lvlJc w:val="left"/>
      <w:pPr>
        <w:ind w:left="1200" w:hanging="480"/>
      </w:pPr>
      <w:rPr>
        <w:rFonts w:hint="default"/>
        <w:i/>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81A2B7B"/>
    <w:multiLevelType w:val="hybridMultilevel"/>
    <w:tmpl w:val="9CA01454"/>
    <w:lvl w:ilvl="0">
      <w:start w:val="3"/>
      <w:numFmt w:val="decimal"/>
      <w:lvlText w:val="%1."/>
      <w:lvlJc w:val="left"/>
      <w:pPr>
        <w:ind w:left="28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9316EE5"/>
    <w:multiLevelType w:val="hybridMultilevel"/>
    <w:tmpl w:val="563481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04A32B7"/>
    <w:multiLevelType w:val="hybridMultilevel"/>
    <w:tmpl w:val="F3CC83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6A1F6E23"/>
    <w:multiLevelType w:val="hybridMultilevel"/>
    <w:tmpl w:val="469AF0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A341828"/>
    <w:multiLevelType w:val="hybridMultilevel"/>
    <w:tmpl w:val="E5AEFBE0"/>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
    <w:nsid w:val="73555839"/>
    <w:multiLevelType w:val="hybridMultilevel"/>
    <w:tmpl w:val="9810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BE00CBA"/>
    <w:multiLevelType w:val="hybridMultilevel"/>
    <w:tmpl w:val="5658FDE4"/>
    <w:lvl w:ilvl="0">
      <w:start w:val="2022"/>
      <w:numFmt w:val="decimal"/>
      <w:lvlText w:val="%1"/>
      <w:lvlJc w:val="left"/>
      <w:pPr>
        <w:ind w:left="1200" w:hanging="4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DFE4577"/>
    <w:multiLevelType w:val="hybridMultilevel"/>
    <w:tmpl w:val="6240B90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928418217">
    <w:abstractNumId w:val="0"/>
    <w:lvlOverride w:ilvl="0">
      <w:startOverride w:val="1"/>
      <w:lvl w:ilvl="0">
        <w:start w:val="1"/>
        <w:numFmt w:val="decimal"/>
        <w:pStyle w:val="Quick1"/>
        <w:lvlText w:val="%1."/>
        <w:lvlJc w:val="left"/>
      </w:lvl>
    </w:lvlOverride>
  </w:num>
  <w:num w:numId="2" w16cid:durableId="1851412261">
    <w:abstractNumId w:val="0"/>
    <w:lvlOverride w:ilvl="0">
      <w:startOverride w:val="13"/>
      <w:lvl w:ilvl="0">
        <w:start w:val="13"/>
        <w:numFmt w:val="decimal"/>
        <w:pStyle w:val="Quick1"/>
        <w:lvlText w:val="%1."/>
        <w:lvlJc w:val="left"/>
      </w:lvl>
    </w:lvlOverride>
  </w:num>
  <w:num w:numId="3" w16cid:durableId="1269384414">
    <w:abstractNumId w:val="0"/>
    <w:lvlOverride w:ilvl="0">
      <w:startOverride w:val="3"/>
      <w:lvl w:ilvl="0">
        <w:start w:val="3"/>
        <w:numFmt w:val="decimal"/>
        <w:pStyle w:val="Quick1"/>
        <w:lvlText w:val="%1."/>
        <w:lvlJc w:val="left"/>
      </w:lvl>
    </w:lvlOverride>
  </w:num>
  <w:num w:numId="4" w16cid:durableId="7023327">
    <w:abstractNumId w:val="26"/>
  </w:num>
  <w:num w:numId="5" w16cid:durableId="1571038047">
    <w:abstractNumId w:val="13"/>
  </w:num>
  <w:num w:numId="6" w16cid:durableId="662314324">
    <w:abstractNumId w:val="28"/>
  </w:num>
  <w:num w:numId="7" w16cid:durableId="962077153">
    <w:abstractNumId w:val="14"/>
  </w:num>
  <w:num w:numId="8" w16cid:durableId="2048872017">
    <w:abstractNumId w:val="7"/>
  </w:num>
  <w:num w:numId="9" w16cid:durableId="1095662958">
    <w:abstractNumId w:val="16"/>
  </w:num>
  <w:num w:numId="10" w16cid:durableId="173419921">
    <w:abstractNumId w:val="4"/>
  </w:num>
  <w:num w:numId="11" w16cid:durableId="1541700513">
    <w:abstractNumId w:val="9"/>
  </w:num>
  <w:num w:numId="12" w16cid:durableId="1174026980">
    <w:abstractNumId w:val="32"/>
  </w:num>
  <w:num w:numId="13" w16cid:durableId="715740995">
    <w:abstractNumId w:val="1"/>
  </w:num>
  <w:num w:numId="14" w16cid:durableId="986587274">
    <w:abstractNumId w:val="18"/>
  </w:num>
  <w:num w:numId="15" w16cid:durableId="881987123">
    <w:abstractNumId w:val="22"/>
  </w:num>
  <w:num w:numId="16" w16cid:durableId="840895826">
    <w:abstractNumId w:val="5"/>
  </w:num>
  <w:num w:numId="17" w16cid:durableId="1014260506">
    <w:abstractNumId w:val="34"/>
  </w:num>
  <w:num w:numId="18" w16cid:durableId="553078609">
    <w:abstractNumId w:val="10"/>
  </w:num>
  <w:num w:numId="19" w16cid:durableId="1297612978">
    <w:abstractNumId w:val="17"/>
  </w:num>
  <w:num w:numId="20" w16cid:durableId="2082293180">
    <w:abstractNumId w:val="25"/>
  </w:num>
  <w:num w:numId="21" w16cid:durableId="1453598203">
    <w:abstractNumId w:val="29"/>
  </w:num>
  <w:num w:numId="22" w16cid:durableId="1189182412">
    <w:abstractNumId w:val="31"/>
  </w:num>
  <w:num w:numId="23" w16cid:durableId="19821557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602686">
    <w:abstractNumId w:val="21"/>
  </w:num>
  <w:num w:numId="25" w16cid:durableId="453980596">
    <w:abstractNumId w:val="27"/>
  </w:num>
  <w:num w:numId="26" w16cid:durableId="1155756722">
    <w:abstractNumId w:val="8"/>
  </w:num>
  <w:num w:numId="27" w16cid:durableId="806897643">
    <w:abstractNumId w:val="19"/>
  </w:num>
  <w:num w:numId="28" w16cid:durableId="1774666367">
    <w:abstractNumId w:val="30"/>
  </w:num>
  <w:num w:numId="29" w16cid:durableId="85540247">
    <w:abstractNumId w:val="11"/>
  </w:num>
  <w:num w:numId="30" w16cid:durableId="1456830832">
    <w:abstractNumId w:val="24"/>
  </w:num>
  <w:num w:numId="31" w16cid:durableId="460466468">
    <w:abstractNumId w:val="12"/>
  </w:num>
  <w:num w:numId="32" w16cid:durableId="792334898">
    <w:abstractNumId w:val="20"/>
  </w:num>
  <w:num w:numId="33" w16cid:durableId="749698479">
    <w:abstractNumId w:val="2"/>
  </w:num>
  <w:num w:numId="34" w16cid:durableId="808788017">
    <w:abstractNumId w:val="33"/>
  </w:num>
  <w:num w:numId="35" w16cid:durableId="1851096525">
    <w:abstractNumId w:val="23"/>
  </w:num>
  <w:num w:numId="36" w16cid:durableId="188642660">
    <w:abstractNumId w:val="6"/>
  </w:num>
  <w:num w:numId="37" w16cid:durableId="512761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0033"/>
    <w:rsid w:val="0000006D"/>
    <w:rsid w:val="0000034E"/>
    <w:rsid w:val="00000728"/>
    <w:rsid w:val="00000A61"/>
    <w:rsid w:val="0000116C"/>
    <w:rsid w:val="00001E1B"/>
    <w:rsid w:val="00001E80"/>
    <w:rsid w:val="0000235E"/>
    <w:rsid w:val="0000293D"/>
    <w:rsid w:val="00002E3B"/>
    <w:rsid w:val="00002F0C"/>
    <w:rsid w:val="000040E4"/>
    <w:rsid w:val="00004865"/>
    <w:rsid w:val="00005091"/>
    <w:rsid w:val="000055CD"/>
    <w:rsid w:val="00006BBF"/>
    <w:rsid w:val="00006E43"/>
    <w:rsid w:val="00007192"/>
    <w:rsid w:val="0000729D"/>
    <w:rsid w:val="00010BB5"/>
    <w:rsid w:val="000111F1"/>
    <w:rsid w:val="00012278"/>
    <w:rsid w:val="00012FB8"/>
    <w:rsid w:val="0001380A"/>
    <w:rsid w:val="00015314"/>
    <w:rsid w:val="00015332"/>
    <w:rsid w:val="00015462"/>
    <w:rsid w:val="00016EBD"/>
    <w:rsid w:val="0001706F"/>
    <w:rsid w:val="000176E8"/>
    <w:rsid w:val="0002026D"/>
    <w:rsid w:val="000219DB"/>
    <w:rsid w:val="00022B3B"/>
    <w:rsid w:val="000230DB"/>
    <w:rsid w:val="000242A5"/>
    <w:rsid w:val="00024471"/>
    <w:rsid w:val="0002489E"/>
    <w:rsid w:val="00024A47"/>
    <w:rsid w:val="000251AB"/>
    <w:rsid w:val="0002544C"/>
    <w:rsid w:val="00025884"/>
    <w:rsid w:val="00026204"/>
    <w:rsid w:val="00031451"/>
    <w:rsid w:val="000318AC"/>
    <w:rsid w:val="00032972"/>
    <w:rsid w:val="0003297D"/>
    <w:rsid w:val="00032CB0"/>
    <w:rsid w:val="0003391E"/>
    <w:rsid w:val="0003431F"/>
    <w:rsid w:val="000349AA"/>
    <w:rsid w:val="00035D27"/>
    <w:rsid w:val="00037FF4"/>
    <w:rsid w:val="00040237"/>
    <w:rsid w:val="000407B8"/>
    <w:rsid w:val="00041201"/>
    <w:rsid w:val="00041BCC"/>
    <w:rsid w:val="00043206"/>
    <w:rsid w:val="000436F1"/>
    <w:rsid w:val="000444E6"/>
    <w:rsid w:val="000448D8"/>
    <w:rsid w:val="000457E8"/>
    <w:rsid w:val="000462A2"/>
    <w:rsid w:val="00047142"/>
    <w:rsid w:val="0004729A"/>
    <w:rsid w:val="00047F06"/>
    <w:rsid w:val="00050A5F"/>
    <w:rsid w:val="00051006"/>
    <w:rsid w:val="0005190F"/>
    <w:rsid w:val="00052484"/>
    <w:rsid w:val="00052606"/>
    <w:rsid w:val="00053FAD"/>
    <w:rsid w:val="00054032"/>
    <w:rsid w:val="0005444A"/>
    <w:rsid w:val="00055360"/>
    <w:rsid w:val="00055639"/>
    <w:rsid w:val="00055E03"/>
    <w:rsid w:val="00056BEF"/>
    <w:rsid w:val="0005710C"/>
    <w:rsid w:val="000574B7"/>
    <w:rsid w:val="00060407"/>
    <w:rsid w:val="00060861"/>
    <w:rsid w:val="0006243E"/>
    <w:rsid w:val="000627FC"/>
    <w:rsid w:val="00062F8E"/>
    <w:rsid w:val="00063342"/>
    <w:rsid w:val="00064A52"/>
    <w:rsid w:val="00064C68"/>
    <w:rsid w:val="00064F60"/>
    <w:rsid w:val="0006528F"/>
    <w:rsid w:val="00065DB6"/>
    <w:rsid w:val="00066250"/>
    <w:rsid w:val="00066334"/>
    <w:rsid w:val="0006654E"/>
    <w:rsid w:val="00067AC3"/>
    <w:rsid w:val="00067C6D"/>
    <w:rsid w:val="00070AD2"/>
    <w:rsid w:val="0007101C"/>
    <w:rsid w:val="00072AF0"/>
    <w:rsid w:val="00072B55"/>
    <w:rsid w:val="00073748"/>
    <w:rsid w:val="00073807"/>
    <w:rsid w:val="000747E2"/>
    <w:rsid w:val="00074924"/>
    <w:rsid w:val="00074D42"/>
    <w:rsid w:val="000752DD"/>
    <w:rsid w:val="00075731"/>
    <w:rsid w:val="000758E4"/>
    <w:rsid w:val="000768C9"/>
    <w:rsid w:val="00077E52"/>
    <w:rsid w:val="00080210"/>
    <w:rsid w:val="0008045B"/>
    <w:rsid w:val="00080ABC"/>
    <w:rsid w:val="00080C70"/>
    <w:rsid w:val="00082771"/>
    <w:rsid w:val="00082C26"/>
    <w:rsid w:val="00082D74"/>
    <w:rsid w:val="00083274"/>
    <w:rsid w:val="000834B6"/>
    <w:rsid w:val="00084497"/>
    <w:rsid w:val="0008464C"/>
    <w:rsid w:val="00085B93"/>
    <w:rsid w:val="00085DE9"/>
    <w:rsid w:val="00087A5E"/>
    <w:rsid w:val="00087AA9"/>
    <w:rsid w:val="0009027F"/>
    <w:rsid w:val="00091346"/>
    <w:rsid w:val="00091B1B"/>
    <w:rsid w:val="000922E3"/>
    <w:rsid w:val="000949C1"/>
    <w:rsid w:val="00094C4C"/>
    <w:rsid w:val="000956AD"/>
    <w:rsid w:val="00096513"/>
    <w:rsid w:val="00096648"/>
    <w:rsid w:val="00096BDA"/>
    <w:rsid w:val="00097066"/>
    <w:rsid w:val="00097AE5"/>
    <w:rsid w:val="000A0A4B"/>
    <w:rsid w:val="000A0AB4"/>
    <w:rsid w:val="000A15AA"/>
    <w:rsid w:val="000A397F"/>
    <w:rsid w:val="000A39FE"/>
    <w:rsid w:val="000A3DF9"/>
    <w:rsid w:val="000A4712"/>
    <w:rsid w:val="000A4F3A"/>
    <w:rsid w:val="000A6A90"/>
    <w:rsid w:val="000A6FC5"/>
    <w:rsid w:val="000A7B10"/>
    <w:rsid w:val="000A7C85"/>
    <w:rsid w:val="000B0DD6"/>
    <w:rsid w:val="000B1457"/>
    <w:rsid w:val="000B1C39"/>
    <w:rsid w:val="000B1E79"/>
    <w:rsid w:val="000B203D"/>
    <w:rsid w:val="000B2636"/>
    <w:rsid w:val="000B38BB"/>
    <w:rsid w:val="000B41C2"/>
    <w:rsid w:val="000B4879"/>
    <w:rsid w:val="000B50CF"/>
    <w:rsid w:val="000B51DB"/>
    <w:rsid w:val="000B5DF2"/>
    <w:rsid w:val="000B6280"/>
    <w:rsid w:val="000B662D"/>
    <w:rsid w:val="000B6CF3"/>
    <w:rsid w:val="000B712C"/>
    <w:rsid w:val="000B75D1"/>
    <w:rsid w:val="000B78EA"/>
    <w:rsid w:val="000C051C"/>
    <w:rsid w:val="000C183B"/>
    <w:rsid w:val="000C260F"/>
    <w:rsid w:val="000C2621"/>
    <w:rsid w:val="000C2789"/>
    <w:rsid w:val="000C2F10"/>
    <w:rsid w:val="000C3231"/>
    <w:rsid w:val="000C3AE1"/>
    <w:rsid w:val="000C423B"/>
    <w:rsid w:val="000C49C9"/>
    <w:rsid w:val="000C4A7B"/>
    <w:rsid w:val="000C4FBF"/>
    <w:rsid w:val="000C6BED"/>
    <w:rsid w:val="000C7AA3"/>
    <w:rsid w:val="000D006B"/>
    <w:rsid w:val="000D046F"/>
    <w:rsid w:val="000D1765"/>
    <w:rsid w:val="000D1B40"/>
    <w:rsid w:val="000D1C8E"/>
    <w:rsid w:val="000D1EEF"/>
    <w:rsid w:val="000D21B4"/>
    <w:rsid w:val="000D3063"/>
    <w:rsid w:val="000D40B7"/>
    <w:rsid w:val="000D4366"/>
    <w:rsid w:val="000D7356"/>
    <w:rsid w:val="000D774A"/>
    <w:rsid w:val="000D78A6"/>
    <w:rsid w:val="000D7B8D"/>
    <w:rsid w:val="000D7DC0"/>
    <w:rsid w:val="000E10FD"/>
    <w:rsid w:val="000E1CAC"/>
    <w:rsid w:val="000E1DEC"/>
    <w:rsid w:val="000E24B7"/>
    <w:rsid w:val="000E3176"/>
    <w:rsid w:val="000E439D"/>
    <w:rsid w:val="000E488F"/>
    <w:rsid w:val="000E4971"/>
    <w:rsid w:val="000E4D69"/>
    <w:rsid w:val="000E538E"/>
    <w:rsid w:val="000E5A88"/>
    <w:rsid w:val="000E5B97"/>
    <w:rsid w:val="000E5FF9"/>
    <w:rsid w:val="000E61DB"/>
    <w:rsid w:val="000E6974"/>
    <w:rsid w:val="000E6A06"/>
    <w:rsid w:val="000E6E5F"/>
    <w:rsid w:val="000F0248"/>
    <w:rsid w:val="000F08F2"/>
    <w:rsid w:val="000F1ADE"/>
    <w:rsid w:val="000F1DE6"/>
    <w:rsid w:val="000F23CC"/>
    <w:rsid w:val="000F24C3"/>
    <w:rsid w:val="000F3328"/>
    <w:rsid w:val="000F3F95"/>
    <w:rsid w:val="000F4BD1"/>
    <w:rsid w:val="000F4C95"/>
    <w:rsid w:val="000F4DA3"/>
    <w:rsid w:val="000F5167"/>
    <w:rsid w:val="000F60B3"/>
    <w:rsid w:val="000F724D"/>
    <w:rsid w:val="000F74B8"/>
    <w:rsid w:val="000F778A"/>
    <w:rsid w:val="000F7921"/>
    <w:rsid w:val="001010AC"/>
    <w:rsid w:val="00101D15"/>
    <w:rsid w:val="00102857"/>
    <w:rsid w:val="00102C62"/>
    <w:rsid w:val="00102F80"/>
    <w:rsid w:val="00103034"/>
    <w:rsid w:val="0010398C"/>
    <w:rsid w:val="00103AC6"/>
    <w:rsid w:val="00103BCB"/>
    <w:rsid w:val="00104E0C"/>
    <w:rsid w:val="00104EB5"/>
    <w:rsid w:val="00105143"/>
    <w:rsid w:val="00106633"/>
    <w:rsid w:val="00107438"/>
    <w:rsid w:val="00107918"/>
    <w:rsid w:val="00107D03"/>
    <w:rsid w:val="00110105"/>
    <w:rsid w:val="00110D19"/>
    <w:rsid w:val="00111C13"/>
    <w:rsid w:val="00112C29"/>
    <w:rsid w:val="00113403"/>
    <w:rsid w:val="00113E21"/>
    <w:rsid w:val="00115277"/>
    <w:rsid w:val="00115A75"/>
    <w:rsid w:val="00116048"/>
    <w:rsid w:val="0011694B"/>
    <w:rsid w:val="001169AD"/>
    <w:rsid w:val="00117EFB"/>
    <w:rsid w:val="001213F7"/>
    <w:rsid w:val="001214D6"/>
    <w:rsid w:val="00122BA4"/>
    <w:rsid w:val="00123383"/>
    <w:rsid w:val="00123499"/>
    <w:rsid w:val="0012357C"/>
    <w:rsid w:val="00124F99"/>
    <w:rsid w:val="001254A9"/>
    <w:rsid w:val="00126228"/>
    <w:rsid w:val="0012640B"/>
    <w:rsid w:val="001266C2"/>
    <w:rsid w:val="001279EF"/>
    <w:rsid w:val="00127A53"/>
    <w:rsid w:val="001305A2"/>
    <w:rsid w:val="00134A4E"/>
    <w:rsid w:val="00134CC1"/>
    <w:rsid w:val="00135204"/>
    <w:rsid w:val="001362AA"/>
    <w:rsid w:val="00137177"/>
    <w:rsid w:val="00140C23"/>
    <w:rsid w:val="00140FA3"/>
    <w:rsid w:val="001416FC"/>
    <w:rsid w:val="001418E2"/>
    <w:rsid w:val="00141C4D"/>
    <w:rsid w:val="00141E46"/>
    <w:rsid w:val="0014231D"/>
    <w:rsid w:val="001434CA"/>
    <w:rsid w:val="00144DA2"/>
    <w:rsid w:val="00145E4E"/>
    <w:rsid w:val="0014636F"/>
    <w:rsid w:val="00146713"/>
    <w:rsid w:val="00146C3F"/>
    <w:rsid w:val="0014715D"/>
    <w:rsid w:val="0014772F"/>
    <w:rsid w:val="001479AA"/>
    <w:rsid w:val="00147D77"/>
    <w:rsid w:val="001508A9"/>
    <w:rsid w:val="00150A08"/>
    <w:rsid w:val="0015115C"/>
    <w:rsid w:val="00151B4E"/>
    <w:rsid w:val="00151C62"/>
    <w:rsid w:val="00152ACD"/>
    <w:rsid w:val="00152DA0"/>
    <w:rsid w:val="00155486"/>
    <w:rsid w:val="00155D13"/>
    <w:rsid w:val="00156380"/>
    <w:rsid w:val="00156E26"/>
    <w:rsid w:val="00157102"/>
    <w:rsid w:val="001573C0"/>
    <w:rsid w:val="00157A3A"/>
    <w:rsid w:val="001608DC"/>
    <w:rsid w:val="00160FD1"/>
    <w:rsid w:val="001616D6"/>
    <w:rsid w:val="00161CCF"/>
    <w:rsid w:val="00161E70"/>
    <w:rsid w:val="001623F5"/>
    <w:rsid w:val="00163DA0"/>
    <w:rsid w:val="00164268"/>
    <w:rsid w:val="001651E6"/>
    <w:rsid w:val="0016546E"/>
    <w:rsid w:val="00165D11"/>
    <w:rsid w:val="00165D85"/>
    <w:rsid w:val="00165DCD"/>
    <w:rsid w:val="00165F4E"/>
    <w:rsid w:val="00166E93"/>
    <w:rsid w:val="001672F6"/>
    <w:rsid w:val="00167982"/>
    <w:rsid w:val="00170248"/>
    <w:rsid w:val="00170799"/>
    <w:rsid w:val="00171123"/>
    <w:rsid w:val="00171608"/>
    <w:rsid w:val="0017186E"/>
    <w:rsid w:val="00171D97"/>
    <w:rsid w:val="001730BD"/>
    <w:rsid w:val="00173A14"/>
    <w:rsid w:val="001745DB"/>
    <w:rsid w:val="00175961"/>
    <w:rsid w:val="00175A69"/>
    <w:rsid w:val="0017697D"/>
    <w:rsid w:val="0017698D"/>
    <w:rsid w:val="00176D52"/>
    <w:rsid w:val="001772CB"/>
    <w:rsid w:val="00177909"/>
    <w:rsid w:val="00181055"/>
    <w:rsid w:val="001818F3"/>
    <w:rsid w:val="00181BFB"/>
    <w:rsid w:val="00181C9F"/>
    <w:rsid w:val="00181D9D"/>
    <w:rsid w:val="001821B2"/>
    <w:rsid w:val="001826B7"/>
    <w:rsid w:val="0018280D"/>
    <w:rsid w:val="00182857"/>
    <w:rsid w:val="00182FDF"/>
    <w:rsid w:val="001830AE"/>
    <w:rsid w:val="00183482"/>
    <w:rsid w:val="00184070"/>
    <w:rsid w:val="001842C4"/>
    <w:rsid w:val="001845B3"/>
    <w:rsid w:val="00184897"/>
    <w:rsid w:val="0018494B"/>
    <w:rsid w:val="00186146"/>
    <w:rsid w:val="00186863"/>
    <w:rsid w:val="0018706C"/>
    <w:rsid w:val="00190119"/>
    <w:rsid w:val="00190142"/>
    <w:rsid w:val="00190F13"/>
    <w:rsid w:val="00191210"/>
    <w:rsid w:val="001912CD"/>
    <w:rsid w:val="001915F3"/>
    <w:rsid w:val="00192C86"/>
    <w:rsid w:val="00193003"/>
    <w:rsid w:val="00194615"/>
    <w:rsid w:val="00194735"/>
    <w:rsid w:val="0019473D"/>
    <w:rsid w:val="00194D54"/>
    <w:rsid w:val="001965DF"/>
    <w:rsid w:val="00196B58"/>
    <w:rsid w:val="00197D10"/>
    <w:rsid w:val="00197DD0"/>
    <w:rsid w:val="001A0253"/>
    <w:rsid w:val="001A02AD"/>
    <w:rsid w:val="001A10D8"/>
    <w:rsid w:val="001A147C"/>
    <w:rsid w:val="001A2E3F"/>
    <w:rsid w:val="001A33E1"/>
    <w:rsid w:val="001A3797"/>
    <w:rsid w:val="001A38A6"/>
    <w:rsid w:val="001A4982"/>
    <w:rsid w:val="001A524F"/>
    <w:rsid w:val="001A59FB"/>
    <w:rsid w:val="001A6654"/>
    <w:rsid w:val="001A6CF4"/>
    <w:rsid w:val="001B006C"/>
    <w:rsid w:val="001B10C8"/>
    <w:rsid w:val="001B1228"/>
    <w:rsid w:val="001B15B6"/>
    <w:rsid w:val="001B1913"/>
    <w:rsid w:val="001B21C7"/>
    <w:rsid w:val="001B21D4"/>
    <w:rsid w:val="001B35FD"/>
    <w:rsid w:val="001B37C2"/>
    <w:rsid w:val="001B3DB6"/>
    <w:rsid w:val="001B4DE3"/>
    <w:rsid w:val="001B5409"/>
    <w:rsid w:val="001B64A2"/>
    <w:rsid w:val="001B74CF"/>
    <w:rsid w:val="001B771D"/>
    <w:rsid w:val="001C0F65"/>
    <w:rsid w:val="001C18D0"/>
    <w:rsid w:val="001C1EB3"/>
    <w:rsid w:val="001C4447"/>
    <w:rsid w:val="001C4C6E"/>
    <w:rsid w:val="001C4CC1"/>
    <w:rsid w:val="001C5232"/>
    <w:rsid w:val="001C72CF"/>
    <w:rsid w:val="001D19F0"/>
    <w:rsid w:val="001D1D88"/>
    <w:rsid w:val="001D3CD3"/>
    <w:rsid w:val="001D59DC"/>
    <w:rsid w:val="001D5B76"/>
    <w:rsid w:val="001D7D31"/>
    <w:rsid w:val="001E022A"/>
    <w:rsid w:val="001E12BF"/>
    <w:rsid w:val="001E1311"/>
    <w:rsid w:val="001E1C34"/>
    <w:rsid w:val="001E2081"/>
    <w:rsid w:val="001E365B"/>
    <w:rsid w:val="001E4B8B"/>
    <w:rsid w:val="001E4C84"/>
    <w:rsid w:val="001E5501"/>
    <w:rsid w:val="001E5704"/>
    <w:rsid w:val="001E7500"/>
    <w:rsid w:val="001E7894"/>
    <w:rsid w:val="001E7B4A"/>
    <w:rsid w:val="001F098D"/>
    <w:rsid w:val="001F158D"/>
    <w:rsid w:val="001F251F"/>
    <w:rsid w:val="001F2592"/>
    <w:rsid w:val="001F29E9"/>
    <w:rsid w:val="001F3826"/>
    <w:rsid w:val="001F3E7E"/>
    <w:rsid w:val="001F5B4F"/>
    <w:rsid w:val="001F5DE4"/>
    <w:rsid w:val="001F61B9"/>
    <w:rsid w:val="001F68D0"/>
    <w:rsid w:val="001F7342"/>
    <w:rsid w:val="001F7470"/>
    <w:rsid w:val="001F77BC"/>
    <w:rsid w:val="001F7A65"/>
    <w:rsid w:val="002012EA"/>
    <w:rsid w:val="0020155B"/>
    <w:rsid w:val="0020216A"/>
    <w:rsid w:val="00202599"/>
    <w:rsid w:val="00202C02"/>
    <w:rsid w:val="00203FFE"/>
    <w:rsid w:val="0020516B"/>
    <w:rsid w:val="002051CF"/>
    <w:rsid w:val="00205767"/>
    <w:rsid w:val="0020592B"/>
    <w:rsid w:val="00206DED"/>
    <w:rsid w:val="002074E2"/>
    <w:rsid w:val="0020798A"/>
    <w:rsid w:val="0021025C"/>
    <w:rsid w:val="0021058F"/>
    <w:rsid w:val="0021181A"/>
    <w:rsid w:val="00211E70"/>
    <w:rsid w:val="00211F8A"/>
    <w:rsid w:val="002120C9"/>
    <w:rsid w:val="00212913"/>
    <w:rsid w:val="00213F86"/>
    <w:rsid w:val="002142F2"/>
    <w:rsid w:val="002143CC"/>
    <w:rsid w:val="00214504"/>
    <w:rsid w:val="00215A49"/>
    <w:rsid w:val="00215CBE"/>
    <w:rsid w:val="00215EC6"/>
    <w:rsid w:val="00216225"/>
    <w:rsid w:val="00216909"/>
    <w:rsid w:val="0021760D"/>
    <w:rsid w:val="00217AFD"/>
    <w:rsid w:val="002218B0"/>
    <w:rsid w:val="00221F97"/>
    <w:rsid w:val="0022297B"/>
    <w:rsid w:val="002230C7"/>
    <w:rsid w:val="00224A6F"/>
    <w:rsid w:val="002255F9"/>
    <w:rsid w:val="00225D5B"/>
    <w:rsid w:val="00226772"/>
    <w:rsid w:val="00226C0B"/>
    <w:rsid w:val="00227ABA"/>
    <w:rsid w:val="002308D2"/>
    <w:rsid w:val="00230AB3"/>
    <w:rsid w:val="00230F21"/>
    <w:rsid w:val="002311D7"/>
    <w:rsid w:val="00231284"/>
    <w:rsid w:val="002312AE"/>
    <w:rsid w:val="00231C32"/>
    <w:rsid w:val="00232C5C"/>
    <w:rsid w:val="00233A82"/>
    <w:rsid w:val="00233A8B"/>
    <w:rsid w:val="00233B31"/>
    <w:rsid w:val="0023574E"/>
    <w:rsid w:val="00235B54"/>
    <w:rsid w:val="00236ED6"/>
    <w:rsid w:val="00237EEB"/>
    <w:rsid w:val="00240CAF"/>
    <w:rsid w:val="00241EF0"/>
    <w:rsid w:val="002421D4"/>
    <w:rsid w:val="002422D9"/>
    <w:rsid w:val="002424D9"/>
    <w:rsid w:val="00242F78"/>
    <w:rsid w:val="00244809"/>
    <w:rsid w:val="002454BA"/>
    <w:rsid w:val="0024588A"/>
    <w:rsid w:val="00245AD5"/>
    <w:rsid w:val="00245CC1"/>
    <w:rsid w:val="002461A7"/>
    <w:rsid w:val="00247593"/>
    <w:rsid w:val="002475D3"/>
    <w:rsid w:val="002478BC"/>
    <w:rsid w:val="0025061E"/>
    <w:rsid w:val="002507EE"/>
    <w:rsid w:val="00250B71"/>
    <w:rsid w:val="00251186"/>
    <w:rsid w:val="00251B1C"/>
    <w:rsid w:val="00251D9F"/>
    <w:rsid w:val="00252940"/>
    <w:rsid w:val="002532E2"/>
    <w:rsid w:val="002534C9"/>
    <w:rsid w:val="00253ABC"/>
    <w:rsid w:val="002545E8"/>
    <w:rsid w:val="002555C8"/>
    <w:rsid w:val="00255BF4"/>
    <w:rsid w:val="00256072"/>
    <w:rsid w:val="00256A46"/>
    <w:rsid w:val="002576FD"/>
    <w:rsid w:val="002578BF"/>
    <w:rsid w:val="00257EB5"/>
    <w:rsid w:val="00260285"/>
    <w:rsid w:val="002608E2"/>
    <w:rsid w:val="00261079"/>
    <w:rsid w:val="00262790"/>
    <w:rsid w:val="002631A4"/>
    <w:rsid w:val="00263575"/>
    <w:rsid w:val="00263578"/>
    <w:rsid w:val="0026454C"/>
    <w:rsid w:val="00264C3A"/>
    <w:rsid w:val="00264C9D"/>
    <w:rsid w:val="00265A3F"/>
    <w:rsid w:val="00265AC4"/>
    <w:rsid w:val="00265C9B"/>
    <w:rsid w:val="00265EB4"/>
    <w:rsid w:val="002666AD"/>
    <w:rsid w:val="00266A67"/>
    <w:rsid w:val="00267932"/>
    <w:rsid w:val="00270232"/>
    <w:rsid w:val="002710B5"/>
    <w:rsid w:val="002713A2"/>
    <w:rsid w:val="00272E98"/>
    <w:rsid w:val="00273142"/>
    <w:rsid w:val="002745C2"/>
    <w:rsid w:val="002746BA"/>
    <w:rsid w:val="002754D7"/>
    <w:rsid w:val="00275858"/>
    <w:rsid w:val="00275B1C"/>
    <w:rsid w:val="00276334"/>
    <w:rsid w:val="00276DC0"/>
    <w:rsid w:val="0027741F"/>
    <w:rsid w:val="002777B1"/>
    <w:rsid w:val="00277938"/>
    <w:rsid w:val="00277C40"/>
    <w:rsid w:val="00277E95"/>
    <w:rsid w:val="00280617"/>
    <w:rsid w:val="0028101E"/>
    <w:rsid w:val="00281FAC"/>
    <w:rsid w:val="00282367"/>
    <w:rsid w:val="002823A4"/>
    <w:rsid w:val="00282618"/>
    <w:rsid w:val="00282798"/>
    <w:rsid w:val="00282B87"/>
    <w:rsid w:val="00282D86"/>
    <w:rsid w:val="00282E01"/>
    <w:rsid w:val="00282FF7"/>
    <w:rsid w:val="0028315B"/>
    <w:rsid w:val="0028319D"/>
    <w:rsid w:val="00285A54"/>
    <w:rsid w:val="00285E9D"/>
    <w:rsid w:val="00286963"/>
    <w:rsid w:val="002900FA"/>
    <w:rsid w:val="00290467"/>
    <w:rsid w:val="0029064E"/>
    <w:rsid w:val="00290D06"/>
    <w:rsid w:val="002915C5"/>
    <w:rsid w:val="002917EB"/>
    <w:rsid w:val="0029326C"/>
    <w:rsid w:val="0029370F"/>
    <w:rsid w:val="00293AFD"/>
    <w:rsid w:val="0029405C"/>
    <w:rsid w:val="00294064"/>
    <w:rsid w:val="00294408"/>
    <w:rsid w:val="00294B62"/>
    <w:rsid w:val="00295B8B"/>
    <w:rsid w:val="00296E41"/>
    <w:rsid w:val="00297CA9"/>
    <w:rsid w:val="002A01BA"/>
    <w:rsid w:val="002A0549"/>
    <w:rsid w:val="002A05BF"/>
    <w:rsid w:val="002A0A3E"/>
    <w:rsid w:val="002A13C8"/>
    <w:rsid w:val="002A1A89"/>
    <w:rsid w:val="002A331E"/>
    <w:rsid w:val="002A3A83"/>
    <w:rsid w:val="002A4C6D"/>
    <w:rsid w:val="002A5955"/>
    <w:rsid w:val="002A749A"/>
    <w:rsid w:val="002B250C"/>
    <w:rsid w:val="002B33DD"/>
    <w:rsid w:val="002B48E2"/>
    <w:rsid w:val="002B4C67"/>
    <w:rsid w:val="002B531E"/>
    <w:rsid w:val="002B5730"/>
    <w:rsid w:val="002B618D"/>
    <w:rsid w:val="002B6433"/>
    <w:rsid w:val="002B66CA"/>
    <w:rsid w:val="002B7154"/>
    <w:rsid w:val="002B7315"/>
    <w:rsid w:val="002C00E9"/>
    <w:rsid w:val="002C0590"/>
    <w:rsid w:val="002C0DF3"/>
    <w:rsid w:val="002C14B7"/>
    <w:rsid w:val="002C159F"/>
    <w:rsid w:val="002C1BE7"/>
    <w:rsid w:val="002C24F6"/>
    <w:rsid w:val="002C28C7"/>
    <w:rsid w:val="002C3217"/>
    <w:rsid w:val="002C32B4"/>
    <w:rsid w:val="002C3790"/>
    <w:rsid w:val="002C44EC"/>
    <w:rsid w:val="002C570B"/>
    <w:rsid w:val="002C6CC7"/>
    <w:rsid w:val="002C723F"/>
    <w:rsid w:val="002C7CB0"/>
    <w:rsid w:val="002C7DCF"/>
    <w:rsid w:val="002D05D1"/>
    <w:rsid w:val="002D0978"/>
    <w:rsid w:val="002D15F7"/>
    <w:rsid w:val="002D1BAC"/>
    <w:rsid w:val="002D21BF"/>
    <w:rsid w:val="002D25BC"/>
    <w:rsid w:val="002D28E5"/>
    <w:rsid w:val="002D2CBF"/>
    <w:rsid w:val="002D2F1C"/>
    <w:rsid w:val="002D3AE7"/>
    <w:rsid w:val="002D3CA1"/>
    <w:rsid w:val="002D4876"/>
    <w:rsid w:val="002D4A5B"/>
    <w:rsid w:val="002D545A"/>
    <w:rsid w:val="002D5D68"/>
    <w:rsid w:val="002D7DF8"/>
    <w:rsid w:val="002E1D3E"/>
    <w:rsid w:val="002E268E"/>
    <w:rsid w:val="002E2C95"/>
    <w:rsid w:val="002E3421"/>
    <w:rsid w:val="002E3694"/>
    <w:rsid w:val="002E3AEE"/>
    <w:rsid w:val="002E3BEC"/>
    <w:rsid w:val="002E4731"/>
    <w:rsid w:val="002E6550"/>
    <w:rsid w:val="002E6891"/>
    <w:rsid w:val="002E786C"/>
    <w:rsid w:val="002F0EB6"/>
    <w:rsid w:val="002F144A"/>
    <w:rsid w:val="002F19A9"/>
    <w:rsid w:val="002F1C67"/>
    <w:rsid w:val="002F2E6D"/>
    <w:rsid w:val="002F305D"/>
    <w:rsid w:val="002F3AF0"/>
    <w:rsid w:val="002F5EBF"/>
    <w:rsid w:val="002F6BCB"/>
    <w:rsid w:val="002F76B8"/>
    <w:rsid w:val="002F76FB"/>
    <w:rsid w:val="002F7F70"/>
    <w:rsid w:val="00300DF7"/>
    <w:rsid w:val="0030163D"/>
    <w:rsid w:val="00301F0A"/>
    <w:rsid w:val="003023C7"/>
    <w:rsid w:val="003027B7"/>
    <w:rsid w:val="00302A72"/>
    <w:rsid w:val="00302E42"/>
    <w:rsid w:val="00303F1B"/>
    <w:rsid w:val="0030473E"/>
    <w:rsid w:val="0031027C"/>
    <w:rsid w:val="00310445"/>
    <w:rsid w:val="0031046A"/>
    <w:rsid w:val="00311552"/>
    <w:rsid w:val="003119FF"/>
    <w:rsid w:val="00311F9C"/>
    <w:rsid w:val="003121F8"/>
    <w:rsid w:val="00312857"/>
    <w:rsid w:val="00312DD7"/>
    <w:rsid w:val="00313A9D"/>
    <w:rsid w:val="0031498D"/>
    <w:rsid w:val="003158CA"/>
    <w:rsid w:val="00316891"/>
    <w:rsid w:val="00316A73"/>
    <w:rsid w:val="003177F8"/>
    <w:rsid w:val="00317906"/>
    <w:rsid w:val="00320434"/>
    <w:rsid w:val="003207B5"/>
    <w:rsid w:val="00320EF7"/>
    <w:rsid w:val="00320F2B"/>
    <w:rsid w:val="00321053"/>
    <w:rsid w:val="00321123"/>
    <w:rsid w:val="0032132E"/>
    <w:rsid w:val="00321DF4"/>
    <w:rsid w:val="0032273F"/>
    <w:rsid w:val="00322F10"/>
    <w:rsid w:val="00322F4C"/>
    <w:rsid w:val="00324416"/>
    <w:rsid w:val="00324D6E"/>
    <w:rsid w:val="003251D4"/>
    <w:rsid w:val="00325DB8"/>
    <w:rsid w:val="00325EA3"/>
    <w:rsid w:val="00326332"/>
    <w:rsid w:val="00326DCB"/>
    <w:rsid w:val="00327182"/>
    <w:rsid w:val="003273DB"/>
    <w:rsid w:val="00327832"/>
    <w:rsid w:val="0033063B"/>
    <w:rsid w:val="003312F1"/>
    <w:rsid w:val="003313DC"/>
    <w:rsid w:val="003318F6"/>
    <w:rsid w:val="00332C61"/>
    <w:rsid w:val="003336A9"/>
    <w:rsid w:val="00334B90"/>
    <w:rsid w:val="0033513D"/>
    <w:rsid w:val="00335C62"/>
    <w:rsid w:val="003362F5"/>
    <w:rsid w:val="0033699D"/>
    <w:rsid w:val="00336F43"/>
    <w:rsid w:val="00337116"/>
    <w:rsid w:val="00337343"/>
    <w:rsid w:val="00340163"/>
    <w:rsid w:val="00340260"/>
    <w:rsid w:val="003408B4"/>
    <w:rsid w:val="00340CE9"/>
    <w:rsid w:val="00340E46"/>
    <w:rsid w:val="00341099"/>
    <w:rsid w:val="0034140B"/>
    <w:rsid w:val="00341959"/>
    <w:rsid w:val="00343489"/>
    <w:rsid w:val="0034449E"/>
    <w:rsid w:val="00345318"/>
    <w:rsid w:val="00345486"/>
    <w:rsid w:val="003456B7"/>
    <w:rsid w:val="00345884"/>
    <w:rsid w:val="00345EAE"/>
    <w:rsid w:val="00346298"/>
    <w:rsid w:val="003468A6"/>
    <w:rsid w:val="0034706F"/>
    <w:rsid w:val="0035026B"/>
    <w:rsid w:val="0035042C"/>
    <w:rsid w:val="003506AB"/>
    <w:rsid w:val="003509A7"/>
    <w:rsid w:val="00350CDE"/>
    <w:rsid w:val="0035177E"/>
    <w:rsid w:val="003521BE"/>
    <w:rsid w:val="00352334"/>
    <w:rsid w:val="0035309C"/>
    <w:rsid w:val="0035465E"/>
    <w:rsid w:val="003546B8"/>
    <w:rsid w:val="0035498E"/>
    <w:rsid w:val="00354C44"/>
    <w:rsid w:val="00355DC5"/>
    <w:rsid w:val="00362154"/>
    <w:rsid w:val="00362ECA"/>
    <w:rsid w:val="003630B9"/>
    <w:rsid w:val="00363D29"/>
    <w:rsid w:val="00365642"/>
    <w:rsid w:val="003658F3"/>
    <w:rsid w:val="00366BBF"/>
    <w:rsid w:val="00366D69"/>
    <w:rsid w:val="00366F7F"/>
    <w:rsid w:val="003673C6"/>
    <w:rsid w:val="0036756A"/>
    <w:rsid w:val="00367BE0"/>
    <w:rsid w:val="00370877"/>
    <w:rsid w:val="00370F76"/>
    <w:rsid w:val="003714D2"/>
    <w:rsid w:val="0037150B"/>
    <w:rsid w:val="00371A6E"/>
    <w:rsid w:val="00372681"/>
    <w:rsid w:val="00373356"/>
    <w:rsid w:val="00373864"/>
    <w:rsid w:val="00373FF5"/>
    <w:rsid w:val="00374457"/>
    <w:rsid w:val="00376007"/>
    <w:rsid w:val="00376F32"/>
    <w:rsid w:val="00377003"/>
    <w:rsid w:val="00377EE5"/>
    <w:rsid w:val="00380205"/>
    <w:rsid w:val="00380756"/>
    <w:rsid w:val="003807DE"/>
    <w:rsid w:val="00380D0F"/>
    <w:rsid w:val="00381971"/>
    <w:rsid w:val="00381C43"/>
    <w:rsid w:val="003827D2"/>
    <w:rsid w:val="00383262"/>
    <w:rsid w:val="003833C1"/>
    <w:rsid w:val="003839BF"/>
    <w:rsid w:val="00383C2A"/>
    <w:rsid w:val="003860F7"/>
    <w:rsid w:val="00387C9C"/>
    <w:rsid w:val="003909C7"/>
    <w:rsid w:val="00390D02"/>
    <w:rsid w:val="00391607"/>
    <w:rsid w:val="00392153"/>
    <w:rsid w:val="00393E09"/>
    <w:rsid w:val="003945A8"/>
    <w:rsid w:val="0039510E"/>
    <w:rsid w:val="003954B4"/>
    <w:rsid w:val="0039551D"/>
    <w:rsid w:val="00395880"/>
    <w:rsid w:val="003958AD"/>
    <w:rsid w:val="00395924"/>
    <w:rsid w:val="003971F5"/>
    <w:rsid w:val="0039750E"/>
    <w:rsid w:val="003975DE"/>
    <w:rsid w:val="00397AA9"/>
    <w:rsid w:val="00397D6B"/>
    <w:rsid w:val="003A041D"/>
    <w:rsid w:val="003A05B8"/>
    <w:rsid w:val="003A0E1E"/>
    <w:rsid w:val="003A1BE2"/>
    <w:rsid w:val="003A1D78"/>
    <w:rsid w:val="003A2462"/>
    <w:rsid w:val="003A4578"/>
    <w:rsid w:val="003A6436"/>
    <w:rsid w:val="003A7154"/>
    <w:rsid w:val="003A7415"/>
    <w:rsid w:val="003A7493"/>
    <w:rsid w:val="003B0F36"/>
    <w:rsid w:val="003B1502"/>
    <w:rsid w:val="003B1DBF"/>
    <w:rsid w:val="003B23AD"/>
    <w:rsid w:val="003B2889"/>
    <w:rsid w:val="003B45B9"/>
    <w:rsid w:val="003B483C"/>
    <w:rsid w:val="003B507B"/>
    <w:rsid w:val="003B5240"/>
    <w:rsid w:val="003B5647"/>
    <w:rsid w:val="003B6105"/>
    <w:rsid w:val="003B6DF2"/>
    <w:rsid w:val="003C0B65"/>
    <w:rsid w:val="003C0E8D"/>
    <w:rsid w:val="003C281C"/>
    <w:rsid w:val="003C33DC"/>
    <w:rsid w:val="003C377F"/>
    <w:rsid w:val="003C40AD"/>
    <w:rsid w:val="003C4C1E"/>
    <w:rsid w:val="003C53F2"/>
    <w:rsid w:val="003C5497"/>
    <w:rsid w:val="003C6E5E"/>
    <w:rsid w:val="003C711D"/>
    <w:rsid w:val="003C77E9"/>
    <w:rsid w:val="003C7C13"/>
    <w:rsid w:val="003C7EF5"/>
    <w:rsid w:val="003D03A8"/>
    <w:rsid w:val="003D097F"/>
    <w:rsid w:val="003D146E"/>
    <w:rsid w:val="003D2335"/>
    <w:rsid w:val="003D34CC"/>
    <w:rsid w:val="003D37ED"/>
    <w:rsid w:val="003D3834"/>
    <w:rsid w:val="003D4C34"/>
    <w:rsid w:val="003D5098"/>
    <w:rsid w:val="003D537B"/>
    <w:rsid w:val="003D5B19"/>
    <w:rsid w:val="003D5C41"/>
    <w:rsid w:val="003D5E7E"/>
    <w:rsid w:val="003D623A"/>
    <w:rsid w:val="003D65FF"/>
    <w:rsid w:val="003D7B9A"/>
    <w:rsid w:val="003E0181"/>
    <w:rsid w:val="003E02B9"/>
    <w:rsid w:val="003E07CE"/>
    <w:rsid w:val="003E0A27"/>
    <w:rsid w:val="003E1E53"/>
    <w:rsid w:val="003E2169"/>
    <w:rsid w:val="003E2784"/>
    <w:rsid w:val="003E2B23"/>
    <w:rsid w:val="003E2B40"/>
    <w:rsid w:val="003E31B9"/>
    <w:rsid w:val="003E3E35"/>
    <w:rsid w:val="003E3EA0"/>
    <w:rsid w:val="003E3F27"/>
    <w:rsid w:val="003E475A"/>
    <w:rsid w:val="003E477A"/>
    <w:rsid w:val="003E5E22"/>
    <w:rsid w:val="003E65EC"/>
    <w:rsid w:val="003E7706"/>
    <w:rsid w:val="003E790F"/>
    <w:rsid w:val="003E7A4E"/>
    <w:rsid w:val="003E7F13"/>
    <w:rsid w:val="003F038C"/>
    <w:rsid w:val="003F1839"/>
    <w:rsid w:val="003F1EAD"/>
    <w:rsid w:val="003F25BE"/>
    <w:rsid w:val="003F2EC9"/>
    <w:rsid w:val="003F33F5"/>
    <w:rsid w:val="003F33F7"/>
    <w:rsid w:val="003F3B48"/>
    <w:rsid w:val="003F46D5"/>
    <w:rsid w:val="003F722F"/>
    <w:rsid w:val="003F7778"/>
    <w:rsid w:val="003F7AED"/>
    <w:rsid w:val="00401290"/>
    <w:rsid w:val="004016B2"/>
    <w:rsid w:val="004022CF"/>
    <w:rsid w:val="00403D05"/>
    <w:rsid w:val="004066F8"/>
    <w:rsid w:val="00406A4D"/>
    <w:rsid w:val="00406F93"/>
    <w:rsid w:val="00406FE5"/>
    <w:rsid w:val="004071B0"/>
    <w:rsid w:val="00407400"/>
    <w:rsid w:val="00407570"/>
    <w:rsid w:val="0041028E"/>
    <w:rsid w:val="004111E2"/>
    <w:rsid w:val="00411AFE"/>
    <w:rsid w:val="004120BC"/>
    <w:rsid w:val="004127F3"/>
    <w:rsid w:val="00412E26"/>
    <w:rsid w:val="00413318"/>
    <w:rsid w:val="00413602"/>
    <w:rsid w:val="0041395D"/>
    <w:rsid w:val="00413B64"/>
    <w:rsid w:val="004155F2"/>
    <w:rsid w:val="00417849"/>
    <w:rsid w:val="004179CE"/>
    <w:rsid w:val="0042020C"/>
    <w:rsid w:val="00421066"/>
    <w:rsid w:val="00421798"/>
    <w:rsid w:val="004218C0"/>
    <w:rsid w:val="00421A85"/>
    <w:rsid w:val="00421B91"/>
    <w:rsid w:val="00421E91"/>
    <w:rsid w:val="00422619"/>
    <w:rsid w:val="00423360"/>
    <w:rsid w:val="004243C5"/>
    <w:rsid w:val="0042449D"/>
    <w:rsid w:val="00424E2C"/>
    <w:rsid w:val="00425B89"/>
    <w:rsid w:val="00425E5C"/>
    <w:rsid w:val="0042679D"/>
    <w:rsid w:val="00427864"/>
    <w:rsid w:val="00427E6E"/>
    <w:rsid w:val="0043081C"/>
    <w:rsid w:val="0043101A"/>
    <w:rsid w:val="004310E6"/>
    <w:rsid w:val="004313BC"/>
    <w:rsid w:val="004318C1"/>
    <w:rsid w:val="00431DF5"/>
    <w:rsid w:val="00432866"/>
    <w:rsid w:val="00432A68"/>
    <w:rsid w:val="00433445"/>
    <w:rsid w:val="004336DE"/>
    <w:rsid w:val="00434C7B"/>
    <w:rsid w:val="004359AD"/>
    <w:rsid w:val="00435D15"/>
    <w:rsid w:val="00436465"/>
    <w:rsid w:val="0043670F"/>
    <w:rsid w:val="00436F28"/>
    <w:rsid w:val="0043736F"/>
    <w:rsid w:val="004374E0"/>
    <w:rsid w:val="00437EC9"/>
    <w:rsid w:val="00440574"/>
    <w:rsid w:val="00441367"/>
    <w:rsid w:val="00441E6D"/>
    <w:rsid w:val="00442248"/>
    <w:rsid w:val="0044361F"/>
    <w:rsid w:val="0044445C"/>
    <w:rsid w:val="004446C5"/>
    <w:rsid w:val="00444D2E"/>
    <w:rsid w:val="00444D51"/>
    <w:rsid w:val="00445108"/>
    <w:rsid w:val="00445AD9"/>
    <w:rsid w:val="00446041"/>
    <w:rsid w:val="00446869"/>
    <w:rsid w:val="004504F0"/>
    <w:rsid w:val="00450A1C"/>
    <w:rsid w:val="00450A8C"/>
    <w:rsid w:val="00450D2E"/>
    <w:rsid w:val="00450F13"/>
    <w:rsid w:val="00452F43"/>
    <w:rsid w:val="00453FB8"/>
    <w:rsid w:val="0045454F"/>
    <w:rsid w:val="00455582"/>
    <w:rsid w:val="00455F79"/>
    <w:rsid w:val="00456895"/>
    <w:rsid w:val="0045724E"/>
    <w:rsid w:val="00457FA3"/>
    <w:rsid w:val="00461C38"/>
    <w:rsid w:val="00462C8D"/>
    <w:rsid w:val="00463BAC"/>
    <w:rsid w:val="00464215"/>
    <w:rsid w:val="004642F6"/>
    <w:rsid w:val="004647FD"/>
    <w:rsid w:val="004668C3"/>
    <w:rsid w:val="004673FD"/>
    <w:rsid w:val="0046748E"/>
    <w:rsid w:val="0046798E"/>
    <w:rsid w:val="004707B6"/>
    <w:rsid w:val="00470911"/>
    <w:rsid w:val="0047113B"/>
    <w:rsid w:val="00471D04"/>
    <w:rsid w:val="0047252F"/>
    <w:rsid w:val="00473070"/>
    <w:rsid w:val="0047446B"/>
    <w:rsid w:val="004747BD"/>
    <w:rsid w:val="00475035"/>
    <w:rsid w:val="004762B1"/>
    <w:rsid w:val="0047702C"/>
    <w:rsid w:val="00480230"/>
    <w:rsid w:val="00480856"/>
    <w:rsid w:val="00481A51"/>
    <w:rsid w:val="00481FD2"/>
    <w:rsid w:val="00482EEA"/>
    <w:rsid w:val="0048388D"/>
    <w:rsid w:val="004851DB"/>
    <w:rsid w:val="00485AA9"/>
    <w:rsid w:val="00485D6E"/>
    <w:rsid w:val="00485ECB"/>
    <w:rsid w:val="004901E2"/>
    <w:rsid w:val="00490531"/>
    <w:rsid w:val="004914C3"/>
    <w:rsid w:val="0049169F"/>
    <w:rsid w:val="00491702"/>
    <w:rsid w:val="0049199A"/>
    <w:rsid w:val="00491DFC"/>
    <w:rsid w:val="0049216D"/>
    <w:rsid w:val="00493BDC"/>
    <w:rsid w:val="004948BF"/>
    <w:rsid w:val="0049601B"/>
    <w:rsid w:val="00496BE5"/>
    <w:rsid w:val="00497BDE"/>
    <w:rsid w:val="004A0F90"/>
    <w:rsid w:val="004A1C39"/>
    <w:rsid w:val="004A2434"/>
    <w:rsid w:val="004A275B"/>
    <w:rsid w:val="004A3C26"/>
    <w:rsid w:val="004A40CA"/>
    <w:rsid w:val="004A5A4C"/>
    <w:rsid w:val="004A5C78"/>
    <w:rsid w:val="004A6A18"/>
    <w:rsid w:val="004B0E2F"/>
    <w:rsid w:val="004B12C9"/>
    <w:rsid w:val="004B1FC6"/>
    <w:rsid w:val="004B2931"/>
    <w:rsid w:val="004B43F5"/>
    <w:rsid w:val="004B443A"/>
    <w:rsid w:val="004B464B"/>
    <w:rsid w:val="004B5B20"/>
    <w:rsid w:val="004B5E8E"/>
    <w:rsid w:val="004B62D2"/>
    <w:rsid w:val="004B6EA0"/>
    <w:rsid w:val="004B7653"/>
    <w:rsid w:val="004C097F"/>
    <w:rsid w:val="004C1466"/>
    <w:rsid w:val="004C146D"/>
    <w:rsid w:val="004C154D"/>
    <w:rsid w:val="004C1B75"/>
    <w:rsid w:val="004C1C08"/>
    <w:rsid w:val="004C1DE8"/>
    <w:rsid w:val="004C25A7"/>
    <w:rsid w:val="004C2A32"/>
    <w:rsid w:val="004C2EC9"/>
    <w:rsid w:val="004C39DE"/>
    <w:rsid w:val="004C3B30"/>
    <w:rsid w:val="004C3D7D"/>
    <w:rsid w:val="004C4F3D"/>
    <w:rsid w:val="004C5CA1"/>
    <w:rsid w:val="004C5DBB"/>
    <w:rsid w:val="004C7147"/>
    <w:rsid w:val="004C7751"/>
    <w:rsid w:val="004D09D5"/>
    <w:rsid w:val="004D2309"/>
    <w:rsid w:val="004D2C8C"/>
    <w:rsid w:val="004D3519"/>
    <w:rsid w:val="004D364E"/>
    <w:rsid w:val="004D5C5B"/>
    <w:rsid w:val="004D650A"/>
    <w:rsid w:val="004D6E0F"/>
    <w:rsid w:val="004D6E7C"/>
    <w:rsid w:val="004D737D"/>
    <w:rsid w:val="004E011A"/>
    <w:rsid w:val="004E0381"/>
    <w:rsid w:val="004E041D"/>
    <w:rsid w:val="004E1F63"/>
    <w:rsid w:val="004E2019"/>
    <w:rsid w:val="004E25A3"/>
    <w:rsid w:val="004E280F"/>
    <w:rsid w:val="004E4B11"/>
    <w:rsid w:val="004E4D16"/>
    <w:rsid w:val="004E5414"/>
    <w:rsid w:val="004E5BF3"/>
    <w:rsid w:val="004E62E8"/>
    <w:rsid w:val="004E6FD1"/>
    <w:rsid w:val="004E72BE"/>
    <w:rsid w:val="004E780F"/>
    <w:rsid w:val="004E79FF"/>
    <w:rsid w:val="004F101A"/>
    <w:rsid w:val="004F14B6"/>
    <w:rsid w:val="004F1C1A"/>
    <w:rsid w:val="004F26A1"/>
    <w:rsid w:val="004F375B"/>
    <w:rsid w:val="004F3A10"/>
    <w:rsid w:val="004F3F27"/>
    <w:rsid w:val="004F4CAC"/>
    <w:rsid w:val="004F59A3"/>
    <w:rsid w:val="004F6228"/>
    <w:rsid w:val="004F7413"/>
    <w:rsid w:val="004F78B6"/>
    <w:rsid w:val="004F7953"/>
    <w:rsid w:val="0050113E"/>
    <w:rsid w:val="00501517"/>
    <w:rsid w:val="005016FC"/>
    <w:rsid w:val="00501DE7"/>
    <w:rsid w:val="00502E64"/>
    <w:rsid w:val="00502FF3"/>
    <w:rsid w:val="00503252"/>
    <w:rsid w:val="005032FB"/>
    <w:rsid w:val="00503C93"/>
    <w:rsid w:val="00504499"/>
    <w:rsid w:val="0050481D"/>
    <w:rsid w:val="0050488E"/>
    <w:rsid w:val="00504CD0"/>
    <w:rsid w:val="00505051"/>
    <w:rsid w:val="005060CE"/>
    <w:rsid w:val="005067D0"/>
    <w:rsid w:val="00506803"/>
    <w:rsid w:val="00506E30"/>
    <w:rsid w:val="00506EEF"/>
    <w:rsid w:val="0051198B"/>
    <w:rsid w:val="005129FD"/>
    <w:rsid w:val="00512D05"/>
    <w:rsid w:val="00513838"/>
    <w:rsid w:val="00513BF2"/>
    <w:rsid w:val="0051488E"/>
    <w:rsid w:val="005149FE"/>
    <w:rsid w:val="005158DB"/>
    <w:rsid w:val="00515AEF"/>
    <w:rsid w:val="005165AA"/>
    <w:rsid w:val="005169F5"/>
    <w:rsid w:val="00516C06"/>
    <w:rsid w:val="005171F8"/>
    <w:rsid w:val="005172B8"/>
    <w:rsid w:val="00517A51"/>
    <w:rsid w:val="00517C14"/>
    <w:rsid w:val="00517ECB"/>
    <w:rsid w:val="00521584"/>
    <w:rsid w:val="00522268"/>
    <w:rsid w:val="005228CC"/>
    <w:rsid w:val="00522E4B"/>
    <w:rsid w:val="005230DB"/>
    <w:rsid w:val="00524D76"/>
    <w:rsid w:val="00525475"/>
    <w:rsid w:val="00525ADE"/>
    <w:rsid w:val="00525BF4"/>
    <w:rsid w:val="00526A97"/>
    <w:rsid w:val="00527ACB"/>
    <w:rsid w:val="00527AD7"/>
    <w:rsid w:val="00527C1D"/>
    <w:rsid w:val="00530FFE"/>
    <w:rsid w:val="0053109A"/>
    <w:rsid w:val="00531193"/>
    <w:rsid w:val="005316B5"/>
    <w:rsid w:val="0053170F"/>
    <w:rsid w:val="005319A3"/>
    <w:rsid w:val="005319FC"/>
    <w:rsid w:val="00531BCB"/>
    <w:rsid w:val="005338A1"/>
    <w:rsid w:val="0053464B"/>
    <w:rsid w:val="005348B9"/>
    <w:rsid w:val="00534C7D"/>
    <w:rsid w:val="005354BE"/>
    <w:rsid w:val="00535772"/>
    <w:rsid w:val="0053630E"/>
    <w:rsid w:val="00536E60"/>
    <w:rsid w:val="00537490"/>
    <w:rsid w:val="00537F8B"/>
    <w:rsid w:val="00540096"/>
    <w:rsid w:val="0054031D"/>
    <w:rsid w:val="00540514"/>
    <w:rsid w:val="00540B29"/>
    <w:rsid w:val="005414E0"/>
    <w:rsid w:val="00542144"/>
    <w:rsid w:val="00543613"/>
    <w:rsid w:val="00544F0E"/>
    <w:rsid w:val="00545B36"/>
    <w:rsid w:val="00545EDD"/>
    <w:rsid w:val="00545F04"/>
    <w:rsid w:val="00546D65"/>
    <w:rsid w:val="00547029"/>
    <w:rsid w:val="005475F0"/>
    <w:rsid w:val="00547A9E"/>
    <w:rsid w:val="0055217B"/>
    <w:rsid w:val="005548DD"/>
    <w:rsid w:val="00555007"/>
    <w:rsid w:val="00555453"/>
    <w:rsid w:val="00555473"/>
    <w:rsid w:val="00555CB2"/>
    <w:rsid w:val="005569C8"/>
    <w:rsid w:val="005571C4"/>
    <w:rsid w:val="00557845"/>
    <w:rsid w:val="00557CC5"/>
    <w:rsid w:val="0056002C"/>
    <w:rsid w:val="00560FC6"/>
    <w:rsid w:val="00561645"/>
    <w:rsid w:val="00561B42"/>
    <w:rsid w:val="00561D3B"/>
    <w:rsid w:val="00562B11"/>
    <w:rsid w:val="00562F38"/>
    <w:rsid w:val="005630FD"/>
    <w:rsid w:val="00563121"/>
    <w:rsid w:val="00563537"/>
    <w:rsid w:val="00563685"/>
    <w:rsid w:val="0056371A"/>
    <w:rsid w:val="005655F1"/>
    <w:rsid w:val="0056646A"/>
    <w:rsid w:val="005674AF"/>
    <w:rsid w:val="0057019F"/>
    <w:rsid w:val="00570229"/>
    <w:rsid w:val="00570D62"/>
    <w:rsid w:val="00571E82"/>
    <w:rsid w:val="00571EB3"/>
    <w:rsid w:val="00572354"/>
    <w:rsid w:val="0057287F"/>
    <w:rsid w:val="0057317F"/>
    <w:rsid w:val="00573207"/>
    <w:rsid w:val="00573539"/>
    <w:rsid w:val="00573BF9"/>
    <w:rsid w:val="005748CE"/>
    <w:rsid w:val="00576195"/>
    <w:rsid w:val="0057767E"/>
    <w:rsid w:val="00577CF5"/>
    <w:rsid w:val="00577D16"/>
    <w:rsid w:val="00581063"/>
    <w:rsid w:val="0058117B"/>
    <w:rsid w:val="00582075"/>
    <w:rsid w:val="005827E4"/>
    <w:rsid w:val="0058302F"/>
    <w:rsid w:val="0058334D"/>
    <w:rsid w:val="00583BA9"/>
    <w:rsid w:val="00583D2B"/>
    <w:rsid w:val="00584D1C"/>
    <w:rsid w:val="00585344"/>
    <w:rsid w:val="005854AF"/>
    <w:rsid w:val="00585A66"/>
    <w:rsid w:val="005878F5"/>
    <w:rsid w:val="00590BBA"/>
    <w:rsid w:val="00591373"/>
    <w:rsid w:val="00592D62"/>
    <w:rsid w:val="00592EB5"/>
    <w:rsid w:val="005930ED"/>
    <w:rsid w:val="00593776"/>
    <w:rsid w:val="0059438E"/>
    <w:rsid w:val="005944CC"/>
    <w:rsid w:val="0059494E"/>
    <w:rsid w:val="00594B94"/>
    <w:rsid w:val="00595429"/>
    <w:rsid w:val="005954F9"/>
    <w:rsid w:val="00595E3E"/>
    <w:rsid w:val="00596844"/>
    <w:rsid w:val="00596896"/>
    <w:rsid w:val="00596A6B"/>
    <w:rsid w:val="00596EBB"/>
    <w:rsid w:val="0059719C"/>
    <w:rsid w:val="005974F6"/>
    <w:rsid w:val="00597A5B"/>
    <w:rsid w:val="005A177F"/>
    <w:rsid w:val="005A2751"/>
    <w:rsid w:val="005A2C72"/>
    <w:rsid w:val="005A46FD"/>
    <w:rsid w:val="005A4CD4"/>
    <w:rsid w:val="005A548E"/>
    <w:rsid w:val="005A5A89"/>
    <w:rsid w:val="005A6CCA"/>
    <w:rsid w:val="005A6E86"/>
    <w:rsid w:val="005A6EA6"/>
    <w:rsid w:val="005A7058"/>
    <w:rsid w:val="005A7AA8"/>
    <w:rsid w:val="005A7BEA"/>
    <w:rsid w:val="005A7D74"/>
    <w:rsid w:val="005B04B0"/>
    <w:rsid w:val="005B073F"/>
    <w:rsid w:val="005B0A4D"/>
    <w:rsid w:val="005B1290"/>
    <w:rsid w:val="005B1DB2"/>
    <w:rsid w:val="005B2933"/>
    <w:rsid w:val="005B2A08"/>
    <w:rsid w:val="005B2E01"/>
    <w:rsid w:val="005B31F2"/>
    <w:rsid w:val="005B36F9"/>
    <w:rsid w:val="005B3B5A"/>
    <w:rsid w:val="005B50D1"/>
    <w:rsid w:val="005B52AF"/>
    <w:rsid w:val="005B63BF"/>
    <w:rsid w:val="005B68FE"/>
    <w:rsid w:val="005B6A99"/>
    <w:rsid w:val="005B6BCC"/>
    <w:rsid w:val="005B6F47"/>
    <w:rsid w:val="005B7D2A"/>
    <w:rsid w:val="005C02A3"/>
    <w:rsid w:val="005C05D9"/>
    <w:rsid w:val="005C1847"/>
    <w:rsid w:val="005C1EE3"/>
    <w:rsid w:val="005C2756"/>
    <w:rsid w:val="005C2836"/>
    <w:rsid w:val="005C5743"/>
    <w:rsid w:val="005C599F"/>
    <w:rsid w:val="005C5EAC"/>
    <w:rsid w:val="005D0184"/>
    <w:rsid w:val="005D05A0"/>
    <w:rsid w:val="005D182A"/>
    <w:rsid w:val="005D327A"/>
    <w:rsid w:val="005D3461"/>
    <w:rsid w:val="005D37CF"/>
    <w:rsid w:val="005D38B4"/>
    <w:rsid w:val="005D3AA7"/>
    <w:rsid w:val="005D3DE4"/>
    <w:rsid w:val="005D4C89"/>
    <w:rsid w:val="005D4F47"/>
    <w:rsid w:val="005D5103"/>
    <w:rsid w:val="005D59AA"/>
    <w:rsid w:val="005D5FFF"/>
    <w:rsid w:val="005D6CF4"/>
    <w:rsid w:val="005D7635"/>
    <w:rsid w:val="005E00BE"/>
    <w:rsid w:val="005E0A3B"/>
    <w:rsid w:val="005E1B95"/>
    <w:rsid w:val="005E2265"/>
    <w:rsid w:val="005E2397"/>
    <w:rsid w:val="005E2886"/>
    <w:rsid w:val="005E3307"/>
    <w:rsid w:val="005E4CF0"/>
    <w:rsid w:val="005E548C"/>
    <w:rsid w:val="005E699D"/>
    <w:rsid w:val="005E7BA4"/>
    <w:rsid w:val="005E7C77"/>
    <w:rsid w:val="005F06C4"/>
    <w:rsid w:val="005F08EC"/>
    <w:rsid w:val="005F0C4C"/>
    <w:rsid w:val="005F0C5E"/>
    <w:rsid w:val="005F18B6"/>
    <w:rsid w:val="005F1C04"/>
    <w:rsid w:val="005F1FE6"/>
    <w:rsid w:val="005F2615"/>
    <w:rsid w:val="005F2677"/>
    <w:rsid w:val="005F277E"/>
    <w:rsid w:val="005F2BE5"/>
    <w:rsid w:val="005F52E8"/>
    <w:rsid w:val="005F53F2"/>
    <w:rsid w:val="005F5E97"/>
    <w:rsid w:val="005F5EAE"/>
    <w:rsid w:val="005F60CA"/>
    <w:rsid w:val="005F6475"/>
    <w:rsid w:val="005F72CD"/>
    <w:rsid w:val="005F752E"/>
    <w:rsid w:val="006011A8"/>
    <w:rsid w:val="00602C8B"/>
    <w:rsid w:val="0060342D"/>
    <w:rsid w:val="006035B5"/>
    <w:rsid w:val="00605199"/>
    <w:rsid w:val="006058A2"/>
    <w:rsid w:val="00606781"/>
    <w:rsid w:val="00606AC9"/>
    <w:rsid w:val="006070DC"/>
    <w:rsid w:val="00607627"/>
    <w:rsid w:val="00611463"/>
    <w:rsid w:val="00612475"/>
    <w:rsid w:val="0061266C"/>
    <w:rsid w:val="00612B26"/>
    <w:rsid w:val="00612B48"/>
    <w:rsid w:val="00613702"/>
    <w:rsid w:val="00613BA1"/>
    <w:rsid w:val="006158AD"/>
    <w:rsid w:val="006159BA"/>
    <w:rsid w:val="00615EEE"/>
    <w:rsid w:val="00616D1C"/>
    <w:rsid w:val="00620FA3"/>
    <w:rsid w:val="006210CB"/>
    <w:rsid w:val="006213C9"/>
    <w:rsid w:val="00621DAD"/>
    <w:rsid w:val="0062342F"/>
    <w:rsid w:val="00623436"/>
    <w:rsid w:val="00623966"/>
    <w:rsid w:val="00624C7A"/>
    <w:rsid w:val="00624CAC"/>
    <w:rsid w:val="00625423"/>
    <w:rsid w:val="006256C7"/>
    <w:rsid w:val="006256E1"/>
    <w:rsid w:val="006258CD"/>
    <w:rsid w:val="00625BCF"/>
    <w:rsid w:val="006269C5"/>
    <w:rsid w:val="00626BEC"/>
    <w:rsid w:val="00626E4C"/>
    <w:rsid w:val="0062736F"/>
    <w:rsid w:val="006316B5"/>
    <w:rsid w:val="00631A83"/>
    <w:rsid w:val="00631F41"/>
    <w:rsid w:val="00632187"/>
    <w:rsid w:val="00632302"/>
    <w:rsid w:val="00632BA4"/>
    <w:rsid w:val="00633992"/>
    <w:rsid w:val="0063408D"/>
    <w:rsid w:val="0063492F"/>
    <w:rsid w:val="00634EA3"/>
    <w:rsid w:val="006360D1"/>
    <w:rsid w:val="006362BE"/>
    <w:rsid w:val="00636BDB"/>
    <w:rsid w:val="00637B02"/>
    <w:rsid w:val="006402ED"/>
    <w:rsid w:val="00640AE0"/>
    <w:rsid w:val="00640DD5"/>
    <w:rsid w:val="00640F86"/>
    <w:rsid w:val="00642655"/>
    <w:rsid w:val="0064419A"/>
    <w:rsid w:val="00644378"/>
    <w:rsid w:val="00645027"/>
    <w:rsid w:val="00645967"/>
    <w:rsid w:val="00645BD6"/>
    <w:rsid w:val="00645C1A"/>
    <w:rsid w:val="00645D41"/>
    <w:rsid w:val="00651228"/>
    <w:rsid w:val="0065160C"/>
    <w:rsid w:val="0065178E"/>
    <w:rsid w:val="006523D5"/>
    <w:rsid w:val="00652C4A"/>
    <w:rsid w:val="00655D5D"/>
    <w:rsid w:val="00656163"/>
    <w:rsid w:val="006569E8"/>
    <w:rsid w:val="006570FD"/>
    <w:rsid w:val="00657823"/>
    <w:rsid w:val="00660B1E"/>
    <w:rsid w:val="00661F27"/>
    <w:rsid w:val="00662685"/>
    <w:rsid w:val="006637C2"/>
    <w:rsid w:val="00663CA5"/>
    <w:rsid w:val="00663EC5"/>
    <w:rsid w:val="0066472C"/>
    <w:rsid w:val="00664E48"/>
    <w:rsid w:val="0066505F"/>
    <w:rsid w:val="00665559"/>
    <w:rsid w:val="006655BC"/>
    <w:rsid w:val="0066605D"/>
    <w:rsid w:val="00666D10"/>
    <w:rsid w:val="0066765F"/>
    <w:rsid w:val="0066783D"/>
    <w:rsid w:val="00667EE4"/>
    <w:rsid w:val="006708ED"/>
    <w:rsid w:val="00671A4E"/>
    <w:rsid w:val="00676B18"/>
    <w:rsid w:val="00677684"/>
    <w:rsid w:val="006805A0"/>
    <w:rsid w:val="006805CE"/>
    <w:rsid w:val="0068080F"/>
    <w:rsid w:val="00680840"/>
    <w:rsid w:val="00680A0E"/>
    <w:rsid w:val="00680D6D"/>
    <w:rsid w:val="006812E4"/>
    <w:rsid w:val="00682271"/>
    <w:rsid w:val="006829D8"/>
    <w:rsid w:val="00682F1F"/>
    <w:rsid w:val="006835F3"/>
    <w:rsid w:val="00683D33"/>
    <w:rsid w:val="0068419A"/>
    <w:rsid w:val="00684E70"/>
    <w:rsid w:val="006871F3"/>
    <w:rsid w:val="00687CB2"/>
    <w:rsid w:val="00690BFC"/>
    <w:rsid w:val="006916BC"/>
    <w:rsid w:val="00693B2B"/>
    <w:rsid w:val="00693DAC"/>
    <w:rsid w:val="00693FBC"/>
    <w:rsid w:val="006942B9"/>
    <w:rsid w:val="00695031"/>
    <w:rsid w:val="006953DF"/>
    <w:rsid w:val="00696093"/>
    <w:rsid w:val="006965A6"/>
    <w:rsid w:val="00696BFE"/>
    <w:rsid w:val="006972C7"/>
    <w:rsid w:val="006A0BD2"/>
    <w:rsid w:val="006A185C"/>
    <w:rsid w:val="006A272E"/>
    <w:rsid w:val="006A287A"/>
    <w:rsid w:val="006A2AEA"/>
    <w:rsid w:val="006A36FE"/>
    <w:rsid w:val="006A47F3"/>
    <w:rsid w:val="006A6057"/>
    <w:rsid w:val="006A6772"/>
    <w:rsid w:val="006A69AF"/>
    <w:rsid w:val="006A6C3D"/>
    <w:rsid w:val="006A7F75"/>
    <w:rsid w:val="006B0523"/>
    <w:rsid w:val="006B073A"/>
    <w:rsid w:val="006B180C"/>
    <w:rsid w:val="006B1857"/>
    <w:rsid w:val="006B252A"/>
    <w:rsid w:val="006B276F"/>
    <w:rsid w:val="006B2998"/>
    <w:rsid w:val="006B2CE4"/>
    <w:rsid w:val="006B36F0"/>
    <w:rsid w:val="006B4419"/>
    <w:rsid w:val="006B467B"/>
    <w:rsid w:val="006B50E4"/>
    <w:rsid w:val="006B5459"/>
    <w:rsid w:val="006B605F"/>
    <w:rsid w:val="006B68FF"/>
    <w:rsid w:val="006B7E44"/>
    <w:rsid w:val="006C1075"/>
    <w:rsid w:val="006C1DE7"/>
    <w:rsid w:val="006C2914"/>
    <w:rsid w:val="006C2A6D"/>
    <w:rsid w:val="006C2D24"/>
    <w:rsid w:val="006C3B2D"/>
    <w:rsid w:val="006C3D15"/>
    <w:rsid w:val="006C4BB2"/>
    <w:rsid w:val="006C5E85"/>
    <w:rsid w:val="006C5F85"/>
    <w:rsid w:val="006C607D"/>
    <w:rsid w:val="006C6B14"/>
    <w:rsid w:val="006C6D2B"/>
    <w:rsid w:val="006C6E1A"/>
    <w:rsid w:val="006D0B32"/>
    <w:rsid w:val="006D1071"/>
    <w:rsid w:val="006D19A6"/>
    <w:rsid w:val="006D2545"/>
    <w:rsid w:val="006D296C"/>
    <w:rsid w:val="006D2D5D"/>
    <w:rsid w:val="006D3CC5"/>
    <w:rsid w:val="006D4016"/>
    <w:rsid w:val="006D45FA"/>
    <w:rsid w:val="006D4648"/>
    <w:rsid w:val="006D4C90"/>
    <w:rsid w:val="006D5B1C"/>
    <w:rsid w:val="006D6F4A"/>
    <w:rsid w:val="006D7D4B"/>
    <w:rsid w:val="006E047C"/>
    <w:rsid w:val="006E064B"/>
    <w:rsid w:val="006E0745"/>
    <w:rsid w:val="006E08DB"/>
    <w:rsid w:val="006E0BD5"/>
    <w:rsid w:val="006E153E"/>
    <w:rsid w:val="006E1F5E"/>
    <w:rsid w:val="006E2999"/>
    <w:rsid w:val="006E2AD5"/>
    <w:rsid w:val="006E31E6"/>
    <w:rsid w:val="006E3510"/>
    <w:rsid w:val="006E3694"/>
    <w:rsid w:val="006E3B2B"/>
    <w:rsid w:val="006E3DB3"/>
    <w:rsid w:val="006E4415"/>
    <w:rsid w:val="006E700C"/>
    <w:rsid w:val="006E7C28"/>
    <w:rsid w:val="006F0B38"/>
    <w:rsid w:val="006F0E4C"/>
    <w:rsid w:val="006F1704"/>
    <w:rsid w:val="006F23F3"/>
    <w:rsid w:val="006F23F7"/>
    <w:rsid w:val="006F36F8"/>
    <w:rsid w:val="006F4191"/>
    <w:rsid w:val="006F45C1"/>
    <w:rsid w:val="006F48B9"/>
    <w:rsid w:val="006F535F"/>
    <w:rsid w:val="006F55C2"/>
    <w:rsid w:val="006F5B62"/>
    <w:rsid w:val="007017ED"/>
    <w:rsid w:val="00701AD4"/>
    <w:rsid w:val="00701DF5"/>
    <w:rsid w:val="007020BC"/>
    <w:rsid w:val="00702166"/>
    <w:rsid w:val="007022F4"/>
    <w:rsid w:val="00702643"/>
    <w:rsid w:val="00702A57"/>
    <w:rsid w:val="00702E63"/>
    <w:rsid w:val="00703978"/>
    <w:rsid w:val="00703CC9"/>
    <w:rsid w:val="00704692"/>
    <w:rsid w:val="00705136"/>
    <w:rsid w:val="007054A7"/>
    <w:rsid w:val="007055AA"/>
    <w:rsid w:val="007055E6"/>
    <w:rsid w:val="00705850"/>
    <w:rsid w:val="00705B6A"/>
    <w:rsid w:val="00705CAB"/>
    <w:rsid w:val="00705F14"/>
    <w:rsid w:val="0070615A"/>
    <w:rsid w:val="0070645E"/>
    <w:rsid w:val="00706972"/>
    <w:rsid w:val="00706F5F"/>
    <w:rsid w:val="00707FFC"/>
    <w:rsid w:val="00710042"/>
    <w:rsid w:val="00710D1B"/>
    <w:rsid w:val="00711BA1"/>
    <w:rsid w:val="007120F1"/>
    <w:rsid w:val="00712E6F"/>
    <w:rsid w:val="00714313"/>
    <w:rsid w:val="00715029"/>
    <w:rsid w:val="007157BB"/>
    <w:rsid w:val="00715AD9"/>
    <w:rsid w:val="00715D1F"/>
    <w:rsid w:val="00716BE4"/>
    <w:rsid w:val="00716C88"/>
    <w:rsid w:val="00717746"/>
    <w:rsid w:val="00717FB6"/>
    <w:rsid w:val="007206B8"/>
    <w:rsid w:val="00720996"/>
    <w:rsid w:val="00721882"/>
    <w:rsid w:val="00722CF4"/>
    <w:rsid w:val="00722FF1"/>
    <w:rsid w:val="00723395"/>
    <w:rsid w:val="007235ED"/>
    <w:rsid w:val="007242FC"/>
    <w:rsid w:val="007243B1"/>
    <w:rsid w:val="0072589C"/>
    <w:rsid w:val="00727B4B"/>
    <w:rsid w:val="00730392"/>
    <w:rsid w:val="007306E7"/>
    <w:rsid w:val="00730AEC"/>
    <w:rsid w:val="00730D88"/>
    <w:rsid w:val="007311C0"/>
    <w:rsid w:val="007323ED"/>
    <w:rsid w:val="0073254C"/>
    <w:rsid w:val="00733016"/>
    <w:rsid w:val="00733396"/>
    <w:rsid w:val="00734274"/>
    <w:rsid w:val="007343D0"/>
    <w:rsid w:val="00734AD3"/>
    <w:rsid w:val="0073605E"/>
    <w:rsid w:val="00736387"/>
    <w:rsid w:val="00737B63"/>
    <w:rsid w:val="00737CD2"/>
    <w:rsid w:val="0074025F"/>
    <w:rsid w:val="00742A93"/>
    <w:rsid w:val="00743733"/>
    <w:rsid w:val="0074392F"/>
    <w:rsid w:val="00743E92"/>
    <w:rsid w:val="00744EAF"/>
    <w:rsid w:val="00746023"/>
    <w:rsid w:val="00746969"/>
    <w:rsid w:val="00747109"/>
    <w:rsid w:val="00747662"/>
    <w:rsid w:val="00747968"/>
    <w:rsid w:val="00747B69"/>
    <w:rsid w:val="00751169"/>
    <w:rsid w:val="00751894"/>
    <w:rsid w:val="0075190F"/>
    <w:rsid w:val="007519B5"/>
    <w:rsid w:val="007521BD"/>
    <w:rsid w:val="007523AF"/>
    <w:rsid w:val="00752E98"/>
    <w:rsid w:val="00755E7C"/>
    <w:rsid w:val="00756E78"/>
    <w:rsid w:val="00757243"/>
    <w:rsid w:val="0075757E"/>
    <w:rsid w:val="007600DB"/>
    <w:rsid w:val="00760856"/>
    <w:rsid w:val="00761676"/>
    <w:rsid w:val="00761B67"/>
    <w:rsid w:val="00761DF9"/>
    <w:rsid w:val="00762520"/>
    <w:rsid w:val="007634DD"/>
    <w:rsid w:val="0076411D"/>
    <w:rsid w:val="00764685"/>
    <w:rsid w:val="00765592"/>
    <w:rsid w:val="00765C58"/>
    <w:rsid w:val="00765E05"/>
    <w:rsid w:val="00766D5F"/>
    <w:rsid w:val="00767038"/>
    <w:rsid w:val="00767414"/>
    <w:rsid w:val="007676C8"/>
    <w:rsid w:val="0076784C"/>
    <w:rsid w:val="00770EDF"/>
    <w:rsid w:val="0077118C"/>
    <w:rsid w:val="00771463"/>
    <w:rsid w:val="0077147A"/>
    <w:rsid w:val="00771660"/>
    <w:rsid w:val="00772D3F"/>
    <w:rsid w:val="00773CAD"/>
    <w:rsid w:val="00774600"/>
    <w:rsid w:val="00774868"/>
    <w:rsid w:val="00775313"/>
    <w:rsid w:val="007759AF"/>
    <w:rsid w:val="00775EE4"/>
    <w:rsid w:val="00776327"/>
    <w:rsid w:val="0077635B"/>
    <w:rsid w:val="007764FC"/>
    <w:rsid w:val="00776584"/>
    <w:rsid w:val="00776B7D"/>
    <w:rsid w:val="00776EC6"/>
    <w:rsid w:val="007772B0"/>
    <w:rsid w:val="0077761E"/>
    <w:rsid w:val="007779ED"/>
    <w:rsid w:val="00777B7F"/>
    <w:rsid w:val="007809FB"/>
    <w:rsid w:val="00780C7D"/>
    <w:rsid w:val="00781D25"/>
    <w:rsid w:val="00782EAB"/>
    <w:rsid w:val="0078369C"/>
    <w:rsid w:val="00783748"/>
    <w:rsid w:val="007838A9"/>
    <w:rsid w:val="00783AAC"/>
    <w:rsid w:val="00784107"/>
    <w:rsid w:val="007841B9"/>
    <w:rsid w:val="00784337"/>
    <w:rsid w:val="00784549"/>
    <w:rsid w:val="007860A0"/>
    <w:rsid w:val="007912DB"/>
    <w:rsid w:val="007919A7"/>
    <w:rsid w:val="00791BF8"/>
    <w:rsid w:val="00792134"/>
    <w:rsid w:val="00794A82"/>
    <w:rsid w:val="0079644E"/>
    <w:rsid w:val="00796C8F"/>
    <w:rsid w:val="0079756F"/>
    <w:rsid w:val="007A0114"/>
    <w:rsid w:val="007A1315"/>
    <w:rsid w:val="007A288D"/>
    <w:rsid w:val="007A298B"/>
    <w:rsid w:val="007A2C9E"/>
    <w:rsid w:val="007A3C6A"/>
    <w:rsid w:val="007A424E"/>
    <w:rsid w:val="007A4A94"/>
    <w:rsid w:val="007A4BC8"/>
    <w:rsid w:val="007A4D02"/>
    <w:rsid w:val="007A4EEE"/>
    <w:rsid w:val="007A52B3"/>
    <w:rsid w:val="007A5F14"/>
    <w:rsid w:val="007A63B4"/>
    <w:rsid w:val="007A653F"/>
    <w:rsid w:val="007A7625"/>
    <w:rsid w:val="007A7650"/>
    <w:rsid w:val="007A799F"/>
    <w:rsid w:val="007B05BB"/>
    <w:rsid w:val="007B0827"/>
    <w:rsid w:val="007B14C3"/>
    <w:rsid w:val="007B253C"/>
    <w:rsid w:val="007B2612"/>
    <w:rsid w:val="007B3C4F"/>
    <w:rsid w:val="007B6964"/>
    <w:rsid w:val="007B6AE3"/>
    <w:rsid w:val="007B796A"/>
    <w:rsid w:val="007B7A11"/>
    <w:rsid w:val="007C2A37"/>
    <w:rsid w:val="007C31F2"/>
    <w:rsid w:val="007C3C1A"/>
    <w:rsid w:val="007C4816"/>
    <w:rsid w:val="007C4E7B"/>
    <w:rsid w:val="007C513A"/>
    <w:rsid w:val="007C52E7"/>
    <w:rsid w:val="007C5493"/>
    <w:rsid w:val="007C58DD"/>
    <w:rsid w:val="007C771C"/>
    <w:rsid w:val="007C7ED0"/>
    <w:rsid w:val="007C7F7A"/>
    <w:rsid w:val="007C7FA5"/>
    <w:rsid w:val="007D03DF"/>
    <w:rsid w:val="007D0457"/>
    <w:rsid w:val="007D14D1"/>
    <w:rsid w:val="007D188D"/>
    <w:rsid w:val="007D1BE2"/>
    <w:rsid w:val="007D294D"/>
    <w:rsid w:val="007D329C"/>
    <w:rsid w:val="007D3D5A"/>
    <w:rsid w:val="007D4519"/>
    <w:rsid w:val="007D493B"/>
    <w:rsid w:val="007D5615"/>
    <w:rsid w:val="007D5CB5"/>
    <w:rsid w:val="007D5E79"/>
    <w:rsid w:val="007D6540"/>
    <w:rsid w:val="007D65F2"/>
    <w:rsid w:val="007D7673"/>
    <w:rsid w:val="007D76B8"/>
    <w:rsid w:val="007D7EDC"/>
    <w:rsid w:val="007E0F62"/>
    <w:rsid w:val="007E0F63"/>
    <w:rsid w:val="007E12DC"/>
    <w:rsid w:val="007E1850"/>
    <w:rsid w:val="007E2A9B"/>
    <w:rsid w:val="007E2DCA"/>
    <w:rsid w:val="007E450F"/>
    <w:rsid w:val="007E4CBE"/>
    <w:rsid w:val="007E4E6F"/>
    <w:rsid w:val="007E5035"/>
    <w:rsid w:val="007E6251"/>
    <w:rsid w:val="007E6CD2"/>
    <w:rsid w:val="007E6F8D"/>
    <w:rsid w:val="007E7709"/>
    <w:rsid w:val="007F03F7"/>
    <w:rsid w:val="007F04F3"/>
    <w:rsid w:val="007F08F1"/>
    <w:rsid w:val="007F16AB"/>
    <w:rsid w:val="007F2095"/>
    <w:rsid w:val="007F36CB"/>
    <w:rsid w:val="007F37E1"/>
    <w:rsid w:val="007F4152"/>
    <w:rsid w:val="007F548D"/>
    <w:rsid w:val="007F5C93"/>
    <w:rsid w:val="007F5D21"/>
    <w:rsid w:val="007F6732"/>
    <w:rsid w:val="007F6AFC"/>
    <w:rsid w:val="007F6D18"/>
    <w:rsid w:val="007F76F1"/>
    <w:rsid w:val="007F7EC7"/>
    <w:rsid w:val="008006E3"/>
    <w:rsid w:val="00800945"/>
    <w:rsid w:val="00800AF8"/>
    <w:rsid w:val="00801129"/>
    <w:rsid w:val="00801CFE"/>
    <w:rsid w:val="00801D77"/>
    <w:rsid w:val="00801DDA"/>
    <w:rsid w:val="00802D1C"/>
    <w:rsid w:val="00803EE7"/>
    <w:rsid w:val="00804383"/>
    <w:rsid w:val="0080489A"/>
    <w:rsid w:val="008064BB"/>
    <w:rsid w:val="0080676F"/>
    <w:rsid w:val="00806D63"/>
    <w:rsid w:val="00807607"/>
    <w:rsid w:val="0081051F"/>
    <w:rsid w:val="00810B28"/>
    <w:rsid w:val="00811154"/>
    <w:rsid w:val="0081136E"/>
    <w:rsid w:val="008116C2"/>
    <w:rsid w:val="00812DB6"/>
    <w:rsid w:val="00812E54"/>
    <w:rsid w:val="00813E37"/>
    <w:rsid w:val="00815302"/>
    <w:rsid w:val="008164F3"/>
    <w:rsid w:val="00816ABF"/>
    <w:rsid w:val="00821097"/>
    <w:rsid w:val="0082131F"/>
    <w:rsid w:val="008222C9"/>
    <w:rsid w:val="008226B6"/>
    <w:rsid w:val="008230E5"/>
    <w:rsid w:val="0082363E"/>
    <w:rsid w:val="008236E0"/>
    <w:rsid w:val="0082397A"/>
    <w:rsid w:val="00823D72"/>
    <w:rsid w:val="00823FBE"/>
    <w:rsid w:val="00825165"/>
    <w:rsid w:val="00825233"/>
    <w:rsid w:val="008261CD"/>
    <w:rsid w:val="00826202"/>
    <w:rsid w:val="008275E4"/>
    <w:rsid w:val="00827D6D"/>
    <w:rsid w:val="00827EB7"/>
    <w:rsid w:val="008302DB"/>
    <w:rsid w:val="00830A7F"/>
    <w:rsid w:val="00830C52"/>
    <w:rsid w:val="0083101B"/>
    <w:rsid w:val="008326EB"/>
    <w:rsid w:val="008328E6"/>
    <w:rsid w:val="00832C3E"/>
    <w:rsid w:val="008332FB"/>
    <w:rsid w:val="008338AD"/>
    <w:rsid w:val="00833D66"/>
    <w:rsid w:val="00833FE1"/>
    <w:rsid w:val="00834811"/>
    <w:rsid w:val="0083540C"/>
    <w:rsid w:val="00835895"/>
    <w:rsid w:val="00836049"/>
    <w:rsid w:val="00836351"/>
    <w:rsid w:val="00840081"/>
    <w:rsid w:val="00840349"/>
    <w:rsid w:val="00842214"/>
    <w:rsid w:val="00842C85"/>
    <w:rsid w:val="00844258"/>
    <w:rsid w:val="00844D67"/>
    <w:rsid w:val="00844DA8"/>
    <w:rsid w:val="0084500D"/>
    <w:rsid w:val="00846018"/>
    <w:rsid w:val="00846188"/>
    <w:rsid w:val="00846BFD"/>
    <w:rsid w:val="00847298"/>
    <w:rsid w:val="0084797D"/>
    <w:rsid w:val="008479A6"/>
    <w:rsid w:val="008506C0"/>
    <w:rsid w:val="0085081D"/>
    <w:rsid w:val="0085191C"/>
    <w:rsid w:val="008538A9"/>
    <w:rsid w:val="00853C95"/>
    <w:rsid w:val="0085457D"/>
    <w:rsid w:val="00854A04"/>
    <w:rsid w:val="00855DC2"/>
    <w:rsid w:val="00856CAD"/>
    <w:rsid w:val="00857023"/>
    <w:rsid w:val="00857404"/>
    <w:rsid w:val="00857519"/>
    <w:rsid w:val="0085769B"/>
    <w:rsid w:val="00857BFB"/>
    <w:rsid w:val="008602D6"/>
    <w:rsid w:val="008602F0"/>
    <w:rsid w:val="00860BBE"/>
    <w:rsid w:val="00860DB2"/>
    <w:rsid w:val="008611BC"/>
    <w:rsid w:val="00861812"/>
    <w:rsid w:val="00861C0E"/>
    <w:rsid w:val="00861D9C"/>
    <w:rsid w:val="008624B5"/>
    <w:rsid w:val="0086272D"/>
    <w:rsid w:val="008634B2"/>
    <w:rsid w:val="0086477F"/>
    <w:rsid w:val="008654F6"/>
    <w:rsid w:val="00865A07"/>
    <w:rsid w:val="00865C43"/>
    <w:rsid w:val="008669E4"/>
    <w:rsid w:val="00867706"/>
    <w:rsid w:val="0086775A"/>
    <w:rsid w:val="00867E19"/>
    <w:rsid w:val="0087048C"/>
    <w:rsid w:val="0087097D"/>
    <w:rsid w:val="00871AD1"/>
    <w:rsid w:val="00871C82"/>
    <w:rsid w:val="00872D21"/>
    <w:rsid w:val="008732EE"/>
    <w:rsid w:val="00873451"/>
    <w:rsid w:val="00873520"/>
    <w:rsid w:val="008744E0"/>
    <w:rsid w:val="0087539B"/>
    <w:rsid w:val="0087580B"/>
    <w:rsid w:val="0087599F"/>
    <w:rsid w:val="00875EDA"/>
    <w:rsid w:val="008762E0"/>
    <w:rsid w:val="008779B0"/>
    <w:rsid w:val="008802FA"/>
    <w:rsid w:val="008806DA"/>
    <w:rsid w:val="008815BC"/>
    <w:rsid w:val="00881B56"/>
    <w:rsid w:val="0088255E"/>
    <w:rsid w:val="00882DDE"/>
    <w:rsid w:val="0088336C"/>
    <w:rsid w:val="008833BB"/>
    <w:rsid w:val="008837A9"/>
    <w:rsid w:val="00884425"/>
    <w:rsid w:val="00884CC6"/>
    <w:rsid w:val="00884CF0"/>
    <w:rsid w:val="00884D13"/>
    <w:rsid w:val="00884E3D"/>
    <w:rsid w:val="008851BE"/>
    <w:rsid w:val="00886CD1"/>
    <w:rsid w:val="008875B4"/>
    <w:rsid w:val="008876BE"/>
    <w:rsid w:val="00890AE5"/>
    <w:rsid w:val="00890DDC"/>
    <w:rsid w:val="0089109B"/>
    <w:rsid w:val="008910FE"/>
    <w:rsid w:val="00891831"/>
    <w:rsid w:val="00891BDC"/>
    <w:rsid w:val="00891DCA"/>
    <w:rsid w:val="00891FE1"/>
    <w:rsid w:val="008920A1"/>
    <w:rsid w:val="00892C76"/>
    <w:rsid w:val="008936B0"/>
    <w:rsid w:val="008959D9"/>
    <w:rsid w:val="00895F2D"/>
    <w:rsid w:val="0089683A"/>
    <w:rsid w:val="00896E7D"/>
    <w:rsid w:val="0089719D"/>
    <w:rsid w:val="00897EF8"/>
    <w:rsid w:val="00897F4E"/>
    <w:rsid w:val="008A39FB"/>
    <w:rsid w:val="008A3C6D"/>
    <w:rsid w:val="008A3C89"/>
    <w:rsid w:val="008A5450"/>
    <w:rsid w:val="008A58E3"/>
    <w:rsid w:val="008A645C"/>
    <w:rsid w:val="008A64D6"/>
    <w:rsid w:val="008A6E2F"/>
    <w:rsid w:val="008A79AD"/>
    <w:rsid w:val="008A7AA5"/>
    <w:rsid w:val="008A7E8B"/>
    <w:rsid w:val="008B039B"/>
    <w:rsid w:val="008B0A39"/>
    <w:rsid w:val="008B1062"/>
    <w:rsid w:val="008B14A0"/>
    <w:rsid w:val="008B1644"/>
    <w:rsid w:val="008B17BB"/>
    <w:rsid w:val="008B32B2"/>
    <w:rsid w:val="008B418D"/>
    <w:rsid w:val="008B56BF"/>
    <w:rsid w:val="008B5E29"/>
    <w:rsid w:val="008B5E5C"/>
    <w:rsid w:val="008B5FA4"/>
    <w:rsid w:val="008B7E8F"/>
    <w:rsid w:val="008C11AC"/>
    <w:rsid w:val="008C2C24"/>
    <w:rsid w:val="008C43EB"/>
    <w:rsid w:val="008C4677"/>
    <w:rsid w:val="008C4871"/>
    <w:rsid w:val="008C4BBA"/>
    <w:rsid w:val="008C4D5C"/>
    <w:rsid w:val="008C524B"/>
    <w:rsid w:val="008C5258"/>
    <w:rsid w:val="008C618E"/>
    <w:rsid w:val="008C66F8"/>
    <w:rsid w:val="008C6768"/>
    <w:rsid w:val="008D057D"/>
    <w:rsid w:val="008D0C0E"/>
    <w:rsid w:val="008D0F23"/>
    <w:rsid w:val="008D0F24"/>
    <w:rsid w:val="008D1B30"/>
    <w:rsid w:val="008D1F8E"/>
    <w:rsid w:val="008D27D9"/>
    <w:rsid w:val="008D309E"/>
    <w:rsid w:val="008D3256"/>
    <w:rsid w:val="008D37CA"/>
    <w:rsid w:val="008D5889"/>
    <w:rsid w:val="008D671F"/>
    <w:rsid w:val="008D724A"/>
    <w:rsid w:val="008D7A38"/>
    <w:rsid w:val="008D7FF8"/>
    <w:rsid w:val="008E0308"/>
    <w:rsid w:val="008E0F53"/>
    <w:rsid w:val="008E22FB"/>
    <w:rsid w:val="008E2866"/>
    <w:rsid w:val="008E2F80"/>
    <w:rsid w:val="008E36B3"/>
    <w:rsid w:val="008E3DFC"/>
    <w:rsid w:val="008E489E"/>
    <w:rsid w:val="008E4911"/>
    <w:rsid w:val="008E4B6E"/>
    <w:rsid w:val="008E53E8"/>
    <w:rsid w:val="008E5A4B"/>
    <w:rsid w:val="008E5C6C"/>
    <w:rsid w:val="008E6072"/>
    <w:rsid w:val="008E6428"/>
    <w:rsid w:val="008E6AED"/>
    <w:rsid w:val="008E7045"/>
    <w:rsid w:val="008F0DD2"/>
    <w:rsid w:val="008F1872"/>
    <w:rsid w:val="008F2110"/>
    <w:rsid w:val="008F2AD4"/>
    <w:rsid w:val="008F3C6B"/>
    <w:rsid w:val="008F4776"/>
    <w:rsid w:val="008F53B2"/>
    <w:rsid w:val="008F54D4"/>
    <w:rsid w:val="008F57A8"/>
    <w:rsid w:val="008F585B"/>
    <w:rsid w:val="008F6178"/>
    <w:rsid w:val="008F7C5B"/>
    <w:rsid w:val="008F7C96"/>
    <w:rsid w:val="0090022A"/>
    <w:rsid w:val="00900370"/>
    <w:rsid w:val="00900934"/>
    <w:rsid w:val="0090128A"/>
    <w:rsid w:val="0090194B"/>
    <w:rsid w:val="00902BF3"/>
    <w:rsid w:val="00902D27"/>
    <w:rsid w:val="00902FCD"/>
    <w:rsid w:val="00903824"/>
    <w:rsid w:val="00904DF1"/>
    <w:rsid w:val="00905C77"/>
    <w:rsid w:val="0090649A"/>
    <w:rsid w:val="00907466"/>
    <w:rsid w:val="00907878"/>
    <w:rsid w:val="0090793D"/>
    <w:rsid w:val="00907BAF"/>
    <w:rsid w:val="00907D7D"/>
    <w:rsid w:val="00910FE9"/>
    <w:rsid w:val="009110D1"/>
    <w:rsid w:val="00911FB4"/>
    <w:rsid w:val="00912617"/>
    <w:rsid w:val="00912AE3"/>
    <w:rsid w:val="00915152"/>
    <w:rsid w:val="00915811"/>
    <w:rsid w:val="009168C1"/>
    <w:rsid w:val="009176D6"/>
    <w:rsid w:val="009179F7"/>
    <w:rsid w:val="00917C25"/>
    <w:rsid w:val="00917C48"/>
    <w:rsid w:val="009200C1"/>
    <w:rsid w:val="00923F35"/>
    <w:rsid w:val="0092414B"/>
    <w:rsid w:val="00924373"/>
    <w:rsid w:val="00924458"/>
    <w:rsid w:val="0092511B"/>
    <w:rsid w:val="00925473"/>
    <w:rsid w:val="00925DDF"/>
    <w:rsid w:val="009263FE"/>
    <w:rsid w:val="0092642D"/>
    <w:rsid w:val="00927009"/>
    <w:rsid w:val="009270E4"/>
    <w:rsid w:val="009274AA"/>
    <w:rsid w:val="00927BBB"/>
    <w:rsid w:val="00927E79"/>
    <w:rsid w:val="00930BD0"/>
    <w:rsid w:val="0093295B"/>
    <w:rsid w:val="00932A79"/>
    <w:rsid w:val="00932BB3"/>
    <w:rsid w:val="0093352F"/>
    <w:rsid w:val="00933EC3"/>
    <w:rsid w:val="00934171"/>
    <w:rsid w:val="00934397"/>
    <w:rsid w:val="00934FC5"/>
    <w:rsid w:val="009352F3"/>
    <w:rsid w:val="00935CB3"/>
    <w:rsid w:val="00936B6E"/>
    <w:rsid w:val="00937300"/>
    <w:rsid w:val="009377B1"/>
    <w:rsid w:val="00937F70"/>
    <w:rsid w:val="009400CC"/>
    <w:rsid w:val="00940C35"/>
    <w:rsid w:val="00940C62"/>
    <w:rsid w:val="00941D53"/>
    <w:rsid w:val="009423FE"/>
    <w:rsid w:val="0094245E"/>
    <w:rsid w:val="00942AAD"/>
    <w:rsid w:val="00943562"/>
    <w:rsid w:val="00943844"/>
    <w:rsid w:val="00943DE2"/>
    <w:rsid w:val="0094544B"/>
    <w:rsid w:val="00945D42"/>
    <w:rsid w:val="0094607B"/>
    <w:rsid w:val="0094616D"/>
    <w:rsid w:val="009461A6"/>
    <w:rsid w:val="00946A0B"/>
    <w:rsid w:val="00947503"/>
    <w:rsid w:val="00947B2C"/>
    <w:rsid w:val="00947F68"/>
    <w:rsid w:val="009507FF"/>
    <w:rsid w:val="00950D3E"/>
    <w:rsid w:val="0095256D"/>
    <w:rsid w:val="00952812"/>
    <w:rsid w:val="00953B57"/>
    <w:rsid w:val="009546E7"/>
    <w:rsid w:val="00960834"/>
    <w:rsid w:val="00961426"/>
    <w:rsid w:val="009614B0"/>
    <w:rsid w:val="00961A39"/>
    <w:rsid w:val="00961DC7"/>
    <w:rsid w:val="00962460"/>
    <w:rsid w:val="00963711"/>
    <w:rsid w:val="00964789"/>
    <w:rsid w:val="009649F1"/>
    <w:rsid w:val="00964D0F"/>
    <w:rsid w:val="00965CFB"/>
    <w:rsid w:val="009664C3"/>
    <w:rsid w:val="00966764"/>
    <w:rsid w:val="0096789C"/>
    <w:rsid w:val="00967F9C"/>
    <w:rsid w:val="00971239"/>
    <w:rsid w:val="00971F14"/>
    <w:rsid w:val="0097230D"/>
    <w:rsid w:val="00972FCF"/>
    <w:rsid w:val="0097371A"/>
    <w:rsid w:val="00974282"/>
    <w:rsid w:val="0097469B"/>
    <w:rsid w:val="00975578"/>
    <w:rsid w:val="009755CC"/>
    <w:rsid w:val="00975FD2"/>
    <w:rsid w:val="00976299"/>
    <w:rsid w:val="00976DC4"/>
    <w:rsid w:val="00976F33"/>
    <w:rsid w:val="009770A9"/>
    <w:rsid w:val="0097778D"/>
    <w:rsid w:val="009777AF"/>
    <w:rsid w:val="00977A15"/>
    <w:rsid w:val="009800CC"/>
    <w:rsid w:val="009806B3"/>
    <w:rsid w:val="009807E3"/>
    <w:rsid w:val="009809C6"/>
    <w:rsid w:val="00980BC0"/>
    <w:rsid w:val="00981A20"/>
    <w:rsid w:val="00981E9F"/>
    <w:rsid w:val="0098333C"/>
    <w:rsid w:val="00983446"/>
    <w:rsid w:val="009840C0"/>
    <w:rsid w:val="009850E7"/>
    <w:rsid w:val="00985494"/>
    <w:rsid w:val="009858D2"/>
    <w:rsid w:val="00986567"/>
    <w:rsid w:val="00987297"/>
    <w:rsid w:val="009878C5"/>
    <w:rsid w:val="00987A79"/>
    <w:rsid w:val="00991226"/>
    <w:rsid w:val="00991506"/>
    <w:rsid w:val="00991870"/>
    <w:rsid w:val="00992453"/>
    <w:rsid w:val="009924BF"/>
    <w:rsid w:val="0099278D"/>
    <w:rsid w:val="00992DBA"/>
    <w:rsid w:val="0099320D"/>
    <w:rsid w:val="00993C6C"/>
    <w:rsid w:val="009944E9"/>
    <w:rsid w:val="0099460D"/>
    <w:rsid w:val="00995312"/>
    <w:rsid w:val="00997F7B"/>
    <w:rsid w:val="009A0807"/>
    <w:rsid w:val="009A137E"/>
    <w:rsid w:val="009A13E1"/>
    <w:rsid w:val="009A1A22"/>
    <w:rsid w:val="009A2619"/>
    <w:rsid w:val="009A2C13"/>
    <w:rsid w:val="009A2FAA"/>
    <w:rsid w:val="009A32DF"/>
    <w:rsid w:val="009A34C0"/>
    <w:rsid w:val="009A3673"/>
    <w:rsid w:val="009A38C8"/>
    <w:rsid w:val="009A532E"/>
    <w:rsid w:val="009A54EE"/>
    <w:rsid w:val="009A5927"/>
    <w:rsid w:val="009A5A48"/>
    <w:rsid w:val="009A64A2"/>
    <w:rsid w:val="009A6787"/>
    <w:rsid w:val="009A6A38"/>
    <w:rsid w:val="009A6C56"/>
    <w:rsid w:val="009B05B8"/>
    <w:rsid w:val="009B075B"/>
    <w:rsid w:val="009B156B"/>
    <w:rsid w:val="009B1CE3"/>
    <w:rsid w:val="009B2C70"/>
    <w:rsid w:val="009B34F7"/>
    <w:rsid w:val="009B3728"/>
    <w:rsid w:val="009B47CC"/>
    <w:rsid w:val="009B4CE9"/>
    <w:rsid w:val="009B4D37"/>
    <w:rsid w:val="009B5946"/>
    <w:rsid w:val="009B5A32"/>
    <w:rsid w:val="009B61F2"/>
    <w:rsid w:val="009B67EC"/>
    <w:rsid w:val="009B690E"/>
    <w:rsid w:val="009B6D9E"/>
    <w:rsid w:val="009B713E"/>
    <w:rsid w:val="009B730B"/>
    <w:rsid w:val="009B74E5"/>
    <w:rsid w:val="009B75DD"/>
    <w:rsid w:val="009C00C5"/>
    <w:rsid w:val="009C0155"/>
    <w:rsid w:val="009C060C"/>
    <w:rsid w:val="009C2973"/>
    <w:rsid w:val="009C2B2A"/>
    <w:rsid w:val="009C33B2"/>
    <w:rsid w:val="009C429E"/>
    <w:rsid w:val="009C53E3"/>
    <w:rsid w:val="009C6AD8"/>
    <w:rsid w:val="009C71FE"/>
    <w:rsid w:val="009C72F3"/>
    <w:rsid w:val="009C7900"/>
    <w:rsid w:val="009D05C5"/>
    <w:rsid w:val="009D063E"/>
    <w:rsid w:val="009D0B96"/>
    <w:rsid w:val="009D0E73"/>
    <w:rsid w:val="009D1229"/>
    <w:rsid w:val="009D15F4"/>
    <w:rsid w:val="009D1B5C"/>
    <w:rsid w:val="009D1F7F"/>
    <w:rsid w:val="009D2468"/>
    <w:rsid w:val="009D2C82"/>
    <w:rsid w:val="009D2E43"/>
    <w:rsid w:val="009D36BF"/>
    <w:rsid w:val="009D37F3"/>
    <w:rsid w:val="009D3A3D"/>
    <w:rsid w:val="009D4898"/>
    <w:rsid w:val="009D4C22"/>
    <w:rsid w:val="009D75BB"/>
    <w:rsid w:val="009E03D6"/>
    <w:rsid w:val="009E1E1F"/>
    <w:rsid w:val="009E219E"/>
    <w:rsid w:val="009E237D"/>
    <w:rsid w:val="009E275D"/>
    <w:rsid w:val="009E29C8"/>
    <w:rsid w:val="009E2A0A"/>
    <w:rsid w:val="009E2FA4"/>
    <w:rsid w:val="009E3068"/>
    <w:rsid w:val="009E341E"/>
    <w:rsid w:val="009E3D75"/>
    <w:rsid w:val="009E4305"/>
    <w:rsid w:val="009E5030"/>
    <w:rsid w:val="009E56C3"/>
    <w:rsid w:val="009E5851"/>
    <w:rsid w:val="009E612F"/>
    <w:rsid w:val="009E737F"/>
    <w:rsid w:val="009E7675"/>
    <w:rsid w:val="009F04DA"/>
    <w:rsid w:val="009F0BC5"/>
    <w:rsid w:val="009F0C07"/>
    <w:rsid w:val="009F1601"/>
    <w:rsid w:val="009F35B8"/>
    <w:rsid w:val="009F397E"/>
    <w:rsid w:val="009F3AEF"/>
    <w:rsid w:val="009F3B9A"/>
    <w:rsid w:val="009F3DD6"/>
    <w:rsid w:val="009F3EF9"/>
    <w:rsid w:val="009F5826"/>
    <w:rsid w:val="009F5AE5"/>
    <w:rsid w:val="009F5D74"/>
    <w:rsid w:val="009F5E12"/>
    <w:rsid w:val="009F6187"/>
    <w:rsid w:val="009F65F0"/>
    <w:rsid w:val="009F698B"/>
    <w:rsid w:val="009F6CA7"/>
    <w:rsid w:val="009F7E5D"/>
    <w:rsid w:val="00A00796"/>
    <w:rsid w:val="00A00CAA"/>
    <w:rsid w:val="00A00F5B"/>
    <w:rsid w:val="00A018FE"/>
    <w:rsid w:val="00A02D10"/>
    <w:rsid w:val="00A03C8E"/>
    <w:rsid w:val="00A03CB4"/>
    <w:rsid w:val="00A0590E"/>
    <w:rsid w:val="00A062AF"/>
    <w:rsid w:val="00A1067D"/>
    <w:rsid w:val="00A12DC8"/>
    <w:rsid w:val="00A12F6C"/>
    <w:rsid w:val="00A135A3"/>
    <w:rsid w:val="00A13FFA"/>
    <w:rsid w:val="00A1433C"/>
    <w:rsid w:val="00A151B1"/>
    <w:rsid w:val="00A151BA"/>
    <w:rsid w:val="00A1542E"/>
    <w:rsid w:val="00A157E6"/>
    <w:rsid w:val="00A158F3"/>
    <w:rsid w:val="00A16BE8"/>
    <w:rsid w:val="00A171E6"/>
    <w:rsid w:val="00A1732E"/>
    <w:rsid w:val="00A17399"/>
    <w:rsid w:val="00A17BB2"/>
    <w:rsid w:val="00A17C93"/>
    <w:rsid w:val="00A202D0"/>
    <w:rsid w:val="00A20B3B"/>
    <w:rsid w:val="00A21243"/>
    <w:rsid w:val="00A21C03"/>
    <w:rsid w:val="00A224C3"/>
    <w:rsid w:val="00A24BC2"/>
    <w:rsid w:val="00A24DEA"/>
    <w:rsid w:val="00A256D4"/>
    <w:rsid w:val="00A256DD"/>
    <w:rsid w:val="00A269D3"/>
    <w:rsid w:val="00A26FFD"/>
    <w:rsid w:val="00A2749E"/>
    <w:rsid w:val="00A279A2"/>
    <w:rsid w:val="00A27CB4"/>
    <w:rsid w:val="00A31076"/>
    <w:rsid w:val="00A318B3"/>
    <w:rsid w:val="00A3220E"/>
    <w:rsid w:val="00A33D53"/>
    <w:rsid w:val="00A360BF"/>
    <w:rsid w:val="00A3651E"/>
    <w:rsid w:val="00A366A3"/>
    <w:rsid w:val="00A366E5"/>
    <w:rsid w:val="00A37783"/>
    <w:rsid w:val="00A37AA6"/>
    <w:rsid w:val="00A40085"/>
    <w:rsid w:val="00A40134"/>
    <w:rsid w:val="00A40257"/>
    <w:rsid w:val="00A40CDD"/>
    <w:rsid w:val="00A43585"/>
    <w:rsid w:val="00A4370A"/>
    <w:rsid w:val="00A43912"/>
    <w:rsid w:val="00A43F18"/>
    <w:rsid w:val="00A44482"/>
    <w:rsid w:val="00A446A8"/>
    <w:rsid w:val="00A4476D"/>
    <w:rsid w:val="00A44A07"/>
    <w:rsid w:val="00A44FF5"/>
    <w:rsid w:val="00A45872"/>
    <w:rsid w:val="00A462D6"/>
    <w:rsid w:val="00A467F2"/>
    <w:rsid w:val="00A46A0B"/>
    <w:rsid w:val="00A46E64"/>
    <w:rsid w:val="00A46F70"/>
    <w:rsid w:val="00A47A77"/>
    <w:rsid w:val="00A5030D"/>
    <w:rsid w:val="00A51018"/>
    <w:rsid w:val="00A51083"/>
    <w:rsid w:val="00A513F6"/>
    <w:rsid w:val="00A51677"/>
    <w:rsid w:val="00A51BB0"/>
    <w:rsid w:val="00A51CE8"/>
    <w:rsid w:val="00A52844"/>
    <w:rsid w:val="00A52A92"/>
    <w:rsid w:val="00A5314D"/>
    <w:rsid w:val="00A53285"/>
    <w:rsid w:val="00A53AED"/>
    <w:rsid w:val="00A5417D"/>
    <w:rsid w:val="00A5436C"/>
    <w:rsid w:val="00A54D5C"/>
    <w:rsid w:val="00A55033"/>
    <w:rsid w:val="00A5569E"/>
    <w:rsid w:val="00A55A32"/>
    <w:rsid w:val="00A56266"/>
    <w:rsid w:val="00A56A6F"/>
    <w:rsid w:val="00A56D16"/>
    <w:rsid w:val="00A57815"/>
    <w:rsid w:val="00A57E00"/>
    <w:rsid w:val="00A603E4"/>
    <w:rsid w:val="00A60B80"/>
    <w:rsid w:val="00A61ACE"/>
    <w:rsid w:val="00A62720"/>
    <w:rsid w:val="00A6466E"/>
    <w:rsid w:val="00A655C9"/>
    <w:rsid w:val="00A6651F"/>
    <w:rsid w:val="00A667BB"/>
    <w:rsid w:val="00A6716C"/>
    <w:rsid w:val="00A672B1"/>
    <w:rsid w:val="00A6772D"/>
    <w:rsid w:val="00A7030D"/>
    <w:rsid w:val="00A70F5B"/>
    <w:rsid w:val="00A711EB"/>
    <w:rsid w:val="00A7181E"/>
    <w:rsid w:val="00A7230A"/>
    <w:rsid w:val="00A72664"/>
    <w:rsid w:val="00A72D33"/>
    <w:rsid w:val="00A73525"/>
    <w:rsid w:val="00A73C4C"/>
    <w:rsid w:val="00A73CCA"/>
    <w:rsid w:val="00A741D4"/>
    <w:rsid w:val="00A74343"/>
    <w:rsid w:val="00A7443C"/>
    <w:rsid w:val="00A74942"/>
    <w:rsid w:val="00A752CB"/>
    <w:rsid w:val="00A759CF"/>
    <w:rsid w:val="00A75E2F"/>
    <w:rsid w:val="00A75F09"/>
    <w:rsid w:val="00A76DEA"/>
    <w:rsid w:val="00A77A2F"/>
    <w:rsid w:val="00A77C48"/>
    <w:rsid w:val="00A77EA2"/>
    <w:rsid w:val="00A81A0D"/>
    <w:rsid w:val="00A8236B"/>
    <w:rsid w:val="00A823D2"/>
    <w:rsid w:val="00A82B56"/>
    <w:rsid w:val="00A83271"/>
    <w:rsid w:val="00A843A7"/>
    <w:rsid w:val="00A84C80"/>
    <w:rsid w:val="00A85569"/>
    <w:rsid w:val="00A85645"/>
    <w:rsid w:val="00A857A7"/>
    <w:rsid w:val="00A85B86"/>
    <w:rsid w:val="00A85E29"/>
    <w:rsid w:val="00A86320"/>
    <w:rsid w:val="00A86E40"/>
    <w:rsid w:val="00A87D83"/>
    <w:rsid w:val="00A87F65"/>
    <w:rsid w:val="00A90073"/>
    <w:rsid w:val="00A903E1"/>
    <w:rsid w:val="00A90A79"/>
    <w:rsid w:val="00A92375"/>
    <w:rsid w:val="00A92F6A"/>
    <w:rsid w:val="00A93FB8"/>
    <w:rsid w:val="00A95449"/>
    <w:rsid w:val="00A95720"/>
    <w:rsid w:val="00A957A3"/>
    <w:rsid w:val="00A96B04"/>
    <w:rsid w:val="00A96D34"/>
    <w:rsid w:val="00A973CF"/>
    <w:rsid w:val="00A97FE8"/>
    <w:rsid w:val="00AA0A03"/>
    <w:rsid w:val="00AA1241"/>
    <w:rsid w:val="00AA1E33"/>
    <w:rsid w:val="00AA1ED3"/>
    <w:rsid w:val="00AA2203"/>
    <w:rsid w:val="00AA2588"/>
    <w:rsid w:val="00AA2BCE"/>
    <w:rsid w:val="00AA2F1A"/>
    <w:rsid w:val="00AA3084"/>
    <w:rsid w:val="00AA3A0E"/>
    <w:rsid w:val="00AA3E29"/>
    <w:rsid w:val="00AA3E53"/>
    <w:rsid w:val="00AA424A"/>
    <w:rsid w:val="00AA4709"/>
    <w:rsid w:val="00AA4733"/>
    <w:rsid w:val="00AA57A6"/>
    <w:rsid w:val="00AA6681"/>
    <w:rsid w:val="00AA6E23"/>
    <w:rsid w:val="00AA7E34"/>
    <w:rsid w:val="00AB00E8"/>
    <w:rsid w:val="00AB07D5"/>
    <w:rsid w:val="00AB1293"/>
    <w:rsid w:val="00AB1B27"/>
    <w:rsid w:val="00AB1D65"/>
    <w:rsid w:val="00AB26FF"/>
    <w:rsid w:val="00AB276C"/>
    <w:rsid w:val="00AB2D17"/>
    <w:rsid w:val="00AB31C7"/>
    <w:rsid w:val="00AB3547"/>
    <w:rsid w:val="00AB433F"/>
    <w:rsid w:val="00AB4B22"/>
    <w:rsid w:val="00AB50F3"/>
    <w:rsid w:val="00AB55D9"/>
    <w:rsid w:val="00AB5947"/>
    <w:rsid w:val="00AB6485"/>
    <w:rsid w:val="00AB683F"/>
    <w:rsid w:val="00AB6D3B"/>
    <w:rsid w:val="00AB73A1"/>
    <w:rsid w:val="00AB743A"/>
    <w:rsid w:val="00AC0652"/>
    <w:rsid w:val="00AC09D6"/>
    <w:rsid w:val="00AC0A8F"/>
    <w:rsid w:val="00AC1118"/>
    <w:rsid w:val="00AC2D2C"/>
    <w:rsid w:val="00AC319C"/>
    <w:rsid w:val="00AC37AF"/>
    <w:rsid w:val="00AC39FF"/>
    <w:rsid w:val="00AC3EE8"/>
    <w:rsid w:val="00AC4A68"/>
    <w:rsid w:val="00AC52A3"/>
    <w:rsid w:val="00AC5B1B"/>
    <w:rsid w:val="00AC7182"/>
    <w:rsid w:val="00AC7192"/>
    <w:rsid w:val="00AC71E2"/>
    <w:rsid w:val="00AC7797"/>
    <w:rsid w:val="00AC7D20"/>
    <w:rsid w:val="00AD06AD"/>
    <w:rsid w:val="00AD086F"/>
    <w:rsid w:val="00AD09B8"/>
    <w:rsid w:val="00AD19A2"/>
    <w:rsid w:val="00AD1B6F"/>
    <w:rsid w:val="00AD1D49"/>
    <w:rsid w:val="00AD32A2"/>
    <w:rsid w:val="00AD393A"/>
    <w:rsid w:val="00AD3C4F"/>
    <w:rsid w:val="00AD4E25"/>
    <w:rsid w:val="00AD5052"/>
    <w:rsid w:val="00AD59B0"/>
    <w:rsid w:val="00AD65EF"/>
    <w:rsid w:val="00AD6CF2"/>
    <w:rsid w:val="00AD6F92"/>
    <w:rsid w:val="00AD7919"/>
    <w:rsid w:val="00AD7B08"/>
    <w:rsid w:val="00AD7F64"/>
    <w:rsid w:val="00AE00AC"/>
    <w:rsid w:val="00AE0DE5"/>
    <w:rsid w:val="00AE173E"/>
    <w:rsid w:val="00AE1AB4"/>
    <w:rsid w:val="00AE1B38"/>
    <w:rsid w:val="00AE1C23"/>
    <w:rsid w:val="00AE228E"/>
    <w:rsid w:val="00AE268C"/>
    <w:rsid w:val="00AE37C8"/>
    <w:rsid w:val="00AE43FD"/>
    <w:rsid w:val="00AE458D"/>
    <w:rsid w:val="00AE54E7"/>
    <w:rsid w:val="00AE54FA"/>
    <w:rsid w:val="00AE5739"/>
    <w:rsid w:val="00AE57A2"/>
    <w:rsid w:val="00AE679A"/>
    <w:rsid w:val="00AE79C8"/>
    <w:rsid w:val="00AF030E"/>
    <w:rsid w:val="00AF05FB"/>
    <w:rsid w:val="00AF2331"/>
    <w:rsid w:val="00AF2482"/>
    <w:rsid w:val="00AF2505"/>
    <w:rsid w:val="00AF4454"/>
    <w:rsid w:val="00AF475B"/>
    <w:rsid w:val="00AF4EFB"/>
    <w:rsid w:val="00AF57B8"/>
    <w:rsid w:val="00AF5D4F"/>
    <w:rsid w:val="00AF613F"/>
    <w:rsid w:val="00AF629E"/>
    <w:rsid w:val="00AF641B"/>
    <w:rsid w:val="00AF6671"/>
    <w:rsid w:val="00AF672F"/>
    <w:rsid w:val="00AF6B8B"/>
    <w:rsid w:val="00AF6D5D"/>
    <w:rsid w:val="00AF6D96"/>
    <w:rsid w:val="00AF6F35"/>
    <w:rsid w:val="00AF703B"/>
    <w:rsid w:val="00AF7548"/>
    <w:rsid w:val="00AF7890"/>
    <w:rsid w:val="00AF7A54"/>
    <w:rsid w:val="00AF7AC7"/>
    <w:rsid w:val="00B0011B"/>
    <w:rsid w:val="00B00506"/>
    <w:rsid w:val="00B01060"/>
    <w:rsid w:val="00B01235"/>
    <w:rsid w:val="00B0172E"/>
    <w:rsid w:val="00B01F97"/>
    <w:rsid w:val="00B02975"/>
    <w:rsid w:val="00B029B9"/>
    <w:rsid w:val="00B0310B"/>
    <w:rsid w:val="00B031EF"/>
    <w:rsid w:val="00B034B9"/>
    <w:rsid w:val="00B037E3"/>
    <w:rsid w:val="00B048DD"/>
    <w:rsid w:val="00B04D48"/>
    <w:rsid w:val="00B04EBA"/>
    <w:rsid w:val="00B060B2"/>
    <w:rsid w:val="00B062B9"/>
    <w:rsid w:val="00B073DA"/>
    <w:rsid w:val="00B074CF"/>
    <w:rsid w:val="00B07D11"/>
    <w:rsid w:val="00B10F7A"/>
    <w:rsid w:val="00B11809"/>
    <w:rsid w:val="00B1187A"/>
    <w:rsid w:val="00B11BC0"/>
    <w:rsid w:val="00B11E7A"/>
    <w:rsid w:val="00B120FA"/>
    <w:rsid w:val="00B125C2"/>
    <w:rsid w:val="00B1261F"/>
    <w:rsid w:val="00B12AE1"/>
    <w:rsid w:val="00B12FFA"/>
    <w:rsid w:val="00B137E5"/>
    <w:rsid w:val="00B139B1"/>
    <w:rsid w:val="00B140E1"/>
    <w:rsid w:val="00B14841"/>
    <w:rsid w:val="00B150AC"/>
    <w:rsid w:val="00B15317"/>
    <w:rsid w:val="00B16565"/>
    <w:rsid w:val="00B16B84"/>
    <w:rsid w:val="00B16C6B"/>
    <w:rsid w:val="00B172C0"/>
    <w:rsid w:val="00B17318"/>
    <w:rsid w:val="00B17985"/>
    <w:rsid w:val="00B20293"/>
    <w:rsid w:val="00B2144E"/>
    <w:rsid w:val="00B21AE1"/>
    <w:rsid w:val="00B21B83"/>
    <w:rsid w:val="00B21D03"/>
    <w:rsid w:val="00B21D3E"/>
    <w:rsid w:val="00B21FF5"/>
    <w:rsid w:val="00B2216A"/>
    <w:rsid w:val="00B22EEF"/>
    <w:rsid w:val="00B22FB8"/>
    <w:rsid w:val="00B236B7"/>
    <w:rsid w:val="00B247C8"/>
    <w:rsid w:val="00B247DD"/>
    <w:rsid w:val="00B25E55"/>
    <w:rsid w:val="00B25F3F"/>
    <w:rsid w:val="00B25F71"/>
    <w:rsid w:val="00B262F1"/>
    <w:rsid w:val="00B266A4"/>
    <w:rsid w:val="00B27486"/>
    <w:rsid w:val="00B30C3F"/>
    <w:rsid w:val="00B320AE"/>
    <w:rsid w:val="00B33C2F"/>
    <w:rsid w:val="00B33C32"/>
    <w:rsid w:val="00B34D31"/>
    <w:rsid w:val="00B34D3A"/>
    <w:rsid w:val="00B35D96"/>
    <w:rsid w:val="00B376E9"/>
    <w:rsid w:val="00B37A50"/>
    <w:rsid w:val="00B37B1C"/>
    <w:rsid w:val="00B37DAC"/>
    <w:rsid w:val="00B415EE"/>
    <w:rsid w:val="00B41957"/>
    <w:rsid w:val="00B419E6"/>
    <w:rsid w:val="00B43F26"/>
    <w:rsid w:val="00B4422D"/>
    <w:rsid w:val="00B446D5"/>
    <w:rsid w:val="00B448A0"/>
    <w:rsid w:val="00B44D4D"/>
    <w:rsid w:val="00B4512D"/>
    <w:rsid w:val="00B4610A"/>
    <w:rsid w:val="00B467C2"/>
    <w:rsid w:val="00B468FB"/>
    <w:rsid w:val="00B46B7C"/>
    <w:rsid w:val="00B50CA6"/>
    <w:rsid w:val="00B518E2"/>
    <w:rsid w:val="00B5231C"/>
    <w:rsid w:val="00B524B0"/>
    <w:rsid w:val="00B53B7D"/>
    <w:rsid w:val="00B54621"/>
    <w:rsid w:val="00B54D18"/>
    <w:rsid w:val="00B562B6"/>
    <w:rsid w:val="00B5641F"/>
    <w:rsid w:val="00B566AE"/>
    <w:rsid w:val="00B56EEA"/>
    <w:rsid w:val="00B576C3"/>
    <w:rsid w:val="00B60A52"/>
    <w:rsid w:val="00B61542"/>
    <w:rsid w:val="00B622D9"/>
    <w:rsid w:val="00B62A1B"/>
    <w:rsid w:val="00B62ADD"/>
    <w:rsid w:val="00B62DF9"/>
    <w:rsid w:val="00B62EB4"/>
    <w:rsid w:val="00B64166"/>
    <w:rsid w:val="00B642B9"/>
    <w:rsid w:val="00B65443"/>
    <w:rsid w:val="00B656F1"/>
    <w:rsid w:val="00B65F7D"/>
    <w:rsid w:val="00B66098"/>
    <w:rsid w:val="00B668DA"/>
    <w:rsid w:val="00B67556"/>
    <w:rsid w:val="00B7069E"/>
    <w:rsid w:val="00B70CDA"/>
    <w:rsid w:val="00B718E2"/>
    <w:rsid w:val="00B73013"/>
    <w:rsid w:val="00B732AD"/>
    <w:rsid w:val="00B7415F"/>
    <w:rsid w:val="00B749D2"/>
    <w:rsid w:val="00B76962"/>
    <w:rsid w:val="00B76E2B"/>
    <w:rsid w:val="00B807D5"/>
    <w:rsid w:val="00B812BD"/>
    <w:rsid w:val="00B82674"/>
    <w:rsid w:val="00B84760"/>
    <w:rsid w:val="00B84EFC"/>
    <w:rsid w:val="00B85393"/>
    <w:rsid w:val="00B853BC"/>
    <w:rsid w:val="00B85A7B"/>
    <w:rsid w:val="00B85DCC"/>
    <w:rsid w:val="00B86B3E"/>
    <w:rsid w:val="00B86C15"/>
    <w:rsid w:val="00B8714D"/>
    <w:rsid w:val="00B878F0"/>
    <w:rsid w:val="00B87AD8"/>
    <w:rsid w:val="00B900E4"/>
    <w:rsid w:val="00B90EE2"/>
    <w:rsid w:val="00B910D0"/>
    <w:rsid w:val="00B9216F"/>
    <w:rsid w:val="00B92377"/>
    <w:rsid w:val="00B92661"/>
    <w:rsid w:val="00B92F60"/>
    <w:rsid w:val="00B93A0D"/>
    <w:rsid w:val="00B93D10"/>
    <w:rsid w:val="00B968EF"/>
    <w:rsid w:val="00B96D11"/>
    <w:rsid w:val="00BA0359"/>
    <w:rsid w:val="00BA113F"/>
    <w:rsid w:val="00BA288A"/>
    <w:rsid w:val="00BA3F35"/>
    <w:rsid w:val="00BA4C49"/>
    <w:rsid w:val="00BA4E38"/>
    <w:rsid w:val="00BA50D6"/>
    <w:rsid w:val="00BA5823"/>
    <w:rsid w:val="00BA61F6"/>
    <w:rsid w:val="00BB0584"/>
    <w:rsid w:val="00BB0744"/>
    <w:rsid w:val="00BB0B8D"/>
    <w:rsid w:val="00BB0D48"/>
    <w:rsid w:val="00BB2059"/>
    <w:rsid w:val="00BB29FF"/>
    <w:rsid w:val="00BB2F8F"/>
    <w:rsid w:val="00BB3119"/>
    <w:rsid w:val="00BB3470"/>
    <w:rsid w:val="00BB3EE3"/>
    <w:rsid w:val="00BB4256"/>
    <w:rsid w:val="00BB4351"/>
    <w:rsid w:val="00BB4859"/>
    <w:rsid w:val="00BB4A3B"/>
    <w:rsid w:val="00BB5389"/>
    <w:rsid w:val="00BB5C10"/>
    <w:rsid w:val="00BB64F7"/>
    <w:rsid w:val="00BB6B92"/>
    <w:rsid w:val="00BB6CCD"/>
    <w:rsid w:val="00BB78B6"/>
    <w:rsid w:val="00BC0D5F"/>
    <w:rsid w:val="00BC19BF"/>
    <w:rsid w:val="00BC1F54"/>
    <w:rsid w:val="00BC2B08"/>
    <w:rsid w:val="00BC2E6A"/>
    <w:rsid w:val="00BC31AF"/>
    <w:rsid w:val="00BC3B3E"/>
    <w:rsid w:val="00BC4429"/>
    <w:rsid w:val="00BC47AC"/>
    <w:rsid w:val="00BC4A8C"/>
    <w:rsid w:val="00BC4BCB"/>
    <w:rsid w:val="00BC4DE5"/>
    <w:rsid w:val="00BC54C5"/>
    <w:rsid w:val="00BC56D4"/>
    <w:rsid w:val="00BC6426"/>
    <w:rsid w:val="00BC6753"/>
    <w:rsid w:val="00BC6C59"/>
    <w:rsid w:val="00BC6D45"/>
    <w:rsid w:val="00BC777A"/>
    <w:rsid w:val="00BC7B53"/>
    <w:rsid w:val="00BD0D32"/>
    <w:rsid w:val="00BD2281"/>
    <w:rsid w:val="00BD230C"/>
    <w:rsid w:val="00BD4874"/>
    <w:rsid w:val="00BD538E"/>
    <w:rsid w:val="00BD5FAB"/>
    <w:rsid w:val="00BD6CEC"/>
    <w:rsid w:val="00BD7F44"/>
    <w:rsid w:val="00BE000A"/>
    <w:rsid w:val="00BE08ED"/>
    <w:rsid w:val="00BE0E33"/>
    <w:rsid w:val="00BE1236"/>
    <w:rsid w:val="00BE18D5"/>
    <w:rsid w:val="00BE1DCE"/>
    <w:rsid w:val="00BE238B"/>
    <w:rsid w:val="00BE27D1"/>
    <w:rsid w:val="00BE34D9"/>
    <w:rsid w:val="00BE37C0"/>
    <w:rsid w:val="00BE3A32"/>
    <w:rsid w:val="00BE4425"/>
    <w:rsid w:val="00BE448C"/>
    <w:rsid w:val="00BE4576"/>
    <w:rsid w:val="00BE4E63"/>
    <w:rsid w:val="00BE5AFA"/>
    <w:rsid w:val="00BE66FA"/>
    <w:rsid w:val="00BE6818"/>
    <w:rsid w:val="00BE6A62"/>
    <w:rsid w:val="00BE6E02"/>
    <w:rsid w:val="00BE708F"/>
    <w:rsid w:val="00BE7524"/>
    <w:rsid w:val="00BF09EA"/>
    <w:rsid w:val="00BF1327"/>
    <w:rsid w:val="00BF2266"/>
    <w:rsid w:val="00BF4799"/>
    <w:rsid w:val="00BF5677"/>
    <w:rsid w:val="00BF575F"/>
    <w:rsid w:val="00BF61A6"/>
    <w:rsid w:val="00BF6761"/>
    <w:rsid w:val="00BF6786"/>
    <w:rsid w:val="00BF683B"/>
    <w:rsid w:val="00BF6BC7"/>
    <w:rsid w:val="00BF6DD9"/>
    <w:rsid w:val="00BF7610"/>
    <w:rsid w:val="00BF7D88"/>
    <w:rsid w:val="00C00225"/>
    <w:rsid w:val="00C005BA"/>
    <w:rsid w:val="00C00EF8"/>
    <w:rsid w:val="00C01013"/>
    <w:rsid w:val="00C01177"/>
    <w:rsid w:val="00C012B6"/>
    <w:rsid w:val="00C019A6"/>
    <w:rsid w:val="00C0240D"/>
    <w:rsid w:val="00C02462"/>
    <w:rsid w:val="00C034D4"/>
    <w:rsid w:val="00C0373A"/>
    <w:rsid w:val="00C03E52"/>
    <w:rsid w:val="00C04043"/>
    <w:rsid w:val="00C042A7"/>
    <w:rsid w:val="00C04FDF"/>
    <w:rsid w:val="00C0647C"/>
    <w:rsid w:val="00C06D3D"/>
    <w:rsid w:val="00C071DE"/>
    <w:rsid w:val="00C0747F"/>
    <w:rsid w:val="00C1007B"/>
    <w:rsid w:val="00C100D5"/>
    <w:rsid w:val="00C10306"/>
    <w:rsid w:val="00C11E41"/>
    <w:rsid w:val="00C12473"/>
    <w:rsid w:val="00C12519"/>
    <w:rsid w:val="00C13A3C"/>
    <w:rsid w:val="00C1584D"/>
    <w:rsid w:val="00C15A1A"/>
    <w:rsid w:val="00C15C13"/>
    <w:rsid w:val="00C16E62"/>
    <w:rsid w:val="00C17A13"/>
    <w:rsid w:val="00C20D2D"/>
    <w:rsid w:val="00C2115C"/>
    <w:rsid w:val="00C232FA"/>
    <w:rsid w:val="00C23F23"/>
    <w:rsid w:val="00C25516"/>
    <w:rsid w:val="00C256B1"/>
    <w:rsid w:val="00C26624"/>
    <w:rsid w:val="00C26B5B"/>
    <w:rsid w:val="00C27A1C"/>
    <w:rsid w:val="00C27EE1"/>
    <w:rsid w:val="00C30385"/>
    <w:rsid w:val="00C30E1D"/>
    <w:rsid w:val="00C30EC0"/>
    <w:rsid w:val="00C3136C"/>
    <w:rsid w:val="00C31468"/>
    <w:rsid w:val="00C31654"/>
    <w:rsid w:val="00C31D83"/>
    <w:rsid w:val="00C32062"/>
    <w:rsid w:val="00C3219F"/>
    <w:rsid w:val="00C32784"/>
    <w:rsid w:val="00C32B83"/>
    <w:rsid w:val="00C32C37"/>
    <w:rsid w:val="00C33B9C"/>
    <w:rsid w:val="00C34578"/>
    <w:rsid w:val="00C34F9F"/>
    <w:rsid w:val="00C3637B"/>
    <w:rsid w:val="00C36572"/>
    <w:rsid w:val="00C37B6B"/>
    <w:rsid w:val="00C4001B"/>
    <w:rsid w:val="00C4012C"/>
    <w:rsid w:val="00C407AA"/>
    <w:rsid w:val="00C41249"/>
    <w:rsid w:val="00C4178F"/>
    <w:rsid w:val="00C4179F"/>
    <w:rsid w:val="00C41F52"/>
    <w:rsid w:val="00C42646"/>
    <w:rsid w:val="00C43C47"/>
    <w:rsid w:val="00C43F5F"/>
    <w:rsid w:val="00C44574"/>
    <w:rsid w:val="00C50031"/>
    <w:rsid w:val="00C50117"/>
    <w:rsid w:val="00C501AA"/>
    <w:rsid w:val="00C50681"/>
    <w:rsid w:val="00C50CAE"/>
    <w:rsid w:val="00C51717"/>
    <w:rsid w:val="00C52219"/>
    <w:rsid w:val="00C52796"/>
    <w:rsid w:val="00C53434"/>
    <w:rsid w:val="00C53E33"/>
    <w:rsid w:val="00C54772"/>
    <w:rsid w:val="00C553FC"/>
    <w:rsid w:val="00C56559"/>
    <w:rsid w:val="00C5706C"/>
    <w:rsid w:val="00C608CC"/>
    <w:rsid w:val="00C60B19"/>
    <w:rsid w:val="00C60E97"/>
    <w:rsid w:val="00C61B94"/>
    <w:rsid w:val="00C61FBD"/>
    <w:rsid w:val="00C6204E"/>
    <w:rsid w:val="00C63DF8"/>
    <w:rsid w:val="00C63F14"/>
    <w:rsid w:val="00C645EC"/>
    <w:rsid w:val="00C64FCD"/>
    <w:rsid w:val="00C65953"/>
    <w:rsid w:val="00C65BFD"/>
    <w:rsid w:val="00C65E7E"/>
    <w:rsid w:val="00C660C3"/>
    <w:rsid w:val="00C66141"/>
    <w:rsid w:val="00C67CA9"/>
    <w:rsid w:val="00C70173"/>
    <w:rsid w:val="00C704D4"/>
    <w:rsid w:val="00C70DF8"/>
    <w:rsid w:val="00C7273D"/>
    <w:rsid w:val="00C727C3"/>
    <w:rsid w:val="00C72B30"/>
    <w:rsid w:val="00C73767"/>
    <w:rsid w:val="00C73DA1"/>
    <w:rsid w:val="00C740EB"/>
    <w:rsid w:val="00C745DB"/>
    <w:rsid w:val="00C74922"/>
    <w:rsid w:val="00C74B40"/>
    <w:rsid w:val="00C76954"/>
    <w:rsid w:val="00C77215"/>
    <w:rsid w:val="00C800C2"/>
    <w:rsid w:val="00C81446"/>
    <w:rsid w:val="00C82243"/>
    <w:rsid w:val="00C82838"/>
    <w:rsid w:val="00C83891"/>
    <w:rsid w:val="00C85F4A"/>
    <w:rsid w:val="00C86574"/>
    <w:rsid w:val="00C87D65"/>
    <w:rsid w:val="00C90966"/>
    <w:rsid w:val="00C911EB"/>
    <w:rsid w:val="00C91B0D"/>
    <w:rsid w:val="00C91B55"/>
    <w:rsid w:val="00C927A0"/>
    <w:rsid w:val="00C928A1"/>
    <w:rsid w:val="00C92A82"/>
    <w:rsid w:val="00C92D34"/>
    <w:rsid w:val="00C94073"/>
    <w:rsid w:val="00C958FA"/>
    <w:rsid w:val="00C9621C"/>
    <w:rsid w:val="00C9652C"/>
    <w:rsid w:val="00C9683E"/>
    <w:rsid w:val="00C96D21"/>
    <w:rsid w:val="00C96DEA"/>
    <w:rsid w:val="00C96F38"/>
    <w:rsid w:val="00CA11DE"/>
    <w:rsid w:val="00CA120D"/>
    <w:rsid w:val="00CA18CA"/>
    <w:rsid w:val="00CA1F6B"/>
    <w:rsid w:val="00CA26DD"/>
    <w:rsid w:val="00CA2DC9"/>
    <w:rsid w:val="00CA2EAC"/>
    <w:rsid w:val="00CA396D"/>
    <w:rsid w:val="00CA3B9C"/>
    <w:rsid w:val="00CA3C6C"/>
    <w:rsid w:val="00CA4983"/>
    <w:rsid w:val="00CA5325"/>
    <w:rsid w:val="00CA67EA"/>
    <w:rsid w:val="00CA6B25"/>
    <w:rsid w:val="00CA6FE9"/>
    <w:rsid w:val="00CA7061"/>
    <w:rsid w:val="00CA72FB"/>
    <w:rsid w:val="00CA7333"/>
    <w:rsid w:val="00CA77DF"/>
    <w:rsid w:val="00CB00BA"/>
    <w:rsid w:val="00CB1C14"/>
    <w:rsid w:val="00CB1CB0"/>
    <w:rsid w:val="00CB20BB"/>
    <w:rsid w:val="00CB2867"/>
    <w:rsid w:val="00CB2B0E"/>
    <w:rsid w:val="00CB3376"/>
    <w:rsid w:val="00CB35FC"/>
    <w:rsid w:val="00CB38D1"/>
    <w:rsid w:val="00CB3B3F"/>
    <w:rsid w:val="00CB3BA7"/>
    <w:rsid w:val="00CB4AC8"/>
    <w:rsid w:val="00CB5418"/>
    <w:rsid w:val="00CB58C5"/>
    <w:rsid w:val="00CB5FD2"/>
    <w:rsid w:val="00CB64F4"/>
    <w:rsid w:val="00CB6F1E"/>
    <w:rsid w:val="00CB7116"/>
    <w:rsid w:val="00CB734F"/>
    <w:rsid w:val="00CB7BFE"/>
    <w:rsid w:val="00CB7EAB"/>
    <w:rsid w:val="00CC16EB"/>
    <w:rsid w:val="00CC28C9"/>
    <w:rsid w:val="00CC2FB7"/>
    <w:rsid w:val="00CC46BF"/>
    <w:rsid w:val="00CC543B"/>
    <w:rsid w:val="00CC58B5"/>
    <w:rsid w:val="00CC5A30"/>
    <w:rsid w:val="00CC5D8D"/>
    <w:rsid w:val="00CC631D"/>
    <w:rsid w:val="00CC6F16"/>
    <w:rsid w:val="00CD02ED"/>
    <w:rsid w:val="00CD0A23"/>
    <w:rsid w:val="00CD0BB4"/>
    <w:rsid w:val="00CD1D88"/>
    <w:rsid w:val="00CD2106"/>
    <w:rsid w:val="00CD26EF"/>
    <w:rsid w:val="00CD3AA7"/>
    <w:rsid w:val="00CD3C1C"/>
    <w:rsid w:val="00CD3FF7"/>
    <w:rsid w:val="00CD41A3"/>
    <w:rsid w:val="00CD42E7"/>
    <w:rsid w:val="00CD50A4"/>
    <w:rsid w:val="00CD68C1"/>
    <w:rsid w:val="00CD7248"/>
    <w:rsid w:val="00CD770A"/>
    <w:rsid w:val="00CE00AA"/>
    <w:rsid w:val="00CE08AC"/>
    <w:rsid w:val="00CE1A1E"/>
    <w:rsid w:val="00CE2597"/>
    <w:rsid w:val="00CE25A3"/>
    <w:rsid w:val="00CE2C34"/>
    <w:rsid w:val="00CE3AAC"/>
    <w:rsid w:val="00CE3EFC"/>
    <w:rsid w:val="00CE43B0"/>
    <w:rsid w:val="00CE449E"/>
    <w:rsid w:val="00CE48C8"/>
    <w:rsid w:val="00CE4D56"/>
    <w:rsid w:val="00CE4DDF"/>
    <w:rsid w:val="00CE51EF"/>
    <w:rsid w:val="00CE538A"/>
    <w:rsid w:val="00CE592B"/>
    <w:rsid w:val="00CE5B88"/>
    <w:rsid w:val="00CE6709"/>
    <w:rsid w:val="00CE6798"/>
    <w:rsid w:val="00CE6D55"/>
    <w:rsid w:val="00CE74C8"/>
    <w:rsid w:val="00CE7912"/>
    <w:rsid w:val="00CE7EE9"/>
    <w:rsid w:val="00CF0F6D"/>
    <w:rsid w:val="00CF16A4"/>
    <w:rsid w:val="00CF1C73"/>
    <w:rsid w:val="00CF2668"/>
    <w:rsid w:val="00CF2741"/>
    <w:rsid w:val="00CF2B08"/>
    <w:rsid w:val="00CF2C2F"/>
    <w:rsid w:val="00CF32BF"/>
    <w:rsid w:val="00CF475A"/>
    <w:rsid w:val="00CF47FC"/>
    <w:rsid w:val="00CF4E3E"/>
    <w:rsid w:val="00CF5F16"/>
    <w:rsid w:val="00CF5FBA"/>
    <w:rsid w:val="00CF6468"/>
    <w:rsid w:val="00CF6BF4"/>
    <w:rsid w:val="00CF6E85"/>
    <w:rsid w:val="00CF70D9"/>
    <w:rsid w:val="00CF79E2"/>
    <w:rsid w:val="00CF7A89"/>
    <w:rsid w:val="00CF7AB6"/>
    <w:rsid w:val="00D00552"/>
    <w:rsid w:val="00D0131F"/>
    <w:rsid w:val="00D039BC"/>
    <w:rsid w:val="00D04652"/>
    <w:rsid w:val="00D04F03"/>
    <w:rsid w:val="00D05039"/>
    <w:rsid w:val="00D05D92"/>
    <w:rsid w:val="00D05F2D"/>
    <w:rsid w:val="00D06612"/>
    <w:rsid w:val="00D06A42"/>
    <w:rsid w:val="00D06FDF"/>
    <w:rsid w:val="00D073D7"/>
    <w:rsid w:val="00D104AC"/>
    <w:rsid w:val="00D11153"/>
    <w:rsid w:val="00D11946"/>
    <w:rsid w:val="00D120CD"/>
    <w:rsid w:val="00D131C4"/>
    <w:rsid w:val="00D13558"/>
    <w:rsid w:val="00D14571"/>
    <w:rsid w:val="00D1530A"/>
    <w:rsid w:val="00D15620"/>
    <w:rsid w:val="00D156ED"/>
    <w:rsid w:val="00D15C38"/>
    <w:rsid w:val="00D16BD2"/>
    <w:rsid w:val="00D16D37"/>
    <w:rsid w:val="00D16FB7"/>
    <w:rsid w:val="00D172CA"/>
    <w:rsid w:val="00D17838"/>
    <w:rsid w:val="00D20B4F"/>
    <w:rsid w:val="00D20E64"/>
    <w:rsid w:val="00D212FE"/>
    <w:rsid w:val="00D21508"/>
    <w:rsid w:val="00D22547"/>
    <w:rsid w:val="00D234C4"/>
    <w:rsid w:val="00D257B9"/>
    <w:rsid w:val="00D2601F"/>
    <w:rsid w:val="00D26A70"/>
    <w:rsid w:val="00D27148"/>
    <w:rsid w:val="00D273C6"/>
    <w:rsid w:val="00D275B3"/>
    <w:rsid w:val="00D3030A"/>
    <w:rsid w:val="00D30432"/>
    <w:rsid w:val="00D318C8"/>
    <w:rsid w:val="00D31CF9"/>
    <w:rsid w:val="00D3218B"/>
    <w:rsid w:val="00D32E4F"/>
    <w:rsid w:val="00D33126"/>
    <w:rsid w:val="00D33483"/>
    <w:rsid w:val="00D339BB"/>
    <w:rsid w:val="00D34171"/>
    <w:rsid w:val="00D35243"/>
    <w:rsid w:val="00D35E52"/>
    <w:rsid w:val="00D362D6"/>
    <w:rsid w:val="00D368B5"/>
    <w:rsid w:val="00D3767A"/>
    <w:rsid w:val="00D40067"/>
    <w:rsid w:val="00D403FB"/>
    <w:rsid w:val="00D40DF0"/>
    <w:rsid w:val="00D41177"/>
    <w:rsid w:val="00D41366"/>
    <w:rsid w:val="00D41ACA"/>
    <w:rsid w:val="00D41BB2"/>
    <w:rsid w:val="00D41BE9"/>
    <w:rsid w:val="00D426AE"/>
    <w:rsid w:val="00D42DC2"/>
    <w:rsid w:val="00D433F5"/>
    <w:rsid w:val="00D440E3"/>
    <w:rsid w:val="00D44D6A"/>
    <w:rsid w:val="00D4555E"/>
    <w:rsid w:val="00D45599"/>
    <w:rsid w:val="00D45EF9"/>
    <w:rsid w:val="00D45FA6"/>
    <w:rsid w:val="00D468AA"/>
    <w:rsid w:val="00D46F47"/>
    <w:rsid w:val="00D4786C"/>
    <w:rsid w:val="00D51961"/>
    <w:rsid w:val="00D51CC2"/>
    <w:rsid w:val="00D526E3"/>
    <w:rsid w:val="00D5364F"/>
    <w:rsid w:val="00D5365D"/>
    <w:rsid w:val="00D536CF"/>
    <w:rsid w:val="00D5501B"/>
    <w:rsid w:val="00D552B8"/>
    <w:rsid w:val="00D55D75"/>
    <w:rsid w:val="00D570D7"/>
    <w:rsid w:val="00D57B21"/>
    <w:rsid w:val="00D60F59"/>
    <w:rsid w:val="00D61047"/>
    <w:rsid w:val="00D61DAA"/>
    <w:rsid w:val="00D61DDF"/>
    <w:rsid w:val="00D625AF"/>
    <w:rsid w:val="00D62B80"/>
    <w:rsid w:val="00D6518B"/>
    <w:rsid w:val="00D70FEB"/>
    <w:rsid w:val="00D72175"/>
    <w:rsid w:val="00D72D62"/>
    <w:rsid w:val="00D73C12"/>
    <w:rsid w:val="00D741D6"/>
    <w:rsid w:val="00D747B5"/>
    <w:rsid w:val="00D74AEC"/>
    <w:rsid w:val="00D75238"/>
    <w:rsid w:val="00D754F0"/>
    <w:rsid w:val="00D75B73"/>
    <w:rsid w:val="00D75E2E"/>
    <w:rsid w:val="00D763D3"/>
    <w:rsid w:val="00D7651C"/>
    <w:rsid w:val="00D77401"/>
    <w:rsid w:val="00D7793C"/>
    <w:rsid w:val="00D77FB6"/>
    <w:rsid w:val="00D80341"/>
    <w:rsid w:val="00D80F26"/>
    <w:rsid w:val="00D8113D"/>
    <w:rsid w:val="00D81BC2"/>
    <w:rsid w:val="00D8241E"/>
    <w:rsid w:val="00D82D88"/>
    <w:rsid w:val="00D838BA"/>
    <w:rsid w:val="00D83A6D"/>
    <w:rsid w:val="00D83EB4"/>
    <w:rsid w:val="00D84A7A"/>
    <w:rsid w:val="00D8500B"/>
    <w:rsid w:val="00D85B4B"/>
    <w:rsid w:val="00D85C1D"/>
    <w:rsid w:val="00D86C33"/>
    <w:rsid w:val="00D876CB"/>
    <w:rsid w:val="00D91E15"/>
    <w:rsid w:val="00D92406"/>
    <w:rsid w:val="00D93336"/>
    <w:rsid w:val="00D935C0"/>
    <w:rsid w:val="00D940DF"/>
    <w:rsid w:val="00D94DF7"/>
    <w:rsid w:val="00D95588"/>
    <w:rsid w:val="00D9576F"/>
    <w:rsid w:val="00D95E0D"/>
    <w:rsid w:val="00D96240"/>
    <w:rsid w:val="00D963A6"/>
    <w:rsid w:val="00D9726B"/>
    <w:rsid w:val="00D97776"/>
    <w:rsid w:val="00D97D25"/>
    <w:rsid w:val="00D97E57"/>
    <w:rsid w:val="00DA0651"/>
    <w:rsid w:val="00DA068F"/>
    <w:rsid w:val="00DA13A4"/>
    <w:rsid w:val="00DA2018"/>
    <w:rsid w:val="00DA28D6"/>
    <w:rsid w:val="00DA3328"/>
    <w:rsid w:val="00DA4DBB"/>
    <w:rsid w:val="00DA4E39"/>
    <w:rsid w:val="00DA4F3C"/>
    <w:rsid w:val="00DA53B7"/>
    <w:rsid w:val="00DA59B9"/>
    <w:rsid w:val="00DA5C4B"/>
    <w:rsid w:val="00DA7A1B"/>
    <w:rsid w:val="00DB1378"/>
    <w:rsid w:val="00DB29ED"/>
    <w:rsid w:val="00DB2E0D"/>
    <w:rsid w:val="00DB308A"/>
    <w:rsid w:val="00DB35F8"/>
    <w:rsid w:val="00DB43CC"/>
    <w:rsid w:val="00DB4CE0"/>
    <w:rsid w:val="00DB582F"/>
    <w:rsid w:val="00DB6012"/>
    <w:rsid w:val="00DB6F81"/>
    <w:rsid w:val="00DB72EE"/>
    <w:rsid w:val="00DB7939"/>
    <w:rsid w:val="00DB7B21"/>
    <w:rsid w:val="00DC06B7"/>
    <w:rsid w:val="00DC0CF4"/>
    <w:rsid w:val="00DC1ACE"/>
    <w:rsid w:val="00DC20BE"/>
    <w:rsid w:val="00DC3F80"/>
    <w:rsid w:val="00DC49FC"/>
    <w:rsid w:val="00DC5189"/>
    <w:rsid w:val="00DC67AF"/>
    <w:rsid w:val="00DC68F0"/>
    <w:rsid w:val="00DC7EB8"/>
    <w:rsid w:val="00DD00A9"/>
    <w:rsid w:val="00DD136B"/>
    <w:rsid w:val="00DD2352"/>
    <w:rsid w:val="00DD24A2"/>
    <w:rsid w:val="00DD2554"/>
    <w:rsid w:val="00DD28E2"/>
    <w:rsid w:val="00DD2AEE"/>
    <w:rsid w:val="00DD2B46"/>
    <w:rsid w:val="00DD2C40"/>
    <w:rsid w:val="00DD310C"/>
    <w:rsid w:val="00DD3161"/>
    <w:rsid w:val="00DD335B"/>
    <w:rsid w:val="00DD4871"/>
    <w:rsid w:val="00DD4F35"/>
    <w:rsid w:val="00DD5308"/>
    <w:rsid w:val="00DD5728"/>
    <w:rsid w:val="00DD5F8E"/>
    <w:rsid w:val="00DD654B"/>
    <w:rsid w:val="00DD65E0"/>
    <w:rsid w:val="00DD673D"/>
    <w:rsid w:val="00DD6F3A"/>
    <w:rsid w:val="00DD7939"/>
    <w:rsid w:val="00DE0332"/>
    <w:rsid w:val="00DE13F2"/>
    <w:rsid w:val="00DE19E2"/>
    <w:rsid w:val="00DE23D8"/>
    <w:rsid w:val="00DE2599"/>
    <w:rsid w:val="00DE284C"/>
    <w:rsid w:val="00DE296E"/>
    <w:rsid w:val="00DE2D66"/>
    <w:rsid w:val="00DE3B64"/>
    <w:rsid w:val="00DE3DDC"/>
    <w:rsid w:val="00DE4BEB"/>
    <w:rsid w:val="00DE5221"/>
    <w:rsid w:val="00DE53EF"/>
    <w:rsid w:val="00DE576B"/>
    <w:rsid w:val="00DE5C2D"/>
    <w:rsid w:val="00DE5F13"/>
    <w:rsid w:val="00DE71CB"/>
    <w:rsid w:val="00DF1552"/>
    <w:rsid w:val="00DF2E1E"/>
    <w:rsid w:val="00DF2FF0"/>
    <w:rsid w:val="00DF303C"/>
    <w:rsid w:val="00DF3399"/>
    <w:rsid w:val="00DF38A5"/>
    <w:rsid w:val="00DF5547"/>
    <w:rsid w:val="00DF5DBA"/>
    <w:rsid w:val="00DF6A6C"/>
    <w:rsid w:val="00DF7138"/>
    <w:rsid w:val="00DF77DE"/>
    <w:rsid w:val="00E00ADC"/>
    <w:rsid w:val="00E00EE9"/>
    <w:rsid w:val="00E01C03"/>
    <w:rsid w:val="00E01C49"/>
    <w:rsid w:val="00E02A90"/>
    <w:rsid w:val="00E0370E"/>
    <w:rsid w:val="00E039AF"/>
    <w:rsid w:val="00E039B6"/>
    <w:rsid w:val="00E040EE"/>
    <w:rsid w:val="00E0470D"/>
    <w:rsid w:val="00E048AB"/>
    <w:rsid w:val="00E04D96"/>
    <w:rsid w:val="00E04FE8"/>
    <w:rsid w:val="00E05902"/>
    <w:rsid w:val="00E06287"/>
    <w:rsid w:val="00E07440"/>
    <w:rsid w:val="00E0799F"/>
    <w:rsid w:val="00E07D65"/>
    <w:rsid w:val="00E1096C"/>
    <w:rsid w:val="00E10F8A"/>
    <w:rsid w:val="00E11A95"/>
    <w:rsid w:val="00E11AE7"/>
    <w:rsid w:val="00E12B13"/>
    <w:rsid w:val="00E12C93"/>
    <w:rsid w:val="00E12EBA"/>
    <w:rsid w:val="00E130C0"/>
    <w:rsid w:val="00E13B1B"/>
    <w:rsid w:val="00E1538A"/>
    <w:rsid w:val="00E15531"/>
    <w:rsid w:val="00E15648"/>
    <w:rsid w:val="00E15BD2"/>
    <w:rsid w:val="00E15E8D"/>
    <w:rsid w:val="00E1665C"/>
    <w:rsid w:val="00E168CC"/>
    <w:rsid w:val="00E1794B"/>
    <w:rsid w:val="00E21DFC"/>
    <w:rsid w:val="00E22E78"/>
    <w:rsid w:val="00E22EE8"/>
    <w:rsid w:val="00E234D9"/>
    <w:rsid w:val="00E24438"/>
    <w:rsid w:val="00E24B60"/>
    <w:rsid w:val="00E24BE0"/>
    <w:rsid w:val="00E24C24"/>
    <w:rsid w:val="00E24E4F"/>
    <w:rsid w:val="00E25857"/>
    <w:rsid w:val="00E25FD0"/>
    <w:rsid w:val="00E2652D"/>
    <w:rsid w:val="00E26F0A"/>
    <w:rsid w:val="00E27635"/>
    <w:rsid w:val="00E30A93"/>
    <w:rsid w:val="00E31954"/>
    <w:rsid w:val="00E324A5"/>
    <w:rsid w:val="00E332DA"/>
    <w:rsid w:val="00E340EA"/>
    <w:rsid w:val="00E342DC"/>
    <w:rsid w:val="00E34575"/>
    <w:rsid w:val="00E34FC0"/>
    <w:rsid w:val="00E35094"/>
    <w:rsid w:val="00E36B1C"/>
    <w:rsid w:val="00E36CF8"/>
    <w:rsid w:val="00E373A8"/>
    <w:rsid w:val="00E40073"/>
    <w:rsid w:val="00E4079B"/>
    <w:rsid w:val="00E40C30"/>
    <w:rsid w:val="00E40C64"/>
    <w:rsid w:val="00E40EA7"/>
    <w:rsid w:val="00E418C7"/>
    <w:rsid w:val="00E41C47"/>
    <w:rsid w:val="00E41D4F"/>
    <w:rsid w:val="00E42759"/>
    <w:rsid w:val="00E42EEA"/>
    <w:rsid w:val="00E44450"/>
    <w:rsid w:val="00E44495"/>
    <w:rsid w:val="00E451AD"/>
    <w:rsid w:val="00E451CD"/>
    <w:rsid w:val="00E460B9"/>
    <w:rsid w:val="00E4732A"/>
    <w:rsid w:val="00E474E2"/>
    <w:rsid w:val="00E47EE5"/>
    <w:rsid w:val="00E5202E"/>
    <w:rsid w:val="00E5295A"/>
    <w:rsid w:val="00E529A6"/>
    <w:rsid w:val="00E52E2F"/>
    <w:rsid w:val="00E52F07"/>
    <w:rsid w:val="00E56974"/>
    <w:rsid w:val="00E56CCA"/>
    <w:rsid w:val="00E60064"/>
    <w:rsid w:val="00E611DC"/>
    <w:rsid w:val="00E61669"/>
    <w:rsid w:val="00E61A86"/>
    <w:rsid w:val="00E61E8D"/>
    <w:rsid w:val="00E6296D"/>
    <w:rsid w:val="00E62D2E"/>
    <w:rsid w:val="00E631BA"/>
    <w:rsid w:val="00E632AE"/>
    <w:rsid w:val="00E64054"/>
    <w:rsid w:val="00E64A0B"/>
    <w:rsid w:val="00E64B1D"/>
    <w:rsid w:val="00E64D5A"/>
    <w:rsid w:val="00E673D6"/>
    <w:rsid w:val="00E67919"/>
    <w:rsid w:val="00E67C7F"/>
    <w:rsid w:val="00E7116A"/>
    <w:rsid w:val="00E71292"/>
    <w:rsid w:val="00E7167F"/>
    <w:rsid w:val="00E717B2"/>
    <w:rsid w:val="00E720DE"/>
    <w:rsid w:val="00E723B6"/>
    <w:rsid w:val="00E724EA"/>
    <w:rsid w:val="00E72630"/>
    <w:rsid w:val="00E726BB"/>
    <w:rsid w:val="00E72E87"/>
    <w:rsid w:val="00E732D7"/>
    <w:rsid w:val="00E74BE0"/>
    <w:rsid w:val="00E74DA1"/>
    <w:rsid w:val="00E74DFC"/>
    <w:rsid w:val="00E753F9"/>
    <w:rsid w:val="00E7546C"/>
    <w:rsid w:val="00E75A60"/>
    <w:rsid w:val="00E76013"/>
    <w:rsid w:val="00E80431"/>
    <w:rsid w:val="00E81502"/>
    <w:rsid w:val="00E82412"/>
    <w:rsid w:val="00E82546"/>
    <w:rsid w:val="00E83B92"/>
    <w:rsid w:val="00E83D0F"/>
    <w:rsid w:val="00E83D10"/>
    <w:rsid w:val="00E84581"/>
    <w:rsid w:val="00E84A75"/>
    <w:rsid w:val="00E868FA"/>
    <w:rsid w:val="00E86C3F"/>
    <w:rsid w:val="00E90D81"/>
    <w:rsid w:val="00E90F73"/>
    <w:rsid w:val="00E92C73"/>
    <w:rsid w:val="00E93312"/>
    <w:rsid w:val="00E94283"/>
    <w:rsid w:val="00E942CE"/>
    <w:rsid w:val="00E9477D"/>
    <w:rsid w:val="00E95035"/>
    <w:rsid w:val="00E950A1"/>
    <w:rsid w:val="00E959B3"/>
    <w:rsid w:val="00E96C36"/>
    <w:rsid w:val="00E97CEA"/>
    <w:rsid w:val="00EA0920"/>
    <w:rsid w:val="00EA1B91"/>
    <w:rsid w:val="00EA2064"/>
    <w:rsid w:val="00EA24E4"/>
    <w:rsid w:val="00EA2A61"/>
    <w:rsid w:val="00EA47D8"/>
    <w:rsid w:val="00EA4986"/>
    <w:rsid w:val="00EA6840"/>
    <w:rsid w:val="00EA6DEF"/>
    <w:rsid w:val="00EA73ED"/>
    <w:rsid w:val="00EA76DD"/>
    <w:rsid w:val="00EB04CE"/>
    <w:rsid w:val="00EB0B8E"/>
    <w:rsid w:val="00EB1022"/>
    <w:rsid w:val="00EB1362"/>
    <w:rsid w:val="00EB1A21"/>
    <w:rsid w:val="00EB21AB"/>
    <w:rsid w:val="00EB2284"/>
    <w:rsid w:val="00EB491E"/>
    <w:rsid w:val="00EB531C"/>
    <w:rsid w:val="00EB5329"/>
    <w:rsid w:val="00EB5A4E"/>
    <w:rsid w:val="00EB5E4E"/>
    <w:rsid w:val="00EB6763"/>
    <w:rsid w:val="00EB6A7A"/>
    <w:rsid w:val="00EB7354"/>
    <w:rsid w:val="00EB7447"/>
    <w:rsid w:val="00EB7B05"/>
    <w:rsid w:val="00EB7EA4"/>
    <w:rsid w:val="00EC040A"/>
    <w:rsid w:val="00EC0B2C"/>
    <w:rsid w:val="00EC0E6C"/>
    <w:rsid w:val="00EC13A4"/>
    <w:rsid w:val="00EC17DC"/>
    <w:rsid w:val="00EC1F40"/>
    <w:rsid w:val="00EC2474"/>
    <w:rsid w:val="00EC275A"/>
    <w:rsid w:val="00EC2BD5"/>
    <w:rsid w:val="00EC3058"/>
    <w:rsid w:val="00EC4C5E"/>
    <w:rsid w:val="00EC63D2"/>
    <w:rsid w:val="00EC70CF"/>
    <w:rsid w:val="00ED0154"/>
    <w:rsid w:val="00ED0AD8"/>
    <w:rsid w:val="00ED15F7"/>
    <w:rsid w:val="00ED2298"/>
    <w:rsid w:val="00ED23B0"/>
    <w:rsid w:val="00ED3829"/>
    <w:rsid w:val="00ED3AE1"/>
    <w:rsid w:val="00ED3DF2"/>
    <w:rsid w:val="00ED3F54"/>
    <w:rsid w:val="00ED605D"/>
    <w:rsid w:val="00ED6403"/>
    <w:rsid w:val="00EE090C"/>
    <w:rsid w:val="00EE1925"/>
    <w:rsid w:val="00EE1972"/>
    <w:rsid w:val="00EE278E"/>
    <w:rsid w:val="00EE2920"/>
    <w:rsid w:val="00EE45A3"/>
    <w:rsid w:val="00EE55FB"/>
    <w:rsid w:val="00EE580D"/>
    <w:rsid w:val="00EE5A6F"/>
    <w:rsid w:val="00EE5F5C"/>
    <w:rsid w:val="00EE6077"/>
    <w:rsid w:val="00EE6B60"/>
    <w:rsid w:val="00EE6FF8"/>
    <w:rsid w:val="00EE7206"/>
    <w:rsid w:val="00EE72C0"/>
    <w:rsid w:val="00EE7848"/>
    <w:rsid w:val="00EF16C7"/>
    <w:rsid w:val="00EF1860"/>
    <w:rsid w:val="00EF4022"/>
    <w:rsid w:val="00EF4861"/>
    <w:rsid w:val="00EF4AB2"/>
    <w:rsid w:val="00EF5493"/>
    <w:rsid w:val="00EF5A8C"/>
    <w:rsid w:val="00EF5F5E"/>
    <w:rsid w:val="00EF7AF1"/>
    <w:rsid w:val="00F00427"/>
    <w:rsid w:val="00F008FA"/>
    <w:rsid w:val="00F00CA6"/>
    <w:rsid w:val="00F01502"/>
    <w:rsid w:val="00F020B3"/>
    <w:rsid w:val="00F02F5C"/>
    <w:rsid w:val="00F03755"/>
    <w:rsid w:val="00F0391B"/>
    <w:rsid w:val="00F03E1C"/>
    <w:rsid w:val="00F04752"/>
    <w:rsid w:val="00F04C0A"/>
    <w:rsid w:val="00F05070"/>
    <w:rsid w:val="00F051AC"/>
    <w:rsid w:val="00F063AA"/>
    <w:rsid w:val="00F0725D"/>
    <w:rsid w:val="00F0747C"/>
    <w:rsid w:val="00F110CC"/>
    <w:rsid w:val="00F11557"/>
    <w:rsid w:val="00F11AA4"/>
    <w:rsid w:val="00F11BB5"/>
    <w:rsid w:val="00F11BC8"/>
    <w:rsid w:val="00F13710"/>
    <w:rsid w:val="00F13FAF"/>
    <w:rsid w:val="00F14307"/>
    <w:rsid w:val="00F15013"/>
    <w:rsid w:val="00F15B68"/>
    <w:rsid w:val="00F15CC9"/>
    <w:rsid w:val="00F2079B"/>
    <w:rsid w:val="00F20E74"/>
    <w:rsid w:val="00F21224"/>
    <w:rsid w:val="00F215F3"/>
    <w:rsid w:val="00F22577"/>
    <w:rsid w:val="00F230A8"/>
    <w:rsid w:val="00F24E25"/>
    <w:rsid w:val="00F2506F"/>
    <w:rsid w:val="00F2649A"/>
    <w:rsid w:val="00F26CC6"/>
    <w:rsid w:val="00F30491"/>
    <w:rsid w:val="00F30F73"/>
    <w:rsid w:val="00F31038"/>
    <w:rsid w:val="00F31FAD"/>
    <w:rsid w:val="00F32121"/>
    <w:rsid w:val="00F3217B"/>
    <w:rsid w:val="00F32D85"/>
    <w:rsid w:val="00F33714"/>
    <w:rsid w:val="00F3406B"/>
    <w:rsid w:val="00F3444A"/>
    <w:rsid w:val="00F35376"/>
    <w:rsid w:val="00F361DA"/>
    <w:rsid w:val="00F361DC"/>
    <w:rsid w:val="00F37559"/>
    <w:rsid w:val="00F37BBC"/>
    <w:rsid w:val="00F40841"/>
    <w:rsid w:val="00F40B79"/>
    <w:rsid w:val="00F4111B"/>
    <w:rsid w:val="00F4193A"/>
    <w:rsid w:val="00F419AF"/>
    <w:rsid w:val="00F42260"/>
    <w:rsid w:val="00F4250B"/>
    <w:rsid w:val="00F43336"/>
    <w:rsid w:val="00F442F1"/>
    <w:rsid w:val="00F44309"/>
    <w:rsid w:val="00F4432A"/>
    <w:rsid w:val="00F4469E"/>
    <w:rsid w:val="00F44C05"/>
    <w:rsid w:val="00F44E8B"/>
    <w:rsid w:val="00F44F9D"/>
    <w:rsid w:val="00F456B1"/>
    <w:rsid w:val="00F46E9E"/>
    <w:rsid w:val="00F5042D"/>
    <w:rsid w:val="00F52277"/>
    <w:rsid w:val="00F526E1"/>
    <w:rsid w:val="00F52E58"/>
    <w:rsid w:val="00F5349F"/>
    <w:rsid w:val="00F538AF"/>
    <w:rsid w:val="00F53FD0"/>
    <w:rsid w:val="00F5437E"/>
    <w:rsid w:val="00F54584"/>
    <w:rsid w:val="00F5538A"/>
    <w:rsid w:val="00F556FC"/>
    <w:rsid w:val="00F55B33"/>
    <w:rsid w:val="00F5609A"/>
    <w:rsid w:val="00F57019"/>
    <w:rsid w:val="00F57498"/>
    <w:rsid w:val="00F57732"/>
    <w:rsid w:val="00F607A9"/>
    <w:rsid w:val="00F60F64"/>
    <w:rsid w:val="00F612A2"/>
    <w:rsid w:val="00F62F12"/>
    <w:rsid w:val="00F62FC8"/>
    <w:rsid w:val="00F6335A"/>
    <w:rsid w:val="00F639C4"/>
    <w:rsid w:val="00F64972"/>
    <w:rsid w:val="00F649AD"/>
    <w:rsid w:val="00F649B5"/>
    <w:rsid w:val="00F65144"/>
    <w:rsid w:val="00F66B2C"/>
    <w:rsid w:val="00F67132"/>
    <w:rsid w:val="00F67C79"/>
    <w:rsid w:val="00F70076"/>
    <w:rsid w:val="00F702C7"/>
    <w:rsid w:val="00F704A1"/>
    <w:rsid w:val="00F7232C"/>
    <w:rsid w:val="00F72521"/>
    <w:rsid w:val="00F738F1"/>
    <w:rsid w:val="00F74126"/>
    <w:rsid w:val="00F75862"/>
    <w:rsid w:val="00F75DBA"/>
    <w:rsid w:val="00F776D3"/>
    <w:rsid w:val="00F77E89"/>
    <w:rsid w:val="00F822CA"/>
    <w:rsid w:val="00F82991"/>
    <w:rsid w:val="00F829BF"/>
    <w:rsid w:val="00F82C42"/>
    <w:rsid w:val="00F834E4"/>
    <w:rsid w:val="00F83AC3"/>
    <w:rsid w:val="00F84A7F"/>
    <w:rsid w:val="00F84AF2"/>
    <w:rsid w:val="00F85321"/>
    <w:rsid w:val="00F85A02"/>
    <w:rsid w:val="00F85BE4"/>
    <w:rsid w:val="00F85E81"/>
    <w:rsid w:val="00F870FB"/>
    <w:rsid w:val="00F876D2"/>
    <w:rsid w:val="00F90628"/>
    <w:rsid w:val="00F91763"/>
    <w:rsid w:val="00F93839"/>
    <w:rsid w:val="00F9515C"/>
    <w:rsid w:val="00F95FAA"/>
    <w:rsid w:val="00F968FA"/>
    <w:rsid w:val="00F978CB"/>
    <w:rsid w:val="00FA0135"/>
    <w:rsid w:val="00FA169B"/>
    <w:rsid w:val="00FA1F0D"/>
    <w:rsid w:val="00FA23AB"/>
    <w:rsid w:val="00FA2583"/>
    <w:rsid w:val="00FA42C1"/>
    <w:rsid w:val="00FA4783"/>
    <w:rsid w:val="00FA4E99"/>
    <w:rsid w:val="00FA61BD"/>
    <w:rsid w:val="00FA7EB3"/>
    <w:rsid w:val="00FB002C"/>
    <w:rsid w:val="00FB0878"/>
    <w:rsid w:val="00FB1CBB"/>
    <w:rsid w:val="00FB1D95"/>
    <w:rsid w:val="00FB20EC"/>
    <w:rsid w:val="00FB219B"/>
    <w:rsid w:val="00FB22DD"/>
    <w:rsid w:val="00FB4912"/>
    <w:rsid w:val="00FB5429"/>
    <w:rsid w:val="00FB7A58"/>
    <w:rsid w:val="00FC04A1"/>
    <w:rsid w:val="00FC0C5D"/>
    <w:rsid w:val="00FC21B1"/>
    <w:rsid w:val="00FC2733"/>
    <w:rsid w:val="00FC2A11"/>
    <w:rsid w:val="00FC2BBE"/>
    <w:rsid w:val="00FC2D6B"/>
    <w:rsid w:val="00FC3555"/>
    <w:rsid w:val="00FC41CD"/>
    <w:rsid w:val="00FC49ED"/>
    <w:rsid w:val="00FC68DB"/>
    <w:rsid w:val="00FC7911"/>
    <w:rsid w:val="00FD030F"/>
    <w:rsid w:val="00FD150D"/>
    <w:rsid w:val="00FD1A7E"/>
    <w:rsid w:val="00FD20BE"/>
    <w:rsid w:val="00FD2260"/>
    <w:rsid w:val="00FD286D"/>
    <w:rsid w:val="00FD2CD9"/>
    <w:rsid w:val="00FD330A"/>
    <w:rsid w:val="00FD34AD"/>
    <w:rsid w:val="00FD4147"/>
    <w:rsid w:val="00FD4304"/>
    <w:rsid w:val="00FD5BD8"/>
    <w:rsid w:val="00FD664A"/>
    <w:rsid w:val="00FD694B"/>
    <w:rsid w:val="00FD6C72"/>
    <w:rsid w:val="00FD7051"/>
    <w:rsid w:val="00FD7B1F"/>
    <w:rsid w:val="00FE0199"/>
    <w:rsid w:val="00FE056E"/>
    <w:rsid w:val="00FE0BF7"/>
    <w:rsid w:val="00FE0DCA"/>
    <w:rsid w:val="00FE1264"/>
    <w:rsid w:val="00FE20AA"/>
    <w:rsid w:val="00FE2CF8"/>
    <w:rsid w:val="00FE2DB6"/>
    <w:rsid w:val="00FE43D4"/>
    <w:rsid w:val="00FE449D"/>
    <w:rsid w:val="00FE52AC"/>
    <w:rsid w:val="00FE58AD"/>
    <w:rsid w:val="00FE6029"/>
    <w:rsid w:val="00FE6266"/>
    <w:rsid w:val="00FE6578"/>
    <w:rsid w:val="00FE6C7B"/>
    <w:rsid w:val="00FE6E41"/>
    <w:rsid w:val="00FF0874"/>
    <w:rsid w:val="00FF0B1F"/>
    <w:rsid w:val="00FF0BC7"/>
    <w:rsid w:val="00FF10F2"/>
    <w:rsid w:val="00FF1950"/>
    <w:rsid w:val="00FF1E2B"/>
    <w:rsid w:val="00FF1EBA"/>
    <w:rsid w:val="00FF25B8"/>
    <w:rsid w:val="00FF2EFD"/>
    <w:rsid w:val="00FF3343"/>
    <w:rsid w:val="00FF362D"/>
    <w:rsid w:val="00FF3D31"/>
    <w:rsid w:val="00FF59F5"/>
    <w:rsid w:val="00FF6381"/>
    <w:rsid w:val="00FF63ED"/>
    <w:rsid w:val="00FF6B04"/>
    <w:rsid w:val="00FF78F0"/>
    <w:rsid w:val="00FF7D41"/>
    <w:rsid w:val="0B904E5A"/>
    <w:rsid w:val="0F7F297E"/>
    <w:rsid w:val="192DF94A"/>
    <w:rsid w:val="466B510E"/>
    <w:rsid w:val="50E4E064"/>
    <w:rsid w:val="691B7FE0"/>
    <w:rsid w:val="70C412A8"/>
    <w:rsid w:val="7C19D832"/>
    <w:rsid w:val="7C7EA0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5B9284"/>
  <w15:docId w15:val="{195EF9F4-447D-4C20-90C2-09ACBAEC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5B1C"/>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qFormat/>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qFormat/>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uiPriority w:val="99"/>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aliases w:val=" Char Char,Char Char,Char18 Char1,Char181 Char,Char182 Char,F1 Char1,FT Char1,Footnote Text AG Char1,Footnote Text Char Char Char Char Char1,Footnote Text Char Char Char1,Footnote Text Char1 Char Char Char,Footnote ak Char1,Text Char"/>
    <w:link w:val="FootnoteText"/>
    <w:uiPriority w:val="99"/>
    <w:rsid w:val="00742A93"/>
    <w:rPr>
      <w:b/>
      <w:bCs/>
      <w:sz w:val="16"/>
      <w:lang w:val="en-US" w:eastAsia="en-US" w:bidi="ar-SA"/>
    </w:rPr>
  </w:style>
  <w:style w:type="character" w:styleId="CommentReference">
    <w:name w:val="annotation reference"/>
    <w:basedOn w:val="DefaultParagraphFont"/>
    <w:uiPriority w:val="99"/>
    <w:rsid w:val="00AD1B6F"/>
    <w:rPr>
      <w:sz w:val="16"/>
      <w:szCs w:val="16"/>
    </w:rPr>
  </w:style>
  <w:style w:type="paragraph" w:styleId="CommentText">
    <w:name w:val="annotation text"/>
    <w:aliases w:val="Times New Roman,t"/>
    <w:basedOn w:val="Normal"/>
    <w:link w:val="CommentTextChar"/>
    <w:uiPriority w:val="99"/>
    <w:qFormat/>
    <w:rsid w:val="00AD1B6F"/>
  </w:style>
  <w:style w:type="character" w:customStyle="1" w:styleId="CommentTextChar">
    <w:name w:val="Comment Text Char"/>
    <w:aliases w:val="Times New Roman Char,t Char"/>
    <w:basedOn w:val="DefaultParagraphFont"/>
    <w:link w:val="CommentText"/>
    <w:uiPriority w:val="99"/>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styleId="Revision">
    <w:name w:val="Revision"/>
    <w:hidden/>
    <w:uiPriority w:val="99"/>
    <w:semiHidden/>
    <w:rsid w:val="00F05070"/>
    <w:rPr>
      <w:b/>
      <w:bCs/>
    </w:rPr>
  </w:style>
  <w:style w:type="table" w:styleId="TableGrid">
    <w:name w:val="Table Grid"/>
    <w:basedOn w:val="TableNormal"/>
    <w:uiPriority w:val="39"/>
    <w:rsid w:val="0030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41F52"/>
    <w:rPr>
      <w:i/>
      <w:iCs/>
    </w:rPr>
  </w:style>
  <w:style w:type="character" w:styleId="UnresolvedMention">
    <w:name w:val="Unresolved Mention"/>
    <w:basedOn w:val="DefaultParagraphFont"/>
    <w:uiPriority w:val="99"/>
    <w:semiHidden/>
    <w:unhideWhenUsed/>
    <w:rsid w:val="00AE54FA"/>
    <w:rPr>
      <w:color w:val="605E5C"/>
      <w:shd w:val="clear" w:color="auto" w:fill="E1DFDD"/>
    </w:rPr>
  </w:style>
  <w:style w:type="character" w:customStyle="1" w:styleId="FootnoteTextChar1">
    <w:name w:val="Footnote Text Char1"/>
    <w:aliases w:val="Char18 Char,F1 Char,FT Char,Footnote Text AG Char,Footnote Text Char Char Char,Footnote Text Char Char Char Char Char,Footnote ak Char,Footnotes Char,SD Footnote Text Char,Style 14 Char,fn Char,fnW Char,footnote text Char,ft Char"/>
    <w:uiPriority w:val="99"/>
    <w:locked/>
    <w:rsid w:val="00F57732"/>
    <w:rPr>
      <w:rFonts w:ascii="Times New Roman" w:eastAsia="Times New Roman" w:hAnsi="Times New Roman" w:cs="Times New Roman"/>
      <w:sz w:val="20"/>
      <w:szCs w:val="20"/>
    </w:rPr>
  </w:style>
  <w:style w:type="character" w:styleId="Mention">
    <w:name w:val="Mention"/>
    <w:basedOn w:val="DefaultParagraphFont"/>
    <w:uiPriority w:val="99"/>
    <w:unhideWhenUsed/>
    <w:rsid w:val="001730BD"/>
    <w:rPr>
      <w:color w:val="2B579A"/>
      <w:shd w:val="clear" w:color="auto" w:fill="E1DFDD"/>
    </w:rPr>
  </w:style>
  <w:style w:type="paragraph" w:styleId="NormalWeb">
    <w:name w:val="Normal (Web)"/>
    <w:basedOn w:val="Normal"/>
    <w:uiPriority w:val="99"/>
    <w:semiHidden/>
    <w:unhideWhenUsed/>
    <w:rsid w:val="00613BA1"/>
    <w:pPr>
      <w:widowControl/>
      <w:autoSpaceDE/>
      <w:autoSpaceDN/>
      <w:adjustRightInd/>
      <w:spacing w:before="100" w:beforeAutospacing="1" w:after="100" w:afterAutospacing="1"/>
    </w:pPr>
    <w:rPr>
      <w:b w:val="0"/>
      <w:bCs w:val="0"/>
      <w:sz w:val="24"/>
      <w:szCs w:val="24"/>
    </w:rPr>
  </w:style>
  <w:style w:type="character" w:customStyle="1" w:styleId="cf01">
    <w:name w:val="cf01"/>
    <w:basedOn w:val="DefaultParagraphFont"/>
    <w:rsid w:val="00613BA1"/>
    <w:rPr>
      <w:rFonts w:ascii="Segoe UI" w:hAnsi="Segoe UI" w:cs="Segoe UI" w:hint="default"/>
      <w:sz w:val="18"/>
      <w:szCs w:val="18"/>
    </w:rPr>
  </w:style>
  <w:style w:type="paragraph" w:customStyle="1" w:styleId="pf0">
    <w:name w:val="pf0"/>
    <w:basedOn w:val="Normal"/>
    <w:rsid w:val="0018494B"/>
    <w:pPr>
      <w:widowControl/>
      <w:autoSpaceDE/>
      <w:autoSpaceDN/>
      <w:adjustRightInd/>
      <w:spacing w:before="100" w:beforeAutospacing="1" w:after="100" w:afterAutospacing="1"/>
    </w:pPr>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3/08/03/2023-15945/requirements-related-to-the-mental-health-parity-and-addiction-equity-ac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comment/EBSA-2023-0010-0236" TargetMode="External" /><Relationship Id="rId2" Type="http://schemas.openxmlformats.org/officeDocument/2006/relationships/hyperlink" Target="https://www.regulations.gov/comment/EBSA-2023-0010-0237" TargetMode="External" /><Relationship Id="rId3" Type="http://schemas.openxmlformats.org/officeDocument/2006/relationships/hyperlink" Target="https://www.dol.gov/sites/dolgov/files/EBSA/laws-and-regulations/rules-and-regulations/technical-appendices/labor-cost-inputs-used-in-ebsa-opr-ria-and-pra-burden-calculations-june-2019.pdf" TargetMode="External" /><Relationship Id="rId4" Type="http://schemas.openxmlformats.org/officeDocument/2006/relationships/hyperlink" Target="https://ps.psychiatryonline.org/doi/pdf/10.1176/appi.ps.201700203" TargetMode="External" /><Relationship Id="rId5" Type="http://schemas.openxmlformats.org/officeDocument/2006/relationships/hyperlink" Target="https://www.bls.gov/ebs/additional-resources/selected-medical-benefits-a-report-from-dol-to-hhs.pdf" TargetMode="External" /><Relationship Id="rId6" Type="http://schemas.openxmlformats.org/officeDocument/2006/relationships/hyperlink" Target="https://www.ncbi.nlm.nih.gov/pmc/articles/PMC4738051/pdf/nihms737198.pdf" TargetMode="External" /><Relationship Id="rId7" Type="http://schemas.openxmlformats.org/officeDocument/2006/relationships/hyperlink" Target="https://files.kff.org/attachment/Report-Employer-Health-Benefits-2020-Annual-Surve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Baum, Beth L - EBSA</DisplayName>
        <AccountId>3002</AccountId>
        <AccountType/>
      </UserInfo>
      <UserInfo>
        <DisplayName>Sydlik, David - EBSA</DisplayName>
        <AccountId>429</AccountId>
        <AccountType/>
      </UserInfo>
      <UserInfo>
        <DisplayName>Rivers, Amber - EBSA</DisplayName>
        <AccountId>103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7E18D-5B74-4ABF-93E1-CD27E7ED5FE9}">
  <ds:schemaRefs>
    <ds:schemaRef ds:uri="http://schemas.openxmlformats.org/officeDocument/2006/bibliography"/>
  </ds:schemaRefs>
</ds:datastoreItem>
</file>

<file path=customXml/itemProps2.xml><?xml version="1.0" encoding="utf-8"?>
<ds:datastoreItem xmlns:ds="http://schemas.openxmlformats.org/officeDocument/2006/customXml" ds:itemID="{7BB5BF40-6D85-48E0-A214-606030394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CCBC5-180A-4646-B567-C9CDA2066D32}">
  <ds:schemaRefs>
    <ds:schemaRef ds:uri="http://schemas.microsoft.com/office/2006/metadata/properties"/>
    <ds:schemaRef ds:uri="http://schemas.microsoft.com/office/infopath/2007/PartnerControls"/>
    <ds:schemaRef ds:uri="702f922a-4822-456a-81ca-e751b937cee3"/>
  </ds:schemaRefs>
</ds:datastoreItem>
</file>

<file path=customXml/itemProps4.xml><?xml version="1.0" encoding="utf-8"?>
<ds:datastoreItem xmlns:ds="http://schemas.openxmlformats.org/officeDocument/2006/customXml" ds:itemID="{559730A6-35FF-4A69-9D62-C84B5D86A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10837</Words>
  <Characters>61772</Characters>
  <Application>Microsoft Office Word</Application>
  <DocSecurity>0</DocSecurity>
  <Lines>514</Lines>
  <Paragraphs>144</Paragraphs>
  <ScaleCrop>false</ScaleCrop>
  <Company>U.S. Department of Labor</Company>
  <LinksUpToDate>false</LinksUpToDate>
  <CharactersWithSpaces>72465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3</cp:revision>
  <cp:lastPrinted>2019-07-16T10:31:00Z</cp:lastPrinted>
  <dcterms:created xsi:type="dcterms:W3CDTF">2024-08-29T16:27:00Z</dcterms:created>
  <dcterms:modified xsi:type="dcterms:W3CDTF">2024-08-29T16:27:00Z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_NewReviewCycle">
    <vt:lpwstr/>
  </property>
</Properties>
</file>