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57F8" w:rsidRPr="007B57F8" w:rsidP="007B57F8" w14:paraId="1DD1E496" w14:textId="2B659345">
      <w:pPr>
        <w:spacing w:before="300" w:after="150" w:line="240" w:lineRule="auto"/>
        <w:ind w:firstLine="25072"/>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TT</w:t>
      </w:r>
      <w:r w:rsidRPr="007B57F8">
        <w:rPr>
          <w:rFonts w:ascii="inherit" w:eastAsia="Times New Roman" w:hAnsi="inherit" w:cs="Times New Roman"/>
          <w:color w:val="333333"/>
          <w:kern w:val="0"/>
          <w:sz w:val="49"/>
          <w:szCs w:val="49"/>
          <w14:ligatures w14:val="none"/>
        </w:rPr>
        <w:t>he</w:t>
      </w:r>
      <w:r w:rsidRPr="007B57F8">
        <w:rPr>
          <w:rFonts w:ascii="inherit" w:eastAsia="Times New Roman" w:hAnsi="inherit" w:cs="Times New Roman"/>
          <w:color w:val="333333"/>
          <w:kern w:val="0"/>
          <w:sz w:val="49"/>
          <w:szCs w:val="49"/>
          <w14:ligatures w14:val="none"/>
        </w:rPr>
        <w:t xml:space="preserve"> Electronic Code of Federal Regulations</w:t>
      </w:r>
    </w:p>
    <w:p w:rsidR="007B57F8" w:rsidRPr="007B57F8" w:rsidP="007B57F8" w14:paraId="2B57124D"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7B57F8">
        <w:rPr>
          <w:rFonts w:ascii="Roboto" w:eastAsia="Times New Roman" w:hAnsi="Roboto" w:cs="Times New Roman"/>
          <w:color w:val="31708F"/>
          <w:kern w:val="0"/>
          <w:sz w:val="27"/>
          <w:szCs w:val="27"/>
          <w14:ligatures w14:val="none"/>
        </w:rPr>
        <w:t>Displaying title 29, up to date as of 4/09/2024. Title 29 was last amended 4/09/2024.</w:t>
      </w:r>
    </w:p>
    <w:p w:rsidR="007B57F8" w:rsidRPr="007B57F8" w:rsidP="007B57F8" w14:paraId="702C69E0"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7B57F8">
        <w:rPr>
          <w:rFonts w:ascii="inherit" w:eastAsia="Times New Roman" w:hAnsi="inherit" w:cs="Times New Roman"/>
          <w:b/>
          <w:bCs/>
          <w:color w:val="333333"/>
          <w:kern w:val="0"/>
          <w:sz w:val="27"/>
          <w:szCs w:val="27"/>
          <w14:ligatures w14:val="none"/>
        </w:rPr>
        <w:t>§ 1910.157 Portable fire extinguishers.</w:t>
      </w:r>
    </w:p>
    <w:p w:rsidR="007B57F8" w:rsidRPr="007B57F8" w:rsidP="007B57F8" w14:paraId="72E6AB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a</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Scope and application.</w:t>
      </w:r>
      <w:r w:rsidRPr="007B57F8">
        <w:rPr>
          <w:rFonts w:ascii="Roboto" w:eastAsia="Times New Roman" w:hAnsi="Roboto" w:cs="Times New Roman"/>
          <w:color w:val="333333"/>
          <w:kern w:val="0"/>
          <w:sz w:val="24"/>
          <w:szCs w:val="24"/>
          <w14:ligatures w14:val="none"/>
        </w:rPr>
        <w:t> The requirements of this section apply to the placement, use, maintenance, and testing of portable fire extinguishers provided for the use of employees. </w:t>
      </w:r>
      <w:hyperlink r:id="rId7" w:anchor="p-1910.157(d)" w:history="1">
        <w:r w:rsidRPr="007B57F8">
          <w:rPr>
            <w:rFonts w:ascii="Roboto" w:eastAsia="Times New Roman" w:hAnsi="Roboto" w:cs="Times New Roman"/>
            <w:color w:val="3071A9"/>
            <w:kern w:val="0"/>
            <w:sz w:val="24"/>
            <w:szCs w:val="24"/>
            <w:u w:val="single"/>
            <w14:ligatures w14:val="none"/>
          </w:rPr>
          <w:t>Paragraph (d)</w:t>
        </w:r>
      </w:hyperlink>
      <w:r w:rsidRPr="007B57F8">
        <w:rPr>
          <w:rFonts w:ascii="Roboto" w:eastAsia="Times New Roman" w:hAnsi="Roboto" w:cs="Times New Roman"/>
          <w:color w:val="333333"/>
          <w:kern w:val="0"/>
          <w:sz w:val="24"/>
          <w:szCs w:val="24"/>
          <w14:ligatures w14:val="none"/>
        </w:rPr>
        <w:t> of this section does not apply to extinguishers provided for employee use on the outside of workplace buildings or structures. Where extinguishers are provided but are not intended for employee use and the employer has an emergency action plan and a fire prevention plan that meet the requirements of </w:t>
      </w:r>
      <w:hyperlink r:id="rId8" w:history="1">
        <w:r w:rsidRPr="007B57F8">
          <w:rPr>
            <w:rFonts w:ascii="Roboto" w:eastAsia="Times New Roman" w:hAnsi="Roboto" w:cs="Times New Roman"/>
            <w:color w:val="3071A9"/>
            <w:kern w:val="0"/>
            <w:sz w:val="24"/>
            <w:szCs w:val="24"/>
            <w:u w:val="single"/>
            <w14:ligatures w14:val="none"/>
          </w:rPr>
          <w:t>29 CFR 1910.38</w:t>
        </w:r>
      </w:hyperlink>
      <w:r w:rsidRPr="007B57F8">
        <w:rPr>
          <w:rFonts w:ascii="Roboto" w:eastAsia="Times New Roman" w:hAnsi="Roboto" w:cs="Times New Roman"/>
          <w:color w:val="333333"/>
          <w:kern w:val="0"/>
          <w:sz w:val="24"/>
          <w:szCs w:val="24"/>
          <w14:ligatures w14:val="none"/>
        </w:rPr>
        <w:t> and </w:t>
      </w:r>
      <w:hyperlink r:id="rId9" w:history="1">
        <w:r w:rsidRPr="007B57F8">
          <w:rPr>
            <w:rFonts w:ascii="Roboto" w:eastAsia="Times New Roman" w:hAnsi="Roboto" w:cs="Times New Roman"/>
            <w:color w:val="3071A9"/>
            <w:kern w:val="0"/>
            <w:sz w:val="24"/>
            <w:szCs w:val="24"/>
            <w:u w:val="single"/>
            <w14:ligatures w14:val="none"/>
          </w:rPr>
          <w:t>29 CFR 1910.39</w:t>
        </w:r>
      </w:hyperlink>
      <w:r w:rsidRPr="007B57F8">
        <w:rPr>
          <w:rFonts w:ascii="Roboto" w:eastAsia="Times New Roman" w:hAnsi="Roboto" w:cs="Times New Roman"/>
          <w:color w:val="333333"/>
          <w:kern w:val="0"/>
          <w:sz w:val="24"/>
          <w:szCs w:val="24"/>
          <w14:ligatures w14:val="none"/>
        </w:rPr>
        <w:t> respectively, then only the requirements of </w:t>
      </w:r>
      <w:hyperlink r:id="rId7" w:anchor="p-1910.157(e)" w:history="1">
        <w:r w:rsidRPr="007B57F8">
          <w:rPr>
            <w:rFonts w:ascii="Roboto" w:eastAsia="Times New Roman" w:hAnsi="Roboto" w:cs="Times New Roman"/>
            <w:color w:val="3071A9"/>
            <w:kern w:val="0"/>
            <w:sz w:val="24"/>
            <w:szCs w:val="24"/>
            <w:u w:val="single"/>
            <w14:ligatures w14:val="none"/>
          </w:rPr>
          <w:t>paragraphs (e)</w:t>
        </w:r>
      </w:hyperlink>
      <w:r w:rsidRPr="007B57F8">
        <w:rPr>
          <w:rFonts w:ascii="Roboto" w:eastAsia="Times New Roman" w:hAnsi="Roboto" w:cs="Times New Roman"/>
          <w:color w:val="333333"/>
          <w:kern w:val="0"/>
          <w:sz w:val="24"/>
          <w:szCs w:val="24"/>
          <w14:ligatures w14:val="none"/>
        </w:rPr>
        <w:t> and </w:t>
      </w:r>
      <w:hyperlink r:id="rId7" w:anchor="p-1910.157(f)" w:history="1">
        <w:r w:rsidRPr="007B57F8">
          <w:rPr>
            <w:rFonts w:ascii="Roboto" w:eastAsia="Times New Roman" w:hAnsi="Roboto" w:cs="Times New Roman"/>
            <w:color w:val="3071A9"/>
            <w:kern w:val="0"/>
            <w:sz w:val="24"/>
            <w:szCs w:val="24"/>
            <w:u w:val="single"/>
            <w14:ligatures w14:val="none"/>
          </w:rPr>
          <w:t>(f)</w:t>
        </w:r>
      </w:hyperlink>
      <w:r w:rsidRPr="007B57F8">
        <w:rPr>
          <w:rFonts w:ascii="Roboto" w:eastAsia="Times New Roman" w:hAnsi="Roboto" w:cs="Times New Roman"/>
          <w:color w:val="333333"/>
          <w:kern w:val="0"/>
          <w:sz w:val="24"/>
          <w:szCs w:val="24"/>
          <w14:ligatures w14:val="none"/>
        </w:rPr>
        <w:t> of this section apply.</w:t>
      </w:r>
    </w:p>
    <w:p w:rsidR="007B57F8" w:rsidRPr="007B57F8" w:rsidP="007B57F8" w14:paraId="165EEF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b</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Exemptions.</w:t>
      </w:r>
    </w:p>
    <w:p w:rsidR="007B57F8" w:rsidRPr="007B57F8" w:rsidP="007B57F8" w14:paraId="53254E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Where the employer has established and implemented a written fire safety policy which requires the immediate and total evacuation of employees from the workplace upon the sounding of a fire alarm signal and which includes an emergency action plan and a fire prevention plan which meet the requirements of </w:t>
      </w:r>
      <w:hyperlink r:id="rId8" w:history="1">
        <w:r w:rsidRPr="007B57F8">
          <w:rPr>
            <w:rFonts w:ascii="Roboto" w:eastAsia="Times New Roman" w:hAnsi="Roboto" w:cs="Times New Roman"/>
            <w:color w:val="3071A9"/>
            <w:kern w:val="0"/>
            <w:sz w:val="24"/>
            <w:szCs w:val="24"/>
            <w:u w:val="single"/>
            <w14:ligatures w14:val="none"/>
          </w:rPr>
          <w:t>29 CFR 1910.38</w:t>
        </w:r>
      </w:hyperlink>
      <w:r w:rsidRPr="007B57F8">
        <w:rPr>
          <w:rFonts w:ascii="Roboto" w:eastAsia="Times New Roman" w:hAnsi="Roboto" w:cs="Times New Roman"/>
          <w:color w:val="333333"/>
          <w:kern w:val="0"/>
          <w:sz w:val="24"/>
          <w:szCs w:val="24"/>
          <w14:ligatures w14:val="none"/>
        </w:rPr>
        <w:t> and </w:t>
      </w:r>
      <w:hyperlink r:id="rId9" w:history="1">
        <w:r w:rsidRPr="007B57F8">
          <w:rPr>
            <w:rFonts w:ascii="Roboto" w:eastAsia="Times New Roman" w:hAnsi="Roboto" w:cs="Times New Roman"/>
            <w:color w:val="3071A9"/>
            <w:kern w:val="0"/>
            <w:sz w:val="24"/>
            <w:szCs w:val="24"/>
            <w:u w:val="single"/>
            <w14:ligatures w14:val="none"/>
          </w:rPr>
          <w:t>29 CFR 1910.39</w:t>
        </w:r>
      </w:hyperlink>
      <w:r w:rsidRPr="007B57F8">
        <w:rPr>
          <w:rFonts w:ascii="Roboto" w:eastAsia="Times New Roman" w:hAnsi="Roboto" w:cs="Times New Roman"/>
          <w:color w:val="333333"/>
          <w:kern w:val="0"/>
          <w:sz w:val="24"/>
          <w:szCs w:val="24"/>
          <w14:ligatures w14:val="none"/>
        </w:rPr>
        <w:t> respectively, and when extinguishers are not available in the workplace, the employer is exempt from all requirements of this section unless a specific standard in part 1910 requires that a portable fire extinguisher be provided.</w:t>
      </w:r>
    </w:p>
    <w:p w:rsidR="007B57F8" w:rsidRPr="007B57F8" w:rsidP="007B57F8" w14:paraId="594339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Where the employer has an emergency action plan meeting the requirements of </w:t>
      </w:r>
      <w:hyperlink r:id="rId8" w:history="1">
        <w:r w:rsidRPr="007B57F8">
          <w:rPr>
            <w:rFonts w:ascii="Roboto" w:eastAsia="Times New Roman" w:hAnsi="Roboto" w:cs="Times New Roman"/>
            <w:color w:val="3071A9"/>
            <w:kern w:val="0"/>
            <w:sz w:val="24"/>
            <w:szCs w:val="24"/>
            <w:u w:val="single"/>
            <w14:ligatures w14:val="none"/>
          </w:rPr>
          <w:t>§ 1910.38</w:t>
        </w:r>
      </w:hyperlink>
      <w:r w:rsidRPr="007B57F8">
        <w:rPr>
          <w:rFonts w:ascii="Roboto" w:eastAsia="Times New Roman" w:hAnsi="Roboto" w:cs="Times New Roman"/>
          <w:color w:val="333333"/>
          <w:kern w:val="0"/>
          <w:sz w:val="24"/>
          <w:szCs w:val="24"/>
          <w14:ligatures w14:val="none"/>
        </w:rPr>
        <w:t> which designates certain employees to be the only employees authorized to use the available portable fire extinguishers, and which requires all other employees in the fire area to immediately evacuate the affected work area upon the sounding of the fire alarm, the employer is exempt from the distribution requirements in </w:t>
      </w:r>
      <w:hyperlink r:id="rId7" w:anchor="p-1910.157(d)" w:history="1">
        <w:r w:rsidRPr="007B57F8">
          <w:rPr>
            <w:rFonts w:ascii="Roboto" w:eastAsia="Times New Roman" w:hAnsi="Roboto" w:cs="Times New Roman"/>
            <w:color w:val="3071A9"/>
            <w:kern w:val="0"/>
            <w:sz w:val="24"/>
            <w:szCs w:val="24"/>
            <w:u w:val="single"/>
            <w14:ligatures w14:val="none"/>
          </w:rPr>
          <w:t>paragraph (d)</w:t>
        </w:r>
      </w:hyperlink>
      <w:r w:rsidRPr="007B57F8">
        <w:rPr>
          <w:rFonts w:ascii="Roboto" w:eastAsia="Times New Roman" w:hAnsi="Roboto" w:cs="Times New Roman"/>
          <w:color w:val="333333"/>
          <w:kern w:val="0"/>
          <w:sz w:val="24"/>
          <w:szCs w:val="24"/>
          <w14:ligatures w14:val="none"/>
        </w:rPr>
        <w:t> of this section.</w:t>
      </w:r>
    </w:p>
    <w:p w:rsidR="007B57F8" w:rsidRPr="007B57F8" w:rsidP="007B57F8" w14:paraId="03002D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c</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General requirements.</w:t>
      </w:r>
    </w:p>
    <w:p w:rsidR="007B57F8" w:rsidRPr="007B57F8" w:rsidP="007B57F8" w14:paraId="38D3B6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provide portable fire extinguishers and shall mount, </w:t>
      </w:r>
      <w:r w:rsidRPr="007B57F8">
        <w:rPr>
          <w:rFonts w:ascii="Roboto" w:eastAsia="Times New Roman" w:hAnsi="Roboto" w:cs="Times New Roman"/>
          <w:color w:val="333333"/>
          <w:kern w:val="0"/>
          <w:sz w:val="24"/>
          <w:szCs w:val="24"/>
          <w14:ligatures w14:val="none"/>
        </w:rPr>
        <w:t>locate</w:t>
      </w:r>
      <w:r w:rsidRPr="007B57F8">
        <w:rPr>
          <w:rFonts w:ascii="Roboto" w:eastAsia="Times New Roman" w:hAnsi="Roboto" w:cs="Times New Roman"/>
          <w:color w:val="333333"/>
          <w:kern w:val="0"/>
          <w:sz w:val="24"/>
          <w:szCs w:val="24"/>
          <w14:ligatures w14:val="none"/>
        </w:rPr>
        <w:t xml:space="preserve"> and identify them so that they are readily accessible to employees without subjecting the employees to possible injury.</w:t>
      </w:r>
    </w:p>
    <w:p w:rsidR="007B57F8" w:rsidRPr="007B57F8" w:rsidP="007B57F8" w14:paraId="2D1BA1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Only approved portable fire extinguishers shall be used to meet the requirements of this section.</w:t>
      </w:r>
    </w:p>
    <w:p w:rsidR="007B57F8" w:rsidRPr="007B57F8" w:rsidP="007B57F8" w14:paraId="17FE02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not provide or make available in the workplace portable fire extinguishers using carbon tetrachloride or </w:t>
      </w:r>
      <w:r w:rsidRPr="007B57F8">
        <w:rPr>
          <w:rFonts w:ascii="Roboto" w:eastAsia="Times New Roman" w:hAnsi="Roboto" w:cs="Times New Roman"/>
          <w:color w:val="333333"/>
          <w:kern w:val="0"/>
          <w:sz w:val="24"/>
          <w:szCs w:val="24"/>
          <w14:ligatures w14:val="none"/>
        </w:rPr>
        <w:t>chlorobromomethane</w:t>
      </w:r>
      <w:r w:rsidRPr="007B57F8">
        <w:rPr>
          <w:rFonts w:ascii="Roboto" w:eastAsia="Times New Roman" w:hAnsi="Roboto" w:cs="Times New Roman"/>
          <w:color w:val="333333"/>
          <w:kern w:val="0"/>
          <w:sz w:val="24"/>
          <w:szCs w:val="24"/>
          <w14:ligatures w14:val="none"/>
        </w:rPr>
        <w:t xml:space="preserve"> extinguishing agents.</w:t>
      </w:r>
    </w:p>
    <w:p w:rsidR="007B57F8" w:rsidRPr="007B57F8" w:rsidP="007B57F8" w14:paraId="06B3E5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assure that portable fire extinguishers are maintained in a fully charged and operable condition and </w:t>
      </w:r>
      <w:r w:rsidRPr="007B57F8">
        <w:rPr>
          <w:rFonts w:ascii="Roboto" w:eastAsia="Times New Roman" w:hAnsi="Roboto" w:cs="Times New Roman"/>
          <w:color w:val="333333"/>
          <w:kern w:val="0"/>
          <w:sz w:val="24"/>
          <w:szCs w:val="24"/>
          <w14:ligatures w14:val="none"/>
        </w:rPr>
        <w:t>kept in their designated places at all times</w:t>
      </w:r>
      <w:r w:rsidRPr="007B57F8">
        <w:rPr>
          <w:rFonts w:ascii="Roboto" w:eastAsia="Times New Roman" w:hAnsi="Roboto" w:cs="Times New Roman"/>
          <w:color w:val="333333"/>
          <w:kern w:val="0"/>
          <w:sz w:val="24"/>
          <w:szCs w:val="24"/>
          <w14:ligatures w14:val="none"/>
        </w:rPr>
        <w:t xml:space="preserve"> except during use.</w:t>
      </w:r>
    </w:p>
    <w:p w:rsidR="007B57F8" w:rsidRPr="007B57F8" w:rsidP="007B57F8" w14:paraId="3E7B7E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5</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remove from service all soldered or riveted shell self-generating soda acid or self-generating foam or gas cartridge water type portable fire extinguishers which are operated by inverting the extinguisher to rupture the cartridge or to initiate an uncontrollable pressure generating chemical reaction to expel the agent.</w:t>
      </w:r>
    </w:p>
    <w:p w:rsidR="007B57F8" w:rsidRPr="007B57F8" w:rsidP="007B57F8" w14:paraId="22B42B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d</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Selection and distribution.</w:t>
      </w:r>
    </w:p>
    <w:p w:rsidR="007B57F8" w:rsidRPr="007B57F8" w:rsidP="007B57F8" w14:paraId="74E9C3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Portable fire extinguishers shall be provided for employee use and selected and distributed based on the classes of anticipated workplace fires and on the size and degree of hazard which would affect their use.</w:t>
      </w:r>
    </w:p>
    <w:p w:rsidR="007B57F8" w:rsidRPr="007B57F8" w:rsidP="007B57F8" w14:paraId="46FC0C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distribute portable fire extinguishers for use by employees on Class A fires so that the travel distance for employees to any extinguisher is 75 feet (22.9 m) or less.</w:t>
      </w:r>
    </w:p>
    <w:p w:rsidR="007B57F8" w:rsidRPr="007B57F8" w:rsidP="007B57F8" w14:paraId="4E65A5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may use uniformly spaced standpipe systems or hose stations connected to a sprinkler system installed for emergency use by employees instead of Class A portable fire extinguishers, provided that such systems meet the respective requirements of </w:t>
      </w:r>
      <w:hyperlink r:id="rId10" w:history="1">
        <w:r w:rsidRPr="007B57F8">
          <w:rPr>
            <w:rFonts w:ascii="Roboto" w:eastAsia="Times New Roman" w:hAnsi="Roboto" w:cs="Times New Roman"/>
            <w:color w:val="3071A9"/>
            <w:kern w:val="0"/>
            <w:sz w:val="24"/>
            <w:szCs w:val="24"/>
            <w:u w:val="single"/>
            <w14:ligatures w14:val="none"/>
          </w:rPr>
          <w:t>§ 1910.158</w:t>
        </w:r>
      </w:hyperlink>
      <w:r w:rsidRPr="007B57F8">
        <w:rPr>
          <w:rFonts w:ascii="Roboto" w:eastAsia="Times New Roman" w:hAnsi="Roboto" w:cs="Times New Roman"/>
          <w:color w:val="333333"/>
          <w:kern w:val="0"/>
          <w:sz w:val="24"/>
          <w:szCs w:val="24"/>
          <w14:ligatures w14:val="none"/>
        </w:rPr>
        <w:t> or </w:t>
      </w:r>
      <w:hyperlink r:id="rId11" w:history="1">
        <w:r w:rsidRPr="007B57F8">
          <w:rPr>
            <w:rFonts w:ascii="Roboto" w:eastAsia="Times New Roman" w:hAnsi="Roboto" w:cs="Times New Roman"/>
            <w:color w:val="3071A9"/>
            <w:kern w:val="0"/>
            <w:sz w:val="24"/>
            <w:szCs w:val="24"/>
            <w:u w:val="single"/>
            <w14:ligatures w14:val="none"/>
          </w:rPr>
          <w:t>§ 1910.159</w:t>
        </w:r>
      </w:hyperlink>
      <w:r w:rsidRPr="007B57F8">
        <w:rPr>
          <w:rFonts w:ascii="Roboto" w:eastAsia="Times New Roman" w:hAnsi="Roboto" w:cs="Times New Roman"/>
          <w:color w:val="333333"/>
          <w:kern w:val="0"/>
          <w:sz w:val="24"/>
          <w:szCs w:val="24"/>
          <w14:ligatures w14:val="none"/>
        </w:rPr>
        <w:t>, that they provide total coverage of the area to be protected, and that employees are trained at least annually in their use.</w:t>
      </w:r>
    </w:p>
    <w:p w:rsidR="007B57F8" w:rsidRPr="007B57F8" w:rsidP="007B57F8" w14:paraId="2C790A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distribute portable fire extinguishers for use by employees on Class B fires so that the travel distance from the Class B hazard area to any extinguisher is 50 feet (15.2 m) or less.</w:t>
      </w:r>
    </w:p>
    <w:p w:rsidR="007B57F8" w:rsidRPr="007B57F8" w:rsidP="007B57F8" w14:paraId="3AA263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5</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distribute portable fire extinguishers used for Class C hazards </w:t>
      </w:r>
      <w:r w:rsidRPr="007B57F8">
        <w:rPr>
          <w:rFonts w:ascii="Roboto" w:eastAsia="Times New Roman" w:hAnsi="Roboto" w:cs="Times New Roman"/>
          <w:color w:val="333333"/>
          <w:kern w:val="0"/>
          <w:sz w:val="24"/>
          <w:szCs w:val="24"/>
          <w14:ligatures w14:val="none"/>
        </w:rPr>
        <w:t>on the basis of</w:t>
      </w:r>
      <w:r w:rsidRPr="007B57F8">
        <w:rPr>
          <w:rFonts w:ascii="Roboto" w:eastAsia="Times New Roman" w:hAnsi="Roboto" w:cs="Times New Roman"/>
          <w:color w:val="333333"/>
          <w:kern w:val="0"/>
          <w:sz w:val="24"/>
          <w:szCs w:val="24"/>
          <w14:ligatures w14:val="none"/>
        </w:rPr>
        <w:t xml:space="preserve"> the appropriate pattern for the existing Class A or Class B hazards.</w:t>
      </w:r>
    </w:p>
    <w:p w:rsidR="007B57F8" w:rsidRPr="007B57F8" w:rsidP="007B57F8" w14:paraId="02CD2D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6</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distribute portable fire extinguishers or other containers of Class D extinguishing agent for use by employees so that the travel distance from the combustible metal working area to any extinguishing agent is 75 feet (22.9 m) or less. Portable fire extinguishers for Class D hazards are required in those combustible metal working areas where combustible metal powders, flakes, shavings, or similarly sized products are generated at least once every two weeks.</w:t>
      </w:r>
    </w:p>
    <w:p w:rsidR="007B57F8" w:rsidRPr="007B57F8" w:rsidP="007B57F8" w14:paraId="145F3B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e</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 xml:space="preserve">Inspection, </w:t>
      </w:r>
      <w:r w:rsidRPr="007B57F8">
        <w:rPr>
          <w:rFonts w:ascii="Roboto" w:eastAsia="Times New Roman" w:hAnsi="Roboto" w:cs="Times New Roman"/>
          <w:i/>
          <w:iCs/>
          <w:color w:val="333333"/>
          <w:kern w:val="0"/>
          <w:sz w:val="24"/>
          <w:szCs w:val="24"/>
          <w14:ligatures w14:val="none"/>
        </w:rPr>
        <w:t>maintenance</w:t>
      </w:r>
      <w:r w:rsidRPr="007B57F8">
        <w:rPr>
          <w:rFonts w:ascii="Roboto" w:eastAsia="Times New Roman" w:hAnsi="Roboto" w:cs="Times New Roman"/>
          <w:i/>
          <w:iCs/>
          <w:color w:val="333333"/>
          <w:kern w:val="0"/>
          <w:sz w:val="24"/>
          <w:szCs w:val="24"/>
          <w14:ligatures w14:val="none"/>
        </w:rPr>
        <w:t xml:space="preserve"> and testing.</w:t>
      </w:r>
    </w:p>
    <w:p w:rsidR="007B57F8" w:rsidRPr="007B57F8" w:rsidP="007B57F8" w14:paraId="24868A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be responsible for the inspection, maintenance and testing of all portable fire extinguishers in the workplace.</w:t>
      </w:r>
    </w:p>
    <w:p w:rsidR="007B57F8" w:rsidRPr="007B57F8" w:rsidP="007B57F8" w14:paraId="5870F6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Portable extinguishers or hose used in lieu thereof under </w:t>
      </w:r>
      <w:hyperlink r:id="rId7" w:anchor="p-1910.157(d)(3)" w:history="1">
        <w:r w:rsidRPr="007B57F8">
          <w:rPr>
            <w:rFonts w:ascii="Roboto" w:eastAsia="Times New Roman" w:hAnsi="Roboto" w:cs="Times New Roman"/>
            <w:color w:val="3071A9"/>
            <w:kern w:val="0"/>
            <w:sz w:val="24"/>
            <w:szCs w:val="24"/>
            <w:u w:val="single"/>
            <w14:ligatures w14:val="none"/>
          </w:rPr>
          <w:t>paragraph (d)(3)</w:t>
        </w:r>
      </w:hyperlink>
      <w:r w:rsidRPr="007B57F8">
        <w:rPr>
          <w:rFonts w:ascii="Roboto" w:eastAsia="Times New Roman" w:hAnsi="Roboto" w:cs="Times New Roman"/>
          <w:color w:val="333333"/>
          <w:kern w:val="0"/>
          <w:sz w:val="24"/>
          <w:szCs w:val="24"/>
          <w14:ligatures w14:val="none"/>
        </w:rPr>
        <w:t> of this section shall be visually inspected monthly.</w:t>
      </w:r>
    </w:p>
    <w:p w:rsidR="007B57F8" w:rsidRPr="007B57F8" w:rsidP="007B57F8" w14:paraId="00ABD3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assure that portable fire extinguishers are subjected to an annual maintenance check. Stored pressure extinguishers do not require an internal </w:t>
      </w:r>
      <w:r w:rsidRPr="007B57F8">
        <w:rPr>
          <w:rFonts w:ascii="Roboto" w:eastAsia="Times New Roman" w:hAnsi="Roboto" w:cs="Times New Roman"/>
          <w:color w:val="333333"/>
          <w:kern w:val="0"/>
          <w:sz w:val="24"/>
          <w:szCs w:val="24"/>
          <w14:ligatures w14:val="none"/>
        </w:rPr>
        <w:t>examination. The employer shall record the annual maintenance date and retain this record for one year after the last entry or the life of the shell, whichever is less. The record shall be available to the Assistant Secretary upon request.</w:t>
      </w:r>
    </w:p>
    <w:p w:rsidR="007B57F8" w:rsidRPr="007B57F8" w:rsidP="007B57F8" w14:paraId="5AD321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stored pressure dry chemical extinguishers that require a 12-year hydrostatic test are emptied and subjected to applicable maintenance procedures every 6 years. Dry chemical extinguishers having non-refillable disposable containers are exempt from this requirement. When recharging or hydrostatic testing is performed, the 6-year requirement begins from that date.</w:t>
      </w:r>
    </w:p>
    <w:p w:rsidR="007B57F8" w:rsidRPr="007B57F8" w:rsidP="007B57F8" w14:paraId="70A7C6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5</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alternate equivalent protection is provided when portable fire extinguishers are removed from service for maintenance and recharging.</w:t>
      </w:r>
    </w:p>
    <w:p w:rsidR="007B57F8" w:rsidRPr="007B57F8" w:rsidP="007B57F8" w14:paraId="6F73BB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f</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Hydrostatic testing.</w:t>
      </w:r>
    </w:p>
    <w:p w:rsidR="007B57F8" w:rsidRPr="007B57F8" w:rsidP="007B57F8" w14:paraId="45FB8B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hydrostatic testing is performed by trained persons with suitable testing equipment and facilities.</w:t>
      </w:r>
    </w:p>
    <w:p w:rsidR="007B57F8" w:rsidRPr="007B57F8" w:rsidP="007B57F8" w14:paraId="5E2FAC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portable extinguishers are hydrostatically tested at the intervals listed in Table L-1 of this section, except under any of the following conditions:</w:t>
      </w:r>
    </w:p>
    <w:p w:rsidR="007B57F8" w:rsidRPr="007B57F8" w:rsidP="007B57F8" w14:paraId="65EAB0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When the unit has been repaired by soldering, welding, brazing, or use of patching </w:t>
      </w:r>
      <w:r w:rsidRPr="007B57F8">
        <w:rPr>
          <w:rFonts w:ascii="Roboto" w:eastAsia="Times New Roman" w:hAnsi="Roboto" w:cs="Times New Roman"/>
          <w:color w:val="333333"/>
          <w:kern w:val="0"/>
          <w:sz w:val="24"/>
          <w:szCs w:val="24"/>
          <w14:ligatures w14:val="none"/>
        </w:rPr>
        <w:t>compounds;</w:t>
      </w:r>
    </w:p>
    <w:p w:rsidR="007B57F8" w:rsidRPr="007B57F8" w:rsidP="007B57F8" w14:paraId="7783C6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ii</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When the cylinder or shell threads are </w:t>
      </w:r>
      <w:r w:rsidRPr="007B57F8">
        <w:rPr>
          <w:rFonts w:ascii="Roboto" w:eastAsia="Times New Roman" w:hAnsi="Roboto" w:cs="Times New Roman"/>
          <w:color w:val="333333"/>
          <w:kern w:val="0"/>
          <w:sz w:val="24"/>
          <w:szCs w:val="24"/>
          <w14:ligatures w14:val="none"/>
        </w:rPr>
        <w:t>damaged;</w:t>
      </w:r>
    </w:p>
    <w:p w:rsidR="007B57F8" w:rsidRPr="007B57F8" w:rsidP="007B57F8" w14:paraId="156E55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When there is corrosion that has caused pitting, including corrosion under removable name plate </w:t>
      </w:r>
      <w:r w:rsidRPr="007B57F8">
        <w:rPr>
          <w:rFonts w:ascii="Roboto" w:eastAsia="Times New Roman" w:hAnsi="Roboto" w:cs="Times New Roman"/>
          <w:color w:val="333333"/>
          <w:kern w:val="0"/>
          <w:sz w:val="24"/>
          <w:szCs w:val="24"/>
          <w14:ligatures w14:val="none"/>
        </w:rPr>
        <w:t>assemblies;</w:t>
      </w:r>
    </w:p>
    <w:p w:rsidR="007B57F8" w:rsidRPr="007B57F8" w:rsidP="007B57F8" w14:paraId="44C2B9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iv</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When the extinguisher has been burned in a fire; or</w:t>
      </w:r>
    </w:p>
    <w:p w:rsidR="007B57F8" w:rsidRPr="007B57F8" w:rsidP="007B57F8" w14:paraId="7D5370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v</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When a calcium chloride extinguishing agent has been used in a </w:t>
      </w:r>
      <w:r w:rsidRPr="007B57F8">
        <w:rPr>
          <w:rFonts w:ascii="Roboto" w:eastAsia="Times New Roman" w:hAnsi="Roboto" w:cs="Times New Roman"/>
          <w:color w:val="333333"/>
          <w:kern w:val="0"/>
          <w:sz w:val="24"/>
          <w:szCs w:val="24"/>
          <w14:ligatures w14:val="none"/>
        </w:rPr>
        <w:t>stainless steel</w:t>
      </w:r>
      <w:r w:rsidRPr="007B57F8">
        <w:rPr>
          <w:rFonts w:ascii="Roboto" w:eastAsia="Times New Roman" w:hAnsi="Roboto" w:cs="Times New Roman"/>
          <w:color w:val="333333"/>
          <w:kern w:val="0"/>
          <w:sz w:val="24"/>
          <w:szCs w:val="24"/>
          <w14:ligatures w14:val="none"/>
        </w:rPr>
        <w:t xml:space="preserve"> shell.</w:t>
      </w:r>
    </w:p>
    <w:p w:rsidR="007B57F8" w:rsidRPr="007B57F8" w:rsidP="007B57F8" w14:paraId="05104B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In addition to an external visual examination, the employer shall assure that an internal examination of cylinders and shells to be tested is made prior to the hydrostatic tests.</w:t>
      </w:r>
    </w:p>
    <w:p w:rsidR="007B57F8" w:rsidRPr="007B57F8" w:rsidP="007B57F8" w14:paraId="5D3E7494"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14:ligatures w14:val="none"/>
        </w:rPr>
        <w:t>Expand Table</w:t>
      </w:r>
      <w:r w:rsidRPr="007B57F8">
        <w:rPr>
          <w:rFonts w:ascii="Roboto" w:eastAsia="Times New Roman" w:hAnsi="Roboto" w:cs="Times New Roman"/>
          <w:color w:val="7F7F7F"/>
          <w:kern w:val="0"/>
          <w:sz w:val="21"/>
          <w:szCs w:val="21"/>
          <w14:ligatures w14:val="none"/>
        </w:rPr>
        <w:t> </w:t>
      </w:r>
    </w:p>
    <w:p w:rsidR="007B57F8" w:rsidRPr="007B57F8" w:rsidP="007B57F8" w14:paraId="400B40A9"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7B57F8">
        <w:rPr>
          <w:rFonts w:ascii="Roboto" w:eastAsia="Times New Roman" w:hAnsi="Roboto" w:cs="Times New Roman"/>
          <w:color w:val="333333"/>
          <w:kern w:val="0"/>
          <w:sz w:val="27"/>
          <w:szCs w:val="27"/>
          <w14:ligatures w14:val="none"/>
        </w:rPr>
        <w:t>Table L-1</w:t>
      </w:r>
    </w:p>
    <w:tbl>
      <w:tblPr>
        <w:tblW w:w="9965" w:type="dxa"/>
        <w:tblCellSpacing w:w="15" w:type="dxa"/>
        <w:tblCellMar>
          <w:top w:w="15" w:type="dxa"/>
          <w:left w:w="15" w:type="dxa"/>
          <w:bottom w:w="15" w:type="dxa"/>
          <w:right w:w="15" w:type="dxa"/>
        </w:tblCellMar>
        <w:tblLook w:val="04A0"/>
      </w:tblPr>
      <w:tblGrid>
        <w:gridCol w:w="7653"/>
        <w:gridCol w:w="2312"/>
      </w:tblGrid>
      <w:tr w14:paraId="23FB369B" w14:textId="77777777" w:rsidTr="007B57F8">
        <w:tblPrEx>
          <w:tblW w:w="9965"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7B57F8" w:rsidRPr="007B57F8" w:rsidP="007B57F8" w14:paraId="0ABC66A5" w14:textId="77777777">
            <w:pPr>
              <w:spacing w:after="300" w:line="240" w:lineRule="auto"/>
              <w:jc w:val="center"/>
              <w:rPr>
                <w:rFonts w:ascii="Times New Roman" w:eastAsia="Times New Roman" w:hAnsi="Times New Roman" w:cs="Times New Roman"/>
                <w:b/>
                <w:bCs/>
                <w:kern w:val="0"/>
                <w:sz w:val="24"/>
                <w:szCs w:val="24"/>
                <w14:ligatures w14:val="none"/>
              </w:rPr>
            </w:pPr>
            <w:r w:rsidRPr="007B57F8">
              <w:rPr>
                <w:rFonts w:ascii="Times New Roman" w:eastAsia="Times New Roman" w:hAnsi="Times New Roman" w:cs="Times New Roman"/>
                <w:b/>
                <w:bCs/>
                <w:kern w:val="0"/>
                <w:sz w:val="24"/>
                <w:szCs w:val="24"/>
                <w14:ligatures w14:val="none"/>
              </w:rPr>
              <w:t>Type of extinguishers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7B57F8" w:rsidRPr="007B57F8" w:rsidP="007B57F8" w14:paraId="78BA73D9" w14:textId="77777777">
            <w:pPr>
              <w:spacing w:after="300" w:line="240" w:lineRule="auto"/>
              <w:jc w:val="center"/>
              <w:rPr>
                <w:rFonts w:ascii="Times New Roman" w:eastAsia="Times New Roman" w:hAnsi="Times New Roman" w:cs="Times New Roman"/>
                <w:b/>
                <w:bCs/>
                <w:kern w:val="0"/>
                <w:sz w:val="24"/>
                <w:szCs w:val="24"/>
                <w14:ligatures w14:val="none"/>
              </w:rPr>
            </w:pPr>
            <w:r w:rsidRPr="007B57F8">
              <w:rPr>
                <w:rFonts w:ascii="Times New Roman" w:eastAsia="Times New Roman" w:hAnsi="Times New Roman" w:cs="Times New Roman"/>
                <w:b/>
                <w:bCs/>
                <w:kern w:val="0"/>
                <w:sz w:val="24"/>
                <w:szCs w:val="24"/>
                <w14:ligatures w14:val="none"/>
              </w:rPr>
              <w:t>Test interval (years)</w:t>
            </w:r>
          </w:p>
        </w:tc>
      </w:tr>
      <w:tr w14:paraId="33EC8FAD"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776AAC00"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Soda acid (soldered brass shells) (until 1/1/82)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52557815"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w:t>
            </w:r>
            <w:r w:rsidRPr="007B57F8">
              <w:rPr>
                <w:rFonts w:ascii="Times New Roman" w:eastAsia="Times New Roman" w:hAnsi="Times New Roman" w:cs="Times New Roman"/>
                <w:kern w:val="0"/>
                <w:sz w:val="18"/>
                <w:szCs w:val="18"/>
                <w:vertAlign w:val="superscript"/>
                <w14:ligatures w14:val="none"/>
              </w:rPr>
              <w:t>1</w:t>
            </w:r>
            <w:r w:rsidRPr="007B57F8">
              <w:rPr>
                <w:rFonts w:ascii="Times New Roman" w:eastAsia="Times New Roman" w:hAnsi="Times New Roman" w:cs="Times New Roman"/>
                <w:kern w:val="0"/>
                <w:sz w:val="24"/>
                <w:szCs w:val="24"/>
                <w14:ligatures w14:val="none"/>
              </w:rPr>
              <w:t>)</w:t>
            </w:r>
          </w:p>
        </w:tc>
      </w:tr>
      <w:tr w14:paraId="51095BDB"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1550B5B8"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Soda acid (stainless steel shell)</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54580D76"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49E9430D"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6F15C14A"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Cartridge operated water and/or antifreeze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30A520D4"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4C09193B"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14BE21FE"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Stored pressure water and/or antifreeze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5D2ABFB3"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7EFD2447"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1419D928"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Wetting agent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3EAC9C83"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3511C83C"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5065BE10"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Foam (soldered brass shells) (until 1/1/82)</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6A3958D5"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w:t>
            </w:r>
            <w:r w:rsidRPr="007B57F8">
              <w:rPr>
                <w:rFonts w:ascii="Times New Roman" w:eastAsia="Times New Roman" w:hAnsi="Times New Roman" w:cs="Times New Roman"/>
                <w:kern w:val="0"/>
                <w:sz w:val="18"/>
                <w:szCs w:val="18"/>
                <w:vertAlign w:val="superscript"/>
                <w14:ligatures w14:val="none"/>
              </w:rPr>
              <w:t>1</w:t>
            </w:r>
            <w:r w:rsidRPr="007B57F8">
              <w:rPr>
                <w:rFonts w:ascii="Times New Roman" w:eastAsia="Times New Roman" w:hAnsi="Times New Roman" w:cs="Times New Roman"/>
                <w:kern w:val="0"/>
                <w:sz w:val="24"/>
                <w:szCs w:val="24"/>
                <w14:ligatures w14:val="none"/>
              </w:rPr>
              <w:t>)</w:t>
            </w:r>
          </w:p>
        </w:tc>
      </w:tr>
      <w:tr w14:paraId="3553BB80"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063B6C02"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Foam (stainless steel shell)</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30AB43C5"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5F4E596B"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684CFCA8"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Aqueous Film Forming foam (AFFF)</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6C85AD18"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3ABF62E8"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5BC946B2"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Loaded stream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53A9F8EC"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3F2675C9"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5B422AB5"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Dry chemical with stainless steel</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146D4616"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5F71E573"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418177E9"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Carbon dioxide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1EE201F5"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5</w:t>
            </w:r>
          </w:p>
        </w:tc>
      </w:tr>
      <w:tr w14:paraId="6CDC8A1B"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2F7C57A0"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 xml:space="preserve">Dry chemical, stored pressure, with mild steel, brazed </w:t>
            </w:r>
            <w:r w:rsidRPr="007B57F8">
              <w:rPr>
                <w:rFonts w:ascii="Times New Roman" w:eastAsia="Times New Roman" w:hAnsi="Times New Roman" w:cs="Times New Roman"/>
                <w:kern w:val="0"/>
                <w:sz w:val="24"/>
                <w:szCs w:val="24"/>
                <w14:ligatures w14:val="none"/>
              </w:rPr>
              <w:t>brass</w:t>
            </w:r>
            <w:r w:rsidRPr="007B57F8">
              <w:rPr>
                <w:rFonts w:ascii="Times New Roman" w:eastAsia="Times New Roman" w:hAnsi="Times New Roman" w:cs="Times New Roman"/>
                <w:kern w:val="0"/>
                <w:sz w:val="24"/>
                <w:szCs w:val="24"/>
                <w14:ligatures w14:val="none"/>
              </w:rPr>
              <w:t xml:space="preserve"> or aluminum shells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503A6FB6"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12</w:t>
            </w:r>
          </w:p>
        </w:tc>
      </w:tr>
      <w:tr w14:paraId="675990E9"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63AB2AB6"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Dry chemical, cartridge or cylinder operated, with mild steel shells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38928087"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12</w:t>
            </w:r>
          </w:p>
        </w:tc>
      </w:tr>
      <w:tr w14:paraId="76B71944"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72191AA0"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Halon 1211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481F601D"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12</w:t>
            </w:r>
          </w:p>
        </w:tc>
      </w:tr>
      <w:tr w14:paraId="02AE29E0"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695132A6"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Halon 1301</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6B10E856"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12</w:t>
            </w:r>
          </w:p>
        </w:tc>
      </w:tr>
      <w:tr w14:paraId="33C57B6E" w14:textId="77777777" w:rsidTr="007B57F8">
        <w:tblPrEx>
          <w:tblW w:w="996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7B57F8" w:rsidRPr="007B57F8" w:rsidP="007B57F8" w14:paraId="6E8928F3" w14:textId="77777777">
            <w:pPr>
              <w:spacing w:after="300" w:line="240" w:lineRule="auto"/>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Dry powder, cartridge or cylinder operated with mild steel shells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7B57F8" w:rsidRPr="007B57F8" w:rsidP="007B57F8" w14:paraId="1EF4E36C" w14:textId="77777777">
            <w:pPr>
              <w:spacing w:after="300" w:line="240" w:lineRule="auto"/>
              <w:jc w:val="right"/>
              <w:rPr>
                <w:rFonts w:ascii="Times New Roman" w:eastAsia="Times New Roman" w:hAnsi="Times New Roman" w:cs="Times New Roman"/>
                <w:kern w:val="0"/>
                <w:sz w:val="24"/>
                <w:szCs w:val="24"/>
                <w14:ligatures w14:val="none"/>
              </w:rPr>
            </w:pPr>
            <w:r w:rsidRPr="007B57F8">
              <w:rPr>
                <w:rFonts w:ascii="Times New Roman" w:eastAsia="Times New Roman" w:hAnsi="Times New Roman" w:cs="Times New Roman"/>
                <w:kern w:val="0"/>
                <w:sz w:val="24"/>
                <w:szCs w:val="24"/>
                <w14:ligatures w14:val="none"/>
              </w:rPr>
              <w:t>12</w:t>
            </w:r>
          </w:p>
        </w:tc>
      </w:tr>
    </w:tbl>
    <w:p w:rsidR="007B57F8" w:rsidRPr="007B57F8" w:rsidP="007B57F8" w14:paraId="3A1CF298" w14:textId="77777777">
      <w:pPr>
        <w:shd w:val="clear" w:color="auto" w:fill="FBFBFB"/>
        <w:spacing w:line="240" w:lineRule="auto"/>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333333"/>
          <w:kern w:val="0"/>
          <w:sz w:val="18"/>
          <w:szCs w:val="18"/>
          <w:vertAlign w:val="superscript"/>
          <w14:ligatures w14:val="none"/>
        </w:rPr>
        <w:t>1</w:t>
      </w:r>
      <w:r w:rsidRPr="007B57F8">
        <w:rPr>
          <w:rFonts w:ascii="Roboto" w:eastAsia="Times New Roman" w:hAnsi="Roboto" w:cs="Times New Roman"/>
          <w:color w:val="333333"/>
          <w:kern w:val="0"/>
          <w:sz w:val="24"/>
          <w:szCs w:val="24"/>
          <w14:ligatures w14:val="none"/>
        </w:rPr>
        <w:t> Extinguishers having shells constructed of copper or brass joined by soft solder or rivets shall not be hydrostatically tested and shall be removed from service by January 1, 1982. (Not permitted)</w:t>
      </w:r>
    </w:p>
    <w:p w:rsidR="007B57F8" w:rsidRPr="007B57F8" w:rsidP="007B57F8" w14:paraId="03937D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portable fire extinguishers are hydrostatically tested whenever they show new evidence of corrosion or mechanical injury, except under the conditions listed in paragraphs (f)(2)(i)-(v) of this section.</w:t>
      </w:r>
    </w:p>
    <w:p w:rsidR="007B57F8" w:rsidRPr="007B57F8" w:rsidP="007B57F8" w14:paraId="4C4527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5</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hydrostatic tests are performed on extinguisher hose assemblies which are equipped with a shut-off nozzle at the discharge end of the hose. The test interval shall be the same as specified for the extinguisher on which the hose is installed.</w:t>
      </w:r>
    </w:p>
    <w:p w:rsidR="007B57F8" w:rsidRPr="007B57F8" w:rsidP="007B57F8" w14:paraId="14055A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6</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carbon dioxide hose assemblies with a shut-off nozzle are hydrostatically tested at 1,250 psi (8,620 kPa).</w:t>
      </w:r>
    </w:p>
    <w:p w:rsidR="007B57F8" w:rsidRPr="007B57F8" w:rsidP="007B57F8" w14:paraId="2C6746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7</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dry chemical and dry powder hose assemblies with a shut-off nozzle are hydrostatically tested at 300 psi (2,070 kPa).</w:t>
      </w:r>
    </w:p>
    <w:p w:rsidR="007B57F8" w:rsidRPr="007B57F8" w:rsidP="007B57F8" w14:paraId="110470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8</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Hose assemblies passing a hydrostatic test do not require any type of recording or stamping.</w:t>
      </w:r>
    </w:p>
    <w:p w:rsidR="007B57F8" w:rsidRPr="007B57F8" w:rsidP="007B57F8" w14:paraId="725DAA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9</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hose assemblies for carbon dioxide extinguishers that require a hydrostatic test are tested within a protective cage device.</w:t>
      </w:r>
    </w:p>
    <w:p w:rsidR="007B57F8" w:rsidRPr="007B57F8" w:rsidP="007B57F8" w14:paraId="0E6BB0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10</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carbon dioxide extinguishers and nitrogen or carbon dioxide cylinders used with wheeled extinguishers are tested every 5 years at 5/3 of the service pressure as stamped into the cylinder. Nitrogen cylinders which comply with </w:t>
      </w:r>
      <w:hyperlink r:id="rId12" w:anchor="p-173.34(e)(15)" w:history="1">
        <w:r w:rsidRPr="007B57F8">
          <w:rPr>
            <w:rFonts w:ascii="Roboto" w:eastAsia="Times New Roman" w:hAnsi="Roboto" w:cs="Times New Roman"/>
            <w:color w:val="3071A9"/>
            <w:kern w:val="0"/>
            <w:sz w:val="24"/>
            <w:szCs w:val="24"/>
            <w:u w:val="single"/>
            <w14:ligatures w14:val="none"/>
          </w:rPr>
          <w:t>49 CFR 173.34(e)(15)</w:t>
        </w:r>
      </w:hyperlink>
      <w:r w:rsidRPr="007B57F8">
        <w:rPr>
          <w:rFonts w:ascii="Roboto" w:eastAsia="Times New Roman" w:hAnsi="Roboto" w:cs="Times New Roman"/>
          <w:color w:val="333333"/>
          <w:kern w:val="0"/>
          <w:sz w:val="24"/>
          <w:szCs w:val="24"/>
          <w14:ligatures w14:val="none"/>
        </w:rPr>
        <w:t> may be hydrostatically tested every 10 years.</w:t>
      </w:r>
    </w:p>
    <w:p w:rsidR="007B57F8" w:rsidRPr="007B57F8" w:rsidP="007B57F8" w14:paraId="546EA0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all stored pressure and Halon 1211 types of extinguishers are hydrostatically tested at the factory test pressure not to exceed two times the service pressure.</w:t>
      </w:r>
    </w:p>
    <w:p w:rsidR="007B57F8" w:rsidRPr="007B57F8" w:rsidP="007B57F8" w14:paraId="33122D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assure that acceptable self-generating type soda acid and foam extinguishers are tested at 350 psi (2,410 kPa).</w:t>
      </w:r>
    </w:p>
    <w:p w:rsidR="007B57F8" w:rsidRPr="007B57F8" w:rsidP="007B57F8" w14:paraId="5B59C7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Air or gas pressure may not be used for hydrostatic testing.</w:t>
      </w:r>
    </w:p>
    <w:p w:rsidR="007B57F8" w:rsidRPr="007B57F8" w:rsidP="007B57F8" w14:paraId="1E404C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Extinguisher shells, cylinders, or cartridges which fail a hydrostatic pressure test, or which are not fit for testing shall be removed from service and from the workplace.</w:t>
      </w:r>
    </w:p>
    <w:p w:rsidR="007B57F8" w:rsidRPr="007B57F8" w:rsidP="007B57F8" w14:paraId="23B3C3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15</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p>
    <w:p w:rsidR="007B57F8" w:rsidRPr="007B57F8" w:rsidP="007B57F8" w14:paraId="426A96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equipment for testing compressed gas type cylinders shall be of the water jacket type. The equipment shall be provided with an expansion indicator which operates with an accuracy within one percent of the total expansion or .1cc (.1mL) of liquid.</w:t>
      </w:r>
    </w:p>
    <w:p w:rsidR="007B57F8" w:rsidRPr="007B57F8" w:rsidP="007B57F8" w14:paraId="0E23BF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ii</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equipment for testing non-compressed gas type cylinders shall consist of the following:</w:t>
      </w:r>
    </w:p>
    <w:p w:rsidR="007B57F8" w:rsidRPr="007B57F8" w:rsidP="007B57F8" w14:paraId="0C6D92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A</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A hydrostatic test pump, hand or power operated, capable of producing not less than 150 percent of the test pressure, which shall include appropriate check valves and </w:t>
      </w:r>
      <w:r w:rsidRPr="007B57F8">
        <w:rPr>
          <w:rFonts w:ascii="Roboto" w:eastAsia="Times New Roman" w:hAnsi="Roboto" w:cs="Times New Roman"/>
          <w:color w:val="333333"/>
          <w:kern w:val="0"/>
          <w:sz w:val="24"/>
          <w:szCs w:val="24"/>
          <w14:ligatures w14:val="none"/>
        </w:rPr>
        <w:t>fittings;</w:t>
      </w:r>
    </w:p>
    <w:p w:rsidR="007B57F8" w:rsidRPr="007B57F8" w:rsidP="007B57F8" w14:paraId="62882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B</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A flexible connection for attachment to fittings to test through the extinguisher nozzle, test bonnet, or hose outlet, as is applicable; and</w:t>
      </w:r>
    </w:p>
    <w:p w:rsidR="007B57F8" w:rsidRPr="007B57F8" w:rsidP="007B57F8" w14:paraId="1B479E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C</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A protective cage or barrier for personal protection of the tester, designed to provide visual observation of the extinguisher under test.</w:t>
      </w:r>
    </w:p>
    <w:p w:rsidR="007B57F8" w:rsidRPr="007B57F8" w:rsidP="007B57F8" w14:paraId="25A28A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16</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comes first.</w:t>
      </w:r>
    </w:p>
    <w:p w:rsidR="007B57F8" w:rsidRPr="007B57F8" w:rsidP="007B57F8" w14:paraId="67975E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g</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w:t>
      </w:r>
      <w:r w:rsidRPr="007B57F8">
        <w:rPr>
          <w:rFonts w:ascii="Roboto" w:eastAsia="Times New Roman" w:hAnsi="Roboto" w:cs="Times New Roman"/>
          <w:i/>
          <w:iCs/>
          <w:color w:val="333333"/>
          <w:kern w:val="0"/>
          <w:sz w:val="24"/>
          <w:szCs w:val="24"/>
          <w14:ligatures w14:val="none"/>
        </w:rPr>
        <w:t>Training and education.</w:t>
      </w:r>
    </w:p>
    <w:p w:rsidR="007B57F8" w:rsidRPr="007B57F8" w:rsidP="007B57F8" w14:paraId="351FBA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1</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Where the employer has provided portable fire extinguishers for employee use in the workplace, the employer shall also provide an educational program to familiarize employees with the general principles of fire extinguisher use and the hazards involved with incipient stage </w:t>
      </w:r>
      <w:r w:rsidRPr="007B57F8">
        <w:rPr>
          <w:rFonts w:ascii="Roboto" w:eastAsia="Times New Roman" w:hAnsi="Roboto" w:cs="Times New Roman"/>
          <w:color w:val="333333"/>
          <w:kern w:val="0"/>
          <w:sz w:val="24"/>
          <w:szCs w:val="24"/>
          <w14:ligatures w14:val="none"/>
        </w:rPr>
        <w:t>fire fighting</w:t>
      </w:r>
      <w:r w:rsidRPr="007B57F8">
        <w:rPr>
          <w:rFonts w:ascii="Roboto" w:eastAsia="Times New Roman" w:hAnsi="Roboto" w:cs="Times New Roman"/>
          <w:color w:val="333333"/>
          <w:kern w:val="0"/>
          <w:sz w:val="24"/>
          <w:szCs w:val="24"/>
          <w14:ligatures w14:val="none"/>
        </w:rPr>
        <w:t>.</w:t>
      </w:r>
    </w:p>
    <w:p w:rsidR="007B57F8" w:rsidRPr="007B57F8" w:rsidP="007B57F8" w14:paraId="1D3436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2</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provide the education required in </w:t>
      </w:r>
      <w:hyperlink r:id="rId7" w:anchor="p-1910.157(g)(1)" w:history="1">
        <w:r w:rsidRPr="007B57F8">
          <w:rPr>
            <w:rFonts w:ascii="Roboto" w:eastAsia="Times New Roman" w:hAnsi="Roboto" w:cs="Times New Roman"/>
            <w:color w:val="3071A9"/>
            <w:kern w:val="0"/>
            <w:sz w:val="24"/>
            <w:szCs w:val="24"/>
            <w:u w:val="single"/>
            <w14:ligatures w14:val="none"/>
          </w:rPr>
          <w:t>paragraph (g)(1)</w:t>
        </w:r>
      </w:hyperlink>
      <w:r w:rsidRPr="007B57F8">
        <w:rPr>
          <w:rFonts w:ascii="Roboto" w:eastAsia="Times New Roman" w:hAnsi="Roboto" w:cs="Times New Roman"/>
          <w:color w:val="333333"/>
          <w:kern w:val="0"/>
          <w:sz w:val="24"/>
          <w:szCs w:val="24"/>
          <w14:ligatures w14:val="none"/>
        </w:rPr>
        <w:t> of this section upon initial employment and at least annually thereafter.</w:t>
      </w:r>
    </w:p>
    <w:p w:rsidR="007B57F8" w:rsidRPr="007B57F8" w:rsidP="007B57F8" w14:paraId="770A04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3</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xml:space="preserve"> The employer shall provide employees who have been designated to use </w:t>
      </w:r>
      <w:r w:rsidRPr="007B57F8">
        <w:rPr>
          <w:rFonts w:ascii="Roboto" w:eastAsia="Times New Roman" w:hAnsi="Roboto" w:cs="Times New Roman"/>
          <w:color w:val="333333"/>
          <w:kern w:val="0"/>
          <w:sz w:val="24"/>
          <w:szCs w:val="24"/>
          <w14:ligatures w14:val="none"/>
        </w:rPr>
        <w:t>fire fighting</w:t>
      </w:r>
      <w:r w:rsidRPr="007B57F8">
        <w:rPr>
          <w:rFonts w:ascii="Roboto" w:eastAsia="Times New Roman" w:hAnsi="Roboto" w:cs="Times New Roman"/>
          <w:color w:val="333333"/>
          <w:kern w:val="0"/>
          <w:sz w:val="24"/>
          <w:szCs w:val="24"/>
          <w14:ligatures w14:val="none"/>
        </w:rPr>
        <w:t xml:space="preserve"> equipment as part of an emergency action plan with training in the use of the appropriate equipment.</w:t>
      </w:r>
    </w:p>
    <w:p w:rsidR="007B57F8" w:rsidRPr="007B57F8" w:rsidP="007B57F8" w14:paraId="565618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bdr w:val="single" w:sz="6" w:space="0" w:color="D8D8D8" w:frame="1"/>
          <w:shd w:val="clear" w:color="auto" w:fill="D8D8D8"/>
          <w14:ligatures w14:val="none"/>
        </w:rPr>
        <w:t>4</w:t>
      </w:r>
      <w:r w:rsidRPr="007B57F8">
        <w:rPr>
          <w:rFonts w:ascii="Roboto" w:eastAsia="Times New Roman" w:hAnsi="Roboto" w:cs="Times New Roman"/>
          <w:color w:val="7F7F7F"/>
          <w:kern w:val="0"/>
          <w:sz w:val="24"/>
          <w:szCs w:val="24"/>
          <w:bdr w:val="single" w:sz="6" w:space="0" w:color="D8D8D8" w:frame="1"/>
          <w:shd w:val="clear" w:color="auto" w:fill="D8D8D8"/>
          <w14:ligatures w14:val="none"/>
        </w:rPr>
        <w:t>)</w:t>
      </w:r>
      <w:r w:rsidRPr="007B57F8">
        <w:rPr>
          <w:rFonts w:ascii="Roboto" w:eastAsia="Times New Roman" w:hAnsi="Roboto" w:cs="Times New Roman"/>
          <w:color w:val="333333"/>
          <w:kern w:val="0"/>
          <w:sz w:val="24"/>
          <w:szCs w:val="24"/>
          <w14:ligatures w14:val="none"/>
        </w:rPr>
        <w:t> The employer shall provide the training required in </w:t>
      </w:r>
      <w:hyperlink r:id="rId7" w:anchor="p-1910.157(g)(3)" w:history="1">
        <w:r w:rsidRPr="007B57F8">
          <w:rPr>
            <w:rFonts w:ascii="Roboto" w:eastAsia="Times New Roman" w:hAnsi="Roboto" w:cs="Times New Roman"/>
            <w:color w:val="3071A9"/>
            <w:kern w:val="0"/>
            <w:sz w:val="24"/>
            <w:szCs w:val="24"/>
            <w:u w:val="single"/>
            <w14:ligatures w14:val="none"/>
          </w:rPr>
          <w:t>paragraph (g)(3)</w:t>
        </w:r>
      </w:hyperlink>
      <w:r w:rsidRPr="007B57F8">
        <w:rPr>
          <w:rFonts w:ascii="Roboto" w:eastAsia="Times New Roman" w:hAnsi="Roboto" w:cs="Times New Roman"/>
          <w:color w:val="333333"/>
          <w:kern w:val="0"/>
          <w:sz w:val="24"/>
          <w:szCs w:val="24"/>
          <w14:ligatures w14:val="none"/>
        </w:rPr>
        <w:t> of this section upon initial assignment to the designated group of employees and at least annually thereafter.</w:t>
      </w:r>
    </w:p>
    <w:p w:rsidR="007B57F8" w:rsidRPr="007B57F8" w:rsidP="007B57F8" w14:paraId="3FF25539"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7B57F8">
        <w:rPr>
          <w:rFonts w:ascii="Roboto" w:eastAsia="Times New Roman" w:hAnsi="Roboto" w:cs="Times New Roman"/>
          <w:i/>
          <w:iCs/>
          <w:color w:val="808080"/>
          <w:kern w:val="0"/>
          <w:sz w:val="24"/>
          <w:szCs w:val="24"/>
          <w14:ligatures w14:val="none"/>
        </w:rPr>
        <w:t>[</w:t>
      </w:r>
      <w:hyperlink r:id="rId13" w:history="1">
        <w:r w:rsidRPr="007B57F8">
          <w:rPr>
            <w:rFonts w:ascii="Roboto" w:eastAsia="Times New Roman" w:hAnsi="Roboto" w:cs="Times New Roman"/>
            <w:i/>
            <w:iCs/>
            <w:color w:val="3071A9"/>
            <w:kern w:val="0"/>
            <w:sz w:val="24"/>
            <w:szCs w:val="24"/>
            <w:u w:val="single"/>
            <w14:ligatures w14:val="none"/>
          </w:rPr>
          <w:t>45 FR 60708</w:t>
        </w:r>
      </w:hyperlink>
      <w:r w:rsidRPr="007B57F8">
        <w:rPr>
          <w:rFonts w:ascii="Roboto" w:eastAsia="Times New Roman" w:hAnsi="Roboto" w:cs="Times New Roman"/>
          <w:i/>
          <w:iCs/>
          <w:color w:val="808080"/>
          <w:kern w:val="0"/>
          <w:sz w:val="24"/>
          <w:szCs w:val="24"/>
          <w14:ligatures w14:val="none"/>
        </w:rPr>
        <w:t>, Sept. 12, 1980; </w:t>
      </w:r>
      <w:hyperlink r:id="rId14" w:history="1">
        <w:r w:rsidRPr="007B57F8">
          <w:rPr>
            <w:rFonts w:ascii="Roboto" w:eastAsia="Times New Roman" w:hAnsi="Roboto" w:cs="Times New Roman"/>
            <w:i/>
            <w:iCs/>
            <w:color w:val="3071A9"/>
            <w:kern w:val="0"/>
            <w:sz w:val="24"/>
            <w:szCs w:val="24"/>
            <w:u w:val="single"/>
            <w14:ligatures w14:val="none"/>
          </w:rPr>
          <w:t>46 FR 24557</w:t>
        </w:r>
      </w:hyperlink>
      <w:r w:rsidRPr="007B57F8">
        <w:rPr>
          <w:rFonts w:ascii="Roboto" w:eastAsia="Times New Roman" w:hAnsi="Roboto" w:cs="Times New Roman"/>
          <w:i/>
          <w:iCs/>
          <w:color w:val="808080"/>
          <w:kern w:val="0"/>
          <w:sz w:val="24"/>
          <w:szCs w:val="24"/>
          <w14:ligatures w14:val="none"/>
        </w:rPr>
        <w:t>, May 1, 1981, as amended at </w:t>
      </w:r>
      <w:hyperlink r:id="rId15" w:history="1">
        <w:r w:rsidRPr="007B57F8">
          <w:rPr>
            <w:rFonts w:ascii="Roboto" w:eastAsia="Times New Roman" w:hAnsi="Roboto" w:cs="Times New Roman"/>
            <w:i/>
            <w:iCs/>
            <w:color w:val="3071A9"/>
            <w:kern w:val="0"/>
            <w:sz w:val="24"/>
            <w:szCs w:val="24"/>
            <w:u w:val="single"/>
            <w14:ligatures w14:val="none"/>
          </w:rPr>
          <w:t>51 FR 34560</w:t>
        </w:r>
      </w:hyperlink>
      <w:r w:rsidRPr="007B57F8">
        <w:rPr>
          <w:rFonts w:ascii="Roboto" w:eastAsia="Times New Roman" w:hAnsi="Roboto" w:cs="Times New Roman"/>
          <w:i/>
          <w:iCs/>
          <w:color w:val="808080"/>
          <w:kern w:val="0"/>
          <w:sz w:val="24"/>
          <w:szCs w:val="24"/>
          <w14:ligatures w14:val="none"/>
        </w:rPr>
        <w:t>, Sept. 29, 1986; </w:t>
      </w:r>
      <w:hyperlink r:id="rId16" w:history="1">
        <w:r w:rsidRPr="007B57F8">
          <w:rPr>
            <w:rFonts w:ascii="Roboto" w:eastAsia="Times New Roman" w:hAnsi="Roboto" w:cs="Times New Roman"/>
            <w:i/>
            <w:iCs/>
            <w:color w:val="3071A9"/>
            <w:kern w:val="0"/>
            <w:sz w:val="24"/>
            <w:szCs w:val="24"/>
            <w:u w:val="single"/>
            <w14:ligatures w14:val="none"/>
          </w:rPr>
          <w:t>61 FR 9239</w:t>
        </w:r>
      </w:hyperlink>
      <w:r w:rsidRPr="007B57F8">
        <w:rPr>
          <w:rFonts w:ascii="Roboto" w:eastAsia="Times New Roman" w:hAnsi="Roboto" w:cs="Times New Roman"/>
          <w:i/>
          <w:iCs/>
          <w:color w:val="808080"/>
          <w:kern w:val="0"/>
          <w:sz w:val="24"/>
          <w:szCs w:val="24"/>
          <w14:ligatures w14:val="none"/>
        </w:rPr>
        <w:t>, Mar. 7, 1996; </w:t>
      </w:r>
      <w:hyperlink r:id="rId17" w:history="1">
        <w:r w:rsidRPr="007B57F8">
          <w:rPr>
            <w:rFonts w:ascii="Roboto" w:eastAsia="Times New Roman" w:hAnsi="Roboto" w:cs="Times New Roman"/>
            <w:i/>
            <w:iCs/>
            <w:color w:val="3071A9"/>
            <w:kern w:val="0"/>
            <w:sz w:val="24"/>
            <w:szCs w:val="24"/>
            <w:u w:val="single"/>
            <w14:ligatures w14:val="none"/>
          </w:rPr>
          <w:t>67 FR 67964</w:t>
        </w:r>
      </w:hyperlink>
      <w:r w:rsidRPr="007B57F8">
        <w:rPr>
          <w:rFonts w:ascii="Roboto" w:eastAsia="Times New Roman" w:hAnsi="Roboto" w:cs="Times New Roman"/>
          <w:i/>
          <w:iCs/>
          <w:color w:val="808080"/>
          <w:kern w:val="0"/>
          <w:sz w:val="24"/>
          <w:szCs w:val="24"/>
          <w14:ligatures w14:val="none"/>
        </w:rPr>
        <w:t>, Nov. 7, 2002]</w:t>
      </w:r>
    </w:p>
    <w:p w:rsidR="008560C5" w14:paraId="58BF29A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A7521"/>
    <w:multiLevelType w:val="multilevel"/>
    <w:tmpl w:val="784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34BB0"/>
    <w:multiLevelType w:val="multilevel"/>
    <w:tmpl w:val="E556A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85682"/>
    <w:multiLevelType w:val="multilevel"/>
    <w:tmpl w:val="E216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A452A"/>
    <w:multiLevelType w:val="multilevel"/>
    <w:tmpl w:val="629C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2414ED"/>
    <w:multiLevelType w:val="multilevel"/>
    <w:tmpl w:val="145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1C1278"/>
    <w:multiLevelType w:val="multilevel"/>
    <w:tmpl w:val="761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B0C8B"/>
    <w:multiLevelType w:val="multilevel"/>
    <w:tmpl w:val="B56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F94121"/>
    <w:multiLevelType w:val="multilevel"/>
    <w:tmpl w:val="7B6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7201B6"/>
    <w:multiLevelType w:val="multilevel"/>
    <w:tmpl w:val="82F0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631245">
    <w:abstractNumId w:val="1"/>
  </w:num>
  <w:num w:numId="2" w16cid:durableId="1743214001">
    <w:abstractNumId w:val="3"/>
  </w:num>
  <w:num w:numId="3" w16cid:durableId="1346706008">
    <w:abstractNumId w:val="6"/>
  </w:num>
  <w:num w:numId="4" w16cid:durableId="1367490005">
    <w:abstractNumId w:val="4"/>
  </w:num>
  <w:num w:numId="5" w16cid:durableId="1745376380">
    <w:abstractNumId w:val="7"/>
  </w:num>
  <w:num w:numId="6" w16cid:durableId="150608618">
    <w:abstractNumId w:val="2"/>
  </w:num>
  <w:num w:numId="7" w16cid:durableId="1484587458">
    <w:abstractNumId w:val="0"/>
  </w:num>
  <w:num w:numId="8" w16cid:durableId="1195457779">
    <w:abstractNumId w:val="5"/>
  </w:num>
  <w:num w:numId="9" w16cid:durableId="144978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F8"/>
    <w:rsid w:val="0031363C"/>
    <w:rsid w:val="00373D1E"/>
    <w:rsid w:val="007B57F8"/>
    <w:rsid w:val="008560C5"/>
    <w:rsid w:val="00BB3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63C3B"/>
  <w15:chartTrackingRefBased/>
  <w15:docId w15:val="{8259295C-B667-4B3B-BFAE-32E990E2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B57F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B57F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7B57F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7B57F8"/>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F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B57F8"/>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7B57F8"/>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7B57F8"/>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B57F8"/>
    <w:rPr>
      <w:color w:val="0000FF"/>
      <w:u w:val="single"/>
    </w:rPr>
  </w:style>
  <w:style w:type="paragraph" w:customStyle="1" w:styleId="nav-search">
    <w:name w:val="nav-search"/>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7B57F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7B57F8"/>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7B57F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7B57F8"/>
    <w:rPr>
      <w:rFonts w:ascii="Arial" w:eastAsia="Times New Roman" w:hAnsi="Arial" w:cs="Arial"/>
      <w:vanish/>
      <w:kern w:val="0"/>
      <w:sz w:val="16"/>
      <w:szCs w:val="16"/>
      <w14:ligatures w14:val="none"/>
    </w:rPr>
  </w:style>
  <w:style w:type="paragraph" w:customStyle="1" w:styleId="breadcrumb-current">
    <w:name w:val="breadcrumb-current"/>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7B57F8"/>
  </w:style>
  <w:style w:type="paragraph" w:customStyle="1" w:styleId="enhanced">
    <w:name w:val="enhanced"/>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7B57F8"/>
  </w:style>
  <w:style w:type="character" w:customStyle="1" w:styleId="paren">
    <w:name w:val="paren"/>
    <w:basedOn w:val="DefaultParagraphFont"/>
    <w:rsid w:val="007B57F8"/>
  </w:style>
  <w:style w:type="character" w:styleId="Emphasis">
    <w:name w:val="Emphasis"/>
    <w:basedOn w:val="DefaultParagraphFont"/>
    <w:uiPriority w:val="20"/>
    <w:qFormat/>
    <w:rsid w:val="007B57F8"/>
    <w:rPr>
      <w:i/>
      <w:iCs/>
    </w:rPr>
  </w:style>
  <w:style w:type="paragraph" w:customStyle="1" w:styleId="indent-2">
    <w:name w:val="indent-2"/>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7B57F8"/>
  </w:style>
  <w:style w:type="paragraph" w:customStyle="1" w:styleId="table-title">
    <w:name w:val="table-title"/>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note">
    <w:name w:val="table-note"/>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7B5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58" TargetMode="External" /><Relationship Id="rId11" Type="http://schemas.openxmlformats.org/officeDocument/2006/relationships/hyperlink" Target="https://www.ecfr.gov/current/title-29/section-1910.159" TargetMode="External" /><Relationship Id="rId12" Type="http://schemas.openxmlformats.org/officeDocument/2006/relationships/hyperlink" Target="https://www.ecfr.gov/current/title-49/section-173.34" TargetMode="External" /><Relationship Id="rId13" Type="http://schemas.openxmlformats.org/officeDocument/2006/relationships/hyperlink" Target="https://www.federalregister.gov/citation/45-FR-60708" TargetMode="External" /><Relationship Id="rId14" Type="http://schemas.openxmlformats.org/officeDocument/2006/relationships/hyperlink" Target="https://www.federalregister.gov/citation/46-FR-24557" TargetMode="External" /><Relationship Id="rId15" Type="http://schemas.openxmlformats.org/officeDocument/2006/relationships/hyperlink" Target="https://www.federalregister.gov/citation/51-FR-34560" TargetMode="External" /><Relationship Id="rId16" Type="http://schemas.openxmlformats.org/officeDocument/2006/relationships/hyperlink" Target="https://www.federalregister.gov/citation/61-FR-9239" TargetMode="External" /><Relationship Id="rId17" Type="http://schemas.openxmlformats.org/officeDocument/2006/relationships/hyperlink" Target="https://www.federalregister.gov/citation/67-FR-67964"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29/section-1910.157" TargetMode="External" /><Relationship Id="rId8" Type="http://schemas.openxmlformats.org/officeDocument/2006/relationships/hyperlink" Target="https://www.ecfr.gov/current/title-29/section-1910.38" TargetMode="External" /><Relationship Id="rId9" Type="http://schemas.openxmlformats.org/officeDocument/2006/relationships/hyperlink" Target="https://www.ecfr.gov/current/title-29/section-191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AB3A8D7ECCF45BB07DCA14061295D" ma:contentTypeVersion="14" ma:contentTypeDescription="Create a new document." ma:contentTypeScope="" ma:versionID="142239e206679526281ddc2fc1fceb7f">
  <xsd:schema xmlns:xsd="http://www.w3.org/2001/XMLSchema" xmlns:xs="http://www.w3.org/2001/XMLSchema" xmlns:p="http://schemas.microsoft.com/office/2006/metadata/properties" xmlns:ns3="53dc5197-4fb9-4ab3-9ba9-e19a6ff72ad3" xmlns:ns4="94c88c8d-26b5-453f-9a12-408a52f0a03f" targetNamespace="http://schemas.microsoft.com/office/2006/metadata/properties" ma:root="true" ma:fieldsID="0054b002dce8fe3fdfbc6e47c1bd03dc" ns3:_="" ns4:_="">
    <xsd:import namespace="53dc5197-4fb9-4ab3-9ba9-e19a6ff72ad3"/>
    <xsd:import namespace="94c88c8d-26b5-453f-9a12-408a52f0a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c5197-4fb9-4ab3-9ba9-e19a6ff7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88c8d-26b5-453f-9a12-408a52f0a0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dc5197-4fb9-4ab3-9ba9-e19a6ff72ad3" xsi:nil="true"/>
  </documentManagement>
</p:properties>
</file>

<file path=customXml/itemProps1.xml><?xml version="1.0" encoding="utf-8"?>
<ds:datastoreItem xmlns:ds="http://schemas.openxmlformats.org/officeDocument/2006/customXml" ds:itemID="{F55E1B35-4931-42F7-AF08-C1543B62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c5197-4fb9-4ab3-9ba9-e19a6ff72ad3"/>
    <ds:schemaRef ds:uri="94c88c8d-26b5-453f-9a12-408a52f0a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3145A-0ADB-4575-9671-F8EFDB1A694D}">
  <ds:schemaRefs>
    <ds:schemaRef ds:uri="http://schemas.microsoft.com/sharepoint/v3/contenttype/forms"/>
  </ds:schemaRefs>
</ds:datastoreItem>
</file>

<file path=customXml/itemProps3.xml><?xml version="1.0" encoding="utf-8"?>
<ds:datastoreItem xmlns:ds="http://schemas.openxmlformats.org/officeDocument/2006/customXml" ds:itemID="{2C2769B9-D9CA-4372-9A6E-D02D9C8F8C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c88c8d-26b5-453f-9a12-408a52f0a03f"/>
    <ds:schemaRef ds:uri="53dc5197-4fb9-4ab3-9ba9-e19a6ff72a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2024-04-11T19:48:00Z</dcterms:created>
  <dcterms:modified xsi:type="dcterms:W3CDTF">2024-04-11T19:52:00Z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0x0101001FCAB3A8D7ECCF45BB07DCA14061295D</vt:lpwstr>
  </property>
</Properties>
</file>