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2456" w:rsidP="00152689" w14:paraId="3E59FDB1" w14:textId="5B72CFA8">
      <w:pPr>
        <w:pStyle w:val="NoSpacing"/>
        <w:jc w:val="center"/>
      </w:pPr>
      <w:r>
        <w:t>Justification</w:t>
      </w:r>
    </w:p>
    <w:p w:rsidR="00152689" w:rsidP="00152689" w14:paraId="1E838A0E" w14:textId="2B8A31D9">
      <w:pPr>
        <w:pStyle w:val="NoSpacing"/>
        <w:jc w:val="center"/>
      </w:pPr>
      <w:r>
        <w:t>No material/Non-substantive Change Request</w:t>
      </w:r>
    </w:p>
    <w:p w:rsidR="00152689" w:rsidRPr="00152689" w:rsidP="00152689" w14:paraId="08036278" w14:textId="77777777">
      <w:pPr>
        <w:pStyle w:val="NoSpacing"/>
        <w:jc w:val="center"/>
        <w:rPr>
          <w:i/>
          <w:iCs/>
        </w:rPr>
      </w:pPr>
      <w:r w:rsidRPr="00152689">
        <w:rPr>
          <w:i/>
          <w:iCs/>
        </w:rPr>
        <w:t>“Authorization request form and Certification/Letter of Medical Necessity for Compounded Drugs”</w:t>
      </w:r>
    </w:p>
    <w:p w:rsidR="00152689" w:rsidP="00152689" w14:paraId="66F53DE8" w14:textId="03149248">
      <w:pPr>
        <w:pStyle w:val="NoSpacing"/>
        <w:jc w:val="center"/>
      </w:pPr>
      <w:r>
        <w:t>(CA-26)</w:t>
      </w:r>
    </w:p>
    <w:p w:rsidR="00152689" w:rsidRPr="003B39FA" w14:paraId="17318103" w14:textId="77777777">
      <w:pPr>
        <w:rPr>
          <w:rFonts w:cstheme="minorHAnsi"/>
        </w:rPr>
      </w:pPr>
    </w:p>
    <w:p w:rsidR="00152689" w:rsidRPr="003B39FA" w14:paraId="618A3D78" w14:textId="304CE4E6">
      <w:pPr>
        <w:rPr>
          <w:rFonts w:cstheme="minorHAnsi"/>
        </w:rPr>
      </w:pPr>
      <w:r w:rsidRPr="003B39FA">
        <w:rPr>
          <w:rFonts w:cstheme="minorHAnsi"/>
        </w:rPr>
        <w:t xml:space="preserve">The Office of Workers’ Compensation Programs (OWCP) is the primary agency responsible for the administration of the Federal Employees’ Compensation Act (FECA) and the Energy Employees Occupational Illness Compensation Program Act of 2000, as amended (EEOICPA).  Both </w:t>
      </w:r>
      <w:r w:rsidR="006F5A19">
        <w:rPr>
          <w:rFonts w:cstheme="minorHAnsi"/>
        </w:rPr>
        <w:t xml:space="preserve">the </w:t>
      </w:r>
      <w:r w:rsidRPr="003B39FA">
        <w:rPr>
          <w:rFonts w:cstheme="minorHAnsi"/>
        </w:rPr>
        <w:t xml:space="preserve">FECA </w:t>
      </w:r>
      <w:r w:rsidR="006F5A19">
        <w:rPr>
          <w:rFonts w:cstheme="minorHAnsi"/>
        </w:rPr>
        <w:t xml:space="preserve">program </w:t>
      </w:r>
      <w:r w:rsidRPr="003B39FA">
        <w:rPr>
          <w:rFonts w:cstheme="minorHAnsi"/>
        </w:rPr>
        <w:t xml:space="preserve">and </w:t>
      </w:r>
      <w:r w:rsidR="006F5A19">
        <w:rPr>
          <w:rFonts w:cstheme="minorHAnsi"/>
        </w:rPr>
        <w:t xml:space="preserve">the </w:t>
      </w:r>
      <w:r w:rsidRPr="003B39FA">
        <w:rPr>
          <w:rFonts w:cstheme="minorHAnsi"/>
        </w:rPr>
        <w:t xml:space="preserve">EEOICPA </w:t>
      </w:r>
      <w:r w:rsidR="006F5A19">
        <w:rPr>
          <w:rFonts w:cstheme="minorHAnsi"/>
        </w:rPr>
        <w:t xml:space="preserve">program </w:t>
      </w:r>
      <w:r w:rsidRPr="003B39FA" w:rsidR="005443D6">
        <w:rPr>
          <w:rFonts w:cstheme="minorHAnsi"/>
        </w:rPr>
        <w:t>cover pharmaceuticals</w:t>
      </w:r>
      <w:r w:rsidR="00AC6FC6">
        <w:rPr>
          <w:rFonts w:cstheme="minorHAnsi"/>
        </w:rPr>
        <w:t xml:space="preserve"> and may request prior authorization for such.</w:t>
      </w:r>
    </w:p>
    <w:p w:rsidR="008D567E" w:rsidRPr="003B39FA" w14:paraId="4A4F4612" w14:textId="4E9006A1">
      <w:pPr>
        <w:rPr>
          <w:rFonts w:cstheme="minorHAnsi"/>
        </w:rPr>
      </w:pPr>
      <w:r w:rsidRPr="003B39FA">
        <w:rPr>
          <w:rFonts w:cstheme="minorHAnsi"/>
        </w:rPr>
        <w:t>OWCP’s request is to allow physicians prescribing compounded drugs for claimants covered under the</w:t>
      </w:r>
      <w:r w:rsidR="000438F5">
        <w:rPr>
          <w:rFonts w:cstheme="minorHAnsi"/>
        </w:rPr>
        <w:t xml:space="preserve"> FECA and the EEOICPA </w:t>
      </w:r>
      <w:r w:rsidRPr="003B39FA">
        <w:rPr>
          <w:rFonts w:cstheme="minorHAnsi"/>
        </w:rPr>
        <w:t>the opportunity to request prior authorization.</w:t>
      </w:r>
      <w:r w:rsidR="000438F5">
        <w:rPr>
          <w:rFonts w:cstheme="minorHAnsi"/>
        </w:rPr>
        <w:t xml:space="preserve">  </w:t>
      </w:r>
      <w:r w:rsidRPr="003B39FA">
        <w:rPr>
          <w:rFonts w:cstheme="minorHAnsi"/>
        </w:rPr>
        <w:t>This request does not increase the prior burden assessment previously submitted</w:t>
      </w:r>
      <w:r>
        <w:rPr>
          <w:rFonts w:cstheme="minorHAnsi"/>
        </w:rPr>
        <w:t xml:space="preserve"> for </w:t>
      </w:r>
      <w:r w:rsidR="00AC6FC6">
        <w:rPr>
          <w:rFonts w:cstheme="minorHAnsi"/>
        </w:rPr>
        <w:t xml:space="preserve">the </w:t>
      </w:r>
      <w:r>
        <w:rPr>
          <w:rFonts w:cstheme="minorHAnsi"/>
        </w:rPr>
        <w:t>CA-26</w:t>
      </w:r>
      <w:r w:rsidR="00AC6FC6">
        <w:rPr>
          <w:rFonts w:cstheme="minorHAnsi"/>
        </w:rPr>
        <w:t xml:space="preserve"> form</w:t>
      </w:r>
      <w:r w:rsidRPr="003B39FA" w:rsidR="005443D6">
        <w:rPr>
          <w:rFonts w:cstheme="minorHAnsi"/>
        </w:rPr>
        <w:t>.</w:t>
      </w:r>
    </w:p>
    <w:p w:rsidR="00152689" w:rsidRPr="003B39FA" w:rsidP="00152689" w14:paraId="493BB662" w14:textId="2D5D724C">
      <w:pPr>
        <w:rPr>
          <w:rFonts w:cstheme="minorHAnsi"/>
        </w:rPr>
      </w:pPr>
      <w:r w:rsidRPr="003B39FA">
        <w:rPr>
          <w:rFonts w:cstheme="minorHAnsi"/>
        </w:rPr>
        <w:t xml:space="preserve">OWCP requests the following changes to the </w:t>
      </w:r>
      <w:r w:rsidR="00AC6FC6">
        <w:rPr>
          <w:rFonts w:cstheme="minorHAnsi"/>
        </w:rPr>
        <w:t xml:space="preserve">CA-26 </w:t>
      </w:r>
      <w:r w:rsidRPr="003B39FA">
        <w:rPr>
          <w:rFonts w:cstheme="minorHAnsi"/>
        </w:rPr>
        <w:t>form:</w:t>
      </w:r>
    </w:p>
    <w:p w:rsidR="00152689" w:rsidP="00152689" w14:paraId="12D0A904" w14:textId="2C05B939">
      <w:pPr>
        <w:rPr>
          <w:rFonts w:cstheme="minorHAnsi"/>
        </w:rPr>
      </w:pPr>
      <w:r w:rsidRPr="003B39FA">
        <w:rPr>
          <w:rFonts w:cstheme="minorHAnsi"/>
        </w:rPr>
        <w:t xml:space="preserve">Page 1: “Division of Federal Employees’ Compensation” </w:t>
      </w:r>
      <w:r w:rsidR="00AC6FC6">
        <w:rPr>
          <w:rFonts w:cstheme="minorHAnsi"/>
        </w:rPr>
        <w:t>to be</w:t>
      </w:r>
      <w:r w:rsidRPr="003B39FA">
        <w:rPr>
          <w:rFonts w:cstheme="minorHAnsi"/>
        </w:rPr>
        <w:t xml:space="preserve"> deleted</w:t>
      </w:r>
      <w:r w:rsidR="005C5B88">
        <w:rPr>
          <w:rFonts w:cstheme="minorHAnsi"/>
        </w:rPr>
        <w:t>.</w:t>
      </w:r>
    </w:p>
    <w:p w:rsidR="005C5B88" w:rsidRPr="005C5B88" w:rsidP="005C5B88" w14:paraId="6D70FCF2" w14:textId="270D1DB7">
      <w:pPr>
        <w:pStyle w:val="ListParagraph"/>
        <w:numPr>
          <w:ilvl w:val="0"/>
          <w:numId w:val="1"/>
        </w:numPr>
        <w:rPr>
          <w:rFonts w:cstheme="minorHAnsi"/>
        </w:rPr>
      </w:pPr>
      <w:r>
        <w:rPr>
          <w:rFonts w:cstheme="minorHAnsi"/>
        </w:rPr>
        <w:t>This change would indicate that the form is not exclusively for the FECA program.</w:t>
      </w:r>
    </w:p>
    <w:p w:rsidR="00152689" w:rsidP="00152689" w14:paraId="69F0C901" w14:textId="5F1AB0FF">
      <w:r w:rsidRPr="003B39FA">
        <w:rPr>
          <w:rFonts w:cstheme="minorHAnsi"/>
        </w:rPr>
        <w:t xml:space="preserve">Page 3: Under number 2: “9-digit number” </w:t>
      </w:r>
      <w:r w:rsidR="00AC6FC6">
        <w:rPr>
          <w:rFonts w:cstheme="minorHAnsi"/>
        </w:rPr>
        <w:t xml:space="preserve">to be </w:t>
      </w:r>
      <w:r w:rsidRPr="003B39FA">
        <w:rPr>
          <w:rFonts w:cstheme="minorHAnsi"/>
        </w:rPr>
        <w:t>deleted</w:t>
      </w:r>
      <w:r>
        <w:t>.</w:t>
      </w:r>
    </w:p>
    <w:p w:rsidR="005C5B88" w:rsidP="005C5B88" w14:paraId="694CE294" w14:textId="278D9C34">
      <w:pPr>
        <w:pStyle w:val="ListParagraph"/>
        <w:numPr>
          <w:ilvl w:val="0"/>
          <w:numId w:val="1"/>
        </w:numPr>
      </w:pPr>
      <w:r>
        <w:t>This change in the instructions would reduce confusion as the EEOICPA program does not have a 9-digit case number.</w:t>
      </w:r>
    </w:p>
    <w:p w:rsidR="00152689" w:rsidP="00152689" w14:paraId="555C214D" w14:textId="27CDDB62">
      <w:r>
        <w:t>Page 3: Under number 20: “14,400” to</w:t>
      </w:r>
      <w:r w:rsidR="00AC6FC6">
        <w:t xml:space="preserve"> be changed to</w:t>
      </w:r>
      <w:r>
        <w:t xml:space="preserve"> “68,000”</w:t>
      </w:r>
      <w:r w:rsidR="00AC6FC6">
        <w:t>.</w:t>
      </w:r>
    </w:p>
    <w:p w:rsidR="005C5B88" w:rsidP="00152689" w14:paraId="3BDBEFAE" w14:textId="77777777">
      <w:pPr>
        <w:pStyle w:val="ListParagraph"/>
        <w:numPr>
          <w:ilvl w:val="0"/>
          <w:numId w:val="1"/>
        </w:numPr>
        <w:autoSpaceDE w:val="0"/>
        <w:autoSpaceDN w:val="0"/>
        <w:adjustRightInd w:val="0"/>
        <w:spacing w:after="0" w:line="240" w:lineRule="auto"/>
      </w:pPr>
      <w:r>
        <w:t>This change in the instructions updates the number of International Statistical Classification of Diseases and Related Health Problems 10</w:t>
      </w:r>
      <w:r w:rsidRPr="005C5B88">
        <w:rPr>
          <w:vertAlign w:val="superscript"/>
        </w:rPr>
        <w:t>th</w:t>
      </w:r>
      <w:r>
        <w:t xml:space="preserve"> Revision (ICD-10) codes currently in use in the medical field today.</w:t>
      </w:r>
    </w:p>
    <w:p w:rsidR="005C5B88" w:rsidP="005C5B88" w14:paraId="2FC9B5D0" w14:textId="77777777">
      <w:pPr>
        <w:autoSpaceDE w:val="0"/>
        <w:autoSpaceDN w:val="0"/>
        <w:adjustRightInd w:val="0"/>
        <w:spacing w:after="0" w:line="240" w:lineRule="auto"/>
      </w:pPr>
    </w:p>
    <w:p w:rsidR="00152689" w:rsidP="005C5B88" w14:paraId="4A765D11" w14:textId="0464F2F8">
      <w:pPr>
        <w:autoSpaceDE w:val="0"/>
        <w:autoSpaceDN w:val="0"/>
        <w:adjustRightInd w:val="0"/>
        <w:spacing w:after="0" w:line="240" w:lineRule="auto"/>
      </w:pPr>
      <w:r>
        <w:t xml:space="preserve">Page 4: </w:t>
      </w:r>
      <w:r w:rsidR="00AC6FC6">
        <w:t xml:space="preserve">Room </w:t>
      </w:r>
      <w:r>
        <w:t xml:space="preserve">“S3524” </w:t>
      </w:r>
      <w:r w:rsidR="00AC6FC6">
        <w:t>to be changed</w:t>
      </w:r>
      <w:r>
        <w:t xml:space="preserve"> to “S3229”</w:t>
      </w:r>
      <w:r w:rsidR="00AC6FC6">
        <w:t>.</w:t>
      </w:r>
    </w:p>
    <w:p w:rsidR="005C5B88" w:rsidP="005C5B88" w14:paraId="1BB49885" w14:textId="77777777">
      <w:pPr>
        <w:autoSpaceDE w:val="0"/>
        <w:autoSpaceDN w:val="0"/>
        <w:adjustRightInd w:val="0"/>
        <w:spacing w:after="0" w:line="240" w:lineRule="auto"/>
      </w:pPr>
    </w:p>
    <w:p w:rsidR="005C5B88" w:rsidP="005C5B88" w14:paraId="4B98AACA" w14:textId="02246893">
      <w:pPr>
        <w:pStyle w:val="ListParagraph"/>
        <w:numPr>
          <w:ilvl w:val="0"/>
          <w:numId w:val="1"/>
        </w:numPr>
        <w:autoSpaceDE w:val="0"/>
        <w:autoSpaceDN w:val="0"/>
        <w:adjustRightInd w:val="0"/>
        <w:spacing w:after="0" w:line="240" w:lineRule="auto"/>
      </w:pPr>
      <w:r>
        <w:t>This change in the instructions updates the room number location under the public burden statement.</w:t>
      </w:r>
    </w:p>
    <w:p w:rsidR="005C5B88" w:rsidP="005C5B88" w14:paraId="7714A574" w14:textId="77777777">
      <w:pPr>
        <w:pStyle w:val="ListParagraph"/>
        <w:autoSpaceDE w:val="0"/>
        <w:autoSpaceDN w:val="0"/>
        <w:adjustRightInd w:val="0"/>
        <w:spacing w:after="0" w:line="240" w:lineRule="auto"/>
      </w:pPr>
    </w:p>
    <w:p w:rsidR="00152689" w:rsidP="00152689" w14:paraId="39DD23B4" w14:textId="3B1AD432">
      <w:r>
        <w:t xml:space="preserve">Page 4: The privacy act statement </w:t>
      </w:r>
      <w:r w:rsidR="00AC6FC6">
        <w:t>to be</w:t>
      </w:r>
      <w:r>
        <w:t xml:space="preserve"> updated to </w:t>
      </w:r>
      <w:r w:rsidR="00CB61FC">
        <w:t xml:space="preserve">include the EEOICPA program.  </w:t>
      </w:r>
    </w:p>
    <w:p w:rsidR="005C5B88" w:rsidRPr="005C5B88" w:rsidP="005C5B88" w14:paraId="2BEDEDFC" w14:textId="77777777">
      <w:pPr>
        <w:pStyle w:val="ListParagraph"/>
        <w:numPr>
          <w:ilvl w:val="0"/>
          <w:numId w:val="1"/>
        </w:numPr>
        <w:rPr>
          <w:rFonts w:cstheme="minorHAnsi"/>
        </w:rPr>
      </w:pPr>
      <w:r>
        <w:rPr>
          <w:rFonts w:cstheme="minorHAnsi"/>
        </w:rPr>
        <w:t>This change in the instructions would indicate that the form is not exclusively for the FECA program.</w:t>
      </w:r>
    </w:p>
    <w:p w:rsidR="00152689" w:rsidP="00152689" w14:paraId="73AF71A6" w14:textId="5A7AC54D">
      <w:r>
        <w:t xml:space="preserve">Page 5: “DFEC” </w:t>
      </w:r>
      <w:r w:rsidR="00AC6FC6">
        <w:t>to be</w:t>
      </w:r>
      <w:r>
        <w:t xml:space="preserve"> deleted in three areas under the notice statement.</w:t>
      </w:r>
    </w:p>
    <w:p w:rsidR="005C5B88" w:rsidRPr="005C5B88" w:rsidP="005C5B88" w14:paraId="4C2C5E23" w14:textId="3CC0E7EF">
      <w:pPr>
        <w:pStyle w:val="ListParagraph"/>
        <w:numPr>
          <w:ilvl w:val="0"/>
          <w:numId w:val="1"/>
        </w:numPr>
        <w:rPr>
          <w:rFonts w:cstheme="minorHAnsi"/>
        </w:rPr>
      </w:pPr>
      <w:r>
        <w:rPr>
          <w:rFonts w:cstheme="minorHAnsi"/>
        </w:rPr>
        <w:t>This change in the instructions would indicate that the form is not exclusively for the FECA program.</w:t>
      </w:r>
    </w:p>
    <w:p w:rsidR="00152689" w:rsidP="005C5B88" w14:paraId="0D00FCD3" w14:textId="5FBC0C2F">
      <w:pPr>
        <w:pStyle w:val="ListParagraph"/>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521DB"/>
    <w:multiLevelType w:val="hybridMultilevel"/>
    <w:tmpl w:val="3AAAD4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4863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89"/>
    <w:rsid w:val="000438F5"/>
    <w:rsid w:val="000B4151"/>
    <w:rsid w:val="00152689"/>
    <w:rsid w:val="003B39FA"/>
    <w:rsid w:val="005443D6"/>
    <w:rsid w:val="005C5B88"/>
    <w:rsid w:val="006F5A19"/>
    <w:rsid w:val="00863E41"/>
    <w:rsid w:val="008D567E"/>
    <w:rsid w:val="00AC6FC6"/>
    <w:rsid w:val="00CB61FC"/>
    <w:rsid w:val="00D0133C"/>
    <w:rsid w:val="00DE2456"/>
    <w:rsid w:val="00EA7634"/>
    <w:rsid w:val="00F477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B82249"/>
  <w15:chartTrackingRefBased/>
  <w15:docId w15:val="{9D55D698-3380-46A8-8719-7C95AF45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689"/>
    <w:pPr>
      <w:spacing w:after="0" w:line="240" w:lineRule="auto"/>
    </w:pPr>
  </w:style>
  <w:style w:type="paragraph" w:styleId="ListParagraph">
    <w:name w:val="List Paragraph"/>
    <w:basedOn w:val="Normal"/>
    <w:uiPriority w:val="34"/>
    <w:qFormat/>
    <w:rsid w:val="005C5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Elliott - OWCP</dc:creator>
  <cp:lastModifiedBy>Suggs, Anjanette C - OWCP</cp:lastModifiedBy>
  <cp:revision>2</cp:revision>
  <dcterms:created xsi:type="dcterms:W3CDTF">2024-04-19T18:35:00Z</dcterms:created>
  <dcterms:modified xsi:type="dcterms:W3CDTF">2024-04-19T18:35:00Z</dcterms:modified>
</cp:coreProperties>
</file>